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2DE7B4CA" w14:textId="77777777" w:rsidTr="00BF1190">
        <w:trPr>
          <w:trHeight w:val="1863"/>
        </w:trPr>
        <w:tc>
          <w:tcPr>
            <w:tcW w:w="3652" w:type="dxa"/>
            <w:tcBorders>
              <w:top w:val="nil"/>
              <w:left w:val="nil"/>
              <w:bottom w:val="nil"/>
              <w:right w:val="nil"/>
            </w:tcBorders>
          </w:tcPr>
          <w:p w14:paraId="50DF9F1B" w14:textId="3CCDDB96" w:rsidR="008E7846" w:rsidRPr="00096AA7" w:rsidRDefault="002760E1" w:rsidP="00FB012D">
            <w:pPr>
              <w:pStyle w:val="Date"/>
              <w:framePr w:hSpace="0" w:wrap="auto" w:vAnchor="margin" w:hAnchor="text" w:yAlign="inline"/>
              <w:suppressOverlap w:val="0"/>
            </w:pPr>
            <w:r>
              <w:t>September</w:t>
            </w:r>
            <w:r w:rsidR="00C76BA7">
              <w:t xml:space="preserve">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2A3877F" w14:textId="77777777" w:rsidTr="0032583B">
        <w:trPr>
          <w:trHeight w:val="868"/>
        </w:trPr>
        <w:tc>
          <w:tcPr>
            <w:tcW w:w="9079" w:type="dxa"/>
          </w:tcPr>
          <w:p w14:paraId="2D0F6507" w14:textId="0FCB647C" w:rsidR="0032583B" w:rsidRPr="00A964D1" w:rsidRDefault="0032583B" w:rsidP="008B3B16">
            <w:pPr>
              <w:pStyle w:val="Title"/>
              <w:framePr w:hSpace="0" w:wrap="auto" w:vAnchor="margin" w:yAlign="inline"/>
            </w:pPr>
            <w:r w:rsidRPr="00A964D1">
              <w:t xml:space="preserve">Australian Public Assessment Report for </w:t>
            </w:r>
            <w:r w:rsidR="00C76BA7">
              <w:t>lumacaftor</w:t>
            </w:r>
            <w:r w:rsidR="00395502">
              <w:t xml:space="preserve"> /</w:t>
            </w:r>
            <w:bookmarkStart w:id="0" w:name="_GoBack"/>
            <w:bookmarkEnd w:id="0"/>
            <w:r w:rsidR="00C76BA7">
              <w:t xml:space="preserve"> ivacaftor</w:t>
            </w:r>
          </w:p>
        </w:tc>
      </w:tr>
      <w:tr w:rsidR="0032583B" w:rsidRPr="00B64760" w14:paraId="78D811FF" w14:textId="77777777" w:rsidTr="0032583B">
        <w:tc>
          <w:tcPr>
            <w:tcW w:w="9079" w:type="dxa"/>
          </w:tcPr>
          <w:p w14:paraId="1691F7B1" w14:textId="77777777" w:rsidR="0032583B" w:rsidRPr="008E7846" w:rsidRDefault="0032583B" w:rsidP="008B3B16">
            <w:pPr>
              <w:pStyle w:val="Subtitle"/>
              <w:framePr w:hSpace="0" w:wrap="auto" w:vAnchor="margin" w:yAlign="inline"/>
            </w:pPr>
            <w:r w:rsidRPr="008E7846">
              <w:t xml:space="preserve">Proprietary Product Name: </w:t>
            </w:r>
            <w:r w:rsidR="00C76BA7">
              <w:t>Orkambi 200/125</w:t>
            </w:r>
          </w:p>
        </w:tc>
      </w:tr>
      <w:tr w:rsidR="0032583B" w:rsidRPr="00B64760" w14:paraId="29D8F97B" w14:textId="77777777" w:rsidTr="0032583B">
        <w:trPr>
          <w:trHeight w:val="486"/>
        </w:trPr>
        <w:tc>
          <w:tcPr>
            <w:tcW w:w="9079" w:type="dxa"/>
          </w:tcPr>
          <w:p w14:paraId="14375588" w14:textId="05DC0F81" w:rsidR="0032583B" w:rsidRPr="008E7846" w:rsidRDefault="0032583B" w:rsidP="008B3B16">
            <w:pPr>
              <w:pStyle w:val="Subtitle"/>
              <w:framePr w:hSpace="0" w:wrap="auto" w:vAnchor="margin" w:yAlign="inline"/>
            </w:pPr>
            <w:r w:rsidRPr="008E7846">
              <w:t xml:space="preserve">Sponsor: </w:t>
            </w:r>
            <w:r w:rsidR="00C76BA7">
              <w:t>Vertex Pharmaceuticals Australia Pty Ltd</w:t>
            </w:r>
          </w:p>
        </w:tc>
      </w:tr>
    </w:tbl>
    <w:p w14:paraId="03E7AA92" w14:textId="77777777" w:rsidR="008E7846" w:rsidRPr="0085156D" w:rsidRDefault="008E7846" w:rsidP="0085156D">
      <w:r w:rsidRPr="0085156D">
        <w:br w:type="page"/>
      </w:r>
    </w:p>
    <w:p w14:paraId="69875012" w14:textId="77777777" w:rsidR="008E7846" w:rsidRPr="001F6CBA" w:rsidRDefault="008E7846" w:rsidP="008E7846">
      <w:pPr>
        <w:pStyle w:val="NonTOCHeading2"/>
      </w:pPr>
      <w:r w:rsidRPr="001F6CBA">
        <w:lastRenderedPageBreak/>
        <w:t>About the Therapeutic Goods Administration (TGA)</w:t>
      </w:r>
    </w:p>
    <w:p w14:paraId="0717A2C0" w14:textId="77777777" w:rsidR="008E7846" w:rsidRDefault="008E7846" w:rsidP="00E6447A">
      <w:pPr>
        <w:pStyle w:val="ListBullet"/>
        <w:numPr>
          <w:ilvl w:val="0"/>
          <w:numId w:val="1"/>
        </w:numPr>
        <w:ind w:left="357" w:hanging="357"/>
      </w:pPr>
      <w:r>
        <w:t xml:space="preserve">The Therapeutic Goods Administration (TGA) is </w:t>
      </w:r>
      <w:r w:rsidR="00E624A5">
        <w:t xml:space="preserve">part </w:t>
      </w:r>
      <w:r>
        <w:t>of the Australian Government Department of Healt</w:t>
      </w:r>
      <w:r w:rsidRPr="00FB012D">
        <w:t>h</w:t>
      </w:r>
      <w:r>
        <w:t xml:space="preserve"> and is responsible for regulating medicines and medical devices.</w:t>
      </w:r>
    </w:p>
    <w:p w14:paraId="30CB5BEB" w14:textId="77777777" w:rsidR="008E7846" w:rsidRDefault="00C80137" w:rsidP="00E6447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04921ABF" w14:textId="77777777" w:rsidR="008E7846" w:rsidRDefault="008E7846" w:rsidP="00E6447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7418B2BA" w14:textId="77777777" w:rsidR="008E7846" w:rsidRDefault="008E7846" w:rsidP="00E6447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728D8340" w14:textId="77777777" w:rsidR="00441C3F" w:rsidRDefault="008E7846" w:rsidP="00E6447A">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39F12DDB" w14:textId="77777777" w:rsidR="008E7846" w:rsidRDefault="008E7846" w:rsidP="00875A6B">
      <w:pPr>
        <w:pStyle w:val="NonTOCHeading2"/>
      </w:pPr>
      <w:r>
        <w:t>About AusPARs</w:t>
      </w:r>
    </w:p>
    <w:p w14:paraId="7478EAEB" w14:textId="77777777" w:rsidR="008E7846" w:rsidRDefault="008E7846" w:rsidP="00E6447A">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5DD93AB2" w14:textId="77777777" w:rsidR="008E7846" w:rsidRDefault="008E7846" w:rsidP="00E6447A">
      <w:pPr>
        <w:pStyle w:val="ListBullet"/>
        <w:numPr>
          <w:ilvl w:val="0"/>
          <w:numId w:val="1"/>
        </w:numPr>
        <w:ind w:left="357" w:hanging="357"/>
      </w:pPr>
      <w:r>
        <w:t>AusPARs are prepared and published by the TGA.</w:t>
      </w:r>
    </w:p>
    <w:p w14:paraId="71ADAC48" w14:textId="77777777" w:rsidR="008E7846" w:rsidRDefault="008E7846" w:rsidP="00E6447A">
      <w:pPr>
        <w:pStyle w:val="ListBullet"/>
        <w:numPr>
          <w:ilvl w:val="0"/>
          <w:numId w:val="1"/>
        </w:numPr>
        <w:ind w:left="357" w:hanging="357"/>
      </w:pPr>
      <w:r>
        <w:t>An AusPAR is prepared for submissions that relate to new chemical entities, generic medicines, major variations and extensions of indications.</w:t>
      </w:r>
    </w:p>
    <w:p w14:paraId="2EB73C65" w14:textId="77777777" w:rsidR="008E7846" w:rsidRDefault="008E7846" w:rsidP="00E6447A">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694BA72" w14:textId="77777777" w:rsidR="00B452CE" w:rsidRDefault="008E7846" w:rsidP="00E6447A">
      <w:pPr>
        <w:pStyle w:val="ListBullet"/>
        <w:numPr>
          <w:ilvl w:val="0"/>
          <w:numId w:val="1"/>
        </w:numPr>
        <w:ind w:left="357" w:hanging="357"/>
      </w:pPr>
      <w:r>
        <w:t>A new AusPAR will be developed to reflect changes to indications and/or major variations to a prescription medicine subject to evaluation by the TGA.</w:t>
      </w:r>
    </w:p>
    <w:p w14:paraId="52C17364" w14:textId="77777777" w:rsidR="00924482" w:rsidRPr="00DF1D7F" w:rsidRDefault="00924482" w:rsidP="00F54B65">
      <w:pPr>
        <w:pStyle w:val="LegalSubheading"/>
        <w:spacing w:before="3120"/>
      </w:pPr>
      <w:r w:rsidRPr="00DF1D7F">
        <w:t>Copyright</w:t>
      </w:r>
    </w:p>
    <w:p w14:paraId="6274A435" w14:textId="77777777" w:rsidR="00924482" w:rsidRDefault="00924482" w:rsidP="00924482">
      <w:pPr>
        <w:pStyle w:val="LegalCopy"/>
      </w:pPr>
      <w:r w:rsidRPr="00191B3B">
        <w:rPr>
          <w:rFonts w:cs="Arial"/>
          <w:lang w:val="en-GB"/>
        </w:rPr>
        <w:t>© Comm</w:t>
      </w:r>
      <w:r>
        <w:rPr>
          <w:rFonts w:cs="Arial"/>
          <w:lang w:val="en-GB"/>
        </w:rPr>
        <w:t>onwealth of Australia 201</w:t>
      </w:r>
      <w:r w:rsidR="00EF59DC">
        <w:rPr>
          <w:rFonts w:cs="Arial"/>
          <w:lang w:val="en-GB"/>
        </w:rPr>
        <w:t>6</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2FCC8023"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35C945B" w14:textId="77777777" w:rsidR="0089635C" w:rsidRPr="0089635C" w:rsidRDefault="0089635C" w:rsidP="0010788A">
          <w:pPr>
            <w:pStyle w:val="Contents"/>
          </w:pPr>
          <w:r w:rsidRPr="0010788A">
            <w:t>Contents</w:t>
          </w:r>
        </w:p>
        <w:p w14:paraId="735BBDC5" w14:textId="77777777" w:rsidR="00F87DDE"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62141634" w:history="1">
            <w:r w:rsidR="00F87DDE" w:rsidRPr="00CB7DA4">
              <w:rPr>
                <w:rStyle w:val="Hyperlink"/>
                <w:noProof/>
              </w:rPr>
              <w:t>Common abbreviations</w:t>
            </w:r>
            <w:r w:rsidR="00F87DDE">
              <w:rPr>
                <w:noProof/>
                <w:webHidden/>
              </w:rPr>
              <w:tab/>
            </w:r>
            <w:r w:rsidR="00F87DDE">
              <w:rPr>
                <w:noProof/>
                <w:webHidden/>
              </w:rPr>
              <w:fldChar w:fldCharType="begin"/>
            </w:r>
            <w:r w:rsidR="00F87DDE">
              <w:rPr>
                <w:noProof/>
                <w:webHidden/>
              </w:rPr>
              <w:instrText xml:space="preserve"> PAGEREF _Toc462141634 \h </w:instrText>
            </w:r>
            <w:r w:rsidR="00F87DDE">
              <w:rPr>
                <w:noProof/>
                <w:webHidden/>
              </w:rPr>
            </w:r>
            <w:r w:rsidR="00F87DDE">
              <w:rPr>
                <w:noProof/>
                <w:webHidden/>
              </w:rPr>
              <w:fldChar w:fldCharType="separate"/>
            </w:r>
            <w:r w:rsidR="00F87DDE">
              <w:rPr>
                <w:noProof/>
                <w:webHidden/>
              </w:rPr>
              <w:t>5</w:t>
            </w:r>
            <w:r w:rsidR="00F87DDE">
              <w:rPr>
                <w:noProof/>
                <w:webHidden/>
              </w:rPr>
              <w:fldChar w:fldCharType="end"/>
            </w:r>
          </w:hyperlink>
        </w:p>
        <w:p w14:paraId="218C25B4" w14:textId="77777777" w:rsidR="00F87DDE" w:rsidRDefault="00395502">
          <w:pPr>
            <w:pStyle w:val="TOC2"/>
            <w:rPr>
              <w:rFonts w:asciiTheme="minorHAnsi" w:eastAsiaTheme="minorEastAsia" w:hAnsiTheme="minorHAnsi" w:cstheme="minorBidi"/>
              <w:b w:val="0"/>
              <w:noProof/>
              <w:sz w:val="22"/>
              <w:lang w:eastAsia="en-AU"/>
            </w:rPr>
          </w:pPr>
          <w:hyperlink w:anchor="_Toc462141635" w:history="1">
            <w:r w:rsidR="00F87DDE" w:rsidRPr="00CB7DA4">
              <w:rPr>
                <w:rStyle w:val="Hyperlink"/>
                <w:noProof/>
              </w:rPr>
              <w:t>I. Introduction to product submission</w:t>
            </w:r>
            <w:r w:rsidR="00F87DDE">
              <w:rPr>
                <w:noProof/>
                <w:webHidden/>
              </w:rPr>
              <w:tab/>
            </w:r>
            <w:r w:rsidR="00F87DDE">
              <w:rPr>
                <w:noProof/>
                <w:webHidden/>
              </w:rPr>
              <w:fldChar w:fldCharType="begin"/>
            </w:r>
            <w:r w:rsidR="00F87DDE">
              <w:rPr>
                <w:noProof/>
                <w:webHidden/>
              </w:rPr>
              <w:instrText xml:space="preserve"> PAGEREF _Toc462141635 \h </w:instrText>
            </w:r>
            <w:r w:rsidR="00F87DDE">
              <w:rPr>
                <w:noProof/>
                <w:webHidden/>
              </w:rPr>
            </w:r>
            <w:r w:rsidR="00F87DDE">
              <w:rPr>
                <w:noProof/>
                <w:webHidden/>
              </w:rPr>
              <w:fldChar w:fldCharType="separate"/>
            </w:r>
            <w:r w:rsidR="00F87DDE">
              <w:rPr>
                <w:noProof/>
                <w:webHidden/>
              </w:rPr>
              <w:t>9</w:t>
            </w:r>
            <w:r w:rsidR="00F87DDE">
              <w:rPr>
                <w:noProof/>
                <w:webHidden/>
              </w:rPr>
              <w:fldChar w:fldCharType="end"/>
            </w:r>
          </w:hyperlink>
        </w:p>
        <w:p w14:paraId="188F3CE4" w14:textId="77777777" w:rsidR="00F87DDE" w:rsidRDefault="00395502">
          <w:pPr>
            <w:pStyle w:val="TOC3"/>
            <w:rPr>
              <w:rFonts w:asciiTheme="minorHAnsi" w:eastAsiaTheme="minorEastAsia" w:hAnsiTheme="minorHAnsi" w:cstheme="minorBidi"/>
              <w:noProof/>
              <w:lang w:eastAsia="en-AU"/>
            </w:rPr>
          </w:pPr>
          <w:hyperlink w:anchor="_Toc462141636" w:history="1">
            <w:r w:rsidR="00F87DDE" w:rsidRPr="00CB7DA4">
              <w:rPr>
                <w:rStyle w:val="Hyperlink"/>
                <w:noProof/>
                <w:lang w:eastAsia="en-AU"/>
              </w:rPr>
              <w:t>Submiss</w:t>
            </w:r>
            <w:r w:rsidR="00F87DDE" w:rsidRPr="00CB7DA4">
              <w:rPr>
                <w:rStyle w:val="Hyperlink"/>
                <w:noProof/>
              </w:rPr>
              <w:t>i</w:t>
            </w:r>
            <w:r w:rsidR="00F87DDE" w:rsidRPr="00CB7DA4">
              <w:rPr>
                <w:rStyle w:val="Hyperlink"/>
                <w:noProof/>
                <w:lang w:eastAsia="en-AU"/>
              </w:rPr>
              <w:t>on details</w:t>
            </w:r>
            <w:r w:rsidR="00F87DDE">
              <w:rPr>
                <w:noProof/>
                <w:webHidden/>
              </w:rPr>
              <w:tab/>
            </w:r>
            <w:r w:rsidR="00F87DDE">
              <w:rPr>
                <w:noProof/>
                <w:webHidden/>
              </w:rPr>
              <w:fldChar w:fldCharType="begin"/>
            </w:r>
            <w:r w:rsidR="00F87DDE">
              <w:rPr>
                <w:noProof/>
                <w:webHidden/>
              </w:rPr>
              <w:instrText xml:space="preserve"> PAGEREF _Toc462141636 \h </w:instrText>
            </w:r>
            <w:r w:rsidR="00F87DDE">
              <w:rPr>
                <w:noProof/>
                <w:webHidden/>
              </w:rPr>
            </w:r>
            <w:r w:rsidR="00F87DDE">
              <w:rPr>
                <w:noProof/>
                <w:webHidden/>
              </w:rPr>
              <w:fldChar w:fldCharType="separate"/>
            </w:r>
            <w:r w:rsidR="00F87DDE">
              <w:rPr>
                <w:noProof/>
                <w:webHidden/>
              </w:rPr>
              <w:t>9</w:t>
            </w:r>
            <w:r w:rsidR="00F87DDE">
              <w:rPr>
                <w:noProof/>
                <w:webHidden/>
              </w:rPr>
              <w:fldChar w:fldCharType="end"/>
            </w:r>
          </w:hyperlink>
        </w:p>
        <w:p w14:paraId="4A1FA9C7" w14:textId="77777777" w:rsidR="00F87DDE" w:rsidRDefault="00395502">
          <w:pPr>
            <w:pStyle w:val="TOC3"/>
            <w:rPr>
              <w:rFonts w:asciiTheme="minorHAnsi" w:eastAsiaTheme="minorEastAsia" w:hAnsiTheme="minorHAnsi" w:cstheme="minorBidi"/>
              <w:noProof/>
              <w:lang w:eastAsia="en-AU"/>
            </w:rPr>
          </w:pPr>
          <w:hyperlink w:anchor="_Toc462141637" w:history="1">
            <w:r w:rsidR="00F87DDE" w:rsidRPr="00CB7DA4">
              <w:rPr>
                <w:rStyle w:val="Hyperlink"/>
                <w:noProof/>
              </w:rPr>
              <w:t>Product background</w:t>
            </w:r>
            <w:r w:rsidR="00F87DDE">
              <w:rPr>
                <w:noProof/>
                <w:webHidden/>
              </w:rPr>
              <w:tab/>
            </w:r>
            <w:r w:rsidR="00F87DDE">
              <w:rPr>
                <w:noProof/>
                <w:webHidden/>
              </w:rPr>
              <w:fldChar w:fldCharType="begin"/>
            </w:r>
            <w:r w:rsidR="00F87DDE">
              <w:rPr>
                <w:noProof/>
                <w:webHidden/>
              </w:rPr>
              <w:instrText xml:space="preserve"> PAGEREF _Toc462141637 \h </w:instrText>
            </w:r>
            <w:r w:rsidR="00F87DDE">
              <w:rPr>
                <w:noProof/>
                <w:webHidden/>
              </w:rPr>
            </w:r>
            <w:r w:rsidR="00F87DDE">
              <w:rPr>
                <w:noProof/>
                <w:webHidden/>
              </w:rPr>
              <w:fldChar w:fldCharType="separate"/>
            </w:r>
            <w:r w:rsidR="00F87DDE">
              <w:rPr>
                <w:noProof/>
                <w:webHidden/>
              </w:rPr>
              <w:t>9</w:t>
            </w:r>
            <w:r w:rsidR="00F87DDE">
              <w:rPr>
                <w:noProof/>
                <w:webHidden/>
              </w:rPr>
              <w:fldChar w:fldCharType="end"/>
            </w:r>
          </w:hyperlink>
        </w:p>
        <w:p w14:paraId="3BC124EA" w14:textId="77777777" w:rsidR="00F87DDE" w:rsidRDefault="00395502">
          <w:pPr>
            <w:pStyle w:val="TOC3"/>
            <w:rPr>
              <w:rFonts w:asciiTheme="minorHAnsi" w:eastAsiaTheme="minorEastAsia" w:hAnsiTheme="minorHAnsi" w:cstheme="minorBidi"/>
              <w:noProof/>
              <w:lang w:eastAsia="en-AU"/>
            </w:rPr>
          </w:pPr>
          <w:hyperlink w:anchor="_Toc462141638" w:history="1">
            <w:r w:rsidR="00F87DDE" w:rsidRPr="00CB7DA4">
              <w:rPr>
                <w:rStyle w:val="Hyperlink"/>
                <w:noProof/>
              </w:rPr>
              <w:t>Regulatory status</w:t>
            </w:r>
            <w:r w:rsidR="00F87DDE">
              <w:rPr>
                <w:noProof/>
                <w:webHidden/>
              </w:rPr>
              <w:tab/>
            </w:r>
            <w:r w:rsidR="00F87DDE">
              <w:rPr>
                <w:noProof/>
                <w:webHidden/>
              </w:rPr>
              <w:fldChar w:fldCharType="begin"/>
            </w:r>
            <w:r w:rsidR="00F87DDE">
              <w:rPr>
                <w:noProof/>
                <w:webHidden/>
              </w:rPr>
              <w:instrText xml:space="preserve"> PAGEREF _Toc462141638 \h </w:instrText>
            </w:r>
            <w:r w:rsidR="00F87DDE">
              <w:rPr>
                <w:noProof/>
                <w:webHidden/>
              </w:rPr>
            </w:r>
            <w:r w:rsidR="00F87DDE">
              <w:rPr>
                <w:noProof/>
                <w:webHidden/>
              </w:rPr>
              <w:fldChar w:fldCharType="separate"/>
            </w:r>
            <w:r w:rsidR="00F87DDE">
              <w:rPr>
                <w:noProof/>
                <w:webHidden/>
              </w:rPr>
              <w:t>10</w:t>
            </w:r>
            <w:r w:rsidR="00F87DDE">
              <w:rPr>
                <w:noProof/>
                <w:webHidden/>
              </w:rPr>
              <w:fldChar w:fldCharType="end"/>
            </w:r>
          </w:hyperlink>
        </w:p>
        <w:p w14:paraId="7BB1F4E1" w14:textId="77777777" w:rsidR="00F87DDE" w:rsidRDefault="00395502">
          <w:pPr>
            <w:pStyle w:val="TOC3"/>
            <w:rPr>
              <w:rFonts w:asciiTheme="minorHAnsi" w:eastAsiaTheme="minorEastAsia" w:hAnsiTheme="minorHAnsi" w:cstheme="minorBidi"/>
              <w:noProof/>
              <w:lang w:eastAsia="en-AU"/>
            </w:rPr>
          </w:pPr>
          <w:hyperlink w:anchor="_Toc462141639" w:history="1">
            <w:r w:rsidR="00F87DDE" w:rsidRPr="00CB7DA4">
              <w:rPr>
                <w:rStyle w:val="Hyperlink"/>
                <w:noProof/>
              </w:rPr>
              <w:t>Product Information</w:t>
            </w:r>
            <w:r w:rsidR="00F87DDE">
              <w:rPr>
                <w:noProof/>
                <w:webHidden/>
              </w:rPr>
              <w:tab/>
            </w:r>
            <w:r w:rsidR="00F87DDE">
              <w:rPr>
                <w:noProof/>
                <w:webHidden/>
              </w:rPr>
              <w:fldChar w:fldCharType="begin"/>
            </w:r>
            <w:r w:rsidR="00F87DDE">
              <w:rPr>
                <w:noProof/>
                <w:webHidden/>
              </w:rPr>
              <w:instrText xml:space="preserve"> PAGEREF _Toc462141639 \h </w:instrText>
            </w:r>
            <w:r w:rsidR="00F87DDE">
              <w:rPr>
                <w:noProof/>
                <w:webHidden/>
              </w:rPr>
            </w:r>
            <w:r w:rsidR="00F87DDE">
              <w:rPr>
                <w:noProof/>
                <w:webHidden/>
              </w:rPr>
              <w:fldChar w:fldCharType="separate"/>
            </w:r>
            <w:r w:rsidR="00F87DDE">
              <w:rPr>
                <w:noProof/>
                <w:webHidden/>
              </w:rPr>
              <w:t>11</w:t>
            </w:r>
            <w:r w:rsidR="00F87DDE">
              <w:rPr>
                <w:noProof/>
                <w:webHidden/>
              </w:rPr>
              <w:fldChar w:fldCharType="end"/>
            </w:r>
          </w:hyperlink>
        </w:p>
        <w:p w14:paraId="750C4DB4" w14:textId="77777777" w:rsidR="00F87DDE" w:rsidRDefault="00395502">
          <w:pPr>
            <w:pStyle w:val="TOC2"/>
            <w:rPr>
              <w:rFonts w:asciiTheme="minorHAnsi" w:eastAsiaTheme="minorEastAsia" w:hAnsiTheme="minorHAnsi" w:cstheme="minorBidi"/>
              <w:b w:val="0"/>
              <w:noProof/>
              <w:sz w:val="22"/>
              <w:lang w:eastAsia="en-AU"/>
            </w:rPr>
          </w:pPr>
          <w:hyperlink w:anchor="_Toc462141640" w:history="1">
            <w:r w:rsidR="00F87DDE" w:rsidRPr="00CB7DA4">
              <w:rPr>
                <w:rStyle w:val="Hyperlink"/>
                <w:noProof/>
              </w:rPr>
              <w:t>II. Quality findings</w:t>
            </w:r>
            <w:r w:rsidR="00F87DDE">
              <w:rPr>
                <w:noProof/>
                <w:webHidden/>
              </w:rPr>
              <w:tab/>
            </w:r>
            <w:r w:rsidR="00F87DDE">
              <w:rPr>
                <w:noProof/>
                <w:webHidden/>
              </w:rPr>
              <w:fldChar w:fldCharType="begin"/>
            </w:r>
            <w:r w:rsidR="00F87DDE">
              <w:rPr>
                <w:noProof/>
                <w:webHidden/>
              </w:rPr>
              <w:instrText xml:space="preserve"> PAGEREF _Toc462141640 \h </w:instrText>
            </w:r>
            <w:r w:rsidR="00F87DDE">
              <w:rPr>
                <w:noProof/>
                <w:webHidden/>
              </w:rPr>
            </w:r>
            <w:r w:rsidR="00F87DDE">
              <w:rPr>
                <w:noProof/>
                <w:webHidden/>
              </w:rPr>
              <w:fldChar w:fldCharType="separate"/>
            </w:r>
            <w:r w:rsidR="00F87DDE">
              <w:rPr>
                <w:noProof/>
                <w:webHidden/>
              </w:rPr>
              <w:t>11</w:t>
            </w:r>
            <w:r w:rsidR="00F87DDE">
              <w:rPr>
                <w:noProof/>
                <w:webHidden/>
              </w:rPr>
              <w:fldChar w:fldCharType="end"/>
            </w:r>
          </w:hyperlink>
        </w:p>
        <w:p w14:paraId="740DD6DE" w14:textId="77777777" w:rsidR="00F87DDE" w:rsidRDefault="00395502">
          <w:pPr>
            <w:pStyle w:val="TOC3"/>
            <w:rPr>
              <w:rFonts w:asciiTheme="minorHAnsi" w:eastAsiaTheme="minorEastAsia" w:hAnsiTheme="minorHAnsi" w:cstheme="minorBidi"/>
              <w:noProof/>
              <w:lang w:eastAsia="en-AU"/>
            </w:rPr>
          </w:pPr>
          <w:hyperlink w:anchor="_Toc462141641" w:history="1">
            <w:r w:rsidR="00F87DDE" w:rsidRPr="00CB7DA4">
              <w:rPr>
                <w:rStyle w:val="Hyperlink"/>
                <w:noProof/>
              </w:rPr>
              <w:t>Introduction</w:t>
            </w:r>
            <w:r w:rsidR="00F87DDE">
              <w:rPr>
                <w:noProof/>
                <w:webHidden/>
              </w:rPr>
              <w:tab/>
            </w:r>
            <w:r w:rsidR="00F87DDE">
              <w:rPr>
                <w:noProof/>
                <w:webHidden/>
              </w:rPr>
              <w:fldChar w:fldCharType="begin"/>
            </w:r>
            <w:r w:rsidR="00F87DDE">
              <w:rPr>
                <w:noProof/>
                <w:webHidden/>
              </w:rPr>
              <w:instrText xml:space="preserve"> PAGEREF _Toc462141641 \h </w:instrText>
            </w:r>
            <w:r w:rsidR="00F87DDE">
              <w:rPr>
                <w:noProof/>
                <w:webHidden/>
              </w:rPr>
            </w:r>
            <w:r w:rsidR="00F87DDE">
              <w:rPr>
                <w:noProof/>
                <w:webHidden/>
              </w:rPr>
              <w:fldChar w:fldCharType="separate"/>
            </w:r>
            <w:r w:rsidR="00F87DDE">
              <w:rPr>
                <w:noProof/>
                <w:webHidden/>
              </w:rPr>
              <w:t>11</w:t>
            </w:r>
            <w:r w:rsidR="00F87DDE">
              <w:rPr>
                <w:noProof/>
                <w:webHidden/>
              </w:rPr>
              <w:fldChar w:fldCharType="end"/>
            </w:r>
          </w:hyperlink>
        </w:p>
        <w:p w14:paraId="51F8F2D1" w14:textId="77777777" w:rsidR="00F87DDE" w:rsidRDefault="00395502">
          <w:pPr>
            <w:pStyle w:val="TOC3"/>
            <w:rPr>
              <w:rFonts w:asciiTheme="minorHAnsi" w:eastAsiaTheme="minorEastAsia" w:hAnsiTheme="minorHAnsi" w:cstheme="minorBidi"/>
              <w:noProof/>
              <w:lang w:eastAsia="en-AU"/>
            </w:rPr>
          </w:pPr>
          <w:hyperlink w:anchor="_Toc462141642" w:history="1">
            <w:r w:rsidR="00F87DDE" w:rsidRPr="00CB7DA4">
              <w:rPr>
                <w:rStyle w:val="Hyperlink"/>
                <w:noProof/>
              </w:rPr>
              <w:t>Drug substance (active ingredient)</w:t>
            </w:r>
            <w:r w:rsidR="00F87DDE">
              <w:rPr>
                <w:noProof/>
                <w:webHidden/>
              </w:rPr>
              <w:tab/>
            </w:r>
            <w:r w:rsidR="00F87DDE">
              <w:rPr>
                <w:noProof/>
                <w:webHidden/>
              </w:rPr>
              <w:fldChar w:fldCharType="begin"/>
            </w:r>
            <w:r w:rsidR="00F87DDE">
              <w:rPr>
                <w:noProof/>
                <w:webHidden/>
              </w:rPr>
              <w:instrText xml:space="preserve"> PAGEREF _Toc462141642 \h </w:instrText>
            </w:r>
            <w:r w:rsidR="00F87DDE">
              <w:rPr>
                <w:noProof/>
                <w:webHidden/>
              </w:rPr>
            </w:r>
            <w:r w:rsidR="00F87DDE">
              <w:rPr>
                <w:noProof/>
                <w:webHidden/>
              </w:rPr>
              <w:fldChar w:fldCharType="separate"/>
            </w:r>
            <w:r w:rsidR="00F87DDE">
              <w:rPr>
                <w:noProof/>
                <w:webHidden/>
              </w:rPr>
              <w:t>12</w:t>
            </w:r>
            <w:r w:rsidR="00F87DDE">
              <w:rPr>
                <w:noProof/>
                <w:webHidden/>
              </w:rPr>
              <w:fldChar w:fldCharType="end"/>
            </w:r>
          </w:hyperlink>
        </w:p>
        <w:p w14:paraId="5688129E" w14:textId="77777777" w:rsidR="00F87DDE" w:rsidRDefault="00395502">
          <w:pPr>
            <w:pStyle w:val="TOC3"/>
            <w:rPr>
              <w:rFonts w:asciiTheme="minorHAnsi" w:eastAsiaTheme="minorEastAsia" w:hAnsiTheme="minorHAnsi" w:cstheme="minorBidi"/>
              <w:noProof/>
              <w:lang w:eastAsia="en-AU"/>
            </w:rPr>
          </w:pPr>
          <w:hyperlink w:anchor="_Toc462141643" w:history="1">
            <w:r w:rsidR="00F87DDE" w:rsidRPr="00CB7DA4">
              <w:rPr>
                <w:rStyle w:val="Hyperlink"/>
                <w:noProof/>
              </w:rPr>
              <w:t>Drug product</w:t>
            </w:r>
            <w:r w:rsidR="00F87DDE">
              <w:rPr>
                <w:noProof/>
                <w:webHidden/>
              </w:rPr>
              <w:tab/>
            </w:r>
            <w:r w:rsidR="00F87DDE">
              <w:rPr>
                <w:noProof/>
                <w:webHidden/>
              </w:rPr>
              <w:fldChar w:fldCharType="begin"/>
            </w:r>
            <w:r w:rsidR="00F87DDE">
              <w:rPr>
                <w:noProof/>
                <w:webHidden/>
              </w:rPr>
              <w:instrText xml:space="preserve"> PAGEREF _Toc462141643 \h </w:instrText>
            </w:r>
            <w:r w:rsidR="00F87DDE">
              <w:rPr>
                <w:noProof/>
                <w:webHidden/>
              </w:rPr>
            </w:r>
            <w:r w:rsidR="00F87DDE">
              <w:rPr>
                <w:noProof/>
                <w:webHidden/>
              </w:rPr>
              <w:fldChar w:fldCharType="separate"/>
            </w:r>
            <w:r w:rsidR="00F87DDE">
              <w:rPr>
                <w:noProof/>
                <w:webHidden/>
              </w:rPr>
              <w:t>12</w:t>
            </w:r>
            <w:r w:rsidR="00F87DDE">
              <w:rPr>
                <w:noProof/>
                <w:webHidden/>
              </w:rPr>
              <w:fldChar w:fldCharType="end"/>
            </w:r>
          </w:hyperlink>
        </w:p>
        <w:p w14:paraId="3D3F174F" w14:textId="77777777" w:rsidR="00F87DDE" w:rsidRDefault="00395502">
          <w:pPr>
            <w:pStyle w:val="TOC3"/>
            <w:rPr>
              <w:rFonts w:asciiTheme="minorHAnsi" w:eastAsiaTheme="minorEastAsia" w:hAnsiTheme="minorHAnsi" w:cstheme="minorBidi"/>
              <w:noProof/>
              <w:lang w:eastAsia="en-AU"/>
            </w:rPr>
          </w:pPr>
          <w:hyperlink w:anchor="_Toc462141644" w:history="1">
            <w:r w:rsidR="00F87DDE" w:rsidRPr="00CB7DA4">
              <w:rPr>
                <w:rStyle w:val="Hyperlink"/>
                <w:noProof/>
              </w:rPr>
              <w:t>Biopharmaceutics</w:t>
            </w:r>
            <w:r w:rsidR="00F87DDE">
              <w:rPr>
                <w:noProof/>
                <w:webHidden/>
              </w:rPr>
              <w:tab/>
            </w:r>
            <w:r w:rsidR="00F87DDE">
              <w:rPr>
                <w:noProof/>
                <w:webHidden/>
              </w:rPr>
              <w:fldChar w:fldCharType="begin"/>
            </w:r>
            <w:r w:rsidR="00F87DDE">
              <w:rPr>
                <w:noProof/>
                <w:webHidden/>
              </w:rPr>
              <w:instrText xml:space="preserve"> PAGEREF _Toc462141644 \h </w:instrText>
            </w:r>
            <w:r w:rsidR="00F87DDE">
              <w:rPr>
                <w:noProof/>
                <w:webHidden/>
              </w:rPr>
            </w:r>
            <w:r w:rsidR="00F87DDE">
              <w:rPr>
                <w:noProof/>
                <w:webHidden/>
              </w:rPr>
              <w:fldChar w:fldCharType="separate"/>
            </w:r>
            <w:r w:rsidR="00F87DDE">
              <w:rPr>
                <w:noProof/>
                <w:webHidden/>
              </w:rPr>
              <w:t>12</w:t>
            </w:r>
            <w:r w:rsidR="00F87DDE">
              <w:rPr>
                <w:noProof/>
                <w:webHidden/>
              </w:rPr>
              <w:fldChar w:fldCharType="end"/>
            </w:r>
          </w:hyperlink>
        </w:p>
        <w:p w14:paraId="386DF85B" w14:textId="77777777" w:rsidR="00F87DDE" w:rsidRDefault="00395502">
          <w:pPr>
            <w:pStyle w:val="TOC3"/>
            <w:rPr>
              <w:rFonts w:asciiTheme="minorHAnsi" w:eastAsiaTheme="minorEastAsia" w:hAnsiTheme="minorHAnsi" w:cstheme="minorBidi"/>
              <w:noProof/>
              <w:lang w:eastAsia="en-AU"/>
            </w:rPr>
          </w:pPr>
          <w:hyperlink w:anchor="_Toc462141645" w:history="1">
            <w:r w:rsidR="00F87DDE" w:rsidRPr="00CB7DA4">
              <w:rPr>
                <w:rStyle w:val="Hyperlink"/>
                <w:noProof/>
              </w:rPr>
              <w:t>Quality summary and conclusions</w:t>
            </w:r>
            <w:r w:rsidR="00F87DDE">
              <w:rPr>
                <w:noProof/>
                <w:webHidden/>
              </w:rPr>
              <w:tab/>
            </w:r>
            <w:r w:rsidR="00F87DDE">
              <w:rPr>
                <w:noProof/>
                <w:webHidden/>
              </w:rPr>
              <w:fldChar w:fldCharType="begin"/>
            </w:r>
            <w:r w:rsidR="00F87DDE">
              <w:rPr>
                <w:noProof/>
                <w:webHidden/>
              </w:rPr>
              <w:instrText xml:space="preserve"> PAGEREF _Toc462141645 \h </w:instrText>
            </w:r>
            <w:r w:rsidR="00F87DDE">
              <w:rPr>
                <w:noProof/>
                <w:webHidden/>
              </w:rPr>
            </w:r>
            <w:r w:rsidR="00F87DDE">
              <w:rPr>
                <w:noProof/>
                <w:webHidden/>
              </w:rPr>
              <w:fldChar w:fldCharType="separate"/>
            </w:r>
            <w:r w:rsidR="00F87DDE">
              <w:rPr>
                <w:noProof/>
                <w:webHidden/>
              </w:rPr>
              <w:t>14</w:t>
            </w:r>
            <w:r w:rsidR="00F87DDE">
              <w:rPr>
                <w:noProof/>
                <w:webHidden/>
              </w:rPr>
              <w:fldChar w:fldCharType="end"/>
            </w:r>
          </w:hyperlink>
        </w:p>
        <w:p w14:paraId="6DDD9FE9" w14:textId="77777777" w:rsidR="00F87DDE" w:rsidRDefault="00395502">
          <w:pPr>
            <w:pStyle w:val="TOC2"/>
            <w:rPr>
              <w:rFonts w:asciiTheme="minorHAnsi" w:eastAsiaTheme="minorEastAsia" w:hAnsiTheme="minorHAnsi" w:cstheme="minorBidi"/>
              <w:b w:val="0"/>
              <w:noProof/>
              <w:sz w:val="22"/>
              <w:lang w:eastAsia="en-AU"/>
            </w:rPr>
          </w:pPr>
          <w:hyperlink w:anchor="_Toc462141646" w:history="1">
            <w:r w:rsidR="00F87DDE" w:rsidRPr="00CB7DA4">
              <w:rPr>
                <w:rStyle w:val="Hyperlink"/>
                <w:noProof/>
              </w:rPr>
              <w:t>III. Nonclinical findings</w:t>
            </w:r>
            <w:r w:rsidR="00F87DDE">
              <w:rPr>
                <w:noProof/>
                <w:webHidden/>
              </w:rPr>
              <w:tab/>
            </w:r>
            <w:r w:rsidR="00F87DDE">
              <w:rPr>
                <w:noProof/>
                <w:webHidden/>
              </w:rPr>
              <w:fldChar w:fldCharType="begin"/>
            </w:r>
            <w:r w:rsidR="00F87DDE">
              <w:rPr>
                <w:noProof/>
                <w:webHidden/>
              </w:rPr>
              <w:instrText xml:space="preserve"> PAGEREF _Toc462141646 \h </w:instrText>
            </w:r>
            <w:r w:rsidR="00F87DDE">
              <w:rPr>
                <w:noProof/>
                <w:webHidden/>
              </w:rPr>
            </w:r>
            <w:r w:rsidR="00F87DDE">
              <w:rPr>
                <w:noProof/>
                <w:webHidden/>
              </w:rPr>
              <w:fldChar w:fldCharType="separate"/>
            </w:r>
            <w:r w:rsidR="00F87DDE">
              <w:rPr>
                <w:noProof/>
                <w:webHidden/>
              </w:rPr>
              <w:t>14</w:t>
            </w:r>
            <w:r w:rsidR="00F87DDE">
              <w:rPr>
                <w:noProof/>
                <w:webHidden/>
              </w:rPr>
              <w:fldChar w:fldCharType="end"/>
            </w:r>
          </w:hyperlink>
        </w:p>
        <w:p w14:paraId="6A4C9A37" w14:textId="77777777" w:rsidR="00F87DDE" w:rsidRDefault="00395502">
          <w:pPr>
            <w:pStyle w:val="TOC3"/>
            <w:rPr>
              <w:rFonts w:asciiTheme="minorHAnsi" w:eastAsiaTheme="minorEastAsia" w:hAnsiTheme="minorHAnsi" w:cstheme="minorBidi"/>
              <w:noProof/>
              <w:lang w:eastAsia="en-AU"/>
            </w:rPr>
          </w:pPr>
          <w:hyperlink w:anchor="_Toc462141647" w:history="1">
            <w:r w:rsidR="00F87DDE" w:rsidRPr="00CB7DA4">
              <w:rPr>
                <w:rStyle w:val="Hyperlink"/>
                <w:noProof/>
              </w:rPr>
              <w:t>Introduction</w:t>
            </w:r>
            <w:r w:rsidR="00F87DDE">
              <w:rPr>
                <w:noProof/>
                <w:webHidden/>
              </w:rPr>
              <w:tab/>
            </w:r>
            <w:r w:rsidR="00F87DDE">
              <w:rPr>
                <w:noProof/>
                <w:webHidden/>
              </w:rPr>
              <w:fldChar w:fldCharType="begin"/>
            </w:r>
            <w:r w:rsidR="00F87DDE">
              <w:rPr>
                <w:noProof/>
                <w:webHidden/>
              </w:rPr>
              <w:instrText xml:space="preserve"> PAGEREF _Toc462141647 \h </w:instrText>
            </w:r>
            <w:r w:rsidR="00F87DDE">
              <w:rPr>
                <w:noProof/>
                <w:webHidden/>
              </w:rPr>
            </w:r>
            <w:r w:rsidR="00F87DDE">
              <w:rPr>
                <w:noProof/>
                <w:webHidden/>
              </w:rPr>
              <w:fldChar w:fldCharType="separate"/>
            </w:r>
            <w:r w:rsidR="00F87DDE">
              <w:rPr>
                <w:noProof/>
                <w:webHidden/>
              </w:rPr>
              <w:t>14</w:t>
            </w:r>
            <w:r w:rsidR="00F87DDE">
              <w:rPr>
                <w:noProof/>
                <w:webHidden/>
              </w:rPr>
              <w:fldChar w:fldCharType="end"/>
            </w:r>
          </w:hyperlink>
        </w:p>
        <w:p w14:paraId="17C51177" w14:textId="77777777" w:rsidR="00F87DDE" w:rsidRDefault="00395502">
          <w:pPr>
            <w:pStyle w:val="TOC3"/>
            <w:rPr>
              <w:rFonts w:asciiTheme="minorHAnsi" w:eastAsiaTheme="minorEastAsia" w:hAnsiTheme="minorHAnsi" w:cstheme="minorBidi"/>
              <w:noProof/>
              <w:lang w:eastAsia="en-AU"/>
            </w:rPr>
          </w:pPr>
          <w:hyperlink w:anchor="_Toc462141648" w:history="1">
            <w:r w:rsidR="00F87DDE" w:rsidRPr="00CB7DA4">
              <w:rPr>
                <w:rStyle w:val="Hyperlink"/>
                <w:noProof/>
              </w:rPr>
              <w:t>Pharmacology</w:t>
            </w:r>
            <w:r w:rsidR="00F87DDE">
              <w:rPr>
                <w:noProof/>
                <w:webHidden/>
              </w:rPr>
              <w:tab/>
            </w:r>
            <w:r w:rsidR="00F87DDE">
              <w:rPr>
                <w:noProof/>
                <w:webHidden/>
              </w:rPr>
              <w:fldChar w:fldCharType="begin"/>
            </w:r>
            <w:r w:rsidR="00F87DDE">
              <w:rPr>
                <w:noProof/>
                <w:webHidden/>
              </w:rPr>
              <w:instrText xml:space="preserve"> PAGEREF _Toc462141648 \h </w:instrText>
            </w:r>
            <w:r w:rsidR="00F87DDE">
              <w:rPr>
                <w:noProof/>
                <w:webHidden/>
              </w:rPr>
            </w:r>
            <w:r w:rsidR="00F87DDE">
              <w:rPr>
                <w:noProof/>
                <w:webHidden/>
              </w:rPr>
              <w:fldChar w:fldCharType="separate"/>
            </w:r>
            <w:r w:rsidR="00F87DDE">
              <w:rPr>
                <w:noProof/>
                <w:webHidden/>
              </w:rPr>
              <w:t>14</w:t>
            </w:r>
            <w:r w:rsidR="00F87DDE">
              <w:rPr>
                <w:noProof/>
                <w:webHidden/>
              </w:rPr>
              <w:fldChar w:fldCharType="end"/>
            </w:r>
          </w:hyperlink>
        </w:p>
        <w:p w14:paraId="7E3BC1C4" w14:textId="77777777" w:rsidR="00F87DDE" w:rsidRDefault="00395502">
          <w:pPr>
            <w:pStyle w:val="TOC3"/>
            <w:rPr>
              <w:rFonts w:asciiTheme="minorHAnsi" w:eastAsiaTheme="minorEastAsia" w:hAnsiTheme="minorHAnsi" w:cstheme="minorBidi"/>
              <w:noProof/>
              <w:lang w:eastAsia="en-AU"/>
            </w:rPr>
          </w:pPr>
          <w:hyperlink w:anchor="_Toc462141649" w:history="1">
            <w:r w:rsidR="00F87DDE" w:rsidRPr="00CB7DA4">
              <w:rPr>
                <w:rStyle w:val="Hyperlink"/>
                <w:noProof/>
              </w:rPr>
              <w:t>Pharmacokinetics</w:t>
            </w:r>
            <w:r w:rsidR="00F87DDE">
              <w:rPr>
                <w:noProof/>
                <w:webHidden/>
              </w:rPr>
              <w:tab/>
            </w:r>
            <w:r w:rsidR="00F87DDE">
              <w:rPr>
                <w:noProof/>
                <w:webHidden/>
              </w:rPr>
              <w:fldChar w:fldCharType="begin"/>
            </w:r>
            <w:r w:rsidR="00F87DDE">
              <w:rPr>
                <w:noProof/>
                <w:webHidden/>
              </w:rPr>
              <w:instrText xml:space="preserve"> PAGEREF _Toc462141649 \h </w:instrText>
            </w:r>
            <w:r w:rsidR="00F87DDE">
              <w:rPr>
                <w:noProof/>
                <w:webHidden/>
              </w:rPr>
            </w:r>
            <w:r w:rsidR="00F87DDE">
              <w:rPr>
                <w:noProof/>
                <w:webHidden/>
              </w:rPr>
              <w:fldChar w:fldCharType="separate"/>
            </w:r>
            <w:r w:rsidR="00F87DDE">
              <w:rPr>
                <w:noProof/>
                <w:webHidden/>
              </w:rPr>
              <w:t>16</w:t>
            </w:r>
            <w:r w:rsidR="00F87DDE">
              <w:rPr>
                <w:noProof/>
                <w:webHidden/>
              </w:rPr>
              <w:fldChar w:fldCharType="end"/>
            </w:r>
          </w:hyperlink>
        </w:p>
        <w:p w14:paraId="55857D9A" w14:textId="77777777" w:rsidR="00F87DDE" w:rsidRDefault="00395502">
          <w:pPr>
            <w:pStyle w:val="TOC3"/>
            <w:rPr>
              <w:rFonts w:asciiTheme="minorHAnsi" w:eastAsiaTheme="minorEastAsia" w:hAnsiTheme="minorHAnsi" w:cstheme="minorBidi"/>
              <w:noProof/>
              <w:lang w:eastAsia="en-AU"/>
            </w:rPr>
          </w:pPr>
          <w:hyperlink w:anchor="_Toc462141650" w:history="1">
            <w:r w:rsidR="00F87DDE" w:rsidRPr="00CB7DA4">
              <w:rPr>
                <w:rStyle w:val="Hyperlink"/>
                <w:noProof/>
              </w:rPr>
              <w:t>Toxicology</w:t>
            </w:r>
            <w:r w:rsidR="00F87DDE">
              <w:rPr>
                <w:noProof/>
                <w:webHidden/>
              </w:rPr>
              <w:tab/>
            </w:r>
            <w:r w:rsidR="00F87DDE">
              <w:rPr>
                <w:noProof/>
                <w:webHidden/>
              </w:rPr>
              <w:fldChar w:fldCharType="begin"/>
            </w:r>
            <w:r w:rsidR="00F87DDE">
              <w:rPr>
                <w:noProof/>
                <w:webHidden/>
              </w:rPr>
              <w:instrText xml:space="preserve"> PAGEREF _Toc462141650 \h </w:instrText>
            </w:r>
            <w:r w:rsidR="00F87DDE">
              <w:rPr>
                <w:noProof/>
                <w:webHidden/>
              </w:rPr>
            </w:r>
            <w:r w:rsidR="00F87DDE">
              <w:rPr>
                <w:noProof/>
                <w:webHidden/>
              </w:rPr>
              <w:fldChar w:fldCharType="separate"/>
            </w:r>
            <w:r w:rsidR="00F87DDE">
              <w:rPr>
                <w:noProof/>
                <w:webHidden/>
              </w:rPr>
              <w:t>18</w:t>
            </w:r>
            <w:r w:rsidR="00F87DDE">
              <w:rPr>
                <w:noProof/>
                <w:webHidden/>
              </w:rPr>
              <w:fldChar w:fldCharType="end"/>
            </w:r>
          </w:hyperlink>
        </w:p>
        <w:p w14:paraId="7D307175" w14:textId="77777777" w:rsidR="00F87DDE" w:rsidRDefault="00395502">
          <w:pPr>
            <w:pStyle w:val="TOC3"/>
            <w:rPr>
              <w:rFonts w:asciiTheme="minorHAnsi" w:eastAsiaTheme="minorEastAsia" w:hAnsiTheme="minorHAnsi" w:cstheme="minorBidi"/>
              <w:noProof/>
              <w:lang w:eastAsia="en-AU"/>
            </w:rPr>
          </w:pPr>
          <w:hyperlink w:anchor="_Toc462141651" w:history="1">
            <w:r w:rsidR="00F87DDE" w:rsidRPr="00CB7DA4">
              <w:rPr>
                <w:rStyle w:val="Hyperlink"/>
                <w:noProof/>
              </w:rPr>
              <w:t>Nonclinical summary and conclusions</w:t>
            </w:r>
            <w:r w:rsidR="00F87DDE">
              <w:rPr>
                <w:noProof/>
                <w:webHidden/>
              </w:rPr>
              <w:tab/>
            </w:r>
            <w:r w:rsidR="00F87DDE">
              <w:rPr>
                <w:noProof/>
                <w:webHidden/>
              </w:rPr>
              <w:fldChar w:fldCharType="begin"/>
            </w:r>
            <w:r w:rsidR="00F87DDE">
              <w:rPr>
                <w:noProof/>
                <w:webHidden/>
              </w:rPr>
              <w:instrText xml:space="preserve"> PAGEREF _Toc462141651 \h </w:instrText>
            </w:r>
            <w:r w:rsidR="00F87DDE">
              <w:rPr>
                <w:noProof/>
                <w:webHidden/>
              </w:rPr>
            </w:r>
            <w:r w:rsidR="00F87DDE">
              <w:rPr>
                <w:noProof/>
                <w:webHidden/>
              </w:rPr>
              <w:fldChar w:fldCharType="separate"/>
            </w:r>
            <w:r w:rsidR="00F87DDE">
              <w:rPr>
                <w:noProof/>
                <w:webHidden/>
              </w:rPr>
              <w:t>25</w:t>
            </w:r>
            <w:r w:rsidR="00F87DDE">
              <w:rPr>
                <w:noProof/>
                <w:webHidden/>
              </w:rPr>
              <w:fldChar w:fldCharType="end"/>
            </w:r>
          </w:hyperlink>
        </w:p>
        <w:p w14:paraId="467D80A7" w14:textId="77777777" w:rsidR="00F87DDE" w:rsidRDefault="00395502">
          <w:pPr>
            <w:pStyle w:val="TOC2"/>
            <w:rPr>
              <w:rFonts w:asciiTheme="minorHAnsi" w:eastAsiaTheme="minorEastAsia" w:hAnsiTheme="minorHAnsi" w:cstheme="minorBidi"/>
              <w:b w:val="0"/>
              <w:noProof/>
              <w:sz w:val="22"/>
              <w:lang w:eastAsia="en-AU"/>
            </w:rPr>
          </w:pPr>
          <w:hyperlink w:anchor="_Toc462141652" w:history="1">
            <w:r w:rsidR="00F87DDE" w:rsidRPr="00CB7DA4">
              <w:rPr>
                <w:rStyle w:val="Hyperlink"/>
                <w:noProof/>
              </w:rPr>
              <w:t>IV. Clinical findings</w:t>
            </w:r>
            <w:r w:rsidR="00F87DDE">
              <w:rPr>
                <w:noProof/>
                <w:webHidden/>
              </w:rPr>
              <w:tab/>
            </w:r>
            <w:r w:rsidR="00F87DDE">
              <w:rPr>
                <w:noProof/>
                <w:webHidden/>
              </w:rPr>
              <w:fldChar w:fldCharType="begin"/>
            </w:r>
            <w:r w:rsidR="00F87DDE">
              <w:rPr>
                <w:noProof/>
                <w:webHidden/>
              </w:rPr>
              <w:instrText xml:space="preserve"> PAGEREF _Toc462141652 \h </w:instrText>
            </w:r>
            <w:r w:rsidR="00F87DDE">
              <w:rPr>
                <w:noProof/>
                <w:webHidden/>
              </w:rPr>
            </w:r>
            <w:r w:rsidR="00F87DDE">
              <w:rPr>
                <w:noProof/>
                <w:webHidden/>
              </w:rPr>
              <w:fldChar w:fldCharType="separate"/>
            </w:r>
            <w:r w:rsidR="00F87DDE">
              <w:rPr>
                <w:noProof/>
                <w:webHidden/>
              </w:rPr>
              <w:t>26</w:t>
            </w:r>
            <w:r w:rsidR="00F87DDE">
              <w:rPr>
                <w:noProof/>
                <w:webHidden/>
              </w:rPr>
              <w:fldChar w:fldCharType="end"/>
            </w:r>
          </w:hyperlink>
        </w:p>
        <w:p w14:paraId="57BD56C4" w14:textId="77777777" w:rsidR="00F87DDE" w:rsidRDefault="00395502">
          <w:pPr>
            <w:pStyle w:val="TOC3"/>
            <w:rPr>
              <w:rFonts w:asciiTheme="minorHAnsi" w:eastAsiaTheme="minorEastAsia" w:hAnsiTheme="minorHAnsi" w:cstheme="minorBidi"/>
              <w:noProof/>
              <w:lang w:eastAsia="en-AU"/>
            </w:rPr>
          </w:pPr>
          <w:hyperlink w:anchor="_Toc462141653" w:history="1">
            <w:r w:rsidR="00F87DDE" w:rsidRPr="00CB7DA4">
              <w:rPr>
                <w:rStyle w:val="Hyperlink"/>
                <w:noProof/>
              </w:rPr>
              <w:t>Introduction</w:t>
            </w:r>
            <w:r w:rsidR="00F87DDE">
              <w:rPr>
                <w:noProof/>
                <w:webHidden/>
              </w:rPr>
              <w:tab/>
            </w:r>
            <w:r w:rsidR="00F87DDE">
              <w:rPr>
                <w:noProof/>
                <w:webHidden/>
              </w:rPr>
              <w:fldChar w:fldCharType="begin"/>
            </w:r>
            <w:r w:rsidR="00F87DDE">
              <w:rPr>
                <w:noProof/>
                <w:webHidden/>
              </w:rPr>
              <w:instrText xml:space="preserve"> PAGEREF _Toc462141653 \h </w:instrText>
            </w:r>
            <w:r w:rsidR="00F87DDE">
              <w:rPr>
                <w:noProof/>
                <w:webHidden/>
              </w:rPr>
            </w:r>
            <w:r w:rsidR="00F87DDE">
              <w:rPr>
                <w:noProof/>
                <w:webHidden/>
              </w:rPr>
              <w:fldChar w:fldCharType="separate"/>
            </w:r>
            <w:r w:rsidR="00F87DDE">
              <w:rPr>
                <w:noProof/>
                <w:webHidden/>
              </w:rPr>
              <w:t>27</w:t>
            </w:r>
            <w:r w:rsidR="00F87DDE">
              <w:rPr>
                <w:noProof/>
                <w:webHidden/>
              </w:rPr>
              <w:fldChar w:fldCharType="end"/>
            </w:r>
          </w:hyperlink>
        </w:p>
        <w:p w14:paraId="15B67DB7" w14:textId="77777777" w:rsidR="00F87DDE" w:rsidRDefault="00395502">
          <w:pPr>
            <w:pStyle w:val="TOC3"/>
            <w:rPr>
              <w:rFonts w:asciiTheme="minorHAnsi" w:eastAsiaTheme="minorEastAsia" w:hAnsiTheme="minorHAnsi" w:cstheme="minorBidi"/>
              <w:noProof/>
              <w:lang w:eastAsia="en-AU"/>
            </w:rPr>
          </w:pPr>
          <w:hyperlink w:anchor="_Toc462141654" w:history="1">
            <w:r w:rsidR="00F87DDE" w:rsidRPr="00CB7DA4">
              <w:rPr>
                <w:rStyle w:val="Hyperlink"/>
                <w:noProof/>
              </w:rPr>
              <w:t>Pharmacokinetics</w:t>
            </w:r>
            <w:r w:rsidR="00F87DDE">
              <w:rPr>
                <w:noProof/>
                <w:webHidden/>
              </w:rPr>
              <w:tab/>
            </w:r>
            <w:r w:rsidR="00F87DDE">
              <w:rPr>
                <w:noProof/>
                <w:webHidden/>
              </w:rPr>
              <w:fldChar w:fldCharType="begin"/>
            </w:r>
            <w:r w:rsidR="00F87DDE">
              <w:rPr>
                <w:noProof/>
                <w:webHidden/>
              </w:rPr>
              <w:instrText xml:space="preserve"> PAGEREF _Toc462141654 \h </w:instrText>
            </w:r>
            <w:r w:rsidR="00F87DDE">
              <w:rPr>
                <w:noProof/>
                <w:webHidden/>
              </w:rPr>
            </w:r>
            <w:r w:rsidR="00F87DDE">
              <w:rPr>
                <w:noProof/>
                <w:webHidden/>
              </w:rPr>
              <w:fldChar w:fldCharType="separate"/>
            </w:r>
            <w:r w:rsidR="00F87DDE">
              <w:rPr>
                <w:noProof/>
                <w:webHidden/>
              </w:rPr>
              <w:t>29</w:t>
            </w:r>
            <w:r w:rsidR="00F87DDE">
              <w:rPr>
                <w:noProof/>
                <w:webHidden/>
              </w:rPr>
              <w:fldChar w:fldCharType="end"/>
            </w:r>
          </w:hyperlink>
        </w:p>
        <w:p w14:paraId="15018729" w14:textId="77777777" w:rsidR="00F87DDE" w:rsidRDefault="00395502">
          <w:pPr>
            <w:pStyle w:val="TOC3"/>
            <w:rPr>
              <w:rFonts w:asciiTheme="minorHAnsi" w:eastAsiaTheme="minorEastAsia" w:hAnsiTheme="minorHAnsi" w:cstheme="minorBidi"/>
              <w:noProof/>
              <w:lang w:eastAsia="en-AU"/>
            </w:rPr>
          </w:pPr>
          <w:hyperlink w:anchor="_Toc462141655" w:history="1">
            <w:r w:rsidR="00F87DDE" w:rsidRPr="00CB7DA4">
              <w:rPr>
                <w:rStyle w:val="Hyperlink"/>
                <w:noProof/>
              </w:rPr>
              <w:t>Pharmacodynamics</w:t>
            </w:r>
            <w:r w:rsidR="00F87DDE">
              <w:rPr>
                <w:noProof/>
                <w:webHidden/>
              </w:rPr>
              <w:tab/>
            </w:r>
            <w:r w:rsidR="00F87DDE">
              <w:rPr>
                <w:noProof/>
                <w:webHidden/>
              </w:rPr>
              <w:fldChar w:fldCharType="begin"/>
            </w:r>
            <w:r w:rsidR="00F87DDE">
              <w:rPr>
                <w:noProof/>
                <w:webHidden/>
              </w:rPr>
              <w:instrText xml:space="preserve"> PAGEREF _Toc462141655 \h </w:instrText>
            </w:r>
            <w:r w:rsidR="00F87DDE">
              <w:rPr>
                <w:noProof/>
                <w:webHidden/>
              </w:rPr>
            </w:r>
            <w:r w:rsidR="00F87DDE">
              <w:rPr>
                <w:noProof/>
                <w:webHidden/>
              </w:rPr>
              <w:fldChar w:fldCharType="separate"/>
            </w:r>
            <w:r w:rsidR="00F87DDE">
              <w:rPr>
                <w:noProof/>
                <w:webHidden/>
              </w:rPr>
              <w:t>35</w:t>
            </w:r>
            <w:r w:rsidR="00F87DDE">
              <w:rPr>
                <w:noProof/>
                <w:webHidden/>
              </w:rPr>
              <w:fldChar w:fldCharType="end"/>
            </w:r>
          </w:hyperlink>
        </w:p>
        <w:p w14:paraId="76AAF3C7" w14:textId="77777777" w:rsidR="00F87DDE" w:rsidRDefault="00395502">
          <w:pPr>
            <w:pStyle w:val="TOC3"/>
            <w:rPr>
              <w:rFonts w:asciiTheme="minorHAnsi" w:eastAsiaTheme="minorEastAsia" w:hAnsiTheme="minorHAnsi" w:cstheme="minorBidi"/>
              <w:noProof/>
              <w:lang w:eastAsia="en-AU"/>
            </w:rPr>
          </w:pPr>
          <w:hyperlink w:anchor="_Toc462141656" w:history="1">
            <w:r w:rsidR="00F87DDE" w:rsidRPr="00CB7DA4">
              <w:rPr>
                <w:rStyle w:val="Hyperlink"/>
                <w:noProof/>
              </w:rPr>
              <w:t>Dosage selection for the pivotal studies</w:t>
            </w:r>
            <w:r w:rsidR="00F87DDE">
              <w:rPr>
                <w:noProof/>
                <w:webHidden/>
              </w:rPr>
              <w:tab/>
            </w:r>
            <w:r w:rsidR="00F87DDE">
              <w:rPr>
                <w:noProof/>
                <w:webHidden/>
              </w:rPr>
              <w:fldChar w:fldCharType="begin"/>
            </w:r>
            <w:r w:rsidR="00F87DDE">
              <w:rPr>
                <w:noProof/>
                <w:webHidden/>
              </w:rPr>
              <w:instrText xml:space="preserve"> PAGEREF _Toc462141656 \h </w:instrText>
            </w:r>
            <w:r w:rsidR="00F87DDE">
              <w:rPr>
                <w:noProof/>
                <w:webHidden/>
              </w:rPr>
            </w:r>
            <w:r w:rsidR="00F87DDE">
              <w:rPr>
                <w:noProof/>
                <w:webHidden/>
              </w:rPr>
              <w:fldChar w:fldCharType="separate"/>
            </w:r>
            <w:r w:rsidR="00F87DDE">
              <w:rPr>
                <w:noProof/>
                <w:webHidden/>
              </w:rPr>
              <w:t>38</w:t>
            </w:r>
            <w:r w:rsidR="00F87DDE">
              <w:rPr>
                <w:noProof/>
                <w:webHidden/>
              </w:rPr>
              <w:fldChar w:fldCharType="end"/>
            </w:r>
          </w:hyperlink>
        </w:p>
        <w:p w14:paraId="175708DD" w14:textId="77777777" w:rsidR="00F87DDE" w:rsidRDefault="00395502">
          <w:pPr>
            <w:pStyle w:val="TOC3"/>
            <w:rPr>
              <w:rFonts w:asciiTheme="minorHAnsi" w:eastAsiaTheme="minorEastAsia" w:hAnsiTheme="minorHAnsi" w:cstheme="minorBidi"/>
              <w:noProof/>
              <w:lang w:eastAsia="en-AU"/>
            </w:rPr>
          </w:pPr>
          <w:hyperlink w:anchor="_Toc462141657" w:history="1">
            <w:r w:rsidR="00F87DDE" w:rsidRPr="00CB7DA4">
              <w:rPr>
                <w:rStyle w:val="Hyperlink"/>
                <w:noProof/>
              </w:rPr>
              <w:t>Efficacy</w:t>
            </w:r>
            <w:r w:rsidR="00F87DDE">
              <w:rPr>
                <w:noProof/>
                <w:webHidden/>
              </w:rPr>
              <w:tab/>
            </w:r>
            <w:r w:rsidR="00F87DDE">
              <w:rPr>
                <w:noProof/>
                <w:webHidden/>
              </w:rPr>
              <w:fldChar w:fldCharType="begin"/>
            </w:r>
            <w:r w:rsidR="00F87DDE">
              <w:rPr>
                <w:noProof/>
                <w:webHidden/>
              </w:rPr>
              <w:instrText xml:space="preserve"> PAGEREF _Toc462141657 \h </w:instrText>
            </w:r>
            <w:r w:rsidR="00F87DDE">
              <w:rPr>
                <w:noProof/>
                <w:webHidden/>
              </w:rPr>
            </w:r>
            <w:r w:rsidR="00F87DDE">
              <w:rPr>
                <w:noProof/>
                <w:webHidden/>
              </w:rPr>
              <w:fldChar w:fldCharType="separate"/>
            </w:r>
            <w:r w:rsidR="00F87DDE">
              <w:rPr>
                <w:noProof/>
                <w:webHidden/>
              </w:rPr>
              <w:t>39</w:t>
            </w:r>
            <w:r w:rsidR="00F87DDE">
              <w:rPr>
                <w:noProof/>
                <w:webHidden/>
              </w:rPr>
              <w:fldChar w:fldCharType="end"/>
            </w:r>
          </w:hyperlink>
        </w:p>
        <w:p w14:paraId="00FBCB99" w14:textId="77777777" w:rsidR="00F87DDE" w:rsidRDefault="00395502">
          <w:pPr>
            <w:pStyle w:val="TOC3"/>
            <w:rPr>
              <w:rFonts w:asciiTheme="minorHAnsi" w:eastAsiaTheme="minorEastAsia" w:hAnsiTheme="minorHAnsi" w:cstheme="minorBidi"/>
              <w:noProof/>
              <w:lang w:eastAsia="en-AU"/>
            </w:rPr>
          </w:pPr>
          <w:hyperlink w:anchor="_Toc462141658" w:history="1">
            <w:r w:rsidR="00F87DDE" w:rsidRPr="00CB7DA4">
              <w:rPr>
                <w:rStyle w:val="Hyperlink"/>
                <w:noProof/>
              </w:rPr>
              <w:t>Safety</w:t>
            </w:r>
            <w:r w:rsidR="00F87DDE">
              <w:rPr>
                <w:noProof/>
                <w:webHidden/>
              </w:rPr>
              <w:tab/>
            </w:r>
            <w:r w:rsidR="00F87DDE">
              <w:rPr>
                <w:noProof/>
                <w:webHidden/>
              </w:rPr>
              <w:fldChar w:fldCharType="begin"/>
            </w:r>
            <w:r w:rsidR="00F87DDE">
              <w:rPr>
                <w:noProof/>
                <w:webHidden/>
              </w:rPr>
              <w:instrText xml:space="preserve"> PAGEREF _Toc462141658 \h </w:instrText>
            </w:r>
            <w:r w:rsidR="00F87DDE">
              <w:rPr>
                <w:noProof/>
                <w:webHidden/>
              </w:rPr>
            </w:r>
            <w:r w:rsidR="00F87DDE">
              <w:rPr>
                <w:noProof/>
                <w:webHidden/>
              </w:rPr>
              <w:fldChar w:fldCharType="separate"/>
            </w:r>
            <w:r w:rsidR="00F87DDE">
              <w:rPr>
                <w:noProof/>
                <w:webHidden/>
              </w:rPr>
              <w:t>45</w:t>
            </w:r>
            <w:r w:rsidR="00F87DDE">
              <w:rPr>
                <w:noProof/>
                <w:webHidden/>
              </w:rPr>
              <w:fldChar w:fldCharType="end"/>
            </w:r>
          </w:hyperlink>
        </w:p>
        <w:p w14:paraId="56BE60BB" w14:textId="77777777" w:rsidR="00F87DDE" w:rsidRDefault="00395502">
          <w:pPr>
            <w:pStyle w:val="TOC3"/>
            <w:rPr>
              <w:rFonts w:asciiTheme="minorHAnsi" w:eastAsiaTheme="minorEastAsia" w:hAnsiTheme="minorHAnsi" w:cstheme="minorBidi"/>
              <w:noProof/>
              <w:lang w:eastAsia="en-AU"/>
            </w:rPr>
          </w:pPr>
          <w:hyperlink w:anchor="_Toc462141659" w:history="1">
            <w:r w:rsidR="00F87DDE" w:rsidRPr="00CB7DA4">
              <w:rPr>
                <w:rStyle w:val="Hyperlink"/>
                <w:noProof/>
              </w:rPr>
              <w:t>First round benefit-risk assessment</w:t>
            </w:r>
            <w:r w:rsidR="00F87DDE">
              <w:rPr>
                <w:noProof/>
                <w:webHidden/>
              </w:rPr>
              <w:tab/>
            </w:r>
            <w:r w:rsidR="00F87DDE">
              <w:rPr>
                <w:noProof/>
                <w:webHidden/>
              </w:rPr>
              <w:fldChar w:fldCharType="begin"/>
            </w:r>
            <w:r w:rsidR="00F87DDE">
              <w:rPr>
                <w:noProof/>
                <w:webHidden/>
              </w:rPr>
              <w:instrText xml:space="preserve"> PAGEREF _Toc462141659 \h </w:instrText>
            </w:r>
            <w:r w:rsidR="00F87DDE">
              <w:rPr>
                <w:noProof/>
                <w:webHidden/>
              </w:rPr>
            </w:r>
            <w:r w:rsidR="00F87DDE">
              <w:rPr>
                <w:noProof/>
                <w:webHidden/>
              </w:rPr>
              <w:fldChar w:fldCharType="separate"/>
            </w:r>
            <w:r w:rsidR="00F87DDE">
              <w:rPr>
                <w:noProof/>
                <w:webHidden/>
              </w:rPr>
              <w:t>49</w:t>
            </w:r>
            <w:r w:rsidR="00F87DDE">
              <w:rPr>
                <w:noProof/>
                <w:webHidden/>
              </w:rPr>
              <w:fldChar w:fldCharType="end"/>
            </w:r>
          </w:hyperlink>
        </w:p>
        <w:p w14:paraId="6091CFF5" w14:textId="77777777" w:rsidR="00F87DDE" w:rsidRDefault="00395502">
          <w:pPr>
            <w:pStyle w:val="TOC3"/>
            <w:rPr>
              <w:rFonts w:asciiTheme="minorHAnsi" w:eastAsiaTheme="minorEastAsia" w:hAnsiTheme="minorHAnsi" w:cstheme="minorBidi"/>
              <w:noProof/>
              <w:lang w:eastAsia="en-AU"/>
            </w:rPr>
          </w:pPr>
          <w:hyperlink w:anchor="_Toc462141660" w:history="1">
            <w:r w:rsidR="00F87DDE" w:rsidRPr="00CB7DA4">
              <w:rPr>
                <w:rStyle w:val="Hyperlink"/>
                <w:noProof/>
              </w:rPr>
              <w:t>First round recommendation regarding authorisation</w:t>
            </w:r>
            <w:r w:rsidR="00F87DDE">
              <w:rPr>
                <w:noProof/>
                <w:webHidden/>
              </w:rPr>
              <w:tab/>
            </w:r>
            <w:r w:rsidR="00F87DDE">
              <w:rPr>
                <w:noProof/>
                <w:webHidden/>
              </w:rPr>
              <w:fldChar w:fldCharType="begin"/>
            </w:r>
            <w:r w:rsidR="00F87DDE">
              <w:rPr>
                <w:noProof/>
                <w:webHidden/>
              </w:rPr>
              <w:instrText xml:space="preserve"> PAGEREF _Toc462141660 \h </w:instrText>
            </w:r>
            <w:r w:rsidR="00F87DDE">
              <w:rPr>
                <w:noProof/>
                <w:webHidden/>
              </w:rPr>
            </w:r>
            <w:r w:rsidR="00F87DDE">
              <w:rPr>
                <w:noProof/>
                <w:webHidden/>
              </w:rPr>
              <w:fldChar w:fldCharType="separate"/>
            </w:r>
            <w:r w:rsidR="00F87DDE">
              <w:rPr>
                <w:noProof/>
                <w:webHidden/>
              </w:rPr>
              <w:t>52</w:t>
            </w:r>
            <w:r w:rsidR="00F87DDE">
              <w:rPr>
                <w:noProof/>
                <w:webHidden/>
              </w:rPr>
              <w:fldChar w:fldCharType="end"/>
            </w:r>
          </w:hyperlink>
        </w:p>
        <w:p w14:paraId="54E3D021" w14:textId="77777777" w:rsidR="00F87DDE" w:rsidRDefault="00395502">
          <w:pPr>
            <w:pStyle w:val="TOC3"/>
            <w:rPr>
              <w:rFonts w:asciiTheme="minorHAnsi" w:eastAsiaTheme="minorEastAsia" w:hAnsiTheme="minorHAnsi" w:cstheme="minorBidi"/>
              <w:noProof/>
              <w:lang w:eastAsia="en-AU"/>
            </w:rPr>
          </w:pPr>
          <w:hyperlink w:anchor="_Toc462141661" w:history="1">
            <w:r w:rsidR="00F87DDE" w:rsidRPr="00CB7DA4">
              <w:rPr>
                <w:rStyle w:val="Hyperlink"/>
                <w:noProof/>
              </w:rPr>
              <w:t>Clinical questions</w:t>
            </w:r>
            <w:r w:rsidR="00F87DDE">
              <w:rPr>
                <w:noProof/>
                <w:webHidden/>
              </w:rPr>
              <w:tab/>
            </w:r>
            <w:r w:rsidR="00F87DDE">
              <w:rPr>
                <w:noProof/>
                <w:webHidden/>
              </w:rPr>
              <w:fldChar w:fldCharType="begin"/>
            </w:r>
            <w:r w:rsidR="00F87DDE">
              <w:rPr>
                <w:noProof/>
                <w:webHidden/>
              </w:rPr>
              <w:instrText xml:space="preserve"> PAGEREF _Toc462141661 \h </w:instrText>
            </w:r>
            <w:r w:rsidR="00F87DDE">
              <w:rPr>
                <w:noProof/>
                <w:webHidden/>
              </w:rPr>
            </w:r>
            <w:r w:rsidR="00F87DDE">
              <w:rPr>
                <w:noProof/>
                <w:webHidden/>
              </w:rPr>
              <w:fldChar w:fldCharType="separate"/>
            </w:r>
            <w:r w:rsidR="00F87DDE">
              <w:rPr>
                <w:noProof/>
                <w:webHidden/>
              </w:rPr>
              <w:t>53</w:t>
            </w:r>
            <w:r w:rsidR="00F87DDE">
              <w:rPr>
                <w:noProof/>
                <w:webHidden/>
              </w:rPr>
              <w:fldChar w:fldCharType="end"/>
            </w:r>
          </w:hyperlink>
        </w:p>
        <w:p w14:paraId="42B471EE" w14:textId="77777777" w:rsidR="00F87DDE" w:rsidRDefault="00395502">
          <w:pPr>
            <w:pStyle w:val="TOC3"/>
            <w:rPr>
              <w:rFonts w:asciiTheme="minorHAnsi" w:eastAsiaTheme="minorEastAsia" w:hAnsiTheme="minorHAnsi" w:cstheme="minorBidi"/>
              <w:noProof/>
              <w:lang w:eastAsia="en-AU"/>
            </w:rPr>
          </w:pPr>
          <w:hyperlink w:anchor="_Toc462141662" w:history="1">
            <w:r w:rsidR="00F87DDE" w:rsidRPr="00CB7DA4">
              <w:rPr>
                <w:rStyle w:val="Hyperlink"/>
                <w:noProof/>
              </w:rPr>
              <w:t>Second round evaluation of clinical data submitted in response to questions</w:t>
            </w:r>
            <w:r w:rsidR="00F87DDE">
              <w:rPr>
                <w:noProof/>
                <w:webHidden/>
              </w:rPr>
              <w:tab/>
            </w:r>
            <w:r w:rsidR="00F87DDE">
              <w:rPr>
                <w:noProof/>
                <w:webHidden/>
              </w:rPr>
              <w:fldChar w:fldCharType="begin"/>
            </w:r>
            <w:r w:rsidR="00F87DDE">
              <w:rPr>
                <w:noProof/>
                <w:webHidden/>
              </w:rPr>
              <w:instrText xml:space="preserve"> PAGEREF _Toc462141662 \h </w:instrText>
            </w:r>
            <w:r w:rsidR="00F87DDE">
              <w:rPr>
                <w:noProof/>
                <w:webHidden/>
              </w:rPr>
            </w:r>
            <w:r w:rsidR="00F87DDE">
              <w:rPr>
                <w:noProof/>
                <w:webHidden/>
              </w:rPr>
              <w:fldChar w:fldCharType="separate"/>
            </w:r>
            <w:r w:rsidR="00F87DDE">
              <w:rPr>
                <w:noProof/>
                <w:webHidden/>
              </w:rPr>
              <w:t>53</w:t>
            </w:r>
            <w:r w:rsidR="00F87DDE">
              <w:rPr>
                <w:noProof/>
                <w:webHidden/>
              </w:rPr>
              <w:fldChar w:fldCharType="end"/>
            </w:r>
          </w:hyperlink>
        </w:p>
        <w:p w14:paraId="1F839F8A" w14:textId="77777777" w:rsidR="00F87DDE" w:rsidRDefault="00395502">
          <w:pPr>
            <w:pStyle w:val="TOC3"/>
            <w:rPr>
              <w:rFonts w:asciiTheme="minorHAnsi" w:eastAsiaTheme="minorEastAsia" w:hAnsiTheme="minorHAnsi" w:cstheme="minorBidi"/>
              <w:noProof/>
              <w:lang w:eastAsia="en-AU"/>
            </w:rPr>
          </w:pPr>
          <w:hyperlink w:anchor="_Toc462141663" w:history="1">
            <w:r w:rsidR="00F87DDE" w:rsidRPr="00CB7DA4">
              <w:rPr>
                <w:rStyle w:val="Hyperlink"/>
                <w:noProof/>
              </w:rPr>
              <w:t>Second round benefit-risk assessment</w:t>
            </w:r>
            <w:r w:rsidR="00F87DDE">
              <w:rPr>
                <w:noProof/>
                <w:webHidden/>
              </w:rPr>
              <w:tab/>
            </w:r>
            <w:r w:rsidR="00F87DDE">
              <w:rPr>
                <w:noProof/>
                <w:webHidden/>
              </w:rPr>
              <w:fldChar w:fldCharType="begin"/>
            </w:r>
            <w:r w:rsidR="00F87DDE">
              <w:rPr>
                <w:noProof/>
                <w:webHidden/>
              </w:rPr>
              <w:instrText xml:space="preserve"> PAGEREF _Toc462141663 \h </w:instrText>
            </w:r>
            <w:r w:rsidR="00F87DDE">
              <w:rPr>
                <w:noProof/>
                <w:webHidden/>
              </w:rPr>
            </w:r>
            <w:r w:rsidR="00F87DDE">
              <w:rPr>
                <w:noProof/>
                <w:webHidden/>
              </w:rPr>
              <w:fldChar w:fldCharType="separate"/>
            </w:r>
            <w:r w:rsidR="00F87DDE">
              <w:rPr>
                <w:noProof/>
                <w:webHidden/>
              </w:rPr>
              <w:t>53</w:t>
            </w:r>
            <w:r w:rsidR="00F87DDE">
              <w:rPr>
                <w:noProof/>
                <w:webHidden/>
              </w:rPr>
              <w:fldChar w:fldCharType="end"/>
            </w:r>
          </w:hyperlink>
        </w:p>
        <w:p w14:paraId="178C3013" w14:textId="77777777" w:rsidR="00F87DDE" w:rsidRDefault="00395502">
          <w:pPr>
            <w:pStyle w:val="TOC2"/>
            <w:rPr>
              <w:rFonts w:asciiTheme="minorHAnsi" w:eastAsiaTheme="minorEastAsia" w:hAnsiTheme="minorHAnsi" w:cstheme="minorBidi"/>
              <w:b w:val="0"/>
              <w:noProof/>
              <w:sz w:val="22"/>
              <w:lang w:eastAsia="en-AU"/>
            </w:rPr>
          </w:pPr>
          <w:hyperlink w:anchor="_Toc462141664" w:history="1">
            <w:r w:rsidR="00F87DDE" w:rsidRPr="00CB7DA4">
              <w:rPr>
                <w:rStyle w:val="Hyperlink"/>
                <w:noProof/>
              </w:rPr>
              <w:t>V. Pharmacovigilance findings</w:t>
            </w:r>
            <w:r w:rsidR="00F87DDE">
              <w:rPr>
                <w:noProof/>
                <w:webHidden/>
              </w:rPr>
              <w:tab/>
            </w:r>
            <w:r w:rsidR="00F87DDE">
              <w:rPr>
                <w:noProof/>
                <w:webHidden/>
              </w:rPr>
              <w:fldChar w:fldCharType="begin"/>
            </w:r>
            <w:r w:rsidR="00F87DDE">
              <w:rPr>
                <w:noProof/>
                <w:webHidden/>
              </w:rPr>
              <w:instrText xml:space="preserve"> PAGEREF _Toc462141664 \h </w:instrText>
            </w:r>
            <w:r w:rsidR="00F87DDE">
              <w:rPr>
                <w:noProof/>
                <w:webHidden/>
              </w:rPr>
            </w:r>
            <w:r w:rsidR="00F87DDE">
              <w:rPr>
                <w:noProof/>
                <w:webHidden/>
              </w:rPr>
              <w:fldChar w:fldCharType="separate"/>
            </w:r>
            <w:r w:rsidR="00F87DDE">
              <w:rPr>
                <w:noProof/>
                <w:webHidden/>
              </w:rPr>
              <w:t>54</w:t>
            </w:r>
            <w:r w:rsidR="00F87DDE">
              <w:rPr>
                <w:noProof/>
                <w:webHidden/>
              </w:rPr>
              <w:fldChar w:fldCharType="end"/>
            </w:r>
          </w:hyperlink>
        </w:p>
        <w:p w14:paraId="781D128E" w14:textId="77777777" w:rsidR="00F87DDE" w:rsidRDefault="00395502">
          <w:pPr>
            <w:pStyle w:val="TOC3"/>
            <w:rPr>
              <w:rFonts w:asciiTheme="minorHAnsi" w:eastAsiaTheme="minorEastAsia" w:hAnsiTheme="minorHAnsi" w:cstheme="minorBidi"/>
              <w:noProof/>
              <w:lang w:eastAsia="en-AU"/>
            </w:rPr>
          </w:pPr>
          <w:hyperlink w:anchor="_Toc462141665" w:history="1">
            <w:r w:rsidR="00F87DDE" w:rsidRPr="00CB7DA4">
              <w:rPr>
                <w:rStyle w:val="Hyperlink"/>
                <w:noProof/>
                <w:lang w:eastAsia="en-AU"/>
              </w:rPr>
              <w:t>Risk management plan</w:t>
            </w:r>
            <w:r w:rsidR="00F87DDE">
              <w:rPr>
                <w:noProof/>
                <w:webHidden/>
              </w:rPr>
              <w:tab/>
            </w:r>
            <w:r w:rsidR="00F87DDE">
              <w:rPr>
                <w:noProof/>
                <w:webHidden/>
              </w:rPr>
              <w:fldChar w:fldCharType="begin"/>
            </w:r>
            <w:r w:rsidR="00F87DDE">
              <w:rPr>
                <w:noProof/>
                <w:webHidden/>
              </w:rPr>
              <w:instrText xml:space="preserve"> PAGEREF _Toc462141665 \h </w:instrText>
            </w:r>
            <w:r w:rsidR="00F87DDE">
              <w:rPr>
                <w:noProof/>
                <w:webHidden/>
              </w:rPr>
            </w:r>
            <w:r w:rsidR="00F87DDE">
              <w:rPr>
                <w:noProof/>
                <w:webHidden/>
              </w:rPr>
              <w:fldChar w:fldCharType="separate"/>
            </w:r>
            <w:r w:rsidR="00F87DDE">
              <w:rPr>
                <w:noProof/>
                <w:webHidden/>
              </w:rPr>
              <w:t>54</w:t>
            </w:r>
            <w:r w:rsidR="00F87DDE">
              <w:rPr>
                <w:noProof/>
                <w:webHidden/>
              </w:rPr>
              <w:fldChar w:fldCharType="end"/>
            </w:r>
          </w:hyperlink>
        </w:p>
        <w:p w14:paraId="0E5DC0A2" w14:textId="77777777" w:rsidR="00F87DDE" w:rsidRDefault="00395502">
          <w:pPr>
            <w:pStyle w:val="TOC2"/>
            <w:rPr>
              <w:rFonts w:asciiTheme="minorHAnsi" w:eastAsiaTheme="minorEastAsia" w:hAnsiTheme="minorHAnsi" w:cstheme="minorBidi"/>
              <w:b w:val="0"/>
              <w:noProof/>
              <w:sz w:val="22"/>
              <w:lang w:eastAsia="en-AU"/>
            </w:rPr>
          </w:pPr>
          <w:hyperlink w:anchor="_Toc462141666" w:history="1">
            <w:r w:rsidR="00F87DDE" w:rsidRPr="00CB7DA4">
              <w:rPr>
                <w:rStyle w:val="Hyperlink"/>
                <w:noProof/>
              </w:rPr>
              <w:t>VI. Overall conclusion and risk/benefit assessment</w:t>
            </w:r>
            <w:r w:rsidR="00F87DDE">
              <w:rPr>
                <w:noProof/>
                <w:webHidden/>
              </w:rPr>
              <w:tab/>
            </w:r>
            <w:r w:rsidR="00F87DDE">
              <w:rPr>
                <w:noProof/>
                <w:webHidden/>
              </w:rPr>
              <w:fldChar w:fldCharType="begin"/>
            </w:r>
            <w:r w:rsidR="00F87DDE">
              <w:rPr>
                <w:noProof/>
                <w:webHidden/>
              </w:rPr>
              <w:instrText xml:space="preserve"> PAGEREF _Toc462141666 \h </w:instrText>
            </w:r>
            <w:r w:rsidR="00F87DDE">
              <w:rPr>
                <w:noProof/>
                <w:webHidden/>
              </w:rPr>
            </w:r>
            <w:r w:rsidR="00F87DDE">
              <w:rPr>
                <w:noProof/>
                <w:webHidden/>
              </w:rPr>
              <w:fldChar w:fldCharType="separate"/>
            </w:r>
            <w:r w:rsidR="00F87DDE">
              <w:rPr>
                <w:noProof/>
                <w:webHidden/>
              </w:rPr>
              <w:t>70</w:t>
            </w:r>
            <w:r w:rsidR="00F87DDE">
              <w:rPr>
                <w:noProof/>
                <w:webHidden/>
              </w:rPr>
              <w:fldChar w:fldCharType="end"/>
            </w:r>
          </w:hyperlink>
        </w:p>
        <w:p w14:paraId="3DB3C1AC" w14:textId="77777777" w:rsidR="00F87DDE" w:rsidRDefault="00395502">
          <w:pPr>
            <w:pStyle w:val="TOC3"/>
            <w:rPr>
              <w:rFonts w:asciiTheme="minorHAnsi" w:eastAsiaTheme="minorEastAsia" w:hAnsiTheme="minorHAnsi" w:cstheme="minorBidi"/>
              <w:noProof/>
              <w:lang w:eastAsia="en-AU"/>
            </w:rPr>
          </w:pPr>
          <w:hyperlink w:anchor="_Toc462141667" w:history="1">
            <w:r w:rsidR="00F87DDE" w:rsidRPr="00CB7DA4">
              <w:rPr>
                <w:rStyle w:val="Hyperlink"/>
                <w:noProof/>
              </w:rPr>
              <w:t>Quality</w:t>
            </w:r>
            <w:r w:rsidR="00F87DDE">
              <w:rPr>
                <w:noProof/>
                <w:webHidden/>
              </w:rPr>
              <w:tab/>
            </w:r>
            <w:r w:rsidR="00F87DDE">
              <w:rPr>
                <w:noProof/>
                <w:webHidden/>
              </w:rPr>
              <w:fldChar w:fldCharType="begin"/>
            </w:r>
            <w:r w:rsidR="00F87DDE">
              <w:rPr>
                <w:noProof/>
                <w:webHidden/>
              </w:rPr>
              <w:instrText xml:space="preserve"> PAGEREF _Toc462141667 \h </w:instrText>
            </w:r>
            <w:r w:rsidR="00F87DDE">
              <w:rPr>
                <w:noProof/>
                <w:webHidden/>
              </w:rPr>
            </w:r>
            <w:r w:rsidR="00F87DDE">
              <w:rPr>
                <w:noProof/>
                <w:webHidden/>
              </w:rPr>
              <w:fldChar w:fldCharType="separate"/>
            </w:r>
            <w:r w:rsidR="00F87DDE">
              <w:rPr>
                <w:noProof/>
                <w:webHidden/>
              </w:rPr>
              <w:t>70</w:t>
            </w:r>
            <w:r w:rsidR="00F87DDE">
              <w:rPr>
                <w:noProof/>
                <w:webHidden/>
              </w:rPr>
              <w:fldChar w:fldCharType="end"/>
            </w:r>
          </w:hyperlink>
        </w:p>
        <w:p w14:paraId="3419AD84" w14:textId="77777777" w:rsidR="00F87DDE" w:rsidRDefault="00395502">
          <w:pPr>
            <w:pStyle w:val="TOC3"/>
            <w:rPr>
              <w:rFonts w:asciiTheme="minorHAnsi" w:eastAsiaTheme="minorEastAsia" w:hAnsiTheme="minorHAnsi" w:cstheme="minorBidi"/>
              <w:noProof/>
              <w:lang w:eastAsia="en-AU"/>
            </w:rPr>
          </w:pPr>
          <w:hyperlink w:anchor="_Toc462141668" w:history="1">
            <w:r w:rsidR="00F87DDE" w:rsidRPr="00CB7DA4">
              <w:rPr>
                <w:rStyle w:val="Hyperlink"/>
                <w:noProof/>
              </w:rPr>
              <w:t>Nonclinical</w:t>
            </w:r>
            <w:r w:rsidR="00F87DDE">
              <w:rPr>
                <w:noProof/>
                <w:webHidden/>
              </w:rPr>
              <w:tab/>
            </w:r>
            <w:r w:rsidR="00F87DDE">
              <w:rPr>
                <w:noProof/>
                <w:webHidden/>
              </w:rPr>
              <w:fldChar w:fldCharType="begin"/>
            </w:r>
            <w:r w:rsidR="00F87DDE">
              <w:rPr>
                <w:noProof/>
                <w:webHidden/>
              </w:rPr>
              <w:instrText xml:space="preserve"> PAGEREF _Toc462141668 \h </w:instrText>
            </w:r>
            <w:r w:rsidR="00F87DDE">
              <w:rPr>
                <w:noProof/>
                <w:webHidden/>
              </w:rPr>
            </w:r>
            <w:r w:rsidR="00F87DDE">
              <w:rPr>
                <w:noProof/>
                <w:webHidden/>
              </w:rPr>
              <w:fldChar w:fldCharType="separate"/>
            </w:r>
            <w:r w:rsidR="00F87DDE">
              <w:rPr>
                <w:noProof/>
                <w:webHidden/>
              </w:rPr>
              <w:t>70</w:t>
            </w:r>
            <w:r w:rsidR="00F87DDE">
              <w:rPr>
                <w:noProof/>
                <w:webHidden/>
              </w:rPr>
              <w:fldChar w:fldCharType="end"/>
            </w:r>
          </w:hyperlink>
        </w:p>
        <w:p w14:paraId="5822661C" w14:textId="77777777" w:rsidR="00F87DDE" w:rsidRDefault="00395502">
          <w:pPr>
            <w:pStyle w:val="TOC3"/>
            <w:rPr>
              <w:rFonts w:asciiTheme="minorHAnsi" w:eastAsiaTheme="minorEastAsia" w:hAnsiTheme="minorHAnsi" w:cstheme="minorBidi"/>
              <w:noProof/>
              <w:lang w:eastAsia="en-AU"/>
            </w:rPr>
          </w:pPr>
          <w:hyperlink w:anchor="_Toc462141669" w:history="1">
            <w:r w:rsidR="00F87DDE" w:rsidRPr="00CB7DA4">
              <w:rPr>
                <w:rStyle w:val="Hyperlink"/>
                <w:noProof/>
              </w:rPr>
              <w:t>Clinical</w:t>
            </w:r>
            <w:r w:rsidR="00F87DDE">
              <w:rPr>
                <w:noProof/>
                <w:webHidden/>
              </w:rPr>
              <w:tab/>
            </w:r>
            <w:r w:rsidR="00F87DDE">
              <w:rPr>
                <w:noProof/>
                <w:webHidden/>
              </w:rPr>
              <w:fldChar w:fldCharType="begin"/>
            </w:r>
            <w:r w:rsidR="00F87DDE">
              <w:rPr>
                <w:noProof/>
                <w:webHidden/>
              </w:rPr>
              <w:instrText xml:space="preserve"> PAGEREF _Toc462141669 \h </w:instrText>
            </w:r>
            <w:r w:rsidR="00F87DDE">
              <w:rPr>
                <w:noProof/>
                <w:webHidden/>
              </w:rPr>
            </w:r>
            <w:r w:rsidR="00F87DDE">
              <w:rPr>
                <w:noProof/>
                <w:webHidden/>
              </w:rPr>
              <w:fldChar w:fldCharType="separate"/>
            </w:r>
            <w:r w:rsidR="00F87DDE">
              <w:rPr>
                <w:noProof/>
                <w:webHidden/>
              </w:rPr>
              <w:t>71</w:t>
            </w:r>
            <w:r w:rsidR="00F87DDE">
              <w:rPr>
                <w:noProof/>
                <w:webHidden/>
              </w:rPr>
              <w:fldChar w:fldCharType="end"/>
            </w:r>
          </w:hyperlink>
        </w:p>
        <w:p w14:paraId="3AB4331D" w14:textId="77777777" w:rsidR="00F87DDE" w:rsidRDefault="00395502">
          <w:pPr>
            <w:pStyle w:val="TOC3"/>
            <w:rPr>
              <w:rFonts w:asciiTheme="minorHAnsi" w:eastAsiaTheme="minorEastAsia" w:hAnsiTheme="minorHAnsi" w:cstheme="minorBidi"/>
              <w:noProof/>
              <w:lang w:eastAsia="en-AU"/>
            </w:rPr>
          </w:pPr>
          <w:hyperlink w:anchor="_Toc462141670" w:history="1">
            <w:r w:rsidR="00F87DDE" w:rsidRPr="00CB7DA4">
              <w:rPr>
                <w:rStyle w:val="Hyperlink"/>
                <w:noProof/>
                <w:lang w:eastAsia="en-AU"/>
              </w:rPr>
              <w:t>Risk management plan</w:t>
            </w:r>
            <w:r w:rsidR="00F87DDE">
              <w:rPr>
                <w:noProof/>
                <w:webHidden/>
              </w:rPr>
              <w:tab/>
            </w:r>
            <w:r w:rsidR="00F87DDE">
              <w:rPr>
                <w:noProof/>
                <w:webHidden/>
              </w:rPr>
              <w:fldChar w:fldCharType="begin"/>
            </w:r>
            <w:r w:rsidR="00F87DDE">
              <w:rPr>
                <w:noProof/>
                <w:webHidden/>
              </w:rPr>
              <w:instrText xml:space="preserve"> PAGEREF _Toc462141670 \h </w:instrText>
            </w:r>
            <w:r w:rsidR="00F87DDE">
              <w:rPr>
                <w:noProof/>
                <w:webHidden/>
              </w:rPr>
            </w:r>
            <w:r w:rsidR="00F87DDE">
              <w:rPr>
                <w:noProof/>
                <w:webHidden/>
              </w:rPr>
              <w:fldChar w:fldCharType="separate"/>
            </w:r>
            <w:r w:rsidR="00F87DDE">
              <w:rPr>
                <w:noProof/>
                <w:webHidden/>
              </w:rPr>
              <w:t>86</w:t>
            </w:r>
            <w:r w:rsidR="00F87DDE">
              <w:rPr>
                <w:noProof/>
                <w:webHidden/>
              </w:rPr>
              <w:fldChar w:fldCharType="end"/>
            </w:r>
          </w:hyperlink>
        </w:p>
        <w:p w14:paraId="2E19AB70" w14:textId="77777777" w:rsidR="00F87DDE" w:rsidRDefault="00395502">
          <w:pPr>
            <w:pStyle w:val="TOC3"/>
            <w:rPr>
              <w:rFonts w:asciiTheme="minorHAnsi" w:eastAsiaTheme="minorEastAsia" w:hAnsiTheme="minorHAnsi" w:cstheme="minorBidi"/>
              <w:noProof/>
              <w:lang w:eastAsia="en-AU"/>
            </w:rPr>
          </w:pPr>
          <w:hyperlink w:anchor="_Toc462141671" w:history="1">
            <w:r w:rsidR="00F87DDE" w:rsidRPr="00CB7DA4">
              <w:rPr>
                <w:rStyle w:val="Hyperlink"/>
                <w:noProof/>
              </w:rPr>
              <w:t>Risk-benefit analysis</w:t>
            </w:r>
            <w:r w:rsidR="00F87DDE">
              <w:rPr>
                <w:noProof/>
                <w:webHidden/>
              </w:rPr>
              <w:tab/>
            </w:r>
            <w:r w:rsidR="00F87DDE">
              <w:rPr>
                <w:noProof/>
                <w:webHidden/>
              </w:rPr>
              <w:fldChar w:fldCharType="begin"/>
            </w:r>
            <w:r w:rsidR="00F87DDE">
              <w:rPr>
                <w:noProof/>
                <w:webHidden/>
              </w:rPr>
              <w:instrText xml:space="preserve"> PAGEREF _Toc462141671 \h </w:instrText>
            </w:r>
            <w:r w:rsidR="00F87DDE">
              <w:rPr>
                <w:noProof/>
                <w:webHidden/>
              </w:rPr>
            </w:r>
            <w:r w:rsidR="00F87DDE">
              <w:rPr>
                <w:noProof/>
                <w:webHidden/>
              </w:rPr>
              <w:fldChar w:fldCharType="separate"/>
            </w:r>
            <w:r w:rsidR="00F87DDE">
              <w:rPr>
                <w:noProof/>
                <w:webHidden/>
              </w:rPr>
              <w:t>87</w:t>
            </w:r>
            <w:r w:rsidR="00F87DDE">
              <w:rPr>
                <w:noProof/>
                <w:webHidden/>
              </w:rPr>
              <w:fldChar w:fldCharType="end"/>
            </w:r>
          </w:hyperlink>
        </w:p>
        <w:p w14:paraId="29D2C19A" w14:textId="77777777" w:rsidR="00F87DDE" w:rsidRDefault="00395502">
          <w:pPr>
            <w:pStyle w:val="TOC3"/>
            <w:rPr>
              <w:rFonts w:asciiTheme="minorHAnsi" w:eastAsiaTheme="minorEastAsia" w:hAnsiTheme="minorHAnsi" w:cstheme="minorBidi"/>
              <w:noProof/>
              <w:lang w:eastAsia="en-AU"/>
            </w:rPr>
          </w:pPr>
          <w:hyperlink w:anchor="_Toc462141672" w:history="1">
            <w:r w:rsidR="00F87DDE" w:rsidRPr="00CB7DA4">
              <w:rPr>
                <w:rStyle w:val="Hyperlink"/>
                <w:noProof/>
              </w:rPr>
              <w:t>Outcome</w:t>
            </w:r>
            <w:r w:rsidR="00F87DDE">
              <w:rPr>
                <w:noProof/>
                <w:webHidden/>
              </w:rPr>
              <w:tab/>
            </w:r>
            <w:r w:rsidR="00F87DDE">
              <w:rPr>
                <w:noProof/>
                <w:webHidden/>
              </w:rPr>
              <w:fldChar w:fldCharType="begin"/>
            </w:r>
            <w:r w:rsidR="00F87DDE">
              <w:rPr>
                <w:noProof/>
                <w:webHidden/>
              </w:rPr>
              <w:instrText xml:space="preserve"> PAGEREF _Toc462141672 \h </w:instrText>
            </w:r>
            <w:r w:rsidR="00F87DDE">
              <w:rPr>
                <w:noProof/>
                <w:webHidden/>
              </w:rPr>
            </w:r>
            <w:r w:rsidR="00F87DDE">
              <w:rPr>
                <w:noProof/>
                <w:webHidden/>
              </w:rPr>
              <w:fldChar w:fldCharType="separate"/>
            </w:r>
            <w:r w:rsidR="00F87DDE">
              <w:rPr>
                <w:noProof/>
                <w:webHidden/>
              </w:rPr>
              <w:t>90</w:t>
            </w:r>
            <w:r w:rsidR="00F87DDE">
              <w:rPr>
                <w:noProof/>
                <w:webHidden/>
              </w:rPr>
              <w:fldChar w:fldCharType="end"/>
            </w:r>
          </w:hyperlink>
        </w:p>
        <w:p w14:paraId="155A0997" w14:textId="77777777" w:rsidR="00F87DDE" w:rsidRDefault="00395502">
          <w:pPr>
            <w:pStyle w:val="TOC2"/>
            <w:rPr>
              <w:rFonts w:asciiTheme="minorHAnsi" w:eastAsiaTheme="minorEastAsia" w:hAnsiTheme="minorHAnsi" w:cstheme="minorBidi"/>
              <w:b w:val="0"/>
              <w:noProof/>
              <w:sz w:val="22"/>
              <w:lang w:eastAsia="en-AU"/>
            </w:rPr>
          </w:pPr>
          <w:hyperlink w:anchor="_Toc462141673" w:history="1">
            <w:r w:rsidR="00F87DDE" w:rsidRPr="00CB7DA4">
              <w:rPr>
                <w:rStyle w:val="Hyperlink"/>
                <w:noProof/>
              </w:rPr>
              <w:t>Attachment 1. Product Information</w:t>
            </w:r>
            <w:r w:rsidR="00F87DDE">
              <w:rPr>
                <w:noProof/>
                <w:webHidden/>
              </w:rPr>
              <w:tab/>
            </w:r>
            <w:r w:rsidR="00F87DDE">
              <w:rPr>
                <w:noProof/>
                <w:webHidden/>
              </w:rPr>
              <w:fldChar w:fldCharType="begin"/>
            </w:r>
            <w:r w:rsidR="00F87DDE">
              <w:rPr>
                <w:noProof/>
                <w:webHidden/>
              </w:rPr>
              <w:instrText xml:space="preserve"> PAGEREF _Toc462141673 \h </w:instrText>
            </w:r>
            <w:r w:rsidR="00F87DDE">
              <w:rPr>
                <w:noProof/>
                <w:webHidden/>
              </w:rPr>
            </w:r>
            <w:r w:rsidR="00F87DDE">
              <w:rPr>
                <w:noProof/>
                <w:webHidden/>
              </w:rPr>
              <w:fldChar w:fldCharType="separate"/>
            </w:r>
            <w:r w:rsidR="00F87DDE">
              <w:rPr>
                <w:noProof/>
                <w:webHidden/>
              </w:rPr>
              <w:t>91</w:t>
            </w:r>
            <w:r w:rsidR="00F87DDE">
              <w:rPr>
                <w:noProof/>
                <w:webHidden/>
              </w:rPr>
              <w:fldChar w:fldCharType="end"/>
            </w:r>
          </w:hyperlink>
        </w:p>
        <w:p w14:paraId="3A2E94C3" w14:textId="77777777" w:rsidR="00F87DDE" w:rsidRDefault="00395502">
          <w:pPr>
            <w:pStyle w:val="TOC2"/>
            <w:rPr>
              <w:rFonts w:asciiTheme="minorHAnsi" w:eastAsiaTheme="minorEastAsia" w:hAnsiTheme="minorHAnsi" w:cstheme="minorBidi"/>
              <w:b w:val="0"/>
              <w:noProof/>
              <w:sz w:val="22"/>
              <w:lang w:eastAsia="en-AU"/>
            </w:rPr>
          </w:pPr>
          <w:hyperlink w:anchor="_Toc462141674" w:history="1">
            <w:r w:rsidR="00F87DDE" w:rsidRPr="00CB7DA4">
              <w:rPr>
                <w:rStyle w:val="Hyperlink"/>
                <w:noProof/>
                <w:lang w:eastAsia="en-AU"/>
              </w:rPr>
              <w:t>Attachment 2. Extract from the Clinical Evaluation Report</w:t>
            </w:r>
            <w:r w:rsidR="00F87DDE">
              <w:rPr>
                <w:noProof/>
                <w:webHidden/>
              </w:rPr>
              <w:tab/>
            </w:r>
            <w:r w:rsidR="00F87DDE">
              <w:rPr>
                <w:noProof/>
                <w:webHidden/>
              </w:rPr>
              <w:fldChar w:fldCharType="begin"/>
            </w:r>
            <w:r w:rsidR="00F87DDE">
              <w:rPr>
                <w:noProof/>
                <w:webHidden/>
              </w:rPr>
              <w:instrText xml:space="preserve"> PAGEREF _Toc462141674 \h </w:instrText>
            </w:r>
            <w:r w:rsidR="00F87DDE">
              <w:rPr>
                <w:noProof/>
                <w:webHidden/>
              </w:rPr>
            </w:r>
            <w:r w:rsidR="00F87DDE">
              <w:rPr>
                <w:noProof/>
                <w:webHidden/>
              </w:rPr>
              <w:fldChar w:fldCharType="separate"/>
            </w:r>
            <w:r w:rsidR="00F87DDE">
              <w:rPr>
                <w:noProof/>
                <w:webHidden/>
              </w:rPr>
              <w:t>91</w:t>
            </w:r>
            <w:r w:rsidR="00F87DDE">
              <w:rPr>
                <w:noProof/>
                <w:webHidden/>
              </w:rPr>
              <w:fldChar w:fldCharType="end"/>
            </w:r>
          </w:hyperlink>
        </w:p>
        <w:p w14:paraId="18B2D290" w14:textId="77777777" w:rsidR="003A7F6C" w:rsidRPr="00B811C6" w:rsidRDefault="00DB6124" w:rsidP="00B811C6">
          <w:pPr>
            <w:pStyle w:val="TOC2"/>
          </w:pPr>
          <w:r>
            <w:fldChar w:fldCharType="end"/>
          </w:r>
        </w:p>
      </w:sdtContent>
    </w:sdt>
    <w:bookmarkStart w:id="3" w:name="_Toc314842482" w:displacedByCustomXml="prev"/>
    <w:p w14:paraId="28655858" w14:textId="77777777" w:rsidR="00FD119B" w:rsidRPr="00FD119B" w:rsidRDefault="00441C3F" w:rsidP="00FB012D">
      <w:pPr>
        <w:pStyle w:val="Heading2"/>
        <w:pageBreakBefore/>
        <w:spacing w:before="120"/>
      </w:pPr>
      <w:bookmarkStart w:id="4" w:name="_Toc351716269"/>
      <w:bookmarkStart w:id="5" w:name="_Toc351718881"/>
      <w:bookmarkStart w:id="6" w:name="_Toc355338616"/>
      <w:bookmarkStart w:id="7" w:name="_Toc356306144"/>
      <w:bookmarkStart w:id="8" w:name="_Toc462141634"/>
      <w:r>
        <w:lastRenderedPageBreak/>
        <w:t>Common</w:t>
      </w:r>
      <w:r w:rsidR="00FD119B" w:rsidRPr="00FD119B">
        <w:t xml:space="preserve"> abbreviations</w:t>
      </w:r>
      <w:bookmarkEnd w:id="4"/>
      <w:bookmarkEnd w:id="5"/>
      <w:bookmarkEnd w:id="6"/>
      <w:bookmarkEnd w:id="7"/>
      <w:bookmarkEnd w:id="8"/>
    </w:p>
    <w:tbl>
      <w:tblPr>
        <w:tblStyle w:val="TableTGAblue"/>
        <w:tblW w:w="8801" w:type="dxa"/>
        <w:tblLook w:val="04A0" w:firstRow="1" w:lastRow="0" w:firstColumn="1" w:lastColumn="0" w:noHBand="0" w:noVBand="1"/>
      </w:tblPr>
      <w:tblGrid>
        <w:gridCol w:w="1890"/>
        <w:gridCol w:w="6911"/>
      </w:tblGrid>
      <w:tr w:rsidR="00C76BA7" w14:paraId="0C93F556" w14:textId="77777777" w:rsidTr="00C76BA7">
        <w:trPr>
          <w:cnfStyle w:val="100000000000" w:firstRow="1" w:lastRow="0" w:firstColumn="0" w:lastColumn="0" w:oddVBand="0" w:evenVBand="0" w:oddHBand="0" w:evenHBand="0" w:firstRowFirstColumn="0" w:firstRowLastColumn="0" w:lastRowFirstColumn="0" w:lastRowLastColumn="0"/>
        </w:trPr>
        <w:tc>
          <w:tcPr>
            <w:tcW w:w="1890" w:type="dxa"/>
          </w:tcPr>
          <w:p w14:paraId="52FAF585" w14:textId="77777777" w:rsidR="00C76BA7" w:rsidRDefault="00C76BA7" w:rsidP="00C76BA7">
            <w:r>
              <w:t>Abbreviation</w:t>
            </w:r>
          </w:p>
        </w:tc>
        <w:tc>
          <w:tcPr>
            <w:tcW w:w="6911" w:type="dxa"/>
          </w:tcPr>
          <w:p w14:paraId="00A9C916" w14:textId="77777777" w:rsidR="00C76BA7" w:rsidRDefault="00C76BA7" w:rsidP="00C76BA7">
            <w:r>
              <w:t>Meaning</w:t>
            </w:r>
          </w:p>
        </w:tc>
      </w:tr>
      <w:tr w:rsidR="00C76BA7" w14:paraId="6EF90522" w14:textId="77777777" w:rsidTr="00C76BA7">
        <w:tc>
          <w:tcPr>
            <w:tcW w:w="1890" w:type="dxa"/>
          </w:tcPr>
          <w:p w14:paraId="23379B65" w14:textId="77777777" w:rsidR="00C76BA7" w:rsidRPr="001D064D" w:rsidRDefault="000170FB" w:rsidP="00C76BA7">
            <w:r>
              <w:t>AE</w:t>
            </w:r>
          </w:p>
        </w:tc>
        <w:tc>
          <w:tcPr>
            <w:tcW w:w="6911" w:type="dxa"/>
          </w:tcPr>
          <w:p w14:paraId="275124AF" w14:textId="77777777" w:rsidR="00C76BA7" w:rsidRPr="001D064D" w:rsidRDefault="000170FB" w:rsidP="00C76BA7">
            <w:r>
              <w:t>adverse event</w:t>
            </w:r>
          </w:p>
        </w:tc>
      </w:tr>
      <w:tr w:rsidR="00C76BA7" w14:paraId="7756CBB5" w14:textId="77777777" w:rsidTr="00C76BA7">
        <w:tc>
          <w:tcPr>
            <w:tcW w:w="1890" w:type="dxa"/>
          </w:tcPr>
          <w:p w14:paraId="6246CA58" w14:textId="77777777" w:rsidR="00C76BA7" w:rsidRPr="001D064D" w:rsidRDefault="000170FB" w:rsidP="00C76BA7">
            <w:r>
              <w:t>AESI</w:t>
            </w:r>
          </w:p>
        </w:tc>
        <w:tc>
          <w:tcPr>
            <w:tcW w:w="6911" w:type="dxa"/>
          </w:tcPr>
          <w:p w14:paraId="50CD843C" w14:textId="77777777" w:rsidR="00C76BA7" w:rsidRPr="001D064D" w:rsidRDefault="00C76BA7" w:rsidP="00C76BA7">
            <w:r w:rsidRPr="001D064D">
              <w:t>ad</w:t>
            </w:r>
            <w:r w:rsidR="000170FB">
              <w:t>verse event of special interest</w:t>
            </w:r>
          </w:p>
        </w:tc>
      </w:tr>
      <w:tr w:rsidR="00C76BA7" w14:paraId="789EBDDB" w14:textId="77777777" w:rsidTr="00C76BA7">
        <w:tc>
          <w:tcPr>
            <w:tcW w:w="1890" w:type="dxa"/>
          </w:tcPr>
          <w:p w14:paraId="57D1DDC2" w14:textId="77777777" w:rsidR="00C76BA7" w:rsidRPr="001D064D" w:rsidRDefault="000170FB" w:rsidP="00C76BA7">
            <w:r>
              <w:t>ALAG</w:t>
            </w:r>
          </w:p>
        </w:tc>
        <w:tc>
          <w:tcPr>
            <w:tcW w:w="6911" w:type="dxa"/>
          </w:tcPr>
          <w:p w14:paraId="293530D2" w14:textId="77777777" w:rsidR="00C76BA7" w:rsidRPr="001D064D" w:rsidRDefault="000170FB" w:rsidP="00C76BA7">
            <w:r>
              <w:t>absorption lag time</w:t>
            </w:r>
          </w:p>
        </w:tc>
      </w:tr>
      <w:tr w:rsidR="00C76BA7" w14:paraId="0A28D2A3" w14:textId="77777777" w:rsidTr="00C76BA7">
        <w:tc>
          <w:tcPr>
            <w:tcW w:w="1890" w:type="dxa"/>
          </w:tcPr>
          <w:p w14:paraId="7CE66507" w14:textId="77777777" w:rsidR="00C76BA7" w:rsidRPr="001D064D" w:rsidRDefault="000170FB" w:rsidP="00C76BA7">
            <w:r>
              <w:t>ALT</w:t>
            </w:r>
          </w:p>
        </w:tc>
        <w:tc>
          <w:tcPr>
            <w:tcW w:w="6911" w:type="dxa"/>
          </w:tcPr>
          <w:p w14:paraId="2DBEC218" w14:textId="77777777" w:rsidR="00C76BA7" w:rsidRPr="001D064D" w:rsidRDefault="000170FB" w:rsidP="00C76BA7">
            <w:r>
              <w:t>alanine aminotransferase</w:t>
            </w:r>
          </w:p>
        </w:tc>
      </w:tr>
      <w:tr w:rsidR="00251DE5" w14:paraId="3A822C3D" w14:textId="77777777" w:rsidTr="00C76BA7">
        <w:tc>
          <w:tcPr>
            <w:tcW w:w="1890" w:type="dxa"/>
          </w:tcPr>
          <w:p w14:paraId="5B25685E" w14:textId="77777777" w:rsidR="00251DE5" w:rsidRDefault="00251DE5" w:rsidP="00C76BA7">
            <w:r>
              <w:t>APTT</w:t>
            </w:r>
          </w:p>
        </w:tc>
        <w:tc>
          <w:tcPr>
            <w:tcW w:w="6911" w:type="dxa"/>
          </w:tcPr>
          <w:p w14:paraId="4521BDFB" w14:textId="77777777" w:rsidR="00251DE5" w:rsidRDefault="00251DE5" w:rsidP="00C76BA7">
            <w:r>
              <w:t>activated partial thromboplastin time</w:t>
            </w:r>
          </w:p>
        </w:tc>
      </w:tr>
      <w:tr w:rsidR="00C76BA7" w14:paraId="6A459CC4" w14:textId="77777777" w:rsidTr="00C76BA7">
        <w:tc>
          <w:tcPr>
            <w:tcW w:w="1890" w:type="dxa"/>
          </w:tcPr>
          <w:p w14:paraId="2EE7E2C6" w14:textId="77777777" w:rsidR="00C76BA7" w:rsidRPr="001D064D" w:rsidRDefault="000170FB" w:rsidP="00C76BA7">
            <w:r>
              <w:t>AST</w:t>
            </w:r>
          </w:p>
        </w:tc>
        <w:tc>
          <w:tcPr>
            <w:tcW w:w="6911" w:type="dxa"/>
          </w:tcPr>
          <w:p w14:paraId="10F38BC4" w14:textId="77777777" w:rsidR="00C76BA7" w:rsidRPr="001D064D" w:rsidRDefault="000170FB" w:rsidP="00C76BA7">
            <w:r>
              <w:t>aspartate aminotransferase</w:t>
            </w:r>
          </w:p>
        </w:tc>
      </w:tr>
      <w:tr w:rsidR="00C76BA7" w14:paraId="65E16202" w14:textId="77777777" w:rsidTr="00C76BA7">
        <w:tc>
          <w:tcPr>
            <w:tcW w:w="1890" w:type="dxa"/>
          </w:tcPr>
          <w:p w14:paraId="0B9BFEBF" w14:textId="77777777" w:rsidR="00C76BA7" w:rsidRPr="001D064D" w:rsidRDefault="000170FB" w:rsidP="00C76BA7">
            <w:r>
              <w:t>AUC</w:t>
            </w:r>
          </w:p>
        </w:tc>
        <w:tc>
          <w:tcPr>
            <w:tcW w:w="6911" w:type="dxa"/>
          </w:tcPr>
          <w:p w14:paraId="7A889C4E" w14:textId="77777777" w:rsidR="00C76BA7" w:rsidRPr="001D064D" w:rsidRDefault="00C76BA7" w:rsidP="00C76BA7">
            <w:r w:rsidRPr="001D064D">
              <w:t>area und</w:t>
            </w:r>
            <w:r w:rsidR="00A347E8">
              <w:t xml:space="preserve">er the concentration </w:t>
            </w:r>
            <w:r w:rsidR="000170FB">
              <w:t>time curve</w:t>
            </w:r>
          </w:p>
        </w:tc>
      </w:tr>
      <w:tr w:rsidR="00FF35A0" w14:paraId="1260B91A" w14:textId="77777777" w:rsidTr="00C76BA7">
        <w:tc>
          <w:tcPr>
            <w:tcW w:w="1890" w:type="dxa"/>
          </w:tcPr>
          <w:p w14:paraId="1279C25E" w14:textId="77777777" w:rsidR="00FF35A0" w:rsidRDefault="00FF35A0" w:rsidP="00C76BA7">
            <w:r w:rsidRPr="0076207A">
              <w:t>AUCτ</w:t>
            </w:r>
          </w:p>
        </w:tc>
        <w:tc>
          <w:tcPr>
            <w:tcW w:w="6911" w:type="dxa"/>
          </w:tcPr>
          <w:p w14:paraId="6422493E" w14:textId="77777777" w:rsidR="00FF35A0" w:rsidRPr="001D064D" w:rsidRDefault="00FF35A0" w:rsidP="00C76BA7">
            <w:r w:rsidRPr="00FF35A0">
              <w:t>AUC during a dosing interval</w:t>
            </w:r>
          </w:p>
        </w:tc>
      </w:tr>
      <w:tr w:rsidR="00FF35A0" w14:paraId="5EA1FCFF" w14:textId="77777777" w:rsidTr="00C76BA7">
        <w:tc>
          <w:tcPr>
            <w:tcW w:w="1890" w:type="dxa"/>
          </w:tcPr>
          <w:p w14:paraId="23A9CB4D" w14:textId="77777777" w:rsidR="00FF35A0" w:rsidRPr="0076207A" w:rsidRDefault="00FF35A0" w:rsidP="00C76BA7">
            <w:r w:rsidRPr="0092761B">
              <w:t>AUC</w:t>
            </w:r>
            <w:r w:rsidRPr="00FA4ABD">
              <w:rPr>
                <w:vertAlign w:val="subscript"/>
              </w:rPr>
              <w:t>0-inf</w:t>
            </w:r>
          </w:p>
        </w:tc>
        <w:tc>
          <w:tcPr>
            <w:tcW w:w="6911" w:type="dxa"/>
          </w:tcPr>
          <w:p w14:paraId="43E90CEF" w14:textId="77777777" w:rsidR="00FF35A0" w:rsidRPr="00FF35A0" w:rsidRDefault="00FF35A0" w:rsidP="00FF35A0">
            <w:r w:rsidRPr="00FF35A0">
              <w:t>AUC from the time of dosing extrapolated to infinity</w:t>
            </w:r>
          </w:p>
        </w:tc>
      </w:tr>
      <w:tr w:rsidR="00FF35A0" w14:paraId="1135C2C4" w14:textId="77777777" w:rsidTr="00C76BA7">
        <w:tc>
          <w:tcPr>
            <w:tcW w:w="1890" w:type="dxa"/>
          </w:tcPr>
          <w:p w14:paraId="0773AA1E" w14:textId="77777777" w:rsidR="00FF35A0" w:rsidRDefault="00FF35A0">
            <w:r w:rsidRPr="00F46DA0">
              <w:t>AUC</w:t>
            </w:r>
            <w:r w:rsidRPr="00FF35A0">
              <w:rPr>
                <w:vertAlign w:val="subscript"/>
              </w:rPr>
              <w:t>0-24h</w:t>
            </w:r>
          </w:p>
        </w:tc>
        <w:tc>
          <w:tcPr>
            <w:tcW w:w="6911" w:type="dxa"/>
          </w:tcPr>
          <w:p w14:paraId="7B51EE74" w14:textId="77777777" w:rsidR="00FF35A0" w:rsidRDefault="00FF35A0">
            <w:r w:rsidRPr="00FF35A0">
              <w:t>AUC from the time of dosing to 24 hours</w:t>
            </w:r>
          </w:p>
        </w:tc>
      </w:tr>
      <w:tr w:rsidR="00C76BA7" w14:paraId="663364D0" w14:textId="77777777" w:rsidTr="00C76BA7">
        <w:tc>
          <w:tcPr>
            <w:tcW w:w="1890" w:type="dxa"/>
          </w:tcPr>
          <w:p w14:paraId="567D9EF6" w14:textId="77777777" w:rsidR="00C76BA7" w:rsidRPr="001D064D" w:rsidRDefault="00C76BA7" w:rsidP="00C76BA7">
            <w:r w:rsidRPr="001D064D">
              <w:t>Aus</w:t>
            </w:r>
            <w:r w:rsidR="000170FB">
              <w:t>PAR</w:t>
            </w:r>
          </w:p>
        </w:tc>
        <w:tc>
          <w:tcPr>
            <w:tcW w:w="6911" w:type="dxa"/>
          </w:tcPr>
          <w:p w14:paraId="2C482154" w14:textId="77777777" w:rsidR="00C76BA7" w:rsidRPr="001D064D" w:rsidRDefault="00C76BA7" w:rsidP="00C76BA7">
            <w:r w:rsidRPr="001D064D">
              <w:t>Austr</w:t>
            </w:r>
            <w:r w:rsidR="000170FB">
              <w:t>alian Public Assessment Reports</w:t>
            </w:r>
          </w:p>
        </w:tc>
      </w:tr>
      <w:tr w:rsidR="00C76BA7" w14:paraId="70A2BF42" w14:textId="77777777" w:rsidTr="00C76BA7">
        <w:tc>
          <w:tcPr>
            <w:tcW w:w="1890" w:type="dxa"/>
          </w:tcPr>
          <w:p w14:paraId="5CAF5C79" w14:textId="77777777" w:rsidR="00C76BA7" w:rsidRPr="001D064D" w:rsidRDefault="000170FB" w:rsidP="00C76BA7">
            <w:r>
              <w:t>BA</w:t>
            </w:r>
          </w:p>
        </w:tc>
        <w:tc>
          <w:tcPr>
            <w:tcW w:w="6911" w:type="dxa"/>
          </w:tcPr>
          <w:p w14:paraId="4E7B70C9" w14:textId="77777777" w:rsidR="00C76BA7" w:rsidRPr="001D064D" w:rsidRDefault="000170FB" w:rsidP="00C76BA7">
            <w:r>
              <w:t>bioavailability</w:t>
            </w:r>
          </w:p>
        </w:tc>
      </w:tr>
      <w:tr w:rsidR="00C05866" w14:paraId="74BEF464" w14:textId="77777777" w:rsidTr="00C76BA7">
        <w:tc>
          <w:tcPr>
            <w:tcW w:w="1890" w:type="dxa"/>
          </w:tcPr>
          <w:p w14:paraId="2E904AED" w14:textId="77777777" w:rsidR="00C05866" w:rsidRDefault="00C05866" w:rsidP="00C76BA7">
            <w:r>
              <w:t>BD</w:t>
            </w:r>
          </w:p>
        </w:tc>
        <w:tc>
          <w:tcPr>
            <w:tcW w:w="6911" w:type="dxa"/>
          </w:tcPr>
          <w:p w14:paraId="70973AFD" w14:textId="77777777" w:rsidR="00C05866" w:rsidRDefault="00C05866" w:rsidP="00C76BA7">
            <w:r>
              <w:t>twice daily</w:t>
            </w:r>
          </w:p>
        </w:tc>
      </w:tr>
      <w:tr w:rsidR="00C76BA7" w14:paraId="27146B27" w14:textId="77777777" w:rsidTr="00C76BA7">
        <w:tc>
          <w:tcPr>
            <w:tcW w:w="1890" w:type="dxa"/>
          </w:tcPr>
          <w:p w14:paraId="5CB2A387" w14:textId="77777777" w:rsidR="00C76BA7" w:rsidRPr="001D064D" w:rsidRDefault="000170FB" w:rsidP="00C76BA7">
            <w:r>
              <w:t>BMI</w:t>
            </w:r>
          </w:p>
        </w:tc>
        <w:tc>
          <w:tcPr>
            <w:tcW w:w="6911" w:type="dxa"/>
          </w:tcPr>
          <w:p w14:paraId="4C384DFB" w14:textId="77777777" w:rsidR="00C76BA7" w:rsidRPr="001D064D" w:rsidRDefault="000170FB" w:rsidP="00C76BA7">
            <w:r>
              <w:t>body mass index</w:t>
            </w:r>
          </w:p>
        </w:tc>
      </w:tr>
      <w:tr w:rsidR="00C76BA7" w14:paraId="57A9BE89" w14:textId="77777777" w:rsidTr="00C76BA7">
        <w:tc>
          <w:tcPr>
            <w:tcW w:w="1890" w:type="dxa"/>
          </w:tcPr>
          <w:p w14:paraId="555F9042" w14:textId="77777777" w:rsidR="00C76BA7" w:rsidRPr="001D064D" w:rsidRDefault="000170FB" w:rsidP="00C76BA7">
            <w:r>
              <w:t>CF</w:t>
            </w:r>
          </w:p>
        </w:tc>
        <w:tc>
          <w:tcPr>
            <w:tcW w:w="6911" w:type="dxa"/>
          </w:tcPr>
          <w:p w14:paraId="4E2E0CB1" w14:textId="77777777" w:rsidR="00C76BA7" w:rsidRPr="001D064D" w:rsidRDefault="000170FB" w:rsidP="00C76BA7">
            <w:r>
              <w:t>cystic fibrosis</w:t>
            </w:r>
          </w:p>
        </w:tc>
      </w:tr>
      <w:tr w:rsidR="00C76BA7" w14:paraId="52B00ECA" w14:textId="77777777" w:rsidTr="00C76BA7">
        <w:tc>
          <w:tcPr>
            <w:tcW w:w="1890" w:type="dxa"/>
          </w:tcPr>
          <w:p w14:paraId="25FF7E9D" w14:textId="77777777" w:rsidR="00C76BA7" w:rsidRPr="001D064D" w:rsidRDefault="000170FB" w:rsidP="00C76BA7">
            <w:r>
              <w:t>CFQ-R</w:t>
            </w:r>
          </w:p>
        </w:tc>
        <w:tc>
          <w:tcPr>
            <w:tcW w:w="6911" w:type="dxa"/>
          </w:tcPr>
          <w:p w14:paraId="55A915A4" w14:textId="77777777" w:rsidR="00C76BA7" w:rsidRPr="001D064D" w:rsidRDefault="00C76BA7" w:rsidP="00C76BA7">
            <w:r w:rsidRPr="001D064D">
              <w:t>Cystic F</w:t>
            </w:r>
            <w:r w:rsidR="000170FB">
              <w:t>ibrosis Questionnaire – Revised</w:t>
            </w:r>
          </w:p>
        </w:tc>
      </w:tr>
      <w:tr w:rsidR="00C76BA7" w14:paraId="758FACB3" w14:textId="77777777" w:rsidTr="00C76BA7">
        <w:tc>
          <w:tcPr>
            <w:tcW w:w="1890" w:type="dxa"/>
          </w:tcPr>
          <w:p w14:paraId="47344FE5" w14:textId="77777777" w:rsidR="00C76BA7" w:rsidRPr="001D064D" w:rsidRDefault="000170FB" w:rsidP="00C76BA7">
            <w:r>
              <w:t>CFTR</w:t>
            </w:r>
          </w:p>
        </w:tc>
        <w:tc>
          <w:tcPr>
            <w:tcW w:w="6911" w:type="dxa"/>
          </w:tcPr>
          <w:p w14:paraId="3CE9EF57" w14:textId="77777777" w:rsidR="00C76BA7" w:rsidRPr="001D064D" w:rsidRDefault="00C76BA7" w:rsidP="00C76BA7">
            <w:r w:rsidRPr="001D064D">
              <w:t>CF tran</w:t>
            </w:r>
            <w:r w:rsidR="000170FB">
              <w:t>smembrane conductance regulator</w:t>
            </w:r>
          </w:p>
        </w:tc>
      </w:tr>
      <w:tr w:rsidR="00C76BA7" w14:paraId="73BA2177" w14:textId="77777777" w:rsidTr="00C76BA7">
        <w:tc>
          <w:tcPr>
            <w:tcW w:w="1890" w:type="dxa"/>
          </w:tcPr>
          <w:p w14:paraId="23E155E6" w14:textId="77777777" w:rsidR="00C76BA7" w:rsidRPr="001D064D" w:rsidRDefault="000170FB" w:rsidP="00C76BA7">
            <w:r>
              <w:t>CHMP</w:t>
            </w:r>
          </w:p>
        </w:tc>
        <w:tc>
          <w:tcPr>
            <w:tcW w:w="6911" w:type="dxa"/>
          </w:tcPr>
          <w:p w14:paraId="16A93099" w14:textId="77777777" w:rsidR="00C76BA7" w:rsidRPr="001D064D" w:rsidRDefault="00C76BA7" w:rsidP="00C76BA7">
            <w:r w:rsidRPr="001D064D">
              <w:t>Committee for Medicin</w:t>
            </w:r>
            <w:r w:rsidR="000170FB">
              <w:t>al Products for Human Use (EMA)</w:t>
            </w:r>
          </w:p>
        </w:tc>
      </w:tr>
      <w:tr w:rsidR="00C76BA7" w14:paraId="0BCBC52C" w14:textId="77777777" w:rsidTr="00C76BA7">
        <w:tc>
          <w:tcPr>
            <w:tcW w:w="1890" w:type="dxa"/>
          </w:tcPr>
          <w:p w14:paraId="46A2C1CC" w14:textId="77777777" w:rsidR="00C76BA7" w:rsidRPr="001D064D" w:rsidRDefault="000170FB" w:rsidP="00C76BA7">
            <w:r>
              <w:t>CI</w:t>
            </w:r>
          </w:p>
        </w:tc>
        <w:tc>
          <w:tcPr>
            <w:tcW w:w="6911" w:type="dxa"/>
          </w:tcPr>
          <w:p w14:paraId="6CF19AC7" w14:textId="77777777" w:rsidR="00C76BA7" w:rsidRPr="001D064D" w:rsidRDefault="000170FB" w:rsidP="00C76BA7">
            <w:r>
              <w:t>confidence interval</w:t>
            </w:r>
          </w:p>
        </w:tc>
      </w:tr>
      <w:tr w:rsidR="00C76BA7" w14:paraId="49071BE8" w14:textId="77777777" w:rsidTr="00C76BA7">
        <w:tc>
          <w:tcPr>
            <w:tcW w:w="1890" w:type="dxa"/>
          </w:tcPr>
          <w:p w14:paraId="2357ECA6" w14:textId="77777777" w:rsidR="00C76BA7" w:rsidRPr="001D064D" w:rsidRDefault="000170FB" w:rsidP="00C76BA7">
            <w:r>
              <w:t>CL/F</w:t>
            </w:r>
          </w:p>
        </w:tc>
        <w:tc>
          <w:tcPr>
            <w:tcW w:w="6911" w:type="dxa"/>
          </w:tcPr>
          <w:p w14:paraId="7F1E509A" w14:textId="77777777" w:rsidR="00C76BA7" w:rsidRPr="001D064D" w:rsidRDefault="000170FB" w:rsidP="00C76BA7">
            <w:r>
              <w:t>clearance</w:t>
            </w:r>
          </w:p>
        </w:tc>
      </w:tr>
      <w:tr w:rsidR="00FF35A0" w14:paraId="6E5C93ED" w14:textId="77777777" w:rsidTr="00C76BA7">
        <w:tc>
          <w:tcPr>
            <w:tcW w:w="1890" w:type="dxa"/>
          </w:tcPr>
          <w:p w14:paraId="30C665C7" w14:textId="77777777" w:rsidR="00FF35A0" w:rsidRDefault="00FF35A0" w:rsidP="00C76BA7">
            <w:r>
              <w:t>CLss/F</w:t>
            </w:r>
          </w:p>
        </w:tc>
        <w:tc>
          <w:tcPr>
            <w:tcW w:w="6911" w:type="dxa"/>
          </w:tcPr>
          <w:p w14:paraId="463B5C9C" w14:textId="77777777" w:rsidR="00FF35A0" w:rsidRPr="004A47B3" w:rsidRDefault="004A47B3" w:rsidP="004A47B3">
            <w:r w:rsidRPr="004A47B3">
              <w:t>apparent clearance at steady state</w:t>
            </w:r>
          </w:p>
        </w:tc>
      </w:tr>
      <w:tr w:rsidR="00C76BA7" w14:paraId="1023E1B1" w14:textId="77777777" w:rsidTr="00C76BA7">
        <w:tc>
          <w:tcPr>
            <w:tcW w:w="1890" w:type="dxa"/>
          </w:tcPr>
          <w:p w14:paraId="70A3E155" w14:textId="77777777" w:rsidR="00C76BA7" w:rsidRPr="001D064D" w:rsidRDefault="008B5A3E" w:rsidP="00C76BA7">
            <w:r w:rsidRPr="004B7CB2">
              <w:t>C</w:t>
            </w:r>
            <w:r w:rsidRPr="008B5A3E">
              <w:rPr>
                <w:vertAlign w:val="subscript"/>
              </w:rPr>
              <w:t>max</w:t>
            </w:r>
          </w:p>
        </w:tc>
        <w:tc>
          <w:tcPr>
            <w:tcW w:w="6911" w:type="dxa"/>
          </w:tcPr>
          <w:p w14:paraId="5A086BFE" w14:textId="77777777" w:rsidR="00C76BA7" w:rsidRPr="001D064D" w:rsidRDefault="000170FB" w:rsidP="00C76BA7">
            <w:r>
              <w:t>maximum observed concentration</w:t>
            </w:r>
          </w:p>
        </w:tc>
      </w:tr>
      <w:tr w:rsidR="00C76BA7" w14:paraId="74AC93AC" w14:textId="77777777" w:rsidTr="00C76BA7">
        <w:tc>
          <w:tcPr>
            <w:tcW w:w="1890" w:type="dxa"/>
          </w:tcPr>
          <w:p w14:paraId="4B9604CA" w14:textId="77777777" w:rsidR="00C76BA7" w:rsidRPr="001D064D" w:rsidRDefault="003C0CF8" w:rsidP="00C76BA7">
            <w:r w:rsidRPr="0092761B">
              <w:t>C</w:t>
            </w:r>
            <w:r w:rsidRPr="003C0CF8">
              <w:rPr>
                <w:vertAlign w:val="subscript"/>
              </w:rPr>
              <w:t>min</w:t>
            </w:r>
          </w:p>
        </w:tc>
        <w:tc>
          <w:tcPr>
            <w:tcW w:w="6911" w:type="dxa"/>
          </w:tcPr>
          <w:p w14:paraId="554289C8" w14:textId="77777777" w:rsidR="00C76BA7" w:rsidRPr="001D064D" w:rsidRDefault="00C76BA7" w:rsidP="00C76BA7">
            <w:r w:rsidRPr="001D064D">
              <w:t xml:space="preserve">minimum </w:t>
            </w:r>
            <w:r w:rsidR="004A47B3">
              <w:t>observed concentration</w:t>
            </w:r>
          </w:p>
        </w:tc>
      </w:tr>
      <w:tr w:rsidR="0052340A" w14:paraId="1D634E9D" w14:textId="77777777" w:rsidTr="00C76BA7">
        <w:tc>
          <w:tcPr>
            <w:tcW w:w="1890" w:type="dxa"/>
          </w:tcPr>
          <w:p w14:paraId="1BAA1B68" w14:textId="77777777" w:rsidR="0052340A" w:rsidRPr="0092761B" w:rsidRDefault="0052340A" w:rsidP="00C76BA7">
            <w:r>
              <w:t>CNS</w:t>
            </w:r>
          </w:p>
        </w:tc>
        <w:tc>
          <w:tcPr>
            <w:tcW w:w="6911" w:type="dxa"/>
          </w:tcPr>
          <w:p w14:paraId="67EA2A3D" w14:textId="77777777" w:rsidR="0052340A" w:rsidRPr="001D064D" w:rsidRDefault="0052340A" w:rsidP="00C76BA7">
            <w:r>
              <w:t>central nervous system</w:t>
            </w:r>
          </w:p>
        </w:tc>
      </w:tr>
      <w:tr w:rsidR="00C76BA7" w14:paraId="363E9324" w14:textId="77777777" w:rsidTr="00C76BA7">
        <w:tc>
          <w:tcPr>
            <w:tcW w:w="1890" w:type="dxa"/>
          </w:tcPr>
          <w:p w14:paraId="05CB9875" w14:textId="77777777" w:rsidR="00C76BA7" w:rsidRPr="001D064D" w:rsidRDefault="000170FB" w:rsidP="00C76BA7">
            <w:r>
              <w:t>CPK or CK</w:t>
            </w:r>
          </w:p>
        </w:tc>
        <w:tc>
          <w:tcPr>
            <w:tcW w:w="6911" w:type="dxa"/>
          </w:tcPr>
          <w:p w14:paraId="6EA4758D" w14:textId="77777777" w:rsidR="00C76BA7" w:rsidRPr="001D064D" w:rsidRDefault="000170FB" w:rsidP="00C76BA7">
            <w:r>
              <w:t>Creatine phosphokinase</w:t>
            </w:r>
          </w:p>
        </w:tc>
      </w:tr>
      <w:tr w:rsidR="00C76BA7" w14:paraId="1D991042" w14:textId="77777777" w:rsidTr="00C76BA7">
        <w:tc>
          <w:tcPr>
            <w:tcW w:w="1890" w:type="dxa"/>
          </w:tcPr>
          <w:p w14:paraId="199F9BBB" w14:textId="77777777" w:rsidR="00C76BA7" w:rsidRPr="001D064D" w:rsidRDefault="000170FB" w:rsidP="00C76BA7">
            <w:r>
              <w:lastRenderedPageBreak/>
              <w:t>CYP</w:t>
            </w:r>
          </w:p>
        </w:tc>
        <w:tc>
          <w:tcPr>
            <w:tcW w:w="6911" w:type="dxa"/>
          </w:tcPr>
          <w:p w14:paraId="1B260BA2" w14:textId="77777777" w:rsidR="00C76BA7" w:rsidRPr="001D064D" w:rsidRDefault="000170FB" w:rsidP="00C76BA7">
            <w:r>
              <w:t>cytochrome P450</w:t>
            </w:r>
          </w:p>
        </w:tc>
      </w:tr>
      <w:tr w:rsidR="00C76BA7" w14:paraId="4E679849" w14:textId="77777777" w:rsidTr="00C76BA7">
        <w:tc>
          <w:tcPr>
            <w:tcW w:w="1890" w:type="dxa"/>
          </w:tcPr>
          <w:p w14:paraId="1411759E" w14:textId="77777777" w:rsidR="00C76BA7" w:rsidRPr="001D064D" w:rsidRDefault="000170FB" w:rsidP="00C76BA7">
            <w:r>
              <w:t>D1</w:t>
            </w:r>
          </w:p>
        </w:tc>
        <w:tc>
          <w:tcPr>
            <w:tcW w:w="6911" w:type="dxa"/>
          </w:tcPr>
          <w:p w14:paraId="7CD9E65E" w14:textId="77777777" w:rsidR="00C76BA7" w:rsidRPr="001D064D" w:rsidRDefault="000170FB" w:rsidP="00C76BA7">
            <w:r>
              <w:t>zero order dose duration</w:t>
            </w:r>
          </w:p>
        </w:tc>
      </w:tr>
      <w:tr w:rsidR="00C76BA7" w14:paraId="4E5624A5" w14:textId="77777777" w:rsidTr="00C76BA7">
        <w:tc>
          <w:tcPr>
            <w:tcW w:w="1890" w:type="dxa"/>
          </w:tcPr>
          <w:p w14:paraId="774A1756" w14:textId="77777777" w:rsidR="00C76BA7" w:rsidRPr="001D064D" w:rsidRDefault="000170FB" w:rsidP="00C76BA7">
            <w:r>
              <w:t>DDI</w:t>
            </w:r>
          </w:p>
        </w:tc>
        <w:tc>
          <w:tcPr>
            <w:tcW w:w="6911" w:type="dxa"/>
          </w:tcPr>
          <w:p w14:paraId="706E30E1" w14:textId="77777777" w:rsidR="00C76BA7" w:rsidRPr="001D064D" w:rsidRDefault="000170FB" w:rsidP="00C76BA7">
            <w:r>
              <w:t>drug-drug interaction</w:t>
            </w:r>
          </w:p>
        </w:tc>
      </w:tr>
      <w:tr w:rsidR="00C76BA7" w14:paraId="41DBEC47" w14:textId="77777777" w:rsidTr="00C76BA7">
        <w:tc>
          <w:tcPr>
            <w:tcW w:w="1890" w:type="dxa"/>
          </w:tcPr>
          <w:p w14:paraId="59C89FFD" w14:textId="77777777" w:rsidR="00C76BA7" w:rsidRPr="001D064D" w:rsidRDefault="000170FB" w:rsidP="00C76BA7">
            <w:r>
              <w:t>EC50</w:t>
            </w:r>
          </w:p>
        </w:tc>
        <w:tc>
          <w:tcPr>
            <w:tcW w:w="6911" w:type="dxa"/>
          </w:tcPr>
          <w:p w14:paraId="00AE82C8" w14:textId="77777777" w:rsidR="00C76BA7" w:rsidRPr="001D064D" w:rsidRDefault="00C76BA7" w:rsidP="00C76BA7">
            <w:r w:rsidRPr="001D064D">
              <w:t>concentration at whic</w:t>
            </w:r>
            <w:r w:rsidR="000170FB">
              <w:t>h effect is at half the maximum</w:t>
            </w:r>
          </w:p>
        </w:tc>
      </w:tr>
      <w:tr w:rsidR="00681184" w14:paraId="4172C71B" w14:textId="77777777" w:rsidTr="00C76BA7">
        <w:tc>
          <w:tcPr>
            <w:tcW w:w="1890" w:type="dxa"/>
          </w:tcPr>
          <w:p w14:paraId="2D042D6C" w14:textId="77777777" w:rsidR="00681184" w:rsidRDefault="00681184" w:rsidP="00C76BA7">
            <w:r>
              <w:t>EC90</w:t>
            </w:r>
          </w:p>
        </w:tc>
        <w:tc>
          <w:tcPr>
            <w:tcW w:w="6911" w:type="dxa"/>
          </w:tcPr>
          <w:p w14:paraId="144F4E12" w14:textId="77777777" w:rsidR="00681184" w:rsidRPr="001D064D" w:rsidRDefault="00681184" w:rsidP="00C76BA7">
            <w:r>
              <w:t>Effective concentration 90%</w:t>
            </w:r>
          </w:p>
        </w:tc>
      </w:tr>
      <w:tr w:rsidR="00C76BA7" w14:paraId="4FB865C3" w14:textId="77777777" w:rsidTr="00C76BA7">
        <w:tc>
          <w:tcPr>
            <w:tcW w:w="1890" w:type="dxa"/>
          </w:tcPr>
          <w:p w14:paraId="6B4D23FB" w14:textId="77777777" w:rsidR="00C76BA7" w:rsidRPr="001D064D" w:rsidRDefault="000170FB" w:rsidP="00C76BA7">
            <w:r>
              <w:t>ECG</w:t>
            </w:r>
          </w:p>
        </w:tc>
        <w:tc>
          <w:tcPr>
            <w:tcW w:w="6911" w:type="dxa"/>
          </w:tcPr>
          <w:p w14:paraId="096A57D6" w14:textId="77777777" w:rsidR="00C76BA7" w:rsidRPr="001D064D" w:rsidRDefault="000170FB" w:rsidP="00C76BA7">
            <w:r>
              <w:t>electrocardiogram</w:t>
            </w:r>
          </w:p>
        </w:tc>
      </w:tr>
      <w:tr w:rsidR="00C76BA7" w14:paraId="522A0BC6" w14:textId="77777777" w:rsidTr="00C76BA7">
        <w:tc>
          <w:tcPr>
            <w:tcW w:w="1890" w:type="dxa"/>
          </w:tcPr>
          <w:p w14:paraId="7024CC71" w14:textId="77777777" w:rsidR="00C76BA7" w:rsidRPr="001D064D" w:rsidRDefault="003C0CF8" w:rsidP="00C76BA7">
            <w:r w:rsidRPr="0092761B">
              <w:t>E</w:t>
            </w:r>
            <w:r w:rsidRPr="003C0CF8">
              <w:rPr>
                <w:vertAlign w:val="subscript"/>
              </w:rPr>
              <w:t>max</w:t>
            </w:r>
          </w:p>
        </w:tc>
        <w:tc>
          <w:tcPr>
            <w:tcW w:w="6911" w:type="dxa"/>
          </w:tcPr>
          <w:p w14:paraId="4EC40CC0" w14:textId="77777777" w:rsidR="00C76BA7" w:rsidRPr="001D064D" w:rsidRDefault="000170FB" w:rsidP="00C76BA7">
            <w:r>
              <w:t>maximum effect</w:t>
            </w:r>
          </w:p>
        </w:tc>
      </w:tr>
      <w:tr w:rsidR="004A47B3" w14:paraId="7765C958" w14:textId="77777777" w:rsidTr="00C76BA7">
        <w:tc>
          <w:tcPr>
            <w:tcW w:w="1890" w:type="dxa"/>
          </w:tcPr>
          <w:p w14:paraId="32128598" w14:textId="77777777" w:rsidR="004A47B3" w:rsidRPr="0092761B" w:rsidRDefault="004A47B3" w:rsidP="00C76BA7">
            <w:r w:rsidRPr="0092761B">
              <w:t>E</w:t>
            </w:r>
            <w:r w:rsidRPr="003C0CF8">
              <w:rPr>
                <w:vertAlign w:val="subscript"/>
              </w:rPr>
              <w:t>base</w:t>
            </w:r>
          </w:p>
        </w:tc>
        <w:tc>
          <w:tcPr>
            <w:tcW w:w="6911" w:type="dxa"/>
          </w:tcPr>
          <w:p w14:paraId="0B9BE9D2" w14:textId="77777777" w:rsidR="004A47B3" w:rsidRPr="004A47B3" w:rsidRDefault="004A47B3" w:rsidP="004A47B3">
            <w:r w:rsidRPr="004A47B3">
              <w:t>Model-estimated baseline sweat chloride concentration</w:t>
            </w:r>
          </w:p>
        </w:tc>
      </w:tr>
      <w:tr w:rsidR="00C76BA7" w14:paraId="314F4B3A" w14:textId="77777777" w:rsidTr="00C76BA7">
        <w:tc>
          <w:tcPr>
            <w:tcW w:w="1890" w:type="dxa"/>
          </w:tcPr>
          <w:p w14:paraId="16EA2DAE" w14:textId="77777777" w:rsidR="00C76BA7" w:rsidRPr="001D064D" w:rsidRDefault="000170FB" w:rsidP="00C76BA7">
            <w:r>
              <w:t>EQ-5D-3L</w:t>
            </w:r>
          </w:p>
        </w:tc>
        <w:tc>
          <w:tcPr>
            <w:tcW w:w="6911" w:type="dxa"/>
          </w:tcPr>
          <w:p w14:paraId="30E737AA" w14:textId="77777777" w:rsidR="00C76BA7" w:rsidRPr="001D064D" w:rsidRDefault="000170FB" w:rsidP="00C76BA7">
            <w:r>
              <w:t>EuroQol 3-Level</w:t>
            </w:r>
          </w:p>
        </w:tc>
      </w:tr>
      <w:tr w:rsidR="00C76BA7" w14:paraId="21D23377" w14:textId="77777777" w:rsidTr="00C76BA7">
        <w:tc>
          <w:tcPr>
            <w:tcW w:w="1890" w:type="dxa"/>
          </w:tcPr>
          <w:p w14:paraId="4A05BB13" w14:textId="77777777" w:rsidR="00C76BA7" w:rsidRPr="001D064D" w:rsidRDefault="000170FB" w:rsidP="00C76BA7">
            <w:r>
              <w:t>EU</w:t>
            </w:r>
          </w:p>
        </w:tc>
        <w:tc>
          <w:tcPr>
            <w:tcW w:w="6911" w:type="dxa"/>
          </w:tcPr>
          <w:p w14:paraId="58E69AEC" w14:textId="77777777" w:rsidR="00C76BA7" w:rsidRPr="001D064D" w:rsidRDefault="000170FB" w:rsidP="00C76BA7">
            <w:r>
              <w:t>European Union</w:t>
            </w:r>
          </w:p>
        </w:tc>
      </w:tr>
      <w:tr w:rsidR="004A47B3" w14:paraId="0B453E3D" w14:textId="77777777" w:rsidTr="00C76BA7">
        <w:tc>
          <w:tcPr>
            <w:tcW w:w="1890" w:type="dxa"/>
          </w:tcPr>
          <w:p w14:paraId="180D2D02" w14:textId="77777777" w:rsidR="004A47B3" w:rsidRPr="004A47B3" w:rsidRDefault="004A47B3" w:rsidP="004A47B3">
            <w:r w:rsidRPr="004A47B3">
              <w:t>F508del</w:t>
            </w:r>
          </w:p>
        </w:tc>
        <w:tc>
          <w:tcPr>
            <w:tcW w:w="6911" w:type="dxa"/>
          </w:tcPr>
          <w:p w14:paraId="4C8451DC" w14:textId="77777777" w:rsidR="004A47B3" w:rsidRPr="004A47B3" w:rsidRDefault="004A47B3" w:rsidP="004A47B3">
            <w:r w:rsidRPr="004A47B3">
              <w:t>CFTR gene mutation with an in-frame deletion of a phenylalanine codon corresponding to position 508 of the wild-type protein</w:t>
            </w:r>
          </w:p>
        </w:tc>
      </w:tr>
      <w:tr w:rsidR="00C76BA7" w14:paraId="6F329C23" w14:textId="77777777" w:rsidTr="00C76BA7">
        <w:tc>
          <w:tcPr>
            <w:tcW w:w="1890" w:type="dxa"/>
          </w:tcPr>
          <w:p w14:paraId="7A71716A" w14:textId="77777777" w:rsidR="00C76BA7" w:rsidRPr="001D064D" w:rsidRDefault="000170FB" w:rsidP="00C76BA7">
            <w:r>
              <w:t>FAS</w:t>
            </w:r>
          </w:p>
        </w:tc>
        <w:tc>
          <w:tcPr>
            <w:tcW w:w="6911" w:type="dxa"/>
          </w:tcPr>
          <w:p w14:paraId="6D18E5BE" w14:textId="77777777" w:rsidR="00C76BA7" w:rsidRPr="001D064D" w:rsidRDefault="000170FB" w:rsidP="00C76BA7">
            <w:r>
              <w:t>full analysis set</w:t>
            </w:r>
          </w:p>
        </w:tc>
      </w:tr>
      <w:tr w:rsidR="00C76BA7" w14:paraId="1F344260" w14:textId="77777777" w:rsidTr="00C76BA7">
        <w:tc>
          <w:tcPr>
            <w:tcW w:w="1890" w:type="dxa"/>
          </w:tcPr>
          <w:p w14:paraId="039CDD22" w14:textId="77777777" w:rsidR="00C76BA7" w:rsidRPr="001D064D" w:rsidRDefault="000170FB" w:rsidP="00C76BA7">
            <w:r>
              <w:t>FDA</w:t>
            </w:r>
          </w:p>
        </w:tc>
        <w:tc>
          <w:tcPr>
            <w:tcW w:w="6911" w:type="dxa"/>
          </w:tcPr>
          <w:p w14:paraId="33DC22EA" w14:textId="77777777" w:rsidR="00C76BA7" w:rsidRPr="001D064D" w:rsidRDefault="000170FB" w:rsidP="00C76BA7">
            <w:r>
              <w:t>Food and Drug Administration</w:t>
            </w:r>
          </w:p>
        </w:tc>
      </w:tr>
      <w:tr w:rsidR="00C76BA7" w14:paraId="4600C526" w14:textId="77777777" w:rsidTr="00C76BA7">
        <w:tc>
          <w:tcPr>
            <w:tcW w:w="1890" w:type="dxa"/>
          </w:tcPr>
          <w:p w14:paraId="32E32EC6" w14:textId="77777777" w:rsidR="00C76BA7" w:rsidRPr="001D064D" w:rsidRDefault="000170FB" w:rsidP="00C76BA7">
            <w:r>
              <w:t>FDC</w:t>
            </w:r>
          </w:p>
        </w:tc>
        <w:tc>
          <w:tcPr>
            <w:tcW w:w="6911" w:type="dxa"/>
          </w:tcPr>
          <w:p w14:paraId="508629DC" w14:textId="77777777" w:rsidR="00C76BA7" w:rsidRPr="001D064D" w:rsidRDefault="000170FB" w:rsidP="00C76BA7">
            <w:r>
              <w:t>fixed dose combination</w:t>
            </w:r>
          </w:p>
        </w:tc>
      </w:tr>
      <w:tr w:rsidR="00C76BA7" w14:paraId="02EE4C58" w14:textId="77777777" w:rsidTr="00C76BA7">
        <w:tc>
          <w:tcPr>
            <w:tcW w:w="1890" w:type="dxa"/>
          </w:tcPr>
          <w:p w14:paraId="26980FAF" w14:textId="77777777" w:rsidR="00C76BA7" w:rsidRPr="001D064D" w:rsidRDefault="00C76BA7" w:rsidP="00C76BA7">
            <w:r w:rsidRPr="001D064D">
              <w:t>FEF</w:t>
            </w:r>
          </w:p>
        </w:tc>
        <w:tc>
          <w:tcPr>
            <w:tcW w:w="6911" w:type="dxa"/>
          </w:tcPr>
          <w:p w14:paraId="329E6DFD" w14:textId="77777777" w:rsidR="00C76BA7" w:rsidRPr="001D064D" w:rsidRDefault="009D006E" w:rsidP="00C76BA7">
            <w:r>
              <w:t xml:space="preserve">25% to </w:t>
            </w:r>
            <w:r w:rsidR="00C76BA7" w:rsidRPr="001D064D">
              <w:t xml:space="preserve">75% </w:t>
            </w:r>
            <w:r w:rsidR="000170FB">
              <w:t>forced mid-expiratory flow rate</w:t>
            </w:r>
          </w:p>
        </w:tc>
      </w:tr>
      <w:tr w:rsidR="00C76BA7" w14:paraId="3D4285F0" w14:textId="77777777" w:rsidTr="00C76BA7">
        <w:tc>
          <w:tcPr>
            <w:tcW w:w="1890" w:type="dxa"/>
          </w:tcPr>
          <w:p w14:paraId="0AF37FBF" w14:textId="77777777" w:rsidR="00C76BA7" w:rsidRPr="001D064D" w:rsidRDefault="00C76BA7" w:rsidP="00C76BA7">
            <w:r w:rsidRPr="001D064D">
              <w:t>FEV1</w:t>
            </w:r>
          </w:p>
        </w:tc>
        <w:tc>
          <w:tcPr>
            <w:tcW w:w="6911" w:type="dxa"/>
          </w:tcPr>
          <w:p w14:paraId="3A788992" w14:textId="77777777" w:rsidR="00C76BA7" w:rsidRPr="001D064D" w:rsidRDefault="00C76BA7" w:rsidP="00C76BA7">
            <w:r w:rsidRPr="001D064D">
              <w:t>force</w:t>
            </w:r>
            <w:r w:rsidR="000170FB">
              <w:t>d expiratory volume in 1 second</w:t>
            </w:r>
          </w:p>
        </w:tc>
      </w:tr>
      <w:tr w:rsidR="00C76BA7" w14:paraId="0035F1B0" w14:textId="77777777" w:rsidTr="00C76BA7">
        <w:tc>
          <w:tcPr>
            <w:tcW w:w="1890" w:type="dxa"/>
          </w:tcPr>
          <w:p w14:paraId="3C1925EC" w14:textId="77777777" w:rsidR="00C76BA7" w:rsidRPr="001D064D" w:rsidRDefault="000170FB" w:rsidP="00C76BA7">
            <w:r>
              <w:t>FEV1/FVC</w:t>
            </w:r>
          </w:p>
        </w:tc>
        <w:tc>
          <w:tcPr>
            <w:tcW w:w="6911" w:type="dxa"/>
          </w:tcPr>
          <w:p w14:paraId="2BD0B17E" w14:textId="77777777" w:rsidR="00C76BA7" w:rsidRPr="001D064D" w:rsidRDefault="00C76BA7" w:rsidP="00C76BA7">
            <w:r w:rsidRPr="001D064D">
              <w:t>forced expiratory volume (L) in 1 se</w:t>
            </w:r>
            <w:r w:rsidR="000170FB">
              <w:t>cond over forced vital capacity</w:t>
            </w:r>
          </w:p>
        </w:tc>
      </w:tr>
      <w:tr w:rsidR="00C76BA7" w14:paraId="12253F02" w14:textId="77777777" w:rsidTr="00C76BA7">
        <w:tc>
          <w:tcPr>
            <w:tcW w:w="1890" w:type="dxa"/>
          </w:tcPr>
          <w:p w14:paraId="3085A848" w14:textId="77777777" w:rsidR="00C76BA7" w:rsidRPr="001D064D" w:rsidRDefault="000170FB" w:rsidP="00C76BA7">
            <w:r>
              <w:t>FVC</w:t>
            </w:r>
          </w:p>
        </w:tc>
        <w:tc>
          <w:tcPr>
            <w:tcW w:w="6911" w:type="dxa"/>
          </w:tcPr>
          <w:p w14:paraId="1295A69B" w14:textId="77777777" w:rsidR="00C76BA7" w:rsidRPr="001D064D" w:rsidRDefault="000170FB" w:rsidP="00C76BA7">
            <w:r>
              <w:t>forced vital capacity</w:t>
            </w:r>
          </w:p>
        </w:tc>
      </w:tr>
      <w:tr w:rsidR="0052340A" w14:paraId="0818E740" w14:textId="77777777" w:rsidTr="00C76BA7">
        <w:tc>
          <w:tcPr>
            <w:tcW w:w="1890" w:type="dxa"/>
          </w:tcPr>
          <w:p w14:paraId="39EEFA22" w14:textId="77777777" w:rsidR="0052340A" w:rsidRDefault="0052340A" w:rsidP="00C76BA7">
            <w:r>
              <w:t>GLP</w:t>
            </w:r>
          </w:p>
        </w:tc>
        <w:tc>
          <w:tcPr>
            <w:tcW w:w="6911" w:type="dxa"/>
          </w:tcPr>
          <w:p w14:paraId="1FFEABFE" w14:textId="77777777" w:rsidR="0052340A" w:rsidRDefault="0052340A" w:rsidP="00C76BA7">
            <w:r>
              <w:t>good laboratory practice</w:t>
            </w:r>
          </w:p>
        </w:tc>
      </w:tr>
      <w:tr w:rsidR="00C76BA7" w14:paraId="19F27585" w14:textId="77777777" w:rsidTr="00C76BA7">
        <w:tc>
          <w:tcPr>
            <w:tcW w:w="1890" w:type="dxa"/>
          </w:tcPr>
          <w:p w14:paraId="3E6C29AA" w14:textId="77777777" w:rsidR="00C76BA7" w:rsidRPr="001D064D" w:rsidRDefault="000170FB" w:rsidP="00C76BA7">
            <w:r>
              <w:t>GLSM</w:t>
            </w:r>
          </w:p>
        </w:tc>
        <w:tc>
          <w:tcPr>
            <w:tcW w:w="6911" w:type="dxa"/>
          </w:tcPr>
          <w:p w14:paraId="56872710" w14:textId="77777777" w:rsidR="00C76BA7" w:rsidRPr="001D064D" w:rsidRDefault="000170FB" w:rsidP="00C76BA7">
            <w:r>
              <w:t>geometric least squares mean</w:t>
            </w:r>
          </w:p>
        </w:tc>
      </w:tr>
      <w:tr w:rsidR="00C76BA7" w14:paraId="551A3643" w14:textId="77777777" w:rsidTr="00C76BA7">
        <w:tc>
          <w:tcPr>
            <w:tcW w:w="1890" w:type="dxa"/>
          </w:tcPr>
          <w:p w14:paraId="05932797" w14:textId="77777777" w:rsidR="00C76BA7" w:rsidRPr="001D064D" w:rsidRDefault="000170FB" w:rsidP="00C76BA7">
            <w:r>
              <w:t>h</w:t>
            </w:r>
          </w:p>
        </w:tc>
        <w:tc>
          <w:tcPr>
            <w:tcW w:w="6911" w:type="dxa"/>
          </w:tcPr>
          <w:p w14:paraId="79628F23" w14:textId="77777777" w:rsidR="00C76BA7" w:rsidRPr="001D064D" w:rsidRDefault="000170FB" w:rsidP="00C76BA7">
            <w:r>
              <w:t>hour/s</w:t>
            </w:r>
          </w:p>
        </w:tc>
      </w:tr>
      <w:tr w:rsidR="00C76BA7" w14:paraId="4CF162D7" w14:textId="77777777" w:rsidTr="00C76BA7">
        <w:tc>
          <w:tcPr>
            <w:tcW w:w="1890" w:type="dxa"/>
          </w:tcPr>
          <w:p w14:paraId="69A08E9D" w14:textId="77777777" w:rsidR="00C76BA7" w:rsidRPr="001D064D" w:rsidRDefault="000170FB" w:rsidP="00C76BA7">
            <w:r>
              <w:t>HBE</w:t>
            </w:r>
          </w:p>
        </w:tc>
        <w:tc>
          <w:tcPr>
            <w:tcW w:w="6911" w:type="dxa"/>
          </w:tcPr>
          <w:p w14:paraId="4F8C1AEA" w14:textId="77777777" w:rsidR="00C76BA7" w:rsidRPr="001D064D" w:rsidRDefault="000170FB" w:rsidP="00C76BA7">
            <w:r>
              <w:t>human bronchial epithelial</w:t>
            </w:r>
          </w:p>
        </w:tc>
      </w:tr>
      <w:tr w:rsidR="00C76BA7" w14:paraId="2221A410" w14:textId="77777777" w:rsidTr="00C76BA7">
        <w:tc>
          <w:tcPr>
            <w:tcW w:w="1890" w:type="dxa"/>
          </w:tcPr>
          <w:p w14:paraId="6369B828" w14:textId="77777777" w:rsidR="00C76BA7" w:rsidRPr="001D064D" w:rsidRDefault="000170FB" w:rsidP="00C76BA7">
            <w:r>
              <w:t>HDL</w:t>
            </w:r>
          </w:p>
        </w:tc>
        <w:tc>
          <w:tcPr>
            <w:tcW w:w="6911" w:type="dxa"/>
          </w:tcPr>
          <w:p w14:paraId="69CABF81" w14:textId="77777777" w:rsidR="00C76BA7" w:rsidRPr="001D064D" w:rsidRDefault="000170FB" w:rsidP="00C76BA7">
            <w:r>
              <w:t>high drug load</w:t>
            </w:r>
          </w:p>
        </w:tc>
      </w:tr>
      <w:tr w:rsidR="0052340A" w14:paraId="6A0E75F1" w14:textId="77777777" w:rsidTr="00C76BA7">
        <w:tc>
          <w:tcPr>
            <w:tcW w:w="1890" w:type="dxa"/>
          </w:tcPr>
          <w:p w14:paraId="7F9FB860" w14:textId="77777777" w:rsidR="0052340A" w:rsidRDefault="0052340A" w:rsidP="00C76BA7">
            <w:r w:rsidRPr="004B7CB2">
              <w:t>hERG K+</w:t>
            </w:r>
          </w:p>
        </w:tc>
        <w:tc>
          <w:tcPr>
            <w:tcW w:w="6911" w:type="dxa"/>
          </w:tcPr>
          <w:p w14:paraId="2D712E6A" w14:textId="77777777" w:rsidR="0052340A" w:rsidRDefault="0052340A" w:rsidP="00C76BA7">
            <w:r>
              <w:t>Human ether a go go related gene (potassium ion channel)</w:t>
            </w:r>
          </w:p>
        </w:tc>
      </w:tr>
      <w:tr w:rsidR="00C76BA7" w14:paraId="3B750912" w14:textId="77777777" w:rsidTr="00C76BA7">
        <w:tc>
          <w:tcPr>
            <w:tcW w:w="1890" w:type="dxa"/>
          </w:tcPr>
          <w:p w14:paraId="47CF8BCC" w14:textId="77777777" w:rsidR="00C76BA7" w:rsidRPr="00E50DAF" w:rsidRDefault="000170FB" w:rsidP="00C76BA7">
            <w:r>
              <w:t>HSA</w:t>
            </w:r>
          </w:p>
        </w:tc>
        <w:tc>
          <w:tcPr>
            <w:tcW w:w="6911" w:type="dxa"/>
          </w:tcPr>
          <w:p w14:paraId="0032E482" w14:textId="77777777" w:rsidR="00C76BA7" w:rsidRPr="00E50DAF" w:rsidRDefault="000170FB" w:rsidP="00C76BA7">
            <w:r>
              <w:t>human serum albumin</w:t>
            </w:r>
          </w:p>
        </w:tc>
      </w:tr>
      <w:tr w:rsidR="00C76BA7" w14:paraId="2E6D7186" w14:textId="77777777" w:rsidTr="00C76BA7">
        <w:tc>
          <w:tcPr>
            <w:tcW w:w="1890" w:type="dxa"/>
          </w:tcPr>
          <w:p w14:paraId="13E9DA13" w14:textId="77777777" w:rsidR="00C76BA7" w:rsidRPr="00E50DAF" w:rsidRDefault="000170FB" w:rsidP="00C76BA7">
            <w:r>
              <w:lastRenderedPageBreak/>
              <w:t>IA</w:t>
            </w:r>
          </w:p>
        </w:tc>
        <w:tc>
          <w:tcPr>
            <w:tcW w:w="6911" w:type="dxa"/>
          </w:tcPr>
          <w:p w14:paraId="0D5FC74C" w14:textId="77777777" w:rsidR="00C76BA7" w:rsidRPr="00E50DAF" w:rsidRDefault="000170FB" w:rsidP="00C76BA7">
            <w:r>
              <w:t>interim analysis</w:t>
            </w:r>
          </w:p>
        </w:tc>
      </w:tr>
      <w:tr w:rsidR="0052340A" w14:paraId="3A7BDFCD" w14:textId="77777777" w:rsidTr="00C76BA7">
        <w:tc>
          <w:tcPr>
            <w:tcW w:w="1890" w:type="dxa"/>
          </w:tcPr>
          <w:p w14:paraId="37A8DD06" w14:textId="77777777" w:rsidR="0052340A" w:rsidRDefault="0052340A" w:rsidP="00C76BA7">
            <w:r w:rsidRPr="004B7CB2">
              <w:t>IC50</w:t>
            </w:r>
          </w:p>
        </w:tc>
        <w:tc>
          <w:tcPr>
            <w:tcW w:w="6911" w:type="dxa"/>
          </w:tcPr>
          <w:p w14:paraId="6434039F" w14:textId="77777777" w:rsidR="0052340A" w:rsidRDefault="0052340A" w:rsidP="00C76BA7">
            <w:r>
              <w:t>half maximal inhibitory concentration</w:t>
            </w:r>
          </w:p>
        </w:tc>
      </w:tr>
      <w:tr w:rsidR="00C76BA7" w14:paraId="1C541C37" w14:textId="77777777" w:rsidTr="00C76BA7">
        <w:tc>
          <w:tcPr>
            <w:tcW w:w="1890" w:type="dxa"/>
          </w:tcPr>
          <w:p w14:paraId="3D458AAC" w14:textId="77777777" w:rsidR="00C76BA7" w:rsidRPr="00E50DAF" w:rsidRDefault="000170FB" w:rsidP="00C76BA7">
            <w:r>
              <w:t>ICH</w:t>
            </w:r>
          </w:p>
        </w:tc>
        <w:tc>
          <w:tcPr>
            <w:tcW w:w="6911" w:type="dxa"/>
          </w:tcPr>
          <w:p w14:paraId="2FE5C21A" w14:textId="77777777" w:rsidR="00C76BA7" w:rsidRPr="00E50DAF" w:rsidRDefault="00C76BA7" w:rsidP="00C76BA7">
            <w:r w:rsidRPr="00E50DAF">
              <w:t>Internatio</w:t>
            </w:r>
            <w:r w:rsidR="000170FB">
              <w:t>nal Conference on Harmonization</w:t>
            </w:r>
          </w:p>
        </w:tc>
      </w:tr>
      <w:tr w:rsidR="00C76BA7" w14:paraId="5414D35A" w14:textId="77777777" w:rsidTr="00C76BA7">
        <w:tc>
          <w:tcPr>
            <w:tcW w:w="1890" w:type="dxa"/>
          </w:tcPr>
          <w:p w14:paraId="61CB295E" w14:textId="77777777" w:rsidR="00C76BA7" w:rsidRPr="00E50DAF" w:rsidRDefault="000170FB" w:rsidP="00C76BA7">
            <w:r>
              <w:t>IVA</w:t>
            </w:r>
          </w:p>
        </w:tc>
        <w:tc>
          <w:tcPr>
            <w:tcW w:w="6911" w:type="dxa"/>
          </w:tcPr>
          <w:p w14:paraId="49FEEE9D" w14:textId="77777777" w:rsidR="00C76BA7" w:rsidRPr="00E50DAF" w:rsidRDefault="00C76BA7" w:rsidP="00C76BA7">
            <w:r w:rsidRPr="00E50DAF">
              <w:t>ivaca</w:t>
            </w:r>
            <w:r w:rsidR="000170FB">
              <w:t>ftor/</w:t>
            </w:r>
            <w:r w:rsidR="008B5A3E">
              <w:t>Kalydeco</w:t>
            </w:r>
            <w:r w:rsidR="000170FB">
              <w:t>/VX-770/VRT-813077</w:t>
            </w:r>
          </w:p>
        </w:tc>
      </w:tr>
      <w:tr w:rsidR="00C76BA7" w14:paraId="4211B472" w14:textId="77777777" w:rsidTr="00C76BA7">
        <w:tc>
          <w:tcPr>
            <w:tcW w:w="1890" w:type="dxa"/>
          </w:tcPr>
          <w:p w14:paraId="3DFD0720" w14:textId="77777777" w:rsidR="00C76BA7" w:rsidRPr="00E50DAF" w:rsidRDefault="000170FB" w:rsidP="00C76BA7">
            <w:r>
              <w:t>Ka</w:t>
            </w:r>
          </w:p>
        </w:tc>
        <w:tc>
          <w:tcPr>
            <w:tcW w:w="6911" w:type="dxa"/>
          </w:tcPr>
          <w:p w14:paraId="2F0731E4" w14:textId="77777777" w:rsidR="00C76BA7" w:rsidRPr="00E50DAF" w:rsidRDefault="000170FB" w:rsidP="00C76BA7">
            <w:r>
              <w:t>first-order absorption rate</w:t>
            </w:r>
          </w:p>
        </w:tc>
      </w:tr>
      <w:tr w:rsidR="00C05866" w14:paraId="5A02BCDC" w14:textId="77777777" w:rsidTr="00C76BA7">
        <w:tc>
          <w:tcPr>
            <w:tcW w:w="1890" w:type="dxa"/>
          </w:tcPr>
          <w:p w14:paraId="3C44513B" w14:textId="77777777" w:rsidR="00C05866" w:rsidRDefault="00C05866" w:rsidP="00C76BA7">
            <w:r>
              <w:t>Ki</w:t>
            </w:r>
          </w:p>
        </w:tc>
        <w:tc>
          <w:tcPr>
            <w:tcW w:w="6911" w:type="dxa"/>
          </w:tcPr>
          <w:p w14:paraId="23ED19C7" w14:textId="77777777" w:rsidR="00C05866" w:rsidRPr="004A47B3" w:rsidRDefault="004A47B3" w:rsidP="004A47B3">
            <w:r w:rsidRPr="004A47B3">
              <w:t>inhibition constant</w:t>
            </w:r>
          </w:p>
        </w:tc>
      </w:tr>
      <w:tr w:rsidR="00C76BA7" w14:paraId="4A25B5B5" w14:textId="77777777" w:rsidTr="00C76BA7">
        <w:tc>
          <w:tcPr>
            <w:tcW w:w="1890" w:type="dxa"/>
          </w:tcPr>
          <w:p w14:paraId="36142E65" w14:textId="77777777" w:rsidR="00C76BA7" w:rsidRPr="00E50DAF" w:rsidRDefault="000170FB" w:rsidP="00C76BA7">
            <w:r>
              <w:t>L</w:t>
            </w:r>
          </w:p>
        </w:tc>
        <w:tc>
          <w:tcPr>
            <w:tcW w:w="6911" w:type="dxa"/>
          </w:tcPr>
          <w:p w14:paraId="3F44B6CD" w14:textId="77777777" w:rsidR="00C76BA7" w:rsidRPr="00E50DAF" w:rsidRDefault="000170FB" w:rsidP="00C76BA7">
            <w:r>
              <w:t>litre</w:t>
            </w:r>
          </w:p>
        </w:tc>
      </w:tr>
      <w:tr w:rsidR="00C76BA7" w14:paraId="3A0EBBC3" w14:textId="77777777" w:rsidTr="00C76BA7">
        <w:tc>
          <w:tcPr>
            <w:tcW w:w="1890" w:type="dxa"/>
          </w:tcPr>
          <w:p w14:paraId="23B8B56D" w14:textId="77777777" w:rsidR="00C76BA7" w:rsidRPr="00E50DAF" w:rsidRDefault="000170FB" w:rsidP="00C76BA7">
            <w:r>
              <w:t>LFT</w:t>
            </w:r>
          </w:p>
        </w:tc>
        <w:tc>
          <w:tcPr>
            <w:tcW w:w="6911" w:type="dxa"/>
          </w:tcPr>
          <w:p w14:paraId="0014D3D1" w14:textId="77777777" w:rsidR="00C76BA7" w:rsidRPr="00E50DAF" w:rsidRDefault="000170FB" w:rsidP="00C76BA7">
            <w:r>
              <w:t>liver function test</w:t>
            </w:r>
          </w:p>
        </w:tc>
      </w:tr>
      <w:tr w:rsidR="00C76BA7" w14:paraId="023373A5" w14:textId="77777777" w:rsidTr="00C76BA7">
        <w:tc>
          <w:tcPr>
            <w:tcW w:w="1890" w:type="dxa"/>
          </w:tcPr>
          <w:p w14:paraId="62460294" w14:textId="77777777" w:rsidR="00C76BA7" w:rsidRPr="00E50DAF" w:rsidRDefault="000170FB" w:rsidP="00C76BA7">
            <w:r>
              <w:t>LS</w:t>
            </w:r>
          </w:p>
        </w:tc>
        <w:tc>
          <w:tcPr>
            <w:tcW w:w="6911" w:type="dxa"/>
          </w:tcPr>
          <w:p w14:paraId="32DDCDF8" w14:textId="77777777" w:rsidR="00C76BA7" w:rsidRPr="00E50DAF" w:rsidRDefault="000170FB" w:rsidP="00C76BA7">
            <w:r>
              <w:t>least squares</w:t>
            </w:r>
          </w:p>
        </w:tc>
      </w:tr>
      <w:tr w:rsidR="00C76BA7" w14:paraId="2ECFA21F" w14:textId="77777777" w:rsidTr="00C76BA7">
        <w:tc>
          <w:tcPr>
            <w:tcW w:w="1890" w:type="dxa"/>
          </w:tcPr>
          <w:p w14:paraId="0AE83E89" w14:textId="77777777" w:rsidR="00C76BA7" w:rsidRPr="00E50DAF" w:rsidRDefault="000170FB" w:rsidP="00C76BA7">
            <w:r>
              <w:t>LUM</w:t>
            </w:r>
          </w:p>
        </w:tc>
        <w:tc>
          <w:tcPr>
            <w:tcW w:w="6911" w:type="dxa"/>
          </w:tcPr>
          <w:p w14:paraId="0AB3CD17" w14:textId="77777777" w:rsidR="00C76BA7" w:rsidRPr="00E50DAF" w:rsidRDefault="000170FB" w:rsidP="00C76BA7">
            <w:r>
              <w:t>lumacaftor/VX-809</w:t>
            </w:r>
          </w:p>
        </w:tc>
      </w:tr>
      <w:tr w:rsidR="00C76BA7" w14:paraId="1A9558A5" w14:textId="77777777" w:rsidTr="00C76BA7">
        <w:tc>
          <w:tcPr>
            <w:tcW w:w="1890" w:type="dxa"/>
          </w:tcPr>
          <w:p w14:paraId="6E8B4160" w14:textId="77777777" w:rsidR="00C76BA7" w:rsidRPr="00E50DAF" w:rsidRDefault="00C76BA7" w:rsidP="00C76BA7">
            <w:r w:rsidRPr="00E50DAF">
              <w:t>M1</w:t>
            </w:r>
          </w:p>
        </w:tc>
        <w:tc>
          <w:tcPr>
            <w:tcW w:w="6911" w:type="dxa"/>
          </w:tcPr>
          <w:p w14:paraId="6F57E912" w14:textId="77777777" w:rsidR="00C76BA7" w:rsidRPr="00E50DAF" w:rsidRDefault="000170FB" w:rsidP="00C76BA7">
            <w:r>
              <w:t>hydroxymethyl-ivacaftor</w:t>
            </w:r>
          </w:p>
        </w:tc>
      </w:tr>
      <w:tr w:rsidR="00C76BA7" w14:paraId="57188EC9" w14:textId="77777777" w:rsidTr="00C76BA7">
        <w:tc>
          <w:tcPr>
            <w:tcW w:w="1890" w:type="dxa"/>
          </w:tcPr>
          <w:p w14:paraId="6E766437" w14:textId="77777777" w:rsidR="00C76BA7" w:rsidRPr="00E50DAF" w:rsidRDefault="000170FB" w:rsidP="00C76BA7">
            <w:r>
              <w:t>M6</w:t>
            </w:r>
          </w:p>
        </w:tc>
        <w:tc>
          <w:tcPr>
            <w:tcW w:w="6911" w:type="dxa"/>
          </w:tcPr>
          <w:p w14:paraId="4EEF8D9D" w14:textId="77777777" w:rsidR="00C76BA7" w:rsidRPr="00E50DAF" w:rsidRDefault="000170FB" w:rsidP="00C76BA7">
            <w:r>
              <w:t>ivacaftor carboxylate</w:t>
            </w:r>
          </w:p>
        </w:tc>
      </w:tr>
      <w:tr w:rsidR="00C76BA7" w14:paraId="2D60DEF8" w14:textId="77777777" w:rsidTr="00C76BA7">
        <w:tc>
          <w:tcPr>
            <w:tcW w:w="1890" w:type="dxa"/>
          </w:tcPr>
          <w:p w14:paraId="642A8B2F" w14:textId="77777777" w:rsidR="00C76BA7" w:rsidRPr="00E50DAF" w:rsidRDefault="000170FB" w:rsidP="00C76BA7">
            <w:r>
              <w:t>MAA</w:t>
            </w:r>
          </w:p>
        </w:tc>
        <w:tc>
          <w:tcPr>
            <w:tcW w:w="6911" w:type="dxa"/>
          </w:tcPr>
          <w:p w14:paraId="4F2A85EE" w14:textId="77777777" w:rsidR="00C76BA7" w:rsidRPr="00E50DAF" w:rsidRDefault="00C76BA7" w:rsidP="00C76BA7">
            <w:r w:rsidRPr="00E50DAF">
              <w:t>Mark</w:t>
            </w:r>
            <w:r w:rsidR="000170FB">
              <w:t>eting Authorization Application</w:t>
            </w:r>
          </w:p>
        </w:tc>
      </w:tr>
      <w:tr w:rsidR="00C76BA7" w14:paraId="73A0F868" w14:textId="77777777" w:rsidTr="00C76BA7">
        <w:tc>
          <w:tcPr>
            <w:tcW w:w="1890" w:type="dxa"/>
          </w:tcPr>
          <w:p w14:paraId="78568BF5" w14:textId="77777777" w:rsidR="00C76BA7" w:rsidRPr="00E50DAF" w:rsidRDefault="000170FB" w:rsidP="00C76BA7">
            <w:r>
              <w:t>MedDRA</w:t>
            </w:r>
          </w:p>
        </w:tc>
        <w:tc>
          <w:tcPr>
            <w:tcW w:w="6911" w:type="dxa"/>
          </w:tcPr>
          <w:p w14:paraId="2B443B3A" w14:textId="77777777" w:rsidR="00C76BA7" w:rsidRPr="00E50DAF" w:rsidRDefault="00C76BA7" w:rsidP="00C76BA7">
            <w:r w:rsidRPr="00E50DAF">
              <w:t>Medical Dicti</w:t>
            </w:r>
            <w:r w:rsidR="000170FB">
              <w:t>onary for Regulatory Activities</w:t>
            </w:r>
          </w:p>
        </w:tc>
      </w:tr>
      <w:tr w:rsidR="00C76BA7" w14:paraId="00AAA0D8" w14:textId="77777777" w:rsidTr="00C76BA7">
        <w:tc>
          <w:tcPr>
            <w:tcW w:w="1890" w:type="dxa"/>
          </w:tcPr>
          <w:p w14:paraId="0166B3E8" w14:textId="77777777" w:rsidR="00C76BA7" w:rsidRPr="00E50DAF" w:rsidRDefault="000170FB" w:rsidP="00C76BA7">
            <w:r>
              <w:t>min</w:t>
            </w:r>
          </w:p>
        </w:tc>
        <w:tc>
          <w:tcPr>
            <w:tcW w:w="6911" w:type="dxa"/>
          </w:tcPr>
          <w:p w14:paraId="5C108427" w14:textId="77777777" w:rsidR="00C76BA7" w:rsidRPr="00E50DAF" w:rsidRDefault="000170FB" w:rsidP="00C76BA7">
            <w:r>
              <w:t>minute/s</w:t>
            </w:r>
          </w:p>
        </w:tc>
      </w:tr>
      <w:tr w:rsidR="00C76BA7" w14:paraId="1B5DC06D" w14:textId="77777777" w:rsidTr="00C76BA7">
        <w:tc>
          <w:tcPr>
            <w:tcW w:w="1890" w:type="dxa"/>
          </w:tcPr>
          <w:p w14:paraId="2CE920CA" w14:textId="77777777" w:rsidR="00C76BA7" w:rsidRPr="00E50DAF" w:rsidRDefault="00C76BA7" w:rsidP="00C76BA7">
            <w:r w:rsidRPr="00E50DAF">
              <w:t>MMRM</w:t>
            </w:r>
          </w:p>
        </w:tc>
        <w:tc>
          <w:tcPr>
            <w:tcW w:w="6911" w:type="dxa"/>
          </w:tcPr>
          <w:p w14:paraId="069BA035" w14:textId="77777777" w:rsidR="00C76BA7" w:rsidRPr="00E50DAF" w:rsidRDefault="00C76BA7" w:rsidP="000170FB">
            <w:r w:rsidRPr="00E50DAF">
              <w:t>mixed-effe</w:t>
            </w:r>
            <w:r w:rsidR="000170FB">
              <w:t>cts model for repeated measures</w:t>
            </w:r>
          </w:p>
        </w:tc>
      </w:tr>
      <w:tr w:rsidR="00681184" w14:paraId="0D3127A2" w14:textId="77777777" w:rsidTr="00C76BA7">
        <w:tc>
          <w:tcPr>
            <w:tcW w:w="1890" w:type="dxa"/>
          </w:tcPr>
          <w:p w14:paraId="76ABC30A" w14:textId="77777777" w:rsidR="00681184" w:rsidRPr="00E50DAF" w:rsidRDefault="00681184" w:rsidP="00C76BA7">
            <w:r>
              <w:t>NMT</w:t>
            </w:r>
          </w:p>
        </w:tc>
        <w:tc>
          <w:tcPr>
            <w:tcW w:w="6911" w:type="dxa"/>
          </w:tcPr>
          <w:p w14:paraId="366649FC" w14:textId="77777777" w:rsidR="00681184" w:rsidRPr="00E50DAF" w:rsidRDefault="00681184" w:rsidP="000170FB">
            <w:r>
              <w:t>not more than</w:t>
            </w:r>
          </w:p>
        </w:tc>
      </w:tr>
      <w:tr w:rsidR="00C76BA7" w14:paraId="5D772DBA" w14:textId="77777777" w:rsidTr="00C76BA7">
        <w:tc>
          <w:tcPr>
            <w:tcW w:w="1890" w:type="dxa"/>
          </w:tcPr>
          <w:p w14:paraId="31CA3896" w14:textId="77777777" w:rsidR="00C76BA7" w:rsidRPr="00E50DAF" w:rsidRDefault="000170FB" w:rsidP="00C76BA7">
            <w:r>
              <w:t>OATP</w:t>
            </w:r>
          </w:p>
        </w:tc>
        <w:tc>
          <w:tcPr>
            <w:tcW w:w="6911" w:type="dxa"/>
          </w:tcPr>
          <w:p w14:paraId="35E997F4" w14:textId="77777777" w:rsidR="00C76BA7" w:rsidRPr="00E50DAF" w:rsidRDefault="00C76BA7" w:rsidP="00C76BA7">
            <w:r w:rsidRPr="00E50DAF">
              <w:t>organic</w:t>
            </w:r>
            <w:r w:rsidR="000170FB">
              <w:t xml:space="preserve"> anion-transporting polypeptide</w:t>
            </w:r>
          </w:p>
        </w:tc>
      </w:tr>
      <w:tr w:rsidR="00C76BA7" w14:paraId="4AAB5EBA" w14:textId="77777777" w:rsidTr="00C76BA7">
        <w:tc>
          <w:tcPr>
            <w:tcW w:w="1890" w:type="dxa"/>
          </w:tcPr>
          <w:p w14:paraId="40221A5A" w14:textId="77777777" w:rsidR="00C76BA7" w:rsidRPr="00E50DAF" w:rsidRDefault="000170FB" w:rsidP="00C76BA7">
            <w:r>
              <w:t>PD</w:t>
            </w:r>
          </w:p>
        </w:tc>
        <w:tc>
          <w:tcPr>
            <w:tcW w:w="6911" w:type="dxa"/>
          </w:tcPr>
          <w:p w14:paraId="7759CA1B" w14:textId="77777777" w:rsidR="00C76BA7" w:rsidRPr="00E50DAF" w:rsidRDefault="000170FB" w:rsidP="00C76BA7">
            <w:r>
              <w:t>pharmacodynamics</w:t>
            </w:r>
          </w:p>
        </w:tc>
      </w:tr>
      <w:tr w:rsidR="00C76BA7" w14:paraId="57683A2F" w14:textId="77777777" w:rsidTr="00C76BA7">
        <w:tc>
          <w:tcPr>
            <w:tcW w:w="1890" w:type="dxa"/>
          </w:tcPr>
          <w:p w14:paraId="2B5DD538" w14:textId="77777777" w:rsidR="00C76BA7" w:rsidRPr="00E50DAF" w:rsidRDefault="000170FB" w:rsidP="00C76BA7">
            <w:r>
              <w:t>P-gp</w:t>
            </w:r>
          </w:p>
        </w:tc>
        <w:tc>
          <w:tcPr>
            <w:tcW w:w="6911" w:type="dxa"/>
          </w:tcPr>
          <w:p w14:paraId="49C9A268" w14:textId="77777777" w:rsidR="00C76BA7" w:rsidRPr="00E50DAF" w:rsidRDefault="000170FB" w:rsidP="00C76BA7">
            <w:r>
              <w:t>P-glycoprotein</w:t>
            </w:r>
          </w:p>
        </w:tc>
      </w:tr>
      <w:tr w:rsidR="00C76BA7" w14:paraId="7F5F59EF" w14:textId="77777777" w:rsidTr="00C76BA7">
        <w:tc>
          <w:tcPr>
            <w:tcW w:w="1890" w:type="dxa"/>
          </w:tcPr>
          <w:p w14:paraId="548D0513" w14:textId="77777777" w:rsidR="00C76BA7" w:rsidRPr="00E50DAF" w:rsidRDefault="000170FB" w:rsidP="00C76BA7">
            <w:r>
              <w:t>PK</w:t>
            </w:r>
          </w:p>
        </w:tc>
        <w:tc>
          <w:tcPr>
            <w:tcW w:w="6911" w:type="dxa"/>
          </w:tcPr>
          <w:p w14:paraId="4108883D" w14:textId="77777777" w:rsidR="00C76BA7" w:rsidRPr="00E50DAF" w:rsidRDefault="000170FB" w:rsidP="00C76BA7">
            <w:r>
              <w:t>pharmacokinetics</w:t>
            </w:r>
          </w:p>
        </w:tc>
      </w:tr>
      <w:tr w:rsidR="00C76BA7" w14:paraId="59BEA8D3" w14:textId="77777777" w:rsidTr="00C76BA7">
        <w:tc>
          <w:tcPr>
            <w:tcW w:w="1890" w:type="dxa"/>
          </w:tcPr>
          <w:p w14:paraId="080A147F" w14:textId="77777777" w:rsidR="00C76BA7" w:rsidRPr="00E50DAF" w:rsidRDefault="00C76BA7" w:rsidP="00C76BA7">
            <w:r w:rsidRPr="00E50DAF">
              <w:t>PO</w:t>
            </w:r>
          </w:p>
        </w:tc>
        <w:tc>
          <w:tcPr>
            <w:tcW w:w="6911" w:type="dxa"/>
          </w:tcPr>
          <w:p w14:paraId="05C10A8E" w14:textId="77777777" w:rsidR="00C76BA7" w:rsidRPr="00E50DAF" w:rsidRDefault="000170FB" w:rsidP="00C76BA7">
            <w:r>
              <w:t>orally</w:t>
            </w:r>
          </w:p>
        </w:tc>
      </w:tr>
      <w:tr w:rsidR="00C76BA7" w14:paraId="3B97FCC0" w14:textId="77777777" w:rsidTr="00C76BA7">
        <w:tc>
          <w:tcPr>
            <w:tcW w:w="1890" w:type="dxa"/>
          </w:tcPr>
          <w:p w14:paraId="025F8C2F" w14:textId="77777777" w:rsidR="00C76BA7" w:rsidRPr="00E50DAF" w:rsidRDefault="000170FB" w:rsidP="00C76BA7">
            <w:r>
              <w:t>popPK</w:t>
            </w:r>
          </w:p>
        </w:tc>
        <w:tc>
          <w:tcPr>
            <w:tcW w:w="6911" w:type="dxa"/>
          </w:tcPr>
          <w:p w14:paraId="26919F46" w14:textId="77777777" w:rsidR="00C76BA7" w:rsidRPr="00E50DAF" w:rsidRDefault="000170FB" w:rsidP="00C76BA7">
            <w:r>
              <w:t>population pharmacokinetics</w:t>
            </w:r>
          </w:p>
        </w:tc>
      </w:tr>
      <w:tr w:rsidR="00C76BA7" w14:paraId="6288337D" w14:textId="77777777" w:rsidTr="00C76BA7">
        <w:tc>
          <w:tcPr>
            <w:tcW w:w="1890" w:type="dxa"/>
          </w:tcPr>
          <w:p w14:paraId="50C824B2" w14:textId="77777777" w:rsidR="00C76BA7" w:rsidRPr="00E50DAF" w:rsidRDefault="000170FB" w:rsidP="00C76BA7">
            <w:r>
              <w:t>ppFEV1</w:t>
            </w:r>
          </w:p>
        </w:tc>
        <w:tc>
          <w:tcPr>
            <w:tcW w:w="6911" w:type="dxa"/>
          </w:tcPr>
          <w:p w14:paraId="29349D6D" w14:textId="77777777" w:rsidR="00C76BA7" w:rsidRPr="004D785B" w:rsidRDefault="004D785B" w:rsidP="004D785B">
            <w:r w:rsidRPr="004D785B">
              <w:t>percent predicted forced expiratory volume in 1 second</w:t>
            </w:r>
          </w:p>
        </w:tc>
      </w:tr>
      <w:tr w:rsidR="00251DE5" w14:paraId="19912868" w14:textId="77777777" w:rsidTr="00C76BA7">
        <w:tc>
          <w:tcPr>
            <w:tcW w:w="1890" w:type="dxa"/>
          </w:tcPr>
          <w:p w14:paraId="1E2C3AE6" w14:textId="77777777" w:rsidR="00251DE5" w:rsidRDefault="00251DE5" w:rsidP="00C76BA7">
            <w:r>
              <w:t>PR interval</w:t>
            </w:r>
          </w:p>
        </w:tc>
        <w:tc>
          <w:tcPr>
            <w:tcW w:w="6911" w:type="dxa"/>
          </w:tcPr>
          <w:p w14:paraId="21DC4008" w14:textId="77777777" w:rsidR="00251DE5" w:rsidRPr="004D785B" w:rsidRDefault="00251DE5" w:rsidP="004D785B">
            <w:r>
              <w:t>The time from the beginning of the P wave (the onset of depolarisation) to the beginning of the QRS complex</w:t>
            </w:r>
          </w:p>
        </w:tc>
      </w:tr>
      <w:tr w:rsidR="00C76BA7" w14:paraId="4FD200FD" w14:textId="77777777" w:rsidTr="00C76BA7">
        <w:tc>
          <w:tcPr>
            <w:tcW w:w="1890" w:type="dxa"/>
          </w:tcPr>
          <w:p w14:paraId="70C7EBC7" w14:textId="77777777" w:rsidR="00C76BA7" w:rsidRPr="00E50DAF" w:rsidRDefault="000170FB" w:rsidP="00C76BA7">
            <w:r>
              <w:lastRenderedPageBreak/>
              <w:t>PT</w:t>
            </w:r>
          </w:p>
        </w:tc>
        <w:tc>
          <w:tcPr>
            <w:tcW w:w="6911" w:type="dxa"/>
          </w:tcPr>
          <w:p w14:paraId="40AD34DE" w14:textId="77777777" w:rsidR="00C76BA7" w:rsidRPr="00E50DAF" w:rsidRDefault="000170FB" w:rsidP="00C76BA7">
            <w:r>
              <w:t>preferred term</w:t>
            </w:r>
          </w:p>
        </w:tc>
      </w:tr>
      <w:tr w:rsidR="00C76BA7" w14:paraId="1E49ABFD" w14:textId="77777777" w:rsidTr="00C76BA7">
        <w:tc>
          <w:tcPr>
            <w:tcW w:w="1890" w:type="dxa"/>
          </w:tcPr>
          <w:p w14:paraId="467CC9AB" w14:textId="77777777" w:rsidR="00C76BA7" w:rsidRPr="00E50DAF" w:rsidRDefault="000170FB" w:rsidP="00C76BA7">
            <w:r>
              <w:t>q12h</w:t>
            </w:r>
          </w:p>
        </w:tc>
        <w:tc>
          <w:tcPr>
            <w:tcW w:w="6911" w:type="dxa"/>
          </w:tcPr>
          <w:p w14:paraId="3C518435" w14:textId="77777777" w:rsidR="00C76BA7" w:rsidRPr="00E50DAF" w:rsidRDefault="000170FB" w:rsidP="00C76BA7">
            <w:r>
              <w:t>every 12 hours</w:t>
            </w:r>
          </w:p>
        </w:tc>
      </w:tr>
      <w:tr w:rsidR="00C76BA7" w14:paraId="62ACD35D" w14:textId="77777777" w:rsidTr="00C76BA7">
        <w:tc>
          <w:tcPr>
            <w:tcW w:w="1890" w:type="dxa"/>
          </w:tcPr>
          <w:p w14:paraId="0B57CE5F" w14:textId="77777777" w:rsidR="00C76BA7" w:rsidRPr="00E50DAF" w:rsidRDefault="000170FB" w:rsidP="00C76BA7">
            <w:r>
              <w:t>QD</w:t>
            </w:r>
          </w:p>
        </w:tc>
        <w:tc>
          <w:tcPr>
            <w:tcW w:w="6911" w:type="dxa"/>
          </w:tcPr>
          <w:p w14:paraId="4294D499" w14:textId="77777777" w:rsidR="00C76BA7" w:rsidRPr="00E50DAF" w:rsidRDefault="000170FB" w:rsidP="00C76BA7">
            <w:r>
              <w:t>once daily</w:t>
            </w:r>
          </w:p>
        </w:tc>
      </w:tr>
      <w:tr w:rsidR="004A47B3" w14:paraId="5A16CA34" w14:textId="77777777" w:rsidTr="00C76BA7">
        <w:tc>
          <w:tcPr>
            <w:tcW w:w="1890" w:type="dxa"/>
          </w:tcPr>
          <w:p w14:paraId="1B357233" w14:textId="77777777" w:rsidR="004A47B3" w:rsidRDefault="004A47B3" w:rsidP="00C76BA7">
            <w:r w:rsidRPr="0092761B">
              <w:t>QTc</w:t>
            </w:r>
          </w:p>
        </w:tc>
        <w:tc>
          <w:tcPr>
            <w:tcW w:w="6911" w:type="dxa"/>
          </w:tcPr>
          <w:p w14:paraId="6C6AD914" w14:textId="77777777" w:rsidR="004A47B3" w:rsidRPr="004A47B3" w:rsidRDefault="004A47B3" w:rsidP="004A47B3">
            <w:r w:rsidRPr="004A47B3">
              <w:t>QT interval corrected</w:t>
            </w:r>
          </w:p>
        </w:tc>
      </w:tr>
      <w:tr w:rsidR="00913299" w14:paraId="463B09F2" w14:textId="77777777" w:rsidTr="00C76BA7">
        <w:tc>
          <w:tcPr>
            <w:tcW w:w="1890" w:type="dxa"/>
          </w:tcPr>
          <w:p w14:paraId="37580322" w14:textId="77777777" w:rsidR="00913299" w:rsidRDefault="00913299" w:rsidP="00C76BA7">
            <w:r>
              <w:t>RR</w:t>
            </w:r>
          </w:p>
        </w:tc>
        <w:tc>
          <w:tcPr>
            <w:tcW w:w="6911" w:type="dxa"/>
          </w:tcPr>
          <w:p w14:paraId="467D0BD0" w14:textId="77777777" w:rsidR="00913299" w:rsidRDefault="009B151C" w:rsidP="00C76BA7">
            <w:r>
              <w:t>Rate ratio</w:t>
            </w:r>
          </w:p>
        </w:tc>
      </w:tr>
      <w:tr w:rsidR="00C76BA7" w14:paraId="39B8F89E" w14:textId="77777777" w:rsidTr="00C76BA7">
        <w:tc>
          <w:tcPr>
            <w:tcW w:w="1890" w:type="dxa"/>
          </w:tcPr>
          <w:p w14:paraId="61F96B85" w14:textId="77777777" w:rsidR="00C76BA7" w:rsidRPr="00E50DAF" w:rsidRDefault="005214D9" w:rsidP="00C76BA7">
            <w:r>
              <w:t>SAE</w:t>
            </w:r>
          </w:p>
        </w:tc>
        <w:tc>
          <w:tcPr>
            <w:tcW w:w="6911" w:type="dxa"/>
          </w:tcPr>
          <w:p w14:paraId="389EA8A8" w14:textId="77777777" w:rsidR="00C76BA7" w:rsidRPr="00E50DAF" w:rsidRDefault="005214D9" w:rsidP="00C76BA7">
            <w:r>
              <w:t>serious adverse event</w:t>
            </w:r>
          </w:p>
        </w:tc>
      </w:tr>
      <w:tr w:rsidR="00C76BA7" w14:paraId="6CACB1BB" w14:textId="77777777" w:rsidTr="00C76BA7">
        <w:tc>
          <w:tcPr>
            <w:tcW w:w="1890" w:type="dxa"/>
          </w:tcPr>
          <w:p w14:paraId="08269919" w14:textId="77777777" w:rsidR="00C76BA7" w:rsidRPr="00E50DAF" w:rsidRDefault="005214D9" w:rsidP="00C76BA7">
            <w:r>
              <w:t>SD</w:t>
            </w:r>
          </w:p>
        </w:tc>
        <w:tc>
          <w:tcPr>
            <w:tcW w:w="6911" w:type="dxa"/>
          </w:tcPr>
          <w:p w14:paraId="4BCC0370" w14:textId="77777777" w:rsidR="00C76BA7" w:rsidRPr="00E50DAF" w:rsidRDefault="005214D9" w:rsidP="00C76BA7">
            <w:r>
              <w:t>standard deviation</w:t>
            </w:r>
          </w:p>
        </w:tc>
      </w:tr>
      <w:tr w:rsidR="008A228D" w14:paraId="4DC87DE4" w14:textId="77777777" w:rsidTr="00C76BA7">
        <w:tc>
          <w:tcPr>
            <w:tcW w:w="1890" w:type="dxa"/>
          </w:tcPr>
          <w:p w14:paraId="382B4F2A" w14:textId="77777777" w:rsidR="008A228D" w:rsidRDefault="008A228D" w:rsidP="00C76BA7">
            <w:r w:rsidRPr="00FD7BCA">
              <w:t>SVPC</w:t>
            </w:r>
          </w:p>
        </w:tc>
        <w:tc>
          <w:tcPr>
            <w:tcW w:w="6911" w:type="dxa"/>
          </w:tcPr>
          <w:p w14:paraId="7088DE63" w14:textId="77777777" w:rsidR="008A228D" w:rsidRDefault="008A228D" w:rsidP="008A228D">
            <w:r w:rsidRPr="00FD7BCA">
              <w:t>supr</w:t>
            </w:r>
            <w:r>
              <w:t>aventricular premature complex</w:t>
            </w:r>
          </w:p>
        </w:tc>
      </w:tr>
      <w:tr w:rsidR="00C76BA7" w14:paraId="7FF248E2" w14:textId="77777777" w:rsidTr="00C76BA7">
        <w:tc>
          <w:tcPr>
            <w:tcW w:w="1890" w:type="dxa"/>
          </w:tcPr>
          <w:p w14:paraId="1F926C78" w14:textId="77777777" w:rsidR="00C76BA7" w:rsidRPr="00E50DAF" w:rsidRDefault="0052340A" w:rsidP="005214D9">
            <w:r>
              <w:t>t</w:t>
            </w:r>
            <w:r w:rsidR="005214D9">
              <w:t>½</w:t>
            </w:r>
          </w:p>
        </w:tc>
        <w:tc>
          <w:tcPr>
            <w:tcW w:w="6911" w:type="dxa"/>
          </w:tcPr>
          <w:p w14:paraId="4F580CDD" w14:textId="77777777" w:rsidR="00C76BA7" w:rsidRPr="00E50DAF" w:rsidRDefault="005214D9" w:rsidP="00C76BA7">
            <w:r>
              <w:t>terminal phase half-life</w:t>
            </w:r>
          </w:p>
        </w:tc>
      </w:tr>
      <w:tr w:rsidR="00C76BA7" w14:paraId="0F4AE1D0" w14:textId="77777777" w:rsidTr="00C76BA7">
        <w:tc>
          <w:tcPr>
            <w:tcW w:w="1890" w:type="dxa"/>
          </w:tcPr>
          <w:p w14:paraId="0CE2F4B3" w14:textId="77777777" w:rsidR="00C76BA7" w:rsidRPr="00E50DAF" w:rsidRDefault="00026051" w:rsidP="00C76BA7">
            <w:r w:rsidRPr="004B7CB2">
              <w:t>T</w:t>
            </w:r>
            <w:r w:rsidRPr="00026051">
              <w:rPr>
                <w:vertAlign w:val="subscript"/>
              </w:rPr>
              <w:t>max</w:t>
            </w:r>
          </w:p>
        </w:tc>
        <w:tc>
          <w:tcPr>
            <w:tcW w:w="6911" w:type="dxa"/>
          </w:tcPr>
          <w:p w14:paraId="79D22E65" w14:textId="77777777" w:rsidR="00C76BA7" w:rsidRPr="00E50DAF" w:rsidRDefault="00C76BA7" w:rsidP="00C76BA7">
            <w:r w:rsidRPr="00E50DAF">
              <w:t>time of the maximum conc</w:t>
            </w:r>
            <w:r w:rsidR="005214D9">
              <w:t>entration</w:t>
            </w:r>
          </w:p>
        </w:tc>
      </w:tr>
      <w:tr w:rsidR="00C76BA7" w14:paraId="01DB7BFD" w14:textId="77777777" w:rsidTr="00C76BA7">
        <w:tc>
          <w:tcPr>
            <w:tcW w:w="1890" w:type="dxa"/>
          </w:tcPr>
          <w:p w14:paraId="46C5ABA0" w14:textId="77777777" w:rsidR="00C76BA7" w:rsidRPr="00E50DAF" w:rsidRDefault="005214D9" w:rsidP="00C76BA7">
            <w:r>
              <w:t>UK</w:t>
            </w:r>
          </w:p>
        </w:tc>
        <w:tc>
          <w:tcPr>
            <w:tcW w:w="6911" w:type="dxa"/>
          </w:tcPr>
          <w:p w14:paraId="2855E268" w14:textId="77777777" w:rsidR="00C76BA7" w:rsidRPr="00E50DAF" w:rsidRDefault="005214D9" w:rsidP="00C76BA7">
            <w:r>
              <w:t>United Kingdom</w:t>
            </w:r>
          </w:p>
        </w:tc>
      </w:tr>
      <w:tr w:rsidR="00C76BA7" w14:paraId="6CC735CD" w14:textId="77777777" w:rsidTr="00C76BA7">
        <w:tc>
          <w:tcPr>
            <w:tcW w:w="1890" w:type="dxa"/>
          </w:tcPr>
          <w:p w14:paraId="5C3041F8" w14:textId="77777777" w:rsidR="00C76BA7" w:rsidRPr="00E50DAF" w:rsidRDefault="005214D9" w:rsidP="00C76BA7">
            <w:r>
              <w:t>ULN</w:t>
            </w:r>
          </w:p>
        </w:tc>
        <w:tc>
          <w:tcPr>
            <w:tcW w:w="6911" w:type="dxa"/>
          </w:tcPr>
          <w:p w14:paraId="425FB59E" w14:textId="77777777" w:rsidR="00C76BA7" w:rsidRPr="00E50DAF" w:rsidRDefault="005214D9" w:rsidP="00C76BA7">
            <w:r>
              <w:t>upper limit of normal</w:t>
            </w:r>
          </w:p>
        </w:tc>
      </w:tr>
      <w:tr w:rsidR="00C76BA7" w14:paraId="61733AE9" w14:textId="77777777" w:rsidTr="00C76BA7">
        <w:tc>
          <w:tcPr>
            <w:tcW w:w="1890" w:type="dxa"/>
          </w:tcPr>
          <w:p w14:paraId="3167FDA6" w14:textId="77777777" w:rsidR="00C76BA7" w:rsidRPr="00E50DAF" w:rsidRDefault="005214D9" w:rsidP="00C76BA7">
            <w:r>
              <w:t>US</w:t>
            </w:r>
          </w:p>
        </w:tc>
        <w:tc>
          <w:tcPr>
            <w:tcW w:w="6911" w:type="dxa"/>
          </w:tcPr>
          <w:p w14:paraId="7D7A8CA9" w14:textId="77777777" w:rsidR="00C76BA7" w:rsidRPr="00E50DAF" w:rsidRDefault="005214D9" w:rsidP="00C76BA7">
            <w:r>
              <w:t>United States</w:t>
            </w:r>
          </w:p>
        </w:tc>
      </w:tr>
      <w:tr w:rsidR="00251DE5" w14:paraId="7047D3FC" w14:textId="77777777" w:rsidTr="00C76BA7">
        <w:tc>
          <w:tcPr>
            <w:tcW w:w="1890" w:type="dxa"/>
          </w:tcPr>
          <w:p w14:paraId="1CA7DEE1" w14:textId="77777777" w:rsidR="00251DE5" w:rsidRDefault="00251DE5" w:rsidP="00C76BA7">
            <w:r>
              <w:t>UV</w:t>
            </w:r>
          </w:p>
        </w:tc>
        <w:tc>
          <w:tcPr>
            <w:tcW w:w="6911" w:type="dxa"/>
          </w:tcPr>
          <w:p w14:paraId="6F1E163B" w14:textId="77777777" w:rsidR="00251DE5" w:rsidRDefault="00251DE5" w:rsidP="00C76BA7">
            <w:r>
              <w:t>ultra violet</w:t>
            </w:r>
          </w:p>
        </w:tc>
      </w:tr>
      <w:tr w:rsidR="00C76BA7" w14:paraId="058F2517" w14:textId="77777777" w:rsidTr="00C76BA7">
        <w:tc>
          <w:tcPr>
            <w:tcW w:w="1890" w:type="dxa"/>
          </w:tcPr>
          <w:p w14:paraId="0E9C62CF" w14:textId="77777777" w:rsidR="00C76BA7" w:rsidRPr="00E50DAF" w:rsidRDefault="005214D9" w:rsidP="00C76BA7">
            <w:r>
              <w:t>Vc/F</w:t>
            </w:r>
          </w:p>
        </w:tc>
        <w:tc>
          <w:tcPr>
            <w:tcW w:w="6911" w:type="dxa"/>
          </w:tcPr>
          <w:p w14:paraId="20876735" w14:textId="77777777" w:rsidR="00C76BA7" w:rsidRPr="00E50DAF" w:rsidRDefault="005214D9" w:rsidP="00C76BA7">
            <w:r>
              <w:t>central volume of distribution</w:t>
            </w:r>
          </w:p>
        </w:tc>
      </w:tr>
      <w:tr w:rsidR="00C76BA7" w14:paraId="1D58EC0B" w14:textId="77777777" w:rsidTr="00C76BA7">
        <w:tc>
          <w:tcPr>
            <w:tcW w:w="1890" w:type="dxa"/>
          </w:tcPr>
          <w:p w14:paraId="5F8E85BF" w14:textId="77777777" w:rsidR="00C76BA7" w:rsidRPr="00E50DAF" w:rsidRDefault="00C76BA7" w:rsidP="00C76BA7">
            <w:r w:rsidRPr="00E50DAF">
              <w:t>Vd</w:t>
            </w:r>
          </w:p>
        </w:tc>
        <w:tc>
          <w:tcPr>
            <w:tcW w:w="6911" w:type="dxa"/>
          </w:tcPr>
          <w:p w14:paraId="79ADD889" w14:textId="77777777" w:rsidR="00C76BA7" w:rsidRPr="00E50DAF" w:rsidRDefault="005214D9" w:rsidP="00C76BA7">
            <w:r>
              <w:t>apparent volume of distribution</w:t>
            </w:r>
          </w:p>
        </w:tc>
      </w:tr>
      <w:tr w:rsidR="00C76BA7" w14:paraId="181AD76C" w14:textId="77777777" w:rsidTr="00C76BA7">
        <w:tc>
          <w:tcPr>
            <w:tcW w:w="1890" w:type="dxa"/>
          </w:tcPr>
          <w:p w14:paraId="7764279A" w14:textId="77777777" w:rsidR="00C76BA7" w:rsidRPr="00E50DAF" w:rsidRDefault="00C76BA7" w:rsidP="00C76BA7">
            <w:r w:rsidRPr="00E50DAF">
              <w:t>Vertex</w:t>
            </w:r>
          </w:p>
        </w:tc>
        <w:tc>
          <w:tcPr>
            <w:tcW w:w="6911" w:type="dxa"/>
          </w:tcPr>
          <w:p w14:paraId="58503555" w14:textId="77777777" w:rsidR="00C76BA7" w:rsidRPr="00E50DAF" w:rsidRDefault="00C76BA7" w:rsidP="00C76BA7">
            <w:r w:rsidRPr="00E50DAF">
              <w:t>Vertex Pharmaceutica</w:t>
            </w:r>
            <w:r w:rsidR="005214D9">
              <w:t>ls Incorporated</w:t>
            </w:r>
          </w:p>
        </w:tc>
      </w:tr>
      <w:tr w:rsidR="00C76BA7" w14:paraId="26B1F162" w14:textId="77777777" w:rsidTr="00C76BA7">
        <w:tc>
          <w:tcPr>
            <w:tcW w:w="1890" w:type="dxa"/>
          </w:tcPr>
          <w:p w14:paraId="58C70008" w14:textId="77777777" w:rsidR="00C76BA7" w:rsidRPr="00E50DAF" w:rsidRDefault="00C76BA7" w:rsidP="00C76BA7">
            <w:r w:rsidRPr="00E50DAF">
              <w:t>Vp/F</w:t>
            </w:r>
          </w:p>
        </w:tc>
        <w:tc>
          <w:tcPr>
            <w:tcW w:w="6911" w:type="dxa"/>
          </w:tcPr>
          <w:p w14:paraId="65591CC7" w14:textId="77777777" w:rsidR="00C76BA7" w:rsidRPr="00E50DAF" w:rsidRDefault="00C76BA7" w:rsidP="00C76BA7">
            <w:r w:rsidRPr="00E50DAF">
              <w:t>peripheral volume of distribution</w:t>
            </w:r>
          </w:p>
        </w:tc>
      </w:tr>
    </w:tbl>
    <w:p w14:paraId="1BFC9899" w14:textId="77777777" w:rsidR="008E7846" w:rsidRDefault="00F53C07" w:rsidP="0048098A">
      <w:pPr>
        <w:pStyle w:val="Heading2"/>
        <w:pageBreakBefore/>
        <w:spacing w:before="120"/>
      </w:pPr>
      <w:bookmarkStart w:id="9" w:name="_Toc462141635"/>
      <w:r>
        <w:lastRenderedPageBreak/>
        <w:t>I.</w:t>
      </w:r>
      <w:r w:rsidR="008E7846">
        <w:t xml:space="preserve"> Introduction to product submission</w:t>
      </w:r>
      <w:bookmarkEnd w:id="9"/>
      <w:bookmarkEnd w:id="1"/>
      <w:bookmarkEnd w:id="3"/>
    </w:p>
    <w:p w14:paraId="4476F3CF" w14:textId="77777777" w:rsidR="008E7846" w:rsidRDefault="008E7846" w:rsidP="008E7846">
      <w:pPr>
        <w:pStyle w:val="Heading3"/>
        <w:rPr>
          <w:lang w:eastAsia="en-AU"/>
        </w:rPr>
      </w:pPr>
      <w:bookmarkStart w:id="10" w:name="_Toc247691502"/>
      <w:bookmarkStart w:id="11" w:name="_Toc314842483"/>
      <w:bookmarkStart w:id="12" w:name="_Toc462141636"/>
      <w:r>
        <w:rPr>
          <w:lang w:eastAsia="en-AU"/>
        </w:rPr>
        <w:t>Submiss</w:t>
      </w:r>
      <w:r w:rsidRPr="004A427B">
        <w:t>i</w:t>
      </w:r>
      <w:r>
        <w:rPr>
          <w:lang w:eastAsia="en-AU"/>
        </w:rPr>
        <w:t>on details</w:t>
      </w:r>
      <w:bookmarkEnd w:id="10"/>
      <w:bookmarkEnd w:id="11"/>
      <w:bookmarkEnd w:id="12"/>
    </w:p>
    <w:tbl>
      <w:tblPr>
        <w:tblW w:w="9497" w:type="dxa"/>
        <w:tblInd w:w="108" w:type="dxa"/>
        <w:tblLook w:val="01E0" w:firstRow="1" w:lastRow="1" w:firstColumn="1" w:lastColumn="1" w:noHBand="0" w:noVBand="0"/>
      </w:tblPr>
      <w:tblGrid>
        <w:gridCol w:w="2907"/>
        <w:gridCol w:w="6590"/>
      </w:tblGrid>
      <w:tr w:rsidR="008E7846" w:rsidRPr="003D1E62" w14:paraId="3ADC0948" w14:textId="77777777" w:rsidTr="0089635C">
        <w:trPr>
          <w:trHeight w:hRule="exact" w:val="454"/>
        </w:trPr>
        <w:tc>
          <w:tcPr>
            <w:tcW w:w="2907" w:type="dxa"/>
          </w:tcPr>
          <w:p w14:paraId="227417F4" w14:textId="77777777" w:rsidR="008E7846" w:rsidRPr="003D1E62" w:rsidRDefault="001B5C90" w:rsidP="001B5C90">
            <w:pPr>
              <w:rPr>
                <w:i/>
              </w:rPr>
            </w:pPr>
            <w:r>
              <w:rPr>
                <w:i/>
              </w:rPr>
              <w:t>Type of s</w:t>
            </w:r>
            <w:r w:rsidR="008E7846" w:rsidRPr="003D1E62">
              <w:rPr>
                <w:i/>
              </w:rPr>
              <w:t>ubmission</w:t>
            </w:r>
            <w:r>
              <w:rPr>
                <w:i/>
              </w:rPr>
              <w:t>:</w:t>
            </w:r>
          </w:p>
        </w:tc>
        <w:tc>
          <w:tcPr>
            <w:tcW w:w="6590" w:type="dxa"/>
          </w:tcPr>
          <w:p w14:paraId="5AC7B79E" w14:textId="77777777" w:rsidR="008E7846" w:rsidRPr="003D1E62" w:rsidRDefault="008E7846" w:rsidP="0040369F">
            <w:r w:rsidRPr="003D1E62">
              <w:t xml:space="preserve">New </w:t>
            </w:r>
            <w:r w:rsidR="001B5C90">
              <w:t>c</w:t>
            </w:r>
            <w:r w:rsidRPr="003D1E62">
              <w:t xml:space="preserve">hemical </w:t>
            </w:r>
            <w:r w:rsidR="001B5C90">
              <w:t>e</w:t>
            </w:r>
            <w:r w:rsidR="0040369F">
              <w:t>ntity in a fixed dose combination</w:t>
            </w:r>
          </w:p>
        </w:tc>
      </w:tr>
      <w:tr w:rsidR="008E7846" w:rsidRPr="003D1E62" w14:paraId="488561DA" w14:textId="77777777" w:rsidTr="0089635C">
        <w:trPr>
          <w:trHeight w:hRule="exact" w:val="454"/>
        </w:trPr>
        <w:tc>
          <w:tcPr>
            <w:tcW w:w="2907" w:type="dxa"/>
          </w:tcPr>
          <w:p w14:paraId="265CE3AD" w14:textId="77777777" w:rsidR="008E7846" w:rsidRPr="003D1E62" w:rsidRDefault="008E7846" w:rsidP="003D1E62">
            <w:r w:rsidRPr="003D1E62">
              <w:rPr>
                <w:i/>
              </w:rPr>
              <w:t>Decision</w:t>
            </w:r>
            <w:r w:rsidRPr="003D1E62">
              <w:t>:</w:t>
            </w:r>
          </w:p>
        </w:tc>
        <w:tc>
          <w:tcPr>
            <w:tcW w:w="6590" w:type="dxa"/>
          </w:tcPr>
          <w:p w14:paraId="5497397D" w14:textId="77777777" w:rsidR="008E7846" w:rsidRPr="003D1E62" w:rsidRDefault="0040369F" w:rsidP="0040369F">
            <w:r>
              <w:t>Approved</w:t>
            </w:r>
          </w:p>
        </w:tc>
      </w:tr>
      <w:tr w:rsidR="008E7846" w:rsidRPr="003D1E62" w14:paraId="24705EB9" w14:textId="77777777" w:rsidTr="0089635C">
        <w:trPr>
          <w:trHeight w:hRule="exact" w:val="454"/>
        </w:trPr>
        <w:tc>
          <w:tcPr>
            <w:tcW w:w="2907" w:type="dxa"/>
          </w:tcPr>
          <w:p w14:paraId="4007C22F"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14:paraId="04B164B0" w14:textId="77777777" w:rsidR="008E7846" w:rsidRPr="003D1E62" w:rsidRDefault="00E2205D" w:rsidP="001B5C90">
            <w:r>
              <w:t>2 March 2016</w:t>
            </w:r>
          </w:p>
        </w:tc>
      </w:tr>
      <w:tr w:rsidR="00ED2922" w:rsidRPr="003D1E62" w14:paraId="12F3B927" w14:textId="77777777" w:rsidTr="0089635C">
        <w:trPr>
          <w:trHeight w:hRule="exact" w:val="454"/>
        </w:trPr>
        <w:tc>
          <w:tcPr>
            <w:tcW w:w="2907" w:type="dxa"/>
          </w:tcPr>
          <w:p w14:paraId="05EEAE2F" w14:textId="77777777" w:rsidR="00ED2922" w:rsidRPr="00441C3F" w:rsidRDefault="00ED2922" w:rsidP="001B5C90">
            <w:pPr>
              <w:rPr>
                <w:i/>
              </w:rPr>
            </w:pPr>
            <w:r w:rsidRPr="00441C3F">
              <w:rPr>
                <w:i/>
              </w:rPr>
              <w:t>Date of entry onto ARTG</w:t>
            </w:r>
          </w:p>
        </w:tc>
        <w:tc>
          <w:tcPr>
            <w:tcW w:w="6590" w:type="dxa"/>
          </w:tcPr>
          <w:p w14:paraId="309D05C9" w14:textId="77777777" w:rsidR="00ED2922" w:rsidRPr="00441C3F" w:rsidRDefault="00E2205D" w:rsidP="00EC463D">
            <w:pPr>
              <w:rPr>
                <w:i/>
              </w:rPr>
            </w:pPr>
            <w:r>
              <w:t>8 March 2016</w:t>
            </w:r>
          </w:p>
        </w:tc>
      </w:tr>
    </w:tbl>
    <w:p w14:paraId="2B12CB6F" w14:textId="77777777"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14:paraId="32F80406" w14:textId="77777777" w:rsidTr="00BF1190">
        <w:tc>
          <w:tcPr>
            <w:tcW w:w="2907" w:type="dxa"/>
          </w:tcPr>
          <w:p w14:paraId="0B1338FE" w14:textId="77777777" w:rsidR="008E7846" w:rsidRPr="00487162" w:rsidRDefault="001B5C90" w:rsidP="00E45619">
            <w:pPr>
              <w:rPr>
                <w:i/>
              </w:rPr>
            </w:pPr>
            <w:r>
              <w:rPr>
                <w:i/>
              </w:rPr>
              <w:t>Activ</w:t>
            </w:r>
            <w:r w:rsidR="00E2205D">
              <w:rPr>
                <w:i/>
              </w:rPr>
              <w:t>e ingredients</w:t>
            </w:r>
            <w:r>
              <w:rPr>
                <w:i/>
              </w:rPr>
              <w:t>:</w:t>
            </w:r>
          </w:p>
        </w:tc>
        <w:tc>
          <w:tcPr>
            <w:tcW w:w="6307" w:type="dxa"/>
          </w:tcPr>
          <w:p w14:paraId="7B7E2FAD" w14:textId="77777777" w:rsidR="008E7846" w:rsidRPr="00487162" w:rsidRDefault="00E2205D" w:rsidP="00E45619">
            <w:r>
              <w:t>lumacaftor, i</w:t>
            </w:r>
            <w:r w:rsidRPr="00E2205D">
              <w:t>vacaftor</w:t>
            </w:r>
          </w:p>
        </w:tc>
      </w:tr>
      <w:tr w:rsidR="008E7846" w:rsidRPr="00487162" w14:paraId="6A92FEC0" w14:textId="77777777" w:rsidTr="00BF1190">
        <w:tc>
          <w:tcPr>
            <w:tcW w:w="2907" w:type="dxa"/>
          </w:tcPr>
          <w:p w14:paraId="6FBF1D8A" w14:textId="77777777" w:rsidR="008E7846" w:rsidRPr="00487162" w:rsidRDefault="008E7846" w:rsidP="001B5C90">
            <w:pPr>
              <w:rPr>
                <w:i/>
              </w:rPr>
            </w:pPr>
            <w:r w:rsidRPr="00487162">
              <w:rPr>
                <w:i/>
              </w:rPr>
              <w:t>Product</w:t>
            </w:r>
            <w:r w:rsidR="00E2205D">
              <w:rPr>
                <w:i/>
              </w:rPr>
              <w:t xml:space="preserve"> name</w:t>
            </w:r>
            <w:r w:rsidR="001B5C90">
              <w:rPr>
                <w:i/>
              </w:rPr>
              <w:t>:</w:t>
            </w:r>
          </w:p>
        </w:tc>
        <w:tc>
          <w:tcPr>
            <w:tcW w:w="6307" w:type="dxa"/>
          </w:tcPr>
          <w:p w14:paraId="11DD1C4A" w14:textId="77777777" w:rsidR="008E7846" w:rsidRPr="00487162" w:rsidRDefault="00E2205D" w:rsidP="00E45619">
            <w:r>
              <w:t>Orkambi</w:t>
            </w:r>
            <w:r w:rsidR="00983F0F">
              <w:t xml:space="preserve"> 200/125</w:t>
            </w:r>
          </w:p>
        </w:tc>
      </w:tr>
      <w:tr w:rsidR="008E7846" w:rsidRPr="00487162" w14:paraId="6F9ADDB2" w14:textId="77777777" w:rsidTr="00BF1190">
        <w:tc>
          <w:tcPr>
            <w:tcW w:w="2907" w:type="dxa"/>
          </w:tcPr>
          <w:p w14:paraId="2443EA9C"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5C8C3ADC" w14:textId="77777777" w:rsidR="008E7846" w:rsidRDefault="00E2205D" w:rsidP="00E45619">
            <w:r>
              <w:t>Vertex Pharmaceuticals Australia Pty Ltd</w:t>
            </w:r>
          </w:p>
          <w:p w14:paraId="0ABB021C" w14:textId="77777777" w:rsidR="00156ACE" w:rsidRDefault="00156ACE" w:rsidP="00E45619">
            <w:r>
              <w:t>Suite 3 Level 3 / 601 Pacific Highway</w:t>
            </w:r>
          </w:p>
          <w:p w14:paraId="434CAD23" w14:textId="77777777" w:rsidR="00156ACE" w:rsidRPr="00487162" w:rsidRDefault="00156ACE" w:rsidP="00E45619">
            <w:r>
              <w:t>St Leonards NSW 2065</w:t>
            </w:r>
          </w:p>
        </w:tc>
      </w:tr>
      <w:tr w:rsidR="008E7846" w:rsidRPr="00487162" w14:paraId="66F8BD82" w14:textId="77777777" w:rsidTr="00BF1190">
        <w:tc>
          <w:tcPr>
            <w:tcW w:w="2907" w:type="dxa"/>
          </w:tcPr>
          <w:p w14:paraId="2337E888" w14:textId="77777777" w:rsidR="008E7846" w:rsidRPr="00487162" w:rsidRDefault="00CD64AB" w:rsidP="00E45619">
            <w:pPr>
              <w:rPr>
                <w:i/>
              </w:rPr>
            </w:pPr>
            <w:r>
              <w:rPr>
                <w:i/>
              </w:rPr>
              <w:t>Dose form</w:t>
            </w:r>
            <w:r w:rsidR="001B5C90">
              <w:rPr>
                <w:i/>
              </w:rPr>
              <w:t>:</w:t>
            </w:r>
          </w:p>
        </w:tc>
        <w:tc>
          <w:tcPr>
            <w:tcW w:w="6307" w:type="dxa"/>
          </w:tcPr>
          <w:p w14:paraId="32E06E6B" w14:textId="77777777" w:rsidR="008E7846" w:rsidRPr="00487162" w:rsidRDefault="00E2205D" w:rsidP="00E45619">
            <w:r>
              <w:t>Film coated tablet</w:t>
            </w:r>
          </w:p>
        </w:tc>
      </w:tr>
      <w:tr w:rsidR="008E7846" w:rsidRPr="00487162" w14:paraId="3B23EDB3" w14:textId="77777777" w:rsidTr="00BF1190">
        <w:tc>
          <w:tcPr>
            <w:tcW w:w="2907" w:type="dxa"/>
          </w:tcPr>
          <w:p w14:paraId="6F8B1EBB" w14:textId="77777777" w:rsidR="008E7846" w:rsidRPr="00487162" w:rsidRDefault="00CD64AB" w:rsidP="00E45619">
            <w:pPr>
              <w:rPr>
                <w:i/>
              </w:rPr>
            </w:pPr>
            <w:r>
              <w:rPr>
                <w:i/>
              </w:rPr>
              <w:t>Strength</w:t>
            </w:r>
            <w:r w:rsidR="005214D9">
              <w:rPr>
                <w:i/>
              </w:rPr>
              <w:t>:</w:t>
            </w:r>
          </w:p>
        </w:tc>
        <w:tc>
          <w:tcPr>
            <w:tcW w:w="6307" w:type="dxa"/>
          </w:tcPr>
          <w:p w14:paraId="4726EB76" w14:textId="77777777" w:rsidR="008E7846" w:rsidRPr="00487162" w:rsidRDefault="00E2205D" w:rsidP="00E45619">
            <w:r>
              <w:t>200</w:t>
            </w:r>
            <w:r w:rsidR="00A02EC9">
              <w:t xml:space="preserve"> </w:t>
            </w:r>
            <w:r>
              <w:t>mg lumacaftor, 125 mg ivacaftor</w:t>
            </w:r>
          </w:p>
        </w:tc>
      </w:tr>
      <w:tr w:rsidR="008E7846" w:rsidRPr="00487162" w14:paraId="08EE3A6F" w14:textId="77777777" w:rsidTr="00BF1190">
        <w:tc>
          <w:tcPr>
            <w:tcW w:w="2907" w:type="dxa"/>
          </w:tcPr>
          <w:p w14:paraId="6C62D214" w14:textId="77777777" w:rsidR="008E7846" w:rsidRPr="00487162" w:rsidRDefault="00CD64AB" w:rsidP="00E45619">
            <w:pPr>
              <w:rPr>
                <w:i/>
              </w:rPr>
            </w:pPr>
            <w:r>
              <w:rPr>
                <w:i/>
              </w:rPr>
              <w:t>Container</w:t>
            </w:r>
            <w:r w:rsidR="008E7846" w:rsidRPr="00487162">
              <w:rPr>
                <w:i/>
              </w:rPr>
              <w:t>:</w:t>
            </w:r>
          </w:p>
        </w:tc>
        <w:tc>
          <w:tcPr>
            <w:tcW w:w="6307" w:type="dxa"/>
          </w:tcPr>
          <w:p w14:paraId="2622323E" w14:textId="77777777" w:rsidR="008E7846" w:rsidRPr="00487162" w:rsidRDefault="00E2205D" w:rsidP="00E45619">
            <w:r>
              <w:t>Blister pack</w:t>
            </w:r>
          </w:p>
        </w:tc>
      </w:tr>
      <w:tr w:rsidR="008E7846" w:rsidRPr="00487162" w14:paraId="3569157B" w14:textId="77777777" w:rsidTr="00BF1190">
        <w:tc>
          <w:tcPr>
            <w:tcW w:w="2907" w:type="dxa"/>
          </w:tcPr>
          <w:p w14:paraId="364479DC" w14:textId="77777777" w:rsidR="008E7846" w:rsidRPr="00487162" w:rsidRDefault="00CD64AB" w:rsidP="00E45619">
            <w:pPr>
              <w:rPr>
                <w:i/>
              </w:rPr>
            </w:pPr>
            <w:r>
              <w:rPr>
                <w:i/>
              </w:rPr>
              <w:t>Pack size</w:t>
            </w:r>
            <w:r w:rsidR="008E7846" w:rsidRPr="00487162">
              <w:rPr>
                <w:i/>
              </w:rPr>
              <w:t>:</w:t>
            </w:r>
          </w:p>
        </w:tc>
        <w:tc>
          <w:tcPr>
            <w:tcW w:w="6307" w:type="dxa"/>
          </w:tcPr>
          <w:p w14:paraId="7C03B5F9" w14:textId="77777777" w:rsidR="008E7846" w:rsidRPr="00487162" w:rsidRDefault="00E2205D" w:rsidP="00E45619">
            <w:r>
              <w:t>112 tablets</w:t>
            </w:r>
          </w:p>
        </w:tc>
      </w:tr>
      <w:tr w:rsidR="008E7846" w:rsidRPr="00487162" w14:paraId="76126A05" w14:textId="77777777" w:rsidTr="00BF1190">
        <w:tc>
          <w:tcPr>
            <w:tcW w:w="2907" w:type="dxa"/>
          </w:tcPr>
          <w:p w14:paraId="1B69EBA0"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98107BB" w14:textId="77777777" w:rsidR="008E7846" w:rsidRPr="00E2205D" w:rsidRDefault="00E2205D" w:rsidP="00E45619">
            <w:pPr>
              <w:rPr>
                <w:rFonts w:eastAsia="MS Mincho"/>
                <w:i/>
                <w:lang w:eastAsia="ja-JP"/>
              </w:rPr>
            </w:pPr>
            <w:r w:rsidRPr="00E2205D">
              <w:rPr>
                <w:rFonts w:eastAsia="MS Mincho"/>
                <w:i/>
                <w:lang w:eastAsia="ja-JP"/>
              </w:rPr>
              <w:t>Orkambi is indicated for the treatment of cystic fibrosis (CF) in patients age 12 years and older who are homozygous for the F508del mutation in the CFTR gene.</w:t>
            </w:r>
          </w:p>
        </w:tc>
      </w:tr>
      <w:tr w:rsidR="008E7846" w:rsidRPr="00487162" w14:paraId="302ADF71" w14:textId="77777777" w:rsidTr="00BF1190">
        <w:tc>
          <w:tcPr>
            <w:tcW w:w="2907" w:type="dxa"/>
          </w:tcPr>
          <w:p w14:paraId="3B7A40E5" w14:textId="77777777" w:rsidR="008E7846" w:rsidRPr="00487162" w:rsidRDefault="00CD64AB" w:rsidP="00E45619">
            <w:pPr>
              <w:rPr>
                <w:i/>
              </w:rPr>
            </w:pPr>
            <w:r>
              <w:rPr>
                <w:i/>
              </w:rPr>
              <w:t>Route</w:t>
            </w:r>
            <w:r w:rsidR="008E7846" w:rsidRPr="00487162">
              <w:rPr>
                <w:i/>
              </w:rPr>
              <w:t xml:space="preserve"> of administration:</w:t>
            </w:r>
          </w:p>
        </w:tc>
        <w:tc>
          <w:tcPr>
            <w:tcW w:w="6307" w:type="dxa"/>
          </w:tcPr>
          <w:p w14:paraId="5C186D6D" w14:textId="77777777" w:rsidR="008E7846" w:rsidRPr="00487162" w:rsidRDefault="00E2205D" w:rsidP="00E45619">
            <w:r>
              <w:t>oral</w:t>
            </w:r>
          </w:p>
        </w:tc>
      </w:tr>
      <w:tr w:rsidR="008E7846" w:rsidRPr="00487162" w14:paraId="1C6ED40A" w14:textId="77777777" w:rsidTr="00BF1190">
        <w:tc>
          <w:tcPr>
            <w:tcW w:w="2907" w:type="dxa"/>
          </w:tcPr>
          <w:p w14:paraId="77CABAA7" w14:textId="77777777" w:rsidR="008E7846" w:rsidRPr="00487162" w:rsidRDefault="008E7846" w:rsidP="00E45619">
            <w:pPr>
              <w:rPr>
                <w:i/>
              </w:rPr>
            </w:pPr>
            <w:r w:rsidRPr="00487162">
              <w:rPr>
                <w:i/>
              </w:rPr>
              <w:t>Dosage:</w:t>
            </w:r>
          </w:p>
        </w:tc>
        <w:tc>
          <w:tcPr>
            <w:tcW w:w="6307" w:type="dxa"/>
          </w:tcPr>
          <w:p w14:paraId="3767993F" w14:textId="77777777" w:rsidR="008E7846" w:rsidRPr="00487162" w:rsidRDefault="009D04E4" w:rsidP="00E45619">
            <w:r>
              <w:t>The proposed dosage is 400 mg lumacaftor and 250 mg ivacaftor twice daily (two tablets every 12 hours). For further details regarding dosage please see the Product Information.</w:t>
            </w:r>
          </w:p>
        </w:tc>
      </w:tr>
      <w:tr w:rsidR="008E7846" w:rsidRPr="00487162" w14:paraId="1EEE0A9B" w14:textId="77777777" w:rsidTr="00BF1190">
        <w:tc>
          <w:tcPr>
            <w:tcW w:w="2907" w:type="dxa"/>
          </w:tcPr>
          <w:p w14:paraId="62C9486A" w14:textId="77777777" w:rsidR="008E7846" w:rsidRPr="00487162" w:rsidRDefault="008E7846" w:rsidP="001B5C90">
            <w:pPr>
              <w:rPr>
                <w:i/>
              </w:rPr>
            </w:pPr>
            <w:r w:rsidRPr="00487162">
              <w:rPr>
                <w:i/>
              </w:rPr>
              <w:t xml:space="preserve">ARTG </w:t>
            </w:r>
            <w:r w:rsidR="001B5C90">
              <w:rPr>
                <w:i/>
              </w:rPr>
              <w:t>n</w:t>
            </w:r>
            <w:r w:rsidR="00E2205D">
              <w:rPr>
                <w:i/>
              </w:rPr>
              <w:t>umber</w:t>
            </w:r>
            <w:r w:rsidR="001B5C90">
              <w:rPr>
                <w:i/>
              </w:rPr>
              <w:t>:</w:t>
            </w:r>
          </w:p>
        </w:tc>
        <w:tc>
          <w:tcPr>
            <w:tcW w:w="6307" w:type="dxa"/>
          </w:tcPr>
          <w:p w14:paraId="5EEC00F8" w14:textId="77777777" w:rsidR="008E7846" w:rsidRPr="00487162" w:rsidRDefault="00E2205D" w:rsidP="00E2205D">
            <w:r>
              <w:t>235759</w:t>
            </w:r>
          </w:p>
        </w:tc>
      </w:tr>
    </w:tbl>
    <w:p w14:paraId="2D198DFD" w14:textId="77777777" w:rsidR="008E7846" w:rsidRDefault="008E7846" w:rsidP="004A427B">
      <w:pPr>
        <w:pStyle w:val="Heading3"/>
      </w:pPr>
      <w:bookmarkStart w:id="13" w:name="_Toc247691503"/>
      <w:bookmarkStart w:id="14" w:name="_Toc314842484"/>
      <w:bookmarkStart w:id="15" w:name="_Toc462141637"/>
      <w:r>
        <w:t>Product background</w:t>
      </w:r>
      <w:bookmarkEnd w:id="13"/>
      <w:bookmarkEnd w:id="14"/>
      <w:bookmarkEnd w:id="15"/>
    </w:p>
    <w:p w14:paraId="4868E6CC" w14:textId="77777777" w:rsidR="008E7846" w:rsidRDefault="00940A89" w:rsidP="00940A89">
      <w:r w:rsidRPr="00940A89">
        <w:t xml:space="preserve">This AusPAR describes the application by </w:t>
      </w:r>
      <w:r w:rsidR="009D04E4" w:rsidRPr="009D04E4">
        <w:t xml:space="preserve">Vertex Pharmaceuticals Australia Pty Ltd </w:t>
      </w:r>
      <w:r w:rsidR="00343630">
        <w:t>(</w:t>
      </w:r>
      <w:r w:rsidRPr="00940A89">
        <w:t>the sponsor</w:t>
      </w:r>
      <w:r w:rsidR="00343630">
        <w:t>)</w:t>
      </w:r>
      <w:r w:rsidRPr="00940A89">
        <w:t xml:space="preserve"> to register </w:t>
      </w:r>
      <w:r w:rsidR="00343630" w:rsidRPr="00343630">
        <w:t>Orkambi</w:t>
      </w:r>
      <w:r w:rsidR="00983F0F">
        <w:t xml:space="preserve"> 200/125 </w:t>
      </w:r>
      <w:r w:rsidRPr="00940A89">
        <w:t>f</w:t>
      </w:r>
      <w:r w:rsidR="00343630">
        <w:t>or the following indication:</w:t>
      </w:r>
    </w:p>
    <w:p w14:paraId="7B6AE950" w14:textId="77777777" w:rsidR="00343630" w:rsidRDefault="00343630" w:rsidP="00A02EC9">
      <w:pPr>
        <w:ind w:left="720"/>
      </w:pPr>
      <w:r w:rsidRPr="00343630">
        <w:rPr>
          <w:i/>
        </w:rPr>
        <w:t>Orkambi is indicated for the treatment of cystic fibrosis (CF) in patients age 12 years and older who are homozygous for the F508del mutation in the CFTR gene.</w:t>
      </w:r>
    </w:p>
    <w:p w14:paraId="4F858DA9" w14:textId="77777777" w:rsidR="00343630" w:rsidRDefault="00343630" w:rsidP="00343630">
      <w:r w:rsidRPr="00343630">
        <w:t>Cystic Fibrosis (CF) is caused by mutations in the CF transmembrane conductance regulator (CFTR) gene that result</w:t>
      </w:r>
      <w:r w:rsidR="00A02EC9">
        <w:t xml:space="preserve"> </w:t>
      </w:r>
      <w:r w:rsidRPr="00343630">
        <w:t xml:space="preserve">in absent or deficient function of the CFTR protein at the cell surface. </w:t>
      </w:r>
      <w:r w:rsidR="008B5A3E" w:rsidRPr="004B7CB2">
        <w:t>The most common mutation in people with CF, the F508del mutation disrupts the folding</w:t>
      </w:r>
      <w:r w:rsidR="008B5A3E">
        <w:t xml:space="preserve"> and domain assembly of the CFTR protein</w:t>
      </w:r>
      <w:r w:rsidR="008B5A3E" w:rsidRPr="004B7CB2">
        <w:t xml:space="preserve"> leading to reduced trafficking to the </w:t>
      </w:r>
      <w:r w:rsidR="008B5A3E" w:rsidRPr="004B7CB2">
        <w:lastRenderedPageBreak/>
        <w:t>cell surface, reduced cell surface stability, and impaired chloride channel gating</w:t>
      </w:r>
      <w:r w:rsidR="008B5A3E">
        <w:t>.</w:t>
      </w:r>
      <w:bookmarkStart w:id="16" w:name="_Ref456622672"/>
      <w:r w:rsidR="008B5A3E">
        <w:rPr>
          <w:rStyle w:val="FootnoteReference"/>
        </w:rPr>
        <w:footnoteReference w:id="1"/>
      </w:r>
      <w:bookmarkEnd w:id="16"/>
      <w:r w:rsidR="008B5A3E" w:rsidRPr="004B7CB2">
        <w:t xml:space="preserve"> </w:t>
      </w:r>
      <w:bookmarkStart w:id="17" w:name="_Ref456622688"/>
      <w:r w:rsidR="008B5A3E">
        <w:rPr>
          <w:rStyle w:val="FootnoteReference"/>
        </w:rPr>
        <w:footnoteReference w:id="2"/>
      </w:r>
      <w:bookmarkEnd w:id="17"/>
      <w:r w:rsidR="008B5A3E">
        <w:t xml:space="preserve"> The </w:t>
      </w:r>
      <w:r w:rsidRPr="00343630">
        <w:t>F</w:t>
      </w:r>
      <w:r w:rsidR="005214D9">
        <w:t xml:space="preserve">508del CFTR has been described </w:t>
      </w:r>
      <w:r w:rsidR="00A02EC9">
        <w:t>as a ‘</w:t>
      </w:r>
      <w:r w:rsidRPr="00343630">
        <w:t>severe</w:t>
      </w:r>
      <w:r w:rsidR="008B5A3E">
        <w:t xml:space="preserve"> ‘</w:t>
      </w:r>
      <w:r w:rsidR="00A02EC9">
        <w:t>CFTR mutation. The F508del</w:t>
      </w:r>
      <w:r w:rsidR="00A02EC9">
        <w:noBreakHyphen/>
      </w:r>
      <w:r w:rsidRPr="00343630">
        <w:t>CFTR homozygote clinical phenotype is character</w:t>
      </w:r>
      <w:r w:rsidR="00A02EC9">
        <w:t>ise</w:t>
      </w:r>
      <w:r w:rsidRPr="00343630">
        <w:t>d by an early onset of clinical manifestations, a high incidence of pancreatic insufficiency, colonization with Pseudomonas aeruginosa, a more rapid rate of lung function decline, and shorter life expectancy. These patients demonstrate progression of disease with advancing age and have a decreased life expectancy.</w:t>
      </w:r>
    </w:p>
    <w:p w14:paraId="51985FF0" w14:textId="77777777" w:rsidR="007C6C83" w:rsidRDefault="007C6C83" w:rsidP="004A427B">
      <w:r w:rsidRPr="00343630">
        <w:t>Approximately 44 to 52% of total CF patients in Australia are homozygous for the F508del-CFTR mutation. Patients with CF who are homozygous for the F508del-CFTR mutation have a high unmet medical need and none of the currently approved treatments for this population tr</w:t>
      </w:r>
      <w:r>
        <w:t>eat the underlying cause of CF.</w:t>
      </w:r>
    </w:p>
    <w:p w14:paraId="5DA56855" w14:textId="77777777" w:rsidR="000E6C79" w:rsidRDefault="00343630" w:rsidP="00343630">
      <w:r w:rsidRPr="00343630">
        <w:t>Ivacaftor (IVA, approved as K</w:t>
      </w:r>
      <w:r w:rsidR="00A02EC9" w:rsidRPr="00343630">
        <w:t>alydeco</w:t>
      </w:r>
      <w:r w:rsidRPr="00343630">
        <w:t>) targets the molecular defect in the CFTR protein that is the underlying cause of CF. Ivacaftor was first approved in Australia on 9 July 2013 for the treatment of cystic fibrosis in patients aged six years and older who have a G551D mutation in the CFTR gene. The indication was extended later to patients age 6 years and older who have a G551D or other gating (class III) mutation in the CFTR. About 5% of patient</w:t>
      </w:r>
      <w:r w:rsidR="007C6C83">
        <w:t>s with CF have these mutations.</w:t>
      </w:r>
    </w:p>
    <w:p w14:paraId="2DA05F2B" w14:textId="77777777" w:rsidR="00940A89" w:rsidRDefault="00343630" w:rsidP="00940A89">
      <w:r w:rsidRPr="00343630">
        <w:t>Lumacaftor (LUM, also known as VX-809) is a CFTR corrector. LUM acts on CFTR to facilitate the cellular processing and trafficking of CFTR, allowing the protein to reach the cell surface, where it exhibits improved chloride channel function compared to uncorrected F508del-CFTR. The channel gating activity of F508del-CFTR that has been delivered to the cell surface by LUM can be potentiated by IVA to further enhance chloride transport. The combination of a CFTR corrector and potentiator is a novel approach to enhance the amount and function of the defective CFTR protein in patients with CF who have the F508del-CFTR mutation.</w:t>
      </w:r>
    </w:p>
    <w:p w14:paraId="7C6FC9BC" w14:textId="77777777" w:rsidR="008E7846" w:rsidRPr="003F31A2" w:rsidRDefault="00386150" w:rsidP="004A427B">
      <w:pPr>
        <w:pStyle w:val="Heading3"/>
      </w:pPr>
      <w:bookmarkStart w:id="18" w:name="_Toc314842485"/>
      <w:bookmarkStart w:id="19" w:name="_Toc247691504"/>
      <w:bookmarkStart w:id="20" w:name="_Toc462141638"/>
      <w:r>
        <w:t>Regulatory s</w:t>
      </w:r>
      <w:r w:rsidR="008E7846">
        <w:t>tatus</w:t>
      </w:r>
      <w:bookmarkEnd w:id="18"/>
      <w:bookmarkEnd w:id="19"/>
      <w:bookmarkEnd w:id="20"/>
    </w:p>
    <w:p w14:paraId="679B3EAF" w14:textId="77777777" w:rsidR="00CD64AB" w:rsidRDefault="00940A89" w:rsidP="00940A89">
      <w:bookmarkStart w:id="21" w:name="_Toc247691505"/>
      <w:bookmarkStart w:id="22" w:name="_Toc314842486"/>
      <w:r w:rsidRPr="00940A89">
        <w:t>The product received initial registration on the Australian Register of Therapeutic Goods (ARTG) on</w:t>
      </w:r>
      <w:r w:rsidR="00A02EC9">
        <w:t xml:space="preserve"> 8 March 2016.</w:t>
      </w:r>
    </w:p>
    <w:p w14:paraId="49C0B67C" w14:textId="77777777" w:rsidR="005214D9" w:rsidRPr="00940A89" w:rsidRDefault="005214D9" w:rsidP="00940A89">
      <w:r w:rsidRPr="00FD22FB">
        <w:t>Vertex began the clinical development of LUM in the US in 2007 and subsequently expanded the development to include the EU, Canada, and Australia. US Fast Track (</w:t>
      </w:r>
      <w:r w:rsidR="00303FCD">
        <w:t>Food and Drug Administration</w:t>
      </w:r>
      <w:r w:rsidR="00303FCD" w:rsidRPr="00FD22FB">
        <w:t xml:space="preserve"> </w:t>
      </w:r>
      <w:r w:rsidR="00303FCD">
        <w:t>(</w:t>
      </w:r>
      <w:r w:rsidRPr="00FD22FB">
        <w:t>FDA</w:t>
      </w:r>
      <w:r w:rsidR="00303FCD">
        <w:t>)</w:t>
      </w:r>
      <w:r w:rsidRPr="00FD22FB">
        <w:t>, 17 January 2008) and Breakthrough designations (FDA, 07 December 2012) were granted to LUM. The LUM/IVA</w:t>
      </w:r>
      <w:r>
        <w:t xml:space="preserve"> </w:t>
      </w:r>
      <w:r w:rsidRPr="00FD22FB">
        <w:t>combination development program consists of 17 clinical studies: 15 completed studies and 2 ongoing studies.</w:t>
      </w:r>
    </w:p>
    <w:p w14:paraId="01259701" w14:textId="77777777" w:rsidR="00940A89" w:rsidRDefault="00940A89" w:rsidP="00940A89">
      <w:r w:rsidRPr="00940A89">
        <w:t xml:space="preserve">At the time the </w:t>
      </w:r>
      <w:r w:rsidR="005214D9">
        <w:t>TGA considered this application</w:t>
      </w:r>
      <w:r w:rsidRPr="00940A89">
        <w:t xml:space="preserve"> a similar application had been approved </w:t>
      </w:r>
      <w:r w:rsidR="00CD64AB">
        <w:t>or</w:t>
      </w:r>
      <w:r w:rsidRPr="00940A89">
        <w:t xml:space="preserve"> was under co</w:t>
      </w:r>
      <w:r>
        <w:t xml:space="preserve">nsideration in </w:t>
      </w:r>
      <w:r w:rsidR="00CD64AB">
        <w:t>the countries as shown in Table 1</w:t>
      </w:r>
      <w:r>
        <w:t>.</w:t>
      </w:r>
    </w:p>
    <w:p w14:paraId="1A1EC0AE" w14:textId="77777777" w:rsidR="00CD64AB" w:rsidRDefault="00CD64AB" w:rsidP="004A427B">
      <w:pPr>
        <w:pStyle w:val="TableTitle"/>
        <w:pageBreakBefore/>
      </w:pPr>
      <w:r>
        <w:lastRenderedPageBreak/>
        <w:t>Table 1 Overseas Regulatory status</w:t>
      </w:r>
    </w:p>
    <w:tbl>
      <w:tblPr>
        <w:tblStyle w:val="TableTGAblue"/>
        <w:tblW w:w="0" w:type="auto"/>
        <w:tblLook w:val="04A0" w:firstRow="1" w:lastRow="0" w:firstColumn="1" w:lastColumn="0" w:noHBand="0" w:noVBand="1"/>
      </w:tblPr>
      <w:tblGrid>
        <w:gridCol w:w="4360"/>
        <w:gridCol w:w="4360"/>
      </w:tblGrid>
      <w:tr w:rsidR="00CD64AB" w14:paraId="021677FD" w14:textId="77777777" w:rsidTr="00CD64AB">
        <w:trPr>
          <w:cnfStyle w:val="100000000000" w:firstRow="1" w:lastRow="0" w:firstColumn="0" w:lastColumn="0" w:oddVBand="0" w:evenVBand="0" w:oddHBand="0" w:evenHBand="0" w:firstRowFirstColumn="0" w:firstRowLastColumn="0" w:lastRowFirstColumn="0" w:lastRowLastColumn="0"/>
        </w:trPr>
        <w:tc>
          <w:tcPr>
            <w:tcW w:w="4360" w:type="dxa"/>
          </w:tcPr>
          <w:p w14:paraId="28D29959" w14:textId="77777777" w:rsidR="00CD64AB" w:rsidRDefault="00CD64AB" w:rsidP="00940A89">
            <w:r>
              <w:t>Country</w:t>
            </w:r>
          </w:p>
        </w:tc>
        <w:tc>
          <w:tcPr>
            <w:tcW w:w="4360" w:type="dxa"/>
          </w:tcPr>
          <w:p w14:paraId="3251AAE9" w14:textId="77777777" w:rsidR="00CD64AB" w:rsidRDefault="00CD64AB" w:rsidP="00940A89">
            <w:r>
              <w:t>Status</w:t>
            </w:r>
          </w:p>
        </w:tc>
      </w:tr>
      <w:tr w:rsidR="00CD64AB" w14:paraId="63B433CA" w14:textId="77777777" w:rsidTr="00CD64AB">
        <w:tc>
          <w:tcPr>
            <w:tcW w:w="4360" w:type="dxa"/>
          </w:tcPr>
          <w:p w14:paraId="3305DDBF" w14:textId="77777777" w:rsidR="00CD64AB" w:rsidRDefault="00CD64AB" w:rsidP="00940A89">
            <w:r>
              <w:t>Europe (EMA)</w:t>
            </w:r>
          </w:p>
        </w:tc>
        <w:tc>
          <w:tcPr>
            <w:tcW w:w="4360" w:type="dxa"/>
          </w:tcPr>
          <w:p w14:paraId="0318A665" w14:textId="77777777" w:rsidR="00CD64AB" w:rsidRDefault="00CD64AB" w:rsidP="00940A89">
            <w:r>
              <w:t>Approved 19 November 2105</w:t>
            </w:r>
          </w:p>
        </w:tc>
      </w:tr>
      <w:tr w:rsidR="00CD64AB" w14:paraId="4B7CE314" w14:textId="77777777" w:rsidTr="00CD64AB">
        <w:tc>
          <w:tcPr>
            <w:tcW w:w="4360" w:type="dxa"/>
          </w:tcPr>
          <w:p w14:paraId="1333AC55" w14:textId="77777777" w:rsidR="00CD64AB" w:rsidRDefault="00CD64AB" w:rsidP="00940A89">
            <w:r>
              <w:t>USA (FDA)</w:t>
            </w:r>
          </w:p>
        </w:tc>
        <w:tc>
          <w:tcPr>
            <w:tcW w:w="4360" w:type="dxa"/>
          </w:tcPr>
          <w:p w14:paraId="406706CE" w14:textId="77777777" w:rsidR="00CD64AB" w:rsidRDefault="00CD64AB" w:rsidP="00940A89">
            <w:r>
              <w:t>Approved 2 July 2015</w:t>
            </w:r>
          </w:p>
        </w:tc>
      </w:tr>
      <w:tr w:rsidR="00CD64AB" w14:paraId="021CDB40" w14:textId="77777777" w:rsidTr="00CD64AB">
        <w:tc>
          <w:tcPr>
            <w:tcW w:w="4360" w:type="dxa"/>
          </w:tcPr>
          <w:p w14:paraId="112052BB" w14:textId="77777777" w:rsidR="00CD64AB" w:rsidRDefault="00CD64AB" w:rsidP="00940A89">
            <w:r>
              <w:t>Canada</w:t>
            </w:r>
          </w:p>
        </w:tc>
        <w:tc>
          <w:tcPr>
            <w:tcW w:w="4360" w:type="dxa"/>
          </w:tcPr>
          <w:p w14:paraId="201288F5" w14:textId="77777777" w:rsidR="00CD64AB" w:rsidRDefault="00CD64AB" w:rsidP="00940A89">
            <w:r>
              <w:t>Under evaluation</w:t>
            </w:r>
          </w:p>
        </w:tc>
      </w:tr>
      <w:tr w:rsidR="00CD64AB" w14:paraId="266F2EBB" w14:textId="77777777" w:rsidTr="00CD64AB">
        <w:tc>
          <w:tcPr>
            <w:tcW w:w="4360" w:type="dxa"/>
          </w:tcPr>
          <w:p w14:paraId="2813DB3A" w14:textId="77777777" w:rsidR="00CD64AB" w:rsidRDefault="00CD64AB" w:rsidP="00940A89">
            <w:r>
              <w:t>Switzerland</w:t>
            </w:r>
          </w:p>
        </w:tc>
        <w:tc>
          <w:tcPr>
            <w:tcW w:w="4360" w:type="dxa"/>
          </w:tcPr>
          <w:p w14:paraId="1CCE03A9" w14:textId="77777777" w:rsidR="00CD64AB" w:rsidRDefault="00CD64AB" w:rsidP="00940A89">
            <w:r>
              <w:t>Submitted 13 November 2015</w:t>
            </w:r>
          </w:p>
        </w:tc>
      </w:tr>
    </w:tbl>
    <w:p w14:paraId="12608897" w14:textId="2C924EFB" w:rsidR="00E26C37" w:rsidRDefault="004A427B" w:rsidP="004A427B">
      <w:pPr>
        <w:pStyle w:val="Heading4"/>
      </w:pPr>
      <w:r>
        <w:t>Orphan r</w:t>
      </w:r>
      <w:r w:rsidR="00E26C37">
        <w:t xml:space="preserve">egulatory </w:t>
      </w:r>
      <w:r>
        <w:t>s</w:t>
      </w:r>
      <w:r w:rsidR="00E26C37">
        <w:t>tatus</w:t>
      </w:r>
    </w:p>
    <w:p w14:paraId="1C64B55E" w14:textId="77777777" w:rsidR="00E26C37" w:rsidRPr="00B849CE" w:rsidRDefault="00E26C37" w:rsidP="00E26C37">
      <w:r>
        <w:t>O</w:t>
      </w:r>
      <w:r w:rsidRPr="00B849CE">
        <w:t xml:space="preserve">rphan designation for </w:t>
      </w:r>
      <w:r>
        <w:t>Orkambi</w:t>
      </w:r>
      <w:r w:rsidRPr="00B849CE">
        <w:t xml:space="preserve"> was granted in September 2014</w:t>
      </w:r>
      <w:r>
        <w:t>.</w:t>
      </w:r>
    </w:p>
    <w:p w14:paraId="5E8E8694" w14:textId="77777777" w:rsidR="008E7846" w:rsidRDefault="008E7846" w:rsidP="004A427B">
      <w:pPr>
        <w:pStyle w:val="Heading3"/>
      </w:pPr>
      <w:bookmarkStart w:id="23" w:name="_Toc462141639"/>
      <w:r>
        <w:t>Product Information</w:t>
      </w:r>
      <w:bookmarkEnd w:id="21"/>
      <w:bookmarkEnd w:id="22"/>
      <w:bookmarkEnd w:id="23"/>
    </w:p>
    <w:p w14:paraId="1CCDB4C8" w14:textId="77777777" w:rsidR="00A02EC9" w:rsidRDefault="00A02EC9" w:rsidP="00A02EC9">
      <w:pPr>
        <w:rPr>
          <w:b/>
          <w:bCs/>
        </w:rPr>
      </w:pPr>
      <w:bookmarkStart w:id="24" w:name="_Toc247691506"/>
      <w:bookmarkStart w:id="25"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&lt;</w:t>
      </w:r>
      <w:hyperlink r:id="rId14" w:history="1">
        <w:r w:rsidRPr="00441C3F">
          <w:rPr>
            <w:rStyle w:val="Hyperlink"/>
          </w:rPr>
          <w:t>https://www.tga.gov.au/product-information-pi</w:t>
        </w:r>
      </w:hyperlink>
      <w:r>
        <w:t>&gt;</w:t>
      </w:r>
      <w:r w:rsidRPr="00940A89">
        <w:t>.</w:t>
      </w:r>
    </w:p>
    <w:p w14:paraId="1A9D2E68" w14:textId="77777777" w:rsidR="008E7846" w:rsidRPr="003602A9" w:rsidRDefault="008E7846" w:rsidP="004A427B">
      <w:pPr>
        <w:pStyle w:val="Heading2"/>
      </w:pPr>
      <w:bookmarkStart w:id="26" w:name="_Toc462141640"/>
      <w:r>
        <w:t>II. Quality</w:t>
      </w:r>
      <w:bookmarkEnd w:id="2"/>
      <w:r>
        <w:t xml:space="preserve"> findings</w:t>
      </w:r>
      <w:bookmarkEnd w:id="24"/>
      <w:bookmarkEnd w:id="25"/>
      <w:bookmarkEnd w:id="26"/>
    </w:p>
    <w:p w14:paraId="1B0A05C7" w14:textId="676AA75C" w:rsidR="00940A89" w:rsidRDefault="00940A89" w:rsidP="004A427B">
      <w:pPr>
        <w:pStyle w:val="Heading3"/>
      </w:pPr>
      <w:bookmarkStart w:id="27" w:name="_Toc462141641"/>
      <w:bookmarkStart w:id="28" w:name="_Toc247691507"/>
      <w:bookmarkStart w:id="29" w:name="_Toc314842488"/>
      <w:r w:rsidRPr="00940A89">
        <w:t>Introduction</w:t>
      </w:r>
      <w:bookmarkEnd w:id="27"/>
    </w:p>
    <w:p w14:paraId="6A8C6D65" w14:textId="77777777" w:rsidR="00496BF6" w:rsidRPr="008A0D49" w:rsidRDefault="008A0D49" w:rsidP="00496BF6">
      <w:r>
        <w:t xml:space="preserve">The </w:t>
      </w:r>
      <w:r w:rsidR="00496BF6" w:rsidRPr="00496BF6">
        <w:t xml:space="preserve">application </w:t>
      </w:r>
      <w:r>
        <w:t xml:space="preserve">is </w:t>
      </w:r>
      <w:r w:rsidR="00496BF6" w:rsidRPr="00496BF6">
        <w:t>to register a new chemical entity lumacaftor, which is to be used in a fixed combination tablet with an exi</w:t>
      </w:r>
      <w:r>
        <w:t>sting drug substance ivacaftor.</w:t>
      </w:r>
    </w:p>
    <w:p w14:paraId="284DAE2F" w14:textId="77777777" w:rsidR="00496BF6" w:rsidRPr="00496BF6" w:rsidRDefault="00496BF6" w:rsidP="00496BF6">
      <w:r w:rsidRPr="00496BF6">
        <w:t>The proposed product is an immediate release oral film</w:t>
      </w:r>
      <w:r w:rsidR="00026051">
        <w:t xml:space="preserve"> </w:t>
      </w:r>
      <w:r w:rsidRPr="00496BF6">
        <w:t xml:space="preserve">coated tablet containing lumacaftor 200 mg/ivacaftor 125 mg in a fixed combination. </w:t>
      </w:r>
      <w:r w:rsidR="008A0D49">
        <w:t>I</w:t>
      </w:r>
      <w:r w:rsidRPr="00496BF6">
        <w:t xml:space="preserve">vacaftor 150 mg tablet </w:t>
      </w:r>
      <w:r w:rsidR="008A0D49">
        <w:t xml:space="preserve">is a registered </w:t>
      </w:r>
      <w:r w:rsidRPr="00496BF6">
        <w:t>product on the ARTG (AUST R 198654/198655) under the trade name K</w:t>
      </w:r>
      <w:r w:rsidR="008A0D49" w:rsidRPr="00496BF6">
        <w:t>alydeco</w:t>
      </w:r>
      <w:r w:rsidRPr="00496BF6">
        <w:t>.</w:t>
      </w:r>
    </w:p>
    <w:p w14:paraId="47200988" w14:textId="77777777" w:rsidR="00496BF6" w:rsidRDefault="00496BF6" w:rsidP="00496BF6">
      <w:r w:rsidRPr="00496BF6">
        <w:t xml:space="preserve">The chemical structures of lumacaftor and ivacaftor are presented </w:t>
      </w:r>
      <w:r w:rsidR="00DB650D">
        <w:t>in Figure 1.</w:t>
      </w:r>
    </w:p>
    <w:p w14:paraId="331A72AF" w14:textId="77777777" w:rsidR="00DB650D" w:rsidRDefault="00DB650D" w:rsidP="00DB650D">
      <w:pPr>
        <w:pStyle w:val="FigureTitle"/>
      </w:pPr>
      <w:r>
        <w:t>Figure 1. C</w:t>
      </w:r>
      <w:r w:rsidRPr="00496BF6">
        <w:t>hemical structures of lumacaftor and ivacaftor</w:t>
      </w:r>
    </w:p>
    <w:p w14:paraId="18AE79F8" w14:textId="77777777" w:rsidR="00496BF6" w:rsidRDefault="00496BF6" w:rsidP="00496BF6">
      <w:r>
        <w:rPr>
          <w:noProof/>
          <w:lang w:eastAsia="en-AU"/>
        </w:rPr>
        <w:drawing>
          <wp:inline distT="0" distB="0" distL="0" distR="0" wp14:anchorId="50187EEE" wp14:editId="56CA638D">
            <wp:extent cx="5400040" cy="1129420"/>
            <wp:effectExtent l="0" t="0" r="0" b="0"/>
            <wp:docPr id="6" name="Picture 6" descr="Figure 1. Chemical structures of lumacaftor and ivacaf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1129420"/>
                    </a:xfrm>
                    <a:prstGeom prst="rect">
                      <a:avLst/>
                    </a:prstGeom>
                  </pic:spPr>
                </pic:pic>
              </a:graphicData>
            </a:graphic>
          </wp:inline>
        </w:drawing>
      </w:r>
    </w:p>
    <w:p w14:paraId="7889E320" w14:textId="77777777" w:rsidR="00496BF6" w:rsidRPr="00496BF6" w:rsidRDefault="00496BF6" w:rsidP="00496BF6">
      <w:r w:rsidRPr="00496BF6">
        <w:t xml:space="preserve">The drug substance and the drug product are not subject to USP, BP or Ph. Eur. </w:t>
      </w:r>
      <w:r w:rsidR="008A0D49" w:rsidRPr="00496BF6">
        <w:t>M</w:t>
      </w:r>
      <w:r w:rsidRPr="00496BF6">
        <w:t>onographs</w:t>
      </w:r>
      <w:r w:rsidR="008A0D49">
        <w:t>.</w:t>
      </w:r>
    </w:p>
    <w:p w14:paraId="5CDB4021" w14:textId="77777777" w:rsidR="008E7846" w:rsidRDefault="008E7846" w:rsidP="004A427B">
      <w:pPr>
        <w:pStyle w:val="Heading3"/>
      </w:pPr>
      <w:bookmarkStart w:id="30" w:name="_Toc462141642"/>
      <w:r w:rsidRPr="008751DC">
        <w:lastRenderedPageBreak/>
        <w:t xml:space="preserve">Drug </w:t>
      </w:r>
      <w:r>
        <w:t>s</w:t>
      </w:r>
      <w:r w:rsidRPr="008751DC">
        <w:t>ubstance</w:t>
      </w:r>
      <w:r>
        <w:t xml:space="preserve"> (active ingredient)</w:t>
      </w:r>
      <w:bookmarkEnd w:id="28"/>
      <w:bookmarkEnd w:id="29"/>
      <w:bookmarkEnd w:id="30"/>
    </w:p>
    <w:p w14:paraId="6238156B" w14:textId="7B8619F2" w:rsidR="00496BF6" w:rsidRPr="00496BF6" w:rsidRDefault="004A427B" w:rsidP="004A427B">
      <w:pPr>
        <w:pStyle w:val="Heading4"/>
      </w:pPr>
      <w:bookmarkStart w:id="31" w:name="_Toc247691508"/>
      <w:bookmarkStart w:id="32" w:name="_Toc314842490"/>
      <w:r>
        <w:t>Drug s</w:t>
      </w:r>
      <w:r w:rsidR="008A0D49">
        <w:t>ubstance – l</w:t>
      </w:r>
      <w:r w:rsidR="00496BF6" w:rsidRPr="00496BF6">
        <w:t>umacaftor</w:t>
      </w:r>
    </w:p>
    <w:p w14:paraId="1C9A8523" w14:textId="77777777" w:rsidR="00496BF6" w:rsidRPr="00496BF6" w:rsidRDefault="00496BF6" w:rsidP="004A427B">
      <w:r w:rsidRPr="00496BF6">
        <w:t>The drug substance lumacaftor (structure shown above) is an achiral, non-hygroscopic white t</w:t>
      </w:r>
      <w:r w:rsidR="008A0D49">
        <w:t>o off</w:t>
      </w:r>
      <w:r w:rsidR="00026051">
        <w:t xml:space="preserve"> </w:t>
      </w:r>
      <w:r w:rsidR="008A0D49">
        <w:t>white crystalline powder.</w:t>
      </w:r>
    </w:p>
    <w:p w14:paraId="6EF24C54" w14:textId="451E7159" w:rsidR="00496BF6" w:rsidRDefault="00496BF6" w:rsidP="00496BF6">
      <w:r w:rsidRPr="00496BF6">
        <w:t>Lumacaftor is practically insolubl</w:t>
      </w:r>
      <w:r w:rsidR="008A0D49">
        <w:t>e (</w:t>
      </w:r>
      <w:r w:rsidR="00026051">
        <w:t xml:space="preserve">&lt; </w:t>
      </w:r>
      <w:r w:rsidR="008A0D49">
        <w:t xml:space="preserve">0.1 mg/mL) in water, pH 1.0 to </w:t>
      </w:r>
      <w:r w:rsidRPr="00496BF6">
        <w:t xml:space="preserve">8.0 buffers, </w:t>
      </w:r>
      <w:r w:rsidR="009531F3">
        <w:t xml:space="preserve">and simulated intestinal fluid </w:t>
      </w:r>
      <w:r w:rsidRPr="00496BF6">
        <w:t>at room temperature and 37 °C. The company indicated that lumacaftor is li</w:t>
      </w:r>
      <w:r w:rsidR="008A0D49">
        <w:t>kely to be a BCS Class II drug.</w:t>
      </w:r>
    </w:p>
    <w:p w14:paraId="606730B1" w14:textId="61D44C22" w:rsidR="00496BF6" w:rsidRPr="00496BF6" w:rsidRDefault="009531F3" w:rsidP="00496BF6">
      <w:r>
        <w:t xml:space="preserve">Multiple </w:t>
      </w:r>
      <w:r w:rsidR="00496BF6" w:rsidRPr="00496BF6">
        <w:t xml:space="preserve">polymorphic forms of lumacaftor have been identified, but the drug substance </w:t>
      </w:r>
      <w:r w:rsidR="00496BF6">
        <w:t>which is used in this product</w:t>
      </w:r>
      <w:r w:rsidR="00496BF6" w:rsidRPr="00496BF6">
        <w:t xml:space="preserve"> is consistently obtained as Form I. Lumacaftor drug substance used for all toxicological and clinical studies is of Form I only.</w:t>
      </w:r>
    </w:p>
    <w:p w14:paraId="71C3F201" w14:textId="77777777" w:rsidR="00496BF6" w:rsidRPr="00496BF6" w:rsidRDefault="00496BF6" w:rsidP="004A427B">
      <w:r w:rsidRPr="00496BF6">
        <w:t>Compatibility studies between lumacaftor and ivacaftor showed no conversion of lumacaftor polymorphic form.</w:t>
      </w:r>
      <w:r w:rsidR="00A02EC9">
        <w:t xml:space="preserve"> </w:t>
      </w:r>
      <w:r w:rsidRPr="00496BF6">
        <w:t>There was no change in the polymorphic form of lumacaftor (and ivacaftor) in the compatibility</w:t>
      </w:r>
      <w:r w:rsidR="008A0D49">
        <w:t xml:space="preserve"> studies with other excipients.</w:t>
      </w:r>
    </w:p>
    <w:p w14:paraId="6C6C83DE" w14:textId="08C7E31E" w:rsidR="00496BF6" w:rsidRPr="00496BF6" w:rsidRDefault="00496BF6" w:rsidP="00496BF6">
      <w:r w:rsidRPr="00496BF6">
        <w:t xml:space="preserve">The limits for impurities are consistent with the relevant identification and qualification thresholds in </w:t>
      </w:r>
      <w:r w:rsidR="00F55D98">
        <w:t>International Conference on Harmonization</w:t>
      </w:r>
      <w:r w:rsidR="00F55D98" w:rsidRPr="00496BF6">
        <w:t xml:space="preserve"> </w:t>
      </w:r>
      <w:r w:rsidR="00F55D98">
        <w:t>(</w:t>
      </w:r>
      <w:r w:rsidRPr="00496BF6">
        <w:t>ICH</w:t>
      </w:r>
      <w:r w:rsidR="00F55D98">
        <w:t>)</w:t>
      </w:r>
      <w:r w:rsidRPr="00496BF6">
        <w:t xml:space="preserve"> Q3A and are acceptable. The quality control of the drug substance (including the drug substanc</w:t>
      </w:r>
      <w:r w:rsidR="008A0D49">
        <w:t>e specification) is acceptable.</w:t>
      </w:r>
    </w:p>
    <w:p w14:paraId="1A0BC7B3" w14:textId="77777777" w:rsidR="008E7846" w:rsidRDefault="008E7846" w:rsidP="004A427B">
      <w:pPr>
        <w:pStyle w:val="Heading3"/>
      </w:pPr>
      <w:bookmarkStart w:id="33" w:name="_Toc462141643"/>
      <w:r w:rsidRPr="008751DC">
        <w:t xml:space="preserve">Drug </w:t>
      </w:r>
      <w:r>
        <w:t>p</w:t>
      </w:r>
      <w:r w:rsidRPr="008751DC">
        <w:t>roduct</w:t>
      </w:r>
      <w:bookmarkEnd w:id="31"/>
      <w:bookmarkEnd w:id="32"/>
      <w:bookmarkEnd w:id="33"/>
    </w:p>
    <w:p w14:paraId="50F8CECE" w14:textId="77777777" w:rsidR="00496BF6" w:rsidRPr="00496BF6" w:rsidRDefault="00496BF6" w:rsidP="00496BF6">
      <w:r w:rsidRPr="00496BF6">
        <w:t xml:space="preserve">The </w:t>
      </w:r>
      <w:r w:rsidR="008A0D49">
        <w:t xml:space="preserve">proposed product is a pink oval shaped film </w:t>
      </w:r>
      <w:r w:rsidRPr="00496BF6">
        <w:t>coated tablet with 2V125 printed in black on one side. Each tablet contains 125 mg ivacaftor and 200 mg lumacaftor as the active ingredients. The excipients used in the product are conventional pharmaceutical ingredients including hypromellose acetate succinate, sodium lauryl sulfate, microcrystalline cellulose, croscarmellose sodium, povidone and magnesium stearate. The coating agent and ink are conventional commercially available ingredients.</w:t>
      </w:r>
    </w:p>
    <w:p w14:paraId="74229830" w14:textId="77777777" w:rsidR="00AF4487" w:rsidRPr="00AF4487" w:rsidRDefault="00AF4487" w:rsidP="00AF4487">
      <w:r w:rsidRPr="00AF4487">
        <w:t>The product is to be packaged in blister strips of four tablets representing a one day supply (two tablets every 12 hours). Each pack of the marketed product contains four weekly cartons for 4 week treatment schedule. The proposed pack size is 112 tablets (4 carton packs of 28 tablets).</w:t>
      </w:r>
    </w:p>
    <w:p w14:paraId="6E356418" w14:textId="53EC86EC" w:rsidR="00AF4487" w:rsidRPr="003D3217" w:rsidRDefault="00AF4487" w:rsidP="00AF4487">
      <w:pPr>
        <w:spacing w:after="0"/>
        <w:jc w:val="both"/>
        <w:rPr>
          <w:lang w:eastAsia="en-AU"/>
        </w:rPr>
      </w:pPr>
      <w:r w:rsidRPr="00FD4CFB">
        <w:rPr>
          <w:lang w:eastAsia="en-AU"/>
        </w:rPr>
        <w:t xml:space="preserve">The clinical studies used batches manufactured using the process </w:t>
      </w:r>
      <w:r>
        <w:rPr>
          <w:lang w:eastAsia="en-AU"/>
        </w:rPr>
        <w:t xml:space="preserve">and formulation </w:t>
      </w:r>
      <w:r w:rsidRPr="00FD4CFB">
        <w:rPr>
          <w:lang w:eastAsia="en-AU"/>
        </w:rPr>
        <w:t>proposed for commercial manufacture</w:t>
      </w:r>
      <w:r w:rsidR="00FA2794">
        <w:rPr>
          <w:lang w:eastAsia="en-AU"/>
        </w:rPr>
        <w:t xml:space="preserve">. </w:t>
      </w:r>
      <w:r>
        <w:rPr>
          <w:lang w:eastAsia="en-AU"/>
        </w:rPr>
        <w:t>The residual solvent is controlled in the spray</w:t>
      </w:r>
      <w:r w:rsidR="00026051">
        <w:rPr>
          <w:lang w:eastAsia="en-AU"/>
        </w:rPr>
        <w:t xml:space="preserve"> </w:t>
      </w:r>
      <w:r>
        <w:rPr>
          <w:lang w:eastAsia="en-AU"/>
        </w:rPr>
        <w:t xml:space="preserve">dried (amorphous) ivacaftor </w:t>
      </w:r>
      <w:r w:rsidRPr="00D169BF">
        <w:rPr>
          <w:lang w:eastAsia="en-AU"/>
        </w:rPr>
        <w:t>intermediate to the acceptable limit as previously assessed and approved by the TGA</w:t>
      </w:r>
      <w:r w:rsidR="009531F3">
        <w:rPr>
          <w:lang w:eastAsia="en-AU"/>
        </w:rPr>
        <w:t>.</w:t>
      </w:r>
    </w:p>
    <w:p w14:paraId="114DD3E6" w14:textId="41F3F735" w:rsidR="00AF4487" w:rsidRPr="00AF4487" w:rsidRDefault="00AF4487" w:rsidP="00AF4487">
      <w:r w:rsidRPr="00AF4487">
        <w:t xml:space="preserve">The quality of the product is controlled by acceptable specification that includes tests and limits </w:t>
      </w:r>
      <w:r w:rsidR="00681184" w:rsidRPr="00AF4487">
        <w:t>for appearance, identification, assay, uniformity of dosage units, impurities, water content, polymorphic for</w:t>
      </w:r>
      <w:r w:rsidRPr="00AF4487">
        <w:t xml:space="preserve">m of lumacaftor and ivacaftor and </w:t>
      </w:r>
      <w:r w:rsidR="00681184" w:rsidRPr="00AF4487">
        <w:t>d</w:t>
      </w:r>
      <w:r w:rsidRPr="00AF4487">
        <w:t>issolution of the drug substances. Degradants are limited to ICH identification thresholds</w:t>
      </w:r>
      <w:r w:rsidR="00A372B6">
        <w:t>.</w:t>
      </w:r>
    </w:p>
    <w:p w14:paraId="71C6D6AC" w14:textId="475F8CB0" w:rsidR="00496BF6" w:rsidRPr="00940A89" w:rsidRDefault="00AF4487" w:rsidP="00940A89">
      <w:r w:rsidRPr="00AF4487">
        <w:t>The analytical methods used to analyse the product were adequately described and validated.</w:t>
      </w:r>
      <w:r w:rsidR="00FA2794">
        <w:t xml:space="preserve"> </w:t>
      </w:r>
      <w:r w:rsidRPr="00AF4487">
        <w:t>The stability data supplied supported a shelf life of 12 months for the unopened product (in PCTFE/PVC/AL blister)</w:t>
      </w:r>
      <w:r w:rsidR="00FA2794">
        <w:t xml:space="preserve"> when it is stored below 30°C.</w:t>
      </w:r>
    </w:p>
    <w:p w14:paraId="7426868F" w14:textId="77777777" w:rsidR="008E7846" w:rsidRDefault="008E7846" w:rsidP="004A427B">
      <w:pPr>
        <w:pStyle w:val="Heading3"/>
      </w:pPr>
      <w:bookmarkStart w:id="34" w:name="_Toc314842491"/>
      <w:bookmarkStart w:id="35" w:name="_Toc462141644"/>
      <w:r>
        <w:t>Biopharmaceutics</w:t>
      </w:r>
      <w:bookmarkEnd w:id="34"/>
      <w:bookmarkEnd w:id="35"/>
    </w:p>
    <w:p w14:paraId="05050261" w14:textId="77777777" w:rsidR="00AF4487" w:rsidRPr="00AF4487" w:rsidRDefault="00AF4487" w:rsidP="00AF4487">
      <w:r w:rsidRPr="00AF4487">
        <w:t>No absolute bioavailability study was performed by the sponsor. Justification for not providing the absolute bioavailability study was on the basis that it was not possible to prepare a suitable intravenous formulation since both actives ar</w:t>
      </w:r>
      <w:r w:rsidR="00FA2794">
        <w:t xml:space="preserve">e practically insoluble </w:t>
      </w:r>
      <w:r w:rsidR="00FA2794">
        <w:lastRenderedPageBreak/>
        <w:t>(&lt; </w:t>
      </w:r>
      <w:r w:rsidRPr="00AF4487">
        <w:t>0.1 mg/mL) in aqueous solutions, that both actives are orally bioavailable, and that the pharmacokinetic characteristics of both actives have been studied throughout the clinical development of oral dosage forms.</w:t>
      </w:r>
    </w:p>
    <w:p w14:paraId="2C390268" w14:textId="77777777" w:rsidR="00AF4487" w:rsidRDefault="00AF4487" w:rsidP="00AF4487">
      <w:r w:rsidRPr="00AF4487">
        <w:t>Three bioavailability studies were provided and evaluated. The outcomes of the study are summarised below:</w:t>
      </w:r>
    </w:p>
    <w:p w14:paraId="221E07FB" w14:textId="77777777" w:rsidR="00CD64AB" w:rsidRPr="00AF4487" w:rsidRDefault="00CD64AB" w:rsidP="004A427B">
      <w:pPr>
        <w:pStyle w:val="TableTitle"/>
      </w:pPr>
      <w:r>
        <w:t>Table 2. Summary of bioavailability studies</w:t>
      </w:r>
    </w:p>
    <w:tbl>
      <w:tblPr>
        <w:tblStyle w:val="TableTGAblue"/>
        <w:tblW w:w="4866" w:type="pct"/>
        <w:tblLook w:val="04A0" w:firstRow="1" w:lastRow="0" w:firstColumn="1" w:lastColumn="0" w:noHBand="0" w:noVBand="1"/>
      </w:tblPr>
      <w:tblGrid>
        <w:gridCol w:w="3369"/>
        <w:gridCol w:w="5117"/>
      </w:tblGrid>
      <w:tr w:rsidR="00AF4487" w:rsidRPr="00AF4487" w14:paraId="0A7C98AB" w14:textId="77777777" w:rsidTr="00CD64AB">
        <w:trPr>
          <w:cnfStyle w:val="100000000000" w:firstRow="1" w:lastRow="0" w:firstColumn="0" w:lastColumn="0" w:oddVBand="0" w:evenVBand="0" w:oddHBand="0" w:evenHBand="0" w:firstRowFirstColumn="0" w:firstRowLastColumn="0" w:lastRowFirstColumn="0" w:lastRowLastColumn="0"/>
        </w:trPr>
        <w:tc>
          <w:tcPr>
            <w:tcW w:w="1985" w:type="pct"/>
          </w:tcPr>
          <w:p w14:paraId="7524E47F" w14:textId="77777777" w:rsidR="00AF4487" w:rsidRPr="00AF4487" w:rsidRDefault="00AF4487" w:rsidP="004A427B">
            <w:pPr>
              <w:tabs>
                <w:tab w:val="left" w:pos="3153"/>
              </w:tabs>
              <w:ind w:left="0" w:right="0"/>
              <w:rPr>
                <w:sz w:val="20"/>
                <w:szCs w:val="20"/>
              </w:rPr>
            </w:pPr>
            <w:r w:rsidRPr="00AF4487">
              <w:rPr>
                <w:sz w:val="20"/>
                <w:szCs w:val="20"/>
              </w:rPr>
              <w:t>Study</w:t>
            </w:r>
          </w:p>
        </w:tc>
        <w:tc>
          <w:tcPr>
            <w:tcW w:w="3015" w:type="pct"/>
          </w:tcPr>
          <w:p w14:paraId="235EE4CF" w14:textId="77777777" w:rsidR="00AF4487" w:rsidRPr="00AF4487" w:rsidRDefault="00AF4487" w:rsidP="004A427B">
            <w:pPr>
              <w:tabs>
                <w:tab w:val="left" w:pos="3153"/>
              </w:tabs>
              <w:ind w:left="0" w:right="0"/>
              <w:rPr>
                <w:sz w:val="20"/>
                <w:szCs w:val="20"/>
              </w:rPr>
            </w:pPr>
            <w:r w:rsidRPr="00AF4487">
              <w:rPr>
                <w:sz w:val="20"/>
                <w:szCs w:val="20"/>
              </w:rPr>
              <w:t>Conclusion</w:t>
            </w:r>
          </w:p>
        </w:tc>
      </w:tr>
      <w:tr w:rsidR="00AF4487" w:rsidRPr="00AF4487" w14:paraId="76CC436B" w14:textId="77777777" w:rsidTr="00CD64AB">
        <w:tc>
          <w:tcPr>
            <w:tcW w:w="1985" w:type="pct"/>
          </w:tcPr>
          <w:p w14:paraId="68F985D3" w14:textId="77777777" w:rsidR="00AF4487" w:rsidRPr="00AF4487" w:rsidRDefault="00AF4487" w:rsidP="004A427B">
            <w:pPr>
              <w:tabs>
                <w:tab w:val="left" w:pos="3153"/>
              </w:tabs>
              <w:ind w:left="0" w:right="0"/>
              <w:rPr>
                <w:sz w:val="20"/>
                <w:szCs w:val="20"/>
              </w:rPr>
            </w:pPr>
            <w:r w:rsidRPr="00AF4487">
              <w:rPr>
                <w:sz w:val="20"/>
                <w:szCs w:val="20"/>
              </w:rPr>
              <w:t>Stud</w:t>
            </w:r>
            <w:r w:rsidR="00253F62">
              <w:rPr>
                <w:sz w:val="20"/>
                <w:szCs w:val="20"/>
              </w:rPr>
              <w:t>y VX13-809-012;</w:t>
            </w:r>
            <w:r w:rsidR="00FA2794">
              <w:rPr>
                <w:sz w:val="20"/>
                <w:szCs w:val="20"/>
              </w:rPr>
              <w:t xml:space="preserve"> Effect of food </w:t>
            </w:r>
            <w:r w:rsidRPr="00AF4487">
              <w:rPr>
                <w:sz w:val="20"/>
                <w:szCs w:val="20"/>
              </w:rPr>
              <w:t>(This study was evaluated in full)</w:t>
            </w:r>
            <w:r w:rsidR="00FA2794">
              <w:rPr>
                <w:sz w:val="20"/>
                <w:szCs w:val="20"/>
              </w:rPr>
              <w:t>.</w:t>
            </w:r>
          </w:p>
        </w:tc>
        <w:tc>
          <w:tcPr>
            <w:tcW w:w="3015" w:type="pct"/>
          </w:tcPr>
          <w:p w14:paraId="478FE836" w14:textId="77777777" w:rsidR="00AF4487" w:rsidRPr="00AF4487" w:rsidRDefault="00AF4487" w:rsidP="004A427B">
            <w:pPr>
              <w:tabs>
                <w:tab w:val="left" w:pos="3153"/>
              </w:tabs>
              <w:ind w:left="0" w:right="0"/>
              <w:rPr>
                <w:sz w:val="20"/>
                <w:szCs w:val="20"/>
              </w:rPr>
            </w:pPr>
            <w:r w:rsidRPr="00AF4487">
              <w:rPr>
                <w:sz w:val="20"/>
                <w:szCs w:val="20"/>
              </w:rPr>
              <w:t>This study examined the effect of food on the pharmacokinetics of lumacaftor and ivacaftor when administered as fixed dose combination (FDC) tablets. It was concluded that both lumacaftor and ivacaftor plasma concentrations increased when administered in the fed state when compared to the fasted state.</w:t>
            </w:r>
          </w:p>
        </w:tc>
      </w:tr>
      <w:tr w:rsidR="00AF4487" w:rsidRPr="00AF4487" w14:paraId="42A56095" w14:textId="77777777" w:rsidTr="004A427B">
        <w:trPr>
          <w:trHeight w:val="4377"/>
        </w:trPr>
        <w:tc>
          <w:tcPr>
            <w:tcW w:w="1985" w:type="pct"/>
          </w:tcPr>
          <w:p w14:paraId="15435DFA" w14:textId="77777777" w:rsidR="00AF4487" w:rsidRPr="00AF4487" w:rsidRDefault="00AF4487" w:rsidP="004A427B">
            <w:pPr>
              <w:tabs>
                <w:tab w:val="left" w:pos="3153"/>
              </w:tabs>
              <w:ind w:left="0" w:right="0"/>
              <w:rPr>
                <w:sz w:val="20"/>
                <w:szCs w:val="20"/>
              </w:rPr>
            </w:pPr>
            <w:r w:rsidRPr="00AF4487">
              <w:rPr>
                <w:sz w:val="20"/>
                <w:szCs w:val="20"/>
              </w:rPr>
              <w:t>Studie</w:t>
            </w:r>
            <w:r w:rsidR="00253F62">
              <w:rPr>
                <w:sz w:val="20"/>
                <w:szCs w:val="20"/>
              </w:rPr>
              <w:t xml:space="preserve">s VX08-809-003 and VX08-809-007; </w:t>
            </w:r>
            <w:r w:rsidRPr="00AF4487">
              <w:rPr>
                <w:sz w:val="20"/>
                <w:szCs w:val="20"/>
              </w:rPr>
              <w:t>Relative bioavailability of various formulations</w:t>
            </w:r>
          </w:p>
        </w:tc>
        <w:tc>
          <w:tcPr>
            <w:tcW w:w="3015" w:type="pct"/>
          </w:tcPr>
          <w:p w14:paraId="54790E45" w14:textId="77777777" w:rsidR="00AF4487" w:rsidRPr="00AF4487" w:rsidRDefault="00FA2794" w:rsidP="004A427B">
            <w:pPr>
              <w:tabs>
                <w:tab w:val="left" w:pos="3153"/>
              </w:tabs>
              <w:ind w:left="0" w:right="0"/>
              <w:rPr>
                <w:sz w:val="20"/>
                <w:szCs w:val="20"/>
              </w:rPr>
            </w:pPr>
            <w:r>
              <w:rPr>
                <w:sz w:val="20"/>
                <w:szCs w:val="20"/>
              </w:rPr>
              <w:t>This study concluded that;</w:t>
            </w:r>
          </w:p>
          <w:p w14:paraId="43254DB9" w14:textId="37A50D03" w:rsidR="00AF4487" w:rsidRPr="00AF4487" w:rsidRDefault="00AF4487" w:rsidP="004A427B">
            <w:pPr>
              <w:pStyle w:val="ListBullet"/>
              <w:tabs>
                <w:tab w:val="left" w:pos="3153"/>
              </w:tabs>
              <w:ind w:left="317" w:right="0" w:hanging="284"/>
              <w:rPr>
                <w:sz w:val="20"/>
                <w:szCs w:val="20"/>
              </w:rPr>
            </w:pPr>
            <w:r w:rsidRPr="00AF4487">
              <w:rPr>
                <w:sz w:val="20"/>
                <w:szCs w:val="20"/>
              </w:rPr>
              <w:t>Administration of lumacaftor in a capsule formulation resulted in an increase in plasma concentrations when compared with a suspension formulation</w:t>
            </w:r>
          </w:p>
          <w:p w14:paraId="09239830" w14:textId="77777777" w:rsidR="00AF4487" w:rsidRPr="00AF4487" w:rsidRDefault="00AF4487" w:rsidP="004A427B">
            <w:pPr>
              <w:pStyle w:val="ListBullet"/>
              <w:tabs>
                <w:tab w:val="left" w:pos="3153"/>
              </w:tabs>
              <w:ind w:left="317" w:right="0" w:hanging="284"/>
              <w:rPr>
                <w:sz w:val="20"/>
                <w:szCs w:val="20"/>
              </w:rPr>
            </w:pPr>
            <w:r w:rsidRPr="00AF4487">
              <w:rPr>
                <w:sz w:val="20"/>
                <w:szCs w:val="20"/>
              </w:rPr>
              <w:t>Administration o</w:t>
            </w:r>
            <w:r w:rsidR="00FA2794">
              <w:rPr>
                <w:sz w:val="20"/>
                <w:szCs w:val="20"/>
              </w:rPr>
              <w:t>f lumacaftor (either 400 or 600 </w:t>
            </w:r>
            <w:r w:rsidR="00253F62">
              <w:rPr>
                <w:sz w:val="20"/>
                <w:szCs w:val="20"/>
              </w:rPr>
              <w:t xml:space="preserve">mg) in a high drug </w:t>
            </w:r>
            <w:r w:rsidRPr="00AF4487">
              <w:rPr>
                <w:sz w:val="20"/>
                <w:szCs w:val="20"/>
              </w:rPr>
              <w:t>load tablet formulation resulted in similar plasma concentrations when compared with a reference tablet formulation</w:t>
            </w:r>
          </w:p>
          <w:p w14:paraId="35922515" w14:textId="365AD4AF" w:rsidR="00AF4487" w:rsidRPr="00AF4487" w:rsidRDefault="00AF4487" w:rsidP="004A427B">
            <w:pPr>
              <w:pStyle w:val="ListBullet"/>
              <w:tabs>
                <w:tab w:val="left" w:pos="3153"/>
              </w:tabs>
              <w:ind w:left="317" w:right="0" w:hanging="284"/>
            </w:pPr>
            <w:r w:rsidRPr="00AF4487">
              <w:rPr>
                <w:sz w:val="20"/>
                <w:szCs w:val="20"/>
              </w:rPr>
              <w:t>Administration of lumacaftor and ivacaftor (400/250 mg) in a FDC tablet formulation (consistent with the proposed product) resulted in similar plasma concentrations of both actives when compared with co-dosing with separate lumacaftor and ivacaftor monotherapy tablets</w:t>
            </w:r>
            <w:r w:rsidR="00F72253">
              <w:rPr>
                <w:sz w:val="20"/>
                <w:szCs w:val="20"/>
              </w:rPr>
              <w:t>.</w:t>
            </w:r>
          </w:p>
        </w:tc>
      </w:tr>
      <w:tr w:rsidR="00AF4487" w:rsidRPr="00AF4487" w14:paraId="3A884317" w14:textId="77777777" w:rsidTr="004A427B">
        <w:trPr>
          <w:trHeight w:val="895"/>
        </w:trPr>
        <w:tc>
          <w:tcPr>
            <w:tcW w:w="1985" w:type="pct"/>
          </w:tcPr>
          <w:p w14:paraId="5D7718AE" w14:textId="77777777" w:rsidR="00AF4487" w:rsidRPr="00AF4487" w:rsidRDefault="00253F62" w:rsidP="004A427B">
            <w:pPr>
              <w:tabs>
                <w:tab w:val="left" w:pos="3153"/>
              </w:tabs>
              <w:ind w:left="0" w:right="0"/>
              <w:rPr>
                <w:sz w:val="20"/>
                <w:szCs w:val="20"/>
              </w:rPr>
            </w:pPr>
            <w:r>
              <w:rPr>
                <w:sz w:val="20"/>
                <w:szCs w:val="20"/>
              </w:rPr>
              <w:t xml:space="preserve">Study VX08-809-005; </w:t>
            </w:r>
            <w:r w:rsidR="00AF4487" w:rsidRPr="00AF4487">
              <w:rPr>
                <w:sz w:val="20"/>
                <w:szCs w:val="20"/>
              </w:rPr>
              <w:t>Interaction b</w:t>
            </w:r>
            <w:r w:rsidR="00CD64AB">
              <w:rPr>
                <w:sz w:val="20"/>
                <w:szCs w:val="20"/>
              </w:rPr>
              <w:t>etween lumacaftor and ivacaftor</w:t>
            </w:r>
          </w:p>
        </w:tc>
        <w:tc>
          <w:tcPr>
            <w:tcW w:w="3015" w:type="pct"/>
          </w:tcPr>
          <w:p w14:paraId="3CFAC246" w14:textId="77777777" w:rsidR="00AF4487" w:rsidRPr="00AF4487" w:rsidRDefault="00AF4487" w:rsidP="004A427B">
            <w:pPr>
              <w:tabs>
                <w:tab w:val="left" w:pos="3153"/>
              </w:tabs>
              <w:ind w:left="0" w:right="0"/>
              <w:rPr>
                <w:sz w:val="20"/>
                <w:szCs w:val="20"/>
              </w:rPr>
            </w:pPr>
            <w:r w:rsidRPr="00AF4487">
              <w:rPr>
                <w:sz w:val="20"/>
                <w:szCs w:val="20"/>
              </w:rPr>
              <w:t>The study indicated that the pharmacokinetics of ivacaftor and lumacaftor were both affected when the drug substances were co-administered as a lumaca</w:t>
            </w:r>
            <w:r w:rsidR="00253F62">
              <w:rPr>
                <w:sz w:val="20"/>
                <w:szCs w:val="20"/>
              </w:rPr>
              <w:t>ftor/ivacaftor FDC formulation.</w:t>
            </w:r>
          </w:p>
          <w:p w14:paraId="7AFBC2F4" w14:textId="51F0F418" w:rsidR="00AF4487" w:rsidRPr="00AF4487" w:rsidRDefault="00AF4487" w:rsidP="004A427B">
            <w:pPr>
              <w:pStyle w:val="ListBullet"/>
              <w:tabs>
                <w:tab w:val="left" w:pos="3153"/>
              </w:tabs>
              <w:ind w:left="317" w:right="0" w:hanging="284"/>
              <w:rPr>
                <w:sz w:val="20"/>
                <w:szCs w:val="20"/>
              </w:rPr>
            </w:pPr>
            <w:r w:rsidRPr="00A347E8">
              <w:rPr>
                <w:sz w:val="20"/>
                <w:szCs w:val="20"/>
              </w:rPr>
              <w:t xml:space="preserve">Ivacaftor slightly increases the rate and extent of absorption of lumacaftor. The </w:t>
            </w:r>
            <w:r w:rsidR="00A347E8" w:rsidRPr="00A347E8">
              <w:rPr>
                <w:sz w:val="20"/>
                <w:szCs w:val="20"/>
              </w:rPr>
              <w:t>area under the concentration time curve (</w:t>
            </w:r>
            <w:r w:rsidRPr="00A347E8">
              <w:rPr>
                <w:sz w:val="20"/>
                <w:szCs w:val="20"/>
              </w:rPr>
              <w:t>AUC</w:t>
            </w:r>
            <w:r w:rsidR="00A347E8" w:rsidRPr="00A347E8">
              <w:rPr>
                <w:sz w:val="20"/>
                <w:szCs w:val="20"/>
              </w:rPr>
              <w:t>)</w:t>
            </w:r>
            <w:r w:rsidRPr="00A347E8">
              <w:rPr>
                <w:sz w:val="20"/>
                <w:szCs w:val="20"/>
              </w:rPr>
              <w:t xml:space="preserve"> results suggested that ivacaftor may enhance</w:t>
            </w:r>
            <w:r w:rsidRPr="00AF4487">
              <w:rPr>
                <w:sz w:val="20"/>
                <w:szCs w:val="20"/>
              </w:rPr>
              <w:t xml:space="preserve"> the rate and extent of absorption of lumacaftor and increase the accumulation of its metabolite </w:t>
            </w:r>
            <w:r w:rsidR="0026099D">
              <w:t>M2</w:t>
            </w:r>
            <w:r w:rsidRPr="00AF4487">
              <w:rPr>
                <w:sz w:val="20"/>
                <w:szCs w:val="20"/>
              </w:rPr>
              <w:t>8 after Day 14 (when compared with Day 1 results)</w:t>
            </w:r>
          </w:p>
          <w:p w14:paraId="27730E71" w14:textId="23D12BEA" w:rsidR="00AF4487" w:rsidRPr="00AF4487" w:rsidRDefault="00AF4487" w:rsidP="004A427B">
            <w:pPr>
              <w:pStyle w:val="ListBullet"/>
              <w:tabs>
                <w:tab w:val="left" w:pos="3153"/>
              </w:tabs>
              <w:ind w:left="317" w:right="0" w:hanging="284"/>
              <w:rPr>
                <w:sz w:val="20"/>
                <w:szCs w:val="20"/>
              </w:rPr>
            </w:pPr>
            <w:r w:rsidRPr="00AF4487">
              <w:rPr>
                <w:sz w:val="20"/>
                <w:szCs w:val="20"/>
              </w:rPr>
              <w:t xml:space="preserve">There was a profound effect of lumacaftor on the pharmacokinetics of ivacaftor resulting in significant decreases in plasma concentrations of both ivacaftor (81%) and its metabolite </w:t>
            </w:r>
            <w:r w:rsidR="00B22DD1" w:rsidRPr="00B22DD1">
              <w:rPr>
                <w:sz w:val="20"/>
                <w:szCs w:val="20"/>
              </w:rPr>
              <w:t xml:space="preserve">hydroxymethyl-ivacaftor </w:t>
            </w:r>
            <w:r w:rsidR="00B22DD1">
              <w:rPr>
                <w:sz w:val="20"/>
                <w:szCs w:val="20"/>
              </w:rPr>
              <w:t>(</w:t>
            </w:r>
            <w:r w:rsidRPr="00B22DD1">
              <w:rPr>
                <w:sz w:val="20"/>
                <w:szCs w:val="20"/>
              </w:rPr>
              <w:t>M1</w:t>
            </w:r>
            <w:r w:rsidR="00B22DD1">
              <w:rPr>
                <w:sz w:val="20"/>
                <w:szCs w:val="20"/>
              </w:rPr>
              <w:t>)</w:t>
            </w:r>
            <w:r w:rsidRPr="00AF4487">
              <w:rPr>
                <w:sz w:val="20"/>
                <w:szCs w:val="20"/>
              </w:rPr>
              <w:t xml:space="preserve"> (72%) after 14 days, but no reduction in plasma concentration of </w:t>
            </w:r>
            <w:r w:rsidRPr="00B22DD1">
              <w:rPr>
                <w:sz w:val="20"/>
                <w:szCs w:val="20"/>
              </w:rPr>
              <w:t xml:space="preserve">metabolite </w:t>
            </w:r>
            <w:r w:rsidR="00B22DD1" w:rsidRPr="00B22DD1">
              <w:rPr>
                <w:sz w:val="20"/>
                <w:szCs w:val="20"/>
              </w:rPr>
              <w:t xml:space="preserve">ivacaftor carboxylate </w:t>
            </w:r>
            <w:r w:rsidR="00B22DD1">
              <w:rPr>
                <w:sz w:val="20"/>
                <w:szCs w:val="20"/>
              </w:rPr>
              <w:t>(</w:t>
            </w:r>
            <w:r w:rsidRPr="00B22DD1">
              <w:rPr>
                <w:sz w:val="20"/>
                <w:szCs w:val="20"/>
              </w:rPr>
              <w:t>M6</w:t>
            </w:r>
            <w:r w:rsidR="00B22DD1">
              <w:rPr>
                <w:sz w:val="20"/>
                <w:szCs w:val="20"/>
              </w:rPr>
              <w:t>)</w:t>
            </w:r>
            <w:r w:rsidRPr="00AF4487">
              <w:rPr>
                <w:sz w:val="20"/>
                <w:szCs w:val="20"/>
              </w:rPr>
              <w:t xml:space="preserve"> at Day 1. The M6 plasma concentration showed lower levels (</w:t>
            </w:r>
            <w:r w:rsidR="00026051">
              <w:rPr>
                <w:sz w:val="20"/>
                <w:szCs w:val="20"/>
              </w:rPr>
              <w:t>approximately</w:t>
            </w:r>
            <w:r w:rsidRPr="00AF4487">
              <w:rPr>
                <w:sz w:val="20"/>
                <w:szCs w:val="20"/>
              </w:rPr>
              <w:t xml:space="preserve"> 25%) by Day 14 when co-administered with lumacaftor</w:t>
            </w:r>
          </w:p>
          <w:p w14:paraId="03FDCC03" w14:textId="77777777" w:rsidR="00AF4487" w:rsidRPr="00AF4487" w:rsidRDefault="00AF4487" w:rsidP="004A427B">
            <w:pPr>
              <w:pStyle w:val="ListBullet"/>
              <w:tabs>
                <w:tab w:val="left" w:pos="3153"/>
              </w:tabs>
              <w:ind w:left="317" w:right="0" w:hanging="284"/>
            </w:pPr>
            <w:r w:rsidRPr="00AF4487">
              <w:rPr>
                <w:sz w:val="20"/>
                <w:szCs w:val="20"/>
              </w:rPr>
              <w:lastRenderedPageBreak/>
              <w:t>Co-administration of lumacaftor and ivacaftor did not result in an increase in adverse events compa</w:t>
            </w:r>
            <w:r w:rsidRPr="00AF4487">
              <w:t>red with either lumacaftor or ivacaftor alone.</w:t>
            </w:r>
          </w:p>
        </w:tc>
      </w:tr>
    </w:tbl>
    <w:p w14:paraId="1882A572" w14:textId="77777777" w:rsidR="00AF4487" w:rsidRDefault="00AF4487" w:rsidP="008E7846">
      <w:r w:rsidRPr="00AF4487">
        <w:lastRenderedPageBreak/>
        <w:t xml:space="preserve">These results were brought </w:t>
      </w:r>
      <w:r w:rsidR="00253F62">
        <w:t>to the attention of the</w:t>
      </w:r>
      <w:r w:rsidRPr="00AF4487">
        <w:t xml:space="preserve"> Delegate so that they could consider (i) whether it is acceptable from a clinical perspective for the product to be given with food and (ii) whether the </w:t>
      </w:r>
      <w:r w:rsidR="00A50EF6">
        <w:t>pharmacokinetics</w:t>
      </w:r>
      <w:r w:rsidR="00A50EF6" w:rsidRPr="00AF4487">
        <w:t xml:space="preserve"> </w:t>
      </w:r>
      <w:r w:rsidR="00A50EF6">
        <w:t>(</w:t>
      </w:r>
      <w:r w:rsidRPr="00AF4487">
        <w:t>PK</w:t>
      </w:r>
      <w:r w:rsidR="00A50EF6">
        <w:t>)</w:t>
      </w:r>
      <w:r w:rsidRPr="00AF4487">
        <w:t xml:space="preserve"> interaction between ivacaftor and lumacaftor is acceptable from a clinical perspective.</w:t>
      </w:r>
    </w:p>
    <w:p w14:paraId="6711C2F4" w14:textId="77777777" w:rsidR="008E7846" w:rsidRPr="008751DC" w:rsidRDefault="008E7846" w:rsidP="007D0CDF">
      <w:pPr>
        <w:pStyle w:val="Heading3"/>
      </w:pPr>
      <w:bookmarkStart w:id="36" w:name="_Toc247691509"/>
      <w:bookmarkStart w:id="37" w:name="_Toc314842493"/>
      <w:bookmarkStart w:id="38" w:name="_Toc462141645"/>
      <w:r>
        <w:t>Quality s</w:t>
      </w:r>
      <w:r w:rsidRPr="008751DC">
        <w:t>ummary</w:t>
      </w:r>
      <w:r>
        <w:t xml:space="preserve"> and conclusions</w:t>
      </w:r>
      <w:bookmarkEnd w:id="36"/>
      <w:bookmarkEnd w:id="37"/>
      <w:bookmarkEnd w:id="38"/>
    </w:p>
    <w:p w14:paraId="2F7101DA" w14:textId="3FF7583B" w:rsidR="00AF4487" w:rsidRPr="00AF4487" w:rsidRDefault="00AF4487" w:rsidP="00AF4487">
      <w:r w:rsidRPr="00AF4487">
        <w:t xml:space="preserve">All issues raised with the chemistry and quality aspects of the submission </w:t>
      </w:r>
      <w:r w:rsidR="0096487D">
        <w:t>were</w:t>
      </w:r>
      <w:r w:rsidRPr="00AF4487">
        <w:t xml:space="preserve"> adequately resolved and th</w:t>
      </w:r>
      <w:r w:rsidR="00253F62">
        <w:t>ese aspects are acceptable.</w:t>
      </w:r>
    </w:p>
    <w:p w14:paraId="1D60E1AA" w14:textId="77777777" w:rsidR="008E7846" w:rsidRDefault="00AF4487" w:rsidP="008E7846">
      <w:r w:rsidRPr="00AF4487">
        <w:t>There were biopharmaceutics issues that were brought to the attention o</w:t>
      </w:r>
      <w:r w:rsidR="00253F62">
        <w:t xml:space="preserve">f the </w:t>
      </w:r>
      <w:r w:rsidRPr="00AF4487">
        <w:t>Delegate for consideration on the basis of three</w:t>
      </w:r>
      <w:r w:rsidR="00253F62">
        <w:t xml:space="preserve"> biopharmaceutics studies; that is, </w:t>
      </w:r>
      <w:r w:rsidRPr="00AF4487">
        <w:t>whether it is acceptable from a clinical perspective for the product to be given with food and whether the PK interaction between the two drug substances is acceptable.</w:t>
      </w:r>
    </w:p>
    <w:p w14:paraId="28BDE597" w14:textId="77777777" w:rsidR="008E7846" w:rsidRDefault="008E7846" w:rsidP="007D0CDF">
      <w:pPr>
        <w:pStyle w:val="Heading2"/>
      </w:pPr>
      <w:bookmarkStart w:id="39" w:name="_Toc196046439"/>
      <w:bookmarkStart w:id="40" w:name="_Toc247691510"/>
      <w:bookmarkStart w:id="41" w:name="_Toc314842494"/>
      <w:bookmarkStart w:id="42" w:name="_Toc462141646"/>
      <w:r>
        <w:t>III. Nonclinical</w:t>
      </w:r>
      <w:bookmarkEnd w:id="39"/>
      <w:r>
        <w:t xml:space="preserve"> findings</w:t>
      </w:r>
      <w:bookmarkEnd w:id="40"/>
      <w:bookmarkEnd w:id="41"/>
      <w:bookmarkEnd w:id="42"/>
    </w:p>
    <w:p w14:paraId="181D997D" w14:textId="77777777" w:rsidR="004B7CB2" w:rsidRPr="004B7CB2" w:rsidRDefault="008E7846" w:rsidP="007D0CDF">
      <w:pPr>
        <w:pStyle w:val="Heading3"/>
      </w:pPr>
      <w:bookmarkStart w:id="43" w:name="_Toc247691511"/>
      <w:bookmarkStart w:id="44" w:name="_Toc314842495"/>
      <w:bookmarkStart w:id="45" w:name="_Toc462141647"/>
      <w:r>
        <w:t>Introduction</w:t>
      </w:r>
      <w:bookmarkEnd w:id="43"/>
      <w:bookmarkEnd w:id="44"/>
      <w:bookmarkEnd w:id="45"/>
    </w:p>
    <w:p w14:paraId="42961CC3" w14:textId="77777777" w:rsidR="004B7CB2" w:rsidRPr="004B7CB2" w:rsidRDefault="004B7CB2" w:rsidP="004B7CB2">
      <w:r w:rsidRPr="004B7CB2">
        <w:t>O</w:t>
      </w:r>
      <w:r w:rsidR="00253F62" w:rsidRPr="004B7CB2">
        <w:t>rkambi</w:t>
      </w:r>
      <w:r w:rsidRPr="004B7CB2">
        <w:t xml:space="preserve"> is proposed to be used for th</w:t>
      </w:r>
      <w:r w:rsidR="00B72132">
        <w:t>e treatment of CF</w:t>
      </w:r>
      <w:r w:rsidRPr="004B7CB2">
        <w:t xml:space="preserve"> in patients aged 12 years and older who are homozygous for the F508del mutation of the CFTR gene. The proposed dosing regimen involves oral administration of two tablets (each containing 200 mg lumacaftor and 125 mg ivacaftor)</w:t>
      </w:r>
      <w:r w:rsidR="00253F62">
        <w:t xml:space="preserve"> every 12 hours, taken with fat </w:t>
      </w:r>
      <w:r w:rsidRPr="004B7CB2">
        <w:t>containing food. This yields a maximum recommended human dose of 800 mg lumacaftor and 500 mg ivacaftor per day. The dose of ivacaftor with O</w:t>
      </w:r>
      <w:r w:rsidR="00253F62" w:rsidRPr="004B7CB2">
        <w:t>rkambi</w:t>
      </w:r>
      <w:r w:rsidRPr="004B7CB2">
        <w:t xml:space="preserve"> is higher than that approved for K</w:t>
      </w:r>
      <w:r w:rsidR="00253F62" w:rsidRPr="004B7CB2">
        <w:t>alydeco</w:t>
      </w:r>
      <w:r w:rsidRPr="004B7CB2">
        <w:t xml:space="preserve"> (500 </w:t>
      </w:r>
      <w:r w:rsidR="00253F62">
        <w:t xml:space="preserve">mg compared to </w:t>
      </w:r>
      <w:r w:rsidRPr="004B7CB2">
        <w:t>300 mg/day).</w:t>
      </w:r>
    </w:p>
    <w:p w14:paraId="13DA4234" w14:textId="77777777" w:rsidR="004B7CB2" w:rsidRPr="004B7CB2" w:rsidRDefault="004B7CB2" w:rsidP="004B7CB2">
      <w:r w:rsidRPr="004B7CB2">
        <w:t xml:space="preserve">This report covers nonclinical studies for lumacaftor, and for lumacaftor and ivacaftor in combination. </w:t>
      </w:r>
      <w:r w:rsidR="00253F62">
        <w:t>P</w:t>
      </w:r>
      <w:r w:rsidRPr="004B7CB2">
        <w:t>revious nonclinical evaluation reports for ivacaftor</w:t>
      </w:r>
      <w:r w:rsidR="00253F62">
        <w:t xml:space="preserve"> are taken into consideration</w:t>
      </w:r>
      <w:r w:rsidRPr="004B7CB2">
        <w:t>.</w:t>
      </w:r>
    </w:p>
    <w:p w14:paraId="372A84CE" w14:textId="77777777" w:rsidR="004334C7" w:rsidRPr="004334C7" w:rsidRDefault="00253F62" w:rsidP="004334C7">
      <w:r>
        <w:t>The nonclinical dossier</w:t>
      </w:r>
      <w:r w:rsidR="004B7CB2" w:rsidRPr="004B7CB2">
        <w:t xml:space="preserve"> was of high quali</w:t>
      </w:r>
      <w:r>
        <w:t xml:space="preserve">ty, and with all pivotal safety </w:t>
      </w:r>
      <w:r w:rsidR="004B7CB2" w:rsidRPr="004B7CB2">
        <w:t xml:space="preserve">related studies conducted according to </w:t>
      </w:r>
      <w:r w:rsidR="0052340A">
        <w:t>good laboratory practice (</w:t>
      </w:r>
      <w:r w:rsidR="004B7CB2" w:rsidRPr="004B7CB2">
        <w:t>GLP</w:t>
      </w:r>
      <w:r w:rsidR="0052340A">
        <w:t>)</w:t>
      </w:r>
      <w:r w:rsidR="004B7CB2" w:rsidRPr="004B7CB2">
        <w:t>.</w:t>
      </w:r>
    </w:p>
    <w:p w14:paraId="7535AA59" w14:textId="77777777" w:rsidR="008E7846" w:rsidRDefault="008E7846" w:rsidP="008E7846">
      <w:pPr>
        <w:pStyle w:val="Heading3"/>
      </w:pPr>
      <w:bookmarkStart w:id="46" w:name="_Toc247691512"/>
      <w:bookmarkStart w:id="47" w:name="_Toc314842496"/>
      <w:bookmarkStart w:id="48" w:name="_Toc462141648"/>
      <w:r w:rsidRPr="00020030">
        <w:t>Pharmacology</w:t>
      </w:r>
      <w:bookmarkEnd w:id="46"/>
      <w:bookmarkEnd w:id="47"/>
      <w:bookmarkEnd w:id="48"/>
    </w:p>
    <w:p w14:paraId="26D51E88" w14:textId="77777777" w:rsidR="004B7CB2" w:rsidRPr="004B7CB2" w:rsidRDefault="004B7CB2" w:rsidP="004B7CB2">
      <w:pPr>
        <w:pStyle w:val="Heading4"/>
      </w:pPr>
      <w:r w:rsidRPr="004B7CB2">
        <w:t>Primary pharmacology</w:t>
      </w:r>
    </w:p>
    <w:p w14:paraId="5901072B" w14:textId="14DEC3F2" w:rsidR="004B7CB2" w:rsidRPr="004B7CB2" w:rsidRDefault="004B7CB2" w:rsidP="004B7CB2">
      <w:r w:rsidRPr="004B7CB2">
        <w:t xml:space="preserve">The most common mutation in people with CF, the F508del mutation disrupts the folding and domain assembly </w:t>
      </w:r>
      <w:r w:rsidR="00B72132">
        <w:t>of the CFTR</w:t>
      </w:r>
      <w:r w:rsidRPr="004B7CB2">
        <w:t>, leading to reduced trafficking to the cell surface, reduced cell surface stability, and impaired chloride channel gating</w:t>
      </w:r>
      <w:r w:rsidR="008B5A3E">
        <w:t>.</w:t>
      </w:r>
      <w:r w:rsidR="008B5A3E" w:rsidRPr="008B5A3E">
        <w:rPr>
          <w:vertAlign w:val="superscript"/>
        </w:rPr>
        <w:fldChar w:fldCharType="begin"/>
      </w:r>
      <w:r w:rsidR="008B5A3E" w:rsidRPr="008B5A3E">
        <w:rPr>
          <w:vertAlign w:val="superscript"/>
        </w:rPr>
        <w:instrText xml:space="preserve"> NOTEREF _Ref456622672 \h </w:instrText>
      </w:r>
      <w:r w:rsidR="008B5A3E">
        <w:rPr>
          <w:vertAlign w:val="superscript"/>
        </w:rPr>
        <w:instrText xml:space="preserve"> \* MERGEFORMAT </w:instrText>
      </w:r>
      <w:r w:rsidR="008B5A3E" w:rsidRPr="008B5A3E">
        <w:rPr>
          <w:vertAlign w:val="superscript"/>
        </w:rPr>
      </w:r>
      <w:r w:rsidR="008B5A3E" w:rsidRPr="008B5A3E">
        <w:rPr>
          <w:vertAlign w:val="superscript"/>
        </w:rPr>
        <w:fldChar w:fldCharType="separate"/>
      </w:r>
      <w:r w:rsidR="00EC3FD5">
        <w:rPr>
          <w:vertAlign w:val="superscript"/>
        </w:rPr>
        <w:t>1</w:t>
      </w:r>
      <w:r w:rsidR="008B5A3E" w:rsidRPr="008B5A3E">
        <w:rPr>
          <w:vertAlign w:val="superscript"/>
        </w:rPr>
        <w:fldChar w:fldCharType="end"/>
      </w:r>
      <w:r w:rsidR="007D0CDF">
        <w:rPr>
          <w:vertAlign w:val="superscript"/>
        </w:rPr>
        <w:t>,</w:t>
      </w:r>
      <w:r w:rsidR="008B5A3E" w:rsidRPr="008B5A3E">
        <w:rPr>
          <w:vertAlign w:val="superscript"/>
        </w:rPr>
        <w:fldChar w:fldCharType="begin"/>
      </w:r>
      <w:r w:rsidR="008B5A3E" w:rsidRPr="008B5A3E">
        <w:rPr>
          <w:vertAlign w:val="superscript"/>
        </w:rPr>
        <w:instrText xml:space="preserve"> NOTEREF _Ref456622688 \h </w:instrText>
      </w:r>
      <w:r w:rsidR="008B5A3E">
        <w:rPr>
          <w:vertAlign w:val="superscript"/>
        </w:rPr>
        <w:instrText xml:space="preserve"> \* MERGEFORMAT </w:instrText>
      </w:r>
      <w:r w:rsidR="008B5A3E" w:rsidRPr="008B5A3E">
        <w:rPr>
          <w:vertAlign w:val="superscript"/>
        </w:rPr>
      </w:r>
      <w:r w:rsidR="008B5A3E" w:rsidRPr="008B5A3E">
        <w:rPr>
          <w:vertAlign w:val="superscript"/>
        </w:rPr>
        <w:fldChar w:fldCharType="separate"/>
      </w:r>
      <w:r w:rsidR="00EC3FD5">
        <w:rPr>
          <w:vertAlign w:val="superscript"/>
        </w:rPr>
        <w:t>2</w:t>
      </w:r>
      <w:r w:rsidR="008B5A3E" w:rsidRPr="008B5A3E">
        <w:rPr>
          <w:vertAlign w:val="superscript"/>
        </w:rPr>
        <w:fldChar w:fldCharType="end"/>
      </w:r>
    </w:p>
    <w:p w14:paraId="177CEC91" w14:textId="77777777" w:rsidR="004B7CB2" w:rsidRPr="004B7CB2" w:rsidRDefault="004B7CB2" w:rsidP="004B7CB2">
      <w:r w:rsidRPr="004B7CB2">
        <w:t>Lumacaftor was shown to act as a CFTR corrector in vitro in experiments with transfected cells and bronchial epithelial cells obtained from CF patients.</w:t>
      </w:r>
    </w:p>
    <w:p w14:paraId="2E8C3864" w14:textId="47E15F3D" w:rsidR="004B7CB2" w:rsidRPr="004B7CB2" w:rsidRDefault="004B7CB2" w:rsidP="004B7CB2">
      <w:r w:rsidRPr="004B7CB2">
        <w:t>In human bronchial epithelial cells from F508del-homozygous subjects, treatment with lumacaftor (48 h</w:t>
      </w:r>
      <w:r w:rsidR="008B5A3E">
        <w:t>our</w:t>
      </w:r>
      <w:r w:rsidRPr="004B7CB2">
        <w:t xml:space="preserve"> exposure) increased </w:t>
      </w:r>
      <w:r w:rsidR="00026051">
        <w:t>CFTR mediated</w:t>
      </w:r>
      <w:r w:rsidRPr="004B7CB2">
        <w:t xml:space="preserve"> chloride secretion from a baseline of 3% of that of </w:t>
      </w:r>
      <w:r w:rsidR="009D2D39">
        <w:t>wild-</w:t>
      </w:r>
      <w:r w:rsidR="009D2D39" w:rsidRPr="004B7CB2">
        <w:t>type</w:t>
      </w:r>
      <w:r w:rsidRPr="004B7CB2">
        <w:t xml:space="preserve"> CFTR to 14% of </w:t>
      </w:r>
      <w:r w:rsidR="009D2D39">
        <w:t>wild-type</w:t>
      </w:r>
      <w:r w:rsidRPr="004B7CB2">
        <w:t xml:space="preserve"> CFTR, acting with an </w:t>
      </w:r>
      <w:r w:rsidR="00303FCD">
        <w:lastRenderedPageBreak/>
        <w:t>concentration at which effect is at half the maximum</w:t>
      </w:r>
      <w:r w:rsidR="00303FCD" w:rsidRPr="004B7CB2">
        <w:t xml:space="preserve"> </w:t>
      </w:r>
      <w:r w:rsidR="00303FCD">
        <w:t>(</w:t>
      </w:r>
      <w:r w:rsidRPr="004B7CB2">
        <w:t>EC50</w:t>
      </w:r>
      <w:r w:rsidR="00303FCD">
        <w:t>)</w:t>
      </w:r>
      <w:r w:rsidR="0026099D">
        <w:t xml:space="preserve"> of 94 nM and an EC90 of 631 </w:t>
      </w:r>
      <w:r w:rsidRPr="004B7CB2">
        <w:t xml:space="preserve">nM; the mean concentration required to reach 10% of </w:t>
      </w:r>
      <w:r w:rsidR="009D2D39">
        <w:t>wild-type</w:t>
      </w:r>
      <w:r w:rsidRPr="004B7CB2">
        <w:t xml:space="preserve"> CFTR secretion was 153 nM. The sponsor compiled clinical data identifying the mean amount of mutant </w:t>
      </w:r>
      <w:r w:rsidR="00026051">
        <w:t>CFTR mediated</w:t>
      </w:r>
      <w:r w:rsidRPr="004B7CB2">
        <w:t xml:space="preserve"> chloride secretion in CF patients with severe, moderate and mild lung disease as </w:t>
      </w:r>
      <w:r w:rsidR="00026051">
        <w:t xml:space="preserve">&lt; </w:t>
      </w:r>
      <w:r w:rsidRPr="004B7CB2">
        <w:t xml:space="preserve">1%, 9% and 68% that of </w:t>
      </w:r>
      <w:r w:rsidR="009D2D39">
        <w:t>wild-type</w:t>
      </w:r>
      <w:r w:rsidRPr="004B7CB2">
        <w:t xml:space="preserve"> CFTR, respectively. Accordingly, increasing mutant CFTR activity to </w:t>
      </w:r>
      <w:r w:rsidR="00026051">
        <w:t xml:space="preserve">≥ </w:t>
      </w:r>
      <w:r w:rsidRPr="004B7CB2">
        <w:t>10% of the wild</w:t>
      </w:r>
      <w:r w:rsidR="008B5A3E">
        <w:t xml:space="preserve"> </w:t>
      </w:r>
      <w:r w:rsidRPr="004B7CB2">
        <w:t>type level was suggested to improve lung function in patients with severe disease to a level associated with moderate lung disease.</w:t>
      </w:r>
    </w:p>
    <w:p w14:paraId="545C1344" w14:textId="77777777" w:rsidR="004B7CB2" w:rsidRPr="004B7CB2" w:rsidRDefault="004B7CB2" w:rsidP="004B7CB2">
      <w:r w:rsidRPr="004B7CB2">
        <w:t>Positive effects on lumacaftor on F508del-CFTR protein conformation and trafficking were demonstrated. The drug:</w:t>
      </w:r>
    </w:p>
    <w:p w14:paraId="6B5C07B8" w14:textId="77777777" w:rsidR="004B7CB2" w:rsidRPr="004B7CB2" w:rsidRDefault="004B7CB2" w:rsidP="007D0CDF">
      <w:pPr>
        <w:pStyle w:val="ListBullet"/>
      </w:pPr>
      <w:r w:rsidRPr="004B7CB2">
        <w:t>increased the maturation efficiency of the protein (to 34% of wild</w:t>
      </w:r>
      <w:r w:rsidR="008B5A3E">
        <w:t>-</w:t>
      </w:r>
      <w:r w:rsidRPr="004B7CB2">
        <w:t>type; based on glycosylation profile)</w:t>
      </w:r>
    </w:p>
    <w:p w14:paraId="44A10CE3" w14:textId="77777777" w:rsidR="004B7CB2" w:rsidRPr="004B7CB2" w:rsidRDefault="004B7CB2" w:rsidP="004B7CB2">
      <w:pPr>
        <w:pStyle w:val="ListBullet"/>
      </w:pPr>
      <w:r w:rsidRPr="004B7CB2">
        <w:t xml:space="preserve">improved trafficking (exit of the protein </w:t>
      </w:r>
      <w:r w:rsidR="00026051">
        <w:t xml:space="preserve">from the endoplasmic reticulum, </w:t>
      </w:r>
      <w:r w:rsidRPr="004B7CB2">
        <w:t>passage through the Golgi complex and delivery to the cell surface)</w:t>
      </w:r>
    </w:p>
    <w:p w14:paraId="717841CB" w14:textId="77777777" w:rsidR="004B7CB2" w:rsidRPr="004B7CB2" w:rsidRDefault="004B7CB2" w:rsidP="004B7CB2">
      <w:pPr>
        <w:pStyle w:val="ListBullet"/>
      </w:pPr>
      <w:r w:rsidRPr="004B7CB2">
        <w:t>increased cell surface stability (from a half-l</w:t>
      </w:r>
      <w:r w:rsidR="00026051">
        <w:t>ife of 0.5 h</w:t>
      </w:r>
      <w:r w:rsidR="008B5A3E">
        <w:t>ours</w:t>
      </w:r>
      <w:r w:rsidR="00026051">
        <w:t xml:space="preserve"> untreated to 16 h</w:t>
      </w:r>
      <w:r w:rsidR="008B5A3E">
        <w:t>ours</w:t>
      </w:r>
      <w:r w:rsidR="00026051">
        <w:t xml:space="preserve"> (compared with 24 h</w:t>
      </w:r>
      <w:r w:rsidR="008B5A3E">
        <w:t>ours</w:t>
      </w:r>
      <w:r w:rsidR="00026051">
        <w:t xml:space="preserve"> for wild</w:t>
      </w:r>
      <w:r w:rsidR="008B5A3E">
        <w:t>-</w:t>
      </w:r>
      <w:r w:rsidR="00026051">
        <w:t>type)</w:t>
      </w:r>
      <w:r w:rsidRPr="004B7CB2">
        <w:t>), which was associated with adoption of a more native protein conformation; and</w:t>
      </w:r>
    </w:p>
    <w:p w14:paraId="2D810714" w14:textId="2C0F8A71" w:rsidR="004B7CB2" w:rsidRPr="004B7CB2" w:rsidRDefault="004B7CB2" w:rsidP="004B7CB2">
      <w:pPr>
        <w:pStyle w:val="ListBullet"/>
      </w:pPr>
      <w:r w:rsidRPr="004B7CB2">
        <w:t xml:space="preserve">increased the channel open probability (from a baseline of 6% of </w:t>
      </w:r>
      <w:r w:rsidR="009D2D39">
        <w:t>wild-type</w:t>
      </w:r>
      <w:r w:rsidRPr="004B7CB2">
        <w:t xml:space="preserve"> to 50%).</w:t>
      </w:r>
    </w:p>
    <w:p w14:paraId="49F94755" w14:textId="77777777" w:rsidR="004B7CB2" w:rsidRPr="004B7CB2" w:rsidRDefault="004B7CB2" w:rsidP="004B7CB2">
      <w:r w:rsidRPr="004B7CB2">
        <w:t>Consistent with an effect to change cellular processing and trafficking of CFTR, acute addition of lumacaftor did not increase F508del-</w:t>
      </w:r>
      <w:r w:rsidR="00026051">
        <w:t>CFTR mediated</w:t>
      </w:r>
      <w:r w:rsidRPr="004B7CB2">
        <w:t xml:space="preserve"> chloride secretion; the maximum effect of</w:t>
      </w:r>
      <w:r w:rsidR="00026051">
        <w:t xml:space="preserve"> lumacaftor was obtained after  approximately </w:t>
      </w:r>
      <w:r w:rsidRPr="004B7CB2">
        <w:t>24 h</w:t>
      </w:r>
      <w:r w:rsidR="008B5A3E">
        <w:t>our</w:t>
      </w:r>
      <w:r w:rsidRPr="004B7CB2">
        <w:t xml:space="preserve"> treatment (</w:t>
      </w:r>
      <w:r w:rsidR="00026051">
        <w:t>that is</w:t>
      </w:r>
      <w:r w:rsidRPr="004B7CB2">
        <w:t>, enough time for de novo protein synthesis, processing and trafficking). No decrease in efficacy was observed following 30 days of sustained treatment. The lumacaftor binding site was shown to be within the MSD1 (membrane spanning domain 1) of CFTR.</w:t>
      </w:r>
    </w:p>
    <w:p w14:paraId="7B326323" w14:textId="6B3EDE60" w:rsidR="004B7CB2" w:rsidRPr="004B7CB2" w:rsidRDefault="004B7CB2" w:rsidP="004B7CB2">
      <w:r w:rsidRPr="004B7CB2">
        <w:t xml:space="preserve">Increased </w:t>
      </w:r>
      <w:r w:rsidR="00026051">
        <w:t>CFTR mediated</w:t>
      </w:r>
      <w:r w:rsidRPr="004B7CB2">
        <w:t xml:space="preserve"> chloride secretion was observed with lumacaftor treatment in bronchial epithelial cells from F508del</w:t>
      </w:r>
      <w:r w:rsidRPr="004B7CB2">
        <w:noBreakHyphen/>
        <w:t xml:space="preserve">heterozygous CF patients (to </w:t>
      </w:r>
      <w:r w:rsidR="00026051">
        <w:t xml:space="preserve">&lt; </w:t>
      </w:r>
      <w:r w:rsidRPr="004B7CB2">
        <w:t>10% of w</w:t>
      </w:r>
      <w:r w:rsidR="00026051">
        <w:t>ild</w:t>
      </w:r>
      <w:r w:rsidR="008B5A3E">
        <w:t>-</w:t>
      </w:r>
      <w:r w:rsidR="00026051">
        <w:t>type with Class I mutations (</w:t>
      </w:r>
      <w:r w:rsidRPr="004B7CB2">
        <w:t>G542X/F508del; 3905InsT/F508del (suggesting</w:t>
      </w:r>
      <w:r w:rsidR="00026051">
        <w:t xml:space="preserve"> very limited clinical benefit))</w:t>
      </w:r>
      <w:r w:rsidRPr="004B7CB2">
        <w:t xml:space="preserve">, and to </w:t>
      </w:r>
      <w:r w:rsidR="00026051">
        <w:t>&gt; 10% with Class III (G551D/F508del)</w:t>
      </w:r>
      <w:r w:rsidRPr="004B7CB2">
        <w:t xml:space="preserve"> and Class V </w:t>
      </w:r>
      <w:r w:rsidR="00026051">
        <w:t>(</w:t>
      </w:r>
      <w:r w:rsidRPr="004B7CB2">
        <w:t>2789+5G-</w:t>
      </w:r>
      <w:r w:rsidR="00026051">
        <w:t>&gt; </w:t>
      </w:r>
      <w:r w:rsidRPr="004B7CB2">
        <w:t>A/F508del</w:t>
      </w:r>
      <w:r w:rsidR="00026051">
        <w:t>)</w:t>
      </w:r>
      <w:r w:rsidRPr="004B7CB2">
        <w:t xml:space="preserve"> mutations. The maturation of </w:t>
      </w:r>
      <w:r w:rsidR="009D2D39">
        <w:t>wild-type</w:t>
      </w:r>
      <w:r w:rsidRPr="004B7CB2">
        <w:t xml:space="preserve"> CFTR was also shown to be enhanced by lumacaftor treatment.</w:t>
      </w:r>
    </w:p>
    <w:p w14:paraId="57123F0F" w14:textId="65E5F418" w:rsidR="004B7CB2" w:rsidRPr="004B7CB2" w:rsidRDefault="004B7CB2" w:rsidP="004B7CB2">
      <w:r w:rsidRPr="004B7CB2">
        <w:t xml:space="preserve">The addition of ivacaftor (a CFTR potentiator </w:t>
      </w:r>
      <w:r w:rsidR="00026051">
        <w:t>(</w:t>
      </w:r>
      <w:r w:rsidRPr="004B7CB2">
        <w:t>increasing the fraction of time the channel is open</w:t>
      </w:r>
      <w:r w:rsidR="00026051">
        <w:t>)</w:t>
      </w:r>
      <w:r w:rsidRPr="004B7CB2">
        <w:t xml:space="preserve">) was shown to further increase </w:t>
      </w:r>
      <w:r w:rsidR="00026051">
        <w:t>CFTR mediated</w:t>
      </w:r>
      <w:r w:rsidRPr="004B7CB2">
        <w:t xml:space="preserve"> chloride secretion in </w:t>
      </w:r>
      <w:r w:rsidR="00026051">
        <w:t>lumacaftor treated</w:t>
      </w:r>
      <w:r w:rsidRPr="004B7CB2">
        <w:t xml:space="preserve"> human bronchial epithelial cells from F508del-homozygous CF patients (up to 36% of </w:t>
      </w:r>
      <w:r w:rsidR="009D2D39">
        <w:t>wild-type</w:t>
      </w:r>
      <w:r w:rsidRPr="004B7CB2">
        <w:t>), and also to further increase airway surface liquid height and cilia beat frequency.</w:t>
      </w:r>
    </w:p>
    <w:p w14:paraId="7209FA56" w14:textId="77777777" w:rsidR="004B7CB2" w:rsidRPr="004B7CB2" w:rsidRDefault="004B7CB2" w:rsidP="004B7CB2">
      <w:r w:rsidRPr="004B7CB2">
        <w:t>The apparent potency of lumacaftor was markedly redu</w:t>
      </w:r>
      <w:r w:rsidR="00026051">
        <w:t>ced in the presence of serum (4 </w:t>
      </w:r>
      <w:r w:rsidRPr="004B7CB2">
        <w:t>fold with 20% serum), consistent with very high protein binding by the drug. Reduced efficacy was also seen with very high drug c</w:t>
      </w:r>
      <w:r w:rsidR="00026051">
        <w:t xml:space="preserve">oncentrations, producing a bell </w:t>
      </w:r>
      <w:r w:rsidRPr="004B7CB2">
        <w:t>shaped curve (</w:t>
      </w:r>
      <w:r w:rsidR="0052340A">
        <w:t>half maximal inhibitory concentration (</w:t>
      </w:r>
      <w:r w:rsidRPr="004B7CB2">
        <w:t>IC50</w:t>
      </w:r>
      <w:r w:rsidR="0052340A">
        <w:t>)</w:t>
      </w:r>
      <w:r w:rsidRPr="004B7CB2">
        <w:t xml:space="preserve"> for effects on chloride secretion, 40 </w:t>
      </w:r>
      <w:r w:rsidR="00026051">
        <w:t>µ</w:t>
      </w:r>
      <w:r w:rsidRPr="004B7CB2">
        <w:t xml:space="preserve">M </w:t>
      </w:r>
      <w:r w:rsidR="0052340A">
        <w:t>(&gt; </w:t>
      </w:r>
      <w:r w:rsidR="00026051">
        <w:t xml:space="preserve">60 </w:t>
      </w:r>
      <w:r w:rsidRPr="004B7CB2">
        <w:t xml:space="preserve">times the </w:t>
      </w:r>
      <w:r w:rsidR="00681184">
        <w:t>effective concentration 90% (</w:t>
      </w:r>
      <w:r w:rsidRPr="004B7CB2">
        <w:t>EC</w:t>
      </w:r>
      <w:r w:rsidRPr="0052340A">
        <w:rPr>
          <w:vertAlign w:val="subscript"/>
        </w:rPr>
        <w:t>90</w:t>
      </w:r>
      <w:r w:rsidR="00681184">
        <w:t>)</w:t>
      </w:r>
      <w:r w:rsidR="00026051">
        <w:t>)</w:t>
      </w:r>
      <w:r w:rsidRPr="004B7CB2">
        <w:t xml:space="preserve">). The drug’s predominant human circulating metabolite, </w:t>
      </w:r>
      <w:r w:rsidR="0026099D">
        <w:t>M2</w:t>
      </w:r>
      <w:r w:rsidR="00251DE5">
        <w:t>8-</w:t>
      </w:r>
      <w:r w:rsidRPr="004B7CB2">
        <w:t>lumacaftor, was shown not to be pharmacologically active.</w:t>
      </w:r>
    </w:p>
    <w:p w14:paraId="03D5B7EC" w14:textId="77777777" w:rsidR="004B7CB2" w:rsidRPr="004B7CB2" w:rsidRDefault="004B7CB2" w:rsidP="004B7CB2">
      <w:r w:rsidRPr="004B7CB2">
        <w:t>No in vivo pharmacodynamic studies were conducted due to a lack of an adequate animal disease model.</w:t>
      </w:r>
    </w:p>
    <w:p w14:paraId="38FD83D2" w14:textId="77777777" w:rsidR="004B7CB2" w:rsidRPr="004B7CB2" w:rsidRDefault="004B7CB2" w:rsidP="007D0CDF">
      <w:pPr>
        <w:pStyle w:val="Heading4"/>
      </w:pPr>
      <w:r w:rsidRPr="004B7CB2">
        <w:t>Secondary pharmacodynamics and safety pharmacology</w:t>
      </w:r>
    </w:p>
    <w:p w14:paraId="70B6D3C5" w14:textId="77777777" w:rsidR="004B7CB2" w:rsidRPr="004B7CB2" w:rsidRDefault="004B7CB2" w:rsidP="004B7CB2">
      <w:r w:rsidRPr="004B7CB2">
        <w:t>The effect of lumacaftor on protein processing and trafficking was seen to be specific to CFTR. The drug had no effect on 38 other proteins (from various families).</w:t>
      </w:r>
    </w:p>
    <w:p w14:paraId="30E72D85" w14:textId="77777777" w:rsidR="004B7CB2" w:rsidRPr="004B7CB2" w:rsidRDefault="004B7CB2" w:rsidP="004B7CB2">
      <w:r w:rsidRPr="004B7CB2">
        <w:t>Screening of lumacaftor against an extensive panel of receptors, enzymes, transports and ion channels revealed notable affinity only at the hu</w:t>
      </w:r>
      <w:r w:rsidR="008B5A3E">
        <w:t>man thromboxane A2 receptor (Ki</w:t>
      </w:r>
      <w:r w:rsidRPr="004B7CB2">
        <w:t xml:space="preserve"> </w:t>
      </w:r>
      <w:r w:rsidRPr="004B7CB2">
        <w:lastRenderedPageBreak/>
        <w:t xml:space="preserve">2.97 </w:t>
      </w:r>
      <w:r w:rsidR="00026051">
        <w:t>µ</w:t>
      </w:r>
      <w:r w:rsidRPr="004B7CB2">
        <w:t xml:space="preserve">M). The drug was shown to act as a thromboxane A2 receptor antagonist in functional experiments (isolated rat aortic rings). </w:t>
      </w:r>
      <w:r w:rsidR="0026099D">
        <w:t>M2</w:t>
      </w:r>
      <w:r w:rsidRPr="004B7CB2">
        <w:t>8-lumacaftor showed no significant binding affinity in screening assays.</w:t>
      </w:r>
    </w:p>
    <w:p w14:paraId="2FCA1205" w14:textId="77777777" w:rsidR="004B7CB2" w:rsidRPr="004B7CB2" w:rsidRDefault="004B7CB2" w:rsidP="004B7CB2">
      <w:r w:rsidRPr="004B7CB2">
        <w:t xml:space="preserve">Specialised safety pharmacology studies covered the </w:t>
      </w:r>
      <w:r w:rsidR="0052340A">
        <w:t>central nervous system</w:t>
      </w:r>
      <w:r w:rsidR="0052340A" w:rsidRPr="004B7CB2">
        <w:t xml:space="preserve"> </w:t>
      </w:r>
      <w:r w:rsidR="0052340A">
        <w:t>(</w:t>
      </w:r>
      <w:r w:rsidRPr="004B7CB2">
        <w:t>CNS</w:t>
      </w:r>
      <w:r w:rsidR="0052340A">
        <w:t>)</w:t>
      </w:r>
      <w:r w:rsidRPr="004B7CB2">
        <w:t>, cardiovascular, respiratory and gastrointestinal systems. Single oral administration of lumacaftor did not affect CNS or respiratory function, or GI motility/stomach emptying, in rats (</w:t>
      </w:r>
      <w:r w:rsidR="00026051">
        <w:t xml:space="preserve">≤ </w:t>
      </w:r>
      <w:r w:rsidRPr="004B7CB2">
        <w:t xml:space="preserve">1000 mg/kg). Lumacaftor did not block the </w:t>
      </w:r>
      <w:r w:rsidR="0052340A">
        <w:t>Human ether a go go related gene (potassium ion) (</w:t>
      </w:r>
      <w:r w:rsidRPr="004B7CB2">
        <w:t>hERG K+</w:t>
      </w:r>
      <w:r w:rsidR="0052340A">
        <w:t>)</w:t>
      </w:r>
      <w:r w:rsidRPr="004B7CB2">
        <w:t xml:space="preserve"> channel in transfected mammalian cells (at 4.6 </w:t>
      </w:r>
      <w:r w:rsidR="00026051">
        <w:t>µ</w:t>
      </w:r>
      <w:r w:rsidRPr="004B7CB2">
        <w:t xml:space="preserve">M; tested up to the maximum soluble concentration). Heart rate, blood pressure and </w:t>
      </w:r>
      <w:r w:rsidR="00303FCD">
        <w:t>electrocardiogram</w:t>
      </w:r>
      <w:r w:rsidR="00303FCD" w:rsidRPr="004B7CB2">
        <w:t xml:space="preserve"> </w:t>
      </w:r>
      <w:r w:rsidR="00303FCD">
        <w:t>(</w:t>
      </w:r>
      <w:r w:rsidRPr="004B7CB2">
        <w:t>ECG</w:t>
      </w:r>
      <w:r w:rsidR="00303FCD">
        <w:t>)</w:t>
      </w:r>
      <w:r w:rsidRPr="004B7CB2">
        <w:t xml:space="preserve"> parameters were unaffected by lumacaftor in dogs (</w:t>
      </w:r>
      <w:r w:rsidR="00026051">
        <w:t xml:space="preserve">≤ </w:t>
      </w:r>
      <w:r w:rsidRPr="004B7CB2">
        <w:t xml:space="preserve">200 mg/kg </w:t>
      </w:r>
      <w:r w:rsidR="00A50EF6">
        <w:t>orally</w:t>
      </w:r>
      <w:r w:rsidR="00A50EF6" w:rsidRPr="004B7CB2">
        <w:t xml:space="preserve"> </w:t>
      </w:r>
      <w:r w:rsidR="00A50EF6">
        <w:t>(</w:t>
      </w:r>
      <w:r w:rsidRPr="004B7CB2">
        <w:t>PO</w:t>
      </w:r>
      <w:r w:rsidR="00A50EF6">
        <w:t>)</w:t>
      </w:r>
      <w:r w:rsidRPr="004B7CB2">
        <w:t>; single dose).</w:t>
      </w:r>
    </w:p>
    <w:p w14:paraId="76222753" w14:textId="77777777" w:rsidR="004B7CB2" w:rsidRPr="004B7CB2" w:rsidRDefault="004B7CB2" w:rsidP="007D0CDF">
      <w:pPr>
        <w:pStyle w:val="Heading3"/>
      </w:pPr>
      <w:bookmarkStart w:id="49" w:name="_Toc294861724"/>
      <w:bookmarkStart w:id="50" w:name="_Toc295290866"/>
      <w:bookmarkStart w:id="51" w:name="_Toc436401094"/>
      <w:bookmarkStart w:id="52" w:name="_Toc462141649"/>
      <w:r w:rsidRPr="004B7CB2">
        <w:t>Pharmacokinetics</w:t>
      </w:r>
      <w:bookmarkEnd w:id="49"/>
      <w:bookmarkEnd w:id="50"/>
      <w:bookmarkEnd w:id="51"/>
      <w:bookmarkEnd w:id="52"/>
    </w:p>
    <w:p w14:paraId="174B8F5E" w14:textId="77777777" w:rsidR="004B7CB2" w:rsidRPr="004B7CB2" w:rsidRDefault="004B7CB2" w:rsidP="004B7CB2">
      <w:r w:rsidRPr="004B7CB2">
        <w:t xml:space="preserve">Absorption of lumacaftor after oral administration was generally rapid in mice and dogs (plasma </w:t>
      </w:r>
      <w:r w:rsidR="0052340A">
        <w:t>time of the maximum concentration</w:t>
      </w:r>
      <w:r w:rsidR="0052340A" w:rsidRPr="004B7CB2">
        <w:t xml:space="preserve"> </w:t>
      </w:r>
      <w:r w:rsidR="0052340A">
        <w:t>(</w:t>
      </w:r>
      <w:r w:rsidR="00026051" w:rsidRPr="004B7CB2">
        <w:t>T</w:t>
      </w:r>
      <w:r w:rsidR="00026051" w:rsidRPr="00026051">
        <w:rPr>
          <w:vertAlign w:val="subscript"/>
        </w:rPr>
        <w:t>max</w:t>
      </w:r>
      <w:r w:rsidR="0052340A">
        <w:t>)</w:t>
      </w:r>
      <w:r w:rsidRPr="004B7CB2">
        <w:t xml:space="preserve"> typically 2 h</w:t>
      </w:r>
      <w:r w:rsidR="008B5A3E">
        <w:t>ours</w:t>
      </w:r>
      <w:r w:rsidRPr="004B7CB2">
        <w:t>), and similar to that in humans (</w:t>
      </w:r>
      <w:r w:rsidR="00026051" w:rsidRPr="004B7CB2">
        <w:t>T</w:t>
      </w:r>
      <w:r w:rsidR="00026051" w:rsidRPr="00026051">
        <w:rPr>
          <w:vertAlign w:val="subscript"/>
        </w:rPr>
        <w:t>max</w:t>
      </w:r>
      <w:r w:rsidRPr="004B7CB2">
        <w:t>, 2.2 h</w:t>
      </w:r>
      <w:r w:rsidR="008B5A3E">
        <w:t>ours</w:t>
      </w:r>
      <w:r w:rsidRPr="004B7CB2">
        <w:t xml:space="preserve"> in CF patients at the proposed dose); slower absorption was seen in rats and rabbits (</w:t>
      </w:r>
      <w:r w:rsidR="00026051" w:rsidRPr="004B7CB2">
        <w:t>T</w:t>
      </w:r>
      <w:r w:rsidR="00026051" w:rsidRPr="00026051">
        <w:rPr>
          <w:vertAlign w:val="subscript"/>
        </w:rPr>
        <w:t>max</w:t>
      </w:r>
      <w:r w:rsidR="00026051">
        <w:t xml:space="preserve"> commonly 4 to 10 </w:t>
      </w:r>
      <w:r w:rsidRPr="004B7CB2">
        <w:t>h</w:t>
      </w:r>
      <w:r w:rsidR="008B5A3E">
        <w:t>ours</w:t>
      </w:r>
      <w:r w:rsidRPr="004B7CB2">
        <w:t xml:space="preserve">). Bioavailability in rats ranged from </w:t>
      </w:r>
      <w:r w:rsidR="00026051">
        <w:t xml:space="preserve">approximately 50 to </w:t>
      </w:r>
      <w:r w:rsidRPr="004B7CB2">
        <w:t xml:space="preserve">100% and was </w:t>
      </w:r>
      <w:r w:rsidR="00026051">
        <w:t>approximately</w:t>
      </w:r>
      <w:r w:rsidR="008B5A3E">
        <w:t xml:space="preserve">25 to </w:t>
      </w:r>
      <w:r w:rsidRPr="004B7CB2">
        <w:t>50% in dogs. In vitro experiments with Caco</w:t>
      </w:r>
      <w:r w:rsidRPr="004B7CB2">
        <w:noBreakHyphen/>
        <w:t>2 cells indicated high permeability. Exposure in animals was less than dose</w:t>
      </w:r>
      <w:r w:rsidR="00026051">
        <w:t xml:space="preserve"> </w:t>
      </w:r>
      <w:r w:rsidRPr="004B7CB2">
        <w:t xml:space="preserve">proportional. Clearance was faster in the laboratory animal species than in humans (plasma half-lives of </w:t>
      </w:r>
      <w:r w:rsidR="00026051">
        <w:t>approximately</w:t>
      </w:r>
      <w:r w:rsidR="008B5A3E">
        <w:t xml:space="preserve">6 to 8 hours compared with </w:t>
      </w:r>
      <w:r w:rsidR="00026051">
        <w:t>approximately</w:t>
      </w:r>
      <w:r w:rsidRPr="004B7CB2">
        <w:t>26 h</w:t>
      </w:r>
      <w:r w:rsidR="008B5A3E">
        <w:t>ours</w:t>
      </w:r>
      <w:r w:rsidRPr="004B7CB2">
        <w:t xml:space="preserve"> for patients).</w:t>
      </w:r>
    </w:p>
    <w:p w14:paraId="48C7D87F" w14:textId="39108010" w:rsidR="004B7CB2" w:rsidRPr="004B7CB2" w:rsidRDefault="004B7CB2" w:rsidP="004B7CB2">
      <w:r w:rsidRPr="004B7CB2">
        <w:t>Plasma protein binding by lumacaftor was very high in humans (</w:t>
      </w:r>
      <w:r w:rsidR="00026051">
        <w:t xml:space="preserve">≥ </w:t>
      </w:r>
      <w:r w:rsidRPr="004B7CB2">
        <w:t xml:space="preserve">99.97% in definitive experiments with </w:t>
      </w:r>
      <w:r w:rsidRPr="008B5A3E">
        <w:rPr>
          <w:vertAlign w:val="superscript"/>
        </w:rPr>
        <w:t>14</w:t>
      </w:r>
      <w:r w:rsidRPr="004B7CB2">
        <w:t>C</w:t>
      </w:r>
      <w:r w:rsidRPr="004B7CB2">
        <w:noBreakHyphen/>
        <w:t>lumacaftor and 99.2</w:t>
      </w:r>
      <w:r w:rsidR="009D2D39">
        <w:t xml:space="preserve"> to </w:t>
      </w:r>
      <w:r w:rsidRPr="004B7CB2">
        <w:t>99.4% in earlier experiments with unlabelled drug) and laboratory animal species (means of 99.3</w:t>
      </w:r>
      <w:r w:rsidR="009D2D39">
        <w:t xml:space="preserve"> to </w:t>
      </w:r>
      <w:r w:rsidRPr="004B7CB2">
        <w:t xml:space="preserve">99.8% at </w:t>
      </w:r>
      <w:r w:rsidR="00026051">
        <w:t xml:space="preserve">≤ </w:t>
      </w:r>
      <w:r w:rsidRPr="004B7CB2">
        <w:t xml:space="preserve">100 </w:t>
      </w:r>
      <w:r w:rsidR="00026051">
        <w:t>µ</w:t>
      </w:r>
      <w:r w:rsidRPr="004B7CB2">
        <w:t>M in mouse, rat, rabbit, dog and monkey). Human serum albumin was the plasma component chiefly responsible for binding lumacaftor, with the contribution of α1</w:t>
      </w:r>
      <w:r w:rsidRPr="004B7CB2">
        <w:noBreakHyphen/>
        <w:t>acid glycoprotein and human gamma globulin low.</w:t>
      </w:r>
    </w:p>
    <w:p w14:paraId="35C967B0" w14:textId="77777777" w:rsidR="004B7CB2" w:rsidRPr="004B7CB2" w:rsidRDefault="004B7CB2" w:rsidP="004B7CB2">
      <w:r w:rsidRPr="004B7CB2">
        <w:t xml:space="preserve">Tissue distribution of radioactivity was rapid and wide following oral administration of </w:t>
      </w:r>
      <w:r w:rsidRPr="008B5A3E">
        <w:rPr>
          <w:vertAlign w:val="superscript"/>
        </w:rPr>
        <w:t>14</w:t>
      </w:r>
      <w:r w:rsidRPr="004B7CB2">
        <w:t>C</w:t>
      </w:r>
      <w:r w:rsidRPr="004B7CB2">
        <w:noBreakHyphen/>
        <w:t>lumacaftor in rats. Outside of the GI tract, highest levels of radioactivity were observed in the liver, adrenal glands, thyroid, kidney and bone marrow. Penetration of the blood:</w:t>
      </w:r>
      <w:r w:rsidR="008B5A3E">
        <w:t xml:space="preserve"> </w:t>
      </w:r>
      <w:r w:rsidRPr="004B7CB2">
        <w:t>brain barrier was very low (</w:t>
      </w:r>
      <w:r w:rsidR="00303FCD">
        <w:t>maximum observed concentration</w:t>
      </w:r>
      <w:r w:rsidR="00303FCD" w:rsidRPr="004B7CB2">
        <w:t xml:space="preserve"> </w:t>
      </w:r>
      <w:r w:rsidR="00303FCD">
        <w:t>(</w:t>
      </w:r>
      <w:r w:rsidR="008B5A3E" w:rsidRPr="004B7CB2">
        <w:t>C</w:t>
      </w:r>
      <w:r w:rsidR="008B5A3E" w:rsidRPr="008B5A3E">
        <w:rPr>
          <w:vertAlign w:val="subscript"/>
        </w:rPr>
        <w:t>max</w:t>
      </w:r>
      <w:r w:rsidR="00303FCD">
        <w:t>)</w:t>
      </w:r>
      <w:r w:rsidRPr="004B7CB2">
        <w:t xml:space="preserve"> in brain being </w:t>
      </w:r>
      <w:r w:rsidR="00026051">
        <w:t>approximately</w:t>
      </w:r>
      <w:r w:rsidRPr="004B7CB2">
        <w:t>50</w:t>
      </w:r>
      <w:r w:rsidR="00026051">
        <w:t xml:space="preserve"> </w:t>
      </w:r>
      <w:r w:rsidRPr="004B7CB2">
        <w:t xml:space="preserve">times lower than the plasma </w:t>
      </w:r>
      <w:r w:rsidR="008B5A3E" w:rsidRPr="004B7CB2">
        <w:t>C</w:t>
      </w:r>
      <w:r w:rsidR="008B5A3E" w:rsidRPr="008B5A3E">
        <w:rPr>
          <w:vertAlign w:val="subscript"/>
        </w:rPr>
        <w:t>max</w:t>
      </w:r>
      <w:r w:rsidRPr="004B7CB2">
        <w:t xml:space="preserve">). The peak lung concentration was </w:t>
      </w:r>
      <w:r w:rsidR="00026051">
        <w:t>approximately</w:t>
      </w:r>
      <w:r w:rsidRPr="004B7CB2">
        <w:t>20% that of plasma. In a study with unlabelled drug, lumacaftor was detected in the epithel</w:t>
      </w:r>
      <w:r w:rsidR="008B5A3E">
        <w:t xml:space="preserve">ial lining fluid of rats at 117 to </w:t>
      </w:r>
      <w:r w:rsidRPr="004B7CB2">
        <w:t>370 times the peak plasma concentration of unbound drug.</w:t>
      </w:r>
    </w:p>
    <w:p w14:paraId="0A9BA5D4" w14:textId="77777777" w:rsidR="004B7CB2" w:rsidRPr="004B7CB2" w:rsidRDefault="004B7CB2" w:rsidP="004B7CB2">
      <w:r w:rsidRPr="004B7CB2">
        <w:t xml:space="preserve">Metabolism of lumacaftor involved oxidation and glucuronidation. Unchanged drug was the dominant circulating species in rats, dogs and humans. The predominant human circulating metabolite, </w:t>
      </w:r>
      <w:r w:rsidR="0026099D">
        <w:t>M2</w:t>
      </w:r>
      <w:r w:rsidRPr="004B7CB2">
        <w:t xml:space="preserve">8-lumacaftor (hydroxy-pyrrolidone-lumacaftor), was not formed in laboratory animal species. However, the plasma </w:t>
      </w:r>
      <w:r w:rsidR="00A347E8">
        <w:t>area under the concentration time curve</w:t>
      </w:r>
      <w:r w:rsidR="00A347E8" w:rsidRPr="004B7CB2">
        <w:t xml:space="preserve"> </w:t>
      </w:r>
      <w:r w:rsidR="00A347E8">
        <w:t>(</w:t>
      </w:r>
      <w:r w:rsidRPr="004B7CB2">
        <w:t>AUC</w:t>
      </w:r>
      <w:r w:rsidR="00A347E8">
        <w:t>)</w:t>
      </w:r>
      <w:r w:rsidRPr="004B7CB2">
        <w:t xml:space="preserve"> for this metabolite in patients is 8.4% of that for the parent, below the level specified in </w:t>
      </w:r>
      <w:r w:rsidR="008B5A3E">
        <w:t>the guideline</w:t>
      </w:r>
      <w:bookmarkStart w:id="53" w:name="_Ref456623341"/>
      <w:r w:rsidRPr="008B5A3E">
        <w:rPr>
          <w:vertAlign w:val="superscript"/>
        </w:rPr>
        <w:footnoteReference w:id="3"/>
      </w:r>
      <w:bookmarkEnd w:id="53"/>
      <w:r w:rsidRPr="004B7CB2">
        <w:t xml:space="preserve"> for which nonclinical characterisation is warranted (</w:t>
      </w:r>
      <w:r w:rsidR="00026051">
        <w:t xml:space="preserve">&gt; </w:t>
      </w:r>
      <w:r w:rsidRPr="004B7CB2">
        <w:t>10% of total drug</w:t>
      </w:r>
      <w:r w:rsidR="00026051">
        <w:t xml:space="preserve"> </w:t>
      </w:r>
      <w:r w:rsidRPr="004B7CB2">
        <w:t xml:space="preserve">related exposure). Experiments with recombinant human </w:t>
      </w:r>
      <w:r w:rsidR="00303FCD">
        <w:t>cytochrome P450s (</w:t>
      </w:r>
      <w:r w:rsidRPr="004B7CB2">
        <w:t>CYPs</w:t>
      </w:r>
      <w:r w:rsidR="00303FCD">
        <w:t>)</w:t>
      </w:r>
      <w:r w:rsidRPr="004B7CB2">
        <w:t xml:space="preserve"> indicated roles for CYP3A4 and 2C8 in the metabolism of lumacaftor. Excretion was predominantly via the faeces in rats and humans. Biliary excretion was demonstrated in rats.</w:t>
      </w:r>
    </w:p>
    <w:p w14:paraId="10357628" w14:textId="77777777" w:rsidR="004B7CB2" w:rsidRPr="004B7CB2" w:rsidRDefault="004B7CB2" w:rsidP="004B7CB2">
      <w:r w:rsidRPr="004B7CB2">
        <w:lastRenderedPageBreak/>
        <w:t>Comparisons of the pharmacokinetic profiles of lumacaftor in the laboratory animal species used in the pivotal repeat</w:t>
      </w:r>
      <w:r w:rsidR="00026051">
        <w:t xml:space="preserve"> </w:t>
      </w:r>
      <w:r w:rsidRPr="004B7CB2">
        <w:t>dose toxicity studies (rats and dogs) indicate that sufficient similarities exist to allow them to serve as appropriate models for the assessment of lumacaftor toxicity in humans. Due to cross</w:t>
      </w:r>
      <w:r w:rsidR="00026051">
        <w:t xml:space="preserve"> </w:t>
      </w:r>
      <w:r w:rsidRPr="004B7CB2">
        <w:t xml:space="preserve">species differences in metabolic profiles, the toxicity of the main human metabolite </w:t>
      </w:r>
      <w:r w:rsidR="0026099D">
        <w:t>M2</w:t>
      </w:r>
      <w:r w:rsidRPr="004B7CB2">
        <w:t>8</w:t>
      </w:r>
      <w:r w:rsidRPr="004B7CB2">
        <w:noBreakHyphen/>
        <w:t xml:space="preserve">lumacaftor cannot be assessed in animals dosed with lumacaftor. While this is not necessary under </w:t>
      </w:r>
      <w:r w:rsidR="008B5A3E">
        <w:t>the guideline</w:t>
      </w:r>
      <w:r w:rsidR="008B5A3E" w:rsidRPr="008B5A3E">
        <w:rPr>
          <w:vertAlign w:val="superscript"/>
        </w:rPr>
        <w:fldChar w:fldCharType="begin"/>
      </w:r>
      <w:r w:rsidR="008B5A3E" w:rsidRPr="008B5A3E">
        <w:rPr>
          <w:vertAlign w:val="superscript"/>
        </w:rPr>
        <w:instrText xml:space="preserve"> NOTEREF _Ref456623341 \h </w:instrText>
      </w:r>
      <w:r w:rsidR="008B5A3E">
        <w:rPr>
          <w:vertAlign w:val="superscript"/>
        </w:rPr>
        <w:instrText xml:space="preserve"> \* MERGEFORMAT </w:instrText>
      </w:r>
      <w:r w:rsidR="008B5A3E" w:rsidRPr="008B5A3E">
        <w:rPr>
          <w:vertAlign w:val="superscript"/>
        </w:rPr>
      </w:r>
      <w:r w:rsidR="008B5A3E" w:rsidRPr="008B5A3E">
        <w:rPr>
          <w:vertAlign w:val="superscript"/>
        </w:rPr>
        <w:fldChar w:fldCharType="separate"/>
      </w:r>
      <w:r w:rsidR="00EC3FD5">
        <w:rPr>
          <w:vertAlign w:val="superscript"/>
        </w:rPr>
        <w:t>4</w:t>
      </w:r>
      <w:r w:rsidR="008B5A3E" w:rsidRPr="008B5A3E">
        <w:rPr>
          <w:vertAlign w:val="superscript"/>
        </w:rPr>
        <w:fldChar w:fldCharType="end"/>
      </w:r>
      <w:r w:rsidRPr="004B7CB2">
        <w:t xml:space="preserve">, the sponsor has conducted animal studies where </w:t>
      </w:r>
      <w:r w:rsidR="0026099D">
        <w:t>M2</w:t>
      </w:r>
      <w:r w:rsidRPr="004B7CB2">
        <w:t>8</w:t>
      </w:r>
      <w:r w:rsidRPr="004B7CB2">
        <w:noBreakHyphen/>
        <w:t>lumacaftor was directly administered.</w:t>
      </w:r>
    </w:p>
    <w:p w14:paraId="6E02A296" w14:textId="77777777" w:rsidR="004B7CB2" w:rsidRPr="004B7CB2" w:rsidRDefault="004B7CB2" w:rsidP="004B7CB2">
      <w:pPr>
        <w:pStyle w:val="Heading4"/>
      </w:pPr>
      <w:bookmarkStart w:id="54" w:name="_Toc294861725"/>
      <w:r w:rsidRPr="004B7CB2">
        <w:t>Pharmacokinetic drug interactions</w:t>
      </w:r>
      <w:bookmarkEnd w:id="54"/>
    </w:p>
    <w:p w14:paraId="76244E53" w14:textId="385CB616" w:rsidR="004B7CB2" w:rsidRPr="004B7CB2" w:rsidRDefault="004B7CB2" w:rsidP="004B7CB2">
      <w:r w:rsidRPr="004B7CB2">
        <w:t>Lumacaftor inhibited CYP2C8 with a</w:t>
      </w:r>
      <w:r w:rsidR="009D2D39">
        <w:t>n</w:t>
      </w:r>
      <w:r w:rsidRPr="004B7CB2">
        <w:t xml:space="preserve"> </w:t>
      </w:r>
      <w:r w:rsidR="00251DE5">
        <w:t>inhibitory constant (</w:t>
      </w:r>
      <w:r w:rsidRPr="004B7CB2">
        <w:t>Ki</w:t>
      </w:r>
      <w:r w:rsidR="00251DE5">
        <w:t>)</w:t>
      </w:r>
      <w:r w:rsidRPr="004B7CB2">
        <w:t xml:space="preserve"> of 2.4 </w:t>
      </w:r>
      <w:r w:rsidR="00026051">
        <w:t>µ</w:t>
      </w:r>
      <w:r w:rsidRPr="004B7CB2">
        <w:t xml:space="preserve">M in vitro in experiments with human liver microsomes. Based on comparison of the Ki with the mean unbound plasma </w:t>
      </w:r>
      <w:r w:rsidR="008B5A3E" w:rsidRPr="004B7CB2">
        <w:t>C</w:t>
      </w:r>
      <w:r w:rsidR="008B5A3E" w:rsidRPr="008B5A3E">
        <w:rPr>
          <w:vertAlign w:val="subscript"/>
        </w:rPr>
        <w:t>max</w:t>
      </w:r>
      <w:r w:rsidRPr="004B7CB2">
        <w:t xml:space="preserve"> in patients (0.55 </w:t>
      </w:r>
      <w:r w:rsidR="00026051">
        <w:t>µ</w:t>
      </w:r>
      <w:r w:rsidRPr="004B7CB2">
        <w:t>M; assuming a free fraction of no lower than 1% in accordance with the relevant guideline</w:t>
      </w:r>
      <w:r w:rsidRPr="008B5A3E">
        <w:rPr>
          <w:vertAlign w:val="superscript"/>
        </w:rPr>
        <w:footnoteReference w:id="4"/>
      </w:r>
      <w:r w:rsidRPr="004B7CB2">
        <w:t xml:space="preserve">), an in vivo interaction is considered possible. Inhibitory activity by lumacaftor was weaker against CYP2C9 (Ki, 34.7 </w:t>
      </w:r>
      <w:r w:rsidR="00026051">
        <w:t>µ</w:t>
      </w:r>
      <w:r w:rsidRPr="004B7CB2">
        <w:t xml:space="preserve">M), CYPs 1A2, 2A6, 2B6, 2C19 and 3A4 (IC50 values </w:t>
      </w:r>
      <w:r w:rsidR="00026051">
        <w:t xml:space="preserve">&gt; </w:t>
      </w:r>
      <w:r w:rsidRPr="004B7CB2">
        <w:t xml:space="preserve">100 </w:t>
      </w:r>
      <w:r w:rsidR="00026051">
        <w:t>µ</w:t>
      </w:r>
      <w:r w:rsidRPr="004B7CB2">
        <w:t xml:space="preserve">M), and not seen against CYP2D6 or 2E1 (at up to 100 </w:t>
      </w:r>
      <w:r w:rsidR="00026051">
        <w:t>µ</w:t>
      </w:r>
      <w:r w:rsidRPr="004B7CB2">
        <w:t xml:space="preserve">M); no significant inhibition of this latter set of isozymes is predicted in patients. </w:t>
      </w:r>
      <w:r w:rsidR="0026099D">
        <w:t>M2</w:t>
      </w:r>
      <w:r w:rsidRPr="004B7CB2">
        <w:t>8</w:t>
      </w:r>
      <w:r w:rsidRPr="004B7CB2">
        <w:noBreakHyphen/>
        <w:t>lumacaftor showed no clinically relevant CYP inhibitory activity (IC50’s</w:t>
      </w:r>
      <w:r w:rsidR="009D2D39">
        <w:t> </w:t>
      </w:r>
      <w:r w:rsidR="00026051">
        <w:t>&gt;</w:t>
      </w:r>
      <w:r w:rsidR="009D2D39">
        <w:t> </w:t>
      </w:r>
      <w:r w:rsidRPr="004B7CB2">
        <w:t>30</w:t>
      </w:r>
      <w:r w:rsidR="009D2D39">
        <w:t> </w:t>
      </w:r>
      <w:r w:rsidR="00026051">
        <w:t>µ</w:t>
      </w:r>
      <w:r w:rsidRPr="004B7CB2">
        <w:t>M).</w:t>
      </w:r>
    </w:p>
    <w:p w14:paraId="69DDAD7A" w14:textId="57C242DB" w:rsidR="004B7CB2" w:rsidRPr="004B7CB2" w:rsidRDefault="004B7CB2" w:rsidP="004B7CB2">
      <w:r w:rsidRPr="004B7CB2">
        <w:t>Lumacaftor was shown not to be a substrate for P</w:t>
      </w:r>
      <w:r w:rsidRPr="004B7CB2">
        <w:noBreakHyphen/>
        <w:t>glycoprotein</w:t>
      </w:r>
      <w:r w:rsidR="009B151C">
        <w:t xml:space="preserve"> (P-gp)</w:t>
      </w:r>
      <w:r w:rsidRPr="004B7CB2">
        <w:t xml:space="preserve"> in experiments with Caco</w:t>
      </w:r>
      <w:r w:rsidRPr="004B7CB2">
        <w:noBreakHyphen/>
        <w:t xml:space="preserve">2 cells. The drug inhibited </w:t>
      </w:r>
      <w:r w:rsidR="009B151C">
        <w:t>P-gp</w:t>
      </w:r>
      <w:r w:rsidR="009B151C" w:rsidRPr="004B7CB2">
        <w:t xml:space="preserve"> </w:t>
      </w:r>
      <w:r w:rsidRPr="004B7CB2">
        <w:t xml:space="preserve">with an IC50 of 13.9 </w:t>
      </w:r>
      <w:r w:rsidR="00026051">
        <w:t>µ</w:t>
      </w:r>
      <w:r w:rsidRPr="004B7CB2">
        <w:t>M. This is well below the predicted intestinal concentration after oral administration of 400 mg lumacaftor (3</w:t>
      </w:r>
      <w:r w:rsidR="008B5A3E">
        <w:t>,</w:t>
      </w:r>
      <w:r w:rsidRPr="004B7CB2">
        <w:t>536</w:t>
      </w:r>
      <w:r w:rsidR="009D2D39">
        <w:t> </w:t>
      </w:r>
      <w:r w:rsidR="00026051">
        <w:t>µ</w:t>
      </w:r>
      <w:r w:rsidRPr="004B7CB2">
        <w:t xml:space="preserve">M in an adult; higher in a child), and an in vivo interaction is possible. There may also be clinically significant inhibition of systemic </w:t>
      </w:r>
      <w:r w:rsidR="009B151C">
        <w:t>P-gp</w:t>
      </w:r>
      <w:r w:rsidRPr="004B7CB2">
        <w:t xml:space="preserve"> (the margin between the IC50 and the assumed unbound plasma </w:t>
      </w:r>
      <w:r w:rsidR="008B5A3E" w:rsidRPr="004B7CB2">
        <w:t>C</w:t>
      </w:r>
      <w:r w:rsidR="008B5A3E" w:rsidRPr="008B5A3E">
        <w:rPr>
          <w:vertAlign w:val="subscript"/>
        </w:rPr>
        <w:t>max</w:t>
      </w:r>
      <w:r w:rsidRPr="004B7CB2">
        <w:t xml:space="preserve"> being 25 </w:t>
      </w:r>
      <w:r w:rsidR="00026051">
        <w:t>(</w:t>
      </w:r>
      <w:r w:rsidR="008B5A3E">
        <w:t>compared with</w:t>
      </w:r>
      <w:r w:rsidRPr="004B7CB2">
        <w:t xml:space="preserve"> a 50</w:t>
      </w:r>
      <w:r w:rsidR="00026051">
        <w:t xml:space="preserve"> </w:t>
      </w:r>
      <w:r w:rsidRPr="004B7CB2">
        <w:t>fold margin for excluding such an effect, as described in the relevant guideline</w:t>
      </w:r>
      <w:r w:rsidR="00026051">
        <w:t>)</w:t>
      </w:r>
      <w:r w:rsidRPr="004B7CB2">
        <w:t>).</w:t>
      </w:r>
    </w:p>
    <w:p w14:paraId="78550DBD" w14:textId="77777777" w:rsidR="004B7CB2" w:rsidRPr="004B7CB2" w:rsidRDefault="004B7CB2" w:rsidP="004B7CB2">
      <w:r w:rsidRPr="004B7CB2">
        <w:t xml:space="preserve">The hepatic uptake transporters </w:t>
      </w:r>
      <w:r w:rsidR="00A50EF6">
        <w:t>organic anion-transporting polypeptide</w:t>
      </w:r>
      <w:r w:rsidR="00A50EF6" w:rsidRPr="004B7CB2">
        <w:t xml:space="preserve"> </w:t>
      </w:r>
      <w:r w:rsidR="00A50EF6">
        <w:t>(OATP);</w:t>
      </w:r>
      <w:r w:rsidR="00A50EF6" w:rsidRPr="004B7CB2">
        <w:t xml:space="preserve"> </w:t>
      </w:r>
      <w:r w:rsidRPr="004B7CB2">
        <w:t xml:space="preserve">OATP1B1 and OATP1B3 were inhibited by lumacaftor. IC50 values were 83.0 and 276 </w:t>
      </w:r>
      <w:r w:rsidR="00026051">
        <w:t>µ</w:t>
      </w:r>
      <w:r w:rsidRPr="004B7CB2">
        <w:t xml:space="preserve">M, respectively. These are </w:t>
      </w:r>
      <w:r w:rsidR="00026051">
        <w:t>approximately</w:t>
      </w:r>
      <w:r w:rsidR="008B5A3E">
        <w:t xml:space="preserve">150 to </w:t>
      </w:r>
      <w:r w:rsidRPr="004B7CB2">
        <w:t xml:space="preserve">500 times higher than the assumed unbound plasma </w:t>
      </w:r>
      <w:r w:rsidR="008B5A3E" w:rsidRPr="004B7CB2">
        <w:t>C</w:t>
      </w:r>
      <w:r w:rsidR="008B5A3E" w:rsidRPr="008B5A3E">
        <w:rPr>
          <w:vertAlign w:val="subscript"/>
        </w:rPr>
        <w:t>max</w:t>
      </w:r>
      <w:r w:rsidRPr="004B7CB2">
        <w:t>, and no clinical significance is predicted. Lumacaftor is not a substrate for either transporter.</w:t>
      </w:r>
    </w:p>
    <w:p w14:paraId="71FD057E" w14:textId="77777777" w:rsidR="004B7CB2" w:rsidRPr="004B7CB2" w:rsidRDefault="004B7CB2" w:rsidP="004B7CB2">
      <w:r w:rsidRPr="004B7CB2">
        <w:t>Lumacaftor and warfarin share a high</w:t>
      </w:r>
      <w:r w:rsidR="00026051">
        <w:t xml:space="preserve"> </w:t>
      </w:r>
      <w:r w:rsidRPr="004B7CB2">
        <w:t>affinity binding site within human serum albumin. Plasma protein binding by warfarin was unaffected by the presence of lumacaftor (</w:t>
      </w:r>
      <w:r w:rsidR="008B5A3E">
        <w:t>≤ 100 </w:t>
      </w:r>
      <w:r w:rsidR="00026051">
        <w:t>µ</w:t>
      </w:r>
      <w:r w:rsidRPr="004B7CB2">
        <w:t xml:space="preserve">M), while warfarin was shown to displace bound lumacaftor. The free fraction of lumacaftor was increased </w:t>
      </w:r>
      <w:r w:rsidR="00026051">
        <w:t>approximately</w:t>
      </w:r>
      <w:r w:rsidRPr="004B7CB2">
        <w:t>2</w:t>
      </w:r>
      <w:r w:rsidR="00026051">
        <w:t xml:space="preserve"> </w:t>
      </w:r>
      <w:r w:rsidRPr="004B7CB2">
        <w:t xml:space="preserve">fold at the typical therapeutic concentrations of warfarin (from 0.05% </w:t>
      </w:r>
      <w:r w:rsidR="008B5A3E">
        <w:t xml:space="preserve">free to 0.09 to 0.10% free with warfarin at 2 to </w:t>
      </w:r>
      <w:r w:rsidRPr="004B7CB2">
        <w:t>4 </w:t>
      </w:r>
      <w:r w:rsidR="00026051">
        <w:t>µ</w:t>
      </w:r>
      <w:r w:rsidRPr="004B7CB2">
        <w:t>g/mL). A greater than 4</w:t>
      </w:r>
      <w:r w:rsidR="00026051">
        <w:t xml:space="preserve"> </w:t>
      </w:r>
      <w:r w:rsidRPr="004B7CB2">
        <w:t>fold increase in the lumacaftor free fraction was seen with warfarin at 6 </w:t>
      </w:r>
      <w:r w:rsidR="00026051">
        <w:t>µ</w:t>
      </w:r>
      <w:r w:rsidRPr="004B7CB2">
        <w:t>g/mL (2.1% free).</w:t>
      </w:r>
    </w:p>
    <w:p w14:paraId="12C89A1A" w14:textId="528BB5BB" w:rsidR="004B7CB2" w:rsidRPr="004B7CB2" w:rsidRDefault="004B7CB2" w:rsidP="004B7CB2">
      <w:r w:rsidRPr="004B7CB2">
        <w:t>In vitro experiments with cultured human hepatocytes showed CYP induction by lumacaftor acros</w:t>
      </w:r>
      <w:r w:rsidR="008B5A3E">
        <w:t>s multiple isozymes</w:t>
      </w:r>
      <w:r w:rsidRPr="004B7CB2">
        <w:t xml:space="preserve"> CYP2B6, 2C9, 2C19 and 3A4/5. Lumacaftor was shown to activate the pregnane X receptor (EC50, 2.74 </w:t>
      </w:r>
      <w:r w:rsidR="00026051">
        <w:t>µ</w:t>
      </w:r>
      <w:r w:rsidRPr="004B7CB2">
        <w:t xml:space="preserve">M), which mediates the expression of several P450 genes including CYP3A4 and all CYP2C isozymes, certain Phase II enzymes and </w:t>
      </w:r>
      <w:r w:rsidRPr="00251DE5">
        <w:t xml:space="preserve">many </w:t>
      </w:r>
      <w:r w:rsidR="00251DE5" w:rsidRPr="00251DE5">
        <w:t xml:space="preserve">ATP-binding cassette </w:t>
      </w:r>
      <w:r w:rsidR="00251DE5">
        <w:t>(</w:t>
      </w:r>
      <w:r w:rsidRPr="004B7CB2">
        <w:t>ABC</w:t>
      </w:r>
      <w:r w:rsidR="00251DE5">
        <w:t>)</w:t>
      </w:r>
      <w:r w:rsidR="00026051">
        <w:t xml:space="preserve"> </w:t>
      </w:r>
      <w:r w:rsidRPr="004B7CB2">
        <w:t xml:space="preserve">type transporters, including </w:t>
      </w:r>
      <w:r w:rsidR="009B151C">
        <w:t>P-gp</w:t>
      </w:r>
      <w:r w:rsidRPr="004B7CB2">
        <w:t>. Induction of CYP1A, 2B and 3A was observed in rats treated with lumacaftor (examined in a 3</w:t>
      </w:r>
      <w:r w:rsidR="00026051">
        <w:t xml:space="preserve"> </w:t>
      </w:r>
      <w:r w:rsidRPr="004B7CB2">
        <w:t>month repeat</w:t>
      </w:r>
      <w:r w:rsidR="00026051">
        <w:t xml:space="preserve"> </w:t>
      </w:r>
      <w:r w:rsidRPr="004B7CB2">
        <w:t>dose toxicity study).</w:t>
      </w:r>
    </w:p>
    <w:p w14:paraId="34CC9D81" w14:textId="54C7AF88" w:rsidR="004B7CB2" w:rsidRPr="004B7CB2" w:rsidRDefault="004B7CB2" w:rsidP="004B7CB2">
      <w:r w:rsidRPr="004B7CB2">
        <w:t>Consistent with its major role in the metabolism of ivacaftor, induction of CYP3A4/5 by lumacaftor resulted in increased metabolism of ivacaftor (d</w:t>
      </w:r>
      <w:r w:rsidR="00B22DD1">
        <w:t>ue to increased formation of ivacaftor carboxylate (M6)</w:t>
      </w:r>
      <w:r w:rsidRPr="004B7CB2">
        <w:t xml:space="preserve">) in cultured human hepatocytes. In patients, induction of CYP3A4/5 by lumacaftor reduces exposure to ivacaftor. Despite the higher dose of ivacaftor </w:t>
      </w:r>
      <w:r w:rsidR="009D2D39">
        <w:t>in</w:t>
      </w:r>
      <w:r w:rsidR="009D2D39" w:rsidRPr="004B7CB2">
        <w:t xml:space="preserve"> </w:t>
      </w:r>
      <w:r w:rsidR="008B5A3E">
        <w:t>Orkambi</w:t>
      </w:r>
      <w:r w:rsidRPr="004B7CB2">
        <w:t xml:space="preserve"> </w:t>
      </w:r>
      <w:r w:rsidR="008B5A3E">
        <w:t>compared with</w:t>
      </w:r>
      <w:r w:rsidRPr="004B7CB2">
        <w:t xml:space="preserve"> </w:t>
      </w:r>
      <w:r w:rsidR="008B5A3E">
        <w:t>Kalydeco</w:t>
      </w:r>
      <w:r w:rsidRPr="004B7CB2">
        <w:t xml:space="preserve"> therapy (</w:t>
      </w:r>
      <w:r w:rsidR="00026051">
        <w:t>that is</w:t>
      </w:r>
      <w:r w:rsidRPr="004B7CB2">
        <w:t>, 500 </w:t>
      </w:r>
      <w:r w:rsidR="008B5A3E">
        <w:t xml:space="preserve">compared </w:t>
      </w:r>
      <w:r w:rsidR="008B5A3E">
        <w:lastRenderedPageBreak/>
        <w:t>with</w:t>
      </w:r>
      <w:r w:rsidRPr="004B7CB2">
        <w:t> 300 mg/day), the clinical steady</w:t>
      </w:r>
      <w:r w:rsidR="00026051">
        <w:t xml:space="preserve"> </w:t>
      </w:r>
      <w:r w:rsidRPr="004B7CB2">
        <w:t xml:space="preserve">state </w:t>
      </w:r>
      <w:r w:rsidR="008B5A3E" w:rsidRPr="004B7CB2">
        <w:t>AUC</w:t>
      </w:r>
      <w:r w:rsidR="008B5A3E" w:rsidRPr="008B5A3E">
        <w:rPr>
          <w:vertAlign w:val="subscript"/>
        </w:rPr>
        <w:t>0–24 h</w:t>
      </w:r>
      <w:r w:rsidRPr="004B7CB2">
        <w:t xml:space="preserve"> for ivacaftor is 75% lower with this product (7.32 </w:t>
      </w:r>
      <w:r w:rsidR="008B5A3E">
        <w:t>compared with</w:t>
      </w:r>
      <w:r w:rsidRPr="004B7CB2">
        <w:t xml:space="preserve"> 29.6 </w:t>
      </w:r>
      <w:r w:rsidR="00026051">
        <w:t>µ</w:t>
      </w:r>
      <w:r w:rsidRPr="004B7CB2">
        <w:t>g∙h/mL). A 45% reduction in exposure is seen with respect to the summed AUC for ivacaftor and its two major metabolites (</w:t>
      </w:r>
      <w:r w:rsidR="00B22DD1">
        <w:t>hydroxymethyl-ivacaftor</w:t>
      </w:r>
      <w:r w:rsidR="00B22DD1" w:rsidRPr="004B7CB2">
        <w:t xml:space="preserve"> </w:t>
      </w:r>
      <w:r w:rsidR="00B22DD1">
        <w:t>(</w:t>
      </w:r>
      <w:r w:rsidRPr="004B7CB2">
        <w:t>M1</w:t>
      </w:r>
      <w:r w:rsidR="00B22DD1">
        <w:t>) and M6</w:t>
      </w:r>
      <w:r w:rsidRPr="004B7CB2">
        <w:t xml:space="preserve">) </w:t>
      </w:r>
      <w:r w:rsidR="00026051">
        <w:t>(</w:t>
      </w:r>
      <w:r w:rsidRPr="004B7CB2">
        <w:t>7.32 + 24.2 + 49.6 </w:t>
      </w:r>
      <w:r w:rsidR="00026051">
        <w:t>µ</w:t>
      </w:r>
      <w:r w:rsidRPr="004B7CB2">
        <w:t xml:space="preserve">g∙h/mL for </w:t>
      </w:r>
      <w:r w:rsidR="008B5A3E">
        <w:t>Orkambi</w:t>
      </w:r>
      <w:r w:rsidRPr="004B7CB2">
        <w:t xml:space="preserve"> </w:t>
      </w:r>
      <w:r w:rsidR="008B5A3E">
        <w:t>compared with</w:t>
      </w:r>
      <w:r w:rsidRPr="004B7CB2">
        <w:t xml:space="preserve"> 29.6 + 53.6 </w:t>
      </w:r>
      <w:r w:rsidR="00FD7BCA">
        <w:t xml:space="preserve">+ 34.6 </w:t>
      </w:r>
      <w:r w:rsidR="00026051">
        <w:t>µ</w:t>
      </w:r>
      <w:r w:rsidR="00FD7BCA">
        <w:t xml:space="preserve">g∙h/mL with </w:t>
      </w:r>
      <w:r w:rsidR="008B5A3E">
        <w:t>Kalydeco</w:t>
      </w:r>
      <w:r w:rsidR="00026051">
        <w:t>)</w:t>
      </w:r>
      <w:r w:rsidR="00FD7BCA">
        <w:t>.</w:t>
      </w:r>
    </w:p>
    <w:p w14:paraId="28C33156" w14:textId="77777777" w:rsidR="00AE4E9E" w:rsidRPr="00AE4E9E" w:rsidRDefault="00AE4E9E" w:rsidP="007D0CDF">
      <w:pPr>
        <w:pStyle w:val="Heading3"/>
      </w:pPr>
      <w:bookmarkStart w:id="55" w:name="_Toc462141650"/>
      <w:bookmarkStart w:id="56" w:name="_Toc294861727"/>
      <w:r w:rsidRPr="00AE4E9E">
        <w:t>Toxicology</w:t>
      </w:r>
      <w:bookmarkEnd w:id="55"/>
    </w:p>
    <w:p w14:paraId="6348710E" w14:textId="77777777" w:rsidR="004B7CB2" w:rsidRPr="004B7CB2" w:rsidRDefault="004B7CB2" w:rsidP="007D0CDF">
      <w:pPr>
        <w:pStyle w:val="Heading4"/>
      </w:pPr>
      <w:r w:rsidRPr="004B7CB2">
        <w:t>Acute toxicity</w:t>
      </w:r>
      <w:bookmarkEnd w:id="56"/>
    </w:p>
    <w:p w14:paraId="6D26047E" w14:textId="77777777" w:rsidR="004B7CB2" w:rsidRPr="004B7CB2" w:rsidRDefault="004B7CB2" w:rsidP="004B7CB2">
      <w:r w:rsidRPr="004B7CB2">
        <w:t xml:space="preserve">Lumacaftor displayed a low order of acute toxicity by the oral route in rodents. The maximum </w:t>
      </w:r>
      <w:r w:rsidR="008B5A3E" w:rsidRPr="004B7CB2">
        <w:t>non</w:t>
      </w:r>
      <w:r w:rsidR="008B5A3E">
        <w:t>-</w:t>
      </w:r>
      <w:r w:rsidR="008B5A3E" w:rsidRPr="004B7CB2">
        <w:t>lethal</w:t>
      </w:r>
      <w:r w:rsidRPr="004B7CB2">
        <w:t xml:space="preserve"> dose in mice and rats was 2</w:t>
      </w:r>
      <w:r w:rsidR="008B5A3E">
        <w:t>,</w:t>
      </w:r>
      <w:r w:rsidRPr="004B7CB2">
        <w:t xml:space="preserve">000 mg/kg (the highest dose tested), yielding 7 and 16 times the plasma </w:t>
      </w:r>
      <w:r w:rsidR="008B5A3E" w:rsidRPr="004B7CB2">
        <w:t>AUC</w:t>
      </w:r>
      <w:r w:rsidR="008B5A3E" w:rsidRPr="008B5A3E">
        <w:rPr>
          <w:vertAlign w:val="subscript"/>
        </w:rPr>
        <w:t>0–24 h</w:t>
      </w:r>
      <w:r w:rsidRPr="004B7CB2">
        <w:t xml:space="preserve"> in patients in the respective species and </w:t>
      </w:r>
      <w:r w:rsidR="00026051">
        <w:t>approximately</w:t>
      </w:r>
      <w:r w:rsidRPr="004B7CB2">
        <w:t xml:space="preserve">12 times the clinical </w:t>
      </w:r>
      <w:r w:rsidR="008B5A3E" w:rsidRPr="004B7CB2">
        <w:t>C</w:t>
      </w:r>
      <w:r w:rsidR="008B5A3E" w:rsidRPr="008B5A3E">
        <w:rPr>
          <w:vertAlign w:val="subscript"/>
        </w:rPr>
        <w:t>max</w:t>
      </w:r>
      <w:r w:rsidRPr="004B7CB2">
        <w:t xml:space="preserve">. Body weight gain was significantly reduced in both species (in mice at </w:t>
      </w:r>
      <w:r w:rsidR="00026051">
        <w:t xml:space="preserve">≥ </w:t>
      </w:r>
      <w:r w:rsidRPr="004B7CB2">
        <w:t>500 mg/kg and rats at 2</w:t>
      </w:r>
      <w:r w:rsidR="008B5A3E">
        <w:t>,</w:t>
      </w:r>
      <w:r w:rsidRPr="004B7CB2">
        <w:t>000 mg/kg). The highest dose produced clinical signs in rats (including lethargy, hunched appearance, anogenital stains, stains/exudate/scabs on snout, decreased faecal volume and unformed stool). No obvious treatment</w:t>
      </w:r>
      <w:r w:rsidR="00026051">
        <w:t xml:space="preserve"> </w:t>
      </w:r>
      <w:r w:rsidRPr="004B7CB2">
        <w:t>related gross lesio</w:t>
      </w:r>
      <w:r w:rsidR="00FD7BCA">
        <w:t>ns were seen in either species.</w:t>
      </w:r>
    </w:p>
    <w:p w14:paraId="668750E1" w14:textId="77777777" w:rsidR="004B7CB2" w:rsidRPr="004B7CB2" w:rsidRDefault="004B7CB2" w:rsidP="007D0CDF">
      <w:pPr>
        <w:pStyle w:val="Heading4"/>
      </w:pPr>
      <w:bookmarkStart w:id="57" w:name="_Toc294861728"/>
      <w:r w:rsidRPr="004B7CB2">
        <w:t>Repeat</w:t>
      </w:r>
      <w:r w:rsidR="00026051">
        <w:t xml:space="preserve"> </w:t>
      </w:r>
      <w:r w:rsidRPr="004B7CB2">
        <w:t>dose toxicity</w:t>
      </w:r>
      <w:bookmarkEnd w:id="57"/>
    </w:p>
    <w:p w14:paraId="7036B25C" w14:textId="77777777" w:rsidR="004B7CB2" w:rsidRPr="004B7CB2" w:rsidRDefault="004B7CB2" w:rsidP="004B7CB2">
      <w:r w:rsidRPr="004B7CB2">
        <w:t>Studies of up to 3 months duration were conducted with lumacaftor in mice, 6 months in rats and 12 months in dogs. Studies with lumacaftor and ivacaftor in combination were conducted in rats (up to 3 months) and dogs (4 weeks). All studies used daily oral dosing, which is consistent with the clinical route but not frequency of administratio</w:t>
      </w:r>
      <w:r w:rsidR="008B5A3E">
        <w:t>n (</w:t>
      </w:r>
      <w:r w:rsidR="00C05866">
        <w:t>twice daily (</w:t>
      </w:r>
      <w:r w:rsidR="008B5A3E">
        <w:t>B</w:t>
      </w:r>
      <w:r w:rsidRPr="004B7CB2">
        <w:t>D</w:t>
      </w:r>
      <w:r w:rsidR="00C05866">
        <w:t>)</w:t>
      </w:r>
      <w:r w:rsidRPr="004B7CB2">
        <w:t xml:space="preserve"> in humans). The use of once daily administration in animals is not considered to impact on the validity of the studies and does allow for higher peak drug levels to be investigated. The pivotal lumacaftor and lumacaftor/ivacaftor studies in rats featured additional administration of </w:t>
      </w:r>
      <w:r w:rsidR="0026099D">
        <w:t>M2</w:t>
      </w:r>
      <w:r w:rsidRPr="004B7CB2">
        <w:t>8-lumacaftor; a 4</w:t>
      </w:r>
      <w:r w:rsidR="00026051">
        <w:t xml:space="preserve"> </w:t>
      </w:r>
      <w:r w:rsidRPr="004B7CB2">
        <w:t xml:space="preserve">week rat study with </w:t>
      </w:r>
      <w:r w:rsidR="0026099D">
        <w:t>M2</w:t>
      </w:r>
      <w:r w:rsidRPr="004B7CB2">
        <w:t>8</w:t>
      </w:r>
      <w:r w:rsidRPr="004B7CB2">
        <w:noBreakHyphen/>
        <w:t>lumacaftor alone was also conducted. The duration of the pivotal studies, the species used (rats and dogs), study design and conduct were all consistent with the relevant TGA</w:t>
      </w:r>
      <w:r w:rsidR="00026051">
        <w:t xml:space="preserve"> </w:t>
      </w:r>
      <w:r w:rsidRPr="004B7CB2">
        <w:t>adopted guidelines</w:t>
      </w:r>
      <w:r w:rsidR="008B5A3E">
        <w:t>.</w:t>
      </w:r>
      <w:bookmarkStart w:id="58" w:name="_Ref456685156"/>
      <w:r w:rsidRPr="008B5A3E">
        <w:rPr>
          <w:vertAlign w:val="superscript"/>
        </w:rPr>
        <w:footnoteReference w:id="5"/>
      </w:r>
      <w:bookmarkEnd w:id="58"/>
    </w:p>
    <w:p w14:paraId="7D655F77" w14:textId="77777777" w:rsidR="004B7CB2" w:rsidRPr="004B7CB2" w:rsidRDefault="004B7CB2" w:rsidP="00782417">
      <w:pPr>
        <w:pStyle w:val="Heading5"/>
      </w:pPr>
      <w:r w:rsidRPr="004B7CB2">
        <w:t>Relative exposure</w:t>
      </w:r>
    </w:p>
    <w:p w14:paraId="350C55BD" w14:textId="0BA5E421" w:rsidR="004B7CB2" w:rsidRPr="004B7CB2" w:rsidRDefault="004B7CB2" w:rsidP="004B7CB2">
      <w:r w:rsidRPr="004B7CB2">
        <w:t>Exposure ratios have been calculated based on animal:</w:t>
      </w:r>
      <w:r w:rsidR="008B5A3E">
        <w:t xml:space="preserve"> </w:t>
      </w:r>
      <w:r w:rsidRPr="004B7CB2">
        <w:t xml:space="preserve">human plasma </w:t>
      </w:r>
      <w:r w:rsidR="008B5A3E" w:rsidRPr="004B7CB2">
        <w:t>AUC</w:t>
      </w:r>
      <w:r w:rsidR="008B5A3E" w:rsidRPr="008B5A3E">
        <w:rPr>
          <w:vertAlign w:val="subscript"/>
        </w:rPr>
        <w:t>0–24 h</w:t>
      </w:r>
      <w:r w:rsidRPr="004B7CB2">
        <w:t xml:space="preserve">. Human reference values are from </w:t>
      </w:r>
      <w:r w:rsidR="009D2D39">
        <w:t>c</w:t>
      </w:r>
      <w:r w:rsidRPr="004B7CB2">
        <w:t>linical Study 102. Animal AUC</w:t>
      </w:r>
      <w:r w:rsidRPr="008B5A3E">
        <w:rPr>
          <w:vertAlign w:val="subscript"/>
        </w:rPr>
        <w:t>0‒24 h</w:t>
      </w:r>
      <w:r w:rsidRPr="004B7CB2">
        <w:t xml:space="preserve"> values are the mean of male and female data on the last sampling occasion, unless there was a difference in exposure of more than 2</w:t>
      </w:r>
      <w:r w:rsidR="00026051">
        <w:t xml:space="preserve"> </w:t>
      </w:r>
      <w:r w:rsidRPr="004B7CB2">
        <w:t>fold between sexes. Relative exposure to lumacaftor was low in dogs and moderate in rodents. Very high exposure multiples were obtained for ivacaftor in the combination studies in rats and dogs. Co-admin</w:t>
      </w:r>
      <w:r w:rsidR="008B5A3E">
        <w:t xml:space="preserve">istration of </w:t>
      </w:r>
      <w:r w:rsidR="0026099D">
        <w:t>M2</w:t>
      </w:r>
      <w:r w:rsidR="008B5A3E">
        <w:t>8-lumacaftor (25 </w:t>
      </w:r>
      <w:r w:rsidRPr="004B7CB2">
        <w:t>mg/kg/day) in the pivotal rat study yie</w:t>
      </w:r>
      <w:r w:rsidR="008B5A3E">
        <w:t>lded an exposure multiple of 28</w:t>
      </w:r>
      <w:r w:rsidR="009D2D39">
        <w:t xml:space="preserve"> </w:t>
      </w:r>
      <w:r w:rsidRPr="004B7CB2">
        <w:t>(</w:t>
      </w:r>
      <w:r w:rsidR="008B5A3E" w:rsidRPr="004B7CB2">
        <w:t>AUC</w:t>
      </w:r>
      <w:r w:rsidR="008B5A3E" w:rsidRPr="008B5A3E">
        <w:rPr>
          <w:vertAlign w:val="subscript"/>
        </w:rPr>
        <w:t>0–24 h</w:t>
      </w:r>
      <w:r w:rsidRPr="004B7CB2">
        <w:t xml:space="preserve"> of 938 </w:t>
      </w:r>
      <w:r w:rsidR="00026051">
        <w:t>µ</w:t>
      </w:r>
      <w:r w:rsidRPr="004B7CB2">
        <w:t xml:space="preserve">g∙h/mL in rats </w:t>
      </w:r>
      <w:r w:rsidR="008B5A3E">
        <w:t>compared with</w:t>
      </w:r>
      <w:r w:rsidRPr="004B7CB2">
        <w:t xml:space="preserve"> 33.3 </w:t>
      </w:r>
      <w:r w:rsidR="00026051">
        <w:t>µ</w:t>
      </w:r>
      <w:r w:rsidRPr="004B7CB2">
        <w:t>g∙h/mL in patients); dosing alone in a 4</w:t>
      </w:r>
      <w:r w:rsidR="00026051">
        <w:t xml:space="preserve"> </w:t>
      </w:r>
      <w:r w:rsidRPr="004B7CB2">
        <w:t>week rat study yielded up to 71 times the clinical AUC (2</w:t>
      </w:r>
      <w:r w:rsidR="008B5A3E">
        <w:t>,</w:t>
      </w:r>
      <w:r w:rsidRPr="004B7CB2">
        <w:t xml:space="preserve">355 </w:t>
      </w:r>
      <w:r w:rsidR="00026051">
        <w:t>µ</w:t>
      </w:r>
      <w:r w:rsidR="008B5A3E">
        <w:t>g∙h/mL in rats at 100 </w:t>
      </w:r>
      <w:r w:rsidRPr="004B7CB2">
        <w:t>mg/kg/day).</w:t>
      </w:r>
    </w:p>
    <w:p w14:paraId="3541F0BA" w14:textId="77777777" w:rsidR="00FD7BCA" w:rsidRPr="00FD7BCA" w:rsidRDefault="00FD7BCA" w:rsidP="00782417">
      <w:pPr>
        <w:pStyle w:val="TableTitle"/>
      </w:pPr>
      <w:r w:rsidRPr="00FD7BCA">
        <w:lastRenderedPageBreak/>
        <w:t xml:space="preserve">Table </w:t>
      </w:r>
      <w:r w:rsidR="00DB650D">
        <w:t>3</w:t>
      </w:r>
      <w:r w:rsidRPr="00FD7BCA">
        <w:t>. Relative exposure in selected repeat</w:t>
      </w:r>
      <w:r w:rsidR="00026051">
        <w:t xml:space="preserve"> </w:t>
      </w:r>
      <w:r w:rsidRPr="00FD7BCA">
        <w:t>dose toxicity and carcinogenicity studies</w:t>
      </w:r>
    </w:p>
    <w:tbl>
      <w:tblPr>
        <w:tblStyle w:val="TableTGAblue"/>
        <w:tblW w:w="8800" w:type="dxa"/>
        <w:tblLayout w:type="fixed"/>
        <w:tblLook w:val="01E0" w:firstRow="1" w:lastRow="1" w:firstColumn="1" w:lastColumn="1" w:noHBand="0" w:noVBand="0"/>
      </w:tblPr>
      <w:tblGrid>
        <w:gridCol w:w="1101"/>
        <w:gridCol w:w="1772"/>
        <w:gridCol w:w="1360"/>
        <w:gridCol w:w="657"/>
        <w:gridCol w:w="24"/>
        <w:gridCol w:w="681"/>
        <w:gridCol w:w="632"/>
        <w:gridCol w:w="636"/>
        <w:gridCol w:w="1021"/>
        <w:gridCol w:w="916"/>
      </w:tblGrid>
      <w:tr w:rsidR="00FD7BCA" w:rsidRPr="00FD7BCA" w14:paraId="6E9E1E6E" w14:textId="77777777" w:rsidTr="00782417">
        <w:trPr>
          <w:cnfStyle w:val="100000000000" w:firstRow="1" w:lastRow="0" w:firstColumn="0" w:lastColumn="0" w:oddVBand="0" w:evenVBand="0" w:oddHBand="0" w:evenHBand="0" w:firstRowFirstColumn="0" w:firstRowLastColumn="0" w:lastRowFirstColumn="0" w:lastRowLastColumn="0"/>
          <w:trHeight w:val="769"/>
        </w:trPr>
        <w:tc>
          <w:tcPr>
            <w:tcW w:w="1101" w:type="dxa"/>
            <w:vMerge w:val="restart"/>
          </w:tcPr>
          <w:p w14:paraId="3DBCEAD5" w14:textId="77777777" w:rsidR="00FD7BCA" w:rsidRPr="00FD7BCA" w:rsidRDefault="00FD7BCA" w:rsidP="00FD7BCA">
            <w:pPr>
              <w:ind w:left="0" w:right="0"/>
              <w:rPr>
                <w:sz w:val="18"/>
                <w:szCs w:val="18"/>
              </w:rPr>
            </w:pPr>
            <w:r w:rsidRPr="00FD7BCA">
              <w:rPr>
                <w:sz w:val="18"/>
                <w:szCs w:val="18"/>
              </w:rPr>
              <w:t>Species</w:t>
            </w:r>
          </w:p>
        </w:tc>
        <w:tc>
          <w:tcPr>
            <w:tcW w:w="1772" w:type="dxa"/>
            <w:vMerge w:val="restart"/>
          </w:tcPr>
          <w:p w14:paraId="1389D05D" w14:textId="77777777" w:rsidR="00FD7BCA" w:rsidRPr="00FD7BCA" w:rsidRDefault="008B5A3E" w:rsidP="00FD7BCA">
            <w:pPr>
              <w:ind w:left="0" w:right="0"/>
              <w:rPr>
                <w:sz w:val="18"/>
                <w:szCs w:val="18"/>
              </w:rPr>
            </w:pPr>
            <w:r>
              <w:rPr>
                <w:sz w:val="18"/>
                <w:szCs w:val="18"/>
              </w:rPr>
              <w:t xml:space="preserve">Study duration </w:t>
            </w:r>
            <w:r w:rsidR="00026051">
              <w:rPr>
                <w:sz w:val="18"/>
                <w:szCs w:val="18"/>
              </w:rPr>
              <w:t>(</w:t>
            </w:r>
            <w:r w:rsidR="00FD7BCA" w:rsidRPr="00FD7BCA">
              <w:rPr>
                <w:sz w:val="18"/>
                <w:szCs w:val="18"/>
              </w:rPr>
              <w:t>Study no.</w:t>
            </w:r>
            <w:r w:rsidR="00026051">
              <w:rPr>
                <w:sz w:val="18"/>
                <w:szCs w:val="18"/>
              </w:rPr>
              <w:t>)</w:t>
            </w:r>
          </w:p>
        </w:tc>
        <w:tc>
          <w:tcPr>
            <w:tcW w:w="1360" w:type="dxa"/>
            <w:vMerge w:val="restart"/>
          </w:tcPr>
          <w:p w14:paraId="290B313D" w14:textId="77777777" w:rsidR="00FD7BCA" w:rsidRPr="00FD7BCA" w:rsidRDefault="008B5A3E" w:rsidP="00FD7BCA">
            <w:pPr>
              <w:ind w:left="0" w:right="0"/>
              <w:rPr>
                <w:sz w:val="18"/>
                <w:szCs w:val="18"/>
              </w:rPr>
            </w:pPr>
            <w:r>
              <w:rPr>
                <w:sz w:val="18"/>
                <w:szCs w:val="18"/>
              </w:rPr>
              <w:t xml:space="preserve">Dose </w:t>
            </w:r>
            <w:r w:rsidR="00FD7BCA" w:rsidRPr="00FD7BCA">
              <w:rPr>
                <w:sz w:val="18"/>
                <w:szCs w:val="18"/>
              </w:rPr>
              <w:t>(mg/kg/day)</w:t>
            </w:r>
          </w:p>
        </w:tc>
        <w:tc>
          <w:tcPr>
            <w:tcW w:w="2630" w:type="dxa"/>
            <w:gridSpan w:val="5"/>
          </w:tcPr>
          <w:p w14:paraId="2D6CC681" w14:textId="77777777" w:rsidR="00FD7BCA" w:rsidRPr="00FD7BCA" w:rsidRDefault="00FD7BCA" w:rsidP="00FD7BCA">
            <w:pPr>
              <w:ind w:left="0" w:right="0"/>
              <w:rPr>
                <w:sz w:val="18"/>
                <w:szCs w:val="18"/>
              </w:rPr>
            </w:pPr>
            <w:r w:rsidRPr="00FD7BCA">
              <w:rPr>
                <w:sz w:val="18"/>
                <w:szCs w:val="18"/>
              </w:rPr>
              <w:t>Lumacaftor</w:t>
            </w:r>
          </w:p>
        </w:tc>
        <w:tc>
          <w:tcPr>
            <w:tcW w:w="1937" w:type="dxa"/>
            <w:gridSpan w:val="2"/>
          </w:tcPr>
          <w:p w14:paraId="4108186F" w14:textId="77777777" w:rsidR="00FD7BCA" w:rsidRPr="00FD7BCA" w:rsidRDefault="00FD7BCA" w:rsidP="00FD7BCA">
            <w:pPr>
              <w:ind w:left="0" w:right="0"/>
              <w:rPr>
                <w:sz w:val="18"/>
                <w:szCs w:val="18"/>
              </w:rPr>
            </w:pPr>
            <w:r w:rsidRPr="00FD7BCA">
              <w:rPr>
                <w:sz w:val="18"/>
                <w:szCs w:val="18"/>
              </w:rPr>
              <w:t>Ivacaftor</w:t>
            </w:r>
          </w:p>
        </w:tc>
      </w:tr>
      <w:tr w:rsidR="008B5A3E" w:rsidRPr="008B5A3E" w14:paraId="1AEAB178" w14:textId="77777777" w:rsidTr="00782417">
        <w:trPr>
          <w:trHeight w:val="694"/>
        </w:trPr>
        <w:tc>
          <w:tcPr>
            <w:tcW w:w="1101" w:type="dxa"/>
            <w:vMerge/>
          </w:tcPr>
          <w:p w14:paraId="4302666F" w14:textId="77777777" w:rsidR="00FD7BCA" w:rsidRPr="00FD7BCA" w:rsidRDefault="00FD7BCA" w:rsidP="00FD7BCA">
            <w:pPr>
              <w:ind w:left="0" w:right="0"/>
              <w:rPr>
                <w:sz w:val="18"/>
                <w:szCs w:val="18"/>
              </w:rPr>
            </w:pPr>
          </w:p>
        </w:tc>
        <w:tc>
          <w:tcPr>
            <w:tcW w:w="1772" w:type="dxa"/>
            <w:vMerge/>
          </w:tcPr>
          <w:p w14:paraId="4E208F8F" w14:textId="77777777" w:rsidR="00FD7BCA" w:rsidRPr="00FD7BCA" w:rsidRDefault="00FD7BCA" w:rsidP="00FD7BCA">
            <w:pPr>
              <w:ind w:left="0" w:right="0"/>
              <w:rPr>
                <w:sz w:val="18"/>
                <w:szCs w:val="18"/>
              </w:rPr>
            </w:pPr>
          </w:p>
        </w:tc>
        <w:tc>
          <w:tcPr>
            <w:tcW w:w="1360" w:type="dxa"/>
            <w:vMerge/>
          </w:tcPr>
          <w:p w14:paraId="5230359E" w14:textId="77777777" w:rsidR="00FD7BCA" w:rsidRPr="00FD7BCA" w:rsidRDefault="00FD7BCA" w:rsidP="00FD7BCA">
            <w:pPr>
              <w:ind w:left="0" w:right="0"/>
              <w:rPr>
                <w:sz w:val="18"/>
                <w:szCs w:val="18"/>
              </w:rPr>
            </w:pPr>
          </w:p>
        </w:tc>
        <w:tc>
          <w:tcPr>
            <w:tcW w:w="1362" w:type="dxa"/>
            <w:gridSpan w:val="3"/>
            <w:shd w:val="clear" w:color="auto" w:fill="006DA7"/>
          </w:tcPr>
          <w:p w14:paraId="1E85D1FB" w14:textId="77777777" w:rsidR="00FD7BCA" w:rsidRPr="008B5A3E" w:rsidRDefault="008B5A3E" w:rsidP="00FD7BCA">
            <w:pPr>
              <w:ind w:left="0" w:right="0"/>
              <w:rPr>
                <w:b/>
                <w:color w:val="FFFFFF" w:themeColor="background1"/>
                <w:sz w:val="18"/>
                <w:szCs w:val="18"/>
              </w:rPr>
            </w:pPr>
            <w:r w:rsidRPr="008B5A3E">
              <w:rPr>
                <w:b/>
                <w:color w:val="FFFFFF" w:themeColor="background1"/>
              </w:rPr>
              <w:t>AUC</w:t>
            </w:r>
            <w:r w:rsidRPr="008B5A3E">
              <w:rPr>
                <w:b/>
                <w:color w:val="FFFFFF" w:themeColor="background1"/>
                <w:vertAlign w:val="subscript"/>
              </w:rPr>
              <w:t>0–24 h</w:t>
            </w:r>
            <w:r w:rsidRPr="008B5A3E">
              <w:rPr>
                <w:b/>
                <w:color w:val="FFFFFF" w:themeColor="background1"/>
                <w:sz w:val="18"/>
                <w:szCs w:val="18"/>
              </w:rPr>
              <w:t xml:space="preserve"> </w:t>
            </w:r>
            <w:r w:rsidR="00FD7BCA" w:rsidRPr="008B5A3E">
              <w:rPr>
                <w:b/>
                <w:color w:val="FFFFFF" w:themeColor="background1"/>
                <w:sz w:val="18"/>
                <w:szCs w:val="18"/>
              </w:rPr>
              <w:t>(</w:t>
            </w:r>
            <w:r w:rsidR="00026051" w:rsidRPr="008B5A3E">
              <w:rPr>
                <w:b/>
                <w:color w:val="FFFFFF" w:themeColor="background1"/>
                <w:sz w:val="18"/>
                <w:szCs w:val="18"/>
              </w:rPr>
              <w:t>µ</w:t>
            </w:r>
            <w:r w:rsidR="00FD7BCA" w:rsidRPr="008B5A3E">
              <w:rPr>
                <w:b/>
                <w:color w:val="FFFFFF" w:themeColor="background1"/>
                <w:sz w:val="18"/>
                <w:szCs w:val="18"/>
              </w:rPr>
              <w:t>g∙h/mL)</w:t>
            </w:r>
          </w:p>
        </w:tc>
        <w:tc>
          <w:tcPr>
            <w:tcW w:w="1268" w:type="dxa"/>
            <w:gridSpan w:val="2"/>
            <w:shd w:val="clear" w:color="auto" w:fill="006DA7"/>
          </w:tcPr>
          <w:p w14:paraId="0ED54D06" w14:textId="77777777" w:rsidR="00FD7BCA" w:rsidRPr="008B5A3E" w:rsidRDefault="00FD7BCA" w:rsidP="00FD7BCA">
            <w:pPr>
              <w:ind w:left="0" w:right="0"/>
              <w:rPr>
                <w:b/>
                <w:color w:val="FFFFFF" w:themeColor="background1"/>
                <w:sz w:val="18"/>
                <w:szCs w:val="18"/>
              </w:rPr>
            </w:pPr>
            <w:r w:rsidRPr="008B5A3E">
              <w:rPr>
                <w:b/>
                <w:color w:val="FFFFFF" w:themeColor="background1"/>
                <w:sz w:val="18"/>
                <w:szCs w:val="18"/>
              </w:rPr>
              <w:t>Exposure ratio#</w:t>
            </w:r>
          </w:p>
        </w:tc>
        <w:tc>
          <w:tcPr>
            <w:tcW w:w="1021" w:type="dxa"/>
            <w:vMerge w:val="restart"/>
            <w:shd w:val="clear" w:color="auto" w:fill="006DA7"/>
          </w:tcPr>
          <w:p w14:paraId="27F8938E" w14:textId="4E83F61D" w:rsidR="00FD7BCA" w:rsidRPr="002760E1" w:rsidRDefault="008B5A3E" w:rsidP="00FD7BCA">
            <w:pPr>
              <w:ind w:left="0" w:right="0"/>
              <w:rPr>
                <w:b/>
                <w:color w:val="FFFFFF" w:themeColor="background1"/>
                <w:sz w:val="18"/>
                <w:szCs w:val="18"/>
              </w:rPr>
            </w:pPr>
            <w:r w:rsidRPr="002760E1">
              <w:rPr>
                <w:b/>
                <w:color w:val="FFFFFF" w:themeColor="background1"/>
                <w:sz w:val="18"/>
                <w:szCs w:val="18"/>
              </w:rPr>
              <w:t>AUC</w:t>
            </w:r>
            <w:r w:rsidRPr="002760E1">
              <w:rPr>
                <w:b/>
                <w:color w:val="FFFFFF" w:themeColor="background1"/>
                <w:sz w:val="18"/>
                <w:szCs w:val="18"/>
                <w:vertAlign w:val="subscript"/>
              </w:rPr>
              <w:t>0–24h</w:t>
            </w:r>
            <w:r w:rsidRPr="009D2D39">
              <w:rPr>
                <w:b/>
                <w:color w:val="FFFFFF" w:themeColor="background1"/>
                <w:sz w:val="18"/>
                <w:szCs w:val="18"/>
              </w:rPr>
              <w:t xml:space="preserve"> </w:t>
            </w:r>
            <w:r w:rsidR="00026051" w:rsidRPr="009D2D39">
              <w:rPr>
                <w:b/>
                <w:color w:val="FFFFFF" w:themeColor="background1"/>
                <w:sz w:val="18"/>
                <w:szCs w:val="18"/>
              </w:rPr>
              <w:t>µ</w:t>
            </w:r>
            <w:r w:rsidR="00FD7BCA" w:rsidRPr="009D2D39">
              <w:rPr>
                <w:b/>
                <w:color w:val="FFFFFF" w:themeColor="background1"/>
                <w:sz w:val="18"/>
                <w:szCs w:val="18"/>
              </w:rPr>
              <w:t>g∙h/mL</w:t>
            </w:r>
          </w:p>
        </w:tc>
        <w:tc>
          <w:tcPr>
            <w:tcW w:w="916" w:type="dxa"/>
            <w:vMerge w:val="restart"/>
            <w:shd w:val="clear" w:color="auto" w:fill="006DA7"/>
          </w:tcPr>
          <w:p w14:paraId="06418728" w14:textId="77777777" w:rsidR="00FD7BCA" w:rsidRPr="008B5A3E" w:rsidRDefault="00FD7BCA" w:rsidP="00FD7BCA">
            <w:pPr>
              <w:ind w:left="0" w:right="0"/>
              <w:rPr>
                <w:b/>
                <w:color w:val="FFFFFF" w:themeColor="background1"/>
                <w:sz w:val="18"/>
                <w:szCs w:val="18"/>
              </w:rPr>
            </w:pPr>
            <w:r w:rsidRPr="008B5A3E">
              <w:rPr>
                <w:b/>
                <w:color w:val="FFFFFF" w:themeColor="background1"/>
                <w:sz w:val="16"/>
                <w:szCs w:val="16"/>
              </w:rPr>
              <w:t>Exposure</w:t>
            </w:r>
            <w:r w:rsidRPr="008B5A3E">
              <w:rPr>
                <w:b/>
                <w:color w:val="FFFFFF" w:themeColor="background1"/>
                <w:sz w:val="18"/>
                <w:szCs w:val="18"/>
              </w:rPr>
              <w:t xml:space="preserve"> ratio#</w:t>
            </w:r>
          </w:p>
        </w:tc>
      </w:tr>
      <w:tr w:rsidR="008B5A3E" w:rsidRPr="008B5A3E" w14:paraId="40C9AC05" w14:textId="77777777" w:rsidTr="00782417">
        <w:trPr>
          <w:trHeight w:val="122"/>
        </w:trPr>
        <w:tc>
          <w:tcPr>
            <w:tcW w:w="1101" w:type="dxa"/>
            <w:vMerge/>
          </w:tcPr>
          <w:p w14:paraId="38A71B51" w14:textId="77777777" w:rsidR="00FD7BCA" w:rsidRPr="00FD7BCA" w:rsidRDefault="00FD7BCA" w:rsidP="00FD7BCA">
            <w:pPr>
              <w:ind w:left="0" w:right="0"/>
              <w:rPr>
                <w:sz w:val="18"/>
                <w:szCs w:val="18"/>
              </w:rPr>
            </w:pPr>
          </w:p>
        </w:tc>
        <w:tc>
          <w:tcPr>
            <w:tcW w:w="1772" w:type="dxa"/>
            <w:vMerge/>
          </w:tcPr>
          <w:p w14:paraId="7DCFBA47" w14:textId="77777777" w:rsidR="00FD7BCA" w:rsidRPr="00FD7BCA" w:rsidRDefault="00FD7BCA" w:rsidP="00FD7BCA">
            <w:pPr>
              <w:ind w:left="0" w:right="0"/>
              <w:rPr>
                <w:sz w:val="18"/>
                <w:szCs w:val="18"/>
              </w:rPr>
            </w:pPr>
          </w:p>
        </w:tc>
        <w:tc>
          <w:tcPr>
            <w:tcW w:w="1360" w:type="dxa"/>
            <w:vMerge/>
          </w:tcPr>
          <w:p w14:paraId="252A3D6A" w14:textId="77777777" w:rsidR="00FD7BCA" w:rsidRPr="00FD7BCA" w:rsidRDefault="00FD7BCA" w:rsidP="00FD7BCA">
            <w:pPr>
              <w:ind w:left="0" w:right="0"/>
              <w:rPr>
                <w:sz w:val="18"/>
                <w:szCs w:val="18"/>
              </w:rPr>
            </w:pPr>
          </w:p>
        </w:tc>
        <w:tc>
          <w:tcPr>
            <w:tcW w:w="657" w:type="dxa"/>
            <w:shd w:val="clear" w:color="auto" w:fill="006DA7"/>
          </w:tcPr>
          <w:p w14:paraId="6082DCA7" w14:textId="77777777" w:rsidR="00FD7BCA" w:rsidRPr="008B5A3E" w:rsidRDefault="008B5A3E" w:rsidP="00FD7BCA">
            <w:pPr>
              <w:ind w:left="0" w:right="0"/>
              <w:rPr>
                <w:b/>
                <w:color w:val="FFFFFF" w:themeColor="background1"/>
                <w:sz w:val="18"/>
                <w:szCs w:val="18"/>
              </w:rPr>
            </w:pPr>
            <w:r w:rsidRPr="008B5A3E">
              <w:rPr>
                <w:rFonts w:ascii="Times New Roman" w:hAnsi="Times New Roman"/>
                <w:b/>
                <w:color w:val="FFFFFF" w:themeColor="background1"/>
                <w:sz w:val="18"/>
                <w:szCs w:val="18"/>
              </w:rPr>
              <w:t>M</w:t>
            </w:r>
          </w:p>
        </w:tc>
        <w:tc>
          <w:tcPr>
            <w:tcW w:w="705" w:type="dxa"/>
            <w:gridSpan w:val="2"/>
            <w:shd w:val="clear" w:color="auto" w:fill="006DA7"/>
          </w:tcPr>
          <w:p w14:paraId="1757E802" w14:textId="77777777" w:rsidR="00FD7BCA" w:rsidRPr="008B5A3E" w:rsidRDefault="008B5A3E" w:rsidP="00FD7BCA">
            <w:pPr>
              <w:ind w:left="0" w:right="0"/>
              <w:rPr>
                <w:b/>
                <w:color w:val="FFFFFF" w:themeColor="background1"/>
                <w:sz w:val="18"/>
                <w:szCs w:val="18"/>
              </w:rPr>
            </w:pPr>
            <w:r w:rsidRPr="008B5A3E">
              <w:rPr>
                <w:rFonts w:ascii="Times New Roman" w:hAnsi="Times New Roman"/>
                <w:b/>
                <w:color w:val="FFFFFF" w:themeColor="background1"/>
                <w:sz w:val="18"/>
                <w:szCs w:val="18"/>
              </w:rPr>
              <w:t>F</w:t>
            </w:r>
          </w:p>
        </w:tc>
        <w:tc>
          <w:tcPr>
            <w:tcW w:w="632" w:type="dxa"/>
            <w:shd w:val="clear" w:color="auto" w:fill="006DA7"/>
          </w:tcPr>
          <w:p w14:paraId="226C5970" w14:textId="77777777" w:rsidR="00FD7BCA" w:rsidRPr="008B5A3E" w:rsidRDefault="008B5A3E" w:rsidP="00FD7BCA">
            <w:pPr>
              <w:ind w:left="0" w:right="0"/>
              <w:rPr>
                <w:b/>
                <w:color w:val="FFFFFF" w:themeColor="background1"/>
                <w:sz w:val="18"/>
                <w:szCs w:val="18"/>
              </w:rPr>
            </w:pPr>
            <w:r w:rsidRPr="008B5A3E">
              <w:rPr>
                <w:rFonts w:ascii="Times New Roman" w:hAnsi="Times New Roman"/>
                <w:b/>
                <w:color w:val="FFFFFF" w:themeColor="background1"/>
                <w:sz w:val="18"/>
                <w:szCs w:val="18"/>
              </w:rPr>
              <w:t>M</w:t>
            </w:r>
          </w:p>
        </w:tc>
        <w:tc>
          <w:tcPr>
            <w:tcW w:w="636" w:type="dxa"/>
            <w:shd w:val="clear" w:color="auto" w:fill="006DA7"/>
          </w:tcPr>
          <w:p w14:paraId="31AFE6D2" w14:textId="77777777" w:rsidR="00FD7BCA" w:rsidRPr="008B5A3E" w:rsidRDefault="008B5A3E" w:rsidP="00FD7BCA">
            <w:pPr>
              <w:ind w:left="0" w:right="0"/>
              <w:rPr>
                <w:b/>
                <w:color w:val="FFFFFF" w:themeColor="background1"/>
                <w:sz w:val="18"/>
                <w:szCs w:val="18"/>
              </w:rPr>
            </w:pPr>
            <w:r w:rsidRPr="008B5A3E">
              <w:rPr>
                <w:rFonts w:ascii="Times New Roman" w:hAnsi="Times New Roman"/>
                <w:b/>
                <w:color w:val="FFFFFF" w:themeColor="background1"/>
                <w:sz w:val="18"/>
                <w:szCs w:val="18"/>
              </w:rPr>
              <w:t>F</w:t>
            </w:r>
          </w:p>
        </w:tc>
        <w:tc>
          <w:tcPr>
            <w:tcW w:w="1021" w:type="dxa"/>
            <w:vMerge/>
            <w:shd w:val="clear" w:color="auto" w:fill="006DA7"/>
          </w:tcPr>
          <w:p w14:paraId="4436C48E" w14:textId="77777777" w:rsidR="00FD7BCA" w:rsidRPr="008B5A3E" w:rsidRDefault="00FD7BCA" w:rsidP="00FD7BCA">
            <w:pPr>
              <w:ind w:left="0" w:right="0"/>
              <w:rPr>
                <w:b/>
                <w:color w:val="FFFFFF" w:themeColor="background1"/>
                <w:sz w:val="18"/>
                <w:szCs w:val="18"/>
              </w:rPr>
            </w:pPr>
          </w:p>
        </w:tc>
        <w:tc>
          <w:tcPr>
            <w:tcW w:w="916" w:type="dxa"/>
            <w:vMerge/>
            <w:shd w:val="clear" w:color="auto" w:fill="006DA7"/>
          </w:tcPr>
          <w:p w14:paraId="041F5342" w14:textId="77777777" w:rsidR="00FD7BCA" w:rsidRPr="008B5A3E" w:rsidRDefault="00FD7BCA" w:rsidP="00FD7BCA">
            <w:pPr>
              <w:ind w:left="0" w:right="0"/>
              <w:rPr>
                <w:b/>
                <w:color w:val="FFFFFF" w:themeColor="background1"/>
                <w:sz w:val="18"/>
                <w:szCs w:val="18"/>
              </w:rPr>
            </w:pPr>
          </w:p>
        </w:tc>
      </w:tr>
      <w:tr w:rsidR="00FD7BCA" w:rsidRPr="00FD7BCA" w14:paraId="41F8E951" w14:textId="77777777" w:rsidTr="00782417">
        <w:trPr>
          <w:trHeight w:val="330"/>
        </w:trPr>
        <w:tc>
          <w:tcPr>
            <w:tcW w:w="1101" w:type="dxa"/>
            <w:vMerge w:val="restart"/>
          </w:tcPr>
          <w:p w14:paraId="13D919A1" w14:textId="77777777" w:rsidR="00FD7BCA" w:rsidRPr="00FD7BCA" w:rsidRDefault="008B5A3E" w:rsidP="00FD7BCA">
            <w:pPr>
              <w:ind w:left="0" w:right="0"/>
              <w:rPr>
                <w:sz w:val="18"/>
                <w:szCs w:val="18"/>
              </w:rPr>
            </w:pPr>
            <w:r>
              <w:rPr>
                <w:sz w:val="18"/>
                <w:szCs w:val="18"/>
              </w:rPr>
              <w:t xml:space="preserve">Mouse </w:t>
            </w:r>
            <w:r w:rsidR="00FD7BCA" w:rsidRPr="00FD7BCA">
              <w:rPr>
                <w:sz w:val="18"/>
                <w:szCs w:val="18"/>
              </w:rPr>
              <w:t>(CD</w:t>
            </w:r>
            <w:r w:rsidR="00FD7BCA" w:rsidRPr="00FD7BCA">
              <w:rPr>
                <w:sz w:val="18"/>
                <w:szCs w:val="18"/>
              </w:rPr>
              <w:noBreakHyphen/>
              <w:t>1)</w:t>
            </w:r>
          </w:p>
        </w:tc>
        <w:tc>
          <w:tcPr>
            <w:tcW w:w="1772" w:type="dxa"/>
            <w:vMerge w:val="restart"/>
          </w:tcPr>
          <w:p w14:paraId="0AB8F8DA" w14:textId="77777777" w:rsidR="00FD7BCA" w:rsidRPr="00FD7BCA" w:rsidRDefault="00FD7BCA" w:rsidP="00FD7BCA">
            <w:pPr>
              <w:ind w:left="0" w:right="0"/>
              <w:rPr>
                <w:sz w:val="18"/>
                <w:szCs w:val="18"/>
              </w:rPr>
            </w:pPr>
            <w:r w:rsidRPr="00FD7BCA">
              <w:rPr>
                <w:sz w:val="18"/>
                <w:szCs w:val="18"/>
              </w:rPr>
              <w:t>3 months</w:t>
            </w:r>
            <w:r w:rsidR="008B5A3E">
              <w:rPr>
                <w:sz w:val="18"/>
                <w:szCs w:val="18"/>
              </w:rPr>
              <w:t xml:space="preserve"> </w:t>
            </w:r>
            <w:r w:rsidR="00026051">
              <w:rPr>
                <w:sz w:val="18"/>
                <w:szCs w:val="18"/>
              </w:rPr>
              <w:t>(</w:t>
            </w:r>
            <w:r w:rsidRPr="00FD7BCA">
              <w:rPr>
                <w:sz w:val="18"/>
                <w:szCs w:val="18"/>
              </w:rPr>
              <w:t>Study VX-809-TX-015</w:t>
            </w:r>
            <w:r w:rsidR="00026051">
              <w:rPr>
                <w:sz w:val="18"/>
                <w:szCs w:val="18"/>
              </w:rPr>
              <w:t>)</w:t>
            </w:r>
          </w:p>
        </w:tc>
        <w:tc>
          <w:tcPr>
            <w:tcW w:w="1360" w:type="dxa"/>
          </w:tcPr>
          <w:p w14:paraId="752F81FB" w14:textId="77777777" w:rsidR="00FD7BCA" w:rsidRPr="00FD7BCA" w:rsidRDefault="00FD7BCA" w:rsidP="00FD7BCA">
            <w:pPr>
              <w:ind w:left="0" w:right="0"/>
              <w:rPr>
                <w:sz w:val="18"/>
                <w:szCs w:val="18"/>
              </w:rPr>
            </w:pPr>
            <w:r w:rsidRPr="00FD7BCA">
              <w:rPr>
                <w:sz w:val="18"/>
                <w:szCs w:val="18"/>
              </w:rPr>
              <w:t>250</w:t>
            </w:r>
          </w:p>
        </w:tc>
        <w:tc>
          <w:tcPr>
            <w:tcW w:w="1362" w:type="dxa"/>
            <w:gridSpan w:val="3"/>
          </w:tcPr>
          <w:p w14:paraId="3A9A82A1" w14:textId="77777777" w:rsidR="00FD7BCA" w:rsidRPr="00FD7BCA" w:rsidRDefault="00FD7BCA" w:rsidP="00FD7BCA">
            <w:pPr>
              <w:ind w:left="0" w:right="0"/>
              <w:rPr>
                <w:sz w:val="18"/>
                <w:szCs w:val="18"/>
              </w:rPr>
            </w:pPr>
            <w:r w:rsidRPr="00FD7BCA">
              <w:rPr>
                <w:sz w:val="18"/>
                <w:szCs w:val="18"/>
              </w:rPr>
              <w:t>1455</w:t>
            </w:r>
          </w:p>
        </w:tc>
        <w:tc>
          <w:tcPr>
            <w:tcW w:w="1268" w:type="dxa"/>
            <w:gridSpan w:val="2"/>
          </w:tcPr>
          <w:p w14:paraId="54922B7C" w14:textId="77777777" w:rsidR="00FD7BCA" w:rsidRPr="00FD7BCA" w:rsidRDefault="00FD7BCA" w:rsidP="00FD7BCA">
            <w:pPr>
              <w:ind w:left="0" w:right="0"/>
              <w:rPr>
                <w:sz w:val="18"/>
                <w:szCs w:val="18"/>
              </w:rPr>
            </w:pPr>
            <w:r w:rsidRPr="00FD7BCA">
              <w:rPr>
                <w:sz w:val="18"/>
                <w:szCs w:val="18"/>
              </w:rPr>
              <w:t>3.7</w:t>
            </w:r>
          </w:p>
        </w:tc>
        <w:tc>
          <w:tcPr>
            <w:tcW w:w="1021" w:type="dxa"/>
          </w:tcPr>
          <w:p w14:paraId="069B1B74" w14:textId="77777777" w:rsidR="00FD7BCA" w:rsidRPr="00FD7BCA" w:rsidRDefault="00FD7BCA" w:rsidP="00FD7BCA">
            <w:pPr>
              <w:ind w:left="0" w:right="0"/>
              <w:rPr>
                <w:sz w:val="18"/>
                <w:szCs w:val="18"/>
              </w:rPr>
            </w:pPr>
            <w:r w:rsidRPr="00FD7BCA">
              <w:rPr>
                <w:sz w:val="18"/>
                <w:szCs w:val="18"/>
              </w:rPr>
              <w:t>–</w:t>
            </w:r>
          </w:p>
        </w:tc>
        <w:tc>
          <w:tcPr>
            <w:tcW w:w="916" w:type="dxa"/>
          </w:tcPr>
          <w:p w14:paraId="0778D7BC" w14:textId="77777777" w:rsidR="00FD7BCA" w:rsidRPr="00FD7BCA" w:rsidRDefault="00FD7BCA" w:rsidP="00FD7BCA">
            <w:pPr>
              <w:ind w:left="0" w:right="0"/>
              <w:rPr>
                <w:sz w:val="18"/>
                <w:szCs w:val="18"/>
              </w:rPr>
            </w:pPr>
            <w:r w:rsidRPr="00FD7BCA">
              <w:rPr>
                <w:sz w:val="18"/>
                <w:szCs w:val="18"/>
              </w:rPr>
              <w:t>–</w:t>
            </w:r>
          </w:p>
        </w:tc>
      </w:tr>
      <w:tr w:rsidR="00FD7BCA" w:rsidRPr="00FD7BCA" w14:paraId="69C6CDF1" w14:textId="77777777" w:rsidTr="00782417">
        <w:trPr>
          <w:trHeight w:val="330"/>
        </w:trPr>
        <w:tc>
          <w:tcPr>
            <w:tcW w:w="1101" w:type="dxa"/>
            <w:vMerge/>
          </w:tcPr>
          <w:p w14:paraId="051B8DBD" w14:textId="77777777" w:rsidR="00FD7BCA" w:rsidRPr="00FD7BCA" w:rsidRDefault="00FD7BCA" w:rsidP="00FD7BCA">
            <w:pPr>
              <w:ind w:left="0" w:right="0"/>
              <w:rPr>
                <w:sz w:val="18"/>
                <w:szCs w:val="18"/>
              </w:rPr>
            </w:pPr>
          </w:p>
        </w:tc>
        <w:tc>
          <w:tcPr>
            <w:tcW w:w="1772" w:type="dxa"/>
            <w:vMerge/>
          </w:tcPr>
          <w:p w14:paraId="0D193FD0" w14:textId="77777777" w:rsidR="00FD7BCA" w:rsidRPr="00FD7BCA" w:rsidRDefault="00FD7BCA" w:rsidP="00FD7BCA">
            <w:pPr>
              <w:ind w:left="0" w:right="0"/>
              <w:rPr>
                <w:sz w:val="18"/>
                <w:szCs w:val="18"/>
              </w:rPr>
            </w:pPr>
          </w:p>
        </w:tc>
        <w:tc>
          <w:tcPr>
            <w:tcW w:w="1360" w:type="dxa"/>
          </w:tcPr>
          <w:p w14:paraId="1CB1D23A" w14:textId="77777777" w:rsidR="00FD7BCA" w:rsidRPr="00FD7BCA" w:rsidRDefault="00FD7BCA" w:rsidP="00FD7BCA">
            <w:pPr>
              <w:ind w:left="0" w:right="0"/>
              <w:rPr>
                <w:sz w:val="18"/>
                <w:szCs w:val="18"/>
              </w:rPr>
            </w:pPr>
            <w:r w:rsidRPr="00FD7BCA">
              <w:rPr>
                <w:sz w:val="18"/>
                <w:szCs w:val="18"/>
              </w:rPr>
              <w:t>500</w:t>
            </w:r>
          </w:p>
        </w:tc>
        <w:tc>
          <w:tcPr>
            <w:tcW w:w="1362" w:type="dxa"/>
            <w:gridSpan w:val="3"/>
          </w:tcPr>
          <w:p w14:paraId="6CDAAF5E" w14:textId="77777777" w:rsidR="00FD7BCA" w:rsidRPr="00FD7BCA" w:rsidRDefault="00FD7BCA" w:rsidP="00FD7BCA">
            <w:pPr>
              <w:ind w:left="0" w:right="0"/>
              <w:rPr>
                <w:sz w:val="18"/>
                <w:szCs w:val="18"/>
              </w:rPr>
            </w:pPr>
            <w:r w:rsidRPr="00FD7BCA">
              <w:rPr>
                <w:sz w:val="18"/>
                <w:szCs w:val="18"/>
              </w:rPr>
              <w:t>1945</w:t>
            </w:r>
          </w:p>
        </w:tc>
        <w:tc>
          <w:tcPr>
            <w:tcW w:w="1268" w:type="dxa"/>
            <w:gridSpan w:val="2"/>
          </w:tcPr>
          <w:p w14:paraId="1C86A11C" w14:textId="77777777" w:rsidR="00FD7BCA" w:rsidRPr="00FD7BCA" w:rsidRDefault="00FD7BCA" w:rsidP="00FD7BCA">
            <w:pPr>
              <w:ind w:left="0" w:right="0"/>
              <w:rPr>
                <w:sz w:val="18"/>
                <w:szCs w:val="18"/>
              </w:rPr>
            </w:pPr>
            <w:r w:rsidRPr="00FD7BCA">
              <w:rPr>
                <w:sz w:val="18"/>
                <w:szCs w:val="18"/>
              </w:rPr>
              <w:t>4.9</w:t>
            </w:r>
          </w:p>
        </w:tc>
        <w:tc>
          <w:tcPr>
            <w:tcW w:w="1021" w:type="dxa"/>
          </w:tcPr>
          <w:p w14:paraId="73DF81AA" w14:textId="77777777" w:rsidR="00FD7BCA" w:rsidRPr="00FD7BCA" w:rsidRDefault="00FD7BCA" w:rsidP="00FD7BCA">
            <w:pPr>
              <w:ind w:left="0" w:right="0"/>
              <w:rPr>
                <w:sz w:val="18"/>
                <w:szCs w:val="18"/>
              </w:rPr>
            </w:pPr>
            <w:r w:rsidRPr="00FD7BCA">
              <w:rPr>
                <w:sz w:val="18"/>
                <w:szCs w:val="18"/>
              </w:rPr>
              <w:t>–</w:t>
            </w:r>
          </w:p>
        </w:tc>
        <w:tc>
          <w:tcPr>
            <w:tcW w:w="916" w:type="dxa"/>
          </w:tcPr>
          <w:p w14:paraId="607E566F" w14:textId="77777777" w:rsidR="00FD7BCA" w:rsidRPr="00FD7BCA" w:rsidRDefault="00FD7BCA" w:rsidP="00FD7BCA">
            <w:pPr>
              <w:ind w:left="0" w:right="0"/>
              <w:rPr>
                <w:sz w:val="18"/>
                <w:szCs w:val="18"/>
              </w:rPr>
            </w:pPr>
            <w:r w:rsidRPr="00FD7BCA">
              <w:rPr>
                <w:sz w:val="18"/>
                <w:szCs w:val="18"/>
              </w:rPr>
              <w:t>–</w:t>
            </w:r>
          </w:p>
        </w:tc>
      </w:tr>
      <w:tr w:rsidR="00FD7BCA" w:rsidRPr="00FD7BCA" w14:paraId="12CC93AC" w14:textId="77777777" w:rsidTr="00782417">
        <w:trPr>
          <w:trHeight w:val="330"/>
        </w:trPr>
        <w:tc>
          <w:tcPr>
            <w:tcW w:w="1101" w:type="dxa"/>
            <w:vMerge/>
          </w:tcPr>
          <w:p w14:paraId="0AD78CCB" w14:textId="77777777" w:rsidR="00FD7BCA" w:rsidRPr="00FD7BCA" w:rsidRDefault="00FD7BCA" w:rsidP="00FD7BCA">
            <w:pPr>
              <w:ind w:left="0" w:right="0"/>
              <w:rPr>
                <w:sz w:val="18"/>
                <w:szCs w:val="18"/>
              </w:rPr>
            </w:pPr>
          </w:p>
        </w:tc>
        <w:tc>
          <w:tcPr>
            <w:tcW w:w="1772" w:type="dxa"/>
            <w:vMerge/>
          </w:tcPr>
          <w:p w14:paraId="0A40ECFD" w14:textId="77777777" w:rsidR="00FD7BCA" w:rsidRPr="00FD7BCA" w:rsidRDefault="00FD7BCA" w:rsidP="00FD7BCA">
            <w:pPr>
              <w:ind w:left="0" w:right="0"/>
              <w:rPr>
                <w:sz w:val="18"/>
                <w:szCs w:val="18"/>
              </w:rPr>
            </w:pPr>
          </w:p>
        </w:tc>
        <w:tc>
          <w:tcPr>
            <w:tcW w:w="1360" w:type="dxa"/>
          </w:tcPr>
          <w:p w14:paraId="77D063F3" w14:textId="77777777" w:rsidR="00FD7BCA" w:rsidRPr="00FD7BCA" w:rsidRDefault="00FD7BCA" w:rsidP="00FD7BCA">
            <w:pPr>
              <w:ind w:left="0" w:right="0"/>
              <w:rPr>
                <w:sz w:val="18"/>
                <w:szCs w:val="18"/>
              </w:rPr>
            </w:pPr>
            <w:r w:rsidRPr="00FD7BCA">
              <w:rPr>
                <w:sz w:val="18"/>
                <w:szCs w:val="18"/>
              </w:rPr>
              <w:t>1000</w:t>
            </w:r>
          </w:p>
        </w:tc>
        <w:tc>
          <w:tcPr>
            <w:tcW w:w="1362" w:type="dxa"/>
            <w:gridSpan w:val="3"/>
          </w:tcPr>
          <w:p w14:paraId="10974A68" w14:textId="77777777" w:rsidR="00FD7BCA" w:rsidRPr="00FD7BCA" w:rsidRDefault="00FD7BCA" w:rsidP="00FD7BCA">
            <w:pPr>
              <w:ind w:left="0" w:right="0"/>
              <w:rPr>
                <w:sz w:val="18"/>
                <w:szCs w:val="18"/>
              </w:rPr>
            </w:pPr>
            <w:r w:rsidRPr="00FD7BCA">
              <w:rPr>
                <w:sz w:val="18"/>
                <w:szCs w:val="18"/>
              </w:rPr>
              <w:t>2620</w:t>
            </w:r>
          </w:p>
        </w:tc>
        <w:tc>
          <w:tcPr>
            <w:tcW w:w="1268" w:type="dxa"/>
            <w:gridSpan w:val="2"/>
          </w:tcPr>
          <w:p w14:paraId="170E2544" w14:textId="77777777" w:rsidR="00FD7BCA" w:rsidRPr="00FD7BCA" w:rsidRDefault="00FD7BCA" w:rsidP="00FD7BCA">
            <w:pPr>
              <w:ind w:left="0" w:right="0"/>
              <w:rPr>
                <w:sz w:val="18"/>
                <w:szCs w:val="18"/>
              </w:rPr>
            </w:pPr>
            <w:r w:rsidRPr="00FD7BCA">
              <w:rPr>
                <w:sz w:val="18"/>
                <w:szCs w:val="18"/>
              </w:rPr>
              <w:t>6.6</w:t>
            </w:r>
          </w:p>
        </w:tc>
        <w:tc>
          <w:tcPr>
            <w:tcW w:w="1021" w:type="dxa"/>
          </w:tcPr>
          <w:p w14:paraId="14B85EFF" w14:textId="77777777" w:rsidR="00FD7BCA" w:rsidRPr="00FD7BCA" w:rsidRDefault="00FD7BCA" w:rsidP="00FD7BCA">
            <w:pPr>
              <w:ind w:left="0" w:right="0"/>
              <w:rPr>
                <w:sz w:val="18"/>
                <w:szCs w:val="18"/>
              </w:rPr>
            </w:pPr>
            <w:r w:rsidRPr="00FD7BCA">
              <w:rPr>
                <w:sz w:val="18"/>
                <w:szCs w:val="18"/>
              </w:rPr>
              <w:t>–</w:t>
            </w:r>
          </w:p>
        </w:tc>
        <w:tc>
          <w:tcPr>
            <w:tcW w:w="916" w:type="dxa"/>
          </w:tcPr>
          <w:p w14:paraId="00212672" w14:textId="77777777" w:rsidR="00FD7BCA" w:rsidRPr="00FD7BCA" w:rsidRDefault="00FD7BCA" w:rsidP="00FD7BCA">
            <w:pPr>
              <w:ind w:left="0" w:right="0"/>
              <w:rPr>
                <w:sz w:val="18"/>
                <w:szCs w:val="18"/>
              </w:rPr>
            </w:pPr>
            <w:r w:rsidRPr="00FD7BCA">
              <w:rPr>
                <w:sz w:val="18"/>
                <w:szCs w:val="18"/>
              </w:rPr>
              <w:t>–</w:t>
            </w:r>
          </w:p>
        </w:tc>
      </w:tr>
      <w:tr w:rsidR="00FD7BCA" w:rsidRPr="00FD7BCA" w14:paraId="5C93EF00" w14:textId="77777777" w:rsidTr="00782417">
        <w:trPr>
          <w:trHeight w:val="330"/>
        </w:trPr>
        <w:tc>
          <w:tcPr>
            <w:tcW w:w="1101" w:type="dxa"/>
            <w:vMerge/>
          </w:tcPr>
          <w:p w14:paraId="4D49E010" w14:textId="77777777" w:rsidR="00FD7BCA" w:rsidRPr="00FD7BCA" w:rsidRDefault="00FD7BCA" w:rsidP="00FD7BCA">
            <w:pPr>
              <w:ind w:left="0" w:right="0"/>
              <w:rPr>
                <w:sz w:val="18"/>
                <w:szCs w:val="18"/>
              </w:rPr>
            </w:pPr>
          </w:p>
        </w:tc>
        <w:tc>
          <w:tcPr>
            <w:tcW w:w="1772" w:type="dxa"/>
            <w:vMerge/>
          </w:tcPr>
          <w:p w14:paraId="26259EF6" w14:textId="77777777" w:rsidR="00FD7BCA" w:rsidRPr="00FD7BCA" w:rsidRDefault="00FD7BCA" w:rsidP="00FD7BCA">
            <w:pPr>
              <w:ind w:left="0" w:right="0"/>
              <w:rPr>
                <w:sz w:val="18"/>
                <w:szCs w:val="18"/>
              </w:rPr>
            </w:pPr>
          </w:p>
        </w:tc>
        <w:tc>
          <w:tcPr>
            <w:tcW w:w="1360" w:type="dxa"/>
          </w:tcPr>
          <w:p w14:paraId="0C50048F" w14:textId="77777777" w:rsidR="00FD7BCA" w:rsidRPr="00FD7BCA" w:rsidRDefault="00FD7BCA" w:rsidP="00FD7BCA">
            <w:pPr>
              <w:ind w:left="0" w:right="0"/>
              <w:rPr>
                <w:sz w:val="18"/>
                <w:szCs w:val="18"/>
              </w:rPr>
            </w:pPr>
            <w:r w:rsidRPr="00FD7BCA">
              <w:rPr>
                <w:sz w:val="18"/>
                <w:szCs w:val="18"/>
              </w:rPr>
              <w:t>2000</w:t>
            </w:r>
          </w:p>
        </w:tc>
        <w:tc>
          <w:tcPr>
            <w:tcW w:w="1362" w:type="dxa"/>
            <w:gridSpan w:val="3"/>
          </w:tcPr>
          <w:p w14:paraId="74CB9679" w14:textId="77777777" w:rsidR="00FD7BCA" w:rsidRPr="00FD7BCA" w:rsidRDefault="00FD7BCA" w:rsidP="00FD7BCA">
            <w:pPr>
              <w:ind w:left="0" w:right="0"/>
              <w:rPr>
                <w:sz w:val="18"/>
                <w:szCs w:val="18"/>
              </w:rPr>
            </w:pPr>
            <w:r w:rsidRPr="00FD7BCA">
              <w:rPr>
                <w:sz w:val="18"/>
                <w:szCs w:val="18"/>
              </w:rPr>
              <w:t>3215</w:t>
            </w:r>
          </w:p>
        </w:tc>
        <w:tc>
          <w:tcPr>
            <w:tcW w:w="1268" w:type="dxa"/>
            <w:gridSpan w:val="2"/>
          </w:tcPr>
          <w:p w14:paraId="41588676" w14:textId="77777777" w:rsidR="00FD7BCA" w:rsidRPr="00FD7BCA" w:rsidRDefault="00FD7BCA" w:rsidP="00FD7BCA">
            <w:pPr>
              <w:ind w:left="0" w:right="0"/>
              <w:rPr>
                <w:sz w:val="18"/>
                <w:szCs w:val="18"/>
              </w:rPr>
            </w:pPr>
            <w:r w:rsidRPr="00FD7BCA">
              <w:rPr>
                <w:sz w:val="18"/>
                <w:szCs w:val="18"/>
              </w:rPr>
              <w:t>8.1</w:t>
            </w:r>
          </w:p>
        </w:tc>
        <w:tc>
          <w:tcPr>
            <w:tcW w:w="1021" w:type="dxa"/>
          </w:tcPr>
          <w:p w14:paraId="7C2B22EC" w14:textId="77777777" w:rsidR="00FD7BCA" w:rsidRPr="00FD7BCA" w:rsidRDefault="00FD7BCA" w:rsidP="00FD7BCA">
            <w:pPr>
              <w:ind w:left="0" w:right="0"/>
              <w:rPr>
                <w:sz w:val="18"/>
                <w:szCs w:val="18"/>
              </w:rPr>
            </w:pPr>
            <w:r w:rsidRPr="00FD7BCA">
              <w:rPr>
                <w:sz w:val="18"/>
                <w:szCs w:val="18"/>
              </w:rPr>
              <w:t>–</w:t>
            </w:r>
          </w:p>
        </w:tc>
        <w:tc>
          <w:tcPr>
            <w:tcW w:w="916" w:type="dxa"/>
          </w:tcPr>
          <w:p w14:paraId="1DE7B192" w14:textId="77777777" w:rsidR="00FD7BCA" w:rsidRPr="00FD7BCA" w:rsidRDefault="00FD7BCA" w:rsidP="00FD7BCA">
            <w:pPr>
              <w:ind w:left="0" w:right="0"/>
              <w:rPr>
                <w:sz w:val="18"/>
                <w:szCs w:val="18"/>
              </w:rPr>
            </w:pPr>
            <w:r w:rsidRPr="00FD7BCA">
              <w:rPr>
                <w:sz w:val="18"/>
                <w:szCs w:val="18"/>
              </w:rPr>
              <w:t>–</w:t>
            </w:r>
          </w:p>
        </w:tc>
      </w:tr>
      <w:tr w:rsidR="00FD7BCA" w:rsidRPr="00FD7BCA" w14:paraId="06D5AB3D" w14:textId="77777777" w:rsidTr="00782417">
        <w:trPr>
          <w:trHeight w:val="330"/>
        </w:trPr>
        <w:tc>
          <w:tcPr>
            <w:tcW w:w="1101" w:type="dxa"/>
            <w:vMerge w:val="restart"/>
          </w:tcPr>
          <w:p w14:paraId="3244BF59" w14:textId="77777777" w:rsidR="00FD7BCA" w:rsidRPr="00FD7BCA" w:rsidRDefault="008B5A3E" w:rsidP="00FD7BCA">
            <w:pPr>
              <w:ind w:left="0" w:right="0"/>
              <w:rPr>
                <w:sz w:val="18"/>
                <w:szCs w:val="18"/>
              </w:rPr>
            </w:pPr>
            <w:r>
              <w:rPr>
                <w:sz w:val="18"/>
                <w:szCs w:val="18"/>
              </w:rPr>
              <w:t xml:space="preserve">Mouse </w:t>
            </w:r>
            <w:r w:rsidR="00FD7BCA" w:rsidRPr="00FD7BCA">
              <w:rPr>
                <w:sz w:val="18"/>
                <w:szCs w:val="18"/>
              </w:rPr>
              <w:t>(Tg.rasH2)</w:t>
            </w:r>
          </w:p>
        </w:tc>
        <w:tc>
          <w:tcPr>
            <w:tcW w:w="1772" w:type="dxa"/>
            <w:vMerge w:val="restart"/>
          </w:tcPr>
          <w:p w14:paraId="126D85D6" w14:textId="77777777" w:rsidR="00FD7BCA" w:rsidRPr="00FD7BCA" w:rsidRDefault="00FD7BCA" w:rsidP="00FD7BCA">
            <w:pPr>
              <w:ind w:left="0" w:right="0"/>
              <w:rPr>
                <w:sz w:val="18"/>
                <w:szCs w:val="18"/>
              </w:rPr>
            </w:pPr>
            <w:r w:rsidRPr="00FD7BCA">
              <w:rPr>
                <w:sz w:val="18"/>
                <w:szCs w:val="18"/>
              </w:rPr>
              <w:t>6 months</w:t>
            </w:r>
          </w:p>
          <w:p w14:paraId="0EB427AE" w14:textId="77777777" w:rsidR="00FD7BCA" w:rsidRPr="00FD7BCA" w:rsidRDefault="00026051" w:rsidP="00FD7BCA">
            <w:pPr>
              <w:ind w:left="0" w:right="0"/>
              <w:rPr>
                <w:sz w:val="18"/>
                <w:szCs w:val="18"/>
              </w:rPr>
            </w:pPr>
            <w:r>
              <w:rPr>
                <w:sz w:val="18"/>
                <w:szCs w:val="18"/>
              </w:rPr>
              <w:t>(</w:t>
            </w:r>
            <w:r w:rsidR="00FD7BCA" w:rsidRPr="00FD7BCA">
              <w:rPr>
                <w:sz w:val="18"/>
                <w:szCs w:val="18"/>
              </w:rPr>
              <w:t>carcinogenicity;</w:t>
            </w:r>
          </w:p>
          <w:p w14:paraId="3062F5E2" w14:textId="77777777" w:rsidR="00FD7BCA" w:rsidRPr="00FD7BCA" w:rsidRDefault="00FD7BCA" w:rsidP="00FD7BCA">
            <w:pPr>
              <w:ind w:left="0" w:right="0"/>
              <w:rPr>
                <w:sz w:val="18"/>
                <w:szCs w:val="18"/>
              </w:rPr>
            </w:pPr>
            <w:r w:rsidRPr="00FD7BCA">
              <w:rPr>
                <w:sz w:val="18"/>
                <w:szCs w:val="18"/>
              </w:rPr>
              <w:t>Study VX-809-TX-019</w:t>
            </w:r>
            <w:r w:rsidR="00026051">
              <w:rPr>
                <w:sz w:val="18"/>
                <w:szCs w:val="18"/>
              </w:rPr>
              <w:t>)</w:t>
            </w:r>
          </w:p>
        </w:tc>
        <w:tc>
          <w:tcPr>
            <w:tcW w:w="1360" w:type="dxa"/>
          </w:tcPr>
          <w:p w14:paraId="5F7FB75E" w14:textId="77777777" w:rsidR="00FD7BCA" w:rsidRPr="00FD7BCA" w:rsidRDefault="00FD7BCA" w:rsidP="00FD7BCA">
            <w:pPr>
              <w:ind w:left="0" w:right="0"/>
              <w:rPr>
                <w:sz w:val="18"/>
                <w:szCs w:val="18"/>
              </w:rPr>
            </w:pPr>
            <w:r w:rsidRPr="00FD7BCA">
              <w:rPr>
                <w:sz w:val="18"/>
                <w:szCs w:val="18"/>
              </w:rPr>
              <w:t>200</w:t>
            </w:r>
          </w:p>
        </w:tc>
        <w:tc>
          <w:tcPr>
            <w:tcW w:w="1362" w:type="dxa"/>
            <w:gridSpan w:val="3"/>
          </w:tcPr>
          <w:p w14:paraId="41AA69F0" w14:textId="77777777" w:rsidR="00FD7BCA" w:rsidRPr="00FD7BCA" w:rsidRDefault="00FD7BCA" w:rsidP="00FD7BCA">
            <w:pPr>
              <w:ind w:left="0" w:right="0"/>
              <w:rPr>
                <w:sz w:val="18"/>
                <w:szCs w:val="18"/>
              </w:rPr>
            </w:pPr>
            <w:r w:rsidRPr="00FD7BCA">
              <w:rPr>
                <w:sz w:val="18"/>
                <w:szCs w:val="18"/>
              </w:rPr>
              <w:t>755</w:t>
            </w:r>
          </w:p>
        </w:tc>
        <w:tc>
          <w:tcPr>
            <w:tcW w:w="1268" w:type="dxa"/>
            <w:gridSpan w:val="2"/>
          </w:tcPr>
          <w:p w14:paraId="41AEFF65" w14:textId="77777777" w:rsidR="00FD7BCA" w:rsidRPr="00FD7BCA" w:rsidRDefault="00FD7BCA" w:rsidP="00FD7BCA">
            <w:pPr>
              <w:ind w:left="0" w:right="0"/>
              <w:rPr>
                <w:sz w:val="18"/>
                <w:szCs w:val="18"/>
              </w:rPr>
            </w:pPr>
            <w:r w:rsidRPr="00FD7BCA">
              <w:rPr>
                <w:sz w:val="18"/>
                <w:szCs w:val="18"/>
              </w:rPr>
              <w:t>1.9</w:t>
            </w:r>
          </w:p>
        </w:tc>
        <w:tc>
          <w:tcPr>
            <w:tcW w:w="1021" w:type="dxa"/>
          </w:tcPr>
          <w:p w14:paraId="71888C0C" w14:textId="77777777" w:rsidR="00FD7BCA" w:rsidRPr="00FD7BCA" w:rsidRDefault="00FD7BCA" w:rsidP="00FD7BCA">
            <w:pPr>
              <w:ind w:left="0" w:right="0"/>
              <w:rPr>
                <w:sz w:val="18"/>
                <w:szCs w:val="18"/>
              </w:rPr>
            </w:pPr>
            <w:r w:rsidRPr="00FD7BCA">
              <w:rPr>
                <w:sz w:val="18"/>
                <w:szCs w:val="18"/>
              </w:rPr>
              <w:t>–</w:t>
            </w:r>
          </w:p>
        </w:tc>
        <w:tc>
          <w:tcPr>
            <w:tcW w:w="916" w:type="dxa"/>
          </w:tcPr>
          <w:p w14:paraId="1E7197B5" w14:textId="77777777" w:rsidR="00FD7BCA" w:rsidRPr="00FD7BCA" w:rsidRDefault="00FD7BCA" w:rsidP="00FD7BCA">
            <w:pPr>
              <w:ind w:left="0" w:right="0"/>
              <w:rPr>
                <w:sz w:val="18"/>
                <w:szCs w:val="18"/>
              </w:rPr>
            </w:pPr>
            <w:r w:rsidRPr="00FD7BCA">
              <w:rPr>
                <w:sz w:val="18"/>
                <w:szCs w:val="18"/>
              </w:rPr>
              <w:t>–</w:t>
            </w:r>
          </w:p>
        </w:tc>
      </w:tr>
      <w:tr w:rsidR="00FD7BCA" w:rsidRPr="00FD7BCA" w14:paraId="6E6E379D" w14:textId="77777777" w:rsidTr="00782417">
        <w:trPr>
          <w:trHeight w:val="330"/>
        </w:trPr>
        <w:tc>
          <w:tcPr>
            <w:tcW w:w="1101" w:type="dxa"/>
            <w:vMerge/>
          </w:tcPr>
          <w:p w14:paraId="4E16E447" w14:textId="77777777" w:rsidR="00FD7BCA" w:rsidRPr="00FD7BCA" w:rsidRDefault="00FD7BCA" w:rsidP="00FD7BCA">
            <w:pPr>
              <w:ind w:left="0" w:right="0"/>
              <w:rPr>
                <w:sz w:val="18"/>
                <w:szCs w:val="18"/>
              </w:rPr>
            </w:pPr>
          </w:p>
        </w:tc>
        <w:tc>
          <w:tcPr>
            <w:tcW w:w="1772" w:type="dxa"/>
            <w:vMerge/>
          </w:tcPr>
          <w:p w14:paraId="5F405C92" w14:textId="77777777" w:rsidR="00FD7BCA" w:rsidRPr="00FD7BCA" w:rsidRDefault="00FD7BCA" w:rsidP="00FD7BCA">
            <w:pPr>
              <w:ind w:left="0" w:right="0"/>
              <w:rPr>
                <w:sz w:val="18"/>
                <w:szCs w:val="18"/>
              </w:rPr>
            </w:pPr>
          </w:p>
        </w:tc>
        <w:tc>
          <w:tcPr>
            <w:tcW w:w="1360" w:type="dxa"/>
          </w:tcPr>
          <w:p w14:paraId="432C32A4" w14:textId="77777777" w:rsidR="00FD7BCA" w:rsidRPr="00FD7BCA" w:rsidRDefault="00FD7BCA" w:rsidP="008B5A3E">
            <w:pPr>
              <w:ind w:left="0" w:right="0"/>
              <w:rPr>
                <w:sz w:val="18"/>
                <w:szCs w:val="18"/>
              </w:rPr>
            </w:pPr>
            <w:r w:rsidRPr="00FD7BCA">
              <w:rPr>
                <w:sz w:val="18"/>
                <w:szCs w:val="18"/>
              </w:rPr>
              <w:t>500 (</w:t>
            </w:r>
            <w:r w:rsidR="008B5A3E">
              <w:rPr>
                <w:rFonts w:ascii="Times New Roman" w:hAnsi="Times New Roman"/>
                <w:sz w:val="18"/>
                <w:szCs w:val="18"/>
              </w:rPr>
              <w:t>F</w:t>
            </w:r>
            <w:r w:rsidRPr="00FD7BCA">
              <w:rPr>
                <w:sz w:val="18"/>
                <w:szCs w:val="18"/>
              </w:rPr>
              <w:t>)</w:t>
            </w:r>
          </w:p>
        </w:tc>
        <w:tc>
          <w:tcPr>
            <w:tcW w:w="1362" w:type="dxa"/>
            <w:gridSpan w:val="3"/>
          </w:tcPr>
          <w:p w14:paraId="119FA31C" w14:textId="77777777" w:rsidR="00FD7BCA" w:rsidRPr="00FD7BCA" w:rsidRDefault="00FD7BCA" w:rsidP="00FD7BCA">
            <w:pPr>
              <w:ind w:left="0" w:right="0"/>
              <w:rPr>
                <w:sz w:val="18"/>
                <w:szCs w:val="18"/>
              </w:rPr>
            </w:pPr>
            <w:r w:rsidRPr="00FD7BCA">
              <w:rPr>
                <w:sz w:val="18"/>
                <w:szCs w:val="18"/>
              </w:rPr>
              <w:t>934</w:t>
            </w:r>
          </w:p>
        </w:tc>
        <w:tc>
          <w:tcPr>
            <w:tcW w:w="1268" w:type="dxa"/>
            <w:gridSpan w:val="2"/>
          </w:tcPr>
          <w:p w14:paraId="3441215E" w14:textId="77777777" w:rsidR="00FD7BCA" w:rsidRPr="00FD7BCA" w:rsidRDefault="00FD7BCA" w:rsidP="00FD7BCA">
            <w:pPr>
              <w:ind w:left="0" w:right="0"/>
              <w:rPr>
                <w:sz w:val="18"/>
                <w:szCs w:val="18"/>
              </w:rPr>
            </w:pPr>
            <w:r w:rsidRPr="00FD7BCA">
              <w:rPr>
                <w:sz w:val="18"/>
                <w:szCs w:val="18"/>
              </w:rPr>
              <w:t>2.4</w:t>
            </w:r>
          </w:p>
        </w:tc>
        <w:tc>
          <w:tcPr>
            <w:tcW w:w="1021" w:type="dxa"/>
          </w:tcPr>
          <w:p w14:paraId="41A9F5D4" w14:textId="77777777" w:rsidR="00FD7BCA" w:rsidRPr="00FD7BCA" w:rsidRDefault="00FD7BCA" w:rsidP="00FD7BCA">
            <w:pPr>
              <w:ind w:left="0" w:right="0"/>
              <w:rPr>
                <w:sz w:val="18"/>
                <w:szCs w:val="18"/>
              </w:rPr>
            </w:pPr>
            <w:r w:rsidRPr="00FD7BCA">
              <w:rPr>
                <w:sz w:val="18"/>
                <w:szCs w:val="18"/>
              </w:rPr>
              <w:t>–</w:t>
            </w:r>
          </w:p>
        </w:tc>
        <w:tc>
          <w:tcPr>
            <w:tcW w:w="916" w:type="dxa"/>
          </w:tcPr>
          <w:p w14:paraId="3048A853" w14:textId="77777777" w:rsidR="00FD7BCA" w:rsidRPr="00FD7BCA" w:rsidRDefault="00FD7BCA" w:rsidP="00FD7BCA">
            <w:pPr>
              <w:ind w:left="0" w:right="0"/>
              <w:rPr>
                <w:sz w:val="18"/>
                <w:szCs w:val="18"/>
              </w:rPr>
            </w:pPr>
            <w:r w:rsidRPr="00FD7BCA">
              <w:rPr>
                <w:sz w:val="18"/>
                <w:szCs w:val="18"/>
              </w:rPr>
              <w:t>–</w:t>
            </w:r>
          </w:p>
        </w:tc>
      </w:tr>
      <w:tr w:rsidR="00FD7BCA" w:rsidRPr="00FD7BCA" w14:paraId="1A24AF29" w14:textId="77777777" w:rsidTr="00782417">
        <w:trPr>
          <w:trHeight w:val="330"/>
        </w:trPr>
        <w:tc>
          <w:tcPr>
            <w:tcW w:w="1101" w:type="dxa"/>
            <w:vMerge/>
          </w:tcPr>
          <w:p w14:paraId="15587C79" w14:textId="77777777" w:rsidR="00FD7BCA" w:rsidRPr="00FD7BCA" w:rsidRDefault="00FD7BCA" w:rsidP="00FD7BCA">
            <w:pPr>
              <w:ind w:left="0" w:right="0"/>
              <w:rPr>
                <w:sz w:val="18"/>
                <w:szCs w:val="18"/>
              </w:rPr>
            </w:pPr>
          </w:p>
        </w:tc>
        <w:tc>
          <w:tcPr>
            <w:tcW w:w="1772" w:type="dxa"/>
            <w:vMerge/>
          </w:tcPr>
          <w:p w14:paraId="7EABD9F0" w14:textId="77777777" w:rsidR="00FD7BCA" w:rsidRPr="00FD7BCA" w:rsidRDefault="00FD7BCA" w:rsidP="00FD7BCA">
            <w:pPr>
              <w:ind w:left="0" w:right="0"/>
              <w:rPr>
                <w:sz w:val="18"/>
                <w:szCs w:val="18"/>
              </w:rPr>
            </w:pPr>
          </w:p>
        </w:tc>
        <w:tc>
          <w:tcPr>
            <w:tcW w:w="1360" w:type="dxa"/>
          </w:tcPr>
          <w:p w14:paraId="21D4BDEE" w14:textId="77777777" w:rsidR="00FD7BCA" w:rsidRPr="00FD7BCA" w:rsidRDefault="00FD7BCA" w:rsidP="008B5A3E">
            <w:pPr>
              <w:ind w:left="0" w:right="0"/>
              <w:rPr>
                <w:sz w:val="18"/>
                <w:szCs w:val="18"/>
              </w:rPr>
            </w:pPr>
            <w:r w:rsidRPr="00FD7BCA">
              <w:rPr>
                <w:sz w:val="18"/>
                <w:szCs w:val="18"/>
              </w:rPr>
              <w:t>700 (</w:t>
            </w:r>
            <w:r w:rsidR="008B5A3E">
              <w:rPr>
                <w:rFonts w:ascii="Times New Roman" w:hAnsi="Times New Roman"/>
                <w:sz w:val="18"/>
                <w:szCs w:val="18"/>
              </w:rPr>
              <w:t>M</w:t>
            </w:r>
            <w:r w:rsidRPr="00FD7BCA">
              <w:rPr>
                <w:sz w:val="18"/>
                <w:szCs w:val="18"/>
              </w:rPr>
              <w:t>)</w:t>
            </w:r>
          </w:p>
        </w:tc>
        <w:tc>
          <w:tcPr>
            <w:tcW w:w="1362" w:type="dxa"/>
            <w:gridSpan w:val="3"/>
          </w:tcPr>
          <w:p w14:paraId="7987231B" w14:textId="77777777" w:rsidR="00FD7BCA" w:rsidRPr="00FD7BCA" w:rsidRDefault="00FD7BCA" w:rsidP="00FD7BCA">
            <w:pPr>
              <w:ind w:left="0" w:right="0"/>
              <w:rPr>
                <w:sz w:val="18"/>
                <w:szCs w:val="18"/>
              </w:rPr>
            </w:pPr>
            <w:r w:rsidRPr="00FD7BCA">
              <w:rPr>
                <w:sz w:val="18"/>
                <w:szCs w:val="18"/>
              </w:rPr>
              <w:t>1310</w:t>
            </w:r>
          </w:p>
        </w:tc>
        <w:tc>
          <w:tcPr>
            <w:tcW w:w="1268" w:type="dxa"/>
            <w:gridSpan w:val="2"/>
          </w:tcPr>
          <w:p w14:paraId="505AC63B" w14:textId="77777777" w:rsidR="00FD7BCA" w:rsidRPr="00FD7BCA" w:rsidRDefault="00FD7BCA" w:rsidP="00FD7BCA">
            <w:pPr>
              <w:ind w:left="0" w:right="0"/>
              <w:rPr>
                <w:sz w:val="18"/>
                <w:szCs w:val="18"/>
              </w:rPr>
            </w:pPr>
            <w:r w:rsidRPr="00FD7BCA">
              <w:rPr>
                <w:sz w:val="18"/>
                <w:szCs w:val="18"/>
              </w:rPr>
              <w:t>3.3</w:t>
            </w:r>
          </w:p>
        </w:tc>
        <w:tc>
          <w:tcPr>
            <w:tcW w:w="1021" w:type="dxa"/>
          </w:tcPr>
          <w:p w14:paraId="4573B65A" w14:textId="77777777" w:rsidR="00FD7BCA" w:rsidRPr="00FD7BCA" w:rsidRDefault="00FD7BCA" w:rsidP="00FD7BCA">
            <w:pPr>
              <w:ind w:left="0" w:right="0"/>
              <w:rPr>
                <w:sz w:val="18"/>
                <w:szCs w:val="18"/>
              </w:rPr>
            </w:pPr>
            <w:r w:rsidRPr="00FD7BCA">
              <w:rPr>
                <w:sz w:val="18"/>
                <w:szCs w:val="18"/>
              </w:rPr>
              <w:t>–</w:t>
            </w:r>
          </w:p>
        </w:tc>
        <w:tc>
          <w:tcPr>
            <w:tcW w:w="916" w:type="dxa"/>
          </w:tcPr>
          <w:p w14:paraId="03276A46" w14:textId="77777777" w:rsidR="00FD7BCA" w:rsidRPr="00FD7BCA" w:rsidRDefault="00FD7BCA" w:rsidP="00FD7BCA">
            <w:pPr>
              <w:ind w:left="0" w:right="0"/>
              <w:rPr>
                <w:sz w:val="18"/>
                <w:szCs w:val="18"/>
              </w:rPr>
            </w:pPr>
            <w:r w:rsidRPr="00FD7BCA">
              <w:rPr>
                <w:sz w:val="18"/>
                <w:szCs w:val="18"/>
              </w:rPr>
              <w:t>–</w:t>
            </w:r>
          </w:p>
        </w:tc>
      </w:tr>
      <w:tr w:rsidR="00FD7BCA" w:rsidRPr="00FD7BCA" w14:paraId="7F196D39" w14:textId="77777777" w:rsidTr="00782417">
        <w:trPr>
          <w:trHeight w:val="330"/>
        </w:trPr>
        <w:tc>
          <w:tcPr>
            <w:tcW w:w="1101" w:type="dxa"/>
            <w:vMerge/>
          </w:tcPr>
          <w:p w14:paraId="0C60866D" w14:textId="77777777" w:rsidR="00FD7BCA" w:rsidRPr="00FD7BCA" w:rsidRDefault="00FD7BCA" w:rsidP="00FD7BCA">
            <w:pPr>
              <w:ind w:left="0" w:right="0"/>
              <w:rPr>
                <w:sz w:val="18"/>
                <w:szCs w:val="18"/>
              </w:rPr>
            </w:pPr>
          </w:p>
        </w:tc>
        <w:tc>
          <w:tcPr>
            <w:tcW w:w="1772" w:type="dxa"/>
            <w:vMerge/>
          </w:tcPr>
          <w:p w14:paraId="6E11B57F" w14:textId="77777777" w:rsidR="00FD7BCA" w:rsidRPr="00FD7BCA" w:rsidRDefault="00FD7BCA" w:rsidP="00FD7BCA">
            <w:pPr>
              <w:ind w:left="0" w:right="0"/>
              <w:rPr>
                <w:sz w:val="18"/>
                <w:szCs w:val="18"/>
              </w:rPr>
            </w:pPr>
          </w:p>
        </w:tc>
        <w:tc>
          <w:tcPr>
            <w:tcW w:w="1360" w:type="dxa"/>
          </w:tcPr>
          <w:p w14:paraId="386CC84A" w14:textId="77777777" w:rsidR="00FD7BCA" w:rsidRPr="00FD7BCA" w:rsidRDefault="00FD7BCA" w:rsidP="008B5A3E">
            <w:pPr>
              <w:ind w:left="0" w:right="0"/>
              <w:rPr>
                <w:sz w:val="18"/>
                <w:szCs w:val="18"/>
              </w:rPr>
            </w:pPr>
            <w:r w:rsidRPr="00FD7BCA">
              <w:rPr>
                <w:sz w:val="18"/>
                <w:szCs w:val="18"/>
              </w:rPr>
              <w:t>1500 (</w:t>
            </w:r>
            <w:r w:rsidR="008B5A3E">
              <w:rPr>
                <w:rFonts w:ascii="Times New Roman" w:hAnsi="Times New Roman"/>
                <w:sz w:val="18"/>
                <w:szCs w:val="18"/>
              </w:rPr>
              <w:t>F</w:t>
            </w:r>
            <w:r w:rsidRPr="00FD7BCA">
              <w:rPr>
                <w:sz w:val="18"/>
                <w:szCs w:val="18"/>
              </w:rPr>
              <w:t>)</w:t>
            </w:r>
          </w:p>
        </w:tc>
        <w:tc>
          <w:tcPr>
            <w:tcW w:w="1362" w:type="dxa"/>
            <w:gridSpan w:val="3"/>
          </w:tcPr>
          <w:p w14:paraId="404CA22A" w14:textId="77777777" w:rsidR="00FD7BCA" w:rsidRPr="00FD7BCA" w:rsidRDefault="00FD7BCA" w:rsidP="00FD7BCA">
            <w:pPr>
              <w:ind w:left="0" w:right="0"/>
              <w:rPr>
                <w:sz w:val="18"/>
                <w:szCs w:val="18"/>
              </w:rPr>
            </w:pPr>
            <w:r w:rsidRPr="00FD7BCA">
              <w:rPr>
                <w:sz w:val="18"/>
                <w:szCs w:val="18"/>
              </w:rPr>
              <w:t>1390</w:t>
            </w:r>
          </w:p>
        </w:tc>
        <w:tc>
          <w:tcPr>
            <w:tcW w:w="1268" w:type="dxa"/>
            <w:gridSpan w:val="2"/>
          </w:tcPr>
          <w:p w14:paraId="56F5F295" w14:textId="77777777" w:rsidR="00FD7BCA" w:rsidRPr="00FD7BCA" w:rsidRDefault="00FD7BCA" w:rsidP="00FD7BCA">
            <w:pPr>
              <w:ind w:left="0" w:right="0"/>
              <w:rPr>
                <w:sz w:val="18"/>
                <w:szCs w:val="18"/>
              </w:rPr>
            </w:pPr>
            <w:r w:rsidRPr="00FD7BCA">
              <w:rPr>
                <w:sz w:val="18"/>
                <w:szCs w:val="18"/>
              </w:rPr>
              <w:t>3.5</w:t>
            </w:r>
          </w:p>
        </w:tc>
        <w:tc>
          <w:tcPr>
            <w:tcW w:w="1021" w:type="dxa"/>
          </w:tcPr>
          <w:p w14:paraId="3468295A" w14:textId="77777777" w:rsidR="00FD7BCA" w:rsidRPr="00FD7BCA" w:rsidRDefault="00FD7BCA" w:rsidP="00FD7BCA">
            <w:pPr>
              <w:ind w:left="0" w:right="0"/>
              <w:rPr>
                <w:sz w:val="18"/>
                <w:szCs w:val="18"/>
              </w:rPr>
            </w:pPr>
            <w:r w:rsidRPr="00FD7BCA">
              <w:rPr>
                <w:sz w:val="18"/>
                <w:szCs w:val="18"/>
              </w:rPr>
              <w:t>–</w:t>
            </w:r>
          </w:p>
        </w:tc>
        <w:tc>
          <w:tcPr>
            <w:tcW w:w="916" w:type="dxa"/>
          </w:tcPr>
          <w:p w14:paraId="1B0738C4" w14:textId="77777777" w:rsidR="00FD7BCA" w:rsidRPr="00FD7BCA" w:rsidRDefault="00FD7BCA" w:rsidP="00FD7BCA">
            <w:pPr>
              <w:ind w:left="0" w:right="0"/>
              <w:rPr>
                <w:sz w:val="18"/>
                <w:szCs w:val="18"/>
              </w:rPr>
            </w:pPr>
            <w:r w:rsidRPr="00FD7BCA">
              <w:rPr>
                <w:sz w:val="18"/>
                <w:szCs w:val="18"/>
              </w:rPr>
              <w:t>–</w:t>
            </w:r>
          </w:p>
        </w:tc>
      </w:tr>
      <w:tr w:rsidR="00FD7BCA" w:rsidRPr="00FD7BCA" w14:paraId="33DE3E9E" w14:textId="77777777" w:rsidTr="00782417">
        <w:trPr>
          <w:trHeight w:val="330"/>
        </w:trPr>
        <w:tc>
          <w:tcPr>
            <w:tcW w:w="1101" w:type="dxa"/>
            <w:vMerge/>
          </w:tcPr>
          <w:p w14:paraId="0D80227D" w14:textId="77777777" w:rsidR="00FD7BCA" w:rsidRPr="00FD7BCA" w:rsidRDefault="00FD7BCA" w:rsidP="00FD7BCA">
            <w:pPr>
              <w:ind w:left="0" w:right="0"/>
              <w:rPr>
                <w:sz w:val="18"/>
                <w:szCs w:val="18"/>
              </w:rPr>
            </w:pPr>
          </w:p>
        </w:tc>
        <w:tc>
          <w:tcPr>
            <w:tcW w:w="1772" w:type="dxa"/>
            <w:vMerge/>
          </w:tcPr>
          <w:p w14:paraId="07B7D5C7" w14:textId="77777777" w:rsidR="00FD7BCA" w:rsidRPr="00FD7BCA" w:rsidRDefault="00FD7BCA" w:rsidP="00FD7BCA">
            <w:pPr>
              <w:ind w:left="0" w:right="0"/>
              <w:rPr>
                <w:sz w:val="18"/>
                <w:szCs w:val="18"/>
              </w:rPr>
            </w:pPr>
          </w:p>
        </w:tc>
        <w:tc>
          <w:tcPr>
            <w:tcW w:w="1360" w:type="dxa"/>
          </w:tcPr>
          <w:p w14:paraId="3290E7E5" w14:textId="77777777" w:rsidR="00FD7BCA" w:rsidRPr="00FD7BCA" w:rsidRDefault="00FD7BCA" w:rsidP="008B5A3E">
            <w:pPr>
              <w:ind w:left="0" w:right="0"/>
              <w:rPr>
                <w:sz w:val="18"/>
                <w:szCs w:val="18"/>
              </w:rPr>
            </w:pPr>
            <w:r w:rsidRPr="00FD7BCA">
              <w:rPr>
                <w:sz w:val="18"/>
                <w:szCs w:val="18"/>
              </w:rPr>
              <w:t>2000 (</w:t>
            </w:r>
            <w:r w:rsidR="008B5A3E">
              <w:rPr>
                <w:rFonts w:ascii="Times New Roman" w:hAnsi="Times New Roman"/>
                <w:sz w:val="18"/>
                <w:szCs w:val="18"/>
              </w:rPr>
              <w:t>M</w:t>
            </w:r>
            <w:r w:rsidRPr="00FD7BCA">
              <w:rPr>
                <w:sz w:val="18"/>
                <w:szCs w:val="18"/>
              </w:rPr>
              <w:t>)</w:t>
            </w:r>
          </w:p>
        </w:tc>
        <w:tc>
          <w:tcPr>
            <w:tcW w:w="1362" w:type="dxa"/>
            <w:gridSpan w:val="3"/>
          </w:tcPr>
          <w:p w14:paraId="7C1D034C" w14:textId="77777777" w:rsidR="00FD7BCA" w:rsidRPr="00FD7BCA" w:rsidRDefault="00FD7BCA" w:rsidP="00FD7BCA">
            <w:pPr>
              <w:ind w:left="0" w:right="0"/>
              <w:rPr>
                <w:sz w:val="18"/>
                <w:szCs w:val="18"/>
              </w:rPr>
            </w:pPr>
            <w:r w:rsidRPr="00FD7BCA">
              <w:rPr>
                <w:sz w:val="18"/>
                <w:szCs w:val="18"/>
              </w:rPr>
              <w:t>2090</w:t>
            </w:r>
          </w:p>
        </w:tc>
        <w:tc>
          <w:tcPr>
            <w:tcW w:w="1268" w:type="dxa"/>
            <w:gridSpan w:val="2"/>
          </w:tcPr>
          <w:p w14:paraId="001462EA" w14:textId="77777777" w:rsidR="00FD7BCA" w:rsidRPr="00FD7BCA" w:rsidRDefault="00FD7BCA" w:rsidP="00FD7BCA">
            <w:pPr>
              <w:ind w:left="0" w:right="0"/>
              <w:rPr>
                <w:sz w:val="18"/>
                <w:szCs w:val="18"/>
              </w:rPr>
            </w:pPr>
            <w:r w:rsidRPr="00FD7BCA">
              <w:rPr>
                <w:sz w:val="18"/>
                <w:szCs w:val="18"/>
              </w:rPr>
              <w:t>5.3</w:t>
            </w:r>
          </w:p>
        </w:tc>
        <w:tc>
          <w:tcPr>
            <w:tcW w:w="1021" w:type="dxa"/>
          </w:tcPr>
          <w:p w14:paraId="2923587E" w14:textId="77777777" w:rsidR="00FD7BCA" w:rsidRPr="00FD7BCA" w:rsidRDefault="00FD7BCA" w:rsidP="00FD7BCA">
            <w:pPr>
              <w:ind w:left="0" w:right="0"/>
              <w:rPr>
                <w:sz w:val="18"/>
                <w:szCs w:val="18"/>
              </w:rPr>
            </w:pPr>
            <w:r w:rsidRPr="00FD7BCA">
              <w:rPr>
                <w:sz w:val="18"/>
                <w:szCs w:val="18"/>
              </w:rPr>
              <w:t>–</w:t>
            </w:r>
          </w:p>
        </w:tc>
        <w:tc>
          <w:tcPr>
            <w:tcW w:w="916" w:type="dxa"/>
          </w:tcPr>
          <w:p w14:paraId="4C069711" w14:textId="77777777" w:rsidR="00FD7BCA" w:rsidRPr="00FD7BCA" w:rsidRDefault="00FD7BCA" w:rsidP="00FD7BCA">
            <w:pPr>
              <w:ind w:left="0" w:right="0"/>
              <w:rPr>
                <w:sz w:val="18"/>
                <w:szCs w:val="18"/>
              </w:rPr>
            </w:pPr>
            <w:r w:rsidRPr="00FD7BCA">
              <w:rPr>
                <w:sz w:val="18"/>
                <w:szCs w:val="18"/>
              </w:rPr>
              <w:t>–</w:t>
            </w:r>
          </w:p>
        </w:tc>
      </w:tr>
      <w:tr w:rsidR="00FD7BCA" w:rsidRPr="00FD7BCA" w14:paraId="326BE78E" w14:textId="77777777" w:rsidTr="00782417">
        <w:trPr>
          <w:trHeight w:val="330"/>
        </w:trPr>
        <w:tc>
          <w:tcPr>
            <w:tcW w:w="1101" w:type="dxa"/>
            <w:vMerge w:val="restart"/>
          </w:tcPr>
          <w:p w14:paraId="70150C43" w14:textId="77777777" w:rsidR="00FD7BCA" w:rsidRPr="00FD7BCA" w:rsidRDefault="008B5A3E" w:rsidP="00FD7BCA">
            <w:pPr>
              <w:ind w:left="0" w:right="0"/>
              <w:rPr>
                <w:sz w:val="18"/>
                <w:szCs w:val="18"/>
              </w:rPr>
            </w:pPr>
            <w:r>
              <w:rPr>
                <w:sz w:val="18"/>
                <w:szCs w:val="18"/>
              </w:rPr>
              <w:t xml:space="preserve">Rat </w:t>
            </w:r>
            <w:r w:rsidR="00FD7BCA" w:rsidRPr="00FD7BCA">
              <w:rPr>
                <w:sz w:val="18"/>
                <w:szCs w:val="18"/>
              </w:rPr>
              <w:t>(SD)</w:t>
            </w:r>
          </w:p>
        </w:tc>
        <w:tc>
          <w:tcPr>
            <w:tcW w:w="1772" w:type="dxa"/>
            <w:vMerge w:val="restart"/>
          </w:tcPr>
          <w:p w14:paraId="72845083" w14:textId="77777777" w:rsidR="00FD7BCA" w:rsidRPr="00FD7BCA" w:rsidRDefault="00FD7BCA" w:rsidP="00FD7BCA">
            <w:pPr>
              <w:ind w:left="0" w:right="0"/>
              <w:rPr>
                <w:sz w:val="18"/>
                <w:szCs w:val="18"/>
              </w:rPr>
            </w:pPr>
            <w:r w:rsidRPr="00FD7BCA">
              <w:rPr>
                <w:sz w:val="18"/>
                <w:szCs w:val="18"/>
              </w:rPr>
              <w:t>3 months</w:t>
            </w:r>
          </w:p>
          <w:p w14:paraId="59119A43" w14:textId="77777777" w:rsidR="00FD7BCA" w:rsidRPr="00FD7BCA" w:rsidRDefault="00026051" w:rsidP="00FD7BCA">
            <w:pPr>
              <w:ind w:left="0" w:right="0"/>
              <w:rPr>
                <w:sz w:val="18"/>
                <w:szCs w:val="18"/>
              </w:rPr>
            </w:pPr>
            <w:r>
              <w:rPr>
                <w:sz w:val="18"/>
                <w:szCs w:val="18"/>
              </w:rPr>
              <w:t>(</w:t>
            </w:r>
            <w:r w:rsidR="00FD7BCA" w:rsidRPr="00FD7BCA">
              <w:rPr>
                <w:sz w:val="18"/>
                <w:szCs w:val="18"/>
              </w:rPr>
              <w:t>Study VX-809-TX-007</w:t>
            </w:r>
            <w:r>
              <w:rPr>
                <w:sz w:val="18"/>
                <w:szCs w:val="18"/>
              </w:rPr>
              <w:t>)</w:t>
            </w:r>
          </w:p>
        </w:tc>
        <w:tc>
          <w:tcPr>
            <w:tcW w:w="1360" w:type="dxa"/>
          </w:tcPr>
          <w:p w14:paraId="1357F31B" w14:textId="77777777" w:rsidR="00FD7BCA" w:rsidRPr="00FD7BCA" w:rsidRDefault="00FD7BCA" w:rsidP="00FD7BCA">
            <w:pPr>
              <w:ind w:left="0" w:right="0"/>
              <w:rPr>
                <w:sz w:val="18"/>
                <w:szCs w:val="18"/>
              </w:rPr>
            </w:pPr>
            <w:r w:rsidRPr="00FD7BCA">
              <w:rPr>
                <w:sz w:val="18"/>
                <w:szCs w:val="18"/>
              </w:rPr>
              <w:t>250</w:t>
            </w:r>
          </w:p>
        </w:tc>
        <w:tc>
          <w:tcPr>
            <w:tcW w:w="1362" w:type="dxa"/>
            <w:gridSpan w:val="3"/>
          </w:tcPr>
          <w:p w14:paraId="30160277" w14:textId="77777777" w:rsidR="00FD7BCA" w:rsidRPr="00FD7BCA" w:rsidRDefault="00FD7BCA" w:rsidP="00FD7BCA">
            <w:pPr>
              <w:ind w:left="0" w:right="0"/>
              <w:rPr>
                <w:sz w:val="18"/>
                <w:szCs w:val="18"/>
              </w:rPr>
            </w:pPr>
            <w:r w:rsidRPr="00FD7BCA">
              <w:rPr>
                <w:sz w:val="18"/>
                <w:szCs w:val="18"/>
              </w:rPr>
              <w:t>2080</w:t>
            </w:r>
          </w:p>
        </w:tc>
        <w:tc>
          <w:tcPr>
            <w:tcW w:w="1268" w:type="dxa"/>
            <w:gridSpan w:val="2"/>
          </w:tcPr>
          <w:p w14:paraId="576956C9" w14:textId="77777777" w:rsidR="00FD7BCA" w:rsidRPr="00FD7BCA" w:rsidRDefault="00FD7BCA" w:rsidP="00FD7BCA">
            <w:pPr>
              <w:ind w:left="0" w:right="0"/>
              <w:rPr>
                <w:sz w:val="18"/>
                <w:szCs w:val="18"/>
              </w:rPr>
            </w:pPr>
            <w:r w:rsidRPr="00FD7BCA">
              <w:rPr>
                <w:sz w:val="18"/>
                <w:szCs w:val="18"/>
              </w:rPr>
              <w:t>5.3</w:t>
            </w:r>
          </w:p>
        </w:tc>
        <w:tc>
          <w:tcPr>
            <w:tcW w:w="1021" w:type="dxa"/>
          </w:tcPr>
          <w:p w14:paraId="7F3348C3" w14:textId="77777777" w:rsidR="00FD7BCA" w:rsidRPr="00FD7BCA" w:rsidRDefault="00FD7BCA" w:rsidP="00FD7BCA">
            <w:pPr>
              <w:ind w:left="0" w:right="0"/>
              <w:rPr>
                <w:sz w:val="18"/>
                <w:szCs w:val="18"/>
              </w:rPr>
            </w:pPr>
            <w:r w:rsidRPr="00FD7BCA">
              <w:rPr>
                <w:sz w:val="18"/>
                <w:szCs w:val="18"/>
              </w:rPr>
              <w:t>–</w:t>
            </w:r>
          </w:p>
        </w:tc>
        <w:tc>
          <w:tcPr>
            <w:tcW w:w="916" w:type="dxa"/>
          </w:tcPr>
          <w:p w14:paraId="6D7B68AF" w14:textId="77777777" w:rsidR="00FD7BCA" w:rsidRPr="00FD7BCA" w:rsidRDefault="00FD7BCA" w:rsidP="00FD7BCA">
            <w:pPr>
              <w:ind w:left="0" w:right="0"/>
              <w:rPr>
                <w:sz w:val="18"/>
                <w:szCs w:val="18"/>
              </w:rPr>
            </w:pPr>
            <w:r w:rsidRPr="00FD7BCA">
              <w:rPr>
                <w:sz w:val="18"/>
                <w:szCs w:val="18"/>
              </w:rPr>
              <w:t>–</w:t>
            </w:r>
          </w:p>
        </w:tc>
      </w:tr>
      <w:tr w:rsidR="00FD7BCA" w:rsidRPr="00FD7BCA" w14:paraId="66FAB426" w14:textId="77777777" w:rsidTr="00782417">
        <w:trPr>
          <w:trHeight w:val="330"/>
        </w:trPr>
        <w:tc>
          <w:tcPr>
            <w:tcW w:w="1101" w:type="dxa"/>
            <w:vMerge/>
          </w:tcPr>
          <w:p w14:paraId="709EEE4D" w14:textId="77777777" w:rsidR="00FD7BCA" w:rsidRPr="00FD7BCA" w:rsidRDefault="00FD7BCA" w:rsidP="00FD7BCA">
            <w:pPr>
              <w:ind w:left="0" w:right="0"/>
              <w:rPr>
                <w:sz w:val="18"/>
                <w:szCs w:val="18"/>
              </w:rPr>
            </w:pPr>
          </w:p>
        </w:tc>
        <w:tc>
          <w:tcPr>
            <w:tcW w:w="1772" w:type="dxa"/>
            <w:vMerge/>
          </w:tcPr>
          <w:p w14:paraId="1C28F743" w14:textId="77777777" w:rsidR="00FD7BCA" w:rsidRPr="00FD7BCA" w:rsidRDefault="00FD7BCA" w:rsidP="00FD7BCA">
            <w:pPr>
              <w:ind w:left="0" w:right="0"/>
              <w:rPr>
                <w:sz w:val="18"/>
                <w:szCs w:val="18"/>
              </w:rPr>
            </w:pPr>
          </w:p>
        </w:tc>
        <w:tc>
          <w:tcPr>
            <w:tcW w:w="1360" w:type="dxa"/>
          </w:tcPr>
          <w:p w14:paraId="6AA27F68" w14:textId="77777777" w:rsidR="00FD7BCA" w:rsidRPr="00FD7BCA" w:rsidRDefault="00FD7BCA" w:rsidP="00FD7BCA">
            <w:pPr>
              <w:ind w:left="0" w:right="0"/>
              <w:rPr>
                <w:sz w:val="18"/>
                <w:szCs w:val="18"/>
              </w:rPr>
            </w:pPr>
            <w:r w:rsidRPr="00FD7BCA">
              <w:rPr>
                <w:sz w:val="18"/>
                <w:szCs w:val="18"/>
              </w:rPr>
              <w:t>500</w:t>
            </w:r>
          </w:p>
        </w:tc>
        <w:tc>
          <w:tcPr>
            <w:tcW w:w="1362" w:type="dxa"/>
            <w:gridSpan w:val="3"/>
          </w:tcPr>
          <w:p w14:paraId="76FEB037" w14:textId="77777777" w:rsidR="00FD7BCA" w:rsidRPr="00FD7BCA" w:rsidRDefault="00FD7BCA" w:rsidP="00FD7BCA">
            <w:pPr>
              <w:ind w:left="0" w:right="0"/>
              <w:rPr>
                <w:sz w:val="18"/>
                <w:szCs w:val="18"/>
              </w:rPr>
            </w:pPr>
            <w:r w:rsidRPr="00FD7BCA">
              <w:rPr>
                <w:sz w:val="18"/>
                <w:szCs w:val="18"/>
              </w:rPr>
              <w:t>3455</w:t>
            </w:r>
          </w:p>
        </w:tc>
        <w:tc>
          <w:tcPr>
            <w:tcW w:w="1268" w:type="dxa"/>
            <w:gridSpan w:val="2"/>
          </w:tcPr>
          <w:p w14:paraId="23BB1C5A" w14:textId="77777777" w:rsidR="00FD7BCA" w:rsidRPr="00FD7BCA" w:rsidRDefault="00FD7BCA" w:rsidP="00FD7BCA">
            <w:pPr>
              <w:ind w:left="0" w:right="0"/>
              <w:rPr>
                <w:sz w:val="18"/>
                <w:szCs w:val="18"/>
              </w:rPr>
            </w:pPr>
            <w:r w:rsidRPr="00FD7BCA">
              <w:rPr>
                <w:sz w:val="18"/>
                <w:szCs w:val="18"/>
              </w:rPr>
              <w:t>8.7</w:t>
            </w:r>
          </w:p>
        </w:tc>
        <w:tc>
          <w:tcPr>
            <w:tcW w:w="1021" w:type="dxa"/>
          </w:tcPr>
          <w:p w14:paraId="5C3B7199" w14:textId="77777777" w:rsidR="00FD7BCA" w:rsidRPr="00FD7BCA" w:rsidRDefault="00FD7BCA" w:rsidP="00FD7BCA">
            <w:pPr>
              <w:ind w:left="0" w:right="0"/>
              <w:rPr>
                <w:sz w:val="18"/>
                <w:szCs w:val="18"/>
              </w:rPr>
            </w:pPr>
            <w:r w:rsidRPr="00FD7BCA">
              <w:rPr>
                <w:sz w:val="18"/>
                <w:szCs w:val="18"/>
              </w:rPr>
              <w:t>–</w:t>
            </w:r>
          </w:p>
        </w:tc>
        <w:tc>
          <w:tcPr>
            <w:tcW w:w="916" w:type="dxa"/>
          </w:tcPr>
          <w:p w14:paraId="6F81F0AB" w14:textId="77777777" w:rsidR="00FD7BCA" w:rsidRPr="00FD7BCA" w:rsidRDefault="00FD7BCA" w:rsidP="00FD7BCA">
            <w:pPr>
              <w:ind w:left="0" w:right="0"/>
              <w:rPr>
                <w:sz w:val="18"/>
                <w:szCs w:val="18"/>
              </w:rPr>
            </w:pPr>
            <w:r w:rsidRPr="00FD7BCA">
              <w:rPr>
                <w:sz w:val="18"/>
                <w:szCs w:val="18"/>
              </w:rPr>
              <w:t>–</w:t>
            </w:r>
          </w:p>
        </w:tc>
      </w:tr>
      <w:tr w:rsidR="00FD7BCA" w:rsidRPr="00FD7BCA" w14:paraId="57F42122" w14:textId="77777777" w:rsidTr="00782417">
        <w:trPr>
          <w:trHeight w:val="330"/>
        </w:trPr>
        <w:tc>
          <w:tcPr>
            <w:tcW w:w="1101" w:type="dxa"/>
            <w:vMerge/>
          </w:tcPr>
          <w:p w14:paraId="3ADE0287" w14:textId="77777777" w:rsidR="00FD7BCA" w:rsidRPr="00FD7BCA" w:rsidRDefault="00FD7BCA" w:rsidP="00FD7BCA">
            <w:pPr>
              <w:ind w:left="0" w:right="0"/>
              <w:rPr>
                <w:sz w:val="18"/>
                <w:szCs w:val="18"/>
              </w:rPr>
            </w:pPr>
          </w:p>
        </w:tc>
        <w:tc>
          <w:tcPr>
            <w:tcW w:w="1772" w:type="dxa"/>
            <w:vMerge/>
          </w:tcPr>
          <w:p w14:paraId="7213BE05" w14:textId="77777777" w:rsidR="00FD7BCA" w:rsidRPr="00FD7BCA" w:rsidRDefault="00FD7BCA" w:rsidP="00FD7BCA">
            <w:pPr>
              <w:ind w:left="0" w:right="0"/>
              <w:rPr>
                <w:sz w:val="18"/>
                <w:szCs w:val="18"/>
              </w:rPr>
            </w:pPr>
          </w:p>
        </w:tc>
        <w:tc>
          <w:tcPr>
            <w:tcW w:w="1360" w:type="dxa"/>
          </w:tcPr>
          <w:p w14:paraId="7A6DC2DE" w14:textId="77777777" w:rsidR="00FD7BCA" w:rsidRPr="00FD7BCA" w:rsidRDefault="00FD7BCA" w:rsidP="00FD7BCA">
            <w:pPr>
              <w:ind w:left="0" w:right="0"/>
              <w:rPr>
                <w:sz w:val="18"/>
                <w:szCs w:val="18"/>
              </w:rPr>
            </w:pPr>
            <w:r w:rsidRPr="00FD7BCA">
              <w:rPr>
                <w:sz w:val="18"/>
                <w:szCs w:val="18"/>
              </w:rPr>
              <w:t>1000</w:t>
            </w:r>
          </w:p>
        </w:tc>
        <w:tc>
          <w:tcPr>
            <w:tcW w:w="1362" w:type="dxa"/>
            <w:gridSpan w:val="3"/>
          </w:tcPr>
          <w:p w14:paraId="5FD9C4FE" w14:textId="77777777" w:rsidR="00FD7BCA" w:rsidRPr="00FD7BCA" w:rsidRDefault="00FD7BCA" w:rsidP="00FD7BCA">
            <w:pPr>
              <w:ind w:left="0" w:right="0"/>
              <w:rPr>
                <w:sz w:val="18"/>
                <w:szCs w:val="18"/>
              </w:rPr>
            </w:pPr>
            <w:r w:rsidRPr="00FD7BCA">
              <w:rPr>
                <w:sz w:val="18"/>
                <w:szCs w:val="18"/>
              </w:rPr>
              <w:t>3595</w:t>
            </w:r>
          </w:p>
        </w:tc>
        <w:tc>
          <w:tcPr>
            <w:tcW w:w="1268" w:type="dxa"/>
            <w:gridSpan w:val="2"/>
          </w:tcPr>
          <w:p w14:paraId="40673856" w14:textId="77777777" w:rsidR="00FD7BCA" w:rsidRPr="00FD7BCA" w:rsidRDefault="00FD7BCA" w:rsidP="00FD7BCA">
            <w:pPr>
              <w:ind w:left="0" w:right="0"/>
              <w:rPr>
                <w:sz w:val="18"/>
                <w:szCs w:val="18"/>
              </w:rPr>
            </w:pPr>
            <w:r w:rsidRPr="00FD7BCA">
              <w:rPr>
                <w:sz w:val="18"/>
                <w:szCs w:val="18"/>
              </w:rPr>
              <w:t>9.1</w:t>
            </w:r>
          </w:p>
        </w:tc>
        <w:tc>
          <w:tcPr>
            <w:tcW w:w="1021" w:type="dxa"/>
          </w:tcPr>
          <w:p w14:paraId="52E922F1" w14:textId="77777777" w:rsidR="00FD7BCA" w:rsidRPr="00FD7BCA" w:rsidRDefault="00FD7BCA" w:rsidP="00FD7BCA">
            <w:pPr>
              <w:ind w:left="0" w:right="0"/>
              <w:rPr>
                <w:sz w:val="18"/>
                <w:szCs w:val="18"/>
              </w:rPr>
            </w:pPr>
            <w:r w:rsidRPr="00FD7BCA">
              <w:rPr>
                <w:sz w:val="18"/>
                <w:szCs w:val="18"/>
              </w:rPr>
              <w:t>–</w:t>
            </w:r>
          </w:p>
        </w:tc>
        <w:tc>
          <w:tcPr>
            <w:tcW w:w="916" w:type="dxa"/>
          </w:tcPr>
          <w:p w14:paraId="54EE6060" w14:textId="77777777" w:rsidR="00FD7BCA" w:rsidRPr="00FD7BCA" w:rsidRDefault="00FD7BCA" w:rsidP="00FD7BCA">
            <w:pPr>
              <w:ind w:left="0" w:right="0"/>
              <w:rPr>
                <w:sz w:val="18"/>
                <w:szCs w:val="18"/>
              </w:rPr>
            </w:pPr>
            <w:r w:rsidRPr="00FD7BCA">
              <w:rPr>
                <w:sz w:val="18"/>
                <w:szCs w:val="18"/>
              </w:rPr>
              <w:t>–</w:t>
            </w:r>
          </w:p>
        </w:tc>
      </w:tr>
      <w:tr w:rsidR="00FD7BCA" w:rsidRPr="00FD7BCA" w14:paraId="78D33195" w14:textId="77777777" w:rsidTr="00782417">
        <w:trPr>
          <w:trHeight w:val="330"/>
        </w:trPr>
        <w:tc>
          <w:tcPr>
            <w:tcW w:w="1101" w:type="dxa"/>
            <w:vMerge/>
          </w:tcPr>
          <w:p w14:paraId="4BA80286" w14:textId="77777777" w:rsidR="00FD7BCA" w:rsidRPr="00FD7BCA" w:rsidRDefault="00FD7BCA" w:rsidP="00FD7BCA">
            <w:pPr>
              <w:ind w:left="0" w:right="0"/>
              <w:rPr>
                <w:sz w:val="18"/>
                <w:szCs w:val="18"/>
              </w:rPr>
            </w:pPr>
          </w:p>
        </w:tc>
        <w:tc>
          <w:tcPr>
            <w:tcW w:w="1772" w:type="dxa"/>
            <w:vMerge/>
          </w:tcPr>
          <w:p w14:paraId="07759B1C" w14:textId="77777777" w:rsidR="00FD7BCA" w:rsidRPr="00FD7BCA" w:rsidRDefault="00FD7BCA" w:rsidP="00FD7BCA">
            <w:pPr>
              <w:ind w:left="0" w:right="0"/>
              <w:rPr>
                <w:sz w:val="18"/>
                <w:szCs w:val="18"/>
              </w:rPr>
            </w:pPr>
          </w:p>
        </w:tc>
        <w:tc>
          <w:tcPr>
            <w:tcW w:w="1360" w:type="dxa"/>
          </w:tcPr>
          <w:p w14:paraId="45CC3F23" w14:textId="77777777" w:rsidR="00FD7BCA" w:rsidRPr="00FD7BCA" w:rsidRDefault="00FD7BCA" w:rsidP="00FD7BCA">
            <w:pPr>
              <w:ind w:left="0" w:right="0"/>
              <w:rPr>
                <w:sz w:val="18"/>
                <w:szCs w:val="18"/>
              </w:rPr>
            </w:pPr>
            <w:r w:rsidRPr="00FD7BCA">
              <w:rPr>
                <w:sz w:val="18"/>
                <w:szCs w:val="18"/>
              </w:rPr>
              <w:t>2000</w:t>
            </w:r>
          </w:p>
        </w:tc>
        <w:tc>
          <w:tcPr>
            <w:tcW w:w="1362" w:type="dxa"/>
            <w:gridSpan w:val="3"/>
          </w:tcPr>
          <w:p w14:paraId="479F03DF" w14:textId="77777777" w:rsidR="00FD7BCA" w:rsidRPr="00FD7BCA" w:rsidRDefault="00FD7BCA" w:rsidP="00FD7BCA">
            <w:pPr>
              <w:ind w:left="0" w:right="0"/>
              <w:rPr>
                <w:sz w:val="18"/>
                <w:szCs w:val="18"/>
              </w:rPr>
            </w:pPr>
            <w:r w:rsidRPr="00FD7BCA">
              <w:rPr>
                <w:sz w:val="18"/>
                <w:szCs w:val="18"/>
              </w:rPr>
              <w:t>4445</w:t>
            </w:r>
          </w:p>
        </w:tc>
        <w:tc>
          <w:tcPr>
            <w:tcW w:w="1268" w:type="dxa"/>
            <w:gridSpan w:val="2"/>
          </w:tcPr>
          <w:p w14:paraId="3A6459E7" w14:textId="77777777" w:rsidR="00FD7BCA" w:rsidRPr="00FD7BCA" w:rsidRDefault="00FD7BCA" w:rsidP="00FD7BCA">
            <w:pPr>
              <w:ind w:left="0" w:right="0"/>
              <w:rPr>
                <w:sz w:val="18"/>
                <w:szCs w:val="18"/>
              </w:rPr>
            </w:pPr>
            <w:r w:rsidRPr="00FD7BCA">
              <w:rPr>
                <w:sz w:val="18"/>
                <w:szCs w:val="18"/>
              </w:rPr>
              <w:t>11.2</w:t>
            </w:r>
          </w:p>
        </w:tc>
        <w:tc>
          <w:tcPr>
            <w:tcW w:w="1021" w:type="dxa"/>
          </w:tcPr>
          <w:p w14:paraId="36D9CF3B" w14:textId="77777777" w:rsidR="00FD7BCA" w:rsidRPr="00FD7BCA" w:rsidRDefault="00FD7BCA" w:rsidP="00FD7BCA">
            <w:pPr>
              <w:ind w:left="0" w:right="0"/>
              <w:rPr>
                <w:sz w:val="18"/>
                <w:szCs w:val="18"/>
              </w:rPr>
            </w:pPr>
            <w:r w:rsidRPr="00FD7BCA">
              <w:rPr>
                <w:sz w:val="18"/>
                <w:szCs w:val="18"/>
              </w:rPr>
              <w:t>–</w:t>
            </w:r>
          </w:p>
        </w:tc>
        <w:tc>
          <w:tcPr>
            <w:tcW w:w="916" w:type="dxa"/>
          </w:tcPr>
          <w:p w14:paraId="5CEFDBE1" w14:textId="77777777" w:rsidR="00FD7BCA" w:rsidRPr="00FD7BCA" w:rsidRDefault="00FD7BCA" w:rsidP="00FD7BCA">
            <w:pPr>
              <w:ind w:left="0" w:right="0"/>
              <w:rPr>
                <w:sz w:val="18"/>
                <w:szCs w:val="18"/>
              </w:rPr>
            </w:pPr>
            <w:r w:rsidRPr="00FD7BCA">
              <w:rPr>
                <w:sz w:val="18"/>
                <w:szCs w:val="18"/>
              </w:rPr>
              <w:t>–</w:t>
            </w:r>
          </w:p>
        </w:tc>
      </w:tr>
      <w:tr w:rsidR="00FD7BCA" w:rsidRPr="00FD7BCA" w14:paraId="68DF19C8" w14:textId="77777777" w:rsidTr="00782417">
        <w:trPr>
          <w:trHeight w:val="330"/>
        </w:trPr>
        <w:tc>
          <w:tcPr>
            <w:tcW w:w="1101" w:type="dxa"/>
            <w:vMerge/>
          </w:tcPr>
          <w:p w14:paraId="59222214" w14:textId="77777777" w:rsidR="00FD7BCA" w:rsidRPr="00FD7BCA" w:rsidRDefault="00FD7BCA" w:rsidP="00FD7BCA">
            <w:pPr>
              <w:ind w:left="0" w:right="0"/>
              <w:rPr>
                <w:sz w:val="18"/>
                <w:szCs w:val="18"/>
              </w:rPr>
            </w:pPr>
          </w:p>
        </w:tc>
        <w:tc>
          <w:tcPr>
            <w:tcW w:w="1772" w:type="dxa"/>
            <w:vMerge w:val="restart"/>
          </w:tcPr>
          <w:p w14:paraId="0D824A56" w14:textId="77777777" w:rsidR="00FD7BCA" w:rsidRPr="00FD7BCA" w:rsidRDefault="00FD7BCA" w:rsidP="00FD7BCA">
            <w:pPr>
              <w:ind w:left="0" w:right="0"/>
              <w:rPr>
                <w:sz w:val="18"/>
                <w:szCs w:val="18"/>
              </w:rPr>
            </w:pPr>
            <w:r w:rsidRPr="00FD7BCA">
              <w:rPr>
                <w:sz w:val="18"/>
                <w:szCs w:val="18"/>
              </w:rPr>
              <w:t>3 months</w:t>
            </w:r>
          </w:p>
          <w:p w14:paraId="5A6A7C63" w14:textId="77777777" w:rsidR="00FD7BCA" w:rsidRPr="00FD7BCA" w:rsidRDefault="00026051" w:rsidP="00FD7BCA">
            <w:pPr>
              <w:ind w:left="0" w:right="0"/>
              <w:rPr>
                <w:sz w:val="18"/>
                <w:szCs w:val="18"/>
              </w:rPr>
            </w:pPr>
            <w:r>
              <w:rPr>
                <w:sz w:val="18"/>
                <w:szCs w:val="18"/>
              </w:rPr>
              <w:t>(</w:t>
            </w:r>
            <w:r w:rsidR="00FD7BCA" w:rsidRPr="00FD7BCA">
              <w:rPr>
                <w:sz w:val="18"/>
                <w:szCs w:val="18"/>
              </w:rPr>
              <w:t>pivotal combination; Study VX-809-TX-013</w:t>
            </w:r>
            <w:r>
              <w:rPr>
                <w:sz w:val="18"/>
                <w:szCs w:val="18"/>
              </w:rPr>
              <w:t>)</w:t>
            </w:r>
          </w:p>
        </w:tc>
        <w:tc>
          <w:tcPr>
            <w:tcW w:w="1360" w:type="dxa"/>
          </w:tcPr>
          <w:p w14:paraId="4232D62E" w14:textId="77777777" w:rsidR="00FD7BCA" w:rsidRPr="00FD7BCA" w:rsidRDefault="00FD7BCA" w:rsidP="00FD7BCA">
            <w:pPr>
              <w:ind w:left="0" w:right="0"/>
              <w:rPr>
                <w:sz w:val="18"/>
                <w:szCs w:val="18"/>
              </w:rPr>
            </w:pPr>
            <w:r w:rsidRPr="00FD7BCA">
              <w:rPr>
                <w:sz w:val="18"/>
                <w:szCs w:val="18"/>
              </w:rPr>
              <w:t>500 L</w:t>
            </w:r>
            <w:r w:rsidRPr="002760E1">
              <w:rPr>
                <w:sz w:val="18"/>
                <w:szCs w:val="18"/>
                <w:vertAlign w:val="superscript"/>
              </w:rPr>
              <w:t>a</w:t>
            </w:r>
            <w:r w:rsidRPr="00FD7BCA">
              <w:rPr>
                <w:sz w:val="18"/>
                <w:szCs w:val="18"/>
              </w:rPr>
              <w:t xml:space="preserve"> + 10 I</w:t>
            </w:r>
          </w:p>
        </w:tc>
        <w:tc>
          <w:tcPr>
            <w:tcW w:w="1362" w:type="dxa"/>
            <w:gridSpan w:val="3"/>
          </w:tcPr>
          <w:p w14:paraId="334F71FC" w14:textId="77777777" w:rsidR="00FD7BCA" w:rsidRPr="00FD7BCA" w:rsidRDefault="00FD7BCA" w:rsidP="00FD7BCA">
            <w:pPr>
              <w:ind w:left="0" w:right="0"/>
              <w:rPr>
                <w:sz w:val="18"/>
                <w:szCs w:val="18"/>
              </w:rPr>
            </w:pPr>
            <w:r w:rsidRPr="00FD7BCA">
              <w:rPr>
                <w:sz w:val="18"/>
                <w:szCs w:val="18"/>
              </w:rPr>
              <w:t>2710</w:t>
            </w:r>
          </w:p>
        </w:tc>
        <w:tc>
          <w:tcPr>
            <w:tcW w:w="1268" w:type="dxa"/>
            <w:gridSpan w:val="2"/>
          </w:tcPr>
          <w:p w14:paraId="09D4B122" w14:textId="77777777" w:rsidR="00FD7BCA" w:rsidRPr="00FD7BCA" w:rsidRDefault="00FD7BCA" w:rsidP="00FD7BCA">
            <w:pPr>
              <w:ind w:left="0" w:right="0"/>
              <w:rPr>
                <w:sz w:val="18"/>
                <w:szCs w:val="18"/>
              </w:rPr>
            </w:pPr>
            <w:r w:rsidRPr="00FD7BCA">
              <w:rPr>
                <w:sz w:val="18"/>
                <w:szCs w:val="18"/>
              </w:rPr>
              <w:t>6.8</w:t>
            </w:r>
          </w:p>
        </w:tc>
        <w:tc>
          <w:tcPr>
            <w:tcW w:w="1021" w:type="dxa"/>
          </w:tcPr>
          <w:p w14:paraId="3F9C1DFF" w14:textId="77777777" w:rsidR="00FD7BCA" w:rsidRPr="00FD7BCA" w:rsidRDefault="00FD7BCA" w:rsidP="00FD7BCA">
            <w:pPr>
              <w:ind w:left="0" w:right="0"/>
              <w:rPr>
                <w:sz w:val="18"/>
                <w:szCs w:val="18"/>
              </w:rPr>
            </w:pPr>
            <w:r w:rsidRPr="00FD7BCA">
              <w:rPr>
                <w:sz w:val="18"/>
                <w:szCs w:val="18"/>
              </w:rPr>
              <w:t>43</w:t>
            </w:r>
          </w:p>
        </w:tc>
        <w:tc>
          <w:tcPr>
            <w:tcW w:w="916" w:type="dxa"/>
          </w:tcPr>
          <w:p w14:paraId="6337A5C3" w14:textId="77777777" w:rsidR="00FD7BCA" w:rsidRPr="00FD7BCA" w:rsidRDefault="00FD7BCA" w:rsidP="00FD7BCA">
            <w:pPr>
              <w:ind w:left="0" w:right="0"/>
              <w:rPr>
                <w:sz w:val="18"/>
                <w:szCs w:val="18"/>
              </w:rPr>
            </w:pPr>
            <w:r w:rsidRPr="00FD7BCA">
              <w:rPr>
                <w:sz w:val="18"/>
                <w:szCs w:val="18"/>
              </w:rPr>
              <w:t>5.9</w:t>
            </w:r>
          </w:p>
        </w:tc>
      </w:tr>
      <w:tr w:rsidR="00FD7BCA" w:rsidRPr="00FD7BCA" w14:paraId="79F1B336" w14:textId="77777777" w:rsidTr="00782417">
        <w:trPr>
          <w:trHeight w:val="330"/>
        </w:trPr>
        <w:tc>
          <w:tcPr>
            <w:tcW w:w="1101" w:type="dxa"/>
            <w:vMerge/>
          </w:tcPr>
          <w:p w14:paraId="51ECF5BB" w14:textId="77777777" w:rsidR="00FD7BCA" w:rsidRPr="00FD7BCA" w:rsidRDefault="00FD7BCA" w:rsidP="00FD7BCA">
            <w:pPr>
              <w:ind w:left="0" w:right="0"/>
              <w:rPr>
                <w:sz w:val="18"/>
                <w:szCs w:val="18"/>
              </w:rPr>
            </w:pPr>
          </w:p>
        </w:tc>
        <w:tc>
          <w:tcPr>
            <w:tcW w:w="1772" w:type="dxa"/>
            <w:vMerge/>
          </w:tcPr>
          <w:p w14:paraId="0A9BEC3D" w14:textId="77777777" w:rsidR="00FD7BCA" w:rsidRPr="00FD7BCA" w:rsidRDefault="00FD7BCA" w:rsidP="00FD7BCA">
            <w:pPr>
              <w:ind w:left="0" w:right="0"/>
              <w:rPr>
                <w:sz w:val="18"/>
                <w:szCs w:val="18"/>
              </w:rPr>
            </w:pPr>
          </w:p>
        </w:tc>
        <w:tc>
          <w:tcPr>
            <w:tcW w:w="1360" w:type="dxa"/>
          </w:tcPr>
          <w:p w14:paraId="1AC2A9D1" w14:textId="77777777" w:rsidR="00FD7BCA" w:rsidRPr="00FD7BCA" w:rsidRDefault="00FD7BCA" w:rsidP="00FD7BCA">
            <w:pPr>
              <w:ind w:left="0" w:right="0"/>
              <w:rPr>
                <w:sz w:val="18"/>
                <w:szCs w:val="18"/>
              </w:rPr>
            </w:pPr>
            <w:r w:rsidRPr="00FD7BCA">
              <w:rPr>
                <w:sz w:val="18"/>
                <w:szCs w:val="18"/>
              </w:rPr>
              <w:t>500 L</w:t>
            </w:r>
            <w:r w:rsidRPr="002760E1">
              <w:rPr>
                <w:sz w:val="18"/>
                <w:szCs w:val="18"/>
                <w:vertAlign w:val="superscript"/>
              </w:rPr>
              <w:t>a</w:t>
            </w:r>
            <w:r w:rsidRPr="00FD7BCA">
              <w:rPr>
                <w:sz w:val="18"/>
                <w:szCs w:val="18"/>
              </w:rPr>
              <w:t xml:space="preserve"> + 25 I</w:t>
            </w:r>
          </w:p>
        </w:tc>
        <w:tc>
          <w:tcPr>
            <w:tcW w:w="1362" w:type="dxa"/>
            <w:gridSpan w:val="3"/>
          </w:tcPr>
          <w:p w14:paraId="38F97F9B" w14:textId="77777777" w:rsidR="00FD7BCA" w:rsidRPr="00FD7BCA" w:rsidRDefault="00FD7BCA" w:rsidP="00FD7BCA">
            <w:pPr>
              <w:ind w:left="0" w:right="0"/>
              <w:rPr>
                <w:sz w:val="18"/>
                <w:szCs w:val="18"/>
              </w:rPr>
            </w:pPr>
            <w:r w:rsidRPr="00FD7BCA">
              <w:rPr>
                <w:sz w:val="18"/>
                <w:szCs w:val="18"/>
              </w:rPr>
              <w:t>2645</w:t>
            </w:r>
          </w:p>
        </w:tc>
        <w:tc>
          <w:tcPr>
            <w:tcW w:w="1268" w:type="dxa"/>
            <w:gridSpan w:val="2"/>
          </w:tcPr>
          <w:p w14:paraId="56A13E7D" w14:textId="77777777" w:rsidR="00FD7BCA" w:rsidRPr="00FD7BCA" w:rsidRDefault="00FD7BCA" w:rsidP="00FD7BCA">
            <w:pPr>
              <w:ind w:left="0" w:right="0"/>
              <w:rPr>
                <w:sz w:val="18"/>
                <w:szCs w:val="18"/>
              </w:rPr>
            </w:pPr>
            <w:r w:rsidRPr="00FD7BCA">
              <w:rPr>
                <w:sz w:val="18"/>
                <w:szCs w:val="18"/>
              </w:rPr>
              <w:t>6.7</w:t>
            </w:r>
          </w:p>
        </w:tc>
        <w:tc>
          <w:tcPr>
            <w:tcW w:w="1021" w:type="dxa"/>
          </w:tcPr>
          <w:p w14:paraId="02E731CF" w14:textId="77777777" w:rsidR="00FD7BCA" w:rsidRPr="00FD7BCA" w:rsidRDefault="00FD7BCA" w:rsidP="00FD7BCA">
            <w:pPr>
              <w:ind w:left="0" w:right="0"/>
              <w:rPr>
                <w:sz w:val="18"/>
                <w:szCs w:val="18"/>
              </w:rPr>
            </w:pPr>
            <w:r w:rsidRPr="00FD7BCA">
              <w:rPr>
                <w:sz w:val="18"/>
                <w:szCs w:val="18"/>
              </w:rPr>
              <w:t>128</w:t>
            </w:r>
          </w:p>
        </w:tc>
        <w:tc>
          <w:tcPr>
            <w:tcW w:w="916" w:type="dxa"/>
          </w:tcPr>
          <w:p w14:paraId="7A6E70FE" w14:textId="77777777" w:rsidR="00FD7BCA" w:rsidRPr="00FD7BCA" w:rsidRDefault="00FD7BCA" w:rsidP="00FD7BCA">
            <w:pPr>
              <w:ind w:left="0" w:right="0"/>
              <w:rPr>
                <w:sz w:val="18"/>
                <w:szCs w:val="18"/>
              </w:rPr>
            </w:pPr>
            <w:r w:rsidRPr="00FD7BCA">
              <w:rPr>
                <w:sz w:val="18"/>
                <w:szCs w:val="18"/>
              </w:rPr>
              <w:t>17</w:t>
            </w:r>
          </w:p>
        </w:tc>
      </w:tr>
      <w:tr w:rsidR="00FD7BCA" w:rsidRPr="00FD7BCA" w14:paraId="3DC308A2" w14:textId="77777777" w:rsidTr="00782417">
        <w:trPr>
          <w:trHeight w:val="330"/>
        </w:trPr>
        <w:tc>
          <w:tcPr>
            <w:tcW w:w="1101" w:type="dxa"/>
            <w:vMerge/>
          </w:tcPr>
          <w:p w14:paraId="487527F6" w14:textId="77777777" w:rsidR="00FD7BCA" w:rsidRPr="00FD7BCA" w:rsidRDefault="00FD7BCA" w:rsidP="00FD7BCA">
            <w:pPr>
              <w:ind w:left="0" w:right="0"/>
              <w:rPr>
                <w:sz w:val="18"/>
                <w:szCs w:val="18"/>
              </w:rPr>
            </w:pPr>
          </w:p>
        </w:tc>
        <w:tc>
          <w:tcPr>
            <w:tcW w:w="1772" w:type="dxa"/>
            <w:vMerge/>
          </w:tcPr>
          <w:p w14:paraId="518AE042" w14:textId="77777777" w:rsidR="00FD7BCA" w:rsidRPr="00FD7BCA" w:rsidRDefault="00FD7BCA" w:rsidP="00FD7BCA">
            <w:pPr>
              <w:ind w:left="0" w:right="0"/>
              <w:rPr>
                <w:sz w:val="18"/>
                <w:szCs w:val="18"/>
              </w:rPr>
            </w:pPr>
          </w:p>
        </w:tc>
        <w:tc>
          <w:tcPr>
            <w:tcW w:w="1360" w:type="dxa"/>
          </w:tcPr>
          <w:p w14:paraId="57CA2049" w14:textId="77777777" w:rsidR="00FD7BCA" w:rsidRPr="00FD7BCA" w:rsidRDefault="00FD7BCA" w:rsidP="00FD7BCA">
            <w:pPr>
              <w:ind w:left="0" w:right="0"/>
              <w:rPr>
                <w:sz w:val="18"/>
                <w:szCs w:val="18"/>
              </w:rPr>
            </w:pPr>
            <w:r w:rsidRPr="00FD7BCA">
              <w:rPr>
                <w:sz w:val="18"/>
                <w:szCs w:val="18"/>
              </w:rPr>
              <w:t>1000 L</w:t>
            </w:r>
            <w:r w:rsidRPr="002760E1">
              <w:rPr>
                <w:sz w:val="18"/>
                <w:szCs w:val="18"/>
                <w:vertAlign w:val="superscript"/>
              </w:rPr>
              <w:t>b</w:t>
            </w:r>
            <w:r w:rsidRPr="00FD7BCA">
              <w:rPr>
                <w:sz w:val="18"/>
                <w:szCs w:val="18"/>
              </w:rPr>
              <w:t xml:space="preserve"> + 25 I</w:t>
            </w:r>
          </w:p>
        </w:tc>
        <w:tc>
          <w:tcPr>
            <w:tcW w:w="1362" w:type="dxa"/>
            <w:gridSpan w:val="3"/>
          </w:tcPr>
          <w:p w14:paraId="00458856" w14:textId="77777777" w:rsidR="00FD7BCA" w:rsidRPr="00FD7BCA" w:rsidRDefault="00FD7BCA" w:rsidP="00FD7BCA">
            <w:pPr>
              <w:ind w:left="0" w:right="0"/>
              <w:rPr>
                <w:sz w:val="18"/>
                <w:szCs w:val="18"/>
              </w:rPr>
            </w:pPr>
            <w:r w:rsidRPr="00FD7BCA">
              <w:rPr>
                <w:sz w:val="18"/>
                <w:szCs w:val="18"/>
              </w:rPr>
              <w:t>2775</w:t>
            </w:r>
          </w:p>
        </w:tc>
        <w:tc>
          <w:tcPr>
            <w:tcW w:w="1268" w:type="dxa"/>
            <w:gridSpan w:val="2"/>
          </w:tcPr>
          <w:p w14:paraId="068BE95E" w14:textId="77777777" w:rsidR="00FD7BCA" w:rsidRPr="00FD7BCA" w:rsidRDefault="00FD7BCA" w:rsidP="00FD7BCA">
            <w:pPr>
              <w:ind w:left="0" w:right="0"/>
              <w:rPr>
                <w:sz w:val="18"/>
                <w:szCs w:val="18"/>
              </w:rPr>
            </w:pPr>
            <w:r w:rsidRPr="00FD7BCA">
              <w:rPr>
                <w:sz w:val="18"/>
                <w:szCs w:val="18"/>
              </w:rPr>
              <w:t>7.0</w:t>
            </w:r>
          </w:p>
        </w:tc>
        <w:tc>
          <w:tcPr>
            <w:tcW w:w="1021" w:type="dxa"/>
          </w:tcPr>
          <w:p w14:paraId="40846F60" w14:textId="77777777" w:rsidR="00FD7BCA" w:rsidRPr="00FD7BCA" w:rsidRDefault="00FD7BCA" w:rsidP="00FD7BCA">
            <w:pPr>
              <w:ind w:left="0" w:right="0"/>
              <w:rPr>
                <w:sz w:val="18"/>
                <w:szCs w:val="18"/>
              </w:rPr>
            </w:pPr>
            <w:r w:rsidRPr="00FD7BCA">
              <w:rPr>
                <w:sz w:val="18"/>
                <w:szCs w:val="18"/>
              </w:rPr>
              <w:t>136</w:t>
            </w:r>
          </w:p>
        </w:tc>
        <w:tc>
          <w:tcPr>
            <w:tcW w:w="916" w:type="dxa"/>
          </w:tcPr>
          <w:p w14:paraId="33B18EE0" w14:textId="77777777" w:rsidR="00FD7BCA" w:rsidRPr="00FD7BCA" w:rsidRDefault="00FD7BCA" w:rsidP="00FD7BCA">
            <w:pPr>
              <w:ind w:left="0" w:right="0"/>
              <w:rPr>
                <w:sz w:val="18"/>
                <w:szCs w:val="18"/>
              </w:rPr>
            </w:pPr>
            <w:r w:rsidRPr="00FD7BCA">
              <w:rPr>
                <w:sz w:val="18"/>
                <w:szCs w:val="18"/>
              </w:rPr>
              <w:t>19</w:t>
            </w:r>
          </w:p>
        </w:tc>
      </w:tr>
      <w:tr w:rsidR="00FD7BCA" w:rsidRPr="00FD7BCA" w14:paraId="32EE7927" w14:textId="77777777" w:rsidTr="00782417">
        <w:trPr>
          <w:trHeight w:val="330"/>
        </w:trPr>
        <w:tc>
          <w:tcPr>
            <w:tcW w:w="1101" w:type="dxa"/>
            <w:vMerge/>
          </w:tcPr>
          <w:p w14:paraId="7E2EFFD8" w14:textId="77777777" w:rsidR="00FD7BCA" w:rsidRPr="00FD7BCA" w:rsidRDefault="00FD7BCA" w:rsidP="00FD7BCA">
            <w:pPr>
              <w:ind w:left="0" w:right="0"/>
              <w:rPr>
                <w:sz w:val="18"/>
                <w:szCs w:val="18"/>
              </w:rPr>
            </w:pPr>
          </w:p>
        </w:tc>
        <w:tc>
          <w:tcPr>
            <w:tcW w:w="1772" w:type="dxa"/>
            <w:vMerge/>
          </w:tcPr>
          <w:p w14:paraId="6C1A0F3B" w14:textId="77777777" w:rsidR="00FD7BCA" w:rsidRPr="00FD7BCA" w:rsidRDefault="00FD7BCA" w:rsidP="00FD7BCA">
            <w:pPr>
              <w:ind w:left="0" w:right="0"/>
              <w:rPr>
                <w:sz w:val="18"/>
                <w:szCs w:val="18"/>
              </w:rPr>
            </w:pPr>
          </w:p>
        </w:tc>
        <w:tc>
          <w:tcPr>
            <w:tcW w:w="1360" w:type="dxa"/>
          </w:tcPr>
          <w:p w14:paraId="3EC73DC0" w14:textId="77777777" w:rsidR="00FD7BCA" w:rsidRPr="00FD7BCA" w:rsidRDefault="00FD7BCA" w:rsidP="00FD7BCA">
            <w:pPr>
              <w:ind w:left="0" w:right="0"/>
              <w:rPr>
                <w:sz w:val="18"/>
                <w:szCs w:val="18"/>
              </w:rPr>
            </w:pPr>
            <w:r w:rsidRPr="00FD7BCA">
              <w:rPr>
                <w:sz w:val="18"/>
                <w:szCs w:val="18"/>
              </w:rPr>
              <w:t>1000 L</w:t>
            </w:r>
            <w:r w:rsidRPr="002760E1">
              <w:rPr>
                <w:sz w:val="18"/>
                <w:szCs w:val="18"/>
                <w:vertAlign w:val="superscript"/>
              </w:rPr>
              <w:t>b</w:t>
            </w:r>
            <w:r w:rsidRPr="00FD7BCA">
              <w:rPr>
                <w:sz w:val="18"/>
                <w:szCs w:val="18"/>
              </w:rPr>
              <w:t xml:space="preserve"> + 100 I</w:t>
            </w:r>
          </w:p>
        </w:tc>
        <w:tc>
          <w:tcPr>
            <w:tcW w:w="1362" w:type="dxa"/>
            <w:gridSpan w:val="3"/>
          </w:tcPr>
          <w:p w14:paraId="7C98B734" w14:textId="77777777" w:rsidR="00FD7BCA" w:rsidRPr="00FD7BCA" w:rsidRDefault="00FD7BCA" w:rsidP="00FD7BCA">
            <w:pPr>
              <w:ind w:left="0" w:right="0"/>
              <w:rPr>
                <w:sz w:val="18"/>
                <w:szCs w:val="18"/>
              </w:rPr>
            </w:pPr>
            <w:r w:rsidRPr="00FD7BCA">
              <w:rPr>
                <w:sz w:val="18"/>
                <w:szCs w:val="18"/>
              </w:rPr>
              <w:t>2720</w:t>
            </w:r>
          </w:p>
        </w:tc>
        <w:tc>
          <w:tcPr>
            <w:tcW w:w="1268" w:type="dxa"/>
            <w:gridSpan w:val="2"/>
          </w:tcPr>
          <w:p w14:paraId="09B93889" w14:textId="77777777" w:rsidR="00FD7BCA" w:rsidRPr="00FD7BCA" w:rsidRDefault="00FD7BCA" w:rsidP="00FD7BCA">
            <w:pPr>
              <w:ind w:left="0" w:right="0"/>
              <w:rPr>
                <w:sz w:val="18"/>
                <w:szCs w:val="18"/>
              </w:rPr>
            </w:pPr>
            <w:r w:rsidRPr="00FD7BCA">
              <w:rPr>
                <w:sz w:val="18"/>
                <w:szCs w:val="18"/>
              </w:rPr>
              <w:t>6.9</w:t>
            </w:r>
          </w:p>
        </w:tc>
        <w:tc>
          <w:tcPr>
            <w:tcW w:w="1021" w:type="dxa"/>
          </w:tcPr>
          <w:p w14:paraId="21BA8FF3" w14:textId="77777777" w:rsidR="00FD7BCA" w:rsidRPr="00FD7BCA" w:rsidRDefault="00FD7BCA" w:rsidP="00FD7BCA">
            <w:pPr>
              <w:ind w:left="0" w:right="0"/>
              <w:rPr>
                <w:sz w:val="18"/>
                <w:szCs w:val="18"/>
              </w:rPr>
            </w:pPr>
            <w:r w:rsidRPr="00FD7BCA">
              <w:rPr>
                <w:sz w:val="18"/>
                <w:szCs w:val="18"/>
              </w:rPr>
              <w:t>475</w:t>
            </w:r>
          </w:p>
        </w:tc>
        <w:tc>
          <w:tcPr>
            <w:tcW w:w="916" w:type="dxa"/>
          </w:tcPr>
          <w:p w14:paraId="0D312F41" w14:textId="77777777" w:rsidR="00FD7BCA" w:rsidRPr="00FD7BCA" w:rsidRDefault="00FD7BCA" w:rsidP="00FD7BCA">
            <w:pPr>
              <w:ind w:left="0" w:right="0"/>
              <w:rPr>
                <w:sz w:val="18"/>
                <w:szCs w:val="18"/>
              </w:rPr>
            </w:pPr>
            <w:r w:rsidRPr="00FD7BCA">
              <w:rPr>
                <w:sz w:val="18"/>
                <w:szCs w:val="18"/>
              </w:rPr>
              <w:t>65</w:t>
            </w:r>
          </w:p>
        </w:tc>
      </w:tr>
      <w:tr w:rsidR="00FD7BCA" w:rsidRPr="00FD7BCA" w14:paraId="4F63F113" w14:textId="77777777" w:rsidTr="00782417">
        <w:trPr>
          <w:trHeight w:val="330"/>
        </w:trPr>
        <w:tc>
          <w:tcPr>
            <w:tcW w:w="1101" w:type="dxa"/>
            <w:vMerge/>
          </w:tcPr>
          <w:p w14:paraId="01AA8AEA" w14:textId="77777777" w:rsidR="00FD7BCA" w:rsidRPr="00FD7BCA" w:rsidRDefault="00FD7BCA" w:rsidP="00FD7BCA">
            <w:pPr>
              <w:ind w:left="0" w:right="0"/>
              <w:rPr>
                <w:sz w:val="18"/>
                <w:szCs w:val="18"/>
              </w:rPr>
            </w:pPr>
          </w:p>
        </w:tc>
        <w:tc>
          <w:tcPr>
            <w:tcW w:w="1772" w:type="dxa"/>
            <w:vMerge w:val="restart"/>
          </w:tcPr>
          <w:p w14:paraId="069FD9E6" w14:textId="77777777" w:rsidR="00FD7BCA" w:rsidRPr="00FD7BCA" w:rsidRDefault="00FD7BCA" w:rsidP="00FD7BCA">
            <w:pPr>
              <w:ind w:left="0" w:right="0"/>
              <w:rPr>
                <w:sz w:val="18"/>
                <w:szCs w:val="18"/>
              </w:rPr>
            </w:pPr>
            <w:r w:rsidRPr="00FD7BCA">
              <w:rPr>
                <w:sz w:val="18"/>
                <w:szCs w:val="18"/>
              </w:rPr>
              <w:t>6 months</w:t>
            </w:r>
          </w:p>
          <w:p w14:paraId="3D770A73" w14:textId="77777777" w:rsidR="00FD7BCA" w:rsidRPr="00FD7BCA" w:rsidRDefault="00026051" w:rsidP="00FD7BCA">
            <w:pPr>
              <w:ind w:left="0" w:right="0"/>
              <w:rPr>
                <w:sz w:val="18"/>
                <w:szCs w:val="18"/>
              </w:rPr>
            </w:pPr>
            <w:r>
              <w:rPr>
                <w:sz w:val="18"/>
                <w:szCs w:val="18"/>
              </w:rPr>
              <w:t>(</w:t>
            </w:r>
            <w:r w:rsidR="008B5A3E">
              <w:rPr>
                <w:sz w:val="18"/>
                <w:szCs w:val="18"/>
              </w:rPr>
              <w:t xml:space="preserve">pivotal lumacaftor; </w:t>
            </w:r>
            <w:r w:rsidR="00FD7BCA" w:rsidRPr="00FD7BCA">
              <w:rPr>
                <w:sz w:val="18"/>
                <w:szCs w:val="18"/>
              </w:rPr>
              <w:t>Study VX-809-TX-012</w:t>
            </w:r>
            <w:r>
              <w:rPr>
                <w:sz w:val="18"/>
                <w:szCs w:val="18"/>
              </w:rPr>
              <w:t>)</w:t>
            </w:r>
          </w:p>
        </w:tc>
        <w:tc>
          <w:tcPr>
            <w:tcW w:w="1360" w:type="dxa"/>
          </w:tcPr>
          <w:p w14:paraId="1AD8A999" w14:textId="77777777" w:rsidR="00FD7BCA" w:rsidRPr="00FD7BCA" w:rsidRDefault="00FD7BCA" w:rsidP="00FD7BCA">
            <w:pPr>
              <w:ind w:left="0" w:right="0"/>
              <w:rPr>
                <w:sz w:val="18"/>
                <w:szCs w:val="18"/>
              </w:rPr>
            </w:pPr>
            <w:r w:rsidRPr="00FD7BCA">
              <w:rPr>
                <w:sz w:val="18"/>
                <w:szCs w:val="18"/>
              </w:rPr>
              <w:t>250</w:t>
            </w:r>
            <w:r w:rsidRPr="002760E1">
              <w:rPr>
                <w:sz w:val="18"/>
                <w:szCs w:val="18"/>
                <w:vertAlign w:val="superscript"/>
              </w:rPr>
              <w:t>c</w:t>
            </w:r>
          </w:p>
        </w:tc>
        <w:tc>
          <w:tcPr>
            <w:tcW w:w="681" w:type="dxa"/>
            <w:gridSpan w:val="2"/>
          </w:tcPr>
          <w:p w14:paraId="04EF163F" w14:textId="77777777" w:rsidR="00FD7BCA" w:rsidRPr="00FD7BCA" w:rsidRDefault="00FD7BCA" w:rsidP="00FD7BCA">
            <w:pPr>
              <w:ind w:left="0" w:right="0"/>
              <w:rPr>
                <w:sz w:val="18"/>
                <w:szCs w:val="18"/>
              </w:rPr>
            </w:pPr>
            <w:r w:rsidRPr="00FD7BCA">
              <w:rPr>
                <w:sz w:val="18"/>
                <w:szCs w:val="18"/>
              </w:rPr>
              <w:t>943</w:t>
            </w:r>
          </w:p>
        </w:tc>
        <w:tc>
          <w:tcPr>
            <w:tcW w:w="681" w:type="dxa"/>
          </w:tcPr>
          <w:p w14:paraId="6335232F" w14:textId="77777777" w:rsidR="00FD7BCA" w:rsidRPr="00FD7BCA" w:rsidRDefault="00FD7BCA" w:rsidP="00FD7BCA">
            <w:pPr>
              <w:ind w:left="0" w:right="0"/>
              <w:rPr>
                <w:sz w:val="18"/>
                <w:szCs w:val="18"/>
              </w:rPr>
            </w:pPr>
            <w:r w:rsidRPr="00FD7BCA">
              <w:rPr>
                <w:sz w:val="18"/>
                <w:szCs w:val="18"/>
              </w:rPr>
              <w:t>2150</w:t>
            </w:r>
          </w:p>
        </w:tc>
        <w:tc>
          <w:tcPr>
            <w:tcW w:w="632" w:type="dxa"/>
          </w:tcPr>
          <w:p w14:paraId="0893BA0A" w14:textId="77777777" w:rsidR="00FD7BCA" w:rsidRPr="00FD7BCA" w:rsidRDefault="00FD7BCA" w:rsidP="00FD7BCA">
            <w:pPr>
              <w:ind w:left="0" w:right="0"/>
              <w:rPr>
                <w:sz w:val="18"/>
                <w:szCs w:val="18"/>
              </w:rPr>
            </w:pPr>
            <w:r w:rsidRPr="00FD7BCA">
              <w:rPr>
                <w:sz w:val="18"/>
                <w:szCs w:val="18"/>
              </w:rPr>
              <w:t>2.4</w:t>
            </w:r>
          </w:p>
        </w:tc>
        <w:tc>
          <w:tcPr>
            <w:tcW w:w="636" w:type="dxa"/>
          </w:tcPr>
          <w:p w14:paraId="2654BDB1" w14:textId="77777777" w:rsidR="00FD7BCA" w:rsidRPr="00FD7BCA" w:rsidRDefault="00FD7BCA" w:rsidP="00FD7BCA">
            <w:pPr>
              <w:ind w:left="0" w:right="0"/>
              <w:rPr>
                <w:sz w:val="18"/>
                <w:szCs w:val="18"/>
              </w:rPr>
            </w:pPr>
            <w:r w:rsidRPr="00FD7BCA">
              <w:rPr>
                <w:sz w:val="18"/>
                <w:szCs w:val="18"/>
              </w:rPr>
              <w:t>5.4</w:t>
            </w:r>
          </w:p>
        </w:tc>
        <w:tc>
          <w:tcPr>
            <w:tcW w:w="1021" w:type="dxa"/>
          </w:tcPr>
          <w:p w14:paraId="1BFE01A6" w14:textId="77777777" w:rsidR="00FD7BCA" w:rsidRPr="00FD7BCA" w:rsidRDefault="00FD7BCA" w:rsidP="00FD7BCA">
            <w:pPr>
              <w:ind w:left="0" w:right="0"/>
              <w:rPr>
                <w:sz w:val="18"/>
                <w:szCs w:val="18"/>
              </w:rPr>
            </w:pPr>
            <w:r w:rsidRPr="00FD7BCA">
              <w:rPr>
                <w:sz w:val="18"/>
                <w:szCs w:val="18"/>
              </w:rPr>
              <w:t>–</w:t>
            </w:r>
          </w:p>
        </w:tc>
        <w:tc>
          <w:tcPr>
            <w:tcW w:w="916" w:type="dxa"/>
          </w:tcPr>
          <w:p w14:paraId="7A9208AE" w14:textId="77777777" w:rsidR="00FD7BCA" w:rsidRPr="00FD7BCA" w:rsidRDefault="00FD7BCA" w:rsidP="00FD7BCA">
            <w:pPr>
              <w:ind w:left="0" w:right="0"/>
              <w:rPr>
                <w:sz w:val="18"/>
                <w:szCs w:val="18"/>
              </w:rPr>
            </w:pPr>
            <w:r w:rsidRPr="00FD7BCA">
              <w:rPr>
                <w:sz w:val="18"/>
                <w:szCs w:val="18"/>
              </w:rPr>
              <w:t>–</w:t>
            </w:r>
          </w:p>
        </w:tc>
      </w:tr>
      <w:tr w:rsidR="00FD7BCA" w:rsidRPr="00FD7BCA" w14:paraId="636E98AE" w14:textId="77777777" w:rsidTr="00782417">
        <w:trPr>
          <w:trHeight w:val="330"/>
        </w:trPr>
        <w:tc>
          <w:tcPr>
            <w:tcW w:w="1101" w:type="dxa"/>
            <w:vMerge/>
          </w:tcPr>
          <w:p w14:paraId="4824351A" w14:textId="77777777" w:rsidR="00FD7BCA" w:rsidRPr="00FD7BCA" w:rsidRDefault="00FD7BCA" w:rsidP="00FD7BCA">
            <w:pPr>
              <w:ind w:left="0" w:right="0"/>
              <w:rPr>
                <w:sz w:val="18"/>
                <w:szCs w:val="18"/>
              </w:rPr>
            </w:pPr>
          </w:p>
        </w:tc>
        <w:tc>
          <w:tcPr>
            <w:tcW w:w="1772" w:type="dxa"/>
            <w:vMerge/>
          </w:tcPr>
          <w:p w14:paraId="30160010" w14:textId="77777777" w:rsidR="00FD7BCA" w:rsidRPr="00FD7BCA" w:rsidRDefault="00FD7BCA" w:rsidP="00FD7BCA">
            <w:pPr>
              <w:ind w:left="0" w:right="0"/>
              <w:rPr>
                <w:sz w:val="18"/>
                <w:szCs w:val="18"/>
              </w:rPr>
            </w:pPr>
          </w:p>
        </w:tc>
        <w:tc>
          <w:tcPr>
            <w:tcW w:w="1360" w:type="dxa"/>
          </w:tcPr>
          <w:p w14:paraId="570D2294" w14:textId="77777777" w:rsidR="00FD7BCA" w:rsidRPr="00FD7BCA" w:rsidRDefault="00FD7BCA" w:rsidP="00FD7BCA">
            <w:pPr>
              <w:ind w:left="0" w:right="0"/>
              <w:rPr>
                <w:sz w:val="18"/>
                <w:szCs w:val="18"/>
              </w:rPr>
            </w:pPr>
            <w:r w:rsidRPr="00FD7BCA">
              <w:rPr>
                <w:sz w:val="18"/>
                <w:szCs w:val="18"/>
              </w:rPr>
              <w:t>500</w:t>
            </w:r>
            <w:r w:rsidRPr="002760E1">
              <w:rPr>
                <w:sz w:val="18"/>
                <w:szCs w:val="18"/>
                <w:vertAlign w:val="superscript"/>
              </w:rPr>
              <w:t>c</w:t>
            </w:r>
          </w:p>
        </w:tc>
        <w:tc>
          <w:tcPr>
            <w:tcW w:w="681" w:type="dxa"/>
            <w:gridSpan w:val="2"/>
          </w:tcPr>
          <w:p w14:paraId="2DF46D85" w14:textId="77777777" w:rsidR="00FD7BCA" w:rsidRPr="00FD7BCA" w:rsidRDefault="00FD7BCA" w:rsidP="00FD7BCA">
            <w:pPr>
              <w:ind w:left="0" w:right="0"/>
              <w:rPr>
                <w:sz w:val="18"/>
                <w:szCs w:val="18"/>
              </w:rPr>
            </w:pPr>
            <w:r w:rsidRPr="00FD7BCA">
              <w:rPr>
                <w:sz w:val="18"/>
                <w:szCs w:val="18"/>
              </w:rPr>
              <w:t>973</w:t>
            </w:r>
          </w:p>
        </w:tc>
        <w:tc>
          <w:tcPr>
            <w:tcW w:w="681" w:type="dxa"/>
          </w:tcPr>
          <w:p w14:paraId="151A546C" w14:textId="77777777" w:rsidR="00FD7BCA" w:rsidRPr="00FD7BCA" w:rsidRDefault="00FD7BCA" w:rsidP="00FD7BCA">
            <w:pPr>
              <w:ind w:left="0" w:right="0"/>
              <w:rPr>
                <w:sz w:val="18"/>
                <w:szCs w:val="18"/>
              </w:rPr>
            </w:pPr>
            <w:r w:rsidRPr="00FD7BCA">
              <w:rPr>
                <w:sz w:val="18"/>
                <w:szCs w:val="18"/>
              </w:rPr>
              <w:t>2500</w:t>
            </w:r>
          </w:p>
        </w:tc>
        <w:tc>
          <w:tcPr>
            <w:tcW w:w="632" w:type="dxa"/>
          </w:tcPr>
          <w:p w14:paraId="2E256331" w14:textId="77777777" w:rsidR="00FD7BCA" w:rsidRPr="00FD7BCA" w:rsidRDefault="00FD7BCA" w:rsidP="00FD7BCA">
            <w:pPr>
              <w:ind w:left="0" w:right="0"/>
              <w:rPr>
                <w:sz w:val="18"/>
                <w:szCs w:val="18"/>
              </w:rPr>
            </w:pPr>
            <w:r w:rsidRPr="00FD7BCA">
              <w:rPr>
                <w:sz w:val="18"/>
                <w:szCs w:val="18"/>
              </w:rPr>
              <w:t>2.5</w:t>
            </w:r>
          </w:p>
        </w:tc>
        <w:tc>
          <w:tcPr>
            <w:tcW w:w="636" w:type="dxa"/>
          </w:tcPr>
          <w:p w14:paraId="6B5B0BDD" w14:textId="77777777" w:rsidR="00FD7BCA" w:rsidRPr="00FD7BCA" w:rsidRDefault="00FD7BCA" w:rsidP="00FD7BCA">
            <w:pPr>
              <w:ind w:left="0" w:right="0"/>
              <w:rPr>
                <w:sz w:val="18"/>
                <w:szCs w:val="18"/>
              </w:rPr>
            </w:pPr>
            <w:r w:rsidRPr="00FD7BCA">
              <w:rPr>
                <w:sz w:val="18"/>
                <w:szCs w:val="18"/>
              </w:rPr>
              <w:t>6.3</w:t>
            </w:r>
          </w:p>
        </w:tc>
        <w:tc>
          <w:tcPr>
            <w:tcW w:w="1021" w:type="dxa"/>
          </w:tcPr>
          <w:p w14:paraId="1EE31EEA" w14:textId="77777777" w:rsidR="00FD7BCA" w:rsidRPr="00FD7BCA" w:rsidRDefault="00FD7BCA" w:rsidP="00FD7BCA">
            <w:pPr>
              <w:ind w:left="0" w:right="0"/>
              <w:rPr>
                <w:sz w:val="18"/>
                <w:szCs w:val="18"/>
              </w:rPr>
            </w:pPr>
            <w:r w:rsidRPr="00FD7BCA">
              <w:rPr>
                <w:sz w:val="18"/>
                <w:szCs w:val="18"/>
              </w:rPr>
              <w:t>–</w:t>
            </w:r>
          </w:p>
        </w:tc>
        <w:tc>
          <w:tcPr>
            <w:tcW w:w="916" w:type="dxa"/>
          </w:tcPr>
          <w:p w14:paraId="0A25B3C7" w14:textId="77777777" w:rsidR="00FD7BCA" w:rsidRPr="00FD7BCA" w:rsidRDefault="00FD7BCA" w:rsidP="00FD7BCA">
            <w:pPr>
              <w:ind w:left="0" w:right="0"/>
              <w:rPr>
                <w:sz w:val="18"/>
                <w:szCs w:val="18"/>
              </w:rPr>
            </w:pPr>
            <w:r w:rsidRPr="00FD7BCA">
              <w:rPr>
                <w:sz w:val="18"/>
                <w:szCs w:val="18"/>
              </w:rPr>
              <w:t>–</w:t>
            </w:r>
          </w:p>
        </w:tc>
      </w:tr>
      <w:tr w:rsidR="00FD7BCA" w:rsidRPr="00FD7BCA" w14:paraId="6642D46D" w14:textId="77777777" w:rsidTr="00782417">
        <w:trPr>
          <w:trHeight w:val="330"/>
        </w:trPr>
        <w:tc>
          <w:tcPr>
            <w:tcW w:w="1101" w:type="dxa"/>
            <w:vMerge/>
          </w:tcPr>
          <w:p w14:paraId="24E43EAD" w14:textId="77777777" w:rsidR="00FD7BCA" w:rsidRPr="00FD7BCA" w:rsidRDefault="00FD7BCA" w:rsidP="00FD7BCA">
            <w:pPr>
              <w:ind w:left="0" w:right="0"/>
              <w:rPr>
                <w:sz w:val="18"/>
                <w:szCs w:val="18"/>
              </w:rPr>
            </w:pPr>
          </w:p>
        </w:tc>
        <w:tc>
          <w:tcPr>
            <w:tcW w:w="1772" w:type="dxa"/>
            <w:vMerge/>
          </w:tcPr>
          <w:p w14:paraId="6345492A" w14:textId="77777777" w:rsidR="00FD7BCA" w:rsidRPr="00FD7BCA" w:rsidRDefault="00FD7BCA" w:rsidP="00FD7BCA">
            <w:pPr>
              <w:ind w:left="0" w:right="0"/>
              <w:rPr>
                <w:sz w:val="18"/>
                <w:szCs w:val="18"/>
              </w:rPr>
            </w:pPr>
          </w:p>
        </w:tc>
        <w:tc>
          <w:tcPr>
            <w:tcW w:w="1360" w:type="dxa"/>
          </w:tcPr>
          <w:p w14:paraId="7414B3AF" w14:textId="77777777" w:rsidR="00FD7BCA" w:rsidRPr="00FD7BCA" w:rsidRDefault="00FD7BCA" w:rsidP="00FD7BCA">
            <w:pPr>
              <w:ind w:left="0" w:right="0"/>
              <w:rPr>
                <w:sz w:val="18"/>
                <w:szCs w:val="18"/>
              </w:rPr>
            </w:pPr>
            <w:r w:rsidRPr="00FD7BCA">
              <w:rPr>
                <w:sz w:val="18"/>
                <w:szCs w:val="18"/>
              </w:rPr>
              <w:t>1000</w:t>
            </w:r>
            <w:r w:rsidRPr="002760E1">
              <w:rPr>
                <w:sz w:val="18"/>
                <w:szCs w:val="18"/>
                <w:vertAlign w:val="superscript"/>
              </w:rPr>
              <w:t>c</w:t>
            </w:r>
          </w:p>
        </w:tc>
        <w:tc>
          <w:tcPr>
            <w:tcW w:w="681" w:type="dxa"/>
            <w:gridSpan w:val="2"/>
          </w:tcPr>
          <w:p w14:paraId="593E4233" w14:textId="77777777" w:rsidR="00FD7BCA" w:rsidRPr="00FD7BCA" w:rsidRDefault="00FD7BCA" w:rsidP="00FD7BCA">
            <w:pPr>
              <w:ind w:left="0" w:right="0"/>
              <w:rPr>
                <w:sz w:val="18"/>
                <w:szCs w:val="18"/>
              </w:rPr>
            </w:pPr>
            <w:r w:rsidRPr="00FD7BCA">
              <w:rPr>
                <w:sz w:val="18"/>
                <w:szCs w:val="18"/>
              </w:rPr>
              <w:t>1300</w:t>
            </w:r>
          </w:p>
        </w:tc>
        <w:tc>
          <w:tcPr>
            <w:tcW w:w="681" w:type="dxa"/>
          </w:tcPr>
          <w:p w14:paraId="447E81A8" w14:textId="77777777" w:rsidR="00FD7BCA" w:rsidRPr="00FD7BCA" w:rsidRDefault="00FD7BCA" w:rsidP="00FD7BCA">
            <w:pPr>
              <w:ind w:left="0" w:right="0"/>
              <w:rPr>
                <w:sz w:val="18"/>
                <w:szCs w:val="18"/>
              </w:rPr>
            </w:pPr>
            <w:r w:rsidRPr="00FD7BCA">
              <w:rPr>
                <w:sz w:val="18"/>
                <w:szCs w:val="18"/>
              </w:rPr>
              <w:t>3160</w:t>
            </w:r>
          </w:p>
        </w:tc>
        <w:tc>
          <w:tcPr>
            <w:tcW w:w="632" w:type="dxa"/>
          </w:tcPr>
          <w:p w14:paraId="4440EFC9" w14:textId="77777777" w:rsidR="00FD7BCA" w:rsidRPr="00FD7BCA" w:rsidRDefault="00FD7BCA" w:rsidP="00FD7BCA">
            <w:pPr>
              <w:ind w:left="0" w:right="0"/>
              <w:rPr>
                <w:sz w:val="18"/>
                <w:szCs w:val="18"/>
              </w:rPr>
            </w:pPr>
            <w:r w:rsidRPr="00FD7BCA">
              <w:rPr>
                <w:sz w:val="18"/>
                <w:szCs w:val="18"/>
              </w:rPr>
              <w:t>3.3</w:t>
            </w:r>
          </w:p>
        </w:tc>
        <w:tc>
          <w:tcPr>
            <w:tcW w:w="636" w:type="dxa"/>
          </w:tcPr>
          <w:p w14:paraId="0A3BBF20" w14:textId="77777777" w:rsidR="00FD7BCA" w:rsidRPr="00FD7BCA" w:rsidRDefault="00FD7BCA" w:rsidP="00FD7BCA">
            <w:pPr>
              <w:ind w:left="0" w:right="0"/>
              <w:rPr>
                <w:sz w:val="18"/>
                <w:szCs w:val="18"/>
              </w:rPr>
            </w:pPr>
            <w:r w:rsidRPr="00FD7BCA">
              <w:rPr>
                <w:sz w:val="18"/>
                <w:szCs w:val="18"/>
              </w:rPr>
              <w:t>8.0</w:t>
            </w:r>
          </w:p>
        </w:tc>
        <w:tc>
          <w:tcPr>
            <w:tcW w:w="1021" w:type="dxa"/>
          </w:tcPr>
          <w:p w14:paraId="311FDE95" w14:textId="77777777" w:rsidR="00FD7BCA" w:rsidRPr="00FD7BCA" w:rsidRDefault="00FD7BCA" w:rsidP="00FD7BCA">
            <w:pPr>
              <w:ind w:left="0" w:right="0"/>
              <w:rPr>
                <w:sz w:val="18"/>
                <w:szCs w:val="18"/>
              </w:rPr>
            </w:pPr>
            <w:r w:rsidRPr="00FD7BCA">
              <w:rPr>
                <w:sz w:val="18"/>
                <w:szCs w:val="18"/>
              </w:rPr>
              <w:t>–</w:t>
            </w:r>
          </w:p>
        </w:tc>
        <w:tc>
          <w:tcPr>
            <w:tcW w:w="916" w:type="dxa"/>
          </w:tcPr>
          <w:p w14:paraId="2EAAB732" w14:textId="77777777" w:rsidR="00FD7BCA" w:rsidRPr="00FD7BCA" w:rsidRDefault="00FD7BCA" w:rsidP="00FD7BCA">
            <w:pPr>
              <w:ind w:left="0" w:right="0"/>
              <w:rPr>
                <w:sz w:val="18"/>
                <w:szCs w:val="18"/>
              </w:rPr>
            </w:pPr>
            <w:r w:rsidRPr="00FD7BCA">
              <w:rPr>
                <w:sz w:val="18"/>
                <w:szCs w:val="18"/>
              </w:rPr>
              <w:t>–</w:t>
            </w:r>
          </w:p>
        </w:tc>
      </w:tr>
      <w:tr w:rsidR="00FD7BCA" w:rsidRPr="00FD7BCA" w14:paraId="17975DDE" w14:textId="77777777" w:rsidTr="00782417">
        <w:trPr>
          <w:trHeight w:val="330"/>
        </w:trPr>
        <w:tc>
          <w:tcPr>
            <w:tcW w:w="1101" w:type="dxa"/>
            <w:vMerge/>
          </w:tcPr>
          <w:p w14:paraId="2CDC3C94" w14:textId="77777777" w:rsidR="00FD7BCA" w:rsidRPr="00FD7BCA" w:rsidRDefault="00FD7BCA" w:rsidP="00FD7BCA">
            <w:pPr>
              <w:ind w:left="0" w:right="0"/>
              <w:rPr>
                <w:sz w:val="18"/>
                <w:szCs w:val="18"/>
              </w:rPr>
            </w:pPr>
          </w:p>
        </w:tc>
        <w:tc>
          <w:tcPr>
            <w:tcW w:w="1772" w:type="dxa"/>
            <w:vMerge w:val="restart"/>
          </w:tcPr>
          <w:p w14:paraId="180CD196" w14:textId="77777777" w:rsidR="00FD7BCA" w:rsidRPr="00FD7BCA" w:rsidRDefault="00FD7BCA" w:rsidP="00FD7BCA">
            <w:pPr>
              <w:ind w:left="0" w:right="0"/>
              <w:rPr>
                <w:sz w:val="18"/>
                <w:szCs w:val="18"/>
              </w:rPr>
            </w:pPr>
            <w:r w:rsidRPr="00FD7BCA">
              <w:rPr>
                <w:sz w:val="18"/>
                <w:szCs w:val="18"/>
              </w:rPr>
              <w:t>2 years</w:t>
            </w:r>
          </w:p>
          <w:p w14:paraId="3ED11679" w14:textId="77777777" w:rsidR="00FD7BCA" w:rsidRPr="00FD7BCA" w:rsidRDefault="00026051" w:rsidP="00FD7BCA">
            <w:pPr>
              <w:ind w:left="0" w:right="0"/>
              <w:rPr>
                <w:sz w:val="18"/>
                <w:szCs w:val="18"/>
              </w:rPr>
            </w:pPr>
            <w:r>
              <w:rPr>
                <w:sz w:val="18"/>
                <w:szCs w:val="18"/>
              </w:rPr>
              <w:t>(</w:t>
            </w:r>
            <w:r w:rsidR="00FD7BCA" w:rsidRPr="00FD7BCA">
              <w:rPr>
                <w:sz w:val="18"/>
                <w:szCs w:val="18"/>
              </w:rPr>
              <w:t>carcinogenicity;</w:t>
            </w:r>
            <w:r w:rsidR="008B5A3E">
              <w:rPr>
                <w:sz w:val="18"/>
                <w:szCs w:val="18"/>
              </w:rPr>
              <w:t xml:space="preserve"> </w:t>
            </w:r>
            <w:r w:rsidR="00FD7BCA" w:rsidRPr="00FD7BCA">
              <w:rPr>
                <w:sz w:val="18"/>
                <w:szCs w:val="18"/>
              </w:rPr>
              <w:t>Study VX-809-TX-</w:t>
            </w:r>
            <w:r w:rsidR="00FD7BCA" w:rsidRPr="00FD7BCA">
              <w:rPr>
                <w:sz w:val="18"/>
                <w:szCs w:val="18"/>
              </w:rPr>
              <w:lastRenderedPageBreak/>
              <w:t>018</w:t>
            </w:r>
            <w:r>
              <w:rPr>
                <w:sz w:val="18"/>
                <w:szCs w:val="18"/>
              </w:rPr>
              <w:t>)</w:t>
            </w:r>
          </w:p>
        </w:tc>
        <w:tc>
          <w:tcPr>
            <w:tcW w:w="1360" w:type="dxa"/>
          </w:tcPr>
          <w:p w14:paraId="7657F586" w14:textId="77777777" w:rsidR="00FD7BCA" w:rsidRPr="00FD7BCA" w:rsidRDefault="00FD7BCA" w:rsidP="00FD7BCA">
            <w:pPr>
              <w:ind w:left="0" w:right="0"/>
              <w:rPr>
                <w:sz w:val="18"/>
                <w:szCs w:val="18"/>
              </w:rPr>
            </w:pPr>
            <w:r w:rsidRPr="00FD7BCA">
              <w:rPr>
                <w:sz w:val="18"/>
                <w:szCs w:val="18"/>
              </w:rPr>
              <w:lastRenderedPageBreak/>
              <w:t>75</w:t>
            </w:r>
          </w:p>
        </w:tc>
        <w:tc>
          <w:tcPr>
            <w:tcW w:w="681" w:type="dxa"/>
            <w:gridSpan w:val="2"/>
          </w:tcPr>
          <w:p w14:paraId="27730028" w14:textId="77777777" w:rsidR="00FD7BCA" w:rsidRPr="00FD7BCA" w:rsidRDefault="00FD7BCA" w:rsidP="00FD7BCA">
            <w:pPr>
              <w:ind w:left="0" w:right="0"/>
              <w:rPr>
                <w:sz w:val="18"/>
                <w:szCs w:val="18"/>
              </w:rPr>
            </w:pPr>
            <w:r w:rsidRPr="00FD7BCA">
              <w:rPr>
                <w:sz w:val="18"/>
                <w:szCs w:val="18"/>
              </w:rPr>
              <w:t>983</w:t>
            </w:r>
          </w:p>
        </w:tc>
        <w:tc>
          <w:tcPr>
            <w:tcW w:w="681" w:type="dxa"/>
          </w:tcPr>
          <w:p w14:paraId="01D9B65B" w14:textId="77777777" w:rsidR="00FD7BCA" w:rsidRPr="00FD7BCA" w:rsidRDefault="00FD7BCA" w:rsidP="00FD7BCA">
            <w:pPr>
              <w:ind w:left="0" w:right="0"/>
              <w:rPr>
                <w:sz w:val="18"/>
                <w:szCs w:val="18"/>
              </w:rPr>
            </w:pPr>
            <w:r w:rsidRPr="00FD7BCA">
              <w:rPr>
                <w:sz w:val="18"/>
                <w:szCs w:val="18"/>
              </w:rPr>
              <w:t>1890</w:t>
            </w:r>
          </w:p>
        </w:tc>
        <w:tc>
          <w:tcPr>
            <w:tcW w:w="632" w:type="dxa"/>
          </w:tcPr>
          <w:p w14:paraId="183580E6" w14:textId="77777777" w:rsidR="00FD7BCA" w:rsidRPr="00FD7BCA" w:rsidRDefault="00FD7BCA" w:rsidP="00FD7BCA">
            <w:pPr>
              <w:ind w:left="0" w:right="0"/>
              <w:rPr>
                <w:sz w:val="18"/>
                <w:szCs w:val="18"/>
              </w:rPr>
            </w:pPr>
            <w:r w:rsidRPr="00FD7BCA">
              <w:rPr>
                <w:sz w:val="18"/>
                <w:szCs w:val="18"/>
              </w:rPr>
              <w:t>2.5</w:t>
            </w:r>
          </w:p>
        </w:tc>
        <w:tc>
          <w:tcPr>
            <w:tcW w:w="636" w:type="dxa"/>
          </w:tcPr>
          <w:p w14:paraId="579EC81B" w14:textId="77777777" w:rsidR="00FD7BCA" w:rsidRPr="00FD7BCA" w:rsidRDefault="00FD7BCA" w:rsidP="00FD7BCA">
            <w:pPr>
              <w:ind w:left="0" w:right="0"/>
              <w:rPr>
                <w:sz w:val="18"/>
                <w:szCs w:val="18"/>
              </w:rPr>
            </w:pPr>
            <w:r w:rsidRPr="00FD7BCA">
              <w:rPr>
                <w:sz w:val="18"/>
                <w:szCs w:val="18"/>
              </w:rPr>
              <w:t>4.8</w:t>
            </w:r>
          </w:p>
        </w:tc>
        <w:tc>
          <w:tcPr>
            <w:tcW w:w="1021" w:type="dxa"/>
          </w:tcPr>
          <w:p w14:paraId="016F8868" w14:textId="77777777" w:rsidR="00FD7BCA" w:rsidRPr="00FD7BCA" w:rsidRDefault="00FD7BCA" w:rsidP="00FD7BCA">
            <w:pPr>
              <w:ind w:left="0" w:right="0"/>
              <w:rPr>
                <w:sz w:val="18"/>
                <w:szCs w:val="18"/>
              </w:rPr>
            </w:pPr>
            <w:r w:rsidRPr="00FD7BCA">
              <w:rPr>
                <w:sz w:val="18"/>
                <w:szCs w:val="18"/>
              </w:rPr>
              <w:t>–</w:t>
            </w:r>
          </w:p>
        </w:tc>
        <w:tc>
          <w:tcPr>
            <w:tcW w:w="916" w:type="dxa"/>
          </w:tcPr>
          <w:p w14:paraId="2ED0B408" w14:textId="77777777" w:rsidR="00FD7BCA" w:rsidRPr="00FD7BCA" w:rsidRDefault="00FD7BCA" w:rsidP="00FD7BCA">
            <w:pPr>
              <w:ind w:left="0" w:right="0"/>
              <w:rPr>
                <w:sz w:val="18"/>
                <w:szCs w:val="18"/>
              </w:rPr>
            </w:pPr>
            <w:r w:rsidRPr="00FD7BCA">
              <w:rPr>
                <w:sz w:val="18"/>
                <w:szCs w:val="18"/>
              </w:rPr>
              <w:t>–</w:t>
            </w:r>
          </w:p>
        </w:tc>
      </w:tr>
      <w:tr w:rsidR="00FD7BCA" w:rsidRPr="00FD7BCA" w14:paraId="2B77B3AF" w14:textId="77777777" w:rsidTr="00782417">
        <w:trPr>
          <w:trHeight w:val="330"/>
        </w:trPr>
        <w:tc>
          <w:tcPr>
            <w:tcW w:w="1101" w:type="dxa"/>
            <w:vMerge/>
          </w:tcPr>
          <w:p w14:paraId="24F8CD27" w14:textId="77777777" w:rsidR="00FD7BCA" w:rsidRPr="00FD7BCA" w:rsidRDefault="00FD7BCA" w:rsidP="00FD7BCA">
            <w:pPr>
              <w:ind w:left="0" w:right="0"/>
              <w:rPr>
                <w:sz w:val="18"/>
                <w:szCs w:val="18"/>
              </w:rPr>
            </w:pPr>
          </w:p>
        </w:tc>
        <w:tc>
          <w:tcPr>
            <w:tcW w:w="1772" w:type="dxa"/>
            <w:vMerge/>
          </w:tcPr>
          <w:p w14:paraId="77E31589" w14:textId="77777777" w:rsidR="00FD7BCA" w:rsidRPr="00FD7BCA" w:rsidRDefault="00FD7BCA" w:rsidP="00FD7BCA">
            <w:pPr>
              <w:ind w:left="0" w:right="0"/>
              <w:rPr>
                <w:sz w:val="18"/>
                <w:szCs w:val="18"/>
              </w:rPr>
            </w:pPr>
          </w:p>
        </w:tc>
        <w:tc>
          <w:tcPr>
            <w:tcW w:w="1360" w:type="dxa"/>
          </w:tcPr>
          <w:p w14:paraId="5DBE3273" w14:textId="77777777" w:rsidR="00FD7BCA" w:rsidRPr="00FD7BCA" w:rsidRDefault="00FD7BCA" w:rsidP="00FD7BCA">
            <w:pPr>
              <w:ind w:left="0" w:right="0"/>
              <w:rPr>
                <w:sz w:val="18"/>
                <w:szCs w:val="18"/>
              </w:rPr>
            </w:pPr>
            <w:r w:rsidRPr="00FD7BCA">
              <w:rPr>
                <w:sz w:val="18"/>
                <w:szCs w:val="18"/>
              </w:rPr>
              <w:t>150</w:t>
            </w:r>
          </w:p>
        </w:tc>
        <w:tc>
          <w:tcPr>
            <w:tcW w:w="681" w:type="dxa"/>
            <w:gridSpan w:val="2"/>
          </w:tcPr>
          <w:p w14:paraId="64A249CE" w14:textId="77777777" w:rsidR="00FD7BCA" w:rsidRPr="00FD7BCA" w:rsidRDefault="00FD7BCA" w:rsidP="00FD7BCA">
            <w:pPr>
              <w:ind w:left="0" w:right="0"/>
              <w:rPr>
                <w:sz w:val="18"/>
                <w:szCs w:val="18"/>
              </w:rPr>
            </w:pPr>
            <w:r w:rsidRPr="00FD7BCA">
              <w:rPr>
                <w:sz w:val="18"/>
                <w:szCs w:val="18"/>
              </w:rPr>
              <w:t>1560</w:t>
            </w:r>
          </w:p>
        </w:tc>
        <w:tc>
          <w:tcPr>
            <w:tcW w:w="681" w:type="dxa"/>
          </w:tcPr>
          <w:p w14:paraId="40F6507B" w14:textId="77777777" w:rsidR="00FD7BCA" w:rsidRPr="00FD7BCA" w:rsidRDefault="00FD7BCA" w:rsidP="00FD7BCA">
            <w:pPr>
              <w:ind w:left="0" w:right="0"/>
              <w:rPr>
                <w:sz w:val="18"/>
                <w:szCs w:val="18"/>
              </w:rPr>
            </w:pPr>
            <w:r w:rsidRPr="00FD7BCA">
              <w:rPr>
                <w:sz w:val="18"/>
                <w:szCs w:val="18"/>
              </w:rPr>
              <w:t>3670</w:t>
            </w:r>
          </w:p>
        </w:tc>
        <w:tc>
          <w:tcPr>
            <w:tcW w:w="632" w:type="dxa"/>
          </w:tcPr>
          <w:p w14:paraId="447A670F" w14:textId="77777777" w:rsidR="00FD7BCA" w:rsidRPr="00FD7BCA" w:rsidRDefault="00FD7BCA" w:rsidP="00FD7BCA">
            <w:pPr>
              <w:ind w:left="0" w:right="0"/>
              <w:rPr>
                <w:sz w:val="18"/>
                <w:szCs w:val="18"/>
              </w:rPr>
            </w:pPr>
            <w:r w:rsidRPr="00FD7BCA">
              <w:rPr>
                <w:sz w:val="18"/>
                <w:szCs w:val="18"/>
              </w:rPr>
              <w:t>3.9</w:t>
            </w:r>
          </w:p>
        </w:tc>
        <w:tc>
          <w:tcPr>
            <w:tcW w:w="636" w:type="dxa"/>
          </w:tcPr>
          <w:p w14:paraId="26D08544" w14:textId="77777777" w:rsidR="00FD7BCA" w:rsidRPr="00FD7BCA" w:rsidRDefault="00FD7BCA" w:rsidP="00FD7BCA">
            <w:pPr>
              <w:ind w:left="0" w:right="0"/>
              <w:rPr>
                <w:sz w:val="18"/>
                <w:szCs w:val="18"/>
              </w:rPr>
            </w:pPr>
            <w:r w:rsidRPr="00FD7BCA">
              <w:rPr>
                <w:sz w:val="18"/>
                <w:szCs w:val="18"/>
              </w:rPr>
              <w:t>9.3</w:t>
            </w:r>
          </w:p>
        </w:tc>
        <w:tc>
          <w:tcPr>
            <w:tcW w:w="1021" w:type="dxa"/>
          </w:tcPr>
          <w:p w14:paraId="28953AE0" w14:textId="77777777" w:rsidR="00FD7BCA" w:rsidRPr="00FD7BCA" w:rsidRDefault="00FD7BCA" w:rsidP="00FD7BCA">
            <w:pPr>
              <w:ind w:left="0" w:right="0"/>
              <w:rPr>
                <w:sz w:val="18"/>
                <w:szCs w:val="18"/>
              </w:rPr>
            </w:pPr>
            <w:r w:rsidRPr="00FD7BCA">
              <w:rPr>
                <w:sz w:val="18"/>
                <w:szCs w:val="18"/>
              </w:rPr>
              <w:t>–</w:t>
            </w:r>
          </w:p>
        </w:tc>
        <w:tc>
          <w:tcPr>
            <w:tcW w:w="916" w:type="dxa"/>
          </w:tcPr>
          <w:p w14:paraId="00006D8F" w14:textId="77777777" w:rsidR="00FD7BCA" w:rsidRPr="00FD7BCA" w:rsidRDefault="00FD7BCA" w:rsidP="00FD7BCA">
            <w:pPr>
              <w:ind w:left="0" w:right="0"/>
              <w:rPr>
                <w:sz w:val="18"/>
                <w:szCs w:val="18"/>
              </w:rPr>
            </w:pPr>
            <w:r w:rsidRPr="00FD7BCA">
              <w:rPr>
                <w:sz w:val="18"/>
                <w:szCs w:val="18"/>
              </w:rPr>
              <w:t>–</w:t>
            </w:r>
          </w:p>
        </w:tc>
      </w:tr>
      <w:tr w:rsidR="00FD7BCA" w:rsidRPr="00FD7BCA" w14:paraId="2D2418CB" w14:textId="77777777" w:rsidTr="00782417">
        <w:trPr>
          <w:trHeight w:val="330"/>
        </w:trPr>
        <w:tc>
          <w:tcPr>
            <w:tcW w:w="1101" w:type="dxa"/>
            <w:vMerge/>
          </w:tcPr>
          <w:p w14:paraId="2A3504E9" w14:textId="77777777" w:rsidR="00FD7BCA" w:rsidRPr="00FD7BCA" w:rsidRDefault="00FD7BCA" w:rsidP="00FD7BCA">
            <w:pPr>
              <w:ind w:left="0" w:right="0"/>
              <w:rPr>
                <w:sz w:val="18"/>
                <w:szCs w:val="18"/>
              </w:rPr>
            </w:pPr>
          </w:p>
        </w:tc>
        <w:tc>
          <w:tcPr>
            <w:tcW w:w="1772" w:type="dxa"/>
            <w:vMerge/>
          </w:tcPr>
          <w:p w14:paraId="4F0A3915" w14:textId="77777777" w:rsidR="00FD7BCA" w:rsidRPr="00FD7BCA" w:rsidRDefault="00FD7BCA" w:rsidP="00FD7BCA">
            <w:pPr>
              <w:ind w:left="0" w:right="0"/>
              <w:rPr>
                <w:sz w:val="18"/>
                <w:szCs w:val="18"/>
              </w:rPr>
            </w:pPr>
          </w:p>
        </w:tc>
        <w:tc>
          <w:tcPr>
            <w:tcW w:w="1360" w:type="dxa"/>
          </w:tcPr>
          <w:p w14:paraId="563CBDAF" w14:textId="77777777" w:rsidR="00FD7BCA" w:rsidRPr="00FD7BCA" w:rsidRDefault="00FD7BCA" w:rsidP="00FD7BCA">
            <w:pPr>
              <w:ind w:left="0" w:right="0"/>
              <w:rPr>
                <w:sz w:val="18"/>
                <w:szCs w:val="18"/>
              </w:rPr>
            </w:pPr>
            <w:r w:rsidRPr="00FD7BCA">
              <w:rPr>
                <w:sz w:val="18"/>
                <w:szCs w:val="18"/>
              </w:rPr>
              <w:t>1000</w:t>
            </w:r>
          </w:p>
        </w:tc>
        <w:tc>
          <w:tcPr>
            <w:tcW w:w="681" w:type="dxa"/>
            <w:gridSpan w:val="2"/>
          </w:tcPr>
          <w:p w14:paraId="7345C15B" w14:textId="77777777" w:rsidR="00FD7BCA" w:rsidRPr="00FD7BCA" w:rsidRDefault="00FD7BCA" w:rsidP="00FD7BCA">
            <w:pPr>
              <w:ind w:left="0" w:right="0"/>
              <w:rPr>
                <w:sz w:val="18"/>
                <w:szCs w:val="18"/>
              </w:rPr>
            </w:pPr>
            <w:r w:rsidRPr="00FD7BCA">
              <w:rPr>
                <w:sz w:val="18"/>
                <w:szCs w:val="18"/>
              </w:rPr>
              <w:t>2120</w:t>
            </w:r>
          </w:p>
        </w:tc>
        <w:tc>
          <w:tcPr>
            <w:tcW w:w="681" w:type="dxa"/>
          </w:tcPr>
          <w:p w14:paraId="5617B7A5" w14:textId="77777777" w:rsidR="00FD7BCA" w:rsidRPr="00FD7BCA" w:rsidRDefault="00FD7BCA" w:rsidP="00FD7BCA">
            <w:pPr>
              <w:ind w:left="0" w:right="0"/>
              <w:rPr>
                <w:sz w:val="18"/>
                <w:szCs w:val="18"/>
              </w:rPr>
            </w:pPr>
            <w:r w:rsidRPr="00FD7BCA">
              <w:rPr>
                <w:sz w:val="18"/>
                <w:szCs w:val="18"/>
              </w:rPr>
              <w:t>5040</w:t>
            </w:r>
          </w:p>
        </w:tc>
        <w:tc>
          <w:tcPr>
            <w:tcW w:w="632" w:type="dxa"/>
          </w:tcPr>
          <w:p w14:paraId="66ED0AE2" w14:textId="77777777" w:rsidR="00FD7BCA" w:rsidRPr="00FD7BCA" w:rsidRDefault="00FD7BCA" w:rsidP="00FD7BCA">
            <w:pPr>
              <w:ind w:left="0" w:right="0"/>
              <w:rPr>
                <w:sz w:val="18"/>
                <w:szCs w:val="18"/>
              </w:rPr>
            </w:pPr>
            <w:r w:rsidRPr="00FD7BCA">
              <w:rPr>
                <w:sz w:val="18"/>
                <w:szCs w:val="18"/>
              </w:rPr>
              <w:t>5.4</w:t>
            </w:r>
          </w:p>
        </w:tc>
        <w:tc>
          <w:tcPr>
            <w:tcW w:w="636" w:type="dxa"/>
          </w:tcPr>
          <w:p w14:paraId="2EC7670E" w14:textId="77777777" w:rsidR="00FD7BCA" w:rsidRPr="00FD7BCA" w:rsidRDefault="00FD7BCA" w:rsidP="00FD7BCA">
            <w:pPr>
              <w:ind w:left="0" w:right="0"/>
              <w:rPr>
                <w:sz w:val="18"/>
                <w:szCs w:val="18"/>
              </w:rPr>
            </w:pPr>
            <w:r w:rsidRPr="00FD7BCA">
              <w:rPr>
                <w:sz w:val="18"/>
                <w:szCs w:val="18"/>
              </w:rPr>
              <w:t>12.7</w:t>
            </w:r>
          </w:p>
        </w:tc>
        <w:tc>
          <w:tcPr>
            <w:tcW w:w="1021" w:type="dxa"/>
          </w:tcPr>
          <w:p w14:paraId="32C94D97" w14:textId="77777777" w:rsidR="00FD7BCA" w:rsidRPr="00FD7BCA" w:rsidRDefault="00FD7BCA" w:rsidP="00FD7BCA">
            <w:pPr>
              <w:ind w:left="0" w:right="0"/>
              <w:rPr>
                <w:sz w:val="18"/>
                <w:szCs w:val="18"/>
              </w:rPr>
            </w:pPr>
            <w:r w:rsidRPr="00FD7BCA">
              <w:rPr>
                <w:sz w:val="18"/>
                <w:szCs w:val="18"/>
              </w:rPr>
              <w:t>–</w:t>
            </w:r>
          </w:p>
        </w:tc>
        <w:tc>
          <w:tcPr>
            <w:tcW w:w="916" w:type="dxa"/>
          </w:tcPr>
          <w:p w14:paraId="6FB27AF6" w14:textId="77777777" w:rsidR="00FD7BCA" w:rsidRPr="00FD7BCA" w:rsidRDefault="00FD7BCA" w:rsidP="00FD7BCA">
            <w:pPr>
              <w:ind w:left="0" w:right="0"/>
              <w:rPr>
                <w:sz w:val="18"/>
                <w:szCs w:val="18"/>
              </w:rPr>
            </w:pPr>
            <w:r w:rsidRPr="00FD7BCA">
              <w:rPr>
                <w:sz w:val="18"/>
                <w:szCs w:val="18"/>
              </w:rPr>
              <w:t>–</w:t>
            </w:r>
          </w:p>
        </w:tc>
      </w:tr>
      <w:tr w:rsidR="00FD7BCA" w:rsidRPr="00FD7BCA" w14:paraId="11E211F5" w14:textId="77777777" w:rsidTr="00782417">
        <w:trPr>
          <w:trHeight w:val="330"/>
        </w:trPr>
        <w:tc>
          <w:tcPr>
            <w:tcW w:w="1101" w:type="dxa"/>
            <w:vMerge w:val="restart"/>
          </w:tcPr>
          <w:p w14:paraId="5CD7ED19" w14:textId="77777777" w:rsidR="00FD7BCA" w:rsidRPr="00FD7BCA" w:rsidRDefault="008B5A3E" w:rsidP="00FD7BCA">
            <w:pPr>
              <w:ind w:left="0" w:right="0"/>
              <w:rPr>
                <w:sz w:val="18"/>
                <w:szCs w:val="18"/>
              </w:rPr>
            </w:pPr>
            <w:r>
              <w:rPr>
                <w:sz w:val="18"/>
                <w:szCs w:val="18"/>
              </w:rPr>
              <w:lastRenderedPageBreak/>
              <w:t xml:space="preserve">Dog </w:t>
            </w:r>
            <w:r w:rsidR="00FD7BCA" w:rsidRPr="00FD7BCA">
              <w:rPr>
                <w:sz w:val="18"/>
                <w:szCs w:val="18"/>
              </w:rPr>
              <w:t>(Beagle)</w:t>
            </w:r>
          </w:p>
        </w:tc>
        <w:tc>
          <w:tcPr>
            <w:tcW w:w="1772" w:type="dxa"/>
            <w:vMerge w:val="restart"/>
          </w:tcPr>
          <w:p w14:paraId="62AFD19D" w14:textId="77777777" w:rsidR="00FD7BCA" w:rsidRPr="00FD7BCA" w:rsidRDefault="00FD7BCA" w:rsidP="00FD7BCA">
            <w:pPr>
              <w:ind w:left="0" w:right="0"/>
              <w:rPr>
                <w:sz w:val="18"/>
                <w:szCs w:val="18"/>
              </w:rPr>
            </w:pPr>
            <w:r w:rsidRPr="00FD7BCA">
              <w:rPr>
                <w:sz w:val="18"/>
                <w:szCs w:val="18"/>
              </w:rPr>
              <w:t>4 weeks</w:t>
            </w:r>
          </w:p>
          <w:p w14:paraId="0E0965B4" w14:textId="77777777" w:rsidR="00FD7BCA" w:rsidRPr="00FD7BCA" w:rsidRDefault="00026051" w:rsidP="00FD7BCA">
            <w:pPr>
              <w:ind w:left="0" w:right="0"/>
              <w:rPr>
                <w:sz w:val="18"/>
                <w:szCs w:val="18"/>
              </w:rPr>
            </w:pPr>
            <w:r>
              <w:rPr>
                <w:sz w:val="18"/>
                <w:szCs w:val="18"/>
              </w:rPr>
              <w:t>(</w:t>
            </w:r>
            <w:r w:rsidR="008B5A3E">
              <w:rPr>
                <w:sz w:val="18"/>
                <w:szCs w:val="18"/>
              </w:rPr>
              <w:t xml:space="preserve">combination; </w:t>
            </w:r>
            <w:r w:rsidR="00FD7BCA" w:rsidRPr="00FD7BCA">
              <w:rPr>
                <w:sz w:val="18"/>
                <w:szCs w:val="18"/>
              </w:rPr>
              <w:t>Study VX-809-TX-010</w:t>
            </w:r>
            <w:r>
              <w:rPr>
                <w:sz w:val="18"/>
                <w:szCs w:val="18"/>
              </w:rPr>
              <w:t>)</w:t>
            </w:r>
          </w:p>
        </w:tc>
        <w:tc>
          <w:tcPr>
            <w:tcW w:w="1360" w:type="dxa"/>
          </w:tcPr>
          <w:p w14:paraId="198F72ED" w14:textId="77777777" w:rsidR="00FD7BCA" w:rsidRPr="00FD7BCA" w:rsidRDefault="00FD7BCA" w:rsidP="00FD7BCA">
            <w:pPr>
              <w:ind w:left="0" w:right="0"/>
              <w:rPr>
                <w:sz w:val="18"/>
                <w:szCs w:val="18"/>
              </w:rPr>
            </w:pPr>
            <w:r w:rsidRPr="00FD7BCA">
              <w:rPr>
                <w:sz w:val="18"/>
                <w:szCs w:val="18"/>
              </w:rPr>
              <w:t>300 L + 5 I</w:t>
            </w:r>
          </w:p>
        </w:tc>
        <w:tc>
          <w:tcPr>
            <w:tcW w:w="681" w:type="dxa"/>
            <w:gridSpan w:val="2"/>
          </w:tcPr>
          <w:p w14:paraId="2F389AFB" w14:textId="77777777" w:rsidR="00FD7BCA" w:rsidRPr="00FD7BCA" w:rsidRDefault="00FD7BCA" w:rsidP="00FD7BCA">
            <w:pPr>
              <w:ind w:left="0" w:right="0"/>
              <w:rPr>
                <w:sz w:val="18"/>
                <w:szCs w:val="18"/>
              </w:rPr>
            </w:pPr>
            <w:r w:rsidRPr="00FD7BCA">
              <w:rPr>
                <w:sz w:val="18"/>
                <w:szCs w:val="18"/>
              </w:rPr>
              <w:t>482</w:t>
            </w:r>
          </w:p>
        </w:tc>
        <w:tc>
          <w:tcPr>
            <w:tcW w:w="681" w:type="dxa"/>
          </w:tcPr>
          <w:p w14:paraId="299E6175" w14:textId="77777777" w:rsidR="00FD7BCA" w:rsidRPr="00FD7BCA" w:rsidRDefault="00FD7BCA" w:rsidP="00FD7BCA">
            <w:pPr>
              <w:ind w:left="0" w:right="0"/>
              <w:rPr>
                <w:sz w:val="18"/>
                <w:szCs w:val="18"/>
              </w:rPr>
            </w:pPr>
            <w:r w:rsidRPr="00FD7BCA">
              <w:rPr>
                <w:sz w:val="18"/>
                <w:szCs w:val="18"/>
              </w:rPr>
              <w:t>956</w:t>
            </w:r>
          </w:p>
        </w:tc>
        <w:tc>
          <w:tcPr>
            <w:tcW w:w="632" w:type="dxa"/>
          </w:tcPr>
          <w:p w14:paraId="3C0D89EA" w14:textId="77777777" w:rsidR="00FD7BCA" w:rsidRPr="00FD7BCA" w:rsidRDefault="00FD7BCA" w:rsidP="00FD7BCA">
            <w:pPr>
              <w:ind w:left="0" w:right="0"/>
              <w:rPr>
                <w:sz w:val="18"/>
                <w:szCs w:val="18"/>
              </w:rPr>
            </w:pPr>
            <w:r w:rsidRPr="00FD7BCA">
              <w:rPr>
                <w:sz w:val="18"/>
                <w:szCs w:val="18"/>
              </w:rPr>
              <w:t>1.2</w:t>
            </w:r>
          </w:p>
        </w:tc>
        <w:tc>
          <w:tcPr>
            <w:tcW w:w="636" w:type="dxa"/>
          </w:tcPr>
          <w:p w14:paraId="6E70A9A0" w14:textId="77777777" w:rsidR="00FD7BCA" w:rsidRPr="00FD7BCA" w:rsidRDefault="00FD7BCA" w:rsidP="00FD7BCA">
            <w:pPr>
              <w:ind w:left="0" w:right="0"/>
              <w:rPr>
                <w:sz w:val="18"/>
                <w:szCs w:val="18"/>
              </w:rPr>
            </w:pPr>
            <w:r w:rsidRPr="00FD7BCA">
              <w:rPr>
                <w:sz w:val="18"/>
                <w:szCs w:val="18"/>
              </w:rPr>
              <w:t>2.4</w:t>
            </w:r>
          </w:p>
        </w:tc>
        <w:tc>
          <w:tcPr>
            <w:tcW w:w="1021" w:type="dxa"/>
          </w:tcPr>
          <w:p w14:paraId="7328543C" w14:textId="77777777" w:rsidR="00FD7BCA" w:rsidRPr="00FD7BCA" w:rsidRDefault="00FD7BCA" w:rsidP="00FD7BCA">
            <w:pPr>
              <w:ind w:left="0" w:right="0"/>
              <w:rPr>
                <w:sz w:val="18"/>
                <w:szCs w:val="18"/>
              </w:rPr>
            </w:pPr>
            <w:r w:rsidRPr="00FD7BCA">
              <w:rPr>
                <w:sz w:val="18"/>
                <w:szCs w:val="18"/>
              </w:rPr>
              <w:t>46</w:t>
            </w:r>
          </w:p>
        </w:tc>
        <w:tc>
          <w:tcPr>
            <w:tcW w:w="916" w:type="dxa"/>
          </w:tcPr>
          <w:p w14:paraId="6D347E66" w14:textId="77777777" w:rsidR="00FD7BCA" w:rsidRPr="00FD7BCA" w:rsidRDefault="00FD7BCA" w:rsidP="00FD7BCA">
            <w:pPr>
              <w:ind w:left="0" w:right="0"/>
              <w:rPr>
                <w:sz w:val="18"/>
                <w:szCs w:val="18"/>
              </w:rPr>
            </w:pPr>
            <w:r w:rsidRPr="00FD7BCA">
              <w:rPr>
                <w:sz w:val="18"/>
                <w:szCs w:val="18"/>
              </w:rPr>
              <w:t>6.3</w:t>
            </w:r>
          </w:p>
        </w:tc>
      </w:tr>
      <w:tr w:rsidR="00FD7BCA" w:rsidRPr="00FD7BCA" w14:paraId="263043C2" w14:textId="77777777" w:rsidTr="00782417">
        <w:trPr>
          <w:trHeight w:val="330"/>
        </w:trPr>
        <w:tc>
          <w:tcPr>
            <w:tcW w:w="1101" w:type="dxa"/>
            <w:vMerge/>
          </w:tcPr>
          <w:p w14:paraId="28D7A412" w14:textId="77777777" w:rsidR="00FD7BCA" w:rsidRPr="00FD7BCA" w:rsidRDefault="00FD7BCA" w:rsidP="00FD7BCA">
            <w:pPr>
              <w:ind w:left="0" w:right="0"/>
              <w:rPr>
                <w:sz w:val="18"/>
                <w:szCs w:val="18"/>
              </w:rPr>
            </w:pPr>
          </w:p>
        </w:tc>
        <w:tc>
          <w:tcPr>
            <w:tcW w:w="1772" w:type="dxa"/>
            <w:vMerge/>
          </w:tcPr>
          <w:p w14:paraId="73BE05A0" w14:textId="77777777" w:rsidR="00FD7BCA" w:rsidRPr="00FD7BCA" w:rsidRDefault="00FD7BCA" w:rsidP="00FD7BCA">
            <w:pPr>
              <w:ind w:left="0" w:right="0"/>
              <w:rPr>
                <w:sz w:val="18"/>
                <w:szCs w:val="18"/>
              </w:rPr>
            </w:pPr>
          </w:p>
        </w:tc>
        <w:tc>
          <w:tcPr>
            <w:tcW w:w="1360" w:type="dxa"/>
          </w:tcPr>
          <w:p w14:paraId="5BEAC914" w14:textId="77777777" w:rsidR="00FD7BCA" w:rsidRPr="00FD7BCA" w:rsidRDefault="00FD7BCA" w:rsidP="00FD7BCA">
            <w:pPr>
              <w:ind w:left="0" w:right="0"/>
              <w:rPr>
                <w:sz w:val="18"/>
                <w:szCs w:val="18"/>
              </w:rPr>
            </w:pPr>
            <w:r w:rsidRPr="00FD7BCA">
              <w:rPr>
                <w:sz w:val="18"/>
                <w:szCs w:val="18"/>
              </w:rPr>
              <w:t>300 L + 15 I</w:t>
            </w:r>
          </w:p>
        </w:tc>
        <w:tc>
          <w:tcPr>
            <w:tcW w:w="681" w:type="dxa"/>
            <w:gridSpan w:val="2"/>
          </w:tcPr>
          <w:p w14:paraId="5930EB24" w14:textId="77777777" w:rsidR="00FD7BCA" w:rsidRPr="00FD7BCA" w:rsidRDefault="00FD7BCA" w:rsidP="00FD7BCA">
            <w:pPr>
              <w:ind w:left="0" w:right="0"/>
              <w:rPr>
                <w:sz w:val="18"/>
                <w:szCs w:val="18"/>
              </w:rPr>
            </w:pPr>
            <w:r w:rsidRPr="00FD7BCA">
              <w:rPr>
                <w:sz w:val="18"/>
                <w:szCs w:val="18"/>
              </w:rPr>
              <w:t>388</w:t>
            </w:r>
          </w:p>
        </w:tc>
        <w:tc>
          <w:tcPr>
            <w:tcW w:w="681" w:type="dxa"/>
          </w:tcPr>
          <w:p w14:paraId="44B9ACFA" w14:textId="77777777" w:rsidR="00FD7BCA" w:rsidRPr="00FD7BCA" w:rsidRDefault="00FD7BCA" w:rsidP="00FD7BCA">
            <w:pPr>
              <w:ind w:left="0" w:right="0"/>
              <w:rPr>
                <w:sz w:val="18"/>
                <w:szCs w:val="18"/>
              </w:rPr>
            </w:pPr>
            <w:r w:rsidRPr="00FD7BCA">
              <w:rPr>
                <w:sz w:val="18"/>
                <w:szCs w:val="18"/>
              </w:rPr>
              <w:t>1090</w:t>
            </w:r>
          </w:p>
        </w:tc>
        <w:tc>
          <w:tcPr>
            <w:tcW w:w="632" w:type="dxa"/>
          </w:tcPr>
          <w:p w14:paraId="222DD80D" w14:textId="77777777" w:rsidR="00FD7BCA" w:rsidRPr="00FD7BCA" w:rsidRDefault="00FD7BCA" w:rsidP="00FD7BCA">
            <w:pPr>
              <w:ind w:left="0" w:right="0"/>
              <w:rPr>
                <w:sz w:val="18"/>
                <w:szCs w:val="18"/>
              </w:rPr>
            </w:pPr>
            <w:r w:rsidRPr="00FD7BCA">
              <w:rPr>
                <w:sz w:val="18"/>
                <w:szCs w:val="18"/>
              </w:rPr>
              <w:t>1.0</w:t>
            </w:r>
          </w:p>
        </w:tc>
        <w:tc>
          <w:tcPr>
            <w:tcW w:w="636" w:type="dxa"/>
          </w:tcPr>
          <w:p w14:paraId="53C62D68" w14:textId="77777777" w:rsidR="00FD7BCA" w:rsidRPr="00FD7BCA" w:rsidRDefault="00FD7BCA" w:rsidP="00FD7BCA">
            <w:pPr>
              <w:ind w:left="0" w:right="0"/>
              <w:rPr>
                <w:sz w:val="18"/>
                <w:szCs w:val="18"/>
              </w:rPr>
            </w:pPr>
            <w:r w:rsidRPr="00FD7BCA">
              <w:rPr>
                <w:sz w:val="18"/>
                <w:szCs w:val="18"/>
              </w:rPr>
              <w:t>2.8</w:t>
            </w:r>
          </w:p>
        </w:tc>
        <w:tc>
          <w:tcPr>
            <w:tcW w:w="1021" w:type="dxa"/>
          </w:tcPr>
          <w:p w14:paraId="74C8E1F1" w14:textId="77777777" w:rsidR="00FD7BCA" w:rsidRPr="00FD7BCA" w:rsidRDefault="00FD7BCA" w:rsidP="00FD7BCA">
            <w:pPr>
              <w:ind w:left="0" w:right="0"/>
              <w:rPr>
                <w:sz w:val="18"/>
                <w:szCs w:val="18"/>
              </w:rPr>
            </w:pPr>
            <w:r w:rsidRPr="00FD7BCA">
              <w:rPr>
                <w:sz w:val="18"/>
                <w:szCs w:val="18"/>
              </w:rPr>
              <w:t>100</w:t>
            </w:r>
          </w:p>
        </w:tc>
        <w:tc>
          <w:tcPr>
            <w:tcW w:w="916" w:type="dxa"/>
          </w:tcPr>
          <w:p w14:paraId="5990E1B8" w14:textId="77777777" w:rsidR="00FD7BCA" w:rsidRPr="00FD7BCA" w:rsidRDefault="00FD7BCA" w:rsidP="00FD7BCA">
            <w:pPr>
              <w:ind w:left="0" w:right="0"/>
              <w:rPr>
                <w:sz w:val="18"/>
                <w:szCs w:val="18"/>
              </w:rPr>
            </w:pPr>
            <w:r w:rsidRPr="00FD7BCA">
              <w:rPr>
                <w:sz w:val="18"/>
                <w:szCs w:val="18"/>
              </w:rPr>
              <w:t>14</w:t>
            </w:r>
          </w:p>
        </w:tc>
      </w:tr>
      <w:tr w:rsidR="00FD7BCA" w:rsidRPr="00FD7BCA" w14:paraId="60AA7EC0" w14:textId="77777777" w:rsidTr="00782417">
        <w:trPr>
          <w:trHeight w:val="330"/>
        </w:trPr>
        <w:tc>
          <w:tcPr>
            <w:tcW w:w="1101" w:type="dxa"/>
            <w:vMerge/>
          </w:tcPr>
          <w:p w14:paraId="24A4433E" w14:textId="77777777" w:rsidR="00FD7BCA" w:rsidRPr="00FD7BCA" w:rsidRDefault="00FD7BCA" w:rsidP="00FD7BCA">
            <w:pPr>
              <w:ind w:left="0" w:right="0"/>
              <w:rPr>
                <w:sz w:val="18"/>
                <w:szCs w:val="18"/>
              </w:rPr>
            </w:pPr>
          </w:p>
        </w:tc>
        <w:tc>
          <w:tcPr>
            <w:tcW w:w="1772" w:type="dxa"/>
            <w:vMerge/>
          </w:tcPr>
          <w:p w14:paraId="4CB46C3A" w14:textId="77777777" w:rsidR="00FD7BCA" w:rsidRPr="00FD7BCA" w:rsidRDefault="00FD7BCA" w:rsidP="00FD7BCA">
            <w:pPr>
              <w:ind w:left="0" w:right="0"/>
              <w:rPr>
                <w:sz w:val="18"/>
                <w:szCs w:val="18"/>
              </w:rPr>
            </w:pPr>
          </w:p>
        </w:tc>
        <w:tc>
          <w:tcPr>
            <w:tcW w:w="1360" w:type="dxa"/>
          </w:tcPr>
          <w:p w14:paraId="40A8CA95" w14:textId="77777777" w:rsidR="00FD7BCA" w:rsidRPr="00FD7BCA" w:rsidRDefault="00FD7BCA" w:rsidP="00FD7BCA">
            <w:pPr>
              <w:ind w:left="0" w:right="0"/>
              <w:rPr>
                <w:sz w:val="18"/>
                <w:szCs w:val="18"/>
              </w:rPr>
            </w:pPr>
            <w:r w:rsidRPr="00FD7BCA">
              <w:rPr>
                <w:sz w:val="18"/>
                <w:szCs w:val="18"/>
              </w:rPr>
              <w:t>600 L + 15 I</w:t>
            </w:r>
          </w:p>
        </w:tc>
        <w:tc>
          <w:tcPr>
            <w:tcW w:w="681" w:type="dxa"/>
            <w:gridSpan w:val="2"/>
          </w:tcPr>
          <w:p w14:paraId="267083FB" w14:textId="77777777" w:rsidR="00FD7BCA" w:rsidRPr="00FD7BCA" w:rsidRDefault="00FD7BCA" w:rsidP="00FD7BCA">
            <w:pPr>
              <w:ind w:left="0" w:right="0"/>
              <w:rPr>
                <w:sz w:val="18"/>
                <w:szCs w:val="18"/>
              </w:rPr>
            </w:pPr>
            <w:r w:rsidRPr="00FD7BCA">
              <w:rPr>
                <w:sz w:val="18"/>
                <w:szCs w:val="18"/>
              </w:rPr>
              <w:t>503</w:t>
            </w:r>
          </w:p>
        </w:tc>
        <w:tc>
          <w:tcPr>
            <w:tcW w:w="681" w:type="dxa"/>
          </w:tcPr>
          <w:p w14:paraId="45840375" w14:textId="77777777" w:rsidR="00FD7BCA" w:rsidRPr="00FD7BCA" w:rsidRDefault="00FD7BCA" w:rsidP="00FD7BCA">
            <w:pPr>
              <w:ind w:left="0" w:right="0"/>
              <w:rPr>
                <w:sz w:val="18"/>
                <w:szCs w:val="18"/>
              </w:rPr>
            </w:pPr>
            <w:r w:rsidRPr="00FD7BCA">
              <w:rPr>
                <w:sz w:val="18"/>
                <w:szCs w:val="18"/>
              </w:rPr>
              <w:t>976</w:t>
            </w:r>
          </w:p>
        </w:tc>
        <w:tc>
          <w:tcPr>
            <w:tcW w:w="632" w:type="dxa"/>
          </w:tcPr>
          <w:p w14:paraId="74858015" w14:textId="77777777" w:rsidR="00FD7BCA" w:rsidRPr="00FD7BCA" w:rsidRDefault="00FD7BCA" w:rsidP="00FD7BCA">
            <w:pPr>
              <w:ind w:left="0" w:right="0"/>
              <w:rPr>
                <w:sz w:val="18"/>
                <w:szCs w:val="18"/>
              </w:rPr>
            </w:pPr>
            <w:r w:rsidRPr="00FD7BCA">
              <w:rPr>
                <w:sz w:val="18"/>
                <w:szCs w:val="18"/>
              </w:rPr>
              <w:t>1.3</w:t>
            </w:r>
          </w:p>
        </w:tc>
        <w:tc>
          <w:tcPr>
            <w:tcW w:w="636" w:type="dxa"/>
          </w:tcPr>
          <w:p w14:paraId="408FAB00" w14:textId="77777777" w:rsidR="00FD7BCA" w:rsidRPr="00FD7BCA" w:rsidRDefault="00FD7BCA" w:rsidP="00FD7BCA">
            <w:pPr>
              <w:ind w:left="0" w:right="0"/>
              <w:rPr>
                <w:sz w:val="18"/>
                <w:szCs w:val="18"/>
              </w:rPr>
            </w:pPr>
            <w:r w:rsidRPr="00FD7BCA">
              <w:rPr>
                <w:sz w:val="18"/>
                <w:szCs w:val="18"/>
              </w:rPr>
              <w:t>2.5</w:t>
            </w:r>
          </w:p>
        </w:tc>
        <w:tc>
          <w:tcPr>
            <w:tcW w:w="1021" w:type="dxa"/>
          </w:tcPr>
          <w:p w14:paraId="62A00520" w14:textId="77777777" w:rsidR="00FD7BCA" w:rsidRPr="00FD7BCA" w:rsidRDefault="00FD7BCA" w:rsidP="00FD7BCA">
            <w:pPr>
              <w:ind w:left="0" w:right="0"/>
              <w:rPr>
                <w:sz w:val="18"/>
                <w:szCs w:val="18"/>
              </w:rPr>
            </w:pPr>
            <w:r w:rsidRPr="00FD7BCA">
              <w:rPr>
                <w:sz w:val="18"/>
                <w:szCs w:val="18"/>
              </w:rPr>
              <w:t>113</w:t>
            </w:r>
          </w:p>
        </w:tc>
        <w:tc>
          <w:tcPr>
            <w:tcW w:w="916" w:type="dxa"/>
          </w:tcPr>
          <w:p w14:paraId="2FF18C92" w14:textId="77777777" w:rsidR="00FD7BCA" w:rsidRPr="00FD7BCA" w:rsidRDefault="00FD7BCA" w:rsidP="00FD7BCA">
            <w:pPr>
              <w:ind w:left="0" w:right="0"/>
              <w:rPr>
                <w:sz w:val="18"/>
                <w:szCs w:val="18"/>
              </w:rPr>
            </w:pPr>
            <w:r w:rsidRPr="00FD7BCA">
              <w:rPr>
                <w:sz w:val="18"/>
                <w:szCs w:val="18"/>
              </w:rPr>
              <w:t>15</w:t>
            </w:r>
          </w:p>
        </w:tc>
      </w:tr>
      <w:tr w:rsidR="00FD7BCA" w:rsidRPr="00FD7BCA" w14:paraId="03FE6376" w14:textId="77777777" w:rsidTr="00782417">
        <w:trPr>
          <w:trHeight w:val="330"/>
        </w:trPr>
        <w:tc>
          <w:tcPr>
            <w:tcW w:w="1101" w:type="dxa"/>
            <w:vMerge/>
          </w:tcPr>
          <w:p w14:paraId="07CD710F" w14:textId="77777777" w:rsidR="00FD7BCA" w:rsidRPr="00FD7BCA" w:rsidRDefault="00FD7BCA" w:rsidP="00FD7BCA">
            <w:pPr>
              <w:ind w:left="0" w:right="0"/>
              <w:rPr>
                <w:sz w:val="18"/>
                <w:szCs w:val="18"/>
              </w:rPr>
            </w:pPr>
          </w:p>
        </w:tc>
        <w:tc>
          <w:tcPr>
            <w:tcW w:w="1772" w:type="dxa"/>
            <w:vMerge/>
          </w:tcPr>
          <w:p w14:paraId="6F76EFBD" w14:textId="77777777" w:rsidR="00FD7BCA" w:rsidRPr="00FD7BCA" w:rsidRDefault="00FD7BCA" w:rsidP="00FD7BCA">
            <w:pPr>
              <w:ind w:left="0" w:right="0"/>
              <w:rPr>
                <w:sz w:val="18"/>
                <w:szCs w:val="18"/>
              </w:rPr>
            </w:pPr>
          </w:p>
        </w:tc>
        <w:tc>
          <w:tcPr>
            <w:tcW w:w="1360" w:type="dxa"/>
          </w:tcPr>
          <w:p w14:paraId="40D814B4" w14:textId="77777777" w:rsidR="00FD7BCA" w:rsidRPr="00FD7BCA" w:rsidRDefault="00FD7BCA" w:rsidP="00FD7BCA">
            <w:pPr>
              <w:ind w:left="0" w:right="0"/>
              <w:rPr>
                <w:sz w:val="18"/>
                <w:szCs w:val="18"/>
              </w:rPr>
            </w:pPr>
            <w:r w:rsidRPr="00FD7BCA">
              <w:rPr>
                <w:sz w:val="18"/>
                <w:szCs w:val="18"/>
              </w:rPr>
              <w:t>600 L + 60 I</w:t>
            </w:r>
          </w:p>
        </w:tc>
        <w:tc>
          <w:tcPr>
            <w:tcW w:w="681" w:type="dxa"/>
            <w:gridSpan w:val="2"/>
          </w:tcPr>
          <w:p w14:paraId="3C9F1EB9" w14:textId="77777777" w:rsidR="00FD7BCA" w:rsidRPr="00FD7BCA" w:rsidRDefault="00FD7BCA" w:rsidP="00FD7BCA">
            <w:pPr>
              <w:ind w:left="0" w:right="0"/>
              <w:rPr>
                <w:sz w:val="18"/>
                <w:szCs w:val="18"/>
              </w:rPr>
            </w:pPr>
            <w:r w:rsidRPr="00FD7BCA">
              <w:rPr>
                <w:sz w:val="18"/>
                <w:szCs w:val="18"/>
              </w:rPr>
              <w:t>316</w:t>
            </w:r>
          </w:p>
        </w:tc>
        <w:tc>
          <w:tcPr>
            <w:tcW w:w="681" w:type="dxa"/>
          </w:tcPr>
          <w:p w14:paraId="3F6A772C" w14:textId="77777777" w:rsidR="00FD7BCA" w:rsidRPr="00FD7BCA" w:rsidRDefault="00FD7BCA" w:rsidP="00FD7BCA">
            <w:pPr>
              <w:ind w:left="0" w:right="0"/>
              <w:rPr>
                <w:sz w:val="18"/>
                <w:szCs w:val="18"/>
              </w:rPr>
            </w:pPr>
            <w:r w:rsidRPr="00FD7BCA">
              <w:rPr>
                <w:sz w:val="18"/>
                <w:szCs w:val="18"/>
              </w:rPr>
              <w:t>459</w:t>
            </w:r>
          </w:p>
        </w:tc>
        <w:tc>
          <w:tcPr>
            <w:tcW w:w="632" w:type="dxa"/>
          </w:tcPr>
          <w:p w14:paraId="726AB643" w14:textId="77777777" w:rsidR="00FD7BCA" w:rsidRPr="00FD7BCA" w:rsidRDefault="00FD7BCA" w:rsidP="00FD7BCA">
            <w:pPr>
              <w:ind w:left="0" w:right="0"/>
              <w:rPr>
                <w:sz w:val="18"/>
                <w:szCs w:val="18"/>
              </w:rPr>
            </w:pPr>
            <w:r w:rsidRPr="00FD7BCA">
              <w:rPr>
                <w:sz w:val="18"/>
                <w:szCs w:val="18"/>
              </w:rPr>
              <w:t>0.8</w:t>
            </w:r>
          </w:p>
        </w:tc>
        <w:tc>
          <w:tcPr>
            <w:tcW w:w="636" w:type="dxa"/>
          </w:tcPr>
          <w:p w14:paraId="02DF1C08" w14:textId="77777777" w:rsidR="00FD7BCA" w:rsidRPr="00FD7BCA" w:rsidRDefault="00FD7BCA" w:rsidP="00FD7BCA">
            <w:pPr>
              <w:ind w:left="0" w:right="0"/>
              <w:rPr>
                <w:sz w:val="18"/>
                <w:szCs w:val="18"/>
              </w:rPr>
            </w:pPr>
            <w:r w:rsidRPr="00FD7BCA">
              <w:rPr>
                <w:sz w:val="18"/>
                <w:szCs w:val="18"/>
              </w:rPr>
              <w:t>1.2</w:t>
            </w:r>
          </w:p>
        </w:tc>
        <w:tc>
          <w:tcPr>
            <w:tcW w:w="1021" w:type="dxa"/>
          </w:tcPr>
          <w:p w14:paraId="444323C4" w14:textId="77777777" w:rsidR="00FD7BCA" w:rsidRPr="00FD7BCA" w:rsidRDefault="00FD7BCA" w:rsidP="00FD7BCA">
            <w:pPr>
              <w:ind w:left="0" w:right="0"/>
              <w:rPr>
                <w:sz w:val="18"/>
                <w:szCs w:val="18"/>
              </w:rPr>
            </w:pPr>
            <w:r w:rsidRPr="00FD7BCA">
              <w:rPr>
                <w:sz w:val="18"/>
                <w:szCs w:val="18"/>
              </w:rPr>
              <w:t>328</w:t>
            </w:r>
          </w:p>
        </w:tc>
        <w:tc>
          <w:tcPr>
            <w:tcW w:w="916" w:type="dxa"/>
          </w:tcPr>
          <w:p w14:paraId="5EBFED45" w14:textId="77777777" w:rsidR="00FD7BCA" w:rsidRPr="00FD7BCA" w:rsidRDefault="00FD7BCA" w:rsidP="00FD7BCA">
            <w:pPr>
              <w:ind w:left="0" w:right="0"/>
              <w:rPr>
                <w:sz w:val="18"/>
                <w:szCs w:val="18"/>
              </w:rPr>
            </w:pPr>
            <w:r w:rsidRPr="00FD7BCA">
              <w:rPr>
                <w:sz w:val="18"/>
                <w:szCs w:val="18"/>
              </w:rPr>
              <w:t>45</w:t>
            </w:r>
          </w:p>
        </w:tc>
      </w:tr>
      <w:tr w:rsidR="00FD7BCA" w:rsidRPr="00FD7BCA" w14:paraId="2735D947" w14:textId="77777777" w:rsidTr="00782417">
        <w:trPr>
          <w:trHeight w:val="330"/>
        </w:trPr>
        <w:tc>
          <w:tcPr>
            <w:tcW w:w="1101" w:type="dxa"/>
            <w:vMerge/>
          </w:tcPr>
          <w:p w14:paraId="513A4EDA" w14:textId="77777777" w:rsidR="00FD7BCA" w:rsidRPr="00FD7BCA" w:rsidRDefault="00FD7BCA" w:rsidP="00FD7BCA">
            <w:pPr>
              <w:ind w:left="0" w:right="0"/>
              <w:rPr>
                <w:sz w:val="18"/>
                <w:szCs w:val="18"/>
              </w:rPr>
            </w:pPr>
          </w:p>
        </w:tc>
        <w:tc>
          <w:tcPr>
            <w:tcW w:w="1772" w:type="dxa"/>
            <w:vMerge w:val="restart"/>
          </w:tcPr>
          <w:p w14:paraId="44EFE8BF" w14:textId="77777777" w:rsidR="00FD7BCA" w:rsidRPr="00FD7BCA" w:rsidRDefault="00FD7BCA" w:rsidP="00FD7BCA">
            <w:pPr>
              <w:ind w:left="0" w:right="0"/>
              <w:rPr>
                <w:sz w:val="18"/>
                <w:szCs w:val="18"/>
              </w:rPr>
            </w:pPr>
            <w:r w:rsidRPr="00FD7BCA">
              <w:rPr>
                <w:sz w:val="18"/>
                <w:szCs w:val="18"/>
              </w:rPr>
              <w:t>3 months</w:t>
            </w:r>
          </w:p>
          <w:p w14:paraId="42C0C246" w14:textId="77777777" w:rsidR="00FD7BCA" w:rsidRPr="00FD7BCA" w:rsidRDefault="00026051" w:rsidP="00FD7BCA">
            <w:pPr>
              <w:ind w:left="0" w:right="0"/>
              <w:rPr>
                <w:sz w:val="18"/>
                <w:szCs w:val="18"/>
              </w:rPr>
            </w:pPr>
            <w:r>
              <w:rPr>
                <w:sz w:val="18"/>
                <w:szCs w:val="18"/>
              </w:rPr>
              <w:t>(</w:t>
            </w:r>
            <w:r w:rsidR="00FD7BCA" w:rsidRPr="00FD7BCA">
              <w:rPr>
                <w:sz w:val="18"/>
                <w:szCs w:val="18"/>
              </w:rPr>
              <w:t>Study VX-809-TX-008</w:t>
            </w:r>
            <w:r>
              <w:rPr>
                <w:sz w:val="18"/>
                <w:szCs w:val="18"/>
              </w:rPr>
              <w:t>)</w:t>
            </w:r>
          </w:p>
        </w:tc>
        <w:tc>
          <w:tcPr>
            <w:tcW w:w="1360" w:type="dxa"/>
          </w:tcPr>
          <w:p w14:paraId="77E9DDEE" w14:textId="77777777" w:rsidR="00FD7BCA" w:rsidRPr="00FD7BCA" w:rsidRDefault="00FD7BCA" w:rsidP="00FD7BCA">
            <w:pPr>
              <w:ind w:left="0" w:right="0"/>
              <w:rPr>
                <w:sz w:val="18"/>
                <w:szCs w:val="18"/>
              </w:rPr>
            </w:pPr>
            <w:r w:rsidRPr="00FD7BCA">
              <w:rPr>
                <w:sz w:val="18"/>
                <w:szCs w:val="18"/>
              </w:rPr>
              <w:t>125</w:t>
            </w:r>
          </w:p>
        </w:tc>
        <w:tc>
          <w:tcPr>
            <w:tcW w:w="1362" w:type="dxa"/>
            <w:gridSpan w:val="3"/>
          </w:tcPr>
          <w:p w14:paraId="61F3DFE1" w14:textId="77777777" w:rsidR="00FD7BCA" w:rsidRPr="00FD7BCA" w:rsidRDefault="00FD7BCA" w:rsidP="00FD7BCA">
            <w:pPr>
              <w:ind w:left="0" w:right="0"/>
              <w:rPr>
                <w:sz w:val="18"/>
                <w:szCs w:val="18"/>
              </w:rPr>
            </w:pPr>
            <w:r w:rsidRPr="00FD7BCA">
              <w:rPr>
                <w:sz w:val="18"/>
                <w:szCs w:val="18"/>
              </w:rPr>
              <w:t>266</w:t>
            </w:r>
          </w:p>
        </w:tc>
        <w:tc>
          <w:tcPr>
            <w:tcW w:w="1268" w:type="dxa"/>
            <w:gridSpan w:val="2"/>
          </w:tcPr>
          <w:p w14:paraId="63E0B4A5" w14:textId="77777777" w:rsidR="00FD7BCA" w:rsidRPr="00FD7BCA" w:rsidRDefault="00FD7BCA" w:rsidP="00FD7BCA">
            <w:pPr>
              <w:ind w:left="0" w:right="0"/>
              <w:rPr>
                <w:sz w:val="18"/>
                <w:szCs w:val="18"/>
              </w:rPr>
            </w:pPr>
            <w:r w:rsidRPr="00FD7BCA">
              <w:rPr>
                <w:sz w:val="18"/>
                <w:szCs w:val="18"/>
              </w:rPr>
              <w:t>0.7</w:t>
            </w:r>
          </w:p>
        </w:tc>
        <w:tc>
          <w:tcPr>
            <w:tcW w:w="1021" w:type="dxa"/>
          </w:tcPr>
          <w:p w14:paraId="3E7F0C16" w14:textId="77777777" w:rsidR="00FD7BCA" w:rsidRPr="00FD7BCA" w:rsidRDefault="00FD7BCA" w:rsidP="00FD7BCA">
            <w:pPr>
              <w:ind w:left="0" w:right="0"/>
              <w:rPr>
                <w:sz w:val="18"/>
                <w:szCs w:val="18"/>
              </w:rPr>
            </w:pPr>
            <w:r w:rsidRPr="00FD7BCA">
              <w:rPr>
                <w:sz w:val="18"/>
                <w:szCs w:val="18"/>
              </w:rPr>
              <w:t>–</w:t>
            </w:r>
          </w:p>
        </w:tc>
        <w:tc>
          <w:tcPr>
            <w:tcW w:w="916" w:type="dxa"/>
          </w:tcPr>
          <w:p w14:paraId="2AFF8248" w14:textId="77777777" w:rsidR="00FD7BCA" w:rsidRPr="00FD7BCA" w:rsidRDefault="00FD7BCA" w:rsidP="00FD7BCA">
            <w:pPr>
              <w:ind w:left="0" w:right="0"/>
              <w:rPr>
                <w:sz w:val="18"/>
                <w:szCs w:val="18"/>
              </w:rPr>
            </w:pPr>
            <w:r w:rsidRPr="00FD7BCA">
              <w:rPr>
                <w:sz w:val="18"/>
                <w:szCs w:val="18"/>
              </w:rPr>
              <w:t>–</w:t>
            </w:r>
          </w:p>
        </w:tc>
      </w:tr>
      <w:tr w:rsidR="00FD7BCA" w:rsidRPr="00FD7BCA" w14:paraId="1A04FC89" w14:textId="77777777" w:rsidTr="00782417">
        <w:trPr>
          <w:trHeight w:val="330"/>
        </w:trPr>
        <w:tc>
          <w:tcPr>
            <w:tcW w:w="1101" w:type="dxa"/>
            <w:vMerge/>
          </w:tcPr>
          <w:p w14:paraId="57DD3974" w14:textId="77777777" w:rsidR="00FD7BCA" w:rsidRPr="00FD7BCA" w:rsidRDefault="00FD7BCA" w:rsidP="00FD7BCA">
            <w:pPr>
              <w:ind w:left="0" w:right="0"/>
              <w:rPr>
                <w:sz w:val="18"/>
                <w:szCs w:val="18"/>
              </w:rPr>
            </w:pPr>
          </w:p>
        </w:tc>
        <w:tc>
          <w:tcPr>
            <w:tcW w:w="1772" w:type="dxa"/>
            <w:vMerge/>
          </w:tcPr>
          <w:p w14:paraId="5CF20DFA" w14:textId="77777777" w:rsidR="00FD7BCA" w:rsidRPr="00FD7BCA" w:rsidRDefault="00FD7BCA" w:rsidP="00FD7BCA">
            <w:pPr>
              <w:ind w:left="0" w:right="0"/>
              <w:rPr>
                <w:sz w:val="18"/>
                <w:szCs w:val="18"/>
              </w:rPr>
            </w:pPr>
          </w:p>
        </w:tc>
        <w:tc>
          <w:tcPr>
            <w:tcW w:w="1360" w:type="dxa"/>
          </w:tcPr>
          <w:p w14:paraId="4D0F0CCE" w14:textId="77777777" w:rsidR="00FD7BCA" w:rsidRPr="00FD7BCA" w:rsidRDefault="00FD7BCA" w:rsidP="00FD7BCA">
            <w:pPr>
              <w:ind w:left="0" w:right="0"/>
              <w:rPr>
                <w:sz w:val="18"/>
                <w:szCs w:val="18"/>
              </w:rPr>
            </w:pPr>
            <w:r w:rsidRPr="00FD7BCA">
              <w:rPr>
                <w:sz w:val="18"/>
                <w:szCs w:val="18"/>
              </w:rPr>
              <w:t>250</w:t>
            </w:r>
          </w:p>
        </w:tc>
        <w:tc>
          <w:tcPr>
            <w:tcW w:w="1362" w:type="dxa"/>
            <w:gridSpan w:val="3"/>
          </w:tcPr>
          <w:p w14:paraId="556B24A2" w14:textId="77777777" w:rsidR="00FD7BCA" w:rsidRPr="00FD7BCA" w:rsidRDefault="00FD7BCA" w:rsidP="00FD7BCA">
            <w:pPr>
              <w:ind w:left="0" w:right="0"/>
              <w:rPr>
                <w:sz w:val="18"/>
                <w:szCs w:val="18"/>
              </w:rPr>
            </w:pPr>
            <w:r w:rsidRPr="00FD7BCA">
              <w:rPr>
                <w:sz w:val="18"/>
                <w:szCs w:val="18"/>
              </w:rPr>
              <w:t>581</w:t>
            </w:r>
          </w:p>
        </w:tc>
        <w:tc>
          <w:tcPr>
            <w:tcW w:w="1268" w:type="dxa"/>
            <w:gridSpan w:val="2"/>
          </w:tcPr>
          <w:p w14:paraId="0A6946FA" w14:textId="77777777" w:rsidR="00FD7BCA" w:rsidRPr="00FD7BCA" w:rsidRDefault="00FD7BCA" w:rsidP="00FD7BCA">
            <w:pPr>
              <w:ind w:left="0" w:right="0"/>
              <w:rPr>
                <w:sz w:val="18"/>
                <w:szCs w:val="18"/>
              </w:rPr>
            </w:pPr>
            <w:r w:rsidRPr="00FD7BCA">
              <w:rPr>
                <w:sz w:val="18"/>
                <w:szCs w:val="18"/>
              </w:rPr>
              <w:t>1.5</w:t>
            </w:r>
          </w:p>
        </w:tc>
        <w:tc>
          <w:tcPr>
            <w:tcW w:w="1021" w:type="dxa"/>
          </w:tcPr>
          <w:p w14:paraId="03D49C6C" w14:textId="77777777" w:rsidR="00FD7BCA" w:rsidRPr="00FD7BCA" w:rsidRDefault="00FD7BCA" w:rsidP="00FD7BCA">
            <w:pPr>
              <w:ind w:left="0" w:right="0"/>
              <w:rPr>
                <w:sz w:val="18"/>
                <w:szCs w:val="18"/>
              </w:rPr>
            </w:pPr>
            <w:r w:rsidRPr="00FD7BCA">
              <w:rPr>
                <w:sz w:val="18"/>
                <w:szCs w:val="18"/>
              </w:rPr>
              <w:t>–</w:t>
            </w:r>
          </w:p>
        </w:tc>
        <w:tc>
          <w:tcPr>
            <w:tcW w:w="916" w:type="dxa"/>
          </w:tcPr>
          <w:p w14:paraId="0E81862C" w14:textId="77777777" w:rsidR="00FD7BCA" w:rsidRPr="00FD7BCA" w:rsidRDefault="00FD7BCA" w:rsidP="00FD7BCA">
            <w:pPr>
              <w:ind w:left="0" w:right="0"/>
              <w:rPr>
                <w:sz w:val="18"/>
                <w:szCs w:val="18"/>
              </w:rPr>
            </w:pPr>
            <w:r w:rsidRPr="00FD7BCA">
              <w:rPr>
                <w:sz w:val="18"/>
                <w:szCs w:val="18"/>
              </w:rPr>
              <w:t>–</w:t>
            </w:r>
          </w:p>
        </w:tc>
      </w:tr>
      <w:tr w:rsidR="00FD7BCA" w:rsidRPr="00FD7BCA" w14:paraId="688E0558" w14:textId="77777777" w:rsidTr="00782417">
        <w:trPr>
          <w:trHeight w:val="330"/>
        </w:trPr>
        <w:tc>
          <w:tcPr>
            <w:tcW w:w="1101" w:type="dxa"/>
            <w:vMerge/>
          </w:tcPr>
          <w:p w14:paraId="4C58D03C" w14:textId="77777777" w:rsidR="00FD7BCA" w:rsidRPr="00FD7BCA" w:rsidRDefault="00FD7BCA" w:rsidP="00FD7BCA">
            <w:pPr>
              <w:ind w:left="0" w:right="0"/>
              <w:rPr>
                <w:sz w:val="18"/>
                <w:szCs w:val="18"/>
              </w:rPr>
            </w:pPr>
          </w:p>
        </w:tc>
        <w:tc>
          <w:tcPr>
            <w:tcW w:w="1772" w:type="dxa"/>
            <w:vMerge/>
          </w:tcPr>
          <w:p w14:paraId="06397E0B" w14:textId="77777777" w:rsidR="00FD7BCA" w:rsidRPr="00FD7BCA" w:rsidRDefault="00FD7BCA" w:rsidP="00FD7BCA">
            <w:pPr>
              <w:ind w:left="0" w:right="0"/>
              <w:rPr>
                <w:sz w:val="18"/>
                <w:szCs w:val="18"/>
              </w:rPr>
            </w:pPr>
          </w:p>
        </w:tc>
        <w:tc>
          <w:tcPr>
            <w:tcW w:w="1360" w:type="dxa"/>
          </w:tcPr>
          <w:p w14:paraId="66A52337" w14:textId="77777777" w:rsidR="00FD7BCA" w:rsidRPr="00FD7BCA" w:rsidRDefault="00FD7BCA" w:rsidP="00FD7BCA">
            <w:pPr>
              <w:ind w:left="0" w:right="0"/>
              <w:rPr>
                <w:sz w:val="18"/>
                <w:szCs w:val="18"/>
              </w:rPr>
            </w:pPr>
            <w:r w:rsidRPr="00FD7BCA">
              <w:rPr>
                <w:sz w:val="18"/>
                <w:szCs w:val="18"/>
              </w:rPr>
              <w:t>500</w:t>
            </w:r>
          </w:p>
        </w:tc>
        <w:tc>
          <w:tcPr>
            <w:tcW w:w="1362" w:type="dxa"/>
            <w:gridSpan w:val="3"/>
          </w:tcPr>
          <w:p w14:paraId="6844F029" w14:textId="77777777" w:rsidR="00FD7BCA" w:rsidRPr="00FD7BCA" w:rsidRDefault="00FD7BCA" w:rsidP="00FD7BCA">
            <w:pPr>
              <w:ind w:left="0" w:right="0"/>
              <w:rPr>
                <w:sz w:val="18"/>
                <w:szCs w:val="18"/>
              </w:rPr>
            </w:pPr>
            <w:r w:rsidRPr="00FD7BCA">
              <w:rPr>
                <w:sz w:val="18"/>
                <w:szCs w:val="18"/>
              </w:rPr>
              <w:t>915</w:t>
            </w:r>
          </w:p>
        </w:tc>
        <w:tc>
          <w:tcPr>
            <w:tcW w:w="1268" w:type="dxa"/>
            <w:gridSpan w:val="2"/>
          </w:tcPr>
          <w:p w14:paraId="37BE4669" w14:textId="77777777" w:rsidR="00FD7BCA" w:rsidRPr="00FD7BCA" w:rsidRDefault="00FD7BCA" w:rsidP="00FD7BCA">
            <w:pPr>
              <w:ind w:left="0" w:right="0"/>
              <w:rPr>
                <w:sz w:val="18"/>
                <w:szCs w:val="18"/>
              </w:rPr>
            </w:pPr>
            <w:r w:rsidRPr="00FD7BCA">
              <w:rPr>
                <w:sz w:val="18"/>
                <w:szCs w:val="18"/>
              </w:rPr>
              <w:t>2.3</w:t>
            </w:r>
          </w:p>
        </w:tc>
        <w:tc>
          <w:tcPr>
            <w:tcW w:w="1021" w:type="dxa"/>
          </w:tcPr>
          <w:p w14:paraId="19A00B1B" w14:textId="77777777" w:rsidR="00FD7BCA" w:rsidRPr="00FD7BCA" w:rsidRDefault="00FD7BCA" w:rsidP="00FD7BCA">
            <w:pPr>
              <w:ind w:left="0" w:right="0"/>
              <w:rPr>
                <w:sz w:val="18"/>
                <w:szCs w:val="18"/>
              </w:rPr>
            </w:pPr>
            <w:r w:rsidRPr="00FD7BCA">
              <w:rPr>
                <w:sz w:val="18"/>
                <w:szCs w:val="18"/>
              </w:rPr>
              <w:t>–</w:t>
            </w:r>
          </w:p>
        </w:tc>
        <w:tc>
          <w:tcPr>
            <w:tcW w:w="916" w:type="dxa"/>
          </w:tcPr>
          <w:p w14:paraId="2BD6BFEF" w14:textId="77777777" w:rsidR="00FD7BCA" w:rsidRPr="00FD7BCA" w:rsidRDefault="00FD7BCA" w:rsidP="00FD7BCA">
            <w:pPr>
              <w:ind w:left="0" w:right="0"/>
              <w:rPr>
                <w:sz w:val="18"/>
                <w:szCs w:val="18"/>
              </w:rPr>
            </w:pPr>
            <w:r w:rsidRPr="00FD7BCA">
              <w:rPr>
                <w:sz w:val="18"/>
                <w:szCs w:val="18"/>
              </w:rPr>
              <w:t>–</w:t>
            </w:r>
          </w:p>
        </w:tc>
      </w:tr>
      <w:tr w:rsidR="00FD7BCA" w:rsidRPr="00FD7BCA" w14:paraId="422074DA" w14:textId="77777777" w:rsidTr="00782417">
        <w:trPr>
          <w:trHeight w:val="330"/>
        </w:trPr>
        <w:tc>
          <w:tcPr>
            <w:tcW w:w="1101" w:type="dxa"/>
            <w:vMerge/>
          </w:tcPr>
          <w:p w14:paraId="2B6FF2C9" w14:textId="77777777" w:rsidR="00FD7BCA" w:rsidRPr="00FD7BCA" w:rsidRDefault="00FD7BCA" w:rsidP="00FD7BCA">
            <w:pPr>
              <w:ind w:left="0" w:right="0"/>
              <w:rPr>
                <w:sz w:val="18"/>
                <w:szCs w:val="18"/>
              </w:rPr>
            </w:pPr>
          </w:p>
        </w:tc>
        <w:tc>
          <w:tcPr>
            <w:tcW w:w="1772" w:type="dxa"/>
            <w:vMerge/>
          </w:tcPr>
          <w:p w14:paraId="00C1DF7E" w14:textId="77777777" w:rsidR="00FD7BCA" w:rsidRPr="00FD7BCA" w:rsidRDefault="00FD7BCA" w:rsidP="00FD7BCA">
            <w:pPr>
              <w:ind w:left="0" w:right="0"/>
              <w:rPr>
                <w:sz w:val="18"/>
                <w:szCs w:val="18"/>
              </w:rPr>
            </w:pPr>
          </w:p>
        </w:tc>
        <w:tc>
          <w:tcPr>
            <w:tcW w:w="1360" w:type="dxa"/>
          </w:tcPr>
          <w:p w14:paraId="28A7896A" w14:textId="77777777" w:rsidR="00FD7BCA" w:rsidRPr="00FD7BCA" w:rsidRDefault="00FD7BCA" w:rsidP="00FD7BCA">
            <w:pPr>
              <w:ind w:left="0" w:right="0"/>
              <w:rPr>
                <w:sz w:val="18"/>
                <w:szCs w:val="18"/>
              </w:rPr>
            </w:pPr>
            <w:r w:rsidRPr="00FD7BCA">
              <w:rPr>
                <w:sz w:val="18"/>
                <w:szCs w:val="18"/>
              </w:rPr>
              <w:t>1000</w:t>
            </w:r>
          </w:p>
        </w:tc>
        <w:tc>
          <w:tcPr>
            <w:tcW w:w="1362" w:type="dxa"/>
            <w:gridSpan w:val="3"/>
          </w:tcPr>
          <w:p w14:paraId="3E4F7A88" w14:textId="77777777" w:rsidR="00FD7BCA" w:rsidRPr="00FD7BCA" w:rsidRDefault="00FD7BCA" w:rsidP="00FD7BCA">
            <w:pPr>
              <w:ind w:left="0" w:right="0"/>
              <w:rPr>
                <w:sz w:val="18"/>
                <w:szCs w:val="18"/>
              </w:rPr>
            </w:pPr>
            <w:r w:rsidRPr="00FD7BCA">
              <w:rPr>
                <w:sz w:val="18"/>
                <w:szCs w:val="18"/>
              </w:rPr>
              <w:t>1405</w:t>
            </w:r>
          </w:p>
        </w:tc>
        <w:tc>
          <w:tcPr>
            <w:tcW w:w="1268" w:type="dxa"/>
            <w:gridSpan w:val="2"/>
          </w:tcPr>
          <w:p w14:paraId="0A1C7C47" w14:textId="77777777" w:rsidR="00FD7BCA" w:rsidRPr="00FD7BCA" w:rsidRDefault="00FD7BCA" w:rsidP="00FD7BCA">
            <w:pPr>
              <w:ind w:left="0" w:right="0"/>
              <w:rPr>
                <w:sz w:val="18"/>
                <w:szCs w:val="18"/>
              </w:rPr>
            </w:pPr>
            <w:r w:rsidRPr="00FD7BCA">
              <w:rPr>
                <w:sz w:val="18"/>
                <w:szCs w:val="18"/>
              </w:rPr>
              <w:t>3.5</w:t>
            </w:r>
          </w:p>
        </w:tc>
        <w:tc>
          <w:tcPr>
            <w:tcW w:w="1021" w:type="dxa"/>
          </w:tcPr>
          <w:p w14:paraId="01D868E4" w14:textId="77777777" w:rsidR="00FD7BCA" w:rsidRPr="00FD7BCA" w:rsidRDefault="00FD7BCA" w:rsidP="00FD7BCA">
            <w:pPr>
              <w:ind w:left="0" w:right="0"/>
              <w:rPr>
                <w:sz w:val="18"/>
                <w:szCs w:val="18"/>
              </w:rPr>
            </w:pPr>
            <w:r w:rsidRPr="00FD7BCA">
              <w:rPr>
                <w:sz w:val="18"/>
                <w:szCs w:val="18"/>
              </w:rPr>
              <w:t>–</w:t>
            </w:r>
          </w:p>
        </w:tc>
        <w:tc>
          <w:tcPr>
            <w:tcW w:w="916" w:type="dxa"/>
          </w:tcPr>
          <w:p w14:paraId="663CB609" w14:textId="77777777" w:rsidR="00FD7BCA" w:rsidRPr="00FD7BCA" w:rsidRDefault="00FD7BCA" w:rsidP="00FD7BCA">
            <w:pPr>
              <w:ind w:left="0" w:right="0"/>
              <w:rPr>
                <w:sz w:val="18"/>
                <w:szCs w:val="18"/>
              </w:rPr>
            </w:pPr>
            <w:r w:rsidRPr="00FD7BCA">
              <w:rPr>
                <w:sz w:val="18"/>
                <w:szCs w:val="18"/>
              </w:rPr>
              <w:t>–</w:t>
            </w:r>
          </w:p>
        </w:tc>
      </w:tr>
      <w:tr w:rsidR="00FD7BCA" w:rsidRPr="00FD7BCA" w14:paraId="384AF936" w14:textId="77777777" w:rsidTr="00782417">
        <w:trPr>
          <w:trHeight w:val="330"/>
        </w:trPr>
        <w:tc>
          <w:tcPr>
            <w:tcW w:w="1101" w:type="dxa"/>
            <w:vMerge/>
          </w:tcPr>
          <w:p w14:paraId="722FAA28" w14:textId="77777777" w:rsidR="00FD7BCA" w:rsidRPr="00FD7BCA" w:rsidRDefault="00FD7BCA" w:rsidP="00FD7BCA">
            <w:pPr>
              <w:ind w:left="0" w:right="0"/>
              <w:rPr>
                <w:sz w:val="18"/>
                <w:szCs w:val="18"/>
              </w:rPr>
            </w:pPr>
          </w:p>
        </w:tc>
        <w:tc>
          <w:tcPr>
            <w:tcW w:w="1772" w:type="dxa"/>
            <w:vMerge w:val="restart"/>
          </w:tcPr>
          <w:p w14:paraId="299FAE01" w14:textId="77777777" w:rsidR="00FD7BCA" w:rsidRPr="00FD7BCA" w:rsidRDefault="00FD7BCA" w:rsidP="00FD7BCA">
            <w:pPr>
              <w:ind w:left="0" w:right="0"/>
              <w:rPr>
                <w:sz w:val="18"/>
                <w:szCs w:val="18"/>
              </w:rPr>
            </w:pPr>
            <w:r w:rsidRPr="00FD7BCA">
              <w:rPr>
                <w:sz w:val="18"/>
                <w:szCs w:val="18"/>
              </w:rPr>
              <w:t>12 months</w:t>
            </w:r>
          </w:p>
          <w:p w14:paraId="6DE31E5F" w14:textId="378590C0" w:rsidR="00FD7BCA" w:rsidRPr="00FD7BCA" w:rsidRDefault="00026051" w:rsidP="00FD7BCA">
            <w:pPr>
              <w:ind w:left="0" w:right="0"/>
              <w:rPr>
                <w:sz w:val="18"/>
                <w:szCs w:val="18"/>
              </w:rPr>
            </w:pPr>
            <w:r>
              <w:rPr>
                <w:sz w:val="18"/>
                <w:szCs w:val="18"/>
              </w:rPr>
              <w:t>(</w:t>
            </w:r>
            <w:r w:rsidR="008B5A3E">
              <w:rPr>
                <w:sz w:val="18"/>
                <w:szCs w:val="18"/>
              </w:rPr>
              <w:t xml:space="preserve">pivotal lumacaftor; </w:t>
            </w:r>
            <w:r w:rsidR="00FD7BCA" w:rsidRPr="00FD7BCA">
              <w:rPr>
                <w:sz w:val="18"/>
                <w:szCs w:val="18"/>
              </w:rPr>
              <w:t>Study VX-809-TX-014</w:t>
            </w:r>
            <w:r>
              <w:rPr>
                <w:sz w:val="18"/>
                <w:szCs w:val="18"/>
              </w:rPr>
              <w:t>)</w:t>
            </w:r>
          </w:p>
        </w:tc>
        <w:tc>
          <w:tcPr>
            <w:tcW w:w="1360" w:type="dxa"/>
          </w:tcPr>
          <w:p w14:paraId="3D1123B0" w14:textId="77777777" w:rsidR="00FD7BCA" w:rsidRPr="00FD7BCA" w:rsidRDefault="00FD7BCA" w:rsidP="00FD7BCA">
            <w:pPr>
              <w:ind w:left="0" w:right="0"/>
              <w:rPr>
                <w:sz w:val="18"/>
                <w:szCs w:val="18"/>
              </w:rPr>
            </w:pPr>
            <w:r w:rsidRPr="00FD7BCA">
              <w:rPr>
                <w:sz w:val="18"/>
                <w:szCs w:val="18"/>
              </w:rPr>
              <w:t>125</w:t>
            </w:r>
            <w:r w:rsidRPr="002760E1">
              <w:rPr>
                <w:sz w:val="18"/>
                <w:szCs w:val="18"/>
                <w:vertAlign w:val="superscript"/>
              </w:rPr>
              <w:t>d</w:t>
            </w:r>
          </w:p>
        </w:tc>
        <w:tc>
          <w:tcPr>
            <w:tcW w:w="1362" w:type="dxa"/>
            <w:gridSpan w:val="3"/>
          </w:tcPr>
          <w:p w14:paraId="5592F678" w14:textId="77777777" w:rsidR="00FD7BCA" w:rsidRPr="00FD7BCA" w:rsidRDefault="00FD7BCA" w:rsidP="00FD7BCA">
            <w:pPr>
              <w:ind w:left="0" w:right="0"/>
              <w:rPr>
                <w:sz w:val="18"/>
                <w:szCs w:val="18"/>
              </w:rPr>
            </w:pPr>
            <w:r w:rsidRPr="00FD7BCA">
              <w:rPr>
                <w:sz w:val="18"/>
                <w:szCs w:val="18"/>
              </w:rPr>
              <w:t>121</w:t>
            </w:r>
          </w:p>
        </w:tc>
        <w:tc>
          <w:tcPr>
            <w:tcW w:w="1268" w:type="dxa"/>
            <w:gridSpan w:val="2"/>
          </w:tcPr>
          <w:p w14:paraId="02064A24" w14:textId="77777777" w:rsidR="00FD7BCA" w:rsidRPr="00FD7BCA" w:rsidRDefault="00FD7BCA" w:rsidP="00FD7BCA">
            <w:pPr>
              <w:ind w:left="0" w:right="0"/>
              <w:rPr>
                <w:sz w:val="18"/>
                <w:szCs w:val="18"/>
              </w:rPr>
            </w:pPr>
            <w:r w:rsidRPr="00FD7BCA">
              <w:rPr>
                <w:sz w:val="18"/>
                <w:szCs w:val="18"/>
              </w:rPr>
              <w:t>0.3</w:t>
            </w:r>
          </w:p>
        </w:tc>
        <w:tc>
          <w:tcPr>
            <w:tcW w:w="1021" w:type="dxa"/>
          </w:tcPr>
          <w:p w14:paraId="4656F3CF" w14:textId="77777777" w:rsidR="00FD7BCA" w:rsidRPr="00FD7BCA" w:rsidRDefault="00FD7BCA" w:rsidP="00FD7BCA">
            <w:pPr>
              <w:ind w:left="0" w:right="0"/>
              <w:rPr>
                <w:sz w:val="18"/>
                <w:szCs w:val="18"/>
              </w:rPr>
            </w:pPr>
            <w:r w:rsidRPr="00FD7BCA">
              <w:rPr>
                <w:sz w:val="18"/>
                <w:szCs w:val="18"/>
              </w:rPr>
              <w:t>–</w:t>
            </w:r>
          </w:p>
        </w:tc>
        <w:tc>
          <w:tcPr>
            <w:tcW w:w="916" w:type="dxa"/>
          </w:tcPr>
          <w:p w14:paraId="10D436E7" w14:textId="77777777" w:rsidR="00FD7BCA" w:rsidRPr="00FD7BCA" w:rsidRDefault="00FD7BCA" w:rsidP="00FD7BCA">
            <w:pPr>
              <w:ind w:left="0" w:right="0"/>
              <w:rPr>
                <w:sz w:val="18"/>
                <w:szCs w:val="18"/>
              </w:rPr>
            </w:pPr>
            <w:r w:rsidRPr="00FD7BCA">
              <w:rPr>
                <w:sz w:val="18"/>
                <w:szCs w:val="18"/>
              </w:rPr>
              <w:t>–</w:t>
            </w:r>
          </w:p>
        </w:tc>
      </w:tr>
      <w:tr w:rsidR="00FD7BCA" w:rsidRPr="00FD7BCA" w14:paraId="7BCF2275" w14:textId="77777777" w:rsidTr="00782417">
        <w:trPr>
          <w:trHeight w:val="330"/>
        </w:trPr>
        <w:tc>
          <w:tcPr>
            <w:tcW w:w="1101" w:type="dxa"/>
            <w:vMerge/>
          </w:tcPr>
          <w:p w14:paraId="2F47566C" w14:textId="77777777" w:rsidR="00FD7BCA" w:rsidRPr="00FD7BCA" w:rsidRDefault="00FD7BCA" w:rsidP="00FD7BCA">
            <w:pPr>
              <w:ind w:left="0" w:right="0"/>
              <w:rPr>
                <w:sz w:val="18"/>
                <w:szCs w:val="18"/>
              </w:rPr>
            </w:pPr>
          </w:p>
        </w:tc>
        <w:tc>
          <w:tcPr>
            <w:tcW w:w="1772" w:type="dxa"/>
            <w:vMerge/>
          </w:tcPr>
          <w:p w14:paraId="5ECB43DA" w14:textId="77777777" w:rsidR="00FD7BCA" w:rsidRPr="00FD7BCA" w:rsidRDefault="00FD7BCA" w:rsidP="00FD7BCA">
            <w:pPr>
              <w:ind w:left="0" w:right="0"/>
              <w:rPr>
                <w:sz w:val="18"/>
                <w:szCs w:val="18"/>
              </w:rPr>
            </w:pPr>
          </w:p>
        </w:tc>
        <w:tc>
          <w:tcPr>
            <w:tcW w:w="1360" w:type="dxa"/>
          </w:tcPr>
          <w:p w14:paraId="36F6DB23" w14:textId="77777777" w:rsidR="00FD7BCA" w:rsidRPr="00FD7BCA" w:rsidRDefault="00FD7BCA" w:rsidP="00FD7BCA">
            <w:pPr>
              <w:ind w:left="0" w:right="0"/>
              <w:rPr>
                <w:sz w:val="18"/>
                <w:szCs w:val="18"/>
              </w:rPr>
            </w:pPr>
            <w:r w:rsidRPr="00FD7BCA">
              <w:rPr>
                <w:sz w:val="18"/>
                <w:szCs w:val="18"/>
              </w:rPr>
              <w:t>250</w:t>
            </w:r>
            <w:r w:rsidRPr="002760E1">
              <w:rPr>
                <w:sz w:val="18"/>
                <w:szCs w:val="18"/>
                <w:vertAlign w:val="superscript"/>
              </w:rPr>
              <w:t>d</w:t>
            </w:r>
          </w:p>
        </w:tc>
        <w:tc>
          <w:tcPr>
            <w:tcW w:w="1362" w:type="dxa"/>
            <w:gridSpan w:val="3"/>
          </w:tcPr>
          <w:p w14:paraId="3741987E" w14:textId="77777777" w:rsidR="00FD7BCA" w:rsidRPr="00FD7BCA" w:rsidRDefault="00FD7BCA" w:rsidP="00FD7BCA">
            <w:pPr>
              <w:ind w:left="0" w:right="0"/>
              <w:rPr>
                <w:sz w:val="18"/>
                <w:szCs w:val="18"/>
              </w:rPr>
            </w:pPr>
            <w:r w:rsidRPr="00FD7BCA">
              <w:rPr>
                <w:sz w:val="18"/>
                <w:szCs w:val="18"/>
              </w:rPr>
              <w:t>313</w:t>
            </w:r>
          </w:p>
        </w:tc>
        <w:tc>
          <w:tcPr>
            <w:tcW w:w="1268" w:type="dxa"/>
            <w:gridSpan w:val="2"/>
          </w:tcPr>
          <w:p w14:paraId="6A83FE40" w14:textId="77777777" w:rsidR="00FD7BCA" w:rsidRPr="00FD7BCA" w:rsidRDefault="00FD7BCA" w:rsidP="00FD7BCA">
            <w:pPr>
              <w:ind w:left="0" w:right="0"/>
              <w:rPr>
                <w:sz w:val="18"/>
                <w:szCs w:val="18"/>
              </w:rPr>
            </w:pPr>
            <w:r w:rsidRPr="00FD7BCA">
              <w:rPr>
                <w:sz w:val="18"/>
                <w:szCs w:val="18"/>
              </w:rPr>
              <w:t>0.8</w:t>
            </w:r>
          </w:p>
        </w:tc>
        <w:tc>
          <w:tcPr>
            <w:tcW w:w="1021" w:type="dxa"/>
          </w:tcPr>
          <w:p w14:paraId="64BDCD57" w14:textId="77777777" w:rsidR="00FD7BCA" w:rsidRPr="00FD7BCA" w:rsidRDefault="00FD7BCA" w:rsidP="00FD7BCA">
            <w:pPr>
              <w:ind w:left="0" w:right="0"/>
              <w:rPr>
                <w:sz w:val="18"/>
                <w:szCs w:val="18"/>
              </w:rPr>
            </w:pPr>
            <w:r w:rsidRPr="00FD7BCA">
              <w:rPr>
                <w:sz w:val="18"/>
                <w:szCs w:val="18"/>
              </w:rPr>
              <w:t>–</w:t>
            </w:r>
          </w:p>
        </w:tc>
        <w:tc>
          <w:tcPr>
            <w:tcW w:w="916" w:type="dxa"/>
          </w:tcPr>
          <w:p w14:paraId="607B789E" w14:textId="77777777" w:rsidR="00FD7BCA" w:rsidRPr="00FD7BCA" w:rsidRDefault="00FD7BCA" w:rsidP="00FD7BCA">
            <w:pPr>
              <w:ind w:left="0" w:right="0"/>
              <w:rPr>
                <w:sz w:val="18"/>
                <w:szCs w:val="18"/>
              </w:rPr>
            </w:pPr>
            <w:r w:rsidRPr="00FD7BCA">
              <w:rPr>
                <w:sz w:val="18"/>
                <w:szCs w:val="18"/>
              </w:rPr>
              <w:t>–</w:t>
            </w:r>
          </w:p>
        </w:tc>
      </w:tr>
      <w:tr w:rsidR="00FD7BCA" w:rsidRPr="00FD7BCA" w14:paraId="5F901B1E" w14:textId="77777777" w:rsidTr="00782417">
        <w:trPr>
          <w:trHeight w:val="330"/>
        </w:trPr>
        <w:tc>
          <w:tcPr>
            <w:tcW w:w="1101" w:type="dxa"/>
            <w:vMerge/>
          </w:tcPr>
          <w:p w14:paraId="5469D345" w14:textId="77777777" w:rsidR="00FD7BCA" w:rsidRPr="00FD7BCA" w:rsidRDefault="00FD7BCA" w:rsidP="00FD7BCA">
            <w:pPr>
              <w:ind w:left="0" w:right="0"/>
              <w:rPr>
                <w:sz w:val="18"/>
                <w:szCs w:val="18"/>
              </w:rPr>
            </w:pPr>
          </w:p>
        </w:tc>
        <w:tc>
          <w:tcPr>
            <w:tcW w:w="1772" w:type="dxa"/>
            <w:vMerge/>
          </w:tcPr>
          <w:p w14:paraId="7ADAE623" w14:textId="77777777" w:rsidR="00FD7BCA" w:rsidRPr="00FD7BCA" w:rsidRDefault="00FD7BCA" w:rsidP="00FD7BCA">
            <w:pPr>
              <w:ind w:left="0" w:right="0"/>
              <w:rPr>
                <w:sz w:val="18"/>
                <w:szCs w:val="18"/>
              </w:rPr>
            </w:pPr>
          </w:p>
        </w:tc>
        <w:tc>
          <w:tcPr>
            <w:tcW w:w="1360" w:type="dxa"/>
          </w:tcPr>
          <w:p w14:paraId="3ABBD862" w14:textId="77777777" w:rsidR="00FD7BCA" w:rsidRPr="00FD7BCA" w:rsidRDefault="00FD7BCA" w:rsidP="00FD7BCA">
            <w:pPr>
              <w:ind w:left="0" w:right="0"/>
              <w:rPr>
                <w:sz w:val="18"/>
                <w:szCs w:val="18"/>
              </w:rPr>
            </w:pPr>
            <w:r w:rsidRPr="00FD7BCA">
              <w:rPr>
                <w:sz w:val="18"/>
                <w:szCs w:val="18"/>
              </w:rPr>
              <w:t>500</w:t>
            </w:r>
            <w:r w:rsidRPr="002760E1">
              <w:rPr>
                <w:sz w:val="18"/>
                <w:szCs w:val="18"/>
                <w:vertAlign w:val="superscript"/>
              </w:rPr>
              <w:t>d</w:t>
            </w:r>
          </w:p>
        </w:tc>
        <w:tc>
          <w:tcPr>
            <w:tcW w:w="1362" w:type="dxa"/>
            <w:gridSpan w:val="3"/>
          </w:tcPr>
          <w:p w14:paraId="5368F141" w14:textId="77777777" w:rsidR="00FD7BCA" w:rsidRPr="00FD7BCA" w:rsidRDefault="00FD7BCA" w:rsidP="00FD7BCA">
            <w:pPr>
              <w:ind w:left="0" w:right="0"/>
              <w:rPr>
                <w:sz w:val="18"/>
                <w:szCs w:val="18"/>
              </w:rPr>
            </w:pPr>
            <w:r w:rsidRPr="00FD7BCA">
              <w:rPr>
                <w:sz w:val="18"/>
                <w:szCs w:val="18"/>
              </w:rPr>
              <w:t>472</w:t>
            </w:r>
          </w:p>
        </w:tc>
        <w:tc>
          <w:tcPr>
            <w:tcW w:w="1268" w:type="dxa"/>
            <w:gridSpan w:val="2"/>
          </w:tcPr>
          <w:p w14:paraId="7BFC39A7" w14:textId="77777777" w:rsidR="00FD7BCA" w:rsidRPr="00FD7BCA" w:rsidRDefault="00FD7BCA" w:rsidP="00FD7BCA">
            <w:pPr>
              <w:ind w:left="0" w:right="0"/>
              <w:rPr>
                <w:sz w:val="18"/>
                <w:szCs w:val="18"/>
              </w:rPr>
            </w:pPr>
            <w:r w:rsidRPr="00FD7BCA">
              <w:rPr>
                <w:sz w:val="18"/>
                <w:szCs w:val="18"/>
              </w:rPr>
              <w:t>1.2</w:t>
            </w:r>
          </w:p>
        </w:tc>
        <w:tc>
          <w:tcPr>
            <w:tcW w:w="1021" w:type="dxa"/>
          </w:tcPr>
          <w:p w14:paraId="163CC337" w14:textId="77777777" w:rsidR="00FD7BCA" w:rsidRPr="00FD7BCA" w:rsidRDefault="00FD7BCA" w:rsidP="00FD7BCA">
            <w:pPr>
              <w:ind w:left="0" w:right="0"/>
              <w:rPr>
                <w:sz w:val="18"/>
                <w:szCs w:val="18"/>
              </w:rPr>
            </w:pPr>
            <w:r w:rsidRPr="00FD7BCA">
              <w:rPr>
                <w:sz w:val="18"/>
                <w:szCs w:val="18"/>
              </w:rPr>
              <w:t>–</w:t>
            </w:r>
          </w:p>
        </w:tc>
        <w:tc>
          <w:tcPr>
            <w:tcW w:w="916" w:type="dxa"/>
          </w:tcPr>
          <w:p w14:paraId="3419DF16" w14:textId="77777777" w:rsidR="00FD7BCA" w:rsidRPr="00FD7BCA" w:rsidRDefault="00FD7BCA" w:rsidP="00FD7BCA">
            <w:pPr>
              <w:ind w:left="0" w:right="0"/>
              <w:rPr>
                <w:sz w:val="18"/>
                <w:szCs w:val="18"/>
              </w:rPr>
            </w:pPr>
            <w:r w:rsidRPr="00FD7BCA">
              <w:rPr>
                <w:sz w:val="18"/>
                <w:szCs w:val="18"/>
              </w:rPr>
              <w:t>–</w:t>
            </w:r>
          </w:p>
        </w:tc>
      </w:tr>
      <w:tr w:rsidR="00FD7BCA" w:rsidRPr="00FD7BCA" w14:paraId="1B8891AF" w14:textId="77777777" w:rsidTr="00782417">
        <w:trPr>
          <w:trHeight w:val="330"/>
        </w:trPr>
        <w:tc>
          <w:tcPr>
            <w:tcW w:w="1101" w:type="dxa"/>
          </w:tcPr>
          <w:p w14:paraId="366D3CB8" w14:textId="77777777" w:rsidR="00FD7BCA" w:rsidRPr="00FD7BCA" w:rsidRDefault="008B5A3E" w:rsidP="00FD7BCA">
            <w:pPr>
              <w:ind w:left="0" w:right="0"/>
              <w:rPr>
                <w:sz w:val="18"/>
                <w:szCs w:val="18"/>
              </w:rPr>
            </w:pPr>
            <w:r>
              <w:rPr>
                <w:sz w:val="18"/>
                <w:szCs w:val="18"/>
              </w:rPr>
              <w:t xml:space="preserve">Human </w:t>
            </w:r>
            <w:r w:rsidR="00FD7BCA" w:rsidRPr="00FD7BCA">
              <w:rPr>
                <w:sz w:val="18"/>
                <w:szCs w:val="18"/>
              </w:rPr>
              <w:t>(patients)</w:t>
            </w:r>
          </w:p>
        </w:tc>
        <w:tc>
          <w:tcPr>
            <w:tcW w:w="1772" w:type="dxa"/>
          </w:tcPr>
          <w:p w14:paraId="17BF2B20" w14:textId="77777777" w:rsidR="00FD7BCA" w:rsidRPr="00FD7BCA" w:rsidRDefault="00FD7BCA" w:rsidP="00FD7BCA">
            <w:pPr>
              <w:ind w:left="0" w:right="0"/>
              <w:rPr>
                <w:sz w:val="18"/>
                <w:szCs w:val="18"/>
              </w:rPr>
            </w:pPr>
            <w:r w:rsidRPr="00FD7BCA">
              <w:rPr>
                <w:sz w:val="18"/>
                <w:szCs w:val="18"/>
              </w:rPr>
              <w:t>steady state</w:t>
            </w:r>
          </w:p>
          <w:p w14:paraId="1BE61AA8" w14:textId="77777777" w:rsidR="00FD7BCA" w:rsidRPr="00FD7BCA" w:rsidRDefault="00026051" w:rsidP="00FD7BCA">
            <w:pPr>
              <w:ind w:left="0" w:right="0"/>
              <w:rPr>
                <w:sz w:val="18"/>
                <w:szCs w:val="18"/>
              </w:rPr>
            </w:pPr>
            <w:r>
              <w:rPr>
                <w:sz w:val="18"/>
                <w:szCs w:val="18"/>
              </w:rPr>
              <w:t>(</w:t>
            </w:r>
            <w:r w:rsidR="00FD7BCA" w:rsidRPr="00FD7BCA">
              <w:rPr>
                <w:sz w:val="18"/>
                <w:szCs w:val="18"/>
              </w:rPr>
              <w:t>Study 102</w:t>
            </w:r>
            <w:r>
              <w:rPr>
                <w:sz w:val="18"/>
                <w:szCs w:val="18"/>
              </w:rPr>
              <w:t>)</w:t>
            </w:r>
          </w:p>
        </w:tc>
        <w:tc>
          <w:tcPr>
            <w:tcW w:w="1360" w:type="dxa"/>
          </w:tcPr>
          <w:p w14:paraId="65996310" w14:textId="77777777" w:rsidR="00FD7BCA" w:rsidRPr="00FD7BCA" w:rsidRDefault="00026051" w:rsidP="00FD7BCA">
            <w:pPr>
              <w:ind w:left="0" w:right="0"/>
              <w:rPr>
                <w:sz w:val="18"/>
                <w:szCs w:val="18"/>
              </w:rPr>
            </w:pPr>
            <w:r>
              <w:rPr>
                <w:sz w:val="18"/>
                <w:szCs w:val="18"/>
              </w:rPr>
              <w:t>(</w:t>
            </w:r>
            <w:r w:rsidR="00FD7BCA" w:rsidRPr="00FD7BCA">
              <w:rPr>
                <w:sz w:val="18"/>
                <w:szCs w:val="18"/>
              </w:rPr>
              <w:t>400 mg L + 250 mg I; BID</w:t>
            </w:r>
            <w:r>
              <w:rPr>
                <w:sz w:val="18"/>
                <w:szCs w:val="18"/>
              </w:rPr>
              <w:t>)</w:t>
            </w:r>
          </w:p>
        </w:tc>
        <w:tc>
          <w:tcPr>
            <w:tcW w:w="1362" w:type="dxa"/>
            <w:gridSpan w:val="3"/>
          </w:tcPr>
          <w:p w14:paraId="487A5A51" w14:textId="77777777" w:rsidR="00FD7BCA" w:rsidRPr="00FD7BCA" w:rsidRDefault="00FD7BCA" w:rsidP="00FD7BCA">
            <w:pPr>
              <w:ind w:left="0" w:right="0"/>
              <w:rPr>
                <w:sz w:val="18"/>
                <w:szCs w:val="18"/>
              </w:rPr>
            </w:pPr>
            <w:r w:rsidRPr="00FD7BCA">
              <w:rPr>
                <w:sz w:val="18"/>
                <w:szCs w:val="18"/>
              </w:rPr>
              <w:t>396</w:t>
            </w:r>
          </w:p>
        </w:tc>
        <w:tc>
          <w:tcPr>
            <w:tcW w:w="1268" w:type="dxa"/>
            <w:gridSpan w:val="2"/>
          </w:tcPr>
          <w:p w14:paraId="18E7B8C9" w14:textId="77777777" w:rsidR="00FD7BCA" w:rsidRPr="00FD7BCA" w:rsidRDefault="00FD7BCA" w:rsidP="00FD7BCA">
            <w:pPr>
              <w:ind w:left="0" w:right="0"/>
              <w:rPr>
                <w:sz w:val="18"/>
                <w:szCs w:val="18"/>
              </w:rPr>
            </w:pPr>
            <w:r w:rsidRPr="00FD7BCA">
              <w:rPr>
                <w:sz w:val="18"/>
                <w:szCs w:val="18"/>
              </w:rPr>
              <w:t>–</w:t>
            </w:r>
          </w:p>
        </w:tc>
        <w:tc>
          <w:tcPr>
            <w:tcW w:w="1021" w:type="dxa"/>
          </w:tcPr>
          <w:p w14:paraId="0CA8A4F4" w14:textId="77777777" w:rsidR="00FD7BCA" w:rsidRPr="00FD7BCA" w:rsidRDefault="00FD7BCA" w:rsidP="00FD7BCA">
            <w:pPr>
              <w:ind w:left="0" w:right="0"/>
              <w:rPr>
                <w:sz w:val="18"/>
                <w:szCs w:val="18"/>
              </w:rPr>
            </w:pPr>
            <w:r w:rsidRPr="00FD7BCA">
              <w:rPr>
                <w:sz w:val="18"/>
                <w:szCs w:val="18"/>
              </w:rPr>
              <w:t>7.32</w:t>
            </w:r>
          </w:p>
        </w:tc>
        <w:tc>
          <w:tcPr>
            <w:tcW w:w="916" w:type="dxa"/>
          </w:tcPr>
          <w:p w14:paraId="3CCCE561" w14:textId="77777777" w:rsidR="00FD7BCA" w:rsidRPr="00FD7BCA" w:rsidRDefault="00FD7BCA" w:rsidP="00FD7BCA">
            <w:pPr>
              <w:ind w:left="0" w:right="0"/>
              <w:rPr>
                <w:sz w:val="18"/>
                <w:szCs w:val="18"/>
              </w:rPr>
            </w:pPr>
            <w:r w:rsidRPr="00FD7BCA">
              <w:rPr>
                <w:sz w:val="18"/>
                <w:szCs w:val="18"/>
              </w:rPr>
              <w:t>–</w:t>
            </w:r>
          </w:p>
        </w:tc>
      </w:tr>
    </w:tbl>
    <w:p w14:paraId="5F825813" w14:textId="1A0EE3E7" w:rsidR="004334C7" w:rsidRPr="00FD7BCA" w:rsidRDefault="00FD7BCA" w:rsidP="007112C3">
      <w:pPr>
        <w:pStyle w:val="TableDescription"/>
      </w:pPr>
      <w:r w:rsidRPr="00FD7BCA">
        <w:t># = animal:</w:t>
      </w:r>
      <w:r w:rsidR="008B5A3E">
        <w:t xml:space="preserve"> </w:t>
      </w:r>
      <w:r w:rsidRPr="00FD7BCA">
        <w:t xml:space="preserve">human plasma </w:t>
      </w:r>
      <w:r w:rsidR="008B5A3E" w:rsidRPr="004B7CB2">
        <w:t>AUC</w:t>
      </w:r>
      <w:r w:rsidR="008B5A3E" w:rsidRPr="008B5A3E">
        <w:rPr>
          <w:vertAlign w:val="subscript"/>
        </w:rPr>
        <w:t>0–24 h</w:t>
      </w:r>
      <w:r w:rsidRPr="00FD7BCA">
        <w:t>; L = lumacaftor; I = ivacaftor</w:t>
      </w:r>
      <w:r w:rsidR="00A02EC9">
        <w:t xml:space="preserve"> </w:t>
      </w:r>
      <w:r w:rsidRPr="00FD7BCA">
        <w:t xml:space="preserve">a = 10 mg/kg/day </w:t>
      </w:r>
      <w:r w:rsidR="0026099D">
        <w:t>M2</w:t>
      </w:r>
      <w:r w:rsidRPr="00FD7BCA">
        <w:t xml:space="preserve">8-lumacaftor also administered; b = 20 mg/kg/day </w:t>
      </w:r>
      <w:r w:rsidR="0026099D">
        <w:t>M2</w:t>
      </w:r>
      <w:r>
        <w:t xml:space="preserve">8-lumacaftor also administered; </w:t>
      </w:r>
      <w:r w:rsidRPr="00FD7BCA">
        <w:t xml:space="preserve">c = 25 mg/kg/day </w:t>
      </w:r>
      <w:r w:rsidR="0026099D">
        <w:t>M2</w:t>
      </w:r>
      <w:r w:rsidRPr="00FD7BCA">
        <w:t>8-lumacaftor also administered; d = steady state AUC value (calculated as cumulative mean)</w:t>
      </w:r>
    </w:p>
    <w:p w14:paraId="2679B981" w14:textId="77777777" w:rsidR="00FD7BCA" w:rsidRPr="00FD7BCA" w:rsidRDefault="00FD7BCA" w:rsidP="00FD7BCA">
      <w:pPr>
        <w:pStyle w:val="Heading5"/>
      </w:pPr>
      <w:r w:rsidRPr="00FD7BCA">
        <w:t>Major toxicities — lumacaftor</w:t>
      </w:r>
    </w:p>
    <w:p w14:paraId="26CE5338" w14:textId="77777777" w:rsidR="00FD7BCA" w:rsidRPr="00FD7BCA" w:rsidRDefault="00FD7BCA" w:rsidP="00FD7BCA">
      <w:r w:rsidRPr="00FD7BCA">
        <w:t xml:space="preserve">No clear target organs for toxicity by lumacaftor (or </w:t>
      </w:r>
      <w:r w:rsidR="0026099D">
        <w:t>M2</w:t>
      </w:r>
      <w:r w:rsidRPr="00FD7BCA">
        <w:t>8</w:t>
      </w:r>
      <w:r w:rsidRPr="00FD7BCA">
        <w:noBreakHyphen/>
        <w:t>lumacaftor) were identified in the repeat</w:t>
      </w:r>
      <w:r w:rsidR="00026051">
        <w:t xml:space="preserve"> </w:t>
      </w:r>
      <w:r w:rsidRPr="00FD7BCA">
        <w:t>dose toxicity program. Notable effects comprised inhibition of body weight gain or body weight loss, gastrointestinal signs, haematological changes including mild anaemia, and clinical chemistry changes affecting nutrients and electrolytes.</w:t>
      </w:r>
    </w:p>
    <w:p w14:paraId="545B5E83" w14:textId="77777777" w:rsidR="00FD7BCA" w:rsidRPr="00FD7BCA" w:rsidRDefault="00FD7BCA" w:rsidP="00FD7BCA">
      <w:r w:rsidRPr="00FD7BCA">
        <w:t>Body weight gain was significantly inhibited by lumacaftor in rats and dogs in studies of up to 3 months duration; dogs also showed body weight loss. However, the pivotal studies indicated that the body weight effects did not persist with ongoing treatment, with body weight gain over 6 or 12 months unaffected. The effects on body weight were not accompanied by changes in food intake in rats, and not in dogs in most studies. Treated dogs did show an increased frequency of watery and/or unformed faeces, as well as vomiting, which may have contributed to the effects on weight. This occurred at all dose levels in the pivotal study, but was particularly preval</w:t>
      </w:r>
      <w:r w:rsidR="001031EC">
        <w:t>ent at the high dose level (500 </w:t>
      </w:r>
      <w:r w:rsidRPr="00FD7BCA">
        <w:t>mg/kg/day; relative exposure, 1.2). These observations were less frequent in the latter stages of the 12</w:t>
      </w:r>
      <w:r w:rsidR="00026051">
        <w:t xml:space="preserve"> </w:t>
      </w:r>
      <w:r w:rsidRPr="00FD7BCA">
        <w:t>month study. These findings may be related to the pharmacology of lumacaftor, with CFTR involved in the regulation of water content in the GI tract, and overstimulation of CFTR (</w:t>
      </w:r>
      <w:r w:rsidR="001031EC">
        <w:t>for example</w:t>
      </w:r>
      <w:r w:rsidRPr="00FD7BCA">
        <w:t xml:space="preserve">, because of activation of protein kinases by bacterial </w:t>
      </w:r>
      <w:r w:rsidRPr="00FD7BCA">
        <w:lastRenderedPageBreak/>
        <w:t>enterotoxins) recognised to cause diarrhoea</w:t>
      </w:r>
      <w:r w:rsidR="001031EC">
        <w:rPr>
          <w:rStyle w:val="FootnoteReference"/>
        </w:rPr>
        <w:footnoteReference w:id="6"/>
      </w:r>
      <w:r w:rsidRPr="00FD7BCA">
        <w:t xml:space="preserve"> </w:t>
      </w:r>
      <w:r w:rsidR="001031EC">
        <w:rPr>
          <w:rStyle w:val="FootnoteReference"/>
        </w:rPr>
        <w:footnoteReference w:id="7"/>
      </w:r>
      <w:r w:rsidRPr="00FD7BCA">
        <w:t>;</w:t>
      </w:r>
      <w:r w:rsidR="001031EC">
        <w:rPr>
          <w:rStyle w:val="FootnoteReference"/>
        </w:rPr>
        <w:footnoteReference w:id="8"/>
      </w:r>
      <w:r w:rsidRPr="00FD7BCA">
        <w:t>. These effects are considered unlikely to be clinically relevant, with lumacaftor treatment in CF patients producing increased normalisation of CFTR activity rather than overstimulation.</w:t>
      </w:r>
    </w:p>
    <w:p w14:paraId="5045B941" w14:textId="77777777" w:rsidR="00FD7BCA" w:rsidRPr="00FD7BCA" w:rsidRDefault="00FD7BCA" w:rsidP="00FD7BCA">
      <w:r w:rsidRPr="00FD7BCA">
        <w:t>Mild anaemia in rats and dogs was characterised by decreases in haemoglobin, haematocrit and/or erythrocytes alone or in combination with increases in mean corpuscular haemoglobin concentration and red cell distribution width. The magnitude of changes was generally less than 15%, and values frequently remained w</w:t>
      </w:r>
      <w:r w:rsidR="008A228D">
        <w:t>ithin the normal range. In rats</w:t>
      </w:r>
      <w:r w:rsidRPr="00FD7BCA">
        <w:t xml:space="preserve"> these effects were restricted to one individual in the high</w:t>
      </w:r>
      <w:r w:rsidR="00026051">
        <w:t xml:space="preserve"> </w:t>
      </w:r>
      <w:r w:rsidRPr="00FD7BCA">
        <w:t>dose group that received 1000 mg/kg/day PO for 6 months in the pivotal study, but were more commonly observed in the shorter studies (s</w:t>
      </w:r>
      <w:r w:rsidR="008A228D">
        <w:t xml:space="preserve">een at 150 to </w:t>
      </w:r>
      <w:r w:rsidRPr="00FD7BCA">
        <w:t>600 mg/kg/day for 2 weeks and in a dose</w:t>
      </w:r>
      <w:r w:rsidR="00026051">
        <w:t xml:space="preserve"> </w:t>
      </w:r>
      <w:r w:rsidRPr="00FD7BCA">
        <w:t>depende</w:t>
      </w:r>
      <w:r w:rsidR="008A228D">
        <w:t xml:space="preserve">nt manner with treatment at 250 to </w:t>
      </w:r>
      <w:r w:rsidRPr="00FD7BCA">
        <w:t>2</w:t>
      </w:r>
      <w:r w:rsidR="008A228D">
        <w:t>,</w:t>
      </w:r>
      <w:r w:rsidRPr="00FD7BCA">
        <w:t>000 mg/kg/day in a 3</w:t>
      </w:r>
      <w:r w:rsidR="00026051">
        <w:t xml:space="preserve"> </w:t>
      </w:r>
      <w:r w:rsidRPr="00FD7BCA">
        <w:t xml:space="preserve">month study </w:t>
      </w:r>
      <w:r w:rsidR="00026051">
        <w:t>(</w:t>
      </w:r>
      <w:r w:rsidR="008A228D">
        <w:t>relative exposure</w:t>
      </w:r>
      <w:r w:rsidRPr="00FD7BCA">
        <w:t xml:space="preserve"> </w:t>
      </w:r>
      <w:r w:rsidR="00026051">
        <w:t xml:space="preserve">≥ </w:t>
      </w:r>
      <w:r w:rsidRPr="00FD7BCA">
        <w:t>6.4</w:t>
      </w:r>
      <w:r w:rsidR="00026051">
        <w:t>)</w:t>
      </w:r>
      <w:r w:rsidRPr="00FD7BCA">
        <w:t>). Mild anaemia was associated with a regenerative response in rats, with concurrent increases in reticu</w:t>
      </w:r>
      <w:r w:rsidR="008A228D">
        <w:t>locyte counts observed. In dogs</w:t>
      </w:r>
      <w:r w:rsidRPr="00FD7BCA">
        <w:t xml:space="preserve"> mild anaemia was evident in male and female animals that received </w:t>
      </w:r>
      <w:r w:rsidR="00026051">
        <w:t xml:space="preserve">≥ </w:t>
      </w:r>
      <w:r w:rsidRPr="00FD7BCA">
        <w:t>250 mg/kg/day for 3 months or longer (relativ</w:t>
      </w:r>
      <w:r w:rsidR="008A228D">
        <w:t>e exposure</w:t>
      </w:r>
      <w:r w:rsidRPr="00FD7BCA">
        <w:t xml:space="preserve"> </w:t>
      </w:r>
      <w:r w:rsidR="00026051">
        <w:t xml:space="preserve">≥ </w:t>
      </w:r>
      <w:r w:rsidRPr="00FD7BCA">
        <w:t>0.8). The severity was marginally gre</w:t>
      </w:r>
      <w:r w:rsidR="008A228D">
        <w:t>ater than that observed in rats</w:t>
      </w:r>
      <w:r w:rsidRPr="00FD7BCA">
        <w:t xml:space="preserve"> but did not progress with time (erythrocyte counts and haematocrit were decreased by up to 21% in </w:t>
      </w:r>
      <w:r w:rsidR="008A228D">
        <w:t>the pivotal study). Unlike rats</w:t>
      </w:r>
      <w:r w:rsidRPr="00FD7BCA">
        <w:t xml:space="preserve"> there was no regenerative response in dog</w:t>
      </w:r>
      <w:r w:rsidR="008A228D">
        <w:t>s</w:t>
      </w:r>
      <w:r w:rsidRPr="00FD7BCA">
        <w:t xml:space="preserve"> with reticulocyte numbers reduced. In both species these haematological changes showed evidence of reversibility following the cessation of dosing.</w:t>
      </w:r>
    </w:p>
    <w:p w14:paraId="1DE0E182" w14:textId="77777777" w:rsidR="00FD7BCA" w:rsidRPr="00FD7BCA" w:rsidRDefault="00FD7BCA" w:rsidP="00FD7BCA">
      <w:r w:rsidRPr="00FD7BCA">
        <w:t xml:space="preserve">Other haematological changes included increased platelets in rats (at </w:t>
      </w:r>
      <w:r w:rsidR="00026051">
        <w:t xml:space="preserve">≥ </w:t>
      </w:r>
      <w:r w:rsidRPr="00FD7BCA">
        <w:t>250 mg/kg/day for 3 months; relat</w:t>
      </w:r>
      <w:r w:rsidR="008A228D">
        <w:t>ive exposure</w:t>
      </w:r>
      <w:r w:rsidRPr="00FD7BCA">
        <w:t xml:space="preserve"> </w:t>
      </w:r>
      <w:r w:rsidR="00026051">
        <w:t xml:space="preserve">≥ </w:t>
      </w:r>
      <w:r w:rsidRPr="00FD7BCA">
        <w:t>4.1) and dogs (</w:t>
      </w:r>
      <w:r w:rsidR="00026051">
        <w:t xml:space="preserve">≥ </w:t>
      </w:r>
      <w:r w:rsidRPr="00FD7BCA">
        <w:t xml:space="preserve">250 mg/kg/day for 3 </w:t>
      </w:r>
      <w:r w:rsidR="008A228D">
        <w:t>or 12 months; relative exposure</w:t>
      </w:r>
      <w:r w:rsidRPr="00FD7BCA">
        <w:t xml:space="preserve"> </w:t>
      </w:r>
      <w:r w:rsidR="00026051">
        <w:t xml:space="preserve">≥ </w:t>
      </w:r>
      <w:r w:rsidRPr="00FD7BCA">
        <w:t>0.8), with an associated decrease in</w:t>
      </w:r>
      <w:r w:rsidR="008A228D">
        <w:t xml:space="preserve"> </w:t>
      </w:r>
      <w:r w:rsidR="00251DE5">
        <w:t>activated partial thromboplastin time (</w:t>
      </w:r>
      <w:r w:rsidR="008A228D">
        <w:t>APTT</w:t>
      </w:r>
      <w:r w:rsidR="00251DE5">
        <w:t>)</w:t>
      </w:r>
      <w:r w:rsidR="008A228D">
        <w:t xml:space="preserve"> reported in dogs. However</w:t>
      </w:r>
      <w:r w:rsidRPr="00FD7BCA">
        <w:t xml:space="preserve"> these effects were not consistently dose</w:t>
      </w:r>
      <w:r w:rsidR="00026051">
        <w:t xml:space="preserve"> </w:t>
      </w:r>
      <w:r w:rsidR="008A228D">
        <w:t>dependent</w:t>
      </w:r>
      <w:r w:rsidRPr="00FD7BCA">
        <w:t xml:space="preserve"> were of small magnitude and did not present at similar doses in all studies. Like the other haematological changes these effects were reversible.</w:t>
      </w:r>
    </w:p>
    <w:p w14:paraId="57380B79" w14:textId="77777777" w:rsidR="00FD7BCA" w:rsidRPr="00FD7BCA" w:rsidRDefault="00FD7BCA" w:rsidP="00FD7BCA">
      <w:r w:rsidRPr="00FD7BCA">
        <w:t>Common clinical chemistry changes included decreased triglycerides, decreased glucose (rats) increased or decr</w:t>
      </w:r>
      <w:r w:rsidR="008A228D">
        <w:t>eased cholesterol (rat and dogs</w:t>
      </w:r>
      <w:r w:rsidRPr="00FD7BCA">
        <w:t xml:space="preserve"> respectively), decreased total protein (albumin and/or globulin), and small alterations in electrolytes. These effects may have been secondary to effects on weight and/or related to pharmacological effects of lumacafto</w:t>
      </w:r>
      <w:r w:rsidR="008A228D">
        <w:t>r in the gastrointestinal tract</w:t>
      </w:r>
      <w:r w:rsidRPr="00FD7BCA">
        <w:t xml:space="preserve"> which could alter a</w:t>
      </w:r>
      <w:r w:rsidR="008A228D">
        <w:t>bsorption of nutrients.</w:t>
      </w:r>
    </w:p>
    <w:p w14:paraId="1C1CF33B" w14:textId="77777777" w:rsidR="00FD7BCA" w:rsidRPr="00FD7BCA" w:rsidRDefault="00FD7BCA" w:rsidP="00FD7BCA">
      <w:r w:rsidRPr="00FD7BCA">
        <w:t>Centrilobular hepatocellular hypertrophy was observed in male rats at very high doses of lumacaftor in the 3</w:t>
      </w:r>
      <w:r w:rsidR="00026051">
        <w:t xml:space="preserve"> </w:t>
      </w:r>
      <w:r w:rsidRPr="00FD7BCA">
        <w:t>month study (</w:t>
      </w:r>
      <w:r w:rsidR="00026051">
        <w:t xml:space="preserve">≥ </w:t>
      </w:r>
      <w:r w:rsidRPr="00FD7BCA">
        <w:t>1</w:t>
      </w:r>
      <w:r w:rsidR="00251DE5">
        <w:t>,</w:t>
      </w:r>
      <w:r w:rsidRPr="00FD7BCA">
        <w:t>0</w:t>
      </w:r>
      <w:r w:rsidR="008A228D">
        <w:t>00 mg/kg/day; relative exposure</w:t>
      </w:r>
      <w:r w:rsidRPr="00FD7BCA">
        <w:t xml:space="preserve"> </w:t>
      </w:r>
      <w:r w:rsidR="00026051">
        <w:t xml:space="preserve">≥ </w:t>
      </w:r>
      <w:r w:rsidR="008A228D">
        <w:t>9)</w:t>
      </w:r>
      <w:r w:rsidRPr="00FD7BCA">
        <w:t xml:space="preserve"> consistent with observed enzyme induction.</w:t>
      </w:r>
    </w:p>
    <w:p w14:paraId="1DABE2D8" w14:textId="77777777" w:rsidR="00FD7BCA" w:rsidRPr="00FD7BCA" w:rsidRDefault="00FD7BCA" w:rsidP="00FD7BCA">
      <w:pPr>
        <w:pStyle w:val="Heading5"/>
      </w:pPr>
      <w:r w:rsidRPr="00FD7BCA">
        <w:t>Major toxicities — lumacaftor and ivacaftor in combination</w:t>
      </w:r>
    </w:p>
    <w:p w14:paraId="662A4C16" w14:textId="77777777" w:rsidR="00FD7BCA" w:rsidRPr="00FD7BCA" w:rsidRDefault="00FD7BCA" w:rsidP="00FD7BCA">
      <w:r w:rsidRPr="00FD7BCA">
        <w:t>Combination studies with lumacaftor and ivacaftor identified the stomach as a target organ in rats. In the pivotal 3</w:t>
      </w:r>
      <w:r w:rsidR="00026051">
        <w:t xml:space="preserve"> </w:t>
      </w:r>
      <w:r w:rsidRPr="00FD7BCA">
        <w:t>month study (which also involved co-ad</w:t>
      </w:r>
      <w:r w:rsidR="008A228D">
        <w:t xml:space="preserve">ministration of </w:t>
      </w:r>
      <w:r w:rsidR="0026099D">
        <w:t>M2</w:t>
      </w:r>
      <w:r w:rsidR="008A228D">
        <w:t>8-lumacaftor)</w:t>
      </w:r>
      <w:r w:rsidRPr="00FD7BCA">
        <w:t xml:space="preserve"> erosion/necrosis of the mucosa and epithelial cystic degeneration w</w:t>
      </w:r>
      <w:r w:rsidR="008A228D">
        <w:t>ere reported at all dose levels</w:t>
      </w:r>
      <w:r w:rsidRPr="00FD7BCA">
        <w:t xml:space="preserve"> with no clear relationship between the dose and incidence or severity. This effect is likely a local irritant effect. On a mg/kg basis, the doses of agents administered in the study are 32</w:t>
      </w:r>
      <w:r w:rsidR="008A228D">
        <w:t xml:space="preserve"> to </w:t>
      </w:r>
      <w:r w:rsidRPr="00FD7BCA">
        <w:t xml:space="preserve">69 times higher than in a 12 year old child (assuming 40 kg body weight). Erosion/ulceration was also observed in the glandular stomach of male rats that received </w:t>
      </w:r>
      <w:r w:rsidR="00026051">
        <w:t xml:space="preserve">≥ </w:t>
      </w:r>
      <w:r w:rsidRPr="00FD7BCA">
        <w:t>75 mg/kg/day lumacaftor alon</w:t>
      </w:r>
      <w:r w:rsidR="008A228D">
        <w:t>e and in those that received 25 </w:t>
      </w:r>
      <w:r w:rsidRPr="00FD7BCA">
        <w:t xml:space="preserve">mg/kg/day </w:t>
      </w:r>
      <w:r w:rsidR="0026099D">
        <w:t>M2</w:t>
      </w:r>
      <w:r w:rsidRPr="00FD7BCA">
        <w:t>8-lumacaftor in the</w:t>
      </w:r>
      <w:r w:rsidR="008A228D">
        <w:t xml:space="preserve"> carcinogenicity study. However</w:t>
      </w:r>
      <w:r w:rsidRPr="00FD7BCA">
        <w:t xml:space="preserve"> this lesion occurred at a similar incidence and severity in female controls making it unclear whether it was a treatment</w:t>
      </w:r>
      <w:r w:rsidR="00026051">
        <w:t xml:space="preserve"> </w:t>
      </w:r>
      <w:r w:rsidRPr="00FD7BCA">
        <w:t xml:space="preserve">related or spontaneous finding. It is possible that ivacaftor potentiates the irritant effects of lumacaftor and/or </w:t>
      </w:r>
      <w:r w:rsidR="0026099D">
        <w:t>M2</w:t>
      </w:r>
      <w:r w:rsidRPr="00FD7BCA">
        <w:t>8-lumacaftor, but clinical relevance is unlikely.</w:t>
      </w:r>
    </w:p>
    <w:p w14:paraId="7FB5DD1A" w14:textId="77777777" w:rsidR="00FD7BCA" w:rsidRPr="00FD7BCA" w:rsidRDefault="00FD7BCA" w:rsidP="00FD7BCA">
      <w:r w:rsidRPr="00FD7BCA">
        <w:lastRenderedPageBreak/>
        <w:t>Co-treatment with ivacaftor increased the inhibition of body weight gain seen with lumacaftor in rats, but the effect in dogs was less clear. This is consistent with previous findings of suppression of body weight gain by single</w:t>
      </w:r>
      <w:r w:rsidR="00026051">
        <w:t xml:space="preserve"> </w:t>
      </w:r>
      <w:r w:rsidRPr="00FD7BCA">
        <w:t>agent ivacaftor in rats but not dogs.</w:t>
      </w:r>
    </w:p>
    <w:p w14:paraId="7EF02AF9" w14:textId="77777777" w:rsidR="00FD7BCA" w:rsidRPr="00FD7BCA" w:rsidRDefault="00FD7BCA" w:rsidP="00FD7BCA">
      <w:r w:rsidRPr="00FD7BCA">
        <w:t>Prolongation of the PR interval and an associated increase in the incidence of supraventricular premature complex (SVPC) were reported in dogs that received 600 mg/kg/day lumacaftor in combination with 15 or 60 mg/kg/day ivacaftor. For both findings, the frequency was highest with 60 mg/kg ivacaftor. Studies with ivacaftor alone had shown an increase in the frequency of SVPC without PR prolongation, and ECG abnormalities were not reported in dogs that received up to 1000 mg/kg/day lumacaftor. Therefore, these ECG effects appear related to the combination of lumacaftor with ivacaftor. However, these effects were not considered adverse as there was no macro or microscopic cardiac lesions, and SVPC in dogs may be due to an exaggerated sinus rhythm. The plasma concentrations of ivacaftor at the time of the ECG a</w:t>
      </w:r>
      <w:r w:rsidR="008A228D">
        <w:t xml:space="preserve">ssessment in affected dogs were </w:t>
      </w:r>
      <w:r w:rsidR="00026051">
        <w:t>approximately</w:t>
      </w:r>
      <w:r w:rsidR="008A228D">
        <w:t xml:space="preserve"> 4 to </w:t>
      </w:r>
      <w:r w:rsidRPr="00FD7BCA">
        <w:t xml:space="preserve">13 times higher than the plasma </w:t>
      </w:r>
      <w:r w:rsidR="008B5A3E" w:rsidRPr="004B7CB2">
        <w:t>C</w:t>
      </w:r>
      <w:r w:rsidR="008B5A3E" w:rsidRPr="008B5A3E">
        <w:rPr>
          <w:vertAlign w:val="subscript"/>
        </w:rPr>
        <w:t>max</w:t>
      </w:r>
      <w:r w:rsidRPr="00FD7BCA">
        <w:t xml:space="preserve"> of the drug in a patient receiving </w:t>
      </w:r>
      <w:r w:rsidR="008B5A3E">
        <w:t>Orkambi</w:t>
      </w:r>
      <w:r w:rsidRPr="00FD7BCA">
        <w:t xml:space="preserve"> therapy, supporting limited clinical relevance.</w:t>
      </w:r>
    </w:p>
    <w:p w14:paraId="5EAD8E76" w14:textId="77777777" w:rsidR="00FD7BCA" w:rsidRPr="00FD7BCA" w:rsidRDefault="00FD7BCA" w:rsidP="00FD7BCA">
      <w:r w:rsidRPr="00FD7BCA">
        <w:t>Histopathological findings in the pivotal rat combination study included basophilic tubules in the kidney and cardiomyopathy, which are recognised effects of ivacaftor. In dogs, there was an increase in mucinous secretions in the epithelium of the gallbladder. This effect is likely to be pharmacological in nature as CFTR is expressed in the gallbladder and expression is correlated with mucin secretion in cultured dog gallbladder cells</w:t>
      </w:r>
      <w:r w:rsidR="005C5477">
        <w:t>.</w:t>
      </w:r>
      <w:r w:rsidR="005C5477">
        <w:rPr>
          <w:rStyle w:val="FootnoteReference"/>
        </w:rPr>
        <w:footnoteReference w:id="9"/>
      </w:r>
      <w:r w:rsidRPr="00FD7BCA">
        <w:t xml:space="preserve"> Other findings in dogs consisted of immaturity of the male reproductive tissues and increased severity of lymphocyte depletion in the thymus, considered to be secondary to the effects on body weight/</w:t>
      </w:r>
      <w:r w:rsidR="005C5477" w:rsidRPr="00FD7BCA">
        <w:t>non</w:t>
      </w:r>
      <w:r w:rsidR="005C5477">
        <w:t>-s</w:t>
      </w:r>
      <w:r w:rsidR="005C5477" w:rsidRPr="00FD7BCA">
        <w:t>pecific</w:t>
      </w:r>
      <w:r w:rsidRPr="00FD7BCA">
        <w:t xml:space="preserve"> toxicity.</w:t>
      </w:r>
    </w:p>
    <w:p w14:paraId="433F3662" w14:textId="77777777" w:rsidR="00FD7BCA" w:rsidRPr="00FD7BCA" w:rsidRDefault="00FD7BCA" w:rsidP="00FD7BCA">
      <w:r w:rsidRPr="00FD7BCA">
        <w:t>There were no other treatment</w:t>
      </w:r>
      <w:r w:rsidR="00026051">
        <w:t xml:space="preserve"> </w:t>
      </w:r>
      <w:r w:rsidRPr="00FD7BCA">
        <w:t>related effects that were unique to the combined administration of lumacaftor and ivacaftor.</w:t>
      </w:r>
    </w:p>
    <w:p w14:paraId="6B162E8E" w14:textId="77777777" w:rsidR="00FD7BCA" w:rsidRPr="00FD7BCA" w:rsidRDefault="00FD7BCA" w:rsidP="007112C3">
      <w:pPr>
        <w:pStyle w:val="Heading4"/>
      </w:pPr>
      <w:bookmarkStart w:id="59" w:name="_Toc294861729"/>
      <w:r w:rsidRPr="00FD7BCA">
        <w:t>Genotoxicity</w:t>
      </w:r>
      <w:bookmarkEnd w:id="59"/>
    </w:p>
    <w:p w14:paraId="4D04FF70" w14:textId="77777777" w:rsidR="00FD7BCA" w:rsidRPr="00FD7BCA" w:rsidRDefault="00FD7BCA" w:rsidP="00FD7BCA">
      <w:r w:rsidRPr="00FD7BCA">
        <w:t>The potential genotoxicity of lumacaftor was investigated in the standard battery of tests: a bacterial reverse mutation assay, an in vitro chromosomal aberration assay (in Chinese hamster ovary cells) and the mouse bone marrow micronucleus test. The conduct of the studies was in accordance with ICH guidelines. Concentration/doses used were appropriate (up to maximum recommended levels or limited by cytotoxici</w:t>
      </w:r>
      <w:r w:rsidR="005C5477">
        <w:t>ty)</w:t>
      </w:r>
      <w:r w:rsidRPr="00FD7BCA">
        <w:t xml:space="preserve"> a suitable set of S. typhimurium and E. coli strains was used in the bacterial mutagenicity assay, and the assays were appropriately validated. Negative results were returned for lumacaftor in all assays. Additional genotoxicity assays were conducted </w:t>
      </w:r>
      <w:r w:rsidR="005C5477">
        <w:t xml:space="preserve">with </w:t>
      </w:r>
      <w:r w:rsidR="0026099D">
        <w:t>M2</w:t>
      </w:r>
      <w:r w:rsidR="005C5477">
        <w:t>8</w:t>
      </w:r>
      <w:r w:rsidR="005C5477">
        <w:noBreakHyphen/>
        <w:t xml:space="preserve">lumacaftor </w:t>
      </w:r>
      <w:r w:rsidRPr="00FD7BCA">
        <w:t>with mutagenic and clastogenic activity not demonstrated for the metabolite in vitro.</w:t>
      </w:r>
    </w:p>
    <w:p w14:paraId="53C83D49" w14:textId="77777777" w:rsidR="00FD7BCA" w:rsidRPr="00FD7BCA" w:rsidRDefault="00FD7BCA" w:rsidP="007112C3">
      <w:pPr>
        <w:pStyle w:val="Heading4"/>
      </w:pPr>
      <w:bookmarkStart w:id="60" w:name="_Toc294861730"/>
      <w:r w:rsidRPr="00FD7BCA">
        <w:t>Carcinogenicity</w:t>
      </w:r>
      <w:bookmarkEnd w:id="60"/>
    </w:p>
    <w:p w14:paraId="43E3EBF1" w14:textId="77777777" w:rsidR="00FD7BCA" w:rsidRPr="00FD7BCA" w:rsidRDefault="00FD7BCA" w:rsidP="00FD7BCA">
      <w:r w:rsidRPr="00FD7BCA">
        <w:t>The carcinogenic potential of lumacaftor by investigated in a 6</w:t>
      </w:r>
      <w:r w:rsidR="00026051">
        <w:t xml:space="preserve"> </w:t>
      </w:r>
      <w:r w:rsidRPr="00FD7BCA">
        <w:t>month study in transgenic mice (Tg.rasH2) and a 2</w:t>
      </w:r>
      <w:r w:rsidR="00026051">
        <w:t xml:space="preserve"> </w:t>
      </w:r>
      <w:r w:rsidRPr="00FD7BCA">
        <w:t>year study in rats. Administration was by the clinical route (oral). The design of the studies was consistent with relevant ICH/EU guidelines</w:t>
      </w:r>
      <w:r w:rsidR="005C5477">
        <w:t>.</w:t>
      </w:r>
      <w:r w:rsidR="005C5477">
        <w:rPr>
          <w:rStyle w:val="FootnoteReference"/>
        </w:rPr>
        <w:footnoteReference w:id="10"/>
      </w:r>
      <w:r w:rsidRPr="00FD7BCA">
        <w:t xml:space="preserve"> </w:t>
      </w:r>
      <w:r w:rsidR="005C5477">
        <w:rPr>
          <w:rStyle w:val="FootnoteReference"/>
        </w:rPr>
        <w:footnoteReference w:id="11"/>
      </w:r>
      <w:r w:rsidR="005C5477">
        <w:t xml:space="preserve"> </w:t>
      </w:r>
      <w:r w:rsidRPr="00FD7BCA">
        <w:t>Appropriate dose levels were used, with the drug tested up to maximally tolerated doses. No treatment</w:t>
      </w:r>
      <w:r w:rsidR="00026051">
        <w:t xml:space="preserve"> </w:t>
      </w:r>
      <w:r w:rsidRPr="00FD7BCA">
        <w:t xml:space="preserve">related increase in tumours was observed with lumacaftor in either species </w:t>
      </w:r>
      <w:r w:rsidR="005C5477">
        <w:t>up to the highest doses tested;</w:t>
      </w:r>
      <w:r w:rsidRPr="00FD7BCA">
        <w:t xml:space="preserve"> transgenic mice: 2000 mg/kg/day in males (relative exposure, 5), </w:t>
      </w:r>
      <w:r w:rsidRPr="00FD7BCA">
        <w:lastRenderedPageBreak/>
        <w:t xml:space="preserve">1000 mg/kg/day in females (relative exposure, 3.5); rats: 1000 mg/kg/day in both sexes (relative exposure, </w:t>
      </w:r>
      <w:r w:rsidR="00026051">
        <w:t>approximately</w:t>
      </w:r>
      <w:r w:rsidRPr="00FD7BCA">
        <w:t>5 for males and 13 for females).</w:t>
      </w:r>
    </w:p>
    <w:p w14:paraId="19DF4EE6" w14:textId="77777777" w:rsidR="00FD7BCA" w:rsidRPr="00FD7BCA" w:rsidRDefault="00FD7BCA" w:rsidP="00FD7BCA">
      <w:r w:rsidRPr="00FD7BCA">
        <w:t xml:space="preserve">The rat carcinogenicity study included an additional group administered </w:t>
      </w:r>
      <w:r w:rsidR="0026099D">
        <w:t>M2</w:t>
      </w:r>
      <w:r w:rsidRPr="00FD7BCA">
        <w:t>8</w:t>
      </w:r>
      <w:r w:rsidRPr="00FD7BCA">
        <w:noBreakHyphen/>
        <w:t>lumacaftor (25 mg/kg/day PO), with no carcinogenic activity for the metabolite evident (relative exposure, 44 for males and 64 for females).</w:t>
      </w:r>
    </w:p>
    <w:p w14:paraId="26E298EF" w14:textId="77777777" w:rsidR="00FD7BCA" w:rsidRPr="00FD7BCA" w:rsidRDefault="00FD7BCA" w:rsidP="00FD7BCA">
      <w:pPr>
        <w:pStyle w:val="Heading4"/>
      </w:pPr>
      <w:r w:rsidRPr="00FD7BCA">
        <w:t>Reproductive toxicity</w:t>
      </w:r>
    </w:p>
    <w:p w14:paraId="5E11D852" w14:textId="77777777" w:rsidR="00FD7BCA" w:rsidRPr="00FD7BCA" w:rsidRDefault="00FD7BCA" w:rsidP="00FD7BCA">
      <w:r w:rsidRPr="00FD7BCA">
        <w:t>Submitted reproductive toxicity studies for lumacaftor covered all stages (fertility, early embryonic development, embryofetal development, and pre- and postnatal development). The fertility and pre</w:t>
      </w:r>
      <w:r w:rsidRPr="00FD7BCA">
        <w:noBreakHyphen/>
        <w:t xml:space="preserve">/postnatal development studies featured co-administration of </w:t>
      </w:r>
      <w:r w:rsidR="0026099D">
        <w:t>M2</w:t>
      </w:r>
      <w:r w:rsidRPr="00FD7BCA">
        <w:t>8</w:t>
      </w:r>
      <w:r w:rsidRPr="00FD7BCA">
        <w:noBreakHyphen/>
        <w:t>lumacaftor; a separate embryofetal development study with the metabolite was also conducted. Numbers of animals, species selection (rats, and additionally rabbits for effects of lumacaftor on embryofetal development), dose selection, and the timing/duration of treatment were appropriate. All studies involved oral administration.</w:t>
      </w:r>
    </w:p>
    <w:p w14:paraId="6DA4B746" w14:textId="77777777" w:rsidR="00FD7BCA" w:rsidRPr="00FD7BCA" w:rsidRDefault="00FD7BCA" w:rsidP="00FD7BCA">
      <w:pPr>
        <w:pStyle w:val="Heading5"/>
      </w:pPr>
      <w:r w:rsidRPr="00FD7BCA">
        <w:t>Relative exposure</w:t>
      </w:r>
    </w:p>
    <w:p w14:paraId="6317F170" w14:textId="77777777" w:rsidR="00FD7BCA" w:rsidRPr="00FD7BCA" w:rsidRDefault="00FD7BCA" w:rsidP="00FD7BCA">
      <w:r w:rsidRPr="00FD7BCA">
        <w:t xml:space="preserve">Moderate multiples of the clinical plasma AUC for lumacaftor were obtained in the animal studies. Higher exposure multiples were achieved for </w:t>
      </w:r>
      <w:r w:rsidR="0026099D">
        <w:t>M2</w:t>
      </w:r>
      <w:r w:rsidRPr="00FD7BCA">
        <w:t>8-lumacaftor (</w:t>
      </w:r>
      <w:r w:rsidR="00026051">
        <w:t>approximately</w:t>
      </w:r>
      <w:r w:rsidR="005C5477">
        <w:t xml:space="preserve">17 to </w:t>
      </w:r>
      <w:r w:rsidRPr="00FD7BCA">
        <w:t>30</w:t>
      </w:r>
      <w:r w:rsidR="005C5477">
        <w:t xml:space="preserve"> </w:t>
      </w:r>
      <w:r w:rsidRPr="00FD7BCA">
        <w:t>× in studie</w:t>
      </w:r>
      <w:r w:rsidR="00026051">
        <w:t>s with co</w:t>
      </w:r>
      <w:r w:rsidR="00026051">
        <w:noBreakHyphen/>
        <w:t xml:space="preserve">administration and 78 to </w:t>
      </w:r>
      <w:r w:rsidRPr="00FD7BCA">
        <w:t>127</w:t>
      </w:r>
      <w:r w:rsidR="005C5477">
        <w:t xml:space="preserve"> </w:t>
      </w:r>
      <w:r w:rsidRPr="00FD7BCA">
        <w:t>× in a separate embryofetal development study).</w:t>
      </w:r>
    </w:p>
    <w:p w14:paraId="28963D04" w14:textId="77777777" w:rsidR="00FD7BCA" w:rsidRPr="00FD7BCA" w:rsidRDefault="00DB650D" w:rsidP="00FD7BCA">
      <w:pPr>
        <w:pStyle w:val="TableTitle"/>
      </w:pPr>
      <w:r>
        <w:t>Table 4</w:t>
      </w:r>
      <w:r w:rsidR="00FD7BCA" w:rsidRPr="00FD7BCA">
        <w:t>. Relative exposure in reproductive toxicity studies</w:t>
      </w:r>
      <w:bookmarkStart w:id="61" w:name="ReproRelExp"/>
      <w:bookmarkEnd w:id="61"/>
    </w:p>
    <w:tbl>
      <w:tblPr>
        <w:tblStyle w:val="TableTGAblue"/>
        <w:tblW w:w="8398" w:type="dxa"/>
        <w:tblLayout w:type="fixed"/>
        <w:tblLook w:val="01E0" w:firstRow="1" w:lastRow="1" w:firstColumn="1" w:lastColumn="1" w:noHBand="0" w:noVBand="0"/>
      </w:tblPr>
      <w:tblGrid>
        <w:gridCol w:w="1242"/>
        <w:gridCol w:w="1617"/>
        <w:gridCol w:w="1374"/>
        <w:gridCol w:w="377"/>
        <w:gridCol w:w="751"/>
        <w:gridCol w:w="375"/>
        <w:gridCol w:w="752"/>
        <w:gridCol w:w="501"/>
        <w:gridCol w:w="625"/>
        <w:gridCol w:w="236"/>
        <w:gridCol w:w="548"/>
      </w:tblGrid>
      <w:tr w:rsidR="00FD7BCA" w:rsidRPr="00FD7BCA" w14:paraId="3587DB55" w14:textId="77777777" w:rsidTr="007112C3">
        <w:trPr>
          <w:cnfStyle w:val="100000000000" w:firstRow="1" w:lastRow="0" w:firstColumn="0" w:lastColumn="0" w:oddVBand="0" w:evenVBand="0" w:oddHBand="0" w:evenHBand="0" w:firstRowFirstColumn="0" w:firstRowLastColumn="0" w:lastRowFirstColumn="0" w:lastRowLastColumn="0"/>
          <w:trHeight w:val="474"/>
        </w:trPr>
        <w:tc>
          <w:tcPr>
            <w:tcW w:w="1242" w:type="dxa"/>
            <w:vMerge w:val="restart"/>
          </w:tcPr>
          <w:p w14:paraId="26AF8870" w14:textId="77777777" w:rsidR="00FD7BCA" w:rsidRPr="00FD7BCA" w:rsidRDefault="00FD7BCA" w:rsidP="00B7687C">
            <w:pPr>
              <w:ind w:left="0" w:right="0"/>
              <w:rPr>
                <w:sz w:val="18"/>
                <w:szCs w:val="18"/>
              </w:rPr>
            </w:pPr>
            <w:r w:rsidRPr="00FD7BCA">
              <w:rPr>
                <w:sz w:val="18"/>
                <w:szCs w:val="18"/>
              </w:rPr>
              <w:t>Species</w:t>
            </w:r>
          </w:p>
        </w:tc>
        <w:tc>
          <w:tcPr>
            <w:tcW w:w="1617" w:type="dxa"/>
            <w:vMerge w:val="restart"/>
          </w:tcPr>
          <w:p w14:paraId="3711FD31" w14:textId="77777777" w:rsidR="00FD7BCA" w:rsidRPr="00FD7BCA" w:rsidRDefault="005C5477" w:rsidP="00B7687C">
            <w:pPr>
              <w:ind w:left="0" w:right="0"/>
              <w:rPr>
                <w:sz w:val="18"/>
                <w:szCs w:val="18"/>
              </w:rPr>
            </w:pPr>
            <w:r>
              <w:rPr>
                <w:sz w:val="18"/>
                <w:szCs w:val="18"/>
              </w:rPr>
              <w:t xml:space="preserve">Study </w:t>
            </w:r>
            <w:r w:rsidR="00026051">
              <w:rPr>
                <w:sz w:val="18"/>
                <w:szCs w:val="18"/>
              </w:rPr>
              <w:t>(</w:t>
            </w:r>
            <w:r w:rsidR="00FD7BCA" w:rsidRPr="00FD7BCA">
              <w:rPr>
                <w:sz w:val="18"/>
                <w:szCs w:val="18"/>
              </w:rPr>
              <w:t>Study no.</w:t>
            </w:r>
            <w:r w:rsidR="00026051">
              <w:rPr>
                <w:sz w:val="18"/>
                <w:szCs w:val="18"/>
              </w:rPr>
              <w:t>)</w:t>
            </w:r>
          </w:p>
        </w:tc>
        <w:tc>
          <w:tcPr>
            <w:tcW w:w="5539" w:type="dxa"/>
            <w:gridSpan w:val="9"/>
          </w:tcPr>
          <w:p w14:paraId="482B05BC" w14:textId="77777777" w:rsidR="00FD7BCA" w:rsidRPr="00FD7BCA" w:rsidRDefault="00FD7BCA" w:rsidP="00B7687C">
            <w:pPr>
              <w:ind w:left="0" w:right="0"/>
              <w:rPr>
                <w:sz w:val="18"/>
                <w:szCs w:val="18"/>
              </w:rPr>
            </w:pPr>
            <w:r w:rsidRPr="00FD7BCA">
              <w:rPr>
                <w:sz w:val="18"/>
                <w:szCs w:val="18"/>
              </w:rPr>
              <w:t>Lumacaftor</w:t>
            </w:r>
          </w:p>
        </w:tc>
      </w:tr>
      <w:tr w:rsidR="00FD7BCA" w:rsidRPr="00FD7BCA" w14:paraId="5A9C8350" w14:textId="77777777" w:rsidTr="007112C3">
        <w:trPr>
          <w:trHeight w:val="141"/>
        </w:trPr>
        <w:tc>
          <w:tcPr>
            <w:tcW w:w="1242" w:type="dxa"/>
            <w:vMerge/>
          </w:tcPr>
          <w:p w14:paraId="37F62425" w14:textId="77777777" w:rsidR="00FD7BCA" w:rsidRPr="00FD7BCA" w:rsidRDefault="00FD7BCA" w:rsidP="00B7687C">
            <w:pPr>
              <w:ind w:left="0" w:right="0"/>
              <w:rPr>
                <w:sz w:val="18"/>
                <w:szCs w:val="18"/>
              </w:rPr>
            </w:pPr>
          </w:p>
        </w:tc>
        <w:tc>
          <w:tcPr>
            <w:tcW w:w="1617" w:type="dxa"/>
            <w:vMerge/>
          </w:tcPr>
          <w:p w14:paraId="78D5783A" w14:textId="77777777" w:rsidR="00FD7BCA" w:rsidRPr="00FD7BCA" w:rsidRDefault="00FD7BCA" w:rsidP="00B7687C">
            <w:pPr>
              <w:ind w:left="0" w:right="0"/>
              <w:rPr>
                <w:sz w:val="18"/>
                <w:szCs w:val="18"/>
              </w:rPr>
            </w:pPr>
          </w:p>
        </w:tc>
        <w:tc>
          <w:tcPr>
            <w:tcW w:w="1374" w:type="dxa"/>
            <w:shd w:val="clear" w:color="auto" w:fill="006DA7"/>
          </w:tcPr>
          <w:p w14:paraId="307252A4" w14:textId="77777777" w:rsidR="00FD7BCA" w:rsidRPr="005C5477" w:rsidRDefault="005C5477" w:rsidP="00B7687C">
            <w:pPr>
              <w:ind w:left="0" w:right="0"/>
              <w:rPr>
                <w:b/>
                <w:color w:val="FFFFFF" w:themeColor="background1"/>
                <w:sz w:val="18"/>
                <w:szCs w:val="18"/>
              </w:rPr>
            </w:pPr>
            <w:r w:rsidRPr="005C5477">
              <w:rPr>
                <w:b/>
                <w:color w:val="FFFFFF" w:themeColor="background1"/>
                <w:sz w:val="18"/>
                <w:szCs w:val="18"/>
              </w:rPr>
              <w:t xml:space="preserve">Dose </w:t>
            </w:r>
            <w:r w:rsidR="00FD7BCA" w:rsidRPr="005C5477">
              <w:rPr>
                <w:b/>
                <w:color w:val="FFFFFF" w:themeColor="background1"/>
                <w:sz w:val="18"/>
                <w:szCs w:val="18"/>
              </w:rPr>
              <w:t>(mg/kg/day)</w:t>
            </w:r>
          </w:p>
        </w:tc>
        <w:tc>
          <w:tcPr>
            <w:tcW w:w="2255" w:type="dxa"/>
            <w:gridSpan w:val="4"/>
            <w:shd w:val="clear" w:color="auto" w:fill="006DA7"/>
          </w:tcPr>
          <w:p w14:paraId="2CD923F0" w14:textId="77777777" w:rsidR="00FD7BCA" w:rsidRPr="005C5477" w:rsidRDefault="008B5A3E" w:rsidP="00B7687C">
            <w:pPr>
              <w:ind w:left="0" w:right="0"/>
              <w:rPr>
                <w:b/>
                <w:color w:val="FFFFFF" w:themeColor="background1"/>
                <w:sz w:val="18"/>
                <w:szCs w:val="18"/>
              </w:rPr>
            </w:pPr>
            <w:r w:rsidRPr="005C5477">
              <w:rPr>
                <w:b/>
                <w:color w:val="FFFFFF" w:themeColor="background1"/>
              </w:rPr>
              <w:t>AUC</w:t>
            </w:r>
            <w:r w:rsidRPr="005C5477">
              <w:rPr>
                <w:b/>
                <w:color w:val="FFFFFF" w:themeColor="background1"/>
                <w:vertAlign w:val="subscript"/>
              </w:rPr>
              <w:t>0–24 h</w:t>
            </w:r>
            <w:r w:rsidR="005C5477" w:rsidRPr="005C5477">
              <w:rPr>
                <w:b/>
                <w:color w:val="FFFFFF" w:themeColor="background1"/>
                <w:sz w:val="18"/>
                <w:szCs w:val="18"/>
              </w:rPr>
              <w:t xml:space="preserve"> </w:t>
            </w:r>
            <w:r w:rsidR="00FD7BCA" w:rsidRPr="005C5477">
              <w:rPr>
                <w:b/>
                <w:color w:val="FFFFFF" w:themeColor="background1"/>
                <w:sz w:val="18"/>
                <w:szCs w:val="18"/>
              </w:rPr>
              <w:t>(</w:t>
            </w:r>
            <w:r w:rsidR="00026051" w:rsidRPr="005C5477">
              <w:rPr>
                <w:b/>
                <w:color w:val="FFFFFF" w:themeColor="background1"/>
                <w:sz w:val="18"/>
                <w:szCs w:val="18"/>
              </w:rPr>
              <w:t>µ</w:t>
            </w:r>
            <w:r w:rsidR="00FD7BCA" w:rsidRPr="005C5477">
              <w:rPr>
                <w:b/>
                <w:color w:val="FFFFFF" w:themeColor="background1"/>
                <w:sz w:val="18"/>
                <w:szCs w:val="18"/>
              </w:rPr>
              <w:t>g∙h/mL)</w:t>
            </w:r>
          </w:p>
        </w:tc>
        <w:tc>
          <w:tcPr>
            <w:tcW w:w="1910" w:type="dxa"/>
            <w:gridSpan w:val="4"/>
            <w:shd w:val="clear" w:color="auto" w:fill="006DA7"/>
          </w:tcPr>
          <w:p w14:paraId="2144772B" w14:textId="77777777" w:rsidR="00FD7BCA" w:rsidRPr="005C5477" w:rsidRDefault="00FD7BCA" w:rsidP="00B7687C">
            <w:pPr>
              <w:ind w:left="0" w:right="0"/>
              <w:rPr>
                <w:b/>
                <w:color w:val="FFFFFF" w:themeColor="background1"/>
                <w:sz w:val="18"/>
                <w:szCs w:val="18"/>
              </w:rPr>
            </w:pPr>
            <w:r w:rsidRPr="005C5477">
              <w:rPr>
                <w:b/>
                <w:color w:val="FFFFFF" w:themeColor="background1"/>
                <w:sz w:val="18"/>
                <w:szCs w:val="18"/>
              </w:rPr>
              <w:t>Exposure ratio#</w:t>
            </w:r>
          </w:p>
        </w:tc>
      </w:tr>
      <w:tr w:rsidR="00FD7BCA" w:rsidRPr="00FD7BCA" w14:paraId="7D4B656F" w14:textId="77777777" w:rsidTr="007112C3">
        <w:trPr>
          <w:trHeight w:val="222"/>
        </w:trPr>
        <w:tc>
          <w:tcPr>
            <w:tcW w:w="1242" w:type="dxa"/>
            <w:vMerge w:val="restart"/>
          </w:tcPr>
          <w:p w14:paraId="416673F9" w14:textId="77777777" w:rsidR="00FD7BCA" w:rsidRPr="00FD7BCA" w:rsidRDefault="005C5477" w:rsidP="007112C3">
            <w:pPr>
              <w:spacing w:before="0"/>
              <w:ind w:left="0" w:right="0"/>
              <w:rPr>
                <w:sz w:val="18"/>
                <w:szCs w:val="18"/>
              </w:rPr>
            </w:pPr>
            <w:r>
              <w:rPr>
                <w:sz w:val="18"/>
                <w:szCs w:val="18"/>
              </w:rPr>
              <w:t xml:space="preserve">Rat </w:t>
            </w:r>
            <w:r w:rsidR="00FD7BCA" w:rsidRPr="00FD7BCA">
              <w:rPr>
                <w:sz w:val="18"/>
                <w:szCs w:val="18"/>
              </w:rPr>
              <w:t>(SD)</w:t>
            </w:r>
          </w:p>
        </w:tc>
        <w:tc>
          <w:tcPr>
            <w:tcW w:w="1617" w:type="dxa"/>
            <w:vMerge w:val="restart"/>
          </w:tcPr>
          <w:p w14:paraId="127BDE1E" w14:textId="77777777" w:rsidR="00FD7BCA" w:rsidRPr="00FD7BCA" w:rsidRDefault="005C5477" w:rsidP="007112C3">
            <w:pPr>
              <w:spacing w:before="0"/>
              <w:ind w:left="0" w:right="0"/>
              <w:rPr>
                <w:sz w:val="18"/>
                <w:szCs w:val="18"/>
              </w:rPr>
            </w:pPr>
            <w:r>
              <w:rPr>
                <w:sz w:val="18"/>
                <w:szCs w:val="18"/>
              </w:rPr>
              <w:t xml:space="preserve">Fertility </w:t>
            </w:r>
            <w:r w:rsidR="00026051">
              <w:rPr>
                <w:sz w:val="18"/>
                <w:szCs w:val="18"/>
              </w:rPr>
              <w:t>(</w:t>
            </w:r>
            <w:r w:rsidR="00FD7BCA" w:rsidRPr="00FD7BCA">
              <w:rPr>
                <w:sz w:val="18"/>
                <w:szCs w:val="18"/>
              </w:rPr>
              <w:t>Study VX-809-TX-016</w:t>
            </w:r>
            <w:r w:rsidR="00026051">
              <w:rPr>
                <w:sz w:val="18"/>
                <w:szCs w:val="18"/>
              </w:rPr>
              <w:t>)</w:t>
            </w:r>
          </w:p>
        </w:tc>
        <w:tc>
          <w:tcPr>
            <w:tcW w:w="1374" w:type="dxa"/>
          </w:tcPr>
          <w:p w14:paraId="3504E364" w14:textId="77777777" w:rsidR="00FD7BCA" w:rsidRPr="00FD7BCA" w:rsidRDefault="00FD7BCA" w:rsidP="007112C3">
            <w:pPr>
              <w:spacing w:before="0"/>
              <w:ind w:left="0" w:right="0"/>
              <w:rPr>
                <w:sz w:val="18"/>
                <w:szCs w:val="18"/>
              </w:rPr>
            </w:pPr>
            <w:r w:rsidRPr="00FD7BCA">
              <w:rPr>
                <w:sz w:val="18"/>
                <w:szCs w:val="18"/>
              </w:rPr>
              <w:t>250^</w:t>
            </w:r>
          </w:p>
        </w:tc>
        <w:tc>
          <w:tcPr>
            <w:tcW w:w="377" w:type="dxa"/>
            <w:vMerge w:val="restart"/>
          </w:tcPr>
          <w:p w14:paraId="1794398A" w14:textId="77777777" w:rsidR="00FD7BCA" w:rsidRPr="002760E1" w:rsidRDefault="005C5477" w:rsidP="007112C3">
            <w:pPr>
              <w:spacing w:before="0"/>
              <w:ind w:left="0" w:right="0"/>
              <w:rPr>
                <w:rFonts w:asciiTheme="minorHAnsi" w:hAnsiTheme="minorHAnsi"/>
                <w:sz w:val="18"/>
                <w:szCs w:val="18"/>
              </w:rPr>
            </w:pPr>
            <w:r w:rsidRPr="002760E1">
              <w:rPr>
                <w:rFonts w:asciiTheme="minorHAnsi" w:hAnsiTheme="minorHAnsi"/>
                <w:sz w:val="18"/>
                <w:szCs w:val="18"/>
              </w:rPr>
              <w:t>M</w:t>
            </w:r>
          </w:p>
        </w:tc>
        <w:tc>
          <w:tcPr>
            <w:tcW w:w="751" w:type="dxa"/>
          </w:tcPr>
          <w:p w14:paraId="2C701E2E" w14:textId="77777777" w:rsidR="00FD7BCA" w:rsidRPr="002760E1" w:rsidRDefault="00FD7BCA" w:rsidP="007112C3">
            <w:pPr>
              <w:spacing w:before="0"/>
              <w:ind w:left="0" w:right="0"/>
              <w:rPr>
                <w:rFonts w:asciiTheme="minorHAnsi" w:hAnsiTheme="minorHAnsi"/>
                <w:sz w:val="18"/>
                <w:szCs w:val="18"/>
              </w:rPr>
            </w:pPr>
            <w:r w:rsidRPr="002760E1">
              <w:rPr>
                <w:rFonts w:asciiTheme="minorHAnsi" w:hAnsiTheme="minorHAnsi"/>
                <w:sz w:val="18"/>
                <w:szCs w:val="18"/>
              </w:rPr>
              <w:t>853</w:t>
            </w:r>
            <w:r w:rsidRPr="002760E1">
              <w:rPr>
                <w:rFonts w:asciiTheme="minorHAnsi" w:hAnsiTheme="minorHAnsi"/>
                <w:sz w:val="18"/>
                <w:szCs w:val="18"/>
                <w:vertAlign w:val="superscript"/>
              </w:rPr>
              <w:t>a</w:t>
            </w:r>
          </w:p>
        </w:tc>
        <w:tc>
          <w:tcPr>
            <w:tcW w:w="375" w:type="dxa"/>
            <w:vMerge w:val="restart"/>
          </w:tcPr>
          <w:p w14:paraId="64428348" w14:textId="77777777" w:rsidR="00FD7BCA" w:rsidRPr="002760E1" w:rsidRDefault="005C5477" w:rsidP="007112C3">
            <w:pPr>
              <w:spacing w:before="0"/>
              <w:ind w:left="0" w:right="0"/>
              <w:rPr>
                <w:rFonts w:asciiTheme="minorHAnsi" w:hAnsiTheme="minorHAnsi"/>
                <w:sz w:val="18"/>
                <w:szCs w:val="18"/>
              </w:rPr>
            </w:pPr>
            <w:r w:rsidRPr="002760E1">
              <w:rPr>
                <w:rFonts w:asciiTheme="minorHAnsi" w:hAnsiTheme="minorHAnsi"/>
                <w:sz w:val="18"/>
                <w:szCs w:val="18"/>
              </w:rPr>
              <w:t>F</w:t>
            </w:r>
          </w:p>
        </w:tc>
        <w:tc>
          <w:tcPr>
            <w:tcW w:w="752" w:type="dxa"/>
          </w:tcPr>
          <w:p w14:paraId="66B34050" w14:textId="77777777" w:rsidR="00FD7BCA" w:rsidRPr="002760E1" w:rsidRDefault="00FD7BCA" w:rsidP="007112C3">
            <w:pPr>
              <w:spacing w:before="0"/>
              <w:ind w:left="0" w:right="0"/>
              <w:rPr>
                <w:rFonts w:asciiTheme="minorHAnsi" w:hAnsiTheme="minorHAnsi"/>
                <w:sz w:val="18"/>
                <w:szCs w:val="18"/>
              </w:rPr>
            </w:pPr>
            <w:r w:rsidRPr="002760E1">
              <w:rPr>
                <w:rFonts w:asciiTheme="minorHAnsi" w:hAnsiTheme="minorHAnsi"/>
                <w:sz w:val="18"/>
                <w:szCs w:val="18"/>
              </w:rPr>
              <w:t>1520</w:t>
            </w:r>
            <w:r w:rsidRPr="002760E1">
              <w:rPr>
                <w:rFonts w:asciiTheme="minorHAnsi" w:hAnsiTheme="minorHAnsi"/>
                <w:sz w:val="18"/>
                <w:szCs w:val="18"/>
                <w:vertAlign w:val="superscript"/>
              </w:rPr>
              <w:t>a</w:t>
            </w:r>
          </w:p>
        </w:tc>
        <w:tc>
          <w:tcPr>
            <w:tcW w:w="501" w:type="dxa"/>
            <w:vMerge w:val="restart"/>
          </w:tcPr>
          <w:p w14:paraId="05B73121" w14:textId="77777777" w:rsidR="00FD7BCA" w:rsidRPr="002760E1" w:rsidRDefault="005C5477" w:rsidP="007112C3">
            <w:pPr>
              <w:spacing w:before="0"/>
              <w:ind w:left="0" w:right="0"/>
              <w:rPr>
                <w:rFonts w:asciiTheme="minorHAnsi" w:hAnsiTheme="minorHAnsi"/>
                <w:sz w:val="18"/>
                <w:szCs w:val="18"/>
              </w:rPr>
            </w:pPr>
            <w:r w:rsidRPr="002760E1">
              <w:rPr>
                <w:rFonts w:asciiTheme="minorHAnsi" w:hAnsiTheme="minorHAnsi"/>
                <w:sz w:val="18"/>
                <w:szCs w:val="18"/>
              </w:rPr>
              <w:t>M</w:t>
            </w:r>
          </w:p>
        </w:tc>
        <w:tc>
          <w:tcPr>
            <w:tcW w:w="625" w:type="dxa"/>
          </w:tcPr>
          <w:p w14:paraId="5FE48053" w14:textId="77777777" w:rsidR="00FD7BCA" w:rsidRPr="002760E1" w:rsidRDefault="00FD7BCA" w:rsidP="007112C3">
            <w:pPr>
              <w:spacing w:before="0"/>
              <w:ind w:left="0" w:right="0"/>
              <w:rPr>
                <w:rFonts w:asciiTheme="minorHAnsi" w:hAnsiTheme="minorHAnsi"/>
                <w:sz w:val="18"/>
                <w:szCs w:val="18"/>
              </w:rPr>
            </w:pPr>
            <w:r w:rsidRPr="002760E1">
              <w:rPr>
                <w:rFonts w:asciiTheme="minorHAnsi" w:hAnsiTheme="minorHAnsi"/>
                <w:sz w:val="18"/>
                <w:szCs w:val="18"/>
              </w:rPr>
              <w:t>2.2</w:t>
            </w:r>
          </w:p>
        </w:tc>
        <w:tc>
          <w:tcPr>
            <w:tcW w:w="236" w:type="dxa"/>
            <w:vMerge w:val="restart"/>
          </w:tcPr>
          <w:p w14:paraId="5C1BD8FA" w14:textId="77777777" w:rsidR="00FD7BCA" w:rsidRPr="002760E1" w:rsidRDefault="005C5477" w:rsidP="007112C3">
            <w:pPr>
              <w:spacing w:before="0"/>
              <w:ind w:left="0" w:right="0"/>
              <w:rPr>
                <w:rFonts w:asciiTheme="minorHAnsi" w:hAnsiTheme="minorHAnsi"/>
                <w:sz w:val="18"/>
                <w:szCs w:val="18"/>
              </w:rPr>
            </w:pPr>
            <w:r w:rsidRPr="002760E1">
              <w:rPr>
                <w:rFonts w:asciiTheme="minorHAnsi" w:hAnsiTheme="minorHAnsi"/>
                <w:sz w:val="18"/>
                <w:szCs w:val="18"/>
              </w:rPr>
              <w:t>F</w:t>
            </w:r>
          </w:p>
        </w:tc>
        <w:tc>
          <w:tcPr>
            <w:tcW w:w="548" w:type="dxa"/>
          </w:tcPr>
          <w:p w14:paraId="335FCD15" w14:textId="77777777" w:rsidR="00FD7BCA" w:rsidRPr="002760E1" w:rsidRDefault="00FD7BCA" w:rsidP="007112C3">
            <w:pPr>
              <w:spacing w:before="0"/>
              <w:ind w:left="0" w:right="0"/>
              <w:rPr>
                <w:rFonts w:asciiTheme="minorHAnsi" w:hAnsiTheme="minorHAnsi"/>
                <w:sz w:val="18"/>
                <w:szCs w:val="18"/>
              </w:rPr>
            </w:pPr>
            <w:r w:rsidRPr="002760E1">
              <w:rPr>
                <w:rFonts w:asciiTheme="minorHAnsi" w:hAnsiTheme="minorHAnsi"/>
                <w:sz w:val="18"/>
                <w:szCs w:val="18"/>
              </w:rPr>
              <w:t>3.8</w:t>
            </w:r>
          </w:p>
        </w:tc>
      </w:tr>
      <w:tr w:rsidR="00FD7BCA" w:rsidRPr="00FD7BCA" w14:paraId="0ECDDF13" w14:textId="77777777" w:rsidTr="007112C3">
        <w:trPr>
          <w:trHeight w:val="222"/>
        </w:trPr>
        <w:tc>
          <w:tcPr>
            <w:tcW w:w="1242" w:type="dxa"/>
            <w:vMerge/>
          </w:tcPr>
          <w:p w14:paraId="507F461D" w14:textId="77777777" w:rsidR="00FD7BCA" w:rsidRPr="00FD7BCA" w:rsidRDefault="00FD7BCA" w:rsidP="00B7687C">
            <w:pPr>
              <w:ind w:left="0" w:right="0"/>
              <w:rPr>
                <w:sz w:val="18"/>
                <w:szCs w:val="18"/>
              </w:rPr>
            </w:pPr>
          </w:p>
        </w:tc>
        <w:tc>
          <w:tcPr>
            <w:tcW w:w="1617" w:type="dxa"/>
            <w:vMerge/>
          </w:tcPr>
          <w:p w14:paraId="3DB1AADD" w14:textId="77777777" w:rsidR="00FD7BCA" w:rsidRPr="00FD7BCA" w:rsidRDefault="00FD7BCA" w:rsidP="00B7687C">
            <w:pPr>
              <w:ind w:left="0" w:right="0"/>
              <w:rPr>
                <w:sz w:val="18"/>
                <w:szCs w:val="18"/>
              </w:rPr>
            </w:pPr>
          </w:p>
        </w:tc>
        <w:tc>
          <w:tcPr>
            <w:tcW w:w="1374" w:type="dxa"/>
          </w:tcPr>
          <w:p w14:paraId="63F4C270" w14:textId="77777777" w:rsidR="00FD7BCA" w:rsidRPr="00FD7BCA" w:rsidRDefault="00FD7BCA" w:rsidP="00B7687C">
            <w:pPr>
              <w:ind w:left="0" w:right="0"/>
              <w:rPr>
                <w:sz w:val="18"/>
                <w:szCs w:val="18"/>
              </w:rPr>
            </w:pPr>
            <w:r w:rsidRPr="00FD7BCA">
              <w:rPr>
                <w:sz w:val="18"/>
                <w:szCs w:val="18"/>
              </w:rPr>
              <w:t>500^</w:t>
            </w:r>
          </w:p>
        </w:tc>
        <w:tc>
          <w:tcPr>
            <w:tcW w:w="377" w:type="dxa"/>
            <w:vMerge/>
          </w:tcPr>
          <w:p w14:paraId="3FD440F1" w14:textId="77777777" w:rsidR="00FD7BCA" w:rsidRPr="002760E1" w:rsidRDefault="00FD7BCA" w:rsidP="00B7687C">
            <w:pPr>
              <w:ind w:left="0" w:right="0"/>
              <w:rPr>
                <w:rFonts w:asciiTheme="minorHAnsi" w:hAnsiTheme="minorHAnsi"/>
                <w:sz w:val="18"/>
                <w:szCs w:val="18"/>
              </w:rPr>
            </w:pPr>
          </w:p>
        </w:tc>
        <w:tc>
          <w:tcPr>
            <w:tcW w:w="751" w:type="dxa"/>
          </w:tcPr>
          <w:p w14:paraId="4CCC39DD" w14:textId="77777777" w:rsidR="00FD7BCA" w:rsidRPr="002760E1" w:rsidRDefault="00FD7BCA" w:rsidP="00B7687C">
            <w:pPr>
              <w:ind w:left="0" w:right="0"/>
              <w:rPr>
                <w:rFonts w:asciiTheme="minorHAnsi" w:hAnsiTheme="minorHAnsi"/>
                <w:sz w:val="18"/>
                <w:szCs w:val="18"/>
              </w:rPr>
            </w:pPr>
            <w:r w:rsidRPr="002760E1">
              <w:rPr>
                <w:rFonts w:asciiTheme="minorHAnsi" w:hAnsiTheme="minorHAnsi"/>
                <w:sz w:val="18"/>
                <w:szCs w:val="18"/>
              </w:rPr>
              <w:t>881</w:t>
            </w:r>
            <w:r w:rsidRPr="002760E1">
              <w:rPr>
                <w:rFonts w:asciiTheme="minorHAnsi" w:hAnsiTheme="minorHAnsi"/>
                <w:sz w:val="18"/>
                <w:szCs w:val="18"/>
                <w:vertAlign w:val="superscript"/>
              </w:rPr>
              <w:t>a</w:t>
            </w:r>
          </w:p>
        </w:tc>
        <w:tc>
          <w:tcPr>
            <w:tcW w:w="375" w:type="dxa"/>
            <w:vMerge/>
          </w:tcPr>
          <w:p w14:paraId="51D4A4BB" w14:textId="77777777" w:rsidR="00FD7BCA" w:rsidRPr="002760E1" w:rsidRDefault="00FD7BCA" w:rsidP="00B7687C">
            <w:pPr>
              <w:ind w:left="0" w:right="0"/>
              <w:rPr>
                <w:rFonts w:asciiTheme="minorHAnsi" w:hAnsiTheme="minorHAnsi"/>
                <w:sz w:val="18"/>
                <w:szCs w:val="18"/>
              </w:rPr>
            </w:pPr>
          </w:p>
        </w:tc>
        <w:tc>
          <w:tcPr>
            <w:tcW w:w="752" w:type="dxa"/>
          </w:tcPr>
          <w:p w14:paraId="65C084C8" w14:textId="77777777" w:rsidR="00FD7BCA" w:rsidRPr="002760E1" w:rsidRDefault="00FD7BCA" w:rsidP="00B7687C">
            <w:pPr>
              <w:ind w:left="0" w:right="0"/>
              <w:rPr>
                <w:rFonts w:asciiTheme="minorHAnsi" w:hAnsiTheme="minorHAnsi"/>
                <w:sz w:val="18"/>
                <w:szCs w:val="18"/>
              </w:rPr>
            </w:pPr>
            <w:r w:rsidRPr="002760E1">
              <w:rPr>
                <w:rFonts w:asciiTheme="minorHAnsi" w:hAnsiTheme="minorHAnsi"/>
                <w:sz w:val="18"/>
                <w:szCs w:val="18"/>
              </w:rPr>
              <w:t>1860</w:t>
            </w:r>
            <w:r w:rsidRPr="002760E1">
              <w:rPr>
                <w:rFonts w:asciiTheme="minorHAnsi" w:hAnsiTheme="minorHAnsi"/>
                <w:sz w:val="18"/>
                <w:szCs w:val="18"/>
                <w:vertAlign w:val="superscript"/>
              </w:rPr>
              <w:t>b</w:t>
            </w:r>
          </w:p>
        </w:tc>
        <w:tc>
          <w:tcPr>
            <w:tcW w:w="501" w:type="dxa"/>
            <w:vMerge/>
          </w:tcPr>
          <w:p w14:paraId="25B2C73F" w14:textId="77777777" w:rsidR="00FD7BCA" w:rsidRPr="002760E1" w:rsidRDefault="00FD7BCA" w:rsidP="00B7687C">
            <w:pPr>
              <w:ind w:left="0" w:right="0"/>
              <w:rPr>
                <w:rFonts w:asciiTheme="minorHAnsi" w:hAnsiTheme="minorHAnsi"/>
                <w:sz w:val="18"/>
                <w:szCs w:val="18"/>
              </w:rPr>
            </w:pPr>
          </w:p>
        </w:tc>
        <w:tc>
          <w:tcPr>
            <w:tcW w:w="625" w:type="dxa"/>
          </w:tcPr>
          <w:p w14:paraId="56928684" w14:textId="77777777" w:rsidR="00FD7BCA" w:rsidRPr="002760E1" w:rsidRDefault="00FD7BCA" w:rsidP="00B7687C">
            <w:pPr>
              <w:ind w:left="0" w:right="0"/>
              <w:rPr>
                <w:rFonts w:asciiTheme="minorHAnsi" w:hAnsiTheme="minorHAnsi"/>
                <w:sz w:val="18"/>
                <w:szCs w:val="18"/>
              </w:rPr>
            </w:pPr>
            <w:r w:rsidRPr="002760E1">
              <w:rPr>
                <w:rFonts w:asciiTheme="minorHAnsi" w:hAnsiTheme="minorHAnsi"/>
                <w:sz w:val="18"/>
                <w:szCs w:val="18"/>
              </w:rPr>
              <w:t>2.2</w:t>
            </w:r>
          </w:p>
        </w:tc>
        <w:tc>
          <w:tcPr>
            <w:tcW w:w="236" w:type="dxa"/>
            <w:vMerge/>
          </w:tcPr>
          <w:p w14:paraId="4E3F4C7F" w14:textId="77777777" w:rsidR="00FD7BCA" w:rsidRPr="002760E1" w:rsidRDefault="00FD7BCA" w:rsidP="00B7687C">
            <w:pPr>
              <w:ind w:left="0" w:right="0"/>
              <w:rPr>
                <w:rFonts w:asciiTheme="minorHAnsi" w:hAnsiTheme="minorHAnsi"/>
                <w:sz w:val="18"/>
                <w:szCs w:val="18"/>
              </w:rPr>
            </w:pPr>
          </w:p>
        </w:tc>
        <w:tc>
          <w:tcPr>
            <w:tcW w:w="548" w:type="dxa"/>
          </w:tcPr>
          <w:p w14:paraId="6D66761B" w14:textId="77777777" w:rsidR="00FD7BCA" w:rsidRPr="002760E1" w:rsidRDefault="00FD7BCA" w:rsidP="00B7687C">
            <w:pPr>
              <w:ind w:left="0" w:right="0"/>
              <w:rPr>
                <w:rFonts w:asciiTheme="minorHAnsi" w:hAnsiTheme="minorHAnsi"/>
                <w:sz w:val="18"/>
                <w:szCs w:val="18"/>
              </w:rPr>
            </w:pPr>
            <w:r w:rsidRPr="002760E1">
              <w:rPr>
                <w:rFonts w:asciiTheme="minorHAnsi" w:hAnsiTheme="minorHAnsi"/>
                <w:sz w:val="18"/>
                <w:szCs w:val="18"/>
              </w:rPr>
              <w:t>4.7</w:t>
            </w:r>
          </w:p>
        </w:tc>
      </w:tr>
      <w:tr w:rsidR="00FD7BCA" w:rsidRPr="00FD7BCA" w14:paraId="5CDFDC85" w14:textId="77777777" w:rsidTr="007112C3">
        <w:trPr>
          <w:trHeight w:val="222"/>
        </w:trPr>
        <w:tc>
          <w:tcPr>
            <w:tcW w:w="1242" w:type="dxa"/>
            <w:vMerge/>
          </w:tcPr>
          <w:p w14:paraId="0AF399B9" w14:textId="77777777" w:rsidR="00FD7BCA" w:rsidRPr="00FD7BCA" w:rsidRDefault="00FD7BCA" w:rsidP="00B7687C">
            <w:pPr>
              <w:ind w:left="0" w:right="0"/>
              <w:rPr>
                <w:sz w:val="18"/>
                <w:szCs w:val="18"/>
              </w:rPr>
            </w:pPr>
          </w:p>
        </w:tc>
        <w:tc>
          <w:tcPr>
            <w:tcW w:w="1617" w:type="dxa"/>
            <w:vMerge/>
          </w:tcPr>
          <w:p w14:paraId="3E5CFC10" w14:textId="77777777" w:rsidR="00FD7BCA" w:rsidRPr="00FD7BCA" w:rsidRDefault="00FD7BCA" w:rsidP="00B7687C">
            <w:pPr>
              <w:ind w:left="0" w:right="0"/>
              <w:rPr>
                <w:sz w:val="18"/>
                <w:szCs w:val="18"/>
              </w:rPr>
            </w:pPr>
          </w:p>
        </w:tc>
        <w:tc>
          <w:tcPr>
            <w:tcW w:w="1374" w:type="dxa"/>
          </w:tcPr>
          <w:p w14:paraId="103ED1F3" w14:textId="77777777" w:rsidR="00FD7BCA" w:rsidRPr="00FD7BCA" w:rsidRDefault="00FD7BCA" w:rsidP="00B7687C">
            <w:pPr>
              <w:ind w:left="0" w:right="0"/>
              <w:rPr>
                <w:sz w:val="18"/>
                <w:szCs w:val="18"/>
              </w:rPr>
            </w:pPr>
            <w:r w:rsidRPr="00FD7BCA">
              <w:rPr>
                <w:sz w:val="18"/>
                <w:szCs w:val="18"/>
              </w:rPr>
              <w:t>1000^</w:t>
            </w:r>
          </w:p>
        </w:tc>
        <w:tc>
          <w:tcPr>
            <w:tcW w:w="377" w:type="dxa"/>
            <w:vMerge/>
          </w:tcPr>
          <w:p w14:paraId="55090C7A" w14:textId="77777777" w:rsidR="00FD7BCA" w:rsidRPr="002760E1" w:rsidRDefault="00FD7BCA" w:rsidP="00B7687C">
            <w:pPr>
              <w:ind w:left="0" w:right="0"/>
              <w:rPr>
                <w:rFonts w:asciiTheme="minorHAnsi" w:hAnsiTheme="minorHAnsi"/>
                <w:sz w:val="18"/>
                <w:szCs w:val="18"/>
              </w:rPr>
            </w:pPr>
          </w:p>
        </w:tc>
        <w:tc>
          <w:tcPr>
            <w:tcW w:w="751" w:type="dxa"/>
          </w:tcPr>
          <w:p w14:paraId="57307CCF" w14:textId="77777777" w:rsidR="00FD7BCA" w:rsidRPr="002760E1" w:rsidRDefault="00FD7BCA" w:rsidP="00B7687C">
            <w:pPr>
              <w:ind w:left="0" w:right="0"/>
              <w:rPr>
                <w:rFonts w:asciiTheme="minorHAnsi" w:hAnsiTheme="minorHAnsi"/>
                <w:sz w:val="18"/>
                <w:szCs w:val="18"/>
              </w:rPr>
            </w:pPr>
            <w:r w:rsidRPr="002760E1">
              <w:rPr>
                <w:rFonts w:asciiTheme="minorHAnsi" w:hAnsiTheme="minorHAnsi"/>
                <w:sz w:val="18"/>
                <w:szCs w:val="18"/>
              </w:rPr>
              <w:t>1140</w:t>
            </w:r>
            <w:r w:rsidRPr="002760E1">
              <w:rPr>
                <w:rFonts w:asciiTheme="minorHAnsi" w:hAnsiTheme="minorHAnsi"/>
                <w:sz w:val="18"/>
                <w:szCs w:val="18"/>
                <w:vertAlign w:val="superscript"/>
              </w:rPr>
              <w:t>a</w:t>
            </w:r>
          </w:p>
        </w:tc>
        <w:tc>
          <w:tcPr>
            <w:tcW w:w="375" w:type="dxa"/>
            <w:vMerge/>
          </w:tcPr>
          <w:p w14:paraId="7A30FEE4" w14:textId="77777777" w:rsidR="00FD7BCA" w:rsidRPr="002760E1" w:rsidRDefault="00FD7BCA" w:rsidP="00B7687C">
            <w:pPr>
              <w:ind w:left="0" w:right="0"/>
              <w:rPr>
                <w:rFonts w:asciiTheme="minorHAnsi" w:hAnsiTheme="minorHAnsi"/>
                <w:sz w:val="18"/>
                <w:szCs w:val="18"/>
              </w:rPr>
            </w:pPr>
          </w:p>
        </w:tc>
        <w:tc>
          <w:tcPr>
            <w:tcW w:w="752" w:type="dxa"/>
          </w:tcPr>
          <w:p w14:paraId="44AF6E09" w14:textId="77777777" w:rsidR="00FD7BCA" w:rsidRPr="002760E1" w:rsidRDefault="00FD7BCA" w:rsidP="00B7687C">
            <w:pPr>
              <w:ind w:left="0" w:right="0"/>
              <w:rPr>
                <w:rFonts w:asciiTheme="minorHAnsi" w:hAnsiTheme="minorHAnsi"/>
                <w:sz w:val="18"/>
                <w:szCs w:val="18"/>
              </w:rPr>
            </w:pPr>
            <w:r w:rsidRPr="002760E1">
              <w:rPr>
                <w:rFonts w:asciiTheme="minorHAnsi" w:hAnsiTheme="minorHAnsi"/>
                <w:sz w:val="18"/>
                <w:szCs w:val="18"/>
              </w:rPr>
              <w:t>2570</w:t>
            </w:r>
            <w:r w:rsidRPr="002760E1">
              <w:rPr>
                <w:rFonts w:asciiTheme="minorHAnsi" w:hAnsiTheme="minorHAnsi"/>
                <w:sz w:val="18"/>
                <w:szCs w:val="18"/>
                <w:vertAlign w:val="superscript"/>
              </w:rPr>
              <w:t>b</w:t>
            </w:r>
          </w:p>
        </w:tc>
        <w:tc>
          <w:tcPr>
            <w:tcW w:w="501" w:type="dxa"/>
            <w:vMerge/>
          </w:tcPr>
          <w:p w14:paraId="191D16D4" w14:textId="77777777" w:rsidR="00FD7BCA" w:rsidRPr="002760E1" w:rsidRDefault="00FD7BCA" w:rsidP="00B7687C">
            <w:pPr>
              <w:ind w:left="0" w:right="0"/>
              <w:rPr>
                <w:rFonts w:asciiTheme="minorHAnsi" w:hAnsiTheme="minorHAnsi"/>
                <w:sz w:val="18"/>
                <w:szCs w:val="18"/>
              </w:rPr>
            </w:pPr>
          </w:p>
        </w:tc>
        <w:tc>
          <w:tcPr>
            <w:tcW w:w="625" w:type="dxa"/>
          </w:tcPr>
          <w:p w14:paraId="0C018867" w14:textId="77777777" w:rsidR="00FD7BCA" w:rsidRPr="002760E1" w:rsidRDefault="00FD7BCA" w:rsidP="00B7687C">
            <w:pPr>
              <w:ind w:left="0" w:right="0"/>
              <w:rPr>
                <w:rFonts w:asciiTheme="minorHAnsi" w:hAnsiTheme="minorHAnsi"/>
                <w:sz w:val="18"/>
                <w:szCs w:val="18"/>
              </w:rPr>
            </w:pPr>
            <w:r w:rsidRPr="002760E1">
              <w:rPr>
                <w:rFonts w:asciiTheme="minorHAnsi" w:hAnsiTheme="minorHAnsi"/>
                <w:sz w:val="18"/>
                <w:szCs w:val="18"/>
              </w:rPr>
              <w:t>2.9</w:t>
            </w:r>
          </w:p>
        </w:tc>
        <w:tc>
          <w:tcPr>
            <w:tcW w:w="236" w:type="dxa"/>
            <w:vMerge/>
          </w:tcPr>
          <w:p w14:paraId="31DA928A" w14:textId="77777777" w:rsidR="00FD7BCA" w:rsidRPr="002760E1" w:rsidRDefault="00FD7BCA" w:rsidP="00B7687C">
            <w:pPr>
              <w:ind w:left="0" w:right="0"/>
              <w:rPr>
                <w:rFonts w:asciiTheme="minorHAnsi" w:hAnsiTheme="minorHAnsi"/>
                <w:sz w:val="18"/>
                <w:szCs w:val="18"/>
              </w:rPr>
            </w:pPr>
          </w:p>
        </w:tc>
        <w:tc>
          <w:tcPr>
            <w:tcW w:w="548" w:type="dxa"/>
          </w:tcPr>
          <w:p w14:paraId="293477AC" w14:textId="77777777" w:rsidR="00FD7BCA" w:rsidRPr="002760E1" w:rsidRDefault="00FD7BCA" w:rsidP="00B7687C">
            <w:pPr>
              <w:ind w:left="0" w:right="0"/>
              <w:rPr>
                <w:rFonts w:asciiTheme="minorHAnsi" w:hAnsiTheme="minorHAnsi"/>
                <w:sz w:val="18"/>
                <w:szCs w:val="18"/>
              </w:rPr>
            </w:pPr>
            <w:r w:rsidRPr="002760E1">
              <w:rPr>
                <w:rFonts w:asciiTheme="minorHAnsi" w:hAnsiTheme="minorHAnsi"/>
                <w:sz w:val="18"/>
                <w:szCs w:val="18"/>
              </w:rPr>
              <w:t>6.5</w:t>
            </w:r>
          </w:p>
        </w:tc>
      </w:tr>
      <w:tr w:rsidR="00FD7BCA" w:rsidRPr="00FD7BCA" w14:paraId="674DE5D2" w14:textId="77777777" w:rsidTr="007112C3">
        <w:trPr>
          <w:trHeight w:val="222"/>
        </w:trPr>
        <w:tc>
          <w:tcPr>
            <w:tcW w:w="1242" w:type="dxa"/>
            <w:vMerge/>
          </w:tcPr>
          <w:p w14:paraId="131BCEC2" w14:textId="77777777" w:rsidR="00FD7BCA" w:rsidRPr="00FD7BCA" w:rsidRDefault="00FD7BCA" w:rsidP="007112C3">
            <w:pPr>
              <w:spacing w:before="0"/>
              <w:ind w:left="0" w:right="0"/>
              <w:rPr>
                <w:sz w:val="18"/>
                <w:szCs w:val="18"/>
              </w:rPr>
            </w:pPr>
          </w:p>
        </w:tc>
        <w:tc>
          <w:tcPr>
            <w:tcW w:w="1617" w:type="dxa"/>
            <w:vMerge w:val="restart"/>
          </w:tcPr>
          <w:p w14:paraId="2CD7A64B" w14:textId="77777777" w:rsidR="00FD7BCA" w:rsidRPr="00FD7BCA" w:rsidRDefault="005C5477" w:rsidP="007112C3">
            <w:pPr>
              <w:spacing w:before="0"/>
              <w:ind w:left="0" w:right="0"/>
              <w:rPr>
                <w:sz w:val="18"/>
                <w:szCs w:val="18"/>
              </w:rPr>
            </w:pPr>
            <w:r>
              <w:rPr>
                <w:sz w:val="18"/>
                <w:szCs w:val="18"/>
              </w:rPr>
              <w:t xml:space="preserve">Embryofetal development </w:t>
            </w:r>
            <w:r w:rsidR="00026051">
              <w:rPr>
                <w:sz w:val="18"/>
                <w:szCs w:val="18"/>
              </w:rPr>
              <w:t>(</w:t>
            </w:r>
            <w:r w:rsidR="00FD7BCA" w:rsidRPr="00FD7BCA">
              <w:rPr>
                <w:sz w:val="18"/>
                <w:szCs w:val="18"/>
              </w:rPr>
              <w:t>Study VX-809-TX-005</w:t>
            </w:r>
            <w:r w:rsidR="00026051">
              <w:rPr>
                <w:sz w:val="18"/>
                <w:szCs w:val="18"/>
              </w:rPr>
              <w:t>)</w:t>
            </w:r>
          </w:p>
        </w:tc>
        <w:tc>
          <w:tcPr>
            <w:tcW w:w="1374" w:type="dxa"/>
          </w:tcPr>
          <w:p w14:paraId="68135F77" w14:textId="77777777" w:rsidR="00FD7BCA" w:rsidRPr="00FD7BCA" w:rsidRDefault="00FD7BCA" w:rsidP="007112C3">
            <w:pPr>
              <w:spacing w:before="0"/>
              <w:ind w:left="0" w:right="0"/>
              <w:rPr>
                <w:sz w:val="18"/>
                <w:szCs w:val="18"/>
              </w:rPr>
            </w:pPr>
            <w:r w:rsidRPr="00FD7BCA">
              <w:rPr>
                <w:sz w:val="18"/>
                <w:szCs w:val="18"/>
              </w:rPr>
              <w:t>500</w:t>
            </w:r>
          </w:p>
        </w:tc>
        <w:tc>
          <w:tcPr>
            <w:tcW w:w="2255" w:type="dxa"/>
            <w:gridSpan w:val="4"/>
          </w:tcPr>
          <w:p w14:paraId="4A42385D" w14:textId="77777777" w:rsidR="00FD7BCA" w:rsidRPr="00FD7BCA" w:rsidRDefault="00FD7BCA" w:rsidP="007112C3">
            <w:pPr>
              <w:spacing w:before="0"/>
              <w:ind w:left="0" w:right="0"/>
              <w:rPr>
                <w:sz w:val="18"/>
                <w:szCs w:val="18"/>
              </w:rPr>
            </w:pPr>
            <w:r w:rsidRPr="00FD7BCA">
              <w:rPr>
                <w:sz w:val="18"/>
                <w:szCs w:val="18"/>
              </w:rPr>
              <w:t>1860</w:t>
            </w:r>
          </w:p>
        </w:tc>
        <w:tc>
          <w:tcPr>
            <w:tcW w:w="1910" w:type="dxa"/>
            <w:gridSpan w:val="4"/>
          </w:tcPr>
          <w:p w14:paraId="69792358" w14:textId="77777777" w:rsidR="00FD7BCA" w:rsidRPr="00FD7BCA" w:rsidRDefault="00FD7BCA" w:rsidP="007112C3">
            <w:pPr>
              <w:spacing w:before="0"/>
              <w:ind w:left="0" w:right="0"/>
              <w:rPr>
                <w:sz w:val="18"/>
                <w:szCs w:val="18"/>
              </w:rPr>
            </w:pPr>
            <w:r w:rsidRPr="00FD7BCA">
              <w:rPr>
                <w:sz w:val="18"/>
                <w:szCs w:val="18"/>
              </w:rPr>
              <w:t>4.7</w:t>
            </w:r>
          </w:p>
        </w:tc>
      </w:tr>
      <w:tr w:rsidR="00FD7BCA" w:rsidRPr="00FD7BCA" w14:paraId="10A8D8C4" w14:textId="77777777" w:rsidTr="007112C3">
        <w:trPr>
          <w:trHeight w:val="222"/>
        </w:trPr>
        <w:tc>
          <w:tcPr>
            <w:tcW w:w="1242" w:type="dxa"/>
            <w:vMerge/>
          </w:tcPr>
          <w:p w14:paraId="327696FC" w14:textId="77777777" w:rsidR="00FD7BCA" w:rsidRPr="00FD7BCA" w:rsidRDefault="00FD7BCA" w:rsidP="00B7687C">
            <w:pPr>
              <w:ind w:left="0" w:right="0"/>
              <w:rPr>
                <w:sz w:val="18"/>
                <w:szCs w:val="18"/>
              </w:rPr>
            </w:pPr>
          </w:p>
        </w:tc>
        <w:tc>
          <w:tcPr>
            <w:tcW w:w="1617" w:type="dxa"/>
            <w:vMerge/>
          </w:tcPr>
          <w:p w14:paraId="0A8B1864" w14:textId="77777777" w:rsidR="00FD7BCA" w:rsidRPr="00FD7BCA" w:rsidRDefault="00FD7BCA" w:rsidP="00B7687C">
            <w:pPr>
              <w:ind w:left="0" w:right="0"/>
              <w:rPr>
                <w:sz w:val="18"/>
                <w:szCs w:val="18"/>
              </w:rPr>
            </w:pPr>
          </w:p>
        </w:tc>
        <w:tc>
          <w:tcPr>
            <w:tcW w:w="1374" w:type="dxa"/>
          </w:tcPr>
          <w:p w14:paraId="15337BD0" w14:textId="77777777" w:rsidR="00FD7BCA" w:rsidRPr="00FD7BCA" w:rsidRDefault="00FD7BCA" w:rsidP="00B7687C">
            <w:pPr>
              <w:ind w:left="0" w:right="0"/>
              <w:rPr>
                <w:sz w:val="18"/>
                <w:szCs w:val="18"/>
              </w:rPr>
            </w:pPr>
            <w:r w:rsidRPr="00FD7BCA">
              <w:rPr>
                <w:sz w:val="18"/>
                <w:szCs w:val="18"/>
              </w:rPr>
              <w:t>1000</w:t>
            </w:r>
          </w:p>
        </w:tc>
        <w:tc>
          <w:tcPr>
            <w:tcW w:w="2255" w:type="dxa"/>
            <w:gridSpan w:val="4"/>
          </w:tcPr>
          <w:p w14:paraId="732198FA" w14:textId="77777777" w:rsidR="00FD7BCA" w:rsidRPr="00FD7BCA" w:rsidRDefault="00FD7BCA" w:rsidP="00B7687C">
            <w:pPr>
              <w:ind w:left="0" w:right="0"/>
              <w:rPr>
                <w:sz w:val="18"/>
                <w:szCs w:val="18"/>
              </w:rPr>
            </w:pPr>
            <w:r w:rsidRPr="00FD7BCA">
              <w:rPr>
                <w:sz w:val="18"/>
                <w:szCs w:val="18"/>
              </w:rPr>
              <w:t>2570</w:t>
            </w:r>
          </w:p>
        </w:tc>
        <w:tc>
          <w:tcPr>
            <w:tcW w:w="1910" w:type="dxa"/>
            <w:gridSpan w:val="4"/>
          </w:tcPr>
          <w:p w14:paraId="6AF6946C" w14:textId="77777777" w:rsidR="00FD7BCA" w:rsidRPr="00FD7BCA" w:rsidRDefault="00FD7BCA" w:rsidP="00B7687C">
            <w:pPr>
              <w:ind w:left="0" w:right="0"/>
              <w:rPr>
                <w:sz w:val="18"/>
                <w:szCs w:val="18"/>
              </w:rPr>
            </w:pPr>
            <w:r w:rsidRPr="00FD7BCA">
              <w:rPr>
                <w:sz w:val="18"/>
                <w:szCs w:val="18"/>
              </w:rPr>
              <w:t>6.5</w:t>
            </w:r>
          </w:p>
        </w:tc>
      </w:tr>
      <w:tr w:rsidR="00FD7BCA" w:rsidRPr="00FD7BCA" w14:paraId="6AD8DA1A" w14:textId="77777777" w:rsidTr="007112C3">
        <w:trPr>
          <w:trHeight w:val="222"/>
        </w:trPr>
        <w:tc>
          <w:tcPr>
            <w:tcW w:w="1242" w:type="dxa"/>
            <w:vMerge/>
          </w:tcPr>
          <w:p w14:paraId="38908F7A" w14:textId="77777777" w:rsidR="00FD7BCA" w:rsidRPr="00FD7BCA" w:rsidRDefault="00FD7BCA" w:rsidP="00B7687C">
            <w:pPr>
              <w:ind w:left="0" w:right="0"/>
              <w:rPr>
                <w:sz w:val="18"/>
                <w:szCs w:val="18"/>
              </w:rPr>
            </w:pPr>
          </w:p>
        </w:tc>
        <w:tc>
          <w:tcPr>
            <w:tcW w:w="1617" w:type="dxa"/>
            <w:vMerge/>
          </w:tcPr>
          <w:p w14:paraId="1CDCFE9C" w14:textId="77777777" w:rsidR="00FD7BCA" w:rsidRPr="00FD7BCA" w:rsidRDefault="00FD7BCA" w:rsidP="00B7687C">
            <w:pPr>
              <w:ind w:left="0" w:right="0"/>
              <w:rPr>
                <w:sz w:val="18"/>
                <w:szCs w:val="18"/>
              </w:rPr>
            </w:pPr>
          </w:p>
        </w:tc>
        <w:tc>
          <w:tcPr>
            <w:tcW w:w="1374" w:type="dxa"/>
          </w:tcPr>
          <w:p w14:paraId="65205E7E" w14:textId="77777777" w:rsidR="00FD7BCA" w:rsidRPr="00FD7BCA" w:rsidRDefault="00FD7BCA" w:rsidP="00B7687C">
            <w:pPr>
              <w:ind w:left="0" w:right="0"/>
              <w:rPr>
                <w:sz w:val="18"/>
                <w:szCs w:val="18"/>
              </w:rPr>
            </w:pPr>
            <w:r w:rsidRPr="00FD7BCA">
              <w:rPr>
                <w:sz w:val="18"/>
                <w:szCs w:val="18"/>
              </w:rPr>
              <w:t>2000</w:t>
            </w:r>
          </w:p>
        </w:tc>
        <w:tc>
          <w:tcPr>
            <w:tcW w:w="2255" w:type="dxa"/>
            <w:gridSpan w:val="4"/>
          </w:tcPr>
          <w:p w14:paraId="25D5EDFA" w14:textId="77777777" w:rsidR="00FD7BCA" w:rsidRPr="00FD7BCA" w:rsidRDefault="00FD7BCA" w:rsidP="00B7687C">
            <w:pPr>
              <w:ind w:left="0" w:right="0"/>
              <w:rPr>
                <w:sz w:val="18"/>
                <w:szCs w:val="18"/>
              </w:rPr>
            </w:pPr>
            <w:r w:rsidRPr="00FD7BCA">
              <w:rPr>
                <w:sz w:val="18"/>
                <w:szCs w:val="18"/>
              </w:rPr>
              <w:t>3320</w:t>
            </w:r>
          </w:p>
        </w:tc>
        <w:tc>
          <w:tcPr>
            <w:tcW w:w="1910" w:type="dxa"/>
            <w:gridSpan w:val="4"/>
          </w:tcPr>
          <w:p w14:paraId="1B17605F" w14:textId="77777777" w:rsidR="00FD7BCA" w:rsidRPr="00FD7BCA" w:rsidRDefault="00FD7BCA" w:rsidP="00B7687C">
            <w:pPr>
              <w:ind w:left="0" w:right="0"/>
              <w:rPr>
                <w:sz w:val="18"/>
                <w:szCs w:val="18"/>
              </w:rPr>
            </w:pPr>
            <w:r w:rsidRPr="00FD7BCA">
              <w:rPr>
                <w:sz w:val="18"/>
                <w:szCs w:val="18"/>
              </w:rPr>
              <w:t>8.4</w:t>
            </w:r>
          </w:p>
        </w:tc>
      </w:tr>
      <w:tr w:rsidR="00FD7BCA" w:rsidRPr="00FD7BCA" w14:paraId="5D00142C" w14:textId="77777777" w:rsidTr="007112C3">
        <w:trPr>
          <w:trHeight w:val="222"/>
        </w:trPr>
        <w:tc>
          <w:tcPr>
            <w:tcW w:w="1242" w:type="dxa"/>
            <w:vMerge/>
          </w:tcPr>
          <w:p w14:paraId="1C33FD20" w14:textId="77777777" w:rsidR="00FD7BCA" w:rsidRPr="00FD7BCA" w:rsidRDefault="00FD7BCA" w:rsidP="007112C3">
            <w:pPr>
              <w:spacing w:before="0"/>
              <w:ind w:left="0" w:right="0"/>
              <w:rPr>
                <w:sz w:val="18"/>
                <w:szCs w:val="18"/>
              </w:rPr>
            </w:pPr>
          </w:p>
        </w:tc>
        <w:tc>
          <w:tcPr>
            <w:tcW w:w="1617" w:type="dxa"/>
            <w:vMerge w:val="restart"/>
          </w:tcPr>
          <w:p w14:paraId="11827AD6" w14:textId="77777777" w:rsidR="00FD7BCA" w:rsidRPr="00FD7BCA" w:rsidRDefault="005C5477" w:rsidP="007112C3">
            <w:pPr>
              <w:spacing w:before="0"/>
              <w:ind w:left="0" w:right="0"/>
              <w:rPr>
                <w:sz w:val="18"/>
                <w:szCs w:val="18"/>
              </w:rPr>
            </w:pPr>
            <w:r>
              <w:rPr>
                <w:sz w:val="18"/>
                <w:szCs w:val="18"/>
              </w:rPr>
              <w:t xml:space="preserve">Pre-/postnatal development </w:t>
            </w:r>
            <w:r w:rsidR="00026051">
              <w:rPr>
                <w:sz w:val="18"/>
                <w:szCs w:val="18"/>
              </w:rPr>
              <w:t>(</w:t>
            </w:r>
            <w:r w:rsidR="00FD7BCA" w:rsidRPr="00FD7BCA">
              <w:rPr>
                <w:sz w:val="18"/>
                <w:szCs w:val="18"/>
              </w:rPr>
              <w:t>Study VX-809-TX-017</w:t>
            </w:r>
            <w:r w:rsidR="00026051">
              <w:rPr>
                <w:sz w:val="18"/>
                <w:szCs w:val="18"/>
              </w:rPr>
              <w:t>)</w:t>
            </w:r>
          </w:p>
        </w:tc>
        <w:tc>
          <w:tcPr>
            <w:tcW w:w="1374" w:type="dxa"/>
          </w:tcPr>
          <w:p w14:paraId="55AF1EC9" w14:textId="77777777" w:rsidR="00FD7BCA" w:rsidRPr="00FD7BCA" w:rsidRDefault="00FD7BCA" w:rsidP="007112C3">
            <w:pPr>
              <w:spacing w:before="0"/>
              <w:ind w:left="0" w:right="0"/>
              <w:rPr>
                <w:sz w:val="18"/>
                <w:szCs w:val="18"/>
              </w:rPr>
            </w:pPr>
            <w:r w:rsidRPr="00FD7BCA">
              <w:rPr>
                <w:sz w:val="18"/>
                <w:szCs w:val="18"/>
              </w:rPr>
              <w:t>250^</w:t>
            </w:r>
          </w:p>
        </w:tc>
        <w:tc>
          <w:tcPr>
            <w:tcW w:w="2255" w:type="dxa"/>
            <w:gridSpan w:val="4"/>
          </w:tcPr>
          <w:p w14:paraId="3A3CE3F4" w14:textId="77777777" w:rsidR="00FD7BCA" w:rsidRPr="00FD7BCA" w:rsidRDefault="00FD7BCA" w:rsidP="007112C3">
            <w:pPr>
              <w:spacing w:before="0"/>
              <w:ind w:left="0" w:right="0"/>
              <w:rPr>
                <w:sz w:val="18"/>
                <w:szCs w:val="18"/>
              </w:rPr>
            </w:pPr>
            <w:r w:rsidRPr="00FD7BCA">
              <w:rPr>
                <w:sz w:val="18"/>
                <w:szCs w:val="18"/>
              </w:rPr>
              <w:t>1520</w:t>
            </w:r>
            <w:r w:rsidRPr="005C5477">
              <w:rPr>
                <w:sz w:val="18"/>
                <w:szCs w:val="18"/>
                <w:vertAlign w:val="superscript"/>
              </w:rPr>
              <w:t>a</w:t>
            </w:r>
          </w:p>
        </w:tc>
        <w:tc>
          <w:tcPr>
            <w:tcW w:w="1910" w:type="dxa"/>
            <w:gridSpan w:val="4"/>
          </w:tcPr>
          <w:p w14:paraId="4D01E6CD" w14:textId="77777777" w:rsidR="00FD7BCA" w:rsidRPr="00FD7BCA" w:rsidRDefault="00FD7BCA" w:rsidP="007112C3">
            <w:pPr>
              <w:spacing w:before="0"/>
              <w:ind w:left="0" w:right="0"/>
              <w:rPr>
                <w:sz w:val="18"/>
                <w:szCs w:val="18"/>
              </w:rPr>
            </w:pPr>
            <w:r w:rsidRPr="00FD7BCA">
              <w:rPr>
                <w:sz w:val="18"/>
                <w:szCs w:val="18"/>
              </w:rPr>
              <w:t>3.8</w:t>
            </w:r>
          </w:p>
        </w:tc>
      </w:tr>
      <w:tr w:rsidR="00FD7BCA" w:rsidRPr="00FD7BCA" w14:paraId="0185970A" w14:textId="77777777" w:rsidTr="007112C3">
        <w:trPr>
          <w:trHeight w:val="222"/>
        </w:trPr>
        <w:tc>
          <w:tcPr>
            <w:tcW w:w="1242" w:type="dxa"/>
            <w:vMerge/>
          </w:tcPr>
          <w:p w14:paraId="6712C3AF" w14:textId="77777777" w:rsidR="00FD7BCA" w:rsidRPr="00FD7BCA" w:rsidRDefault="00FD7BCA" w:rsidP="00B7687C">
            <w:pPr>
              <w:ind w:left="0" w:right="0"/>
              <w:rPr>
                <w:sz w:val="18"/>
                <w:szCs w:val="18"/>
              </w:rPr>
            </w:pPr>
          </w:p>
        </w:tc>
        <w:tc>
          <w:tcPr>
            <w:tcW w:w="1617" w:type="dxa"/>
            <w:vMerge/>
          </w:tcPr>
          <w:p w14:paraId="55E9F966" w14:textId="77777777" w:rsidR="00FD7BCA" w:rsidRPr="00FD7BCA" w:rsidRDefault="00FD7BCA" w:rsidP="00B7687C">
            <w:pPr>
              <w:ind w:left="0" w:right="0"/>
              <w:rPr>
                <w:sz w:val="18"/>
                <w:szCs w:val="18"/>
              </w:rPr>
            </w:pPr>
          </w:p>
        </w:tc>
        <w:tc>
          <w:tcPr>
            <w:tcW w:w="1374" w:type="dxa"/>
          </w:tcPr>
          <w:p w14:paraId="0C119C51" w14:textId="77777777" w:rsidR="00FD7BCA" w:rsidRPr="00FD7BCA" w:rsidRDefault="00FD7BCA" w:rsidP="00B7687C">
            <w:pPr>
              <w:ind w:left="0" w:right="0"/>
              <w:rPr>
                <w:sz w:val="18"/>
                <w:szCs w:val="18"/>
              </w:rPr>
            </w:pPr>
            <w:r w:rsidRPr="00FD7BCA">
              <w:rPr>
                <w:sz w:val="18"/>
                <w:szCs w:val="18"/>
              </w:rPr>
              <w:t>500^</w:t>
            </w:r>
          </w:p>
        </w:tc>
        <w:tc>
          <w:tcPr>
            <w:tcW w:w="2255" w:type="dxa"/>
            <w:gridSpan w:val="4"/>
          </w:tcPr>
          <w:p w14:paraId="1AA6963C" w14:textId="77777777" w:rsidR="00FD7BCA" w:rsidRPr="00FD7BCA" w:rsidRDefault="00FD7BCA" w:rsidP="00B7687C">
            <w:pPr>
              <w:ind w:left="0" w:right="0"/>
              <w:rPr>
                <w:sz w:val="18"/>
                <w:szCs w:val="18"/>
              </w:rPr>
            </w:pPr>
            <w:r w:rsidRPr="00FD7BCA">
              <w:rPr>
                <w:sz w:val="18"/>
                <w:szCs w:val="18"/>
              </w:rPr>
              <w:t>1860</w:t>
            </w:r>
            <w:r w:rsidRPr="005C5477">
              <w:rPr>
                <w:sz w:val="18"/>
                <w:szCs w:val="18"/>
                <w:vertAlign w:val="superscript"/>
              </w:rPr>
              <w:t>b</w:t>
            </w:r>
          </w:p>
        </w:tc>
        <w:tc>
          <w:tcPr>
            <w:tcW w:w="1910" w:type="dxa"/>
            <w:gridSpan w:val="4"/>
          </w:tcPr>
          <w:p w14:paraId="03DE483A" w14:textId="77777777" w:rsidR="00FD7BCA" w:rsidRPr="00FD7BCA" w:rsidRDefault="00FD7BCA" w:rsidP="00B7687C">
            <w:pPr>
              <w:ind w:left="0" w:right="0"/>
              <w:rPr>
                <w:sz w:val="18"/>
                <w:szCs w:val="18"/>
              </w:rPr>
            </w:pPr>
            <w:r w:rsidRPr="00FD7BCA">
              <w:rPr>
                <w:sz w:val="18"/>
                <w:szCs w:val="18"/>
              </w:rPr>
              <w:t>4.7</w:t>
            </w:r>
          </w:p>
        </w:tc>
      </w:tr>
      <w:tr w:rsidR="00FD7BCA" w:rsidRPr="00FD7BCA" w14:paraId="375926F9" w14:textId="77777777" w:rsidTr="007112C3">
        <w:trPr>
          <w:trHeight w:val="222"/>
        </w:trPr>
        <w:tc>
          <w:tcPr>
            <w:tcW w:w="1242" w:type="dxa"/>
            <w:vMerge/>
          </w:tcPr>
          <w:p w14:paraId="7D00166C" w14:textId="77777777" w:rsidR="00FD7BCA" w:rsidRPr="00FD7BCA" w:rsidRDefault="00FD7BCA" w:rsidP="00B7687C">
            <w:pPr>
              <w:ind w:left="0" w:right="0"/>
              <w:rPr>
                <w:sz w:val="18"/>
                <w:szCs w:val="18"/>
              </w:rPr>
            </w:pPr>
          </w:p>
        </w:tc>
        <w:tc>
          <w:tcPr>
            <w:tcW w:w="1617" w:type="dxa"/>
            <w:vMerge/>
          </w:tcPr>
          <w:p w14:paraId="07692B7E" w14:textId="77777777" w:rsidR="00FD7BCA" w:rsidRPr="00FD7BCA" w:rsidRDefault="00FD7BCA" w:rsidP="00B7687C">
            <w:pPr>
              <w:ind w:left="0" w:right="0"/>
              <w:rPr>
                <w:sz w:val="18"/>
                <w:szCs w:val="18"/>
              </w:rPr>
            </w:pPr>
          </w:p>
        </w:tc>
        <w:tc>
          <w:tcPr>
            <w:tcW w:w="1374" w:type="dxa"/>
          </w:tcPr>
          <w:p w14:paraId="68B64255" w14:textId="77777777" w:rsidR="00FD7BCA" w:rsidRPr="00FD7BCA" w:rsidRDefault="00FD7BCA" w:rsidP="00B7687C">
            <w:pPr>
              <w:ind w:left="0" w:right="0"/>
              <w:rPr>
                <w:sz w:val="18"/>
                <w:szCs w:val="18"/>
              </w:rPr>
            </w:pPr>
            <w:r w:rsidRPr="00FD7BCA">
              <w:rPr>
                <w:sz w:val="18"/>
                <w:szCs w:val="18"/>
              </w:rPr>
              <w:t>1000^</w:t>
            </w:r>
          </w:p>
        </w:tc>
        <w:tc>
          <w:tcPr>
            <w:tcW w:w="2255" w:type="dxa"/>
            <w:gridSpan w:val="4"/>
          </w:tcPr>
          <w:p w14:paraId="331BB49C" w14:textId="77777777" w:rsidR="00FD7BCA" w:rsidRPr="00FD7BCA" w:rsidRDefault="00FD7BCA" w:rsidP="00B7687C">
            <w:pPr>
              <w:ind w:left="0" w:right="0"/>
              <w:rPr>
                <w:sz w:val="18"/>
                <w:szCs w:val="18"/>
              </w:rPr>
            </w:pPr>
            <w:r w:rsidRPr="00FD7BCA">
              <w:rPr>
                <w:sz w:val="18"/>
                <w:szCs w:val="18"/>
              </w:rPr>
              <w:t>2570</w:t>
            </w:r>
            <w:r w:rsidRPr="005C5477">
              <w:rPr>
                <w:sz w:val="18"/>
                <w:szCs w:val="18"/>
                <w:vertAlign w:val="superscript"/>
              </w:rPr>
              <w:t>b</w:t>
            </w:r>
          </w:p>
        </w:tc>
        <w:tc>
          <w:tcPr>
            <w:tcW w:w="1910" w:type="dxa"/>
            <w:gridSpan w:val="4"/>
          </w:tcPr>
          <w:p w14:paraId="48EC9691" w14:textId="77777777" w:rsidR="00FD7BCA" w:rsidRPr="00FD7BCA" w:rsidRDefault="00FD7BCA" w:rsidP="00B7687C">
            <w:pPr>
              <w:ind w:left="0" w:right="0"/>
              <w:rPr>
                <w:sz w:val="18"/>
                <w:szCs w:val="18"/>
              </w:rPr>
            </w:pPr>
            <w:r w:rsidRPr="00FD7BCA">
              <w:rPr>
                <w:sz w:val="18"/>
                <w:szCs w:val="18"/>
              </w:rPr>
              <w:t>6.5</w:t>
            </w:r>
          </w:p>
        </w:tc>
      </w:tr>
      <w:tr w:rsidR="00FD7BCA" w:rsidRPr="00FD7BCA" w14:paraId="08E46174" w14:textId="77777777" w:rsidTr="007112C3">
        <w:trPr>
          <w:trHeight w:val="222"/>
        </w:trPr>
        <w:tc>
          <w:tcPr>
            <w:tcW w:w="1242" w:type="dxa"/>
            <w:vMerge w:val="restart"/>
          </w:tcPr>
          <w:p w14:paraId="7238E051" w14:textId="77777777" w:rsidR="00FD7BCA" w:rsidRPr="00FD7BCA" w:rsidRDefault="005C5477" w:rsidP="007112C3">
            <w:pPr>
              <w:spacing w:before="0"/>
              <w:ind w:left="0" w:right="0"/>
              <w:rPr>
                <w:sz w:val="18"/>
                <w:szCs w:val="18"/>
              </w:rPr>
            </w:pPr>
            <w:r>
              <w:rPr>
                <w:sz w:val="18"/>
                <w:szCs w:val="18"/>
              </w:rPr>
              <w:t xml:space="preserve">Rabbit </w:t>
            </w:r>
            <w:r w:rsidR="00FD7BCA" w:rsidRPr="00FD7BCA">
              <w:rPr>
                <w:sz w:val="18"/>
                <w:szCs w:val="18"/>
              </w:rPr>
              <w:t>(NZW)</w:t>
            </w:r>
          </w:p>
        </w:tc>
        <w:tc>
          <w:tcPr>
            <w:tcW w:w="1617" w:type="dxa"/>
            <w:vMerge w:val="restart"/>
          </w:tcPr>
          <w:p w14:paraId="0B0276AB" w14:textId="77777777" w:rsidR="00FD7BCA" w:rsidRPr="00FD7BCA" w:rsidRDefault="005C5477" w:rsidP="007112C3">
            <w:pPr>
              <w:spacing w:before="0"/>
              <w:ind w:left="0" w:right="0"/>
              <w:rPr>
                <w:sz w:val="18"/>
                <w:szCs w:val="18"/>
              </w:rPr>
            </w:pPr>
            <w:r>
              <w:rPr>
                <w:sz w:val="18"/>
                <w:szCs w:val="18"/>
              </w:rPr>
              <w:t xml:space="preserve">Embryofetal development </w:t>
            </w:r>
            <w:r w:rsidR="00026051">
              <w:rPr>
                <w:sz w:val="18"/>
                <w:szCs w:val="18"/>
              </w:rPr>
              <w:t>(</w:t>
            </w:r>
            <w:r w:rsidR="00FD7BCA" w:rsidRPr="00FD7BCA">
              <w:rPr>
                <w:sz w:val="18"/>
                <w:szCs w:val="18"/>
              </w:rPr>
              <w:t>Study VX-809-TX-006</w:t>
            </w:r>
            <w:r w:rsidR="00026051">
              <w:rPr>
                <w:sz w:val="18"/>
                <w:szCs w:val="18"/>
              </w:rPr>
              <w:t>)</w:t>
            </w:r>
          </w:p>
        </w:tc>
        <w:tc>
          <w:tcPr>
            <w:tcW w:w="1374" w:type="dxa"/>
          </w:tcPr>
          <w:p w14:paraId="788F3FAE" w14:textId="77777777" w:rsidR="00FD7BCA" w:rsidRPr="00FD7BCA" w:rsidRDefault="00FD7BCA" w:rsidP="007112C3">
            <w:pPr>
              <w:spacing w:before="0"/>
              <w:ind w:left="0" w:right="0"/>
              <w:rPr>
                <w:sz w:val="18"/>
                <w:szCs w:val="18"/>
              </w:rPr>
            </w:pPr>
            <w:r w:rsidRPr="00FD7BCA">
              <w:rPr>
                <w:sz w:val="18"/>
                <w:szCs w:val="18"/>
              </w:rPr>
              <w:t>50</w:t>
            </w:r>
          </w:p>
        </w:tc>
        <w:tc>
          <w:tcPr>
            <w:tcW w:w="2255" w:type="dxa"/>
            <w:gridSpan w:val="4"/>
          </w:tcPr>
          <w:p w14:paraId="2A8AF3F1" w14:textId="77777777" w:rsidR="00FD7BCA" w:rsidRPr="00FD7BCA" w:rsidRDefault="00FD7BCA" w:rsidP="007112C3">
            <w:pPr>
              <w:spacing w:before="0"/>
              <w:ind w:left="0" w:right="0"/>
              <w:rPr>
                <w:sz w:val="18"/>
                <w:szCs w:val="18"/>
              </w:rPr>
            </w:pPr>
            <w:r w:rsidRPr="00FD7BCA">
              <w:rPr>
                <w:sz w:val="18"/>
                <w:szCs w:val="18"/>
              </w:rPr>
              <w:t>796</w:t>
            </w:r>
          </w:p>
        </w:tc>
        <w:tc>
          <w:tcPr>
            <w:tcW w:w="1910" w:type="dxa"/>
            <w:gridSpan w:val="4"/>
          </w:tcPr>
          <w:p w14:paraId="2FBD3699" w14:textId="77777777" w:rsidR="00FD7BCA" w:rsidRPr="00FD7BCA" w:rsidRDefault="00FD7BCA" w:rsidP="007112C3">
            <w:pPr>
              <w:spacing w:before="0"/>
              <w:ind w:left="0" w:right="0"/>
              <w:rPr>
                <w:sz w:val="18"/>
                <w:szCs w:val="18"/>
              </w:rPr>
            </w:pPr>
            <w:r w:rsidRPr="00FD7BCA">
              <w:rPr>
                <w:sz w:val="18"/>
                <w:szCs w:val="18"/>
              </w:rPr>
              <w:t>2.0</w:t>
            </w:r>
          </w:p>
        </w:tc>
      </w:tr>
      <w:tr w:rsidR="00FD7BCA" w:rsidRPr="00FD7BCA" w14:paraId="625EA76C" w14:textId="77777777" w:rsidTr="007112C3">
        <w:trPr>
          <w:trHeight w:val="222"/>
        </w:trPr>
        <w:tc>
          <w:tcPr>
            <w:tcW w:w="1242" w:type="dxa"/>
            <w:vMerge/>
          </w:tcPr>
          <w:p w14:paraId="3C7B58C3" w14:textId="77777777" w:rsidR="00FD7BCA" w:rsidRPr="00FD7BCA" w:rsidRDefault="00FD7BCA" w:rsidP="00B7687C">
            <w:pPr>
              <w:ind w:left="0" w:right="0"/>
              <w:rPr>
                <w:sz w:val="18"/>
                <w:szCs w:val="18"/>
              </w:rPr>
            </w:pPr>
          </w:p>
        </w:tc>
        <w:tc>
          <w:tcPr>
            <w:tcW w:w="1617" w:type="dxa"/>
            <w:vMerge/>
          </w:tcPr>
          <w:p w14:paraId="6308FE77" w14:textId="77777777" w:rsidR="00FD7BCA" w:rsidRPr="00FD7BCA" w:rsidRDefault="00FD7BCA" w:rsidP="00B7687C">
            <w:pPr>
              <w:ind w:left="0" w:right="0"/>
              <w:rPr>
                <w:sz w:val="18"/>
                <w:szCs w:val="18"/>
              </w:rPr>
            </w:pPr>
          </w:p>
        </w:tc>
        <w:tc>
          <w:tcPr>
            <w:tcW w:w="1374" w:type="dxa"/>
          </w:tcPr>
          <w:p w14:paraId="6B16FBF6" w14:textId="77777777" w:rsidR="00FD7BCA" w:rsidRPr="00FD7BCA" w:rsidRDefault="00FD7BCA" w:rsidP="00B7687C">
            <w:pPr>
              <w:ind w:left="0" w:right="0"/>
              <w:rPr>
                <w:sz w:val="18"/>
                <w:szCs w:val="18"/>
              </w:rPr>
            </w:pPr>
            <w:r w:rsidRPr="00FD7BCA">
              <w:rPr>
                <w:sz w:val="18"/>
                <w:szCs w:val="18"/>
              </w:rPr>
              <w:t>100</w:t>
            </w:r>
          </w:p>
        </w:tc>
        <w:tc>
          <w:tcPr>
            <w:tcW w:w="2255" w:type="dxa"/>
            <w:gridSpan w:val="4"/>
          </w:tcPr>
          <w:p w14:paraId="6BCCF950" w14:textId="77777777" w:rsidR="00FD7BCA" w:rsidRPr="00FD7BCA" w:rsidRDefault="00FD7BCA" w:rsidP="00B7687C">
            <w:pPr>
              <w:ind w:left="0" w:right="0"/>
              <w:rPr>
                <w:sz w:val="18"/>
                <w:szCs w:val="18"/>
              </w:rPr>
            </w:pPr>
            <w:r w:rsidRPr="00FD7BCA">
              <w:rPr>
                <w:sz w:val="18"/>
                <w:szCs w:val="18"/>
              </w:rPr>
              <w:t>1200</w:t>
            </w:r>
          </w:p>
        </w:tc>
        <w:tc>
          <w:tcPr>
            <w:tcW w:w="1910" w:type="dxa"/>
            <w:gridSpan w:val="4"/>
          </w:tcPr>
          <w:p w14:paraId="31855019" w14:textId="77777777" w:rsidR="00FD7BCA" w:rsidRPr="00FD7BCA" w:rsidRDefault="00FD7BCA" w:rsidP="00B7687C">
            <w:pPr>
              <w:ind w:left="0" w:right="0"/>
              <w:rPr>
                <w:sz w:val="18"/>
                <w:szCs w:val="18"/>
              </w:rPr>
            </w:pPr>
            <w:r w:rsidRPr="00FD7BCA">
              <w:rPr>
                <w:sz w:val="18"/>
                <w:szCs w:val="18"/>
              </w:rPr>
              <w:t>3.0</w:t>
            </w:r>
          </w:p>
        </w:tc>
      </w:tr>
      <w:tr w:rsidR="00FD7BCA" w:rsidRPr="00FD7BCA" w14:paraId="654E4434" w14:textId="77777777" w:rsidTr="007112C3">
        <w:trPr>
          <w:trHeight w:val="222"/>
        </w:trPr>
        <w:tc>
          <w:tcPr>
            <w:tcW w:w="1242" w:type="dxa"/>
            <w:vMerge/>
          </w:tcPr>
          <w:p w14:paraId="6449B9FE" w14:textId="77777777" w:rsidR="00FD7BCA" w:rsidRPr="00FD7BCA" w:rsidRDefault="00FD7BCA" w:rsidP="00B7687C">
            <w:pPr>
              <w:ind w:left="0" w:right="0"/>
              <w:rPr>
                <w:sz w:val="18"/>
                <w:szCs w:val="18"/>
              </w:rPr>
            </w:pPr>
          </w:p>
        </w:tc>
        <w:tc>
          <w:tcPr>
            <w:tcW w:w="1617" w:type="dxa"/>
            <w:vMerge/>
          </w:tcPr>
          <w:p w14:paraId="7B71245B" w14:textId="77777777" w:rsidR="00FD7BCA" w:rsidRPr="00FD7BCA" w:rsidRDefault="00FD7BCA" w:rsidP="00B7687C">
            <w:pPr>
              <w:ind w:left="0" w:right="0"/>
              <w:rPr>
                <w:sz w:val="18"/>
                <w:szCs w:val="18"/>
              </w:rPr>
            </w:pPr>
          </w:p>
        </w:tc>
        <w:tc>
          <w:tcPr>
            <w:tcW w:w="1374" w:type="dxa"/>
          </w:tcPr>
          <w:p w14:paraId="3E8CA428" w14:textId="77777777" w:rsidR="00FD7BCA" w:rsidRPr="00FD7BCA" w:rsidRDefault="00FD7BCA" w:rsidP="00B7687C">
            <w:pPr>
              <w:ind w:left="0" w:right="0"/>
              <w:rPr>
                <w:sz w:val="18"/>
                <w:szCs w:val="18"/>
              </w:rPr>
            </w:pPr>
            <w:r w:rsidRPr="00FD7BCA">
              <w:rPr>
                <w:sz w:val="18"/>
                <w:szCs w:val="18"/>
              </w:rPr>
              <w:t>200</w:t>
            </w:r>
          </w:p>
        </w:tc>
        <w:tc>
          <w:tcPr>
            <w:tcW w:w="2255" w:type="dxa"/>
            <w:gridSpan w:val="4"/>
          </w:tcPr>
          <w:p w14:paraId="348257FE" w14:textId="77777777" w:rsidR="00FD7BCA" w:rsidRPr="00FD7BCA" w:rsidRDefault="00FD7BCA" w:rsidP="00B7687C">
            <w:pPr>
              <w:ind w:left="0" w:right="0"/>
              <w:rPr>
                <w:sz w:val="18"/>
                <w:szCs w:val="18"/>
              </w:rPr>
            </w:pPr>
            <w:r w:rsidRPr="00FD7BCA">
              <w:rPr>
                <w:sz w:val="18"/>
                <w:szCs w:val="18"/>
              </w:rPr>
              <w:t>1950</w:t>
            </w:r>
          </w:p>
        </w:tc>
        <w:tc>
          <w:tcPr>
            <w:tcW w:w="1910" w:type="dxa"/>
            <w:gridSpan w:val="4"/>
          </w:tcPr>
          <w:p w14:paraId="07766D5D" w14:textId="77777777" w:rsidR="00FD7BCA" w:rsidRPr="00FD7BCA" w:rsidRDefault="00FD7BCA" w:rsidP="00B7687C">
            <w:pPr>
              <w:ind w:left="0" w:right="0"/>
              <w:rPr>
                <w:sz w:val="18"/>
                <w:szCs w:val="18"/>
              </w:rPr>
            </w:pPr>
            <w:r w:rsidRPr="00FD7BCA">
              <w:rPr>
                <w:sz w:val="18"/>
                <w:szCs w:val="18"/>
              </w:rPr>
              <w:t>4.9</w:t>
            </w:r>
          </w:p>
        </w:tc>
      </w:tr>
      <w:tr w:rsidR="00FD7BCA" w:rsidRPr="00FD7BCA" w14:paraId="4AD3EB29" w14:textId="77777777" w:rsidTr="007112C3">
        <w:trPr>
          <w:trHeight w:val="222"/>
        </w:trPr>
        <w:tc>
          <w:tcPr>
            <w:tcW w:w="1242" w:type="dxa"/>
          </w:tcPr>
          <w:p w14:paraId="069B5A4F" w14:textId="77777777" w:rsidR="00FD7BCA" w:rsidRPr="00FD7BCA" w:rsidRDefault="005C5477" w:rsidP="007112C3">
            <w:pPr>
              <w:spacing w:before="0"/>
              <w:ind w:left="0"/>
              <w:rPr>
                <w:sz w:val="18"/>
                <w:szCs w:val="18"/>
              </w:rPr>
            </w:pPr>
            <w:r>
              <w:rPr>
                <w:sz w:val="18"/>
                <w:szCs w:val="18"/>
              </w:rPr>
              <w:t xml:space="preserve">Human </w:t>
            </w:r>
            <w:r w:rsidR="00FD7BCA" w:rsidRPr="00FD7BCA">
              <w:rPr>
                <w:sz w:val="18"/>
                <w:szCs w:val="18"/>
              </w:rPr>
              <w:t>(patients)</w:t>
            </w:r>
          </w:p>
        </w:tc>
        <w:tc>
          <w:tcPr>
            <w:tcW w:w="1617" w:type="dxa"/>
          </w:tcPr>
          <w:p w14:paraId="10E42CE5" w14:textId="77777777" w:rsidR="00FD7BCA" w:rsidRPr="00FD7BCA" w:rsidRDefault="005C5477" w:rsidP="007112C3">
            <w:pPr>
              <w:spacing w:before="0"/>
              <w:ind w:left="0"/>
              <w:rPr>
                <w:sz w:val="18"/>
                <w:szCs w:val="18"/>
              </w:rPr>
            </w:pPr>
            <w:r>
              <w:rPr>
                <w:sz w:val="18"/>
                <w:szCs w:val="18"/>
              </w:rPr>
              <w:t xml:space="preserve">steady state </w:t>
            </w:r>
            <w:r w:rsidR="00026051">
              <w:rPr>
                <w:sz w:val="18"/>
                <w:szCs w:val="18"/>
              </w:rPr>
              <w:t>(</w:t>
            </w:r>
            <w:r w:rsidR="00FD7BCA" w:rsidRPr="00FD7BCA">
              <w:rPr>
                <w:sz w:val="18"/>
                <w:szCs w:val="18"/>
              </w:rPr>
              <w:t>Study 102</w:t>
            </w:r>
            <w:r w:rsidR="00026051">
              <w:rPr>
                <w:sz w:val="18"/>
                <w:szCs w:val="18"/>
              </w:rPr>
              <w:t>)</w:t>
            </w:r>
          </w:p>
        </w:tc>
        <w:tc>
          <w:tcPr>
            <w:tcW w:w="1374" w:type="dxa"/>
          </w:tcPr>
          <w:p w14:paraId="1C9AF668" w14:textId="77777777" w:rsidR="00FD7BCA" w:rsidRPr="00FD7BCA" w:rsidRDefault="00026051" w:rsidP="007112C3">
            <w:pPr>
              <w:spacing w:before="0"/>
              <w:ind w:left="0"/>
              <w:rPr>
                <w:sz w:val="18"/>
                <w:szCs w:val="18"/>
              </w:rPr>
            </w:pPr>
            <w:r>
              <w:rPr>
                <w:sz w:val="18"/>
                <w:szCs w:val="18"/>
              </w:rPr>
              <w:t>(</w:t>
            </w:r>
            <w:r w:rsidR="005C5477">
              <w:rPr>
                <w:sz w:val="18"/>
                <w:szCs w:val="18"/>
              </w:rPr>
              <w:t xml:space="preserve">400 mg lumacaftor + </w:t>
            </w:r>
            <w:r w:rsidR="00FD7BCA" w:rsidRPr="00FD7BCA">
              <w:rPr>
                <w:sz w:val="18"/>
                <w:szCs w:val="18"/>
              </w:rPr>
              <w:t>250 mg ivacaftor; BID</w:t>
            </w:r>
            <w:r>
              <w:rPr>
                <w:sz w:val="18"/>
                <w:szCs w:val="18"/>
              </w:rPr>
              <w:t>)</w:t>
            </w:r>
          </w:p>
        </w:tc>
        <w:tc>
          <w:tcPr>
            <w:tcW w:w="2255" w:type="dxa"/>
            <w:gridSpan w:val="4"/>
          </w:tcPr>
          <w:p w14:paraId="7FEBA382" w14:textId="77777777" w:rsidR="00FD7BCA" w:rsidRPr="00FD7BCA" w:rsidRDefault="00FD7BCA" w:rsidP="007112C3">
            <w:pPr>
              <w:spacing w:before="0"/>
              <w:ind w:left="0"/>
              <w:rPr>
                <w:sz w:val="18"/>
                <w:szCs w:val="18"/>
              </w:rPr>
            </w:pPr>
            <w:r w:rsidRPr="00FD7BCA">
              <w:rPr>
                <w:sz w:val="18"/>
                <w:szCs w:val="18"/>
              </w:rPr>
              <w:t>396</w:t>
            </w:r>
          </w:p>
        </w:tc>
        <w:tc>
          <w:tcPr>
            <w:tcW w:w="1910" w:type="dxa"/>
            <w:gridSpan w:val="4"/>
          </w:tcPr>
          <w:p w14:paraId="0DECA71E" w14:textId="77777777" w:rsidR="00FD7BCA" w:rsidRPr="00FD7BCA" w:rsidRDefault="00FD7BCA" w:rsidP="007112C3">
            <w:pPr>
              <w:spacing w:before="0"/>
              <w:ind w:left="0"/>
              <w:rPr>
                <w:sz w:val="18"/>
                <w:szCs w:val="18"/>
              </w:rPr>
            </w:pPr>
            <w:r w:rsidRPr="00FD7BCA">
              <w:rPr>
                <w:sz w:val="18"/>
                <w:szCs w:val="18"/>
              </w:rPr>
              <w:t>–</w:t>
            </w:r>
          </w:p>
        </w:tc>
      </w:tr>
    </w:tbl>
    <w:p w14:paraId="3EF165C0" w14:textId="77777777" w:rsidR="00FD7BCA" w:rsidRPr="00FD7BCA" w:rsidRDefault="00FD7BCA" w:rsidP="00FD7BCA">
      <w:pPr>
        <w:pStyle w:val="TableDescription"/>
      </w:pPr>
      <w:r w:rsidRPr="00FD7BCA">
        <w:lastRenderedPageBreak/>
        <w:t xml:space="preserve"># = animal:human plasma </w:t>
      </w:r>
      <w:r w:rsidR="008B5A3E" w:rsidRPr="004B7CB2">
        <w:t>AUC</w:t>
      </w:r>
      <w:r w:rsidR="008B5A3E" w:rsidRPr="008B5A3E">
        <w:rPr>
          <w:vertAlign w:val="subscript"/>
        </w:rPr>
        <w:t>0–24 h</w:t>
      </w:r>
      <w:r w:rsidRPr="00FD7BCA">
        <w:t xml:space="preserve">; ^ = 20 mg/kg/day </w:t>
      </w:r>
      <w:r w:rsidR="0026099D">
        <w:t>M2</w:t>
      </w:r>
      <w:r w:rsidRPr="00FD7BCA">
        <w:t>8</w:t>
      </w:r>
      <w:r w:rsidRPr="00FD7BCA">
        <w:noBreakHyphen/>
        <w:t>lumacaftor also administered</w:t>
      </w:r>
      <w:r>
        <w:t xml:space="preserve">; </w:t>
      </w:r>
      <w:r w:rsidRPr="00FD7BCA">
        <w:t>a = based on toxicokinetic data obtained on</w:t>
      </w:r>
      <w:r>
        <w:t xml:space="preserve"> day 90 in Study VX-809-TX-012; </w:t>
      </w:r>
      <w:r w:rsidRPr="00FD7BCA">
        <w:t>b = based on toxicokinetic data obtained on GD17 in Study VX-809-TX-005</w:t>
      </w:r>
    </w:p>
    <w:p w14:paraId="4DD95921" w14:textId="77777777" w:rsidR="00FD7BCA" w:rsidRPr="00FD7BCA" w:rsidRDefault="00FD7BCA" w:rsidP="00FD7BCA">
      <w:r w:rsidRPr="00FD7BCA">
        <w:t xml:space="preserve">Lumacaftor and </w:t>
      </w:r>
      <w:r w:rsidR="0026099D">
        <w:t>M2</w:t>
      </w:r>
      <w:r w:rsidRPr="00FD7BCA">
        <w:t>8-lumacaftor were shown to cross the placenta after oral administration in rats and/or rabbits; peak plasma co</w:t>
      </w:r>
      <w:r w:rsidR="00B7687C">
        <w:t xml:space="preserve">ncentrations in fetuses were 12 to </w:t>
      </w:r>
      <w:r w:rsidRPr="00FD7BCA">
        <w:t xml:space="preserve">25% of the maternal plasma </w:t>
      </w:r>
      <w:r w:rsidR="008B5A3E" w:rsidRPr="004B7CB2">
        <w:t>C</w:t>
      </w:r>
      <w:r w:rsidR="008B5A3E" w:rsidRPr="008B5A3E">
        <w:rPr>
          <w:vertAlign w:val="subscript"/>
        </w:rPr>
        <w:t>max</w:t>
      </w:r>
      <w:r w:rsidRPr="00FD7BCA">
        <w:t xml:space="preserve">. Transfer of </w:t>
      </w:r>
      <w:r w:rsidRPr="00B7687C">
        <w:rPr>
          <w:vertAlign w:val="superscript"/>
        </w:rPr>
        <w:t>14</w:t>
      </w:r>
      <w:r w:rsidRPr="00FD7BCA">
        <w:t>C</w:t>
      </w:r>
      <w:r w:rsidRPr="00FD7BCA">
        <w:noBreakHyphen/>
        <w:t>lumacaftor</w:t>
      </w:r>
      <w:r w:rsidR="00026051">
        <w:t xml:space="preserve"> </w:t>
      </w:r>
      <w:r w:rsidRPr="00FD7BCA">
        <w:t xml:space="preserve">derived radioactivity into milk was shown after oral dosing in lactating rats, with concentrations in milk </w:t>
      </w:r>
      <w:r w:rsidR="00026051">
        <w:t>approximately</w:t>
      </w:r>
      <w:r w:rsidRPr="00FD7BCA">
        <w:t>40% of that in plasma.</w:t>
      </w:r>
    </w:p>
    <w:p w14:paraId="263D33C9" w14:textId="77777777" w:rsidR="00FD7BCA" w:rsidRPr="00FD7BCA" w:rsidRDefault="00FD7BCA" w:rsidP="00FD7BCA">
      <w:r w:rsidRPr="00FD7BCA">
        <w:t>In rats, lumacaftor did not affect male or female fertility (</w:t>
      </w:r>
      <w:r w:rsidR="00026051">
        <w:t xml:space="preserve">≤ </w:t>
      </w:r>
      <w:r w:rsidRPr="00FD7BCA">
        <w:t>1</w:t>
      </w:r>
      <w:r w:rsidR="00B7687C">
        <w:t>,</w:t>
      </w:r>
      <w:r w:rsidRPr="00FD7BCA">
        <w:t xml:space="preserve">000 mg/kg/day; relative exposure, </w:t>
      </w:r>
      <w:r w:rsidR="00026051">
        <w:t>approximately</w:t>
      </w:r>
      <w:r w:rsidRPr="00FD7BCA">
        <w:t>3 for males and 6.5 for females), embryofetal development (</w:t>
      </w:r>
      <w:r w:rsidR="00B7687C">
        <w:t>≤ </w:t>
      </w:r>
      <w:r w:rsidRPr="00FD7BCA">
        <w:t>2</w:t>
      </w:r>
      <w:r w:rsidR="00B7687C">
        <w:t>,</w:t>
      </w:r>
      <w:r w:rsidRPr="00FD7BCA">
        <w:t>000 mg/kg/day; relative exposure, 8.4) or pre</w:t>
      </w:r>
      <w:r w:rsidRPr="00FD7BCA">
        <w:noBreakHyphen/>
        <w:t>/postnatal development (</w:t>
      </w:r>
      <w:r w:rsidR="00026051">
        <w:t xml:space="preserve">≤ </w:t>
      </w:r>
      <w:r w:rsidRPr="00FD7BCA">
        <w:t>1</w:t>
      </w:r>
      <w:r w:rsidR="00B7687C">
        <w:t>,</w:t>
      </w:r>
      <w:r w:rsidRPr="00FD7BCA">
        <w:t xml:space="preserve">000 mg/kg/day; relative exposure, 6.5). In the embryofetal development study in rabbits, treatment with lumacaftor at 200 mg/kg/day (relative exposure, 4.9) was associated with an increased incidence of incompletely ossified interparietals and angulated hyoid alae </w:t>
      </w:r>
      <w:r w:rsidR="008B5A3E">
        <w:t>compared with</w:t>
      </w:r>
      <w:r w:rsidRPr="00FD7BCA">
        <w:t xml:space="preserve"> concurrent and historical controls. The effect was slight, however, and occurred in conjunction with significant materno</w:t>
      </w:r>
      <w:r w:rsidR="00B7687C">
        <w:t>-</w:t>
      </w:r>
      <w:r w:rsidRPr="00FD7BCA">
        <w:t>toxicity (evident as body weight loss and clinical signs indicating poor cond</w:t>
      </w:r>
      <w:r w:rsidR="00B7687C">
        <w:t xml:space="preserve">ition). Abortions occurred in 4 out of </w:t>
      </w:r>
      <w:r w:rsidRPr="00FD7BCA">
        <w:t>20 rabbits at this dose level late in gestation (after the completion of dosing, but considered related to treatment). The NOAEL for effects on embryofetal development in the rabbit is considered to be 100 mg/kg/day (relative exposure, 3.0); the findings though, are not considered to reflect a direct effect of lumacaftor on the developing fetus.</w:t>
      </w:r>
    </w:p>
    <w:p w14:paraId="14F875F9" w14:textId="77777777" w:rsidR="00FD7BCA" w:rsidRPr="00FD7BCA" w:rsidRDefault="0026099D" w:rsidP="00FD7BCA">
      <w:r>
        <w:t>M2</w:t>
      </w:r>
      <w:r w:rsidR="00FD7BCA" w:rsidRPr="00FD7BCA">
        <w:t>8-lumacaftor had no effect on fertility or pre-/post</w:t>
      </w:r>
      <w:r w:rsidR="00B7687C">
        <w:t>natal development in rats at 20 </w:t>
      </w:r>
      <w:r w:rsidR="00FD7BCA" w:rsidRPr="00FD7BCA">
        <w:t>mg/kg/day (estimated relative exposure, 17 for treated male animals and 30 for females)</w:t>
      </w:r>
      <w:r w:rsidR="00FD7BCA" w:rsidRPr="00B7687C">
        <w:rPr>
          <w:vertAlign w:val="superscript"/>
        </w:rPr>
        <w:footnoteReference w:id="12"/>
      </w:r>
      <w:r w:rsidR="00FD7BCA" w:rsidRPr="00FD7BCA">
        <w:t xml:space="preserve">. Teratogenicity was seen with </w:t>
      </w:r>
      <w:r>
        <w:t>M2</w:t>
      </w:r>
      <w:r w:rsidR="00FD7BCA" w:rsidRPr="00FD7BCA">
        <w:t>8</w:t>
      </w:r>
      <w:r w:rsidR="00FD7BCA" w:rsidRPr="00FD7BCA">
        <w:noBreakHyphen/>
        <w:t>lumacaftor in rats at 800 mg/kg/day (relative exposure, 127)</w:t>
      </w:r>
      <w:r w:rsidR="00FD7BCA" w:rsidRPr="00B7687C">
        <w:rPr>
          <w:vertAlign w:val="superscript"/>
        </w:rPr>
        <w:footnoteReference w:id="13"/>
      </w:r>
      <w:r w:rsidR="00FD7BCA" w:rsidRPr="00FD7BCA">
        <w:t>, with findings of vertebral agenesis (filamentous tail) and vertebral anomaly with or without rib anomaly that exceeded the historical control range. There was clear maternal toxicity at this dose level, with decreased maternal weight, adverse clinical signs and gastrointestinal effects including concretion of stomach contents observed. Fetal body weight was reduced. There were also dose</w:t>
      </w:r>
      <w:r w:rsidR="00026051">
        <w:t xml:space="preserve"> </w:t>
      </w:r>
      <w:r w:rsidR="00FD7BCA" w:rsidRPr="00FD7BCA">
        <w:t xml:space="preserve">dependent effects on ossification, but at lower doses the effects were within the historical control range. The NOAEL for embryofetal development for </w:t>
      </w:r>
      <w:r>
        <w:t>M2</w:t>
      </w:r>
      <w:r w:rsidR="00FD7BCA" w:rsidRPr="00FD7BCA">
        <w:t>8-lumacaftor is 400 mg/kg/day (relative exposure, 101)</w:t>
      </w:r>
      <w:r w:rsidR="00251DE5">
        <w:t>.</w:t>
      </w:r>
      <w:r w:rsidR="00FD7BCA" w:rsidRPr="00B7687C">
        <w:rPr>
          <w:vertAlign w:val="superscript"/>
        </w:rPr>
        <w:footnoteReference w:id="14"/>
      </w:r>
    </w:p>
    <w:p w14:paraId="1AD27DAB" w14:textId="77777777" w:rsidR="00FD7BCA" w:rsidRPr="00FD7BCA" w:rsidRDefault="00FD7BCA" w:rsidP="00FD7BCA">
      <w:pPr>
        <w:pStyle w:val="Heading5"/>
      </w:pPr>
      <w:r w:rsidRPr="00FD7BCA">
        <w:t>Pregnancy classification</w:t>
      </w:r>
    </w:p>
    <w:p w14:paraId="182BC30B" w14:textId="77777777" w:rsidR="00FD7BCA" w:rsidRPr="00FD7BCA" w:rsidRDefault="00FD7BCA" w:rsidP="00FD7BCA">
      <w:r w:rsidRPr="00FD7BCA">
        <w:t>The sponsor has proposed Pregnancy Category B3</w:t>
      </w:r>
      <w:r w:rsidR="00B7687C">
        <w:rPr>
          <w:rStyle w:val="FootnoteReference"/>
        </w:rPr>
        <w:footnoteReference w:id="15"/>
      </w:r>
      <w:r w:rsidRPr="00FD7BCA">
        <w:t xml:space="preserve">. This is considered appropriate given the findings in the animal studies described for lumacaftor and </w:t>
      </w:r>
      <w:r w:rsidR="0026099D">
        <w:t>M2</w:t>
      </w:r>
      <w:r w:rsidRPr="00FD7BCA">
        <w:t>8</w:t>
      </w:r>
      <w:r w:rsidRPr="00FD7BCA">
        <w:noBreakHyphen/>
        <w:t>lumacaftor above and for ivacaftor previously, and matches the existing category for ivacaftor.</w:t>
      </w:r>
    </w:p>
    <w:p w14:paraId="61E64021" w14:textId="77777777" w:rsidR="00FD7BCA" w:rsidRPr="00FD7BCA" w:rsidRDefault="00FD7BCA" w:rsidP="00AE4E9E">
      <w:pPr>
        <w:pStyle w:val="Heading4"/>
      </w:pPr>
      <w:r w:rsidRPr="00FD7BCA">
        <w:t>Local tolerance and antigenicity</w:t>
      </w:r>
    </w:p>
    <w:p w14:paraId="59372899" w14:textId="77777777" w:rsidR="00FD7BCA" w:rsidRPr="00FD7BCA" w:rsidRDefault="00FD7BCA" w:rsidP="00FD7BCA">
      <w:r w:rsidRPr="00FD7BCA">
        <w:t>Local tolerance tests, conducted using in vitro systems, revealed no dermal or ocular irritation potential for lumacaftor. The drug did not act as a skin sensitiser in th</w:t>
      </w:r>
      <w:r w:rsidR="00B7687C">
        <w:t>e mouse lo</w:t>
      </w:r>
      <w:r w:rsidR="00EC1088">
        <w:t>cal lymph node assay.</w:t>
      </w:r>
    </w:p>
    <w:p w14:paraId="341D6407" w14:textId="77777777" w:rsidR="00FD7BCA" w:rsidRPr="00FD7BCA" w:rsidRDefault="00FD7BCA" w:rsidP="00AE4E9E">
      <w:pPr>
        <w:pStyle w:val="Heading4"/>
      </w:pPr>
      <w:r w:rsidRPr="00FD7BCA">
        <w:lastRenderedPageBreak/>
        <w:t>Phototoxicity</w:t>
      </w:r>
    </w:p>
    <w:p w14:paraId="66933057" w14:textId="77777777" w:rsidR="00FD7BCA" w:rsidRPr="00FD7BCA" w:rsidRDefault="00FD7BCA" w:rsidP="00FD7BCA">
      <w:r w:rsidRPr="00FD7BCA">
        <w:t xml:space="preserve">No phototoxicity studies were conducted with lumacaftor; this is considered acceptable. The drug absorbs </w:t>
      </w:r>
      <w:r w:rsidR="00251DE5">
        <w:t>ultra violet (</w:t>
      </w:r>
      <w:r w:rsidRPr="00FD7BCA">
        <w:t>UV</w:t>
      </w:r>
      <w:r w:rsidR="00251DE5">
        <w:t>)</w:t>
      </w:r>
      <w:r w:rsidRPr="00FD7BCA">
        <w:t xml:space="preserve"> light, but tissue distribution studies in rats showed no special distribution to sun</w:t>
      </w:r>
      <w:r w:rsidR="00026051">
        <w:t xml:space="preserve"> </w:t>
      </w:r>
      <w:r w:rsidRPr="00FD7BCA">
        <w:t>exposed tissues (skin and eyes), with rapid elimination and no melanin binding.</w:t>
      </w:r>
    </w:p>
    <w:p w14:paraId="37B2649B" w14:textId="77777777" w:rsidR="00AE4E9E" w:rsidRPr="00464361" w:rsidRDefault="00AE4E9E" w:rsidP="00E6447A">
      <w:pPr>
        <w:pStyle w:val="Heading4"/>
      </w:pPr>
      <w:r w:rsidRPr="00464361">
        <w:t>Impurities</w:t>
      </w:r>
    </w:p>
    <w:p w14:paraId="51CA5078" w14:textId="77777777" w:rsidR="00AE4E9E" w:rsidRPr="00AE4E9E" w:rsidRDefault="00AE4E9E" w:rsidP="00AE4E9E">
      <w:bookmarkStart w:id="62" w:name="_Toc247691514"/>
      <w:bookmarkStart w:id="63" w:name="_Toc314842498"/>
      <w:r w:rsidRPr="00AE4E9E">
        <w:t xml:space="preserve">All specified impurities in the drug substance were assessed for potential mutagenicity and are considered to be </w:t>
      </w:r>
      <w:r w:rsidR="00EC1088" w:rsidRPr="00AE4E9E">
        <w:t>non</w:t>
      </w:r>
      <w:r w:rsidR="00EC1088">
        <w:t>-</w:t>
      </w:r>
      <w:r w:rsidR="00EC1088" w:rsidRPr="00AE4E9E">
        <w:t>mutagenic</w:t>
      </w:r>
      <w:r w:rsidRPr="00AE4E9E">
        <w:t>. The impurities are not considered to pose a notable toxicological risk to patients at the proposed limits.</w:t>
      </w:r>
    </w:p>
    <w:p w14:paraId="597DF458" w14:textId="77777777" w:rsidR="00AE4E9E" w:rsidRPr="00AE4E9E" w:rsidRDefault="00AE4E9E" w:rsidP="00E6447A">
      <w:pPr>
        <w:pStyle w:val="Heading4"/>
      </w:pPr>
      <w:r w:rsidRPr="00AE4E9E">
        <w:t>Paediatric use</w:t>
      </w:r>
    </w:p>
    <w:p w14:paraId="5013AB42" w14:textId="77777777" w:rsidR="00AE4E9E" w:rsidRPr="00AE4E9E" w:rsidRDefault="008B5A3E" w:rsidP="00AE4E9E">
      <w:r>
        <w:t>Orkambi</w:t>
      </w:r>
      <w:r w:rsidR="00AE4E9E" w:rsidRPr="00AE4E9E">
        <w:t xml:space="preserve"> is proposed for use in children </w:t>
      </w:r>
      <w:r w:rsidR="00026051">
        <w:t xml:space="preserve">≥ </w:t>
      </w:r>
      <w:r w:rsidR="00AE4E9E" w:rsidRPr="00AE4E9E">
        <w:t>12 years of age (</w:t>
      </w:r>
      <w:r>
        <w:t>compared with</w:t>
      </w:r>
      <w:r w:rsidR="00AE4E9E" w:rsidRPr="00AE4E9E">
        <w:t xml:space="preserve"> </w:t>
      </w:r>
      <w:r w:rsidR="00026051">
        <w:t xml:space="preserve">≥ </w:t>
      </w:r>
      <w:r w:rsidR="00AE4E9E" w:rsidRPr="00AE4E9E">
        <w:t xml:space="preserve">6 years for </w:t>
      </w:r>
      <w:r>
        <w:t>Kalydeco</w:t>
      </w:r>
      <w:r w:rsidR="00AE4E9E" w:rsidRPr="00AE4E9E">
        <w:t>). No juvenile animal study with lumacaftor was submitted. This is acceptable under the applicable guideline</w:t>
      </w:r>
      <w:r w:rsidR="00EC1088">
        <w:t>,</w:t>
      </w:r>
      <w:r w:rsidR="00EC1088">
        <w:rPr>
          <w:rStyle w:val="FootnoteReference"/>
        </w:rPr>
        <w:footnoteReference w:id="16"/>
      </w:r>
      <w:r w:rsidR="00AE4E9E" w:rsidRPr="00AE4E9E">
        <w:t xml:space="preserve"> with risks posed by use in the proposed paediatric population able to be assessed from the general toxicity studies, which were conducted with the drug in young adult animals. These showed adverse effects on growth, but did not identify developing systems as targets for lumacaftor toxicity. A previously evaluated study in very young rats revealed the development of cataracts with treatment with ivacaftor.</w:t>
      </w:r>
    </w:p>
    <w:p w14:paraId="4BD3B1C0" w14:textId="77777777" w:rsidR="008E7846" w:rsidRDefault="008E7846" w:rsidP="008E7846">
      <w:pPr>
        <w:pStyle w:val="Heading3"/>
      </w:pPr>
      <w:bookmarkStart w:id="64" w:name="_Toc247691515"/>
      <w:bookmarkStart w:id="65" w:name="_Toc314842499"/>
      <w:bookmarkStart w:id="66" w:name="_Toc462141651"/>
      <w:bookmarkEnd w:id="62"/>
      <w:bookmarkEnd w:id="63"/>
      <w:r>
        <w:t>Nonclinical summary and conclusions</w:t>
      </w:r>
      <w:bookmarkEnd w:id="64"/>
      <w:bookmarkEnd w:id="65"/>
      <w:bookmarkEnd w:id="66"/>
    </w:p>
    <w:p w14:paraId="1356E327" w14:textId="77777777" w:rsidR="004B7CB2" w:rsidRPr="004B7CB2" w:rsidRDefault="00EC1088" w:rsidP="007112C3">
      <w:pPr>
        <w:pStyle w:val="ListBullet"/>
      </w:pPr>
      <w:r>
        <w:t>The nonclinical dossier</w:t>
      </w:r>
      <w:r w:rsidR="004B7CB2" w:rsidRPr="004B7CB2">
        <w:t xml:space="preserve"> included studies for lumacaftor and for lumacaftor and ivacaftor in combination, as well as previously evaluated studies for ivacaftor. The scope of studies was in accordance with the relevant guideline</w:t>
      </w:r>
      <w:r>
        <w:t>.</w:t>
      </w:r>
      <w:r w:rsidRPr="00EC1088">
        <w:rPr>
          <w:vertAlign w:val="superscript"/>
        </w:rPr>
        <w:fldChar w:fldCharType="begin"/>
      </w:r>
      <w:r w:rsidRPr="00EC1088">
        <w:rPr>
          <w:vertAlign w:val="superscript"/>
        </w:rPr>
        <w:instrText xml:space="preserve"> NOTEREF _Ref456685156 \h </w:instrText>
      </w:r>
      <w:r>
        <w:rPr>
          <w:vertAlign w:val="superscript"/>
        </w:rPr>
        <w:instrText xml:space="preserve"> \* MERGEFORMAT </w:instrText>
      </w:r>
      <w:r w:rsidRPr="00EC1088">
        <w:rPr>
          <w:vertAlign w:val="superscript"/>
        </w:rPr>
      </w:r>
      <w:r w:rsidRPr="00EC1088">
        <w:rPr>
          <w:vertAlign w:val="superscript"/>
        </w:rPr>
        <w:fldChar w:fldCharType="separate"/>
      </w:r>
      <w:r w:rsidR="00EC3FD5">
        <w:rPr>
          <w:vertAlign w:val="superscript"/>
        </w:rPr>
        <w:t>6</w:t>
      </w:r>
      <w:r w:rsidRPr="00EC1088">
        <w:rPr>
          <w:vertAlign w:val="superscript"/>
        </w:rPr>
        <w:fldChar w:fldCharType="end"/>
      </w:r>
      <w:r w:rsidR="004B7CB2" w:rsidRPr="004B7CB2">
        <w:t xml:space="preserve"> The nonclinical dossier was of high quality and contained no major deficiencies. All pivotal safety</w:t>
      </w:r>
      <w:r w:rsidR="00026051">
        <w:t xml:space="preserve"> </w:t>
      </w:r>
      <w:r w:rsidR="004B7CB2" w:rsidRPr="004B7CB2">
        <w:t>related studies were GLP</w:t>
      </w:r>
      <w:r w:rsidR="00026051">
        <w:t xml:space="preserve"> </w:t>
      </w:r>
      <w:r w:rsidR="004B7CB2" w:rsidRPr="004B7CB2">
        <w:t>compliant.</w:t>
      </w:r>
    </w:p>
    <w:p w14:paraId="62C0AC35" w14:textId="3CC0108F" w:rsidR="004B7CB2" w:rsidRPr="00F20ED3" w:rsidRDefault="004B7CB2" w:rsidP="006D5004">
      <w:pPr>
        <w:pStyle w:val="ListBullet"/>
      </w:pPr>
      <w:r w:rsidRPr="004B7CB2">
        <w:t>Lumacaftor was shown to act as a CFTR corrector in vitro in experiments with transfected cells and bronchial epithelial cells obtained from cystic fibrosis patients. It acted to improve the cellular processing an</w:t>
      </w:r>
      <w:r w:rsidR="00EC1088">
        <w:t xml:space="preserve">d trafficking of F508del-CFTR; </w:t>
      </w:r>
      <w:r w:rsidRPr="004B7CB2">
        <w:t>increasing the maturation efficiency of the protein, and facilitating its adoption of a more native protein conformation with increased cell surface stability</w:t>
      </w:r>
      <w:r w:rsidR="00EC1088">
        <w:t xml:space="preserve"> and improved channel function;</w:t>
      </w:r>
      <w:r w:rsidRPr="004B7CB2">
        <w:t xml:space="preserve"> leading to increased </w:t>
      </w:r>
      <w:r w:rsidR="00026051">
        <w:t>CFTR mediated</w:t>
      </w:r>
      <w:r w:rsidRPr="004B7CB2">
        <w:t xml:space="preserve"> chloride secretion, which was further increased by the CFTR potentiator ivacaftor. The submitted primary pharmacology studies support the use of lumacaftor and ivacaftor in combination for the proposed indication.</w:t>
      </w:r>
      <w:r w:rsidR="00F20ED3" w:rsidRPr="00F20ED3">
        <w:t xml:space="preserve"> guideline on the need for non-clinical</w:t>
      </w:r>
      <w:r w:rsidR="006D5004">
        <w:t xml:space="preserve"> testing in juvenile animals on </w:t>
      </w:r>
      <w:r w:rsidR="00F20ED3" w:rsidRPr="00F20ED3">
        <w:t>human pharmaceuticals for paediatric indications</w:t>
      </w:r>
      <w:r w:rsidR="007112C3">
        <w:t>.</w:t>
      </w:r>
    </w:p>
    <w:p w14:paraId="149B5901" w14:textId="77777777" w:rsidR="004B7CB2" w:rsidRPr="004B7CB2" w:rsidRDefault="004B7CB2" w:rsidP="004B7CB2">
      <w:pPr>
        <w:pStyle w:val="ListBullet"/>
      </w:pPr>
      <w:r w:rsidRPr="004B7CB2">
        <w:t>Secondary pharmacodynamic studies indicated that lumacaftor is not a general protein corrector, with its effects on protein processing and trafficking found to be specific to CFTR. Thromboxane A2 receptor antagonist activity was found for the drug. Safety pharmacology studies identified no acute effects of lumacaftor on CNS, respiratory or cardiovascular function, on GI motility/ stomach emptying, or blockade of the hERG K+ channel.</w:t>
      </w:r>
    </w:p>
    <w:p w14:paraId="26B2367C" w14:textId="7C6F0A6C" w:rsidR="004B7CB2" w:rsidRPr="004B7CB2" w:rsidRDefault="004B7CB2" w:rsidP="004B7CB2">
      <w:pPr>
        <w:pStyle w:val="ListBullet"/>
      </w:pPr>
      <w:r w:rsidRPr="004B7CB2">
        <w:t>The pharmacokinetic profile of lumacaftor in animals was broadly similar to that in humans. The</w:t>
      </w:r>
      <w:r w:rsidR="007112C3">
        <w:t xml:space="preserve"> </w:t>
      </w:r>
      <w:r w:rsidRPr="004B7CB2">
        <w:t>most notable difference was the absence of the formation of the main circulating human metabolite (</w:t>
      </w:r>
      <w:r w:rsidR="0026099D">
        <w:t>M2</w:t>
      </w:r>
      <w:r w:rsidRPr="004B7CB2">
        <w:t>8</w:t>
      </w:r>
      <w:r w:rsidRPr="004B7CB2">
        <w:noBreakHyphen/>
        <w:t xml:space="preserve">lumacaftor) in laboratory animal species </w:t>
      </w:r>
      <w:r w:rsidRPr="004B7CB2">
        <w:lastRenderedPageBreak/>
        <w:t xml:space="preserve">(addressed by additional nonclinical studies involving direct administration of </w:t>
      </w:r>
      <w:r w:rsidR="0026099D">
        <w:t>M2</w:t>
      </w:r>
      <w:r w:rsidRPr="004B7CB2">
        <w:t>8</w:t>
      </w:r>
      <w:r w:rsidRPr="004B7CB2">
        <w:noBreakHyphen/>
        <w:t xml:space="preserve">lumacaftor). </w:t>
      </w:r>
      <w:r w:rsidR="0026099D">
        <w:t>M2</w:t>
      </w:r>
      <w:r w:rsidRPr="004B7CB2">
        <w:t>8</w:t>
      </w:r>
      <w:r w:rsidRPr="004B7CB2">
        <w:noBreakHyphen/>
        <w:t>lumacaftor is not deemed to be a major human metabolite, though, and is not pharmacologically active.</w:t>
      </w:r>
    </w:p>
    <w:p w14:paraId="1DE0F297" w14:textId="77777777" w:rsidR="004B7CB2" w:rsidRPr="004B7CB2" w:rsidRDefault="004B7CB2" w:rsidP="0013396F">
      <w:pPr>
        <w:pStyle w:val="ListBullet"/>
      </w:pPr>
      <w:r w:rsidRPr="004B7CB2">
        <w:t>Plasma protein binding by lumacaftor is very high in humans (</w:t>
      </w:r>
      <w:r w:rsidR="00026051">
        <w:t xml:space="preserve">≥ </w:t>
      </w:r>
      <w:r w:rsidRPr="004B7CB2">
        <w:t>99.9% in definitive experiments) and laboratory animal species. Tissue distribution was rapid and wide after oral administration in rats; entry into brain was very low. Metabolism of lumacaftor involved oxidation and glucuronidation, but was not extensive in vitro or in vivo. Roles for CYP3A4 and 2C8 in the metabolism of lumacaftor were identified in in vitro experiments with recombinant human CYP isozymes. Excretion was predominantly via the faecal route in both rats and humans.</w:t>
      </w:r>
    </w:p>
    <w:p w14:paraId="59C73F87" w14:textId="77777777" w:rsidR="004B7CB2" w:rsidRPr="004B7CB2" w:rsidRDefault="004B7CB2" w:rsidP="004B7CB2">
      <w:pPr>
        <w:pStyle w:val="ListBullet"/>
      </w:pPr>
      <w:r w:rsidRPr="004B7CB2">
        <w:t>In vitro studies indicated potentially clinically relevant pharmacokinetic drug interactions mediated by lumacaftor’s inhibition of CYP2C8,</w:t>
      </w:r>
      <w:r w:rsidR="00A02EC9">
        <w:t xml:space="preserve"> </w:t>
      </w:r>
      <w:r w:rsidRPr="004B7CB2">
        <w:t xml:space="preserve">inhibition of </w:t>
      </w:r>
      <w:r w:rsidR="009B151C">
        <w:t>P-gp</w:t>
      </w:r>
      <w:r w:rsidRPr="004B7CB2">
        <w:t xml:space="preserve">, and induction of a wide range of CYPs and transporters (including </w:t>
      </w:r>
      <w:r w:rsidR="009B151C">
        <w:t>P-gp</w:t>
      </w:r>
      <w:r w:rsidRPr="004B7CB2">
        <w:t>) via pregnane-X-receptor activation. Induction of CYP3A4/5 by lumacaftor underlies the reduced exposure to ivacaftor seen with co-therapy.</w:t>
      </w:r>
    </w:p>
    <w:p w14:paraId="4BDD127B" w14:textId="77777777" w:rsidR="004B7CB2" w:rsidRPr="004B7CB2" w:rsidRDefault="004B7CB2" w:rsidP="004B7CB2">
      <w:pPr>
        <w:pStyle w:val="ListBullet"/>
      </w:pPr>
      <w:r w:rsidRPr="004B7CB2">
        <w:t>Lumacaftor displayed a low order of acute toxicity by the oral route in mice and rats.</w:t>
      </w:r>
    </w:p>
    <w:p w14:paraId="7B1ADCDC" w14:textId="77777777" w:rsidR="004B7CB2" w:rsidRPr="004B7CB2" w:rsidRDefault="004B7CB2" w:rsidP="004B7CB2">
      <w:pPr>
        <w:pStyle w:val="ListBullet"/>
      </w:pPr>
      <w:r w:rsidRPr="004B7CB2">
        <w:t>Repeat</w:t>
      </w:r>
      <w:r w:rsidR="00026051">
        <w:t xml:space="preserve"> </w:t>
      </w:r>
      <w:r w:rsidRPr="004B7CB2">
        <w:t xml:space="preserve">dose toxicity studies by the oral route were conducted in mice (up to 3 months), rats (up to 6 months) and dogs (up to 12 months). Combination studies were also conducted in rats (3 months; lumacaftor, ivacaftor and </w:t>
      </w:r>
      <w:r w:rsidR="0026099D">
        <w:t>M2</w:t>
      </w:r>
      <w:r w:rsidRPr="004B7CB2">
        <w:t>8-lumacaftor) and dogs (4 weeks; lumacaftor and ivacaftor). Maximum exposures (AUC) for lumacaftor were moderate in rats and low in dogs, but were high for ivacaftor in both species. No target organs for toxicity were identified for lumacaftor. Inhibition of body weight gain, gastrointestinal signs, mild anaemia with or without regenerative response and small decreases in APTT combined with increased platelets were reported in studies with lumacaftor. Lumacaftor/ivacaftor combination studies identified the stomach as a target organ in rats (erosion, necrosis, cystic degeneration) which appeared to be an irritant effect of the very high local doses used. Previously reported effects of ivacaftor were seen in rats (nephropathy, cardiomyopathy). All effects showed evidence of reversibility.</w:t>
      </w:r>
    </w:p>
    <w:p w14:paraId="5097DE81" w14:textId="77777777" w:rsidR="004B7CB2" w:rsidRPr="004B7CB2" w:rsidRDefault="004B7CB2" w:rsidP="004B7CB2">
      <w:pPr>
        <w:pStyle w:val="ListBullet"/>
      </w:pPr>
      <w:r w:rsidRPr="004B7CB2">
        <w:t>Lumacaftor was not genotoxic in the standard battery of tests, and not carcinogenic in a 6</w:t>
      </w:r>
      <w:r w:rsidR="00026051">
        <w:t xml:space="preserve"> </w:t>
      </w:r>
      <w:r w:rsidRPr="004B7CB2">
        <w:t>month study in transgenic mice or in a 2</w:t>
      </w:r>
      <w:r w:rsidR="00026051">
        <w:t xml:space="preserve"> </w:t>
      </w:r>
      <w:r w:rsidRPr="004B7CB2">
        <w:t>year study in rats.</w:t>
      </w:r>
    </w:p>
    <w:p w14:paraId="6D3FDAFE" w14:textId="77777777" w:rsidR="004B7CB2" w:rsidRPr="004B7CB2" w:rsidRDefault="004B7CB2" w:rsidP="004B7CB2">
      <w:pPr>
        <w:pStyle w:val="ListBullet"/>
      </w:pPr>
      <w:r w:rsidRPr="004B7CB2">
        <w:t>Treatment with lumacaftor did not impair male or female fertility, or cause adverse effects on embryofetal development or on pre-/postnatal development in rats. Abortions and a slight increase in skeletal variations were observed with lumacaftor at the highest dose level tested in rabbits, but this is considered to be secondary to maternotoxicity rather than to represent direct reproductive toxicity by lumacaftor. The animal findings for lumacaftor and previously for ivacaftor support placement in Pregnancy Category B3 as the sponsor proposes.</w:t>
      </w:r>
    </w:p>
    <w:p w14:paraId="45C14433" w14:textId="77777777" w:rsidR="004B7CB2" w:rsidRPr="004B7CB2" w:rsidRDefault="004B7CB2" w:rsidP="004B7CB2">
      <w:pPr>
        <w:pStyle w:val="ListBullet"/>
      </w:pPr>
      <w:r w:rsidRPr="004B7CB2">
        <w:t>The specified impurity profile is considered to be toxicologically acceptable.</w:t>
      </w:r>
    </w:p>
    <w:p w14:paraId="2262312B" w14:textId="77777777" w:rsidR="004B7CB2" w:rsidRDefault="004B7CB2" w:rsidP="004B7CB2">
      <w:r w:rsidRPr="004B7CB2">
        <w:t xml:space="preserve">There are no nonclinical objections to the registration of </w:t>
      </w:r>
      <w:r w:rsidR="008B5A3E">
        <w:t>Orkambi</w:t>
      </w:r>
      <w:r w:rsidR="00EC1088">
        <w:t xml:space="preserve"> for the proposed indication.</w:t>
      </w:r>
    </w:p>
    <w:p w14:paraId="2C0513E4" w14:textId="68E08761" w:rsidR="004B7CB2" w:rsidRPr="004B7CB2" w:rsidRDefault="004B7CB2" w:rsidP="004B7CB2">
      <w:r w:rsidRPr="004B7CB2">
        <w:t xml:space="preserve">The </w:t>
      </w:r>
      <w:r w:rsidR="00EC1088">
        <w:t xml:space="preserve">nonclinical evaluator also made recommendations regarding the PI </w:t>
      </w:r>
      <w:r w:rsidR="009D2D39">
        <w:t xml:space="preserve">and RMP </w:t>
      </w:r>
      <w:r w:rsidR="00EC1088">
        <w:t>but these are beyond the scope of the AusPAR.</w:t>
      </w:r>
    </w:p>
    <w:p w14:paraId="59D8E06D" w14:textId="77777777" w:rsidR="008E7846" w:rsidRPr="00254787" w:rsidRDefault="008E7846" w:rsidP="008E7846">
      <w:pPr>
        <w:pStyle w:val="Heading2"/>
      </w:pPr>
      <w:bookmarkStart w:id="67" w:name="_Toc196046462"/>
      <w:bookmarkStart w:id="68" w:name="_Toc247691516"/>
      <w:bookmarkStart w:id="69" w:name="_Toc314842500"/>
      <w:bookmarkStart w:id="70" w:name="_Toc462141652"/>
      <w:bookmarkStart w:id="71" w:name="_Toc163441353"/>
      <w:bookmarkStart w:id="72" w:name="_Toc163441348"/>
      <w:r>
        <w:t xml:space="preserve">IV. </w:t>
      </w:r>
      <w:r w:rsidRPr="00254787">
        <w:t>Clinical</w:t>
      </w:r>
      <w:bookmarkEnd w:id="67"/>
      <w:r>
        <w:t xml:space="preserve"> </w:t>
      </w:r>
      <w:r w:rsidR="003A7F6C">
        <w:t>f</w:t>
      </w:r>
      <w:r>
        <w:t>indings</w:t>
      </w:r>
      <w:bookmarkEnd w:id="68"/>
      <w:bookmarkEnd w:id="69"/>
      <w:bookmarkEnd w:id="70"/>
    </w:p>
    <w:p w14:paraId="7026A430" w14:textId="77777777" w:rsidR="00C80137" w:rsidRDefault="00C80137" w:rsidP="00D425BB">
      <w:bookmarkStart w:id="73"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1575C98A" w14:textId="77777777" w:rsidR="008E7846" w:rsidRDefault="008E7846" w:rsidP="0013396F">
      <w:pPr>
        <w:pStyle w:val="Heading3"/>
      </w:pPr>
      <w:bookmarkStart w:id="74" w:name="_Toc247691517"/>
      <w:bookmarkStart w:id="75" w:name="_Toc314842501"/>
      <w:bookmarkStart w:id="76" w:name="_Toc462141653"/>
      <w:r w:rsidRPr="00254787">
        <w:lastRenderedPageBreak/>
        <w:t>Introduction</w:t>
      </w:r>
      <w:bookmarkEnd w:id="73"/>
      <w:bookmarkEnd w:id="74"/>
      <w:bookmarkEnd w:id="75"/>
      <w:bookmarkEnd w:id="76"/>
    </w:p>
    <w:p w14:paraId="62C16F99" w14:textId="77777777" w:rsidR="005214D9" w:rsidRPr="00EC1088" w:rsidRDefault="005214D9" w:rsidP="005214D9">
      <w:r w:rsidRPr="00251DE5">
        <w:t>Vertex began the clinical development of LUM in the US in 2007 and subsequently expanded the development to include the EU, Canada, and Australia. US Fast Track (FDA, 17 January 2008) and Breakthrough designations (FDA, 07 December 2012) were granted to LUM. The LUM/IVA combination development program consists of 17 clinical studies: 15 completed studies and 2 ongoing studies.</w:t>
      </w:r>
    </w:p>
    <w:p w14:paraId="31E330D3" w14:textId="77777777" w:rsidR="00605AD4" w:rsidRDefault="00605AD4" w:rsidP="00605AD4">
      <w:pPr>
        <w:pStyle w:val="Heading4"/>
      </w:pPr>
      <w:bookmarkStart w:id="77" w:name="_Toc196046464"/>
      <w:bookmarkStart w:id="78" w:name="_Toc247691518"/>
      <w:bookmarkStart w:id="79" w:name="_Toc314842502"/>
      <w:r w:rsidRPr="00605AD4">
        <w:t xml:space="preserve">Clinical </w:t>
      </w:r>
      <w:r w:rsidR="00EF59DC">
        <w:t>r</w:t>
      </w:r>
      <w:r w:rsidRPr="00605AD4">
        <w:t>ationale</w:t>
      </w:r>
    </w:p>
    <w:p w14:paraId="73D4EC3C" w14:textId="05CE5171" w:rsidR="005214D9" w:rsidRPr="005214D9" w:rsidRDefault="00B72132" w:rsidP="005214D9">
      <w:r>
        <w:t>Cystic Fibrosis</w:t>
      </w:r>
      <w:r w:rsidR="005214D9" w:rsidRPr="005214D9">
        <w:t xml:space="preserve"> i</w:t>
      </w:r>
      <w:r>
        <w:t>s caused by mutations in the CFTR</w:t>
      </w:r>
      <w:r w:rsidR="005214D9" w:rsidRPr="005214D9">
        <w:t xml:space="preserve"> gene that result in absent or deficient function of the CFTR protein at the cell surface</w:t>
      </w:r>
      <w:r w:rsidR="00FA4ABD">
        <w:t>.</w:t>
      </w:r>
      <w:r w:rsidR="00FA4ABD">
        <w:rPr>
          <w:rStyle w:val="FootnoteReference"/>
        </w:rPr>
        <w:footnoteReference w:id="17"/>
      </w:r>
      <w:r w:rsidR="005214D9" w:rsidRPr="005214D9">
        <w:t xml:space="preserve"> F508del-CFTR has been character</w:t>
      </w:r>
      <w:r w:rsidR="00A02EC9">
        <w:t>ise</w:t>
      </w:r>
      <w:r w:rsidR="005214D9" w:rsidRPr="005214D9">
        <w:t>d as a ‘severe’ CFTR mutation, based upon the F508del-CFTR homozygote clinical phenotype</w:t>
      </w:r>
      <w:r w:rsidR="00FA4ABD">
        <w:t xml:space="preserve"> </w:t>
      </w:r>
      <w:bookmarkStart w:id="80" w:name="_Ref456692300"/>
      <w:r w:rsidR="00FA4ABD">
        <w:rPr>
          <w:rStyle w:val="FootnoteReference"/>
        </w:rPr>
        <w:footnoteReference w:id="18"/>
      </w:r>
      <w:bookmarkEnd w:id="80"/>
      <w:r w:rsidR="005214D9" w:rsidRPr="005214D9">
        <w:t xml:space="preserve"> </w:t>
      </w:r>
      <w:bookmarkStart w:id="81" w:name="_Ref456692313"/>
      <w:r w:rsidR="00FA4ABD">
        <w:rPr>
          <w:rStyle w:val="FootnoteReference"/>
        </w:rPr>
        <w:footnoteReference w:id="19"/>
      </w:r>
      <w:bookmarkEnd w:id="81"/>
      <w:r w:rsidR="00FA4ABD">
        <w:t xml:space="preserve"> </w:t>
      </w:r>
      <w:bookmarkStart w:id="82" w:name="_Ref456692331"/>
      <w:r w:rsidR="00FA4ABD">
        <w:rPr>
          <w:rStyle w:val="FootnoteReference"/>
        </w:rPr>
        <w:footnoteReference w:id="20"/>
      </w:r>
      <w:bookmarkEnd w:id="82"/>
      <w:r w:rsidR="00FA4ABD">
        <w:t xml:space="preserve"> </w:t>
      </w:r>
      <w:r w:rsidR="005214D9" w:rsidRPr="005214D9">
        <w:t>which is character</w:t>
      </w:r>
      <w:r w:rsidR="00A02EC9">
        <w:t>ise</w:t>
      </w:r>
      <w:r w:rsidR="005214D9" w:rsidRPr="005214D9">
        <w:t>d by an early onset of clinical manifestations, a high incidence of pancreatic insufficiency, colonization with Pseudomonas aeruginosa, a more rapid rate of lung function decline, and shorter life expectancy</w:t>
      </w:r>
      <w:r w:rsidR="00FA4ABD">
        <w:t>.</w:t>
      </w:r>
      <w:bookmarkStart w:id="83" w:name="_Ref456692384"/>
      <w:r w:rsidR="00FA4ABD">
        <w:rPr>
          <w:rStyle w:val="FootnoteReference"/>
        </w:rPr>
        <w:footnoteReference w:id="21"/>
      </w:r>
      <w:bookmarkEnd w:id="83"/>
      <w:r w:rsidR="0013396F" w:rsidRPr="0013396F">
        <w:rPr>
          <w:vertAlign w:val="superscript"/>
        </w:rPr>
        <w:t>,</w:t>
      </w:r>
      <w:r w:rsidR="00FA4ABD">
        <w:rPr>
          <w:rStyle w:val="FootnoteReference"/>
        </w:rPr>
        <w:footnoteReference w:id="22"/>
      </w:r>
      <w:r w:rsidR="005214D9" w:rsidRPr="005214D9">
        <w:t xml:space="preserve"> These patients demonstrate progression of disease with advancing age and have a decreased life expectancy.</w:t>
      </w:r>
    </w:p>
    <w:p w14:paraId="4A77B4FB" w14:textId="77777777" w:rsidR="005214D9" w:rsidRPr="005214D9" w:rsidRDefault="005214D9" w:rsidP="0013396F">
      <w:r w:rsidRPr="005214D9">
        <w:t>Despite advances in CF treatment, the predicted median age of survival of individuals born today with CF is approximately 40 years of age (US and UK CF patient registry) while the median age at death is generally in the 20s. The focus of most pharmacologic treatments for CF is management of the downstream effects of diminished CFTR function: controlling airway infection and inflammation, mobilizing secretions to reduce airway obstruction and correcting nutritional deficits caused by pancreatic insufficiency. Relatively few of the recommended pharmacological treatments are specifically approved for CF and only one; ivacaftor (IVA; also known as VX-770; approved as Kalydeco) targets the molecular defect in the CFTR protein that is the underlying cause of CF. Kalydeco is currently indicated for treatment of CF in a subset of patients with Class III or ‘gating’ CFTR mutations, including the G551D-CFTR mutation. Given that approximately 5% of patients with CF have these mutations</w:t>
      </w:r>
      <w:r w:rsidR="00FA4ABD">
        <w:t>,</w:t>
      </w:r>
      <w:r w:rsidR="00FA4ABD">
        <w:rPr>
          <w:rStyle w:val="FootnoteReference"/>
        </w:rPr>
        <w:footnoteReference w:id="23"/>
      </w:r>
      <w:r w:rsidRPr="005214D9">
        <w:t xml:space="preserve"> an approved CFTR modulator therapy is not yet available to the great majority of patients. Approximately 44 to 52% of total CF patients in US, EU, Canada (US, EU and Canada CF Registry) and Australia are homozygous for the F508del-CFTR mutation. Given that patients with CF who are homozygous for the F508del-CFTR mutation have a high unmet medical need and that none of the currently approved treatments for this population treat the underlying cause of CF, there is a substantial need to improve the treatment and outlook for these patients.</w:t>
      </w:r>
    </w:p>
    <w:p w14:paraId="6D66CC56" w14:textId="77777777" w:rsidR="005214D9" w:rsidRPr="005214D9" w:rsidRDefault="005214D9" w:rsidP="005214D9">
      <w:r w:rsidRPr="005214D9">
        <w:t xml:space="preserve">Lumacaftor (LUM; also known as VX-809) is </w:t>
      </w:r>
      <w:r w:rsidR="00F55D98">
        <w:t>a CFTR corrector and IVA</w:t>
      </w:r>
      <w:r w:rsidRPr="005214D9">
        <w:t xml:space="preserve"> is a CFTR potentiator. LUM acts on CFTR to facilitate the cellular processing and trafficking of CFTR, allowing the protein to reach the cell surface, where it exhibits improved chloride channel function compared to uncorrected F508del-CFTR. The channel gating activity of F508del-CFTR that has been delivered to the cell surface by LUM can be potentiated by IVA to further enhance chloride transport. The combination of a CFTR corrector and potentiator </w:t>
      </w:r>
      <w:r w:rsidRPr="005214D9">
        <w:lastRenderedPageBreak/>
        <w:t>is a novel approach to enhance the amount and function of the defective CFTR protein in patients with CF who have the F508del-CFTR mutation.</w:t>
      </w:r>
    </w:p>
    <w:p w14:paraId="1BB9E034" w14:textId="77777777" w:rsidR="005214D9" w:rsidRPr="005214D9" w:rsidRDefault="005214D9" w:rsidP="005214D9">
      <w:r w:rsidRPr="005214D9">
        <w:t xml:space="preserve">In human bronchial epithelial (HBE) cells derived from homozygous F508del-CFTR donors, treatment with IVA enhanced chloride transport, while treatment with LUM resulted in an improvement in the cellular processing and trafficking of F508del-CFTR and a greater enhancement in chloride transport. Chloride transport following treatment with both IVA and LUM was further enhanced to a degree exceeding that of either IVA or LUM alone. A modest restoration of chloride secretion through the action of the combination of LUM and IVA in vitro has been shown to improve fluid regulation and ciliary beat frequency in primary cultures of </w:t>
      </w:r>
      <w:r w:rsidR="00A94F3D">
        <w:t>HBE</w:t>
      </w:r>
      <w:r w:rsidRPr="005214D9">
        <w:t xml:space="preserve"> cells derived from donors with CF who are homozygous for the F508del-CFTR mutation. In individuals with CF, this would be expected to improve the mucociliary clearance to alleviate the cycle of mucus plugging, infection, and inflammation that leads to irreversible structural changes in the lungs for patients with CF. Consistent with nonclinical observations, Phase II studies evaluating LUM monotherapy or IVA monotherapy in subjects homozygous for the F508del-CFTR mutation did not result in clinically meaningful benefit (Studies VX09-809-102 and VX08-770-104). In contrast, LUM/IVA combination therapy was beneficial in this population, consistent with the in vitro findings. The sponsors state that this supports the hypothesis that both CFTR correction and potentiation are required for maxi</w:t>
      </w:r>
      <w:r w:rsidR="00251DE5">
        <w:t>mal benefit.</w:t>
      </w:r>
    </w:p>
    <w:p w14:paraId="44DAE02A" w14:textId="77777777" w:rsidR="00605AD4" w:rsidRDefault="00605AD4" w:rsidP="00605AD4">
      <w:pPr>
        <w:pStyle w:val="Heading4"/>
      </w:pPr>
      <w:r w:rsidRPr="00605AD4">
        <w:t>Contents of the clinical dossier</w:t>
      </w:r>
    </w:p>
    <w:p w14:paraId="1BD68AB8" w14:textId="77777777" w:rsidR="005214D9" w:rsidRPr="005214D9" w:rsidRDefault="005214D9" w:rsidP="005214D9">
      <w:r w:rsidRPr="005214D9">
        <w:t>The submission contained the following clinical information:</w:t>
      </w:r>
    </w:p>
    <w:p w14:paraId="1094780F" w14:textId="77777777" w:rsidR="005214D9" w:rsidRPr="005214D9" w:rsidRDefault="005214D9" w:rsidP="00FA4ABD">
      <w:pPr>
        <w:pStyle w:val="ListBullet"/>
      </w:pPr>
      <w:r w:rsidRPr="005214D9">
        <w:t>Sixteen clinical pharmacology studies, including 16 that provided pharmacokinetic data and 4 that provided pharmacodynamic data</w:t>
      </w:r>
    </w:p>
    <w:p w14:paraId="2ACE884E" w14:textId="77777777" w:rsidR="005214D9" w:rsidRPr="005214D9" w:rsidRDefault="005214D9" w:rsidP="00FA4ABD">
      <w:pPr>
        <w:pStyle w:val="ListBullet"/>
      </w:pPr>
      <w:r w:rsidRPr="005214D9">
        <w:t>Four population pharmacokinetic analyses</w:t>
      </w:r>
    </w:p>
    <w:p w14:paraId="504FDC4C" w14:textId="77777777" w:rsidR="005214D9" w:rsidRPr="005214D9" w:rsidRDefault="005214D9" w:rsidP="00FA4ABD">
      <w:pPr>
        <w:pStyle w:val="ListBullet"/>
      </w:pPr>
      <w:r w:rsidRPr="005214D9">
        <w:t>Two pivotal efficacy/safety studies specific for Orkambi</w:t>
      </w:r>
      <w:r w:rsidR="00FA4ABD">
        <w:t>;</w:t>
      </w:r>
      <w:r w:rsidRPr="005214D9">
        <w:t xml:space="preserve"> Studies 103 and 104</w:t>
      </w:r>
    </w:p>
    <w:p w14:paraId="22C31FC9" w14:textId="77777777" w:rsidR="005214D9" w:rsidRPr="005214D9" w:rsidRDefault="005214D9" w:rsidP="00FA4ABD">
      <w:pPr>
        <w:pStyle w:val="ListBullet"/>
      </w:pPr>
      <w:r w:rsidRPr="005214D9">
        <w:t>Ongoing long</w:t>
      </w:r>
      <w:r w:rsidR="00026051">
        <w:t xml:space="preserve"> </w:t>
      </w:r>
      <w:r w:rsidRPr="005214D9">
        <w:t>term open label Study 105</w:t>
      </w:r>
    </w:p>
    <w:p w14:paraId="32A72322" w14:textId="77777777" w:rsidR="005214D9" w:rsidRPr="005214D9" w:rsidRDefault="005214D9" w:rsidP="005214D9">
      <w:r w:rsidRPr="005214D9">
        <w:t>This module also includes reference to the Kalydeco (ivacaftor) approved clinical information for ivacaftor alone for the treatment of</w:t>
      </w:r>
      <w:r w:rsidR="00FA4ABD">
        <w:t xml:space="preserve"> CF and subsequent file updates</w:t>
      </w:r>
      <w:r w:rsidRPr="005214D9">
        <w:t>. Some clinical studies are cross referenced to the Kalydeco application</w:t>
      </w:r>
      <w:r w:rsidR="00251DE5">
        <w:t>,</w:t>
      </w:r>
      <w:r w:rsidRPr="005214D9">
        <w:t xml:space="preserve"> which have been previously evaluated by TGA.</w:t>
      </w:r>
    </w:p>
    <w:p w14:paraId="50FBA345" w14:textId="77777777" w:rsidR="005214D9" w:rsidRPr="005214D9" w:rsidRDefault="005214D9" w:rsidP="005214D9">
      <w:r w:rsidRPr="005214D9">
        <w:t xml:space="preserve">The submission also contains; Clinical Overview, Summary of Clinical Efficacy, Summary of Clinical Safety and literature references. This module includes reference to the Kalydeco (ivacaftor) approved </w:t>
      </w:r>
      <w:r w:rsidR="00FF35A0">
        <w:t>chemistry manufacturing and controls (</w:t>
      </w:r>
      <w:r w:rsidRPr="005214D9">
        <w:t>CMC</w:t>
      </w:r>
      <w:r w:rsidR="00FF35A0">
        <w:t>)</w:t>
      </w:r>
      <w:r w:rsidRPr="005214D9">
        <w:t>, nonclinical and clinical information and subsequent file updates</w:t>
      </w:r>
      <w:r w:rsidR="00FA4ABD">
        <w:t>.</w:t>
      </w:r>
    </w:p>
    <w:p w14:paraId="60B378B0" w14:textId="77777777" w:rsidR="00605AD4" w:rsidRDefault="00605AD4" w:rsidP="00605AD4">
      <w:pPr>
        <w:pStyle w:val="Heading4"/>
      </w:pPr>
      <w:r w:rsidRPr="00605AD4">
        <w:t>Paediatric data</w:t>
      </w:r>
    </w:p>
    <w:p w14:paraId="6029E3FC" w14:textId="77777777" w:rsidR="00E37EB9" w:rsidRPr="00E37EB9" w:rsidRDefault="00E37EB9" w:rsidP="00E37EB9">
      <w:r w:rsidRPr="00E37EB9">
        <w:t>The submission included paediatric pharmacokinetic /pharmacodynamic /efficacy /safety data for adolescents (aged 12 to 17 years).</w:t>
      </w:r>
    </w:p>
    <w:p w14:paraId="421C118A" w14:textId="5527238E" w:rsidR="00E37EB9" w:rsidRPr="006D5004" w:rsidRDefault="00E37EB9" w:rsidP="006D5004">
      <w:pPr>
        <w:pStyle w:val="Comment"/>
        <w:ind w:left="1191" w:hanging="1191"/>
      </w:pPr>
      <w:r w:rsidRPr="006D5004">
        <w:rPr>
          <w:b/>
        </w:rPr>
        <w:t xml:space="preserve">Comments: </w:t>
      </w:r>
      <w:r w:rsidRPr="006D5004">
        <w:t xml:space="preserve">Data in this submission did not include PK, </w:t>
      </w:r>
      <w:r w:rsidR="00A50EF6" w:rsidRPr="006D5004">
        <w:t>pharmacodynamics (</w:t>
      </w:r>
      <w:r w:rsidRPr="006D5004">
        <w:t>PD</w:t>
      </w:r>
      <w:r w:rsidR="00A50EF6" w:rsidRPr="006D5004">
        <w:t>)</w:t>
      </w:r>
      <w:r w:rsidRPr="006D5004">
        <w:t>, efficacy or safety data for children aged &lt; 12 years. However, as the proposed indication is only for children aged &gt; 12 years, this is not a limitation of the submission. Evaluation of lumacaftor in combination with ivacaftor in children 6 to 11 years of age is ongoing and further evaluation in children less than 6 years is planned.</w:t>
      </w:r>
    </w:p>
    <w:p w14:paraId="49D9B08D" w14:textId="77777777" w:rsidR="00605AD4" w:rsidRDefault="00605AD4" w:rsidP="00605AD4">
      <w:pPr>
        <w:pStyle w:val="Heading4"/>
      </w:pPr>
      <w:r w:rsidRPr="00605AD4">
        <w:lastRenderedPageBreak/>
        <w:t>Good clinical practice</w:t>
      </w:r>
    </w:p>
    <w:p w14:paraId="3F56EDC2" w14:textId="77777777" w:rsidR="00E37EB9" w:rsidRPr="00E37EB9" w:rsidRDefault="00E37EB9" w:rsidP="00E37EB9">
      <w:r w:rsidRPr="00FD22FB">
        <w:t>The submitted clinical studies were conducted in full compliance with the guidelines of Good Clinical Practice and of the World Medical Assembly Declaration of Helsinki.</w:t>
      </w:r>
    </w:p>
    <w:p w14:paraId="04EC11D5" w14:textId="77777777" w:rsidR="008E7846" w:rsidRDefault="008E7846" w:rsidP="00605AD4">
      <w:pPr>
        <w:pStyle w:val="Heading3"/>
      </w:pPr>
      <w:bookmarkStart w:id="84" w:name="_Toc462141654"/>
      <w:r w:rsidRPr="00254787">
        <w:t>Pharmacokinetics</w:t>
      </w:r>
      <w:bookmarkEnd w:id="71"/>
      <w:bookmarkEnd w:id="77"/>
      <w:bookmarkEnd w:id="78"/>
      <w:bookmarkEnd w:id="79"/>
      <w:bookmarkEnd w:id="84"/>
    </w:p>
    <w:p w14:paraId="6F74D07F" w14:textId="77777777" w:rsidR="00605AD4" w:rsidRDefault="00605AD4" w:rsidP="00605AD4">
      <w:pPr>
        <w:pStyle w:val="Heading4"/>
      </w:pPr>
      <w:r>
        <w:t>Studies</w:t>
      </w:r>
      <w:r w:rsidR="00E37EB9">
        <w:t xml:space="preserve"> providing pharmacokinetic data</w:t>
      </w:r>
    </w:p>
    <w:p w14:paraId="6F6F9A36" w14:textId="77777777" w:rsidR="00E37EB9" w:rsidRDefault="00E37EB9" w:rsidP="00E37EB9">
      <w:r w:rsidRPr="00C73267">
        <w:t xml:space="preserve">Summaries of the pharmacokinetic studies </w:t>
      </w:r>
      <w:r w:rsidR="00DB650D">
        <w:t>were provided. Table 5</w:t>
      </w:r>
      <w:r w:rsidRPr="00C73267">
        <w:t xml:space="preserve"> shows the studies relating to each pharmacokinetic topic.</w:t>
      </w:r>
    </w:p>
    <w:p w14:paraId="277BF00C" w14:textId="77777777" w:rsidR="00E37EB9" w:rsidRPr="00E37EB9" w:rsidRDefault="00DB650D" w:rsidP="00E37EB9">
      <w:pPr>
        <w:pStyle w:val="Tabletitle0"/>
      </w:pPr>
      <w:r>
        <w:t>Table 5</w:t>
      </w:r>
      <w:r w:rsidR="00E37EB9" w:rsidRPr="00E37EB9">
        <w:t>. Summary of pharmacokinetic studies</w:t>
      </w:r>
    </w:p>
    <w:tbl>
      <w:tblPr>
        <w:tblStyle w:val="TableTGAblue"/>
        <w:tblW w:w="0" w:type="auto"/>
        <w:tblLook w:val="04A0" w:firstRow="1" w:lastRow="0" w:firstColumn="1" w:lastColumn="0" w:noHBand="0" w:noVBand="1"/>
      </w:tblPr>
      <w:tblGrid>
        <w:gridCol w:w="1567"/>
        <w:gridCol w:w="1941"/>
        <w:gridCol w:w="1538"/>
        <w:gridCol w:w="3674"/>
      </w:tblGrid>
      <w:tr w:rsidR="00E37EB9" w:rsidRPr="00511EB7" w14:paraId="3E5A33F9" w14:textId="77777777" w:rsidTr="00E37EB9">
        <w:trPr>
          <w:cnfStyle w:val="100000000000" w:firstRow="1" w:lastRow="0" w:firstColumn="0" w:lastColumn="0" w:oddVBand="0" w:evenVBand="0" w:oddHBand="0" w:evenHBand="0" w:firstRowFirstColumn="0" w:firstRowLastColumn="0" w:lastRowFirstColumn="0" w:lastRowLastColumn="0"/>
        </w:trPr>
        <w:tc>
          <w:tcPr>
            <w:tcW w:w="1567" w:type="dxa"/>
          </w:tcPr>
          <w:p w14:paraId="58B4BB86" w14:textId="77777777" w:rsidR="00E37EB9" w:rsidRPr="00511EB7" w:rsidRDefault="00FA4ABD" w:rsidP="00FA4ABD">
            <w:pPr>
              <w:ind w:left="0" w:right="0"/>
              <w:rPr>
                <w:sz w:val="18"/>
                <w:szCs w:val="18"/>
              </w:rPr>
            </w:pPr>
            <w:r>
              <w:rPr>
                <w:sz w:val="18"/>
                <w:szCs w:val="18"/>
              </w:rPr>
              <w:t>PK topic</w:t>
            </w:r>
          </w:p>
        </w:tc>
        <w:tc>
          <w:tcPr>
            <w:tcW w:w="1941" w:type="dxa"/>
          </w:tcPr>
          <w:p w14:paraId="288AE23E" w14:textId="77777777" w:rsidR="00E37EB9" w:rsidRPr="00511EB7" w:rsidRDefault="00FA4ABD" w:rsidP="00FA4ABD">
            <w:pPr>
              <w:ind w:left="0" w:right="0"/>
              <w:rPr>
                <w:sz w:val="18"/>
                <w:szCs w:val="18"/>
              </w:rPr>
            </w:pPr>
            <w:r>
              <w:rPr>
                <w:sz w:val="18"/>
                <w:szCs w:val="18"/>
              </w:rPr>
              <w:t>Subtopic</w:t>
            </w:r>
          </w:p>
        </w:tc>
        <w:tc>
          <w:tcPr>
            <w:tcW w:w="1538" w:type="dxa"/>
          </w:tcPr>
          <w:p w14:paraId="731620D7" w14:textId="77777777" w:rsidR="00E37EB9" w:rsidRPr="00511EB7" w:rsidRDefault="00FA4ABD" w:rsidP="00FA4ABD">
            <w:pPr>
              <w:ind w:left="0" w:right="0"/>
              <w:rPr>
                <w:sz w:val="18"/>
                <w:szCs w:val="18"/>
              </w:rPr>
            </w:pPr>
            <w:r>
              <w:rPr>
                <w:sz w:val="18"/>
                <w:szCs w:val="18"/>
              </w:rPr>
              <w:t>Study ID</w:t>
            </w:r>
          </w:p>
        </w:tc>
        <w:tc>
          <w:tcPr>
            <w:tcW w:w="3674" w:type="dxa"/>
          </w:tcPr>
          <w:p w14:paraId="32F6BA6A" w14:textId="77777777" w:rsidR="00E37EB9" w:rsidRPr="00511EB7" w:rsidRDefault="00E37EB9" w:rsidP="00FA4ABD">
            <w:pPr>
              <w:ind w:left="0" w:right="0"/>
              <w:rPr>
                <w:sz w:val="18"/>
                <w:szCs w:val="18"/>
              </w:rPr>
            </w:pPr>
          </w:p>
        </w:tc>
      </w:tr>
      <w:tr w:rsidR="009D2D39" w:rsidRPr="00511EB7" w14:paraId="3561DA55" w14:textId="77777777" w:rsidTr="00E37EB9">
        <w:tc>
          <w:tcPr>
            <w:tcW w:w="1567" w:type="dxa"/>
            <w:vMerge w:val="restart"/>
          </w:tcPr>
          <w:p w14:paraId="2588AB87" w14:textId="77777777" w:rsidR="009D2D39" w:rsidRPr="00511EB7" w:rsidRDefault="009D2D39" w:rsidP="00FA4ABD">
            <w:pPr>
              <w:ind w:left="0" w:right="0"/>
              <w:rPr>
                <w:sz w:val="18"/>
                <w:szCs w:val="18"/>
              </w:rPr>
            </w:pPr>
            <w:r w:rsidRPr="00511EB7">
              <w:rPr>
                <w:sz w:val="18"/>
                <w:szCs w:val="18"/>
              </w:rPr>
              <w:t>PK in healthy adults</w:t>
            </w:r>
          </w:p>
        </w:tc>
        <w:tc>
          <w:tcPr>
            <w:tcW w:w="1941" w:type="dxa"/>
          </w:tcPr>
          <w:p w14:paraId="07292C3E" w14:textId="77777777" w:rsidR="009D2D39" w:rsidRPr="00511EB7" w:rsidRDefault="009D2D39" w:rsidP="00FA4ABD">
            <w:pPr>
              <w:ind w:left="0" w:right="0"/>
              <w:rPr>
                <w:sz w:val="18"/>
                <w:szCs w:val="18"/>
              </w:rPr>
            </w:pPr>
            <w:r w:rsidRPr="00511EB7">
              <w:rPr>
                <w:sz w:val="18"/>
                <w:szCs w:val="18"/>
              </w:rPr>
              <w:t xml:space="preserve">General PK </w:t>
            </w:r>
          </w:p>
        </w:tc>
        <w:tc>
          <w:tcPr>
            <w:tcW w:w="1538" w:type="dxa"/>
          </w:tcPr>
          <w:p w14:paraId="519303F7" w14:textId="77777777" w:rsidR="009D2D39" w:rsidRPr="00511EB7" w:rsidRDefault="009D2D39" w:rsidP="00FA4ABD">
            <w:pPr>
              <w:ind w:left="0" w:right="0"/>
              <w:rPr>
                <w:sz w:val="18"/>
                <w:szCs w:val="18"/>
              </w:rPr>
            </w:pPr>
            <w:r w:rsidRPr="00511EB7">
              <w:rPr>
                <w:sz w:val="18"/>
                <w:szCs w:val="18"/>
              </w:rPr>
              <w:t>VX07-809-001</w:t>
            </w:r>
          </w:p>
        </w:tc>
        <w:tc>
          <w:tcPr>
            <w:tcW w:w="3674" w:type="dxa"/>
          </w:tcPr>
          <w:p w14:paraId="100BF27A" w14:textId="77777777" w:rsidR="009D2D39" w:rsidRPr="00511EB7" w:rsidRDefault="009D2D39" w:rsidP="00FA4ABD">
            <w:pPr>
              <w:ind w:left="0" w:right="0"/>
              <w:rPr>
                <w:sz w:val="18"/>
                <w:szCs w:val="18"/>
              </w:rPr>
            </w:pPr>
            <w:r w:rsidRPr="00511EB7">
              <w:rPr>
                <w:sz w:val="18"/>
                <w:szCs w:val="18"/>
              </w:rPr>
              <w:t>Safety, tolerability and PKs of single ascending and descending doses of LUM suspension in the fasted state</w:t>
            </w:r>
          </w:p>
        </w:tc>
      </w:tr>
      <w:tr w:rsidR="009D2D39" w:rsidRPr="00511EB7" w14:paraId="6549862D" w14:textId="77777777" w:rsidTr="00E37EB9">
        <w:tc>
          <w:tcPr>
            <w:tcW w:w="1567" w:type="dxa"/>
            <w:vMerge/>
          </w:tcPr>
          <w:p w14:paraId="0601C892" w14:textId="77777777" w:rsidR="009D2D39" w:rsidRPr="00511EB7" w:rsidRDefault="009D2D39" w:rsidP="00FA4ABD">
            <w:pPr>
              <w:ind w:left="0" w:right="0"/>
              <w:rPr>
                <w:sz w:val="18"/>
                <w:szCs w:val="18"/>
              </w:rPr>
            </w:pPr>
          </w:p>
        </w:tc>
        <w:tc>
          <w:tcPr>
            <w:tcW w:w="1941" w:type="dxa"/>
          </w:tcPr>
          <w:p w14:paraId="0D784CC7" w14:textId="77777777" w:rsidR="009D2D39" w:rsidRPr="00511EB7" w:rsidRDefault="009D2D39" w:rsidP="00FA4ABD">
            <w:pPr>
              <w:ind w:left="0" w:right="0"/>
              <w:rPr>
                <w:sz w:val="18"/>
                <w:szCs w:val="18"/>
              </w:rPr>
            </w:pPr>
            <w:r w:rsidRPr="00511EB7">
              <w:rPr>
                <w:sz w:val="18"/>
                <w:szCs w:val="18"/>
              </w:rPr>
              <w:t>Single dose</w:t>
            </w:r>
          </w:p>
        </w:tc>
        <w:tc>
          <w:tcPr>
            <w:tcW w:w="1538" w:type="dxa"/>
          </w:tcPr>
          <w:p w14:paraId="5B26298F" w14:textId="77777777" w:rsidR="009D2D39" w:rsidRPr="00511EB7" w:rsidRDefault="009D2D39" w:rsidP="00FA4ABD">
            <w:pPr>
              <w:ind w:left="0" w:right="0"/>
              <w:rPr>
                <w:sz w:val="18"/>
                <w:szCs w:val="18"/>
              </w:rPr>
            </w:pPr>
            <w:r w:rsidRPr="00511EB7">
              <w:rPr>
                <w:sz w:val="18"/>
                <w:szCs w:val="18"/>
              </w:rPr>
              <w:t>VX08-809-004</w:t>
            </w:r>
          </w:p>
        </w:tc>
        <w:tc>
          <w:tcPr>
            <w:tcW w:w="3674" w:type="dxa"/>
          </w:tcPr>
          <w:p w14:paraId="621546C9" w14:textId="77777777" w:rsidR="009D2D39" w:rsidRPr="00511EB7" w:rsidRDefault="009D2D39" w:rsidP="00FA4ABD">
            <w:pPr>
              <w:ind w:left="0" w:right="0"/>
              <w:rPr>
                <w:sz w:val="18"/>
                <w:szCs w:val="18"/>
              </w:rPr>
            </w:pPr>
            <w:r w:rsidRPr="00511EB7">
              <w:rPr>
                <w:sz w:val="18"/>
                <w:szCs w:val="18"/>
              </w:rPr>
              <w:t xml:space="preserve">PKs, route and rate of elimination and total recovery of LUM and total radioactivity after a single, oral dose of </w:t>
            </w:r>
            <w:r w:rsidRPr="00511EB7">
              <w:rPr>
                <w:sz w:val="18"/>
                <w:szCs w:val="18"/>
                <w:vertAlign w:val="superscript"/>
              </w:rPr>
              <w:t>14</w:t>
            </w:r>
            <w:r w:rsidRPr="00511EB7">
              <w:rPr>
                <w:sz w:val="18"/>
                <w:szCs w:val="18"/>
              </w:rPr>
              <w:t>C-LUM</w:t>
            </w:r>
          </w:p>
        </w:tc>
      </w:tr>
      <w:tr w:rsidR="009D2D39" w:rsidRPr="00511EB7" w14:paraId="065AFD93" w14:textId="77777777" w:rsidTr="00E37EB9">
        <w:tc>
          <w:tcPr>
            <w:tcW w:w="1567" w:type="dxa"/>
            <w:vMerge/>
          </w:tcPr>
          <w:p w14:paraId="50AD6189" w14:textId="77777777" w:rsidR="009D2D39" w:rsidRPr="00511EB7" w:rsidRDefault="009D2D39" w:rsidP="00FA4ABD">
            <w:pPr>
              <w:ind w:left="0" w:right="0"/>
              <w:rPr>
                <w:sz w:val="18"/>
                <w:szCs w:val="18"/>
              </w:rPr>
            </w:pPr>
          </w:p>
        </w:tc>
        <w:tc>
          <w:tcPr>
            <w:tcW w:w="1941" w:type="dxa"/>
          </w:tcPr>
          <w:p w14:paraId="2683A1E8" w14:textId="77777777" w:rsidR="009D2D39" w:rsidRPr="00511EB7" w:rsidRDefault="009D2D39" w:rsidP="00FA4ABD">
            <w:pPr>
              <w:ind w:left="0" w:right="0"/>
              <w:rPr>
                <w:sz w:val="18"/>
                <w:szCs w:val="18"/>
              </w:rPr>
            </w:pPr>
            <w:r w:rsidRPr="00511EB7">
              <w:rPr>
                <w:sz w:val="18"/>
                <w:szCs w:val="18"/>
              </w:rPr>
              <w:t>Multi-dose</w:t>
            </w:r>
          </w:p>
        </w:tc>
        <w:tc>
          <w:tcPr>
            <w:tcW w:w="1538" w:type="dxa"/>
          </w:tcPr>
          <w:p w14:paraId="22E712A8" w14:textId="77777777" w:rsidR="009D2D39" w:rsidRPr="00511EB7" w:rsidRDefault="009D2D39" w:rsidP="00FA4ABD">
            <w:pPr>
              <w:ind w:left="0" w:right="0"/>
              <w:rPr>
                <w:sz w:val="18"/>
                <w:szCs w:val="18"/>
              </w:rPr>
            </w:pPr>
            <w:r w:rsidRPr="00511EB7">
              <w:rPr>
                <w:sz w:val="18"/>
                <w:szCs w:val="18"/>
              </w:rPr>
              <w:t>VX12-809-008</w:t>
            </w:r>
          </w:p>
        </w:tc>
        <w:tc>
          <w:tcPr>
            <w:tcW w:w="3674" w:type="dxa"/>
          </w:tcPr>
          <w:p w14:paraId="15C3748D" w14:textId="77777777" w:rsidR="009D2D39" w:rsidRPr="00511EB7" w:rsidRDefault="009D2D39" w:rsidP="00FA4ABD">
            <w:pPr>
              <w:ind w:left="0" w:right="0"/>
              <w:rPr>
                <w:sz w:val="18"/>
                <w:szCs w:val="18"/>
              </w:rPr>
            </w:pPr>
            <w:r w:rsidRPr="00511EB7">
              <w:rPr>
                <w:sz w:val="18"/>
                <w:szCs w:val="18"/>
              </w:rPr>
              <w:t>Safety, tolerability and PK of multiple ascending doses of LUM administered for 7 days. Evaluate the effects of LUM in combination with IVA on the QT/QTc interval</w:t>
            </w:r>
          </w:p>
        </w:tc>
      </w:tr>
      <w:tr w:rsidR="009D2D39" w:rsidRPr="00511EB7" w14:paraId="4965776B" w14:textId="77777777" w:rsidTr="00E37EB9">
        <w:tc>
          <w:tcPr>
            <w:tcW w:w="1567" w:type="dxa"/>
            <w:vMerge/>
          </w:tcPr>
          <w:p w14:paraId="6BBE944A" w14:textId="77777777" w:rsidR="009D2D39" w:rsidRPr="00511EB7" w:rsidRDefault="009D2D39" w:rsidP="00FA4ABD">
            <w:pPr>
              <w:ind w:left="0" w:right="0"/>
              <w:rPr>
                <w:sz w:val="18"/>
                <w:szCs w:val="18"/>
              </w:rPr>
            </w:pPr>
          </w:p>
        </w:tc>
        <w:tc>
          <w:tcPr>
            <w:tcW w:w="1941" w:type="dxa"/>
            <w:vMerge w:val="restart"/>
          </w:tcPr>
          <w:p w14:paraId="094BDB50" w14:textId="77777777" w:rsidR="009D2D39" w:rsidRPr="00511EB7" w:rsidRDefault="009D2D39" w:rsidP="00FA4ABD">
            <w:pPr>
              <w:ind w:left="0" w:right="0"/>
              <w:rPr>
                <w:sz w:val="18"/>
                <w:szCs w:val="18"/>
              </w:rPr>
            </w:pPr>
            <w:r w:rsidRPr="00511EB7">
              <w:rPr>
                <w:sz w:val="18"/>
                <w:szCs w:val="18"/>
              </w:rPr>
              <w:t>Bioequivalence† - Single dose</w:t>
            </w:r>
          </w:p>
        </w:tc>
        <w:tc>
          <w:tcPr>
            <w:tcW w:w="1538" w:type="dxa"/>
          </w:tcPr>
          <w:p w14:paraId="3E294C6D" w14:textId="77777777" w:rsidR="009D2D39" w:rsidRPr="00511EB7" w:rsidRDefault="009D2D39" w:rsidP="00FA4ABD">
            <w:pPr>
              <w:ind w:left="0" w:right="0"/>
              <w:rPr>
                <w:sz w:val="18"/>
                <w:szCs w:val="18"/>
              </w:rPr>
            </w:pPr>
            <w:r w:rsidRPr="00511EB7">
              <w:rPr>
                <w:sz w:val="18"/>
                <w:szCs w:val="18"/>
              </w:rPr>
              <w:t>VX08-809-003</w:t>
            </w:r>
          </w:p>
        </w:tc>
        <w:tc>
          <w:tcPr>
            <w:tcW w:w="3674" w:type="dxa"/>
          </w:tcPr>
          <w:p w14:paraId="5165CC8F" w14:textId="77777777" w:rsidR="009D2D39" w:rsidRPr="00511EB7" w:rsidRDefault="009D2D39" w:rsidP="00FA4ABD">
            <w:pPr>
              <w:ind w:left="0" w:right="0"/>
              <w:rPr>
                <w:sz w:val="18"/>
                <w:szCs w:val="18"/>
              </w:rPr>
            </w:pPr>
            <w:r w:rsidRPr="00A347E8">
              <w:rPr>
                <w:sz w:val="18"/>
                <w:szCs w:val="18"/>
              </w:rPr>
              <w:t>bioavailability</w:t>
            </w:r>
            <w:r w:rsidRPr="00511EB7">
              <w:rPr>
                <w:sz w:val="18"/>
                <w:szCs w:val="18"/>
              </w:rPr>
              <w:t xml:space="preserve"> </w:t>
            </w:r>
            <w:r>
              <w:rPr>
                <w:sz w:val="18"/>
                <w:szCs w:val="18"/>
              </w:rPr>
              <w:t>(</w:t>
            </w:r>
            <w:r w:rsidRPr="00511EB7">
              <w:rPr>
                <w:sz w:val="18"/>
                <w:szCs w:val="18"/>
              </w:rPr>
              <w:t>BA</w:t>
            </w:r>
            <w:r>
              <w:rPr>
                <w:sz w:val="18"/>
                <w:szCs w:val="18"/>
              </w:rPr>
              <w:t>)</w:t>
            </w:r>
            <w:r w:rsidRPr="00511EB7">
              <w:rPr>
                <w:sz w:val="18"/>
                <w:szCs w:val="18"/>
              </w:rPr>
              <w:t xml:space="preserve"> of a capsule formulation of LUM relative to the suspension formulation</w:t>
            </w:r>
          </w:p>
        </w:tc>
      </w:tr>
      <w:tr w:rsidR="009D2D39" w:rsidRPr="00511EB7" w14:paraId="7B76287F" w14:textId="77777777" w:rsidTr="00E37EB9">
        <w:tc>
          <w:tcPr>
            <w:tcW w:w="1567" w:type="dxa"/>
            <w:vMerge/>
          </w:tcPr>
          <w:p w14:paraId="54A32C2C" w14:textId="77777777" w:rsidR="009D2D39" w:rsidRPr="00511EB7" w:rsidRDefault="009D2D39" w:rsidP="00FA4ABD">
            <w:pPr>
              <w:ind w:left="0" w:right="0"/>
              <w:rPr>
                <w:sz w:val="18"/>
                <w:szCs w:val="18"/>
              </w:rPr>
            </w:pPr>
          </w:p>
        </w:tc>
        <w:tc>
          <w:tcPr>
            <w:tcW w:w="1941" w:type="dxa"/>
            <w:vMerge/>
          </w:tcPr>
          <w:p w14:paraId="12E267D5" w14:textId="77777777" w:rsidR="009D2D39" w:rsidRPr="00511EB7" w:rsidRDefault="009D2D39" w:rsidP="00FA4ABD">
            <w:pPr>
              <w:ind w:left="0" w:right="0"/>
              <w:rPr>
                <w:sz w:val="18"/>
                <w:szCs w:val="18"/>
              </w:rPr>
            </w:pPr>
          </w:p>
        </w:tc>
        <w:tc>
          <w:tcPr>
            <w:tcW w:w="1538" w:type="dxa"/>
          </w:tcPr>
          <w:p w14:paraId="12B613AC" w14:textId="77777777" w:rsidR="009D2D39" w:rsidRPr="00511EB7" w:rsidRDefault="009D2D39" w:rsidP="00FA4ABD">
            <w:pPr>
              <w:ind w:left="0" w:right="0"/>
              <w:rPr>
                <w:sz w:val="18"/>
                <w:szCs w:val="18"/>
              </w:rPr>
            </w:pPr>
            <w:r w:rsidRPr="00511EB7">
              <w:rPr>
                <w:sz w:val="18"/>
                <w:szCs w:val="18"/>
              </w:rPr>
              <w:t>VX12-809-007</w:t>
            </w:r>
          </w:p>
        </w:tc>
        <w:tc>
          <w:tcPr>
            <w:tcW w:w="3674" w:type="dxa"/>
          </w:tcPr>
          <w:p w14:paraId="6E1D7749" w14:textId="77777777" w:rsidR="009D2D39" w:rsidRPr="00511EB7" w:rsidRDefault="009D2D39" w:rsidP="00FA4ABD">
            <w:pPr>
              <w:ind w:left="0" w:right="0"/>
              <w:rPr>
                <w:sz w:val="18"/>
                <w:szCs w:val="18"/>
              </w:rPr>
            </w:pPr>
            <w:r w:rsidRPr="00511EB7">
              <w:rPr>
                <w:sz w:val="18"/>
                <w:szCs w:val="18"/>
              </w:rPr>
              <w:t>Relative BA of a new tablet formulation (Form 1 HDL) of LUM compared to a reference tablet formulation of LUM (Form 1)at 2 different doses</w:t>
            </w:r>
          </w:p>
        </w:tc>
      </w:tr>
      <w:tr w:rsidR="009D2D39" w:rsidRPr="00511EB7" w14:paraId="6B01C863" w14:textId="77777777" w:rsidTr="00E37EB9">
        <w:tc>
          <w:tcPr>
            <w:tcW w:w="1567" w:type="dxa"/>
            <w:vMerge/>
          </w:tcPr>
          <w:p w14:paraId="7EFC8F70" w14:textId="77777777" w:rsidR="009D2D39" w:rsidRPr="00511EB7" w:rsidRDefault="009D2D39" w:rsidP="00FA4ABD">
            <w:pPr>
              <w:ind w:left="0" w:right="0"/>
              <w:rPr>
                <w:sz w:val="18"/>
                <w:szCs w:val="18"/>
              </w:rPr>
            </w:pPr>
          </w:p>
        </w:tc>
        <w:tc>
          <w:tcPr>
            <w:tcW w:w="1941" w:type="dxa"/>
          </w:tcPr>
          <w:p w14:paraId="3A17ACE8" w14:textId="77777777" w:rsidR="009D2D39" w:rsidRPr="00511EB7" w:rsidRDefault="009D2D39" w:rsidP="00FA4ABD">
            <w:pPr>
              <w:ind w:left="0" w:right="0"/>
              <w:rPr>
                <w:sz w:val="18"/>
                <w:szCs w:val="18"/>
              </w:rPr>
            </w:pPr>
            <w:r w:rsidRPr="00511EB7">
              <w:rPr>
                <w:sz w:val="18"/>
                <w:szCs w:val="18"/>
              </w:rPr>
              <w:t>Food effect</w:t>
            </w:r>
          </w:p>
        </w:tc>
        <w:tc>
          <w:tcPr>
            <w:tcW w:w="1538" w:type="dxa"/>
          </w:tcPr>
          <w:p w14:paraId="39510571" w14:textId="77777777" w:rsidR="009D2D39" w:rsidRPr="00511EB7" w:rsidRDefault="009D2D39" w:rsidP="00FA4ABD">
            <w:pPr>
              <w:ind w:left="0" w:right="0"/>
              <w:rPr>
                <w:sz w:val="18"/>
                <w:szCs w:val="18"/>
              </w:rPr>
            </w:pPr>
            <w:r w:rsidRPr="00511EB7">
              <w:rPr>
                <w:sz w:val="18"/>
                <w:szCs w:val="18"/>
              </w:rPr>
              <w:t>VX13-809-012</w:t>
            </w:r>
          </w:p>
        </w:tc>
        <w:tc>
          <w:tcPr>
            <w:tcW w:w="3674" w:type="dxa"/>
          </w:tcPr>
          <w:p w14:paraId="744A8CA0" w14:textId="77777777" w:rsidR="009D2D39" w:rsidRPr="00511EB7" w:rsidRDefault="009D2D39" w:rsidP="00FA4ABD">
            <w:pPr>
              <w:ind w:left="0" w:right="0"/>
              <w:rPr>
                <w:sz w:val="18"/>
                <w:szCs w:val="18"/>
              </w:rPr>
            </w:pPr>
            <w:r w:rsidRPr="00511EB7">
              <w:rPr>
                <w:sz w:val="18"/>
                <w:szCs w:val="18"/>
              </w:rPr>
              <w:t>Effect of food on the relative BA of 2 FDCs of LUM and IVA tablet</w:t>
            </w:r>
          </w:p>
        </w:tc>
      </w:tr>
      <w:tr w:rsidR="009D2D39" w:rsidRPr="00511EB7" w14:paraId="382D9BD2" w14:textId="77777777" w:rsidTr="00E37EB9">
        <w:tc>
          <w:tcPr>
            <w:tcW w:w="1567" w:type="dxa"/>
            <w:vMerge w:val="restart"/>
          </w:tcPr>
          <w:p w14:paraId="3E717E51" w14:textId="77777777" w:rsidR="009D2D39" w:rsidRPr="00511EB7" w:rsidRDefault="009D2D39" w:rsidP="00FA4ABD">
            <w:pPr>
              <w:ind w:left="0" w:right="0"/>
              <w:rPr>
                <w:sz w:val="18"/>
                <w:szCs w:val="18"/>
              </w:rPr>
            </w:pPr>
            <w:r w:rsidRPr="00511EB7">
              <w:rPr>
                <w:sz w:val="18"/>
                <w:szCs w:val="18"/>
              </w:rPr>
              <w:t>PK in special populations</w:t>
            </w:r>
          </w:p>
        </w:tc>
        <w:tc>
          <w:tcPr>
            <w:tcW w:w="1941" w:type="dxa"/>
            <w:vMerge w:val="restart"/>
          </w:tcPr>
          <w:p w14:paraId="2307C91C" w14:textId="77777777" w:rsidR="009D2D39" w:rsidRPr="00511EB7" w:rsidRDefault="009D2D39" w:rsidP="00FA4ABD">
            <w:pPr>
              <w:ind w:left="0" w:right="0"/>
              <w:rPr>
                <w:sz w:val="18"/>
                <w:szCs w:val="18"/>
              </w:rPr>
            </w:pPr>
            <w:r w:rsidRPr="00511EB7">
              <w:rPr>
                <w:sz w:val="18"/>
                <w:szCs w:val="18"/>
              </w:rPr>
              <w:t>Target population</w:t>
            </w:r>
            <w:r>
              <w:rPr>
                <w:sz w:val="18"/>
                <w:szCs w:val="18"/>
              </w:rPr>
              <w:t xml:space="preserve"> </w:t>
            </w:r>
            <w:r w:rsidRPr="00511EB7">
              <w:rPr>
                <w:sz w:val="18"/>
                <w:szCs w:val="18"/>
              </w:rPr>
              <w:t>Multi</w:t>
            </w:r>
            <w:r>
              <w:rPr>
                <w:sz w:val="18"/>
                <w:szCs w:val="18"/>
              </w:rPr>
              <w:t xml:space="preserve"> </w:t>
            </w:r>
            <w:r w:rsidRPr="00511EB7">
              <w:rPr>
                <w:sz w:val="18"/>
                <w:szCs w:val="18"/>
              </w:rPr>
              <w:t>dose</w:t>
            </w:r>
          </w:p>
        </w:tc>
        <w:tc>
          <w:tcPr>
            <w:tcW w:w="1538" w:type="dxa"/>
          </w:tcPr>
          <w:p w14:paraId="7CBB0F49" w14:textId="77777777" w:rsidR="009D2D39" w:rsidRPr="00511EB7" w:rsidRDefault="009D2D39" w:rsidP="00FA4ABD">
            <w:pPr>
              <w:ind w:left="0" w:right="0"/>
              <w:rPr>
                <w:sz w:val="18"/>
                <w:szCs w:val="18"/>
              </w:rPr>
            </w:pPr>
            <w:r w:rsidRPr="00511EB7">
              <w:rPr>
                <w:sz w:val="18"/>
                <w:szCs w:val="18"/>
              </w:rPr>
              <w:t>VX08-809-101</w:t>
            </w:r>
          </w:p>
        </w:tc>
        <w:tc>
          <w:tcPr>
            <w:tcW w:w="3674" w:type="dxa"/>
          </w:tcPr>
          <w:p w14:paraId="2F4654BD" w14:textId="77777777" w:rsidR="009D2D39" w:rsidRPr="00511EB7" w:rsidRDefault="009D2D39" w:rsidP="00FA4ABD">
            <w:pPr>
              <w:ind w:left="0" w:right="0"/>
              <w:rPr>
                <w:sz w:val="18"/>
                <w:szCs w:val="18"/>
              </w:rPr>
            </w:pPr>
            <w:r w:rsidRPr="00511EB7">
              <w:rPr>
                <w:sz w:val="18"/>
                <w:szCs w:val="18"/>
              </w:rPr>
              <w:t>Saf</w:t>
            </w:r>
            <w:r>
              <w:rPr>
                <w:sz w:val="18"/>
                <w:szCs w:val="18"/>
              </w:rPr>
              <w:t>ety, tolerability and PKs</w:t>
            </w:r>
            <w:r w:rsidRPr="00511EB7">
              <w:rPr>
                <w:sz w:val="18"/>
                <w:szCs w:val="18"/>
              </w:rPr>
              <w:t xml:space="preserve"> of LUM in subjects with CF who are homozygous for the ΔF508-CFTR mutation</w:t>
            </w:r>
          </w:p>
        </w:tc>
      </w:tr>
      <w:tr w:rsidR="009D2D39" w:rsidRPr="00511EB7" w14:paraId="56063953" w14:textId="77777777" w:rsidTr="00E37EB9">
        <w:tc>
          <w:tcPr>
            <w:tcW w:w="1567" w:type="dxa"/>
            <w:vMerge/>
          </w:tcPr>
          <w:p w14:paraId="48BF93DE" w14:textId="77777777" w:rsidR="009D2D39" w:rsidRPr="00511EB7" w:rsidRDefault="009D2D39" w:rsidP="00FA4ABD">
            <w:pPr>
              <w:ind w:left="0" w:right="0"/>
              <w:rPr>
                <w:sz w:val="18"/>
                <w:szCs w:val="18"/>
              </w:rPr>
            </w:pPr>
          </w:p>
        </w:tc>
        <w:tc>
          <w:tcPr>
            <w:tcW w:w="1941" w:type="dxa"/>
            <w:vMerge/>
          </w:tcPr>
          <w:p w14:paraId="7898778C" w14:textId="77777777" w:rsidR="009D2D39" w:rsidRPr="00511EB7" w:rsidRDefault="009D2D39" w:rsidP="00FA4ABD">
            <w:pPr>
              <w:ind w:left="0" w:right="0"/>
              <w:rPr>
                <w:sz w:val="18"/>
                <w:szCs w:val="18"/>
              </w:rPr>
            </w:pPr>
          </w:p>
        </w:tc>
        <w:tc>
          <w:tcPr>
            <w:tcW w:w="1538" w:type="dxa"/>
          </w:tcPr>
          <w:p w14:paraId="0C2F3624" w14:textId="77777777" w:rsidR="009D2D39" w:rsidRPr="00511EB7" w:rsidRDefault="009D2D39" w:rsidP="00FA4ABD">
            <w:pPr>
              <w:ind w:left="0" w:right="0"/>
              <w:rPr>
                <w:sz w:val="18"/>
                <w:szCs w:val="18"/>
              </w:rPr>
            </w:pPr>
            <w:r w:rsidRPr="00511EB7">
              <w:rPr>
                <w:sz w:val="18"/>
                <w:szCs w:val="18"/>
              </w:rPr>
              <w:t>VX09-809-102</w:t>
            </w:r>
          </w:p>
        </w:tc>
        <w:tc>
          <w:tcPr>
            <w:tcW w:w="3674" w:type="dxa"/>
          </w:tcPr>
          <w:p w14:paraId="0A3CB55C" w14:textId="77777777" w:rsidR="009D2D39" w:rsidRPr="00511EB7" w:rsidRDefault="009D2D39" w:rsidP="00FA4ABD">
            <w:pPr>
              <w:ind w:left="0" w:right="0"/>
              <w:rPr>
                <w:sz w:val="18"/>
                <w:szCs w:val="18"/>
              </w:rPr>
            </w:pPr>
            <w:r w:rsidRPr="00511EB7">
              <w:rPr>
                <w:sz w:val="18"/>
                <w:szCs w:val="18"/>
              </w:rPr>
              <w:t>Evaluate the safety, tolerability and PK when LUM is administered alone or in combination with IVA. Effect on sweat chloride</w:t>
            </w:r>
          </w:p>
        </w:tc>
      </w:tr>
      <w:tr w:rsidR="009D2D39" w:rsidRPr="00511EB7" w14:paraId="4E8E39A4" w14:textId="77777777" w:rsidTr="00E37EB9">
        <w:tc>
          <w:tcPr>
            <w:tcW w:w="1567" w:type="dxa"/>
            <w:vMerge/>
          </w:tcPr>
          <w:p w14:paraId="47D21A1E" w14:textId="77777777" w:rsidR="009D2D39" w:rsidRPr="00511EB7" w:rsidRDefault="009D2D39" w:rsidP="00FA4ABD">
            <w:pPr>
              <w:ind w:left="0" w:right="0"/>
              <w:rPr>
                <w:sz w:val="18"/>
                <w:szCs w:val="18"/>
              </w:rPr>
            </w:pPr>
          </w:p>
        </w:tc>
        <w:tc>
          <w:tcPr>
            <w:tcW w:w="1941" w:type="dxa"/>
            <w:vMerge/>
          </w:tcPr>
          <w:p w14:paraId="6240B921" w14:textId="77777777" w:rsidR="009D2D39" w:rsidRPr="00511EB7" w:rsidRDefault="009D2D39" w:rsidP="00FA4ABD">
            <w:pPr>
              <w:ind w:left="0" w:right="0"/>
              <w:rPr>
                <w:sz w:val="18"/>
                <w:szCs w:val="18"/>
              </w:rPr>
            </w:pPr>
          </w:p>
        </w:tc>
        <w:tc>
          <w:tcPr>
            <w:tcW w:w="1538" w:type="dxa"/>
          </w:tcPr>
          <w:p w14:paraId="680B04B9" w14:textId="77777777" w:rsidR="009D2D39" w:rsidRPr="00511EB7" w:rsidRDefault="009D2D39" w:rsidP="00FA4ABD">
            <w:pPr>
              <w:ind w:left="0" w:right="0"/>
              <w:rPr>
                <w:sz w:val="18"/>
                <w:szCs w:val="18"/>
              </w:rPr>
            </w:pPr>
            <w:r w:rsidRPr="00511EB7">
              <w:rPr>
                <w:sz w:val="18"/>
                <w:szCs w:val="18"/>
              </w:rPr>
              <w:t>VX12-809-103</w:t>
            </w:r>
          </w:p>
        </w:tc>
        <w:tc>
          <w:tcPr>
            <w:tcW w:w="3674" w:type="dxa"/>
          </w:tcPr>
          <w:p w14:paraId="09C10FF7" w14:textId="77777777" w:rsidR="009D2D39" w:rsidRPr="00511EB7" w:rsidRDefault="009D2D39" w:rsidP="0026099D">
            <w:pPr>
              <w:ind w:left="0" w:right="0"/>
              <w:rPr>
                <w:sz w:val="18"/>
                <w:szCs w:val="18"/>
              </w:rPr>
            </w:pPr>
            <w:r w:rsidRPr="00511EB7">
              <w:rPr>
                <w:sz w:val="18"/>
                <w:szCs w:val="18"/>
              </w:rPr>
              <w:t>PKs of LUM and its metabolite,</w:t>
            </w:r>
            <w:r w:rsidRPr="0026099D">
              <w:rPr>
                <w:sz w:val="18"/>
                <w:szCs w:val="18"/>
              </w:rPr>
              <w:t xml:space="preserve"> M28</w:t>
            </w:r>
            <w:r w:rsidRPr="00511EB7">
              <w:rPr>
                <w:sz w:val="18"/>
                <w:szCs w:val="18"/>
              </w:rPr>
              <w:t xml:space="preserve"> (</w:t>
            </w:r>
            <w:r w:rsidRPr="0026099D">
              <w:rPr>
                <w:sz w:val="18"/>
                <w:szCs w:val="18"/>
              </w:rPr>
              <w:t>M2</w:t>
            </w:r>
            <w:r w:rsidRPr="00511EB7">
              <w:rPr>
                <w:sz w:val="18"/>
                <w:szCs w:val="18"/>
              </w:rPr>
              <w:t>8-LUM), and IVA and its metabolites, M1 (M1-IVA) and M6 (M6-IVA)</w:t>
            </w:r>
          </w:p>
        </w:tc>
      </w:tr>
      <w:tr w:rsidR="009D2D39" w:rsidRPr="00511EB7" w14:paraId="6547CACC" w14:textId="77777777" w:rsidTr="00E37EB9">
        <w:tc>
          <w:tcPr>
            <w:tcW w:w="1567" w:type="dxa"/>
            <w:vMerge/>
          </w:tcPr>
          <w:p w14:paraId="41462A49" w14:textId="77777777" w:rsidR="009D2D39" w:rsidRPr="00511EB7" w:rsidRDefault="009D2D39" w:rsidP="00FA4ABD">
            <w:pPr>
              <w:ind w:left="0" w:right="0"/>
              <w:rPr>
                <w:sz w:val="18"/>
                <w:szCs w:val="18"/>
              </w:rPr>
            </w:pPr>
          </w:p>
        </w:tc>
        <w:tc>
          <w:tcPr>
            <w:tcW w:w="1941" w:type="dxa"/>
            <w:vMerge/>
          </w:tcPr>
          <w:p w14:paraId="3BD106F7" w14:textId="77777777" w:rsidR="009D2D39" w:rsidRPr="00511EB7" w:rsidRDefault="009D2D39" w:rsidP="00FA4ABD">
            <w:pPr>
              <w:ind w:left="0" w:right="0"/>
              <w:rPr>
                <w:sz w:val="18"/>
                <w:szCs w:val="18"/>
              </w:rPr>
            </w:pPr>
          </w:p>
        </w:tc>
        <w:tc>
          <w:tcPr>
            <w:tcW w:w="1538" w:type="dxa"/>
          </w:tcPr>
          <w:p w14:paraId="5D050067" w14:textId="77777777" w:rsidR="009D2D39" w:rsidRPr="00511EB7" w:rsidRDefault="009D2D39" w:rsidP="00FA4ABD">
            <w:pPr>
              <w:ind w:left="0" w:right="0"/>
              <w:rPr>
                <w:sz w:val="18"/>
                <w:szCs w:val="18"/>
              </w:rPr>
            </w:pPr>
            <w:r w:rsidRPr="00511EB7">
              <w:rPr>
                <w:sz w:val="18"/>
                <w:szCs w:val="18"/>
              </w:rPr>
              <w:t>VX12-809-104</w:t>
            </w:r>
          </w:p>
        </w:tc>
        <w:tc>
          <w:tcPr>
            <w:tcW w:w="3674" w:type="dxa"/>
          </w:tcPr>
          <w:p w14:paraId="23ED64FC" w14:textId="77777777" w:rsidR="009D2D39" w:rsidRPr="00511EB7" w:rsidRDefault="009D2D39" w:rsidP="00FA4ABD">
            <w:pPr>
              <w:ind w:left="0" w:right="0"/>
              <w:rPr>
                <w:sz w:val="18"/>
                <w:szCs w:val="18"/>
              </w:rPr>
            </w:pPr>
            <w:r w:rsidRPr="00511EB7">
              <w:rPr>
                <w:sz w:val="18"/>
                <w:szCs w:val="18"/>
              </w:rPr>
              <w:t xml:space="preserve">To investigate the PK of LUM and its </w:t>
            </w:r>
            <w:r w:rsidRPr="00511EB7">
              <w:rPr>
                <w:sz w:val="18"/>
                <w:szCs w:val="18"/>
              </w:rPr>
              <w:lastRenderedPageBreak/>
              <w:t xml:space="preserve">metabolite, </w:t>
            </w:r>
            <w:r w:rsidRPr="0026099D">
              <w:rPr>
                <w:sz w:val="18"/>
                <w:szCs w:val="18"/>
              </w:rPr>
              <w:t>M28</w:t>
            </w:r>
            <w:r w:rsidRPr="00511EB7">
              <w:rPr>
                <w:sz w:val="18"/>
                <w:szCs w:val="18"/>
              </w:rPr>
              <w:t xml:space="preserve"> (</w:t>
            </w:r>
            <w:r w:rsidRPr="0026099D">
              <w:rPr>
                <w:sz w:val="18"/>
                <w:szCs w:val="18"/>
              </w:rPr>
              <w:t>M28</w:t>
            </w:r>
            <w:r w:rsidRPr="00511EB7">
              <w:rPr>
                <w:sz w:val="18"/>
                <w:szCs w:val="18"/>
              </w:rPr>
              <w:t>-LUM), and IVA and its metabolites, M1 (M1-IVA) and M6 (M6-IVA)</w:t>
            </w:r>
          </w:p>
        </w:tc>
      </w:tr>
      <w:tr w:rsidR="009D2D39" w:rsidRPr="00511EB7" w14:paraId="04CC88D8" w14:textId="77777777" w:rsidTr="00E37EB9">
        <w:tc>
          <w:tcPr>
            <w:tcW w:w="1567" w:type="dxa"/>
            <w:vMerge/>
          </w:tcPr>
          <w:p w14:paraId="0E3BD73E" w14:textId="77777777" w:rsidR="009D2D39" w:rsidRPr="00511EB7" w:rsidRDefault="009D2D39" w:rsidP="00FA4ABD">
            <w:pPr>
              <w:ind w:left="0" w:right="0"/>
              <w:rPr>
                <w:sz w:val="18"/>
                <w:szCs w:val="18"/>
              </w:rPr>
            </w:pPr>
          </w:p>
        </w:tc>
        <w:tc>
          <w:tcPr>
            <w:tcW w:w="1941" w:type="dxa"/>
          </w:tcPr>
          <w:p w14:paraId="28BD24EA" w14:textId="77777777" w:rsidR="009D2D39" w:rsidRPr="00511EB7" w:rsidRDefault="009D2D39" w:rsidP="00FA4ABD">
            <w:pPr>
              <w:ind w:left="0" w:right="0"/>
              <w:rPr>
                <w:sz w:val="18"/>
                <w:szCs w:val="18"/>
              </w:rPr>
            </w:pPr>
            <w:r w:rsidRPr="00511EB7">
              <w:rPr>
                <w:sz w:val="18"/>
                <w:szCs w:val="18"/>
              </w:rPr>
              <w:t>Hepatic impairment</w:t>
            </w:r>
          </w:p>
        </w:tc>
        <w:tc>
          <w:tcPr>
            <w:tcW w:w="1538" w:type="dxa"/>
          </w:tcPr>
          <w:p w14:paraId="7B3DF21B" w14:textId="77777777" w:rsidR="009D2D39" w:rsidRPr="00511EB7" w:rsidRDefault="009D2D39" w:rsidP="00FA4ABD">
            <w:pPr>
              <w:ind w:left="0" w:right="0"/>
              <w:rPr>
                <w:sz w:val="18"/>
                <w:szCs w:val="18"/>
              </w:rPr>
            </w:pPr>
            <w:r w:rsidRPr="00511EB7">
              <w:rPr>
                <w:sz w:val="18"/>
                <w:szCs w:val="18"/>
              </w:rPr>
              <w:t>VX13-809-010</w:t>
            </w:r>
          </w:p>
        </w:tc>
        <w:tc>
          <w:tcPr>
            <w:tcW w:w="3674" w:type="dxa"/>
          </w:tcPr>
          <w:p w14:paraId="127DF27E" w14:textId="77777777" w:rsidR="009D2D39" w:rsidRPr="00511EB7" w:rsidRDefault="009D2D39" w:rsidP="00FA4ABD">
            <w:pPr>
              <w:ind w:left="0" w:right="0"/>
              <w:rPr>
                <w:sz w:val="18"/>
                <w:szCs w:val="18"/>
              </w:rPr>
            </w:pPr>
            <w:r w:rsidRPr="00511EB7">
              <w:rPr>
                <w:sz w:val="18"/>
                <w:szCs w:val="18"/>
              </w:rPr>
              <w:t>PK of multiple doses of LUM in combination with IVA in subjects with moderate hepatic impairment to the PK in matched healthy subjects</w:t>
            </w:r>
          </w:p>
        </w:tc>
      </w:tr>
      <w:tr w:rsidR="009D2D39" w:rsidRPr="00511EB7" w14:paraId="6CC23747" w14:textId="77777777" w:rsidTr="00E37EB9">
        <w:tc>
          <w:tcPr>
            <w:tcW w:w="1567" w:type="dxa"/>
            <w:vMerge/>
          </w:tcPr>
          <w:p w14:paraId="35AA7B5E" w14:textId="77777777" w:rsidR="009D2D39" w:rsidRPr="00511EB7" w:rsidRDefault="009D2D39" w:rsidP="00FA4ABD">
            <w:pPr>
              <w:ind w:left="0" w:right="0"/>
              <w:rPr>
                <w:sz w:val="18"/>
                <w:szCs w:val="18"/>
              </w:rPr>
            </w:pPr>
          </w:p>
        </w:tc>
        <w:tc>
          <w:tcPr>
            <w:tcW w:w="1941" w:type="dxa"/>
          </w:tcPr>
          <w:p w14:paraId="684BA820" w14:textId="77777777" w:rsidR="009D2D39" w:rsidRPr="00511EB7" w:rsidRDefault="009D2D39" w:rsidP="00FA4ABD">
            <w:pPr>
              <w:ind w:left="0" w:right="0"/>
              <w:rPr>
                <w:sz w:val="18"/>
                <w:szCs w:val="18"/>
              </w:rPr>
            </w:pPr>
            <w:r w:rsidRPr="00511EB7">
              <w:rPr>
                <w:sz w:val="18"/>
                <w:szCs w:val="18"/>
              </w:rPr>
              <w:t>Children-adolescents</w:t>
            </w:r>
          </w:p>
        </w:tc>
        <w:tc>
          <w:tcPr>
            <w:tcW w:w="1538" w:type="dxa"/>
          </w:tcPr>
          <w:p w14:paraId="397DD1CE" w14:textId="77777777" w:rsidR="009D2D39" w:rsidRPr="00511EB7" w:rsidRDefault="009D2D39" w:rsidP="00FA4ABD">
            <w:pPr>
              <w:ind w:left="0" w:right="0"/>
              <w:rPr>
                <w:sz w:val="18"/>
                <w:szCs w:val="18"/>
              </w:rPr>
            </w:pPr>
            <w:r w:rsidRPr="00511EB7">
              <w:rPr>
                <w:sz w:val="18"/>
                <w:szCs w:val="18"/>
              </w:rPr>
              <w:t>VX13-809-011 Part A</w:t>
            </w:r>
          </w:p>
        </w:tc>
        <w:tc>
          <w:tcPr>
            <w:tcW w:w="3674" w:type="dxa"/>
          </w:tcPr>
          <w:p w14:paraId="2AE6A12E" w14:textId="77777777" w:rsidR="009D2D39" w:rsidRPr="00511EB7" w:rsidRDefault="009D2D39" w:rsidP="00FA4ABD">
            <w:pPr>
              <w:ind w:left="0" w:right="0"/>
              <w:rPr>
                <w:sz w:val="18"/>
                <w:szCs w:val="18"/>
              </w:rPr>
            </w:pPr>
            <w:r w:rsidRPr="00511EB7">
              <w:rPr>
                <w:sz w:val="18"/>
                <w:szCs w:val="18"/>
              </w:rPr>
              <w:t>PK of multiple doses of LUM in combination with IVA in subjects 6 through 11 years of age (inclusive) with CF who are homozygous for the F508del-CFTR mutation</w:t>
            </w:r>
          </w:p>
        </w:tc>
      </w:tr>
      <w:tr w:rsidR="009D2D39" w:rsidRPr="00511EB7" w14:paraId="4A8C76F7" w14:textId="77777777" w:rsidTr="00E37EB9">
        <w:tc>
          <w:tcPr>
            <w:tcW w:w="1567" w:type="dxa"/>
            <w:vMerge/>
          </w:tcPr>
          <w:p w14:paraId="71CF8943" w14:textId="77777777" w:rsidR="009D2D39" w:rsidRPr="00511EB7" w:rsidRDefault="009D2D39" w:rsidP="00FA4ABD">
            <w:pPr>
              <w:ind w:left="0" w:right="0"/>
              <w:rPr>
                <w:sz w:val="18"/>
                <w:szCs w:val="18"/>
              </w:rPr>
            </w:pPr>
          </w:p>
        </w:tc>
        <w:tc>
          <w:tcPr>
            <w:tcW w:w="1941" w:type="dxa"/>
          </w:tcPr>
          <w:p w14:paraId="41D1D3E3" w14:textId="77777777" w:rsidR="009D2D39" w:rsidRPr="00511EB7" w:rsidRDefault="009D2D39" w:rsidP="00FA4ABD">
            <w:pPr>
              <w:ind w:left="0" w:right="0"/>
              <w:rPr>
                <w:sz w:val="18"/>
                <w:szCs w:val="18"/>
              </w:rPr>
            </w:pPr>
            <w:r w:rsidRPr="00511EB7">
              <w:rPr>
                <w:sz w:val="18"/>
                <w:szCs w:val="18"/>
              </w:rPr>
              <w:t>Other special populations</w:t>
            </w:r>
          </w:p>
        </w:tc>
        <w:tc>
          <w:tcPr>
            <w:tcW w:w="1538" w:type="dxa"/>
          </w:tcPr>
          <w:p w14:paraId="29BA91BE" w14:textId="77777777" w:rsidR="009D2D39" w:rsidRPr="00511EB7" w:rsidRDefault="009D2D39" w:rsidP="00FA4ABD">
            <w:pPr>
              <w:ind w:left="0" w:right="0"/>
              <w:rPr>
                <w:sz w:val="18"/>
                <w:szCs w:val="18"/>
              </w:rPr>
            </w:pPr>
            <w:r w:rsidRPr="00511EB7">
              <w:rPr>
                <w:sz w:val="18"/>
                <w:szCs w:val="18"/>
              </w:rPr>
              <w:t>VX07-809-002</w:t>
            </w:r>
          </w:p>
        </w:tc>
        <w:tc>
          <w:tcPr>
            <w:tcW w:w="3674" w:type="dxa"/>
          </w:tcPr>
          <w:p w14:paraId="7575FD89" w14:textId="77777777" w:rsidR="009D2D39" w:rsidRPr="00511EB7" w:rsidRDefault="009D2D39" w:rsidP="00FA4ABD">
            <w:pPr>
              <w:ind w:left="0" w:right="0"/>
              <w:rPr>
                <w:sz w:val="18"/>
                <w:szCs w:val="18"/>
              </w:rPr>
            </w:pPr>
            <w:r w:rsidRPr="00511EB7">
              <w:rPr>
                <w:sz w:val="18"/>
                <w:szCs w:val="18"/>
              </w:rPr>
              <w:t>LUM PKs in pancreatic</w:t>
            </w:r>
            <w:r>
              <w:rPr>
                <w:sz w:val="18"/>
                <w:szCs w:val="18"/>
              </w:rPr>
              <w:t xml:space="preserve"> </w:t>
            </w:r>
            <w:r w:rsidRPr="00511EB7">
              <w:rPr>
                <w:sz w:val="18"/>
                <w:szCs w:val="18"/>
              </w:rPr>
              <w:t>insufficient subjects with CF</w:t>
            </w:r>
          </w:p>
        </w:tc>
      </w:tr>
      <w:tr w:rsidR="009D2D39" w:rsidRPr="00511EB7" w14:paraId="2D2B2769" w14:textId="77777777" w:rsidTr="00E37EB9">
        <w:tc>
          <w:tcPr>
            <w:tcW w:w="1567" w:type="dxa"/>
            <w:vMerge w:val="restart"/>
          </w:tcPr>
          <w:p w14:paraId="09BCC7DD" w14:textId="77777777" w:rsidR="009D2D39" w:rsidRPr="00511EB7" w:rsidRDefault="009D2D39" w:rsidP="00FA4ABD">
            <w:pPr>
              <w:ind w:left="0" w:right="0"/>
              <w:rPr>
                <w:sz w:val="18"/>
                <w:szCs w:val="18"/>
              </w:rPr>
            </w:pPr>
            <w:r w:rsidRPr="00511EB7">
              <w:rPr>
                <w:sz w:val="18"/>
                <w:szCs w:val="18"/>
              </w:rPr>
              <w:t>PK interactions</w:t>
            </w:r>
          </w:p>
        </w:tc>
        <w:tc>
          <w:tcPr>
            <w:tcW w:w="1941" w:type="dxa"/>
          </w:tcPr>
          <w:p w14:paraId="2A4C0C81" w14:textId="77777777" w:rsidR="009D2D39" w:rsidRPr="00511EB7" w:rsidRDefault="009D2D39" w:rsidP="00FA4ABD">
            <w:pPr>
              <w:ind w:left="0" w:right="0"/>
              <w:rPr>
                <w:sz w:val="18"/>
                <w:szCs w:val="18"/>
              </w:rPr>
            </w:pPr>
            <w:r w:rsidRPr="00511EB7">
              <w:rPr>
                <w:sz w:val="18"/>
                <w:szCs w:val="18"/>
              </w:rPr>
              <w:t>Ciprofloxacin, itraconazole or rifampin</w:t>
            </w:r>
          </w:p>
        </w:tc>
        <w:tc>
          <w:tcPr>
            <w:tcW w:w="1538" w:type="dxa"/>
          </w:tcPr>
          <w:p w14:paraId="42887293" w14:textId="77777777" w:rsidR="009D2D39" w:rsidRPr="00511EB7" w:rsidRDefault="009D2D39" w:rsidP="00FA4ABD">
            <w:pPr>
              <w:ind w:left="0" w:right="0"/>
              <w:rPr>
                <w:sz w:val="18"/>
                <w:szCs w:val="18"/>
              </w:rPr>
            </w:pPr>
            <w:r w:rsidRPr="00511EB7">
              <w:rPr>
                <w:sz w:val="18"/>
                <w:szCs w:val="18"/>
              </w:rPr>
              <w:t>VX12-809-009</w:t>
            </w:r>
          </w:p>
        </w:tc>
        <w:tc>
          <w:tcPr>
            <w:tcW w:w="3674" w:type="dxa"/>
          </w:tcPr>
          <w:p w14:paraId="07A056B6" w14:textId="77777777" w:rsidR="009D2D39" w:rsidRPr="00511EB7" w:rsidRDefault="009D2D39" w:rsidP="00FA4ABD">
            <w:pPr>
              <w:ind w:left="0" w:right="0"/>
              <w:rPr>
                <w:sz w:val="18"/>
                <w:szCs w:val="18"/>
              </w:rPr>
            </w:pPr>
            <w:r w:rsidRPr="00511EB7">
              <w:rPr>
                <w:sz w:val="18"/>
                <w:szCs w:val="18"/>
              </w:rPr>
              <w:t>PK of LUM and IVA in the absence and presence of ciprofloxacin, itraconazole or rifampin</w:t>
            </w:r>
          </w:p>
        </w:tc>
      </w:tr>
      <w:tr w:rsidR="009D2D39" w:rsidRPr="00511EB7" w14:paraId="248002D3" w14:textId="77777777" w:rsidTr="00E37EB9">
        <w:tc>
          <w:tcPr>
            <w:tcW w:w="1567" w:type="dxa"/>
            <w:vMerge/>
          </w:tcPr>
          <w:p w14:paraId="6B93AFD3" w14:textId="77777777" w:rsidR="009D2D39" w:rsidRPr="00511EB7" w:rsidRDefault="009D2D39" w:rsidP="00FA4ABD">
            <w:pPr>
              <w:ind w:left="0" w:right="0"/>
              <w:rPr>
                <w:sz w:val="18"/>
                <w:szCs w:val="18"/>
              </w:rPr>
            </w:pPr>
          </w:p>
        </w:tc>
        <w:tc>
          <w:tcPr>
            <w:tcW w:w="1941" w:type="dxa"/>
            <w:vMerge w:val="restart"/>
          </w:tcPr>
          <w:p w14:paraId="1BCD12D6" w14:textId="77777777" w:rsidR="009D2D39" w:rsidRPr="00511EB7" w:rsidRDefault="009D2D39" w:rsidP="00FA4ABD">
            <w:pPr>
              <w:ind w:left="0" w:right="0"/>
              <w:rPr>
                <w:sz w:val="18"/>
                <w:szCs w:val="18"/>
              </w:rPr>
            </w:pPr>
            <w:r w:rsidRPr="00511EB7">
              <w:rPr>
                <w:sz w:val="18"/>
                <w:szCs w:val="18"/>
              </w:rPr>
              <w:t>Interaction between LUM and IVA</w:t>
            </w:r>
          </w:p>
        </w:tc>
        <w:tc>
          <w:tcPr>
            <w:tcW w:w="1538" w:type="dxa"/>
          </w:tcPr>
          <w:p w14:paraId="255865D9" w14:textId="77777777" w:rsidR="009D2D39" w:rsidRPr="00511EB7" w:rsidRDefault="009D2D39" w:rsidP="00FA4ABD">
            <w:pPr>
              <w:ind w:left="0" w:right="0"/>
              <w:rPr>
                <w:sz w:val="18"/>
                <w:szCs w:val="18"/>
              </w:rPr>
            </w:pPr>
            <w:r w:rsidRPr="00511EB7">
              <w:rPr>
                <w:sz w:val="18"/>
                <w:szCs w:val="18"/>
              </w:rPr>
              <w:t>VX08-809-005</w:t>
            </w:r>
          </w:p>
        </w:tc>
        <w:tc>
          <w:tcPr>
            <w:tcW w:w="3674" w:type="dxa"/>
          </w:tcPr>
          <w:p w14:paraId="4B4801F5" w14:textId="77777777" w:rsidR="009D2D39" w:rsidRPr="00511EB7" w:rsidRDefault="009D2D39" w:rsidP="00FA4ABD">
            <w:pPr>
              <w:ind w:left="0" w:right="0"/>
              <w:rPr>
                <w:sz w:val="18"/>
                <w:szCs w:val="18"/>
              </w:rPr>
            </w:pPr>
            <w:r w:rsidRPr="00511EB7">
              <w:rPr>
                <w:sz w:val="18"/>
                <w:szCs w:val="18"/>
              </w:rPr>
              <w:t>PKs following co-administration of IVA and LUM</w:t>
            </w:r>
          </w:p>
        </w:tc>
      </w:tr>
      <w:tr w:rsidR="009D2D39" w:rsidRPr="00511EB7" w14:paraId="4B1EF3C7" w14:textId="77777777" w:rsidTr="00E37EB9">
        <w:tc>
          <w:tcPr>
            <w:tcW w:w="1567" w:type="dxa"/>
            <w:vMerge/>
          </w:tcPr>
          <w:p w14:paraId="5DF924EE" w14:textId="77777777" w:rsidR="009D2D39" w:rsidRPr="00511EB7" w:rsidRDefault="009D2D39" w:rsidP="00FA4ABD">
            <w:pPr>
              <w:ind w:left="0" w:right="0"/>
              <w:rPr>
                <w:sz w:val="18"/>
                <w:szCs w:val="18"/>
              </w:rPr>
            </w:pPr>
          </w:p>
        </w:tc>
        <w:tc>
          <w:tcPr>
            <w:tcW w:w="1941" w:type="dxa"/>
            <w:vMerge/>
          </w:tcPr>
          <w:p w14:paraId="3A0A94DB" w14:textId="77777777" w:rsidR="009D2D39" w:rsidRPr="00511EB7" w:rsidRDefault="009D2D39" w:rsidP="00FA4ABD">
            <w:pPr>
              <w:ind w:left="0" w:right="0"/>
              <w:rPr>
                <w:sz w:val="18"/>
                <w:szCs w:val="18"/>
              </w:rPr>
            </w:pPr>
          </w:p>
        </w:tc>
        <w:tc>
          <w:tcPr>
            <w:tcW w:w="1538" w:type="dxa"/>
          </w:tcPr>
          <w:p w14:paraId="42FD5998" w14:textId="77777777" w:rsidR="009D2D39" w:rsidRPr="00511EB7" w:rsidRDefault="009D2D39" w:rsidP="00FA4ABD">
            <w:pPr>
              <w:ind w:left="0" w:right="0"/>
              <w:rPr>
                <w:sz w:val="18"/>
                <w:szCs w:val="18"/>
              </w:rPr>
            </w:pPr>
            <w:r w:rsidRPr="00511EB7">
              <w:rPr>
                <w:sz w:val="18"/>
                <w:szCs w:val="18"/>
              </w:rPr>
              <w:t>VX10-809-006</w:t>
            </w:r>
          </w:p>
        </w:tc>
        <w:tc>
          <w:tcPr>
            <w:tcW w:w="3674" w:type="dxa"/>
          </w:tcPr>
          <w:p w14:paraId="0C62F35D" w14:textId="77777777" w:rsidR="009D2D39" w:rsidRPr="00511EB7" w:rsidRDefault="009D2D39" w:rsidP="00FA4ABD">
            <w:pPr>
              <w:ind w:left="0" w:right="0"/>
              <w:rPr>
                <w:sz w:val="18"/>
                <w:szCs w:val="18"/>
              </w:rPr>
            </w:pPr>
            <w:r w:rsidRPr="00511EB7">
              <w:rPr>
                <w:sz w:val="18"/>
                <w:szCs w:val="18"/>
              </w:rPr>
              <w:t>PKs following co-administration of IVA and LUM</w:t>
            </w:r>
          </w:p>
        </w:tc>
      </w:tr>
      <w:tr w:rsidR="009D2D39" w:rsidRPr="00511EB7" w14:paraId="444C1A05" w14:textId="77777777" w:rsidTr="00E37EB9">
        <w:tc>
          <w:tcPr>
            <w:tcW w:w="1567" w:type="dxa"/>
            <w:vMerge w:val="restart"/>
          </w:tcPr>
          <w:p w14:paraId="7D7AED95" w14:textId="77777777" w:rsidR="009D2D39" w:rsidRPr="00511EB7" w:rsidRDefault="009D2D39" w:rsidP="00FA4ABD">
            <w:pPr>
              <w:ind w:left="0" w:right="0"/>
              <w:rPr>
                <w:sz w:val="18"/>
                <w:szCs w:val="18"/>
              </w:rPr>
            </w:pPr>
            <w:r w:rsidRPr="00511EB7">
              <w:rPr>
                <w:sz w:val="18"/>
                <w:szCs w:val="18"/>
              </w:rPr>
              <w:t>Population PK analyses</w:t>
            </w:r>
          </w:p>
        </w:tc>
        <w:tc>
          <w:tcPr>
            <w:tcW w:w="1941" w:type="dxa"/>
            <w:vMerge w:val="restart"/>
          </w:tcPr>
          <w:p w14:paraId="6FF97A97" w14:textId="77777777" w:rsidR="009D2D39" w:rsidRPr="00511EB7" w:rsidRDefault="009D2D39" w:rsidP="00FA4ABD">
            <w:pPr>
              <w:ind w:left="0" w:right="0"/>
              <w:rPr>
                <w:sz w:val="18"/>
                <w:szCs w:val="18"/>
              </w:rPr>
            </w:pPr>
            <w:r w:rsidRPr="00511EB7">
              <w:rPr>
                <w:sz w:val="18"/>
                <w:szCs w:val="18"/>
              </w:rPr>
              <w:t>Target population</w:t>
            </w:r>
          </w:p>
        </w:tc>
        <w:tc>
          <w:tcPr>
            <w:tcW w:w="1538" w:type="dxa"/>
          </w:tcPr>
          <w:p w14:paraId="50E0F0A9" w14:textId="77777777" w:rsidR="009D2D39" w:rsidRPr="00511EB7" w:rsidRDefault="009D2D39" w:rsidP="00FA4ABD">
            <w:pPr>
              <w:ind w:left="0" w:right="0"/>
              <w:rPr>
                <w:sz w:val="18"/>
                <w:szCs w:val="18"/>
              </w:rPr>
            </w:pPr>
            <w:r w:rsidRPr="00511EB7">
              <w:rPr>
                <w:sz w:val="18"/>
                <w:szCs w:val="18"/>
              </w:rPr>
              <w:t>K050</w:t>
            </w:r>
          </w:p>
        </w:tc>
        <w:tc>
          <w:tcPr>
            <w:tcW w:w="3674" w:type="dxa"/>
          </w:tcPr>
          <w:p w14:paraId="607D5C55" w14:textId="77777777" w:rsidR="009D2D39" w:rsidRPr="00511EB7" w:rsidRDefault="009D2D39" w:rsidP="00FA4ABD">
            <w:pPr>
              <w:ind w:left="0" w:right="0"/>
              <w:rPr>
                <w:sz w:val="18"/>
                <w:szCs w:val="18"/>
              </w:rPr>
            </w:pPr>
            <w:r w:rsidRPr="00511EB7">
              <w:rPr>
                <w:sz w:val="18"/>
                <w:szCs w:val="18"/>
              </w:rPr>
              <w:t>PopPK and exposure</w:t>
            </w:r>
            <w:r>
              <w:rPr>
                <w:sz w:val="18"/>
                <w:szCs w:val="18"/>
              </w:rPr>
              <w:t xml:space="preserve"> </w:t>
            </w:r>
            <w:r w:rsidRPr="00511EB7">
              <w:rPr>
                <w:sz w:val="18"/>
                <w:szCs w:val="18"/>
              </w:rPr>
              <w:t>response of LUM and IVA in subjects with cystic fibrosis</w:t>
            </w:r>
          </w:p>
        </w:tc>
      </w:tr>
      <w:tr w:rsidR="009D2D39" w:rsidRPr="00511EB7" w14:paraId="6F04E166" w14:textId="77777777" w:rsidTr="00E37EB9">
        <w:tc>
          <w:tcPr>
            <w:tcW w:w="1567" w:type="dxa"/>
            <w:vMerge/>
          </w:tcPr>
          <w:p w14:paraId="368F164C" w14:textId="77777777" w:rsidR="009D2D39" w:rsidRPr="00511EB7" w:rsidRDefault="009D2D39" w:rsidP="00FA4ABD">
            <w:pPr>
              <w:ind w:left="0" w:right="0"/>
              <w:rPr>
                <w:sz w:val="18"/>
                <w:szCs w:val="18"/>
              </w:rPr>
            </w:pPr>
          </w:p>
        </w:tc>
        <w:tc>
          <w:tcPr>
            <w:tcW w:w="1941" w:type="dxa"/>
            <w:vMerge/>
          </w:tcPr>
          <w:p w14:paraId="2A572B57" w14:textId="77777777" w:rsidR="009D2D39" w:rsidRPr="00511EB7" w:rsidRDefault="009D2D39" w:rsidP="00FA4ABD">
            <w:pPr>
              <w:ind w:left="0" w:right="0"/>
              <w:rPr>
                <w:sz w:val="18"/>
                <w:szCs w:val="18"/>
              </w:rPr>
            </w:pPr>
          </w:p>
        </w:tc>
        <w:tc>
          <w:tcPr>
            <w:tcW w:w="1538" w:type="dxa"/>
          </w:tcPr>
          <w:p w14:paraId="6D267840" w14:textId="77777777" w:rsidR="009D2D39" w:rsidRPr="00511EB7" w:rsidRDefault="009D2D39" w:rsidP="00FA4ABD">
            <w:pPr>
              <w:ind w:left="0" w:right="0"/>
              <w:rPr>
                <w:sz w:val="18"/>
                <w:szCs w:val="18"/>
              </w:rPr>
            </w:pPr>
            <w:r w:rsidRPr="00511EB7">
              <w:rPr>
                <w:sz w:val="18"/>
                <w:szCs w:val="18"/>
              </w:rPr>
              <w:t>J178</w:t>
            </w:r>
          </w:p>
        </w:tc>
        <w:tc>
          <w:tcPr>
            <w:tcW w:w="3674" w:type="dxa"/>
          </w:tcPr>
          <w:p w14:paraId="77E032AC" w14:textId="77777777" w:rsidR="009D2D39" w:rsidRPr="00511EB7" w:rsidRDefault="009D2D39" w:rsidP="00FA4ABD">
            <w:pPr>
              <w:ind w:left="0" w:right="0"/>
              <w:rPr>
                <w:sz w:val="18"/>
                <w:szCs w:val="18"/>
              </w:rPr>
            </w:pPr>
            <w:r w:rsidRPr="00511EB7">
              <w:rPr>
                <w:sz w:val="18"/>
                <w:szCs w:val="18"/>
              </w:rPr>
              <w:t xml:space="preserve">Characterise the </w:t>
            </w:r>
            <w:r w:rsidRPr="009B151C">
              <w:rPr>
                <w:sz w:val="18"/>
                <w:szCs w:val="18"/>
              </w:rPr>
              <w:t>population pharmacokinetics</w:t>
            </w:r>
            <w:r w:rsidRPr="00511EB7">
              <w:rPr>
                <w:sz w:val="18"/>
                <w:szCs w:val="18"/>
              </w:rPr>
              <w:t xml:space="preserve"> </w:t>
            </w:r>
            <w:r>
              <w:rPr>
                <w:sz w:val="18"/>
                <w:szCs w:val="18"/>
              </w:rPr>
              <w:t>(</w:t>
            </w:r>
            <w:r w:rsidRPr="00511EB7">
              <w:rPr>
                <w:sz w:val="18"/>
                <w:szCs w:val="18"/>
              </w:rPr>
              <w:t>popPK</w:t>
            </w:r>
            <w:r>
              <w:rPr>
                <w:sz w:val="18"/>
                <w:szCs w:val="18"/>
              </w:rPr>
              <w:t>)</w:t>
            </w:r>
            <w:r w:rsidRPr="00511EB7">
              <w:rPr>
                <w:sz w:val="18"/>
                <w:szCs w:val="18"/>
              </w:rPr>
              <w:t xml:space="preserve"> of IVA in subjects with CF and the R117H-CFTR mutation</w:t>
            </w:r>
          </w:p>
        </w:tc>
      </w:tr>
      <w:tr w:rsidR="009D2D39" w:rsidRPr="00511EB7" w14:paraId="65BFDE99" w14:textId="77777777" w:rsidTr="00E37EB9">
        <w:tc>
          <w:tcPr>
            <w:tcW w:w="1567" w:type="dxa"/>
            <w:vMerge/>
          </w:tcPr>
          <w:p w14:paraId="2947FC12" w14:textId="77777777" w:rsidR="009D2D39" w:rsidRPr="00511EB7" w:rsidRDefault="009D2D39" w:rsidP="00FA4ABD">
            <w:pPr>
              <w:ind w:left="0" w:right="0"/>
              <w:rPr>
                <w:sz w:val="18"/>
                <w:szCs w:val="18"/>
              </w:rPr>
            </w:pPr>
          </w:p>
        </w:tc>
        <w:tc>
          <w:tcPr>
            <w:tcW w:w="1941" w:type="dxa"/>
          </w:tcPr>
          <w:p w14:paraId="499DF550" w14:textId="77777777" w:rsidR="009D2D39" w:rsidRPr="00511EB7" w:rsidRDefault="009D2D39" w:rsidP="00FA4ABD">
            <w:pPr>
              <w:ind w:left="0" w:right="0"/>
              <w:rPr>
                <w:sz w:val="18"/>
                <w:szCs w:val="18"/>
              </w:rPr>
            </w:pPr>
            <w:r w:rsidRPr="00511EB7">
              <w:rPr>
                <w:sz w:val="18"/>
                <w:szCs w:val="18"/>
              </w:rPr>
              <w:t>Other</w:t>
            </w:r>
          </w:p>
        </w:tc>
        <w:tc>
          <w:tcPr>
            <w:tcW w:w="1538" w:type="dxa"/>
          </w:tcPr>
          <w:p w14:paraId="4BD8CF6F" w14:textId="77777777" w:rsidR="009D2D39" w:rsidRPr="00511EB7" w:rsidRDefault="009D2D39" w:rsidP="00FA4ABD">
            <w:pPr>
              <w:ind w:left="0" w:right="0"/>
              <w:rPr>
                <w:sz w:val="18"/>
                <w:szCs w:val="18"/>
              </w:rPr>
            </w:pPr>
            <w:r w:rsidRPr="00511EB7">
              <w:rPr>
                <w:sz w:val="18"/>
                <w:szCs w:val="18"/>
              </w:rPr>
              <w:t>K272</w:t>
            </w:r>
          </w:p>
        </w:tc>
        <w:tc>
          <w:tcPr>
            <w:tcW w:w="3674" w:type="dxa"/>
          </w:tcPr>
          <w:p w14:paraId="579AB934" w14:textId="77777777" w:rsidR="009D2D39" w:rsidRPr="00511EB7" w:rsidRDefault="009D2D39" w:rsidP="00FA4ABD">
            <w:pPr>
              <w:ind w:left="0" w:right="0"/>
              <w:rPr>
                <w:sz w:val="18"/>
                <w:szCs w:val="18"/>
              </w:rPr>
            </w:pPr>
            <w:r w:rsidRPr="00511EB7">
              <w:rPr>
                <w:sz w:val="18"/>
                <w:szCs w:val="18"/>
              </w:rPr>
              <w:t xml:space="preserve">Pooled </w:t>
            </w:r>
            <w:r>
              <w:rPr>
                <w:sz w:val="18"/>
                <w:szCs w:val="18"/>
              </w:rPr>
              <w:t>Phase III</w:t>
            </w:r>
            <w:r w:rsidRPr="00511EB7">
              <w:rPr>
                <w:sz w:val="18"/>
                <w:szCs w:val="18"/>
              </w:rPr>
              <w:t xml:space="preserve"> VX12-809-103 and VX12-809-104 PKs and PK/PD Analyses</w:t>
            </w:r>
          </w:p>
        </w:tc>
      </w:tr>
    </w:tbl>
    <w:p w14:paraId="0CCB8434" w14:textId="77777777" w:rsidR="00E37EB9" w:rsidRPr="001E1E4D" w:rsidRDefault="00E37EB9" w:rsidP="0013396F">
      <w:pPr>
        <w:pStyle w:val="TableDescription"/>
      </w:pPr>
      <w:r w:rsidRPr="001E1E4D">
        <w:t>* Indicates the primary aim of the study. † Bioequivalence of different formulations. § Subjects who would be eligible to receive the drug if approved for the proposed indication.</w:t>
      </w:r>
      <w:r w:rsidR="00A94F3D">
        <w:t xml:space="preserve"> HDL = high drug load</w:t>
      </w:r>
    </w:p>
    <w:p w14:paraId="769B7297" w14:textId="77777777" w:rsidR="00E37EB9" w:rsidRPr="00E37EB9" w:rsidRDefault="00E37EB9" w:rsidP="00E37EB9">
      <w:r w:rsidRPr="001E1E4D">
        <w:t>None of the pharmacokinetic studies had deficiencies that excluded th</w:t>
      </w:r>
      <w:r>
        <w:t>eir results from consideration.</w:t>
      </w:r>
    </w:p>
    <w:p w14:paraId="4487F16F" w14:textId="77777777" w:rsidR="00605AD4" w:rsidRDefault="00605AD4" w:rsidP="0013396F">
      <w:pPr>
        <w:pStyle w:val="Heading4"/>
      </w:pPr>
      <w:r>
        <w:t>Evaluator’s conclusions on pharmacokinetics</w:t>
      </w:r>
    </w:p>
    <w:p w14:paraId="2E45FC6D" w14:textId="77777777" w:rsidR="0076207A" w:rsidRDefault="0076207A" w:rsidP="0076207A">
      <w:pPr>
        <w:pStyle w:val="Heading5"/>
      </w:pPr>
      <w:r>
        <w:t>Absorption</w:t>
      </w:r>
    </w:p>
    <w:p w14:paraId="4DF1B7EA" w14:textId="77777777" w:rsidR="0076207A" w:rsidRPr="0092761B" w:rsidRDefault="0076207A" w:rsidP="0092761B">
      <w:pPr>
        <w:pStyle w:val="ListBullet"/>
      </w:pPr>
      <w:r w:rsidRPr="0092761B">
        <w:t xml:space="preserve">Following a single oral dose of either 400 mg/250 mg or 600 mg/250 mg Orkambi to healthy fed males the median LUM </w:t>
      </w:r>
      <w:r w:rsidR="00026051" w:rsidRPr="004B7CB2">
        <w:t>T</w:t>
      </w:r>
      <w:r w:rsidR="00026051" w:rsidRPr="00026051">
        <w:rPr>
          <w:vertAlign w:val="subscript"/>
        </w:rPr>
        <w:t>max</w:t>
      </w:r>
      <w:r w:rsidRPr="0092761B">
        <w:t xml:space="preserve"> occurred at 4 h</w:t>
      </w:r>
      <w:r w:rsidR="00FA4ABD">
        <w:t>ours</w:t>
      </w:r>
      <w:r w:rsidRPr="0092761B">
        <w:t xml:space="preserve"> following drug administration, whereas, the median </w:t>
      </w:r>
      <w:r w:rsidR="00026051" w:rsidRPr="004B7CB2">
        <w:t>T</w:t>
      </w:r>
      <w:r w:rsidR="00026051" w:rsidRPr="00026051">
        <w:rPr>
          <w:vertAlign w:val="subscript"/>
        </w:rPr>
        <w:t>max</w:t>
      </w:r>
      <w:r w:rsidRPr="0092761B">
        <w:t xml:space="preserve"> of the IVA component occurred at 4.00</w:t>
      </w:r>
      <w:r w:rsidR="00FA4ABD">
        <w:t>ours</w:t>
      </w:r>
      <w:r w:rsidRPr="0092761B">
        <w:t>h and 3.00 h</w:t>
      </w:r>
      <w:r w:rsidR="00FA4ABD">
        <w:t>ours</w:t>
      </w:r>
      <w:r w:rsidRPr="0092761B">
        <w:t xml:space="preserve"> after dosing, respectively.</w:t>
      </w:r>
    </w:p>
    <w:p w14:paraId="4D296F70" w14:textId="77777777" w:rsidR="0076207A" w:rsidRPr="0092761B" w:rsidRDefault="0076207A" w:rsidP="0092761B">
      <w:pPr>
        <w:pStyle w:val="ListBullet"/>
      </w:pPr>
      <w:r w:rsidRPr="0092761B">
        <w:t xml:space="preserve">The absolute bioavailability of the </w:t>
      </w:r>
      <w:r w:rsidR="00303FCD">
        <w:t>fixed dose combination</w:t>
      </w:r>
      <w:r w:rsidR="00303FCD" w:rsidRPr="0092761B">
        <w:t xml:space="preserve"> </w:t>
      </w:r>
      <w:r w:rsidR="00303FCD">
        <w:t>(</w:t>
      </w:r>
      <w:r w:rsidRPr="0092761B">
        <w:t>FDC</w:t>
      </w:r>
      <w:r w:rsidR="00303FCD">
        <w:t>)</w:t>
      </w:r>
      <w:r w:rsidRPr="0092761B">
        <w:t xml:space="preserve"> Orkambi is unknown.</w:t>
      </w:r>
    </w:p>
    <w:p w14:paraId="49A4F6F3" w14:textId="77777777" w:rsidR="0076207A" w:rsidRPr="0092761B" w:rsidRDefault="0076207A" w:rsidP="0092761B">
      <w:pPr>
        <w:pStyle w:val="ListBullet"/>
      </w:pPr>
      <w:r w:rsidRPr="0092761B">
        <w:t xml:space="preserve">LUM </w:t>
      </w:r>
      <w:r w:rsidR="008B5A3E" w:rsidRPr="004B7CB2">
        <w:t>C</w:t>
      </w:r>
      <w:r w:rsidR="008B5A3E" w:rsidRPr="008B5A3E">
        <w:rPr>
          <w:vertAlign w:val="subscript"/>
        </w:rPr>
        <w:t>max</w:t>
      </w:r>
      <w:r w:rsidRPr="0092761B">
        <w:t xml:space="preserve"> and </w:t>
      </w:r>
      <w:r w:rsidR="00FF35A0">
        <w:t>AUC from the time of dosing extrapolated to infinity</w:t>
      </w:r>
      <w:r w:rsidR="00FF35A0" w:rsidRPr="0092761B">
        <w:t xml:space="preserve"> </w:t>
      </w:r>
      <w:r w:rsidR="00FF35A0">
        <w:t>(</w:t>
      </w:r>
      <w:r w:rsidR="003C0CF8" w:rsidRPr="0092761B">
        <w:t>AUC</w:t>
      </w:r>
      <w:r w:rsidR="003C0CF8" w:rsidRPr="00FA4ABD">
        <w:rPr>
          <w:vertAlign w:val="subscript"/>
        </w:rPr>
        <w:t>0-inf</w:t>
      </w:r>
      <w:r w:rsidR="00FF35A0">
        <w:t xml:space="preserve">) </w:t>
      </w:r>
      <w:r w:rsidRPr="0092761B">
        <w:t xml:space="preserve">values were approximately 1.4 higher following oral administration of a capsule formulation compared to a suspension. The median </w:t>
      </w:r>
      <w:r w:rsidR="00026051" w:rsidRPr="004B7CB2">
        <w:t>T</w:t>
      </w:r>
      <w:r w:rsidR="00026051" w:rsidRPr="00026051">
        <w:rPr>
          <w:vertAlign w:val="subscript"/>
        </w:rPr>
        <w:t>max</w:t>
      </w:r>
      <w:r w:rsidRPr="0092761B">
        <w:t xml:space="preserve"> values for the suspension and capsule formulations of 3 h</w:t>
      </w:r>
      <w:r w:rsidR="00FA4ABD">
        <w:t xml:space="preserve">ours </w:t>
      </w:r>
      <w:r w:rsidRPr="0092761B">
        <w:t>and 4 h</w:t>
      </w:r>
      <w:r w:rsidR="00FA4ABD">
        <w:t>ours</w:t>
      </w:r>
      <w:r w:rsidRPr="0092761B">
        <w:t xml:space="preserve"> respectively.</w:t>
      </w:r>
    </w:p>
    <w:p w14:paraId="58A2AB42" w14:textId="77777777" w:rsidR="0076207A" w:rsidRPr="0092761B" w:rsidRDefault="0076207A" w:rsidP="0092761B">
      <w:pPr>
        <w:pStyle w:val="ListBullet"/>
      </w:pPr>
      <w:r w:rsidRPr="0092761B">
        <w:lastRenderedPageBreak/>
        <w:t xml:space="preserve">Following a 400 mg LUM/250 mg IVA dose, the fixed and free combinations of LUM/IVA were bioequivalent in regards to LUM </w:t>
      </w:r>
      <w:r w:rsidR="003C0CF8" w:rsidRPr="0092761B">
        <w:t>AUC</w:t>
      </w:r>
      <w:r w:rsidR="003C0CF8">
        <w:rPr>
          <w:vertAlign w:val="subscript"/>
        </w:rPr>
        <w:t>0-inf</w:t>
      </w:r>
      <w:r w:rsidRPr="0092761B">
        <w:t xml:space="preserve"> and </w:t>
      </w:r>
      <w:r w:rsidR="008B5A3E" w:rsidRPr="004B7CB2">
        <w:t>C</w:t>
      </w:r>
      <w:r w:rsidR="008B5A3E" w:rsidRPr="008B5A3E">
        <w:rPr>
          <w:vertAlign w:val="subscript"/>
        </w:rPr>
        <w:t>max</w:t>
      </w:r>
      <w:r w:rsidRPr="0092761B">
        <w:t xml:space="preserve">. The median </w:t>
      </w:r>
      <w:r w:rsidR="00026051" w:rsidRPr="004B7CB2">
        <w:t>T</w:t>
      </w:r>
      <w:r w:rsidR="00026051" w:rsidRPr="00026051">
        <w:rPr>
          <w:vertAlign w:val="subscript"/>
        </w:rPr>
        <w:t>max</w:t>
      </w:r>
      <w:r w:rsidRPr="0092761B">
        <w:t xml:space="preserve"> and mean </w:t>
      </w:r>
      <w:r w:rsidR="0052340A">
        <w:t>terminal phase half-life</w:t>
      </w:r>
      <w:r w:rsidR="0052340A" w:rsidRPr="0092761B">
        <w:t xml:space="preserve"> </w:t>
      </w:r>
      <w:r w:rsidR="0052340A">
        <w:t>(t</w:t>
      </w:r>
      <w:r w:rsidRPr="0092761B">
        <w:t>½</w:t>
      </w:r>
      <w:r w:rsidR="0052340A">
        <w:t>)</w:t>
      </w:r>
      <w:r w:rsidRPr="0092761B">
        <w:t xml:space="preserve"> of LUM were also similar with </w:t>
      </w:r>
      <w:r w:rsidR="00026051" w:rsidRPr="004B7CB2">
        <w:t>T</w:t>
      </w:r>
      <w:r w:rsidR="00026051" w:rsidRPr="00026051">
        <w:rPr>
          <w:vertAlign w:val="subscript"/>
        </w:rPr>
        <w:t>max</w:t>
      </w:r>
      <w:r w:rsidRPr="0092761B">
        <w:t xml:space="preserve"> values o</w:t>
      </w:r>
      <w:r w:rsidR="003C0CF8">
        <w:t xml:space="preserve">f 4.00 </w:t>
      </w:r>
      <w:r w:rsidR="00A94F3D">
        <w:t>hours (</w:t>
      </w:r>
      <w:r w:rsidR="003C0CF8">
        <w:t>h</w:t>
      </w:r>
      <w:r w:rsidR="00A94F3D">
        <w:t>)</w:t>
      </w:r>
      <w:r w:rsidR="003C0CF8">
        <w:t xml:space="preserve"> and t½ values of 26.61 </w:t>
      </w:r>
      <w:r w:rsidRPr="0092761B">
        <w:t xml:space="preserve">h for the fixed and 26.95 h for the free combinations. For the IVA component, although the </w:t>
      </w:r>
      <w:r w:rsidR="003C0CF8" w:rsidRPr="0092761B">
        <w:t>AUC</w:t>
      </w:r>
      <w:r w:rsidR="003C0CF8">
        <w:rPr>
          <w:vertAlign w:val="subscript"/>
        </w:rPr>
        <w:t>0-inf</w:t>
      </w:r>
      <w:r w:rsidRPr="0092761B">
        <w:t xml:space="preserve"> was similar for both formulations, IVA </w:t>
      </w:r>
      <w:r w:rsidR="008B5A3E" w:rsidRPr="004B7CB2">
        <w:t>C</w:t>
      </w:r>
      <w:r w:rsidR="008B5A3E" w:rsidRPr="008B5A3E">
        <w:rPr>
          <w:vertAlign w:val="subscript"/>
        </w:rPr>
        <w:t>max</w:t>
      </w:r>
      <w:r w:rsidRPr="0092761B">
        <w:t xml:space="preserve"> for the fixed combination was 1.2 fold higher (90% </w:t>
      </w:r>
      <w:r w:rsidR="00303FCD">
        <w:t>confidence interval</w:t>
      </w:r>
      <w:r w:rsidR="00303FCD" w:rsidRPr="0092761B">
        <w:t xml:space="preserve"> </w:t>
      </w:r>
      <w:r w:rsidR="00303FCD">
        <w:t>(</w:t>
      </w:r>
      <w:r w:rsidRPr="0092761B">
        <w:t>CI</w:t>
      </w:r>
      <w:r w:rsidR="00303FCD">
        <w:t>)</w:t>
      </w:r>
      <w:r w:rsidRPr="0092761B">
        <w:t>: 1.09, 1.33) than for the free combination.</w:t>
      </w:r>
    </w:p>
    <w:p w14:paraId="7390DACA" w14:textId="77777777" w:rsidR="0076207A" w:rsidRPr="0092761B" w:rsidRDefault="0076207A" w:rsidP="0092761B">
      <w:pPr>
        <w:pStyle w:val="ListBullet"/>
      </w:pPr>
      <w:r w:rsidRPr="0092761B">
        <w:t>Following administration of the FDC tablets at doses of 400 mg LUM/250 mg IVA and 600 mg LUM/250 mg IVA under fed conditions, the increase in LUM exposure was approximately proportional to dose, whereas, IVA exposure was comparable.</w:t>
      </w:r>
    </w:p>
    <w:p w14:paraId="17267318" w14:textId="77777777" w:rsidR="0076207A" w:rsidRPr="0092761B" w:rsidRDefault="0076207A" w:rsidP="0092761B">
      <w:pPr>
        <w:pStyle w:val="ListBullet"/>
      </w:pPr>
      <w:r w:rsidRPr="0092761B">
        <w:t xml:space="preserve">Following administration of a single oral dose of 600 mg LUM/250 mg IVA under fed conditions, the </w:t>
      </w:r>
      <w:r w:rsidR="00A94F3D">
        <w:t>geometric least squares mean</w:t>
      </w:r>
      <w:r w:rsidR="00A94F3D" w:rsidRPr="0092761B">
        <w:t xml:space="preserve"> </w:t>
      </w:r>
      <w:r w:rsidR="00A94F3D">
        <w:t>(</w:t>
      </w:r>
      <w:r w:rsidRPr="0092761B">
        <w:t>GLSM</w:t>
      </w:r>
      <w:r w:rsidR="00A94F3D">
        <w:t>)</w:t>
      </w:r>
      <w:r w:rsidRPr="0092761B">
        <w:t xml:space="preserve"> (90% CI) values for LUM </w:t>
      </w:r>
      <w:r w:rsidR="008B5A3E" w:rsidRPr="004B7CB2">
        <w:t>C</w:t>
      </w:r>
      <w:r w:rsidR="008B5A3E" w:rsidRPr="008B5A3E">
        <w:rPr>
          <w:vertAlign w:val="subscript"/>
        </w:rPr>
        <w:t>max</w:t>
      </w:r>
      <w:r w:rsidRPr="0092761B">
        <w:t xml:space="preserve"> and </w:t>
      </w:r>
      <w:r w:rsidR="003C0CF8" w:rsidRPr="0092761B">
        <w:t>AUC</w:t>
      </w:r>
      <w:r w:rsidR="003C0CF8" w:rsidRPr="00FA4ABD">
        <w:rPr>
          <w:vertAlign w:val="subscript"/>
        </w:rPr>
        <w:t xml:space="preserve">0-inf </w:t>
      </w:r>
      <w:r w:rsidRPr="0092761B">
        <w:t xml:space="preserve"> were approximately 2.8 fold higher (2.45, 3.26) and 2.0 fold higher (1.70, 2.24), respectively, than in the fasted state. The IVA </w:t>
      </w:r>
      <w:r w:rsidR="008B5A3E" w:rsidRPr="004B7CB2">
        <w:t>C</w:t>
      </w:r>
      <w:r w:rsidR="008B5A3E" w:rsidRPr="008B5A3E">
        <w:rPr>
          <w:vertAlign w:val="subscript"/>
        </w:rPr>
        <w:t>max</w:t>
      </w:r>
      <w:r w:rsidRPr="0092761B">
        <w:t xml:space="preserve"> and </w:t>
      </w:r>
      <w:r w:rsidR="003C0CF8" w:rsidRPr="0092761B">
        <w:t>AUC</w:t>
      </w:r>
      <w:r w:rsidR="003C0CF8">
        <w:rPr>
          <w:vertAlign w:val="subscript"/>
        </w:rPr>
        <w:t>0-inf</w:t>
      </w:r>
      <w:r w:rsidRPr="0092761B">
        <w:t xml:space="preserve"> were approximately 5.2 fold higher (4.15, 6.48) and 3.4 fold higher (3.01, 3.83), respectively, in the fed compared to the fasted state. The median </w:t>
      </w:r>
      <w:r w:rsidR="00026051" w:rsidRPr="004B7CB2">
        <w:t>T</w:t>
      </w:r>
      <w:r w:rsidR="00026051" w:rsidRPr="00026051">
        <w:rPr>
          <w:vertAlign w:val="subscript"/>
        </w:rPr>
        <w:t>max</w:t>
      </w:r>
      <w:r w:rsidRPr="0092761B">
        <w:t xml:space="preserve"> and mean t½ of LUM ranged from 3.00 h to 4.00 h and 22.7 h to 25.3 h, respectively, whereas for the IVA they ranged from 3.00 h to 3.02 h and 13.44 h to 8.18 h, respectively.</w:t>
      </w:r>
    </w:p>
    <w:p w14:paraId="391A0F00" w14:textId="77777777" w:rsidR="0076207A" w:rsidRPr="0092761B" w:rsidRDefault="0076207A" w:rsidP="0092761B">
      <w:pPr>
        <w:pStyle w:val="ListBullet"/>
      </w:pPr>
      <w:r w:rsidRPr="0092761B">
        <w:t>When 400 mg LUM/250 mg IVA was administered with food, LUM and IVA exposure was 1.6</w:t>
      </w:r>
      <w:r w:rsidR="00026051">
        <w:t xml:space="preserve"> </w:t>
      </w:r>
      <w:r w:rsidRPr="0092761B">
        <w:t>to 3.7 fold higher than in the fasted state; therefore, the FDC should be administered with food.</w:t>
      </w:r>
    </w:p>
    <w:p w14:paraId="37BE3E14" w14:textId="77777777" w:rsidR="0076207A" w:rsidRPr="0092761B" w:rsidRDefault="0076207A" w:rsidP="0092761B">
      <w:pPr>
        <w:pStyle w:val="ListBullet"/>
      </w:pPr>
      <w:r w:rsidRPr="0092761B">
        <w:t xml:space="preserve">In the target population, compared to the 600 mg LUM </w:t>
      </w:r>
      <w:r w:rsidR="009B151C">
        <w:t>once daily</w:t>
      </w:r>
      <w:r w:rsidR="009B151C" w:rsidRPr="0092761B">
        <w:t xml:space="preserve"> </w:t>
      </w:r>
      <w:r w:rsidR="009B151C">
        <w:t>(QD)</w:t>
      </w:r>
      <w:r w:rsidRPr="0092761B">
        <w:t xml:space="preserve">/250 mg IVA </w:t>
      </w:r>
      <w:r w:rsidR="009B151C">
        <w:t>every 12 hours</w:t>
      </w:r>
      <w:r w:rsidR="009B151C" w:rsidRPr="0092761B">
        <w:t xml:space="preserve"> </w:t>
      </w:r>
      <w:r w:rsidR="009B151C">
        <w:t>(</w:t>
      </w:r>
      <w:r w:rsidRPr="0092761B">
        <w:t>q12h</w:t>
      </w:r>
      <w:r w:rsidR="009B151C">
        <w:t>)</w:t>
      </w:r>
      <w:r w:rsidRPr="0092761B">
        <w:t xml:space="preserve"> dose, the LUM AUC and </w:t>
      </w:r>
      <w:r w:rsidR="00303FCD">
        <w:t>minimum concentration i</w:t>
      </w:r>
      <w:r w:rsidR="00FF35A0">
        <w:t xml:space="preserve">n the dosing interval at steady </w:t>
      </w:r>
      <w:r w:rsidR="00303FCD">
        <w:t>state</w:t>
      </w:r>
      <w:r w:rsidR="00303FCD" w:rsidRPr="0092761B">
        <w:t xml:space="preserve"> </w:t>
      </w:r>
      <w:r w:rsidR="00303FCD">
        <w:t>(</w:t>
      </w:r>
      <w:r w:rsidR="003C0CF8" w:rsidRPr="0092761B">
        <w:t>C</w:t>
      </w:r>
      <w:r w:rsidR="003C0CF8" w:rsidRPr="003C0CF8">
        <w:rPr>
          <w:vertAlign w:val="subscript"/>
        </w:rPr>
        <w:t>min</w:t>
      </w:r>
      <w:r w:rsidR="00303FCD">
        <w:t>)</w:t>
      </w:r>
      <w:r w:rsidRPr="0092761B">
        <w:t xml:space="preserve"> values were 1.28 fold and 1.83 fold higher, respectively, following a dose of 400 mg LUM q12h/250 mg IVA q12h, whereas, the IVA AUC and </w:t>
      </w:r>
      <w:r w:rsidR="003C0CF8" w:rsidRPr="0092761B">
        <w:t>C</w:t>
      </w:r>
      <w:r w:rsidR="003C0CF8" w:rsidRPr="003C0CF8">
        <w:rPr>
          <w:vertAlign w:val="subscript"/>
        </w:rPr>
        <w:t>min</w:t>
      </w:r>
      <w:r w:rsidRPr="0092761B">
        <w:t xml:space="preserve"> values were 33% and 24% lower following twice daily dosing with 400 mg LUM.</w:t>
      </w:r>
    </w:p>
    <w:p w14:paraId="18605F42" w14:textId="77777777" w:rsidR="0076207A" w:rsidRPr="0092761B" w:rsidRDefault="0076207A" w:rsidP="0092761B">
      <w:pPr>
        <w:pStyle w:val="ListBullet"/>
      </w:pPr>
      <w:r w:rsidRPr="0092761B">
        <w:t>No discernible differences in plasma exposures to IVA were observed following morning and evening dosing.</w:t>
      </w:r>
    </w:p>
    <w:p w14:paraId="44332039" w14:textId="77777777" w:rsidR="0076207A" w:rsidRDefault="0076207A" w:rsidP="0076207A">
      <w:pPr>
        <w:pStyle w:val="Heading5"/>
      </w:pPr>
      <w:r>
        <w:t>Distribution</w:t>
      </w:r>
    </w:p>
    <w:p w14:paraId="7867FBDA" w14:textId="77777777" w:rsidR="0076207A" w:rsidRPr="0092761B" w:rsidRDefault="0076207A" w:rsidP="0092761B">
      <w:pPr>
        <w:pStyle w:val="ListBullet"/>
      </w:pPr>
      <w:r w:rsidRPr="0092761B">
        <w:t xml:space="preserve">The mean </w:t>
      </w:r>
      <w:r w:rsidR="0052340A">
        <w:t>apparent volume of distribution</w:t>
      </w:r>
      <w:r w:rsidR="0052340A" w:rsidRPr="0092761B">
        <w:t xml:space="preserve"> </w:t>
      </w:r>
      <w:r w:rsidR="0052340A">
        <w:t>(</w:t>
      </w:r>
      <w:r w:rsidRPr="0092761B">
        <w:t>Vd</w:t>
      </w:r>
      <w:r w:rsidR="0052340A">
        <w:t>)</w:t>
      </w:r>
      <w:r w:rsidRPr="0092761B">
        <w:t xml:space="preserve"> (</w:t>
      </w:r>
      <w:r w:rsidR="0052340A">
        <w:t>standard deviation</w:t>
      </w:r>
      <w:r w:rsidR="0052340A" w:rsidRPr="0092761B">
        <w:t xml:space="preserve"> </w:t>
      </w:r>
      <w:r w:rsidR="0052340A">
        <w:t>(</w:t>
      </w:r>
      <w:r w:rsidRPr="0092761B">
        <w:t>SD</w:t>
      </w:r>
      <w:r w:rsidR="0052340A">
        <w:t>)</w:t>
      </w:r>
      <w:r w:rsidRPr="0092761B">
        <w:t>) values for LUM and IVA in healthy subjects were 50.1 (17.4) L and 1,000 (550) L, respectively.</w:t>
      </w:r>
    </w:p>
    <w:p w14:paraId="4835CF88" w14:textId="77777777" w:rsidR="0076207A" w:rsidRPr="0092761B" w:rsidRDefault="0076207A" w:rsidP="0092761B">
      <w:pPr>
        <w:pStyle w:val="ListBullet"/>
      </w:pPr>
      <w:r w:rsidRPr="0092761B">
        <w:t xml:space="preserve">In vitro studies indicated that the plasma protein binding of LUM was greater than 98% and the mean protein binding values of </w:t>
      </w:r>
      <w:r w:rsidRPr="003C0CF8">
        <w:rPr>
          <w:vertAlign w:val="superscript"/>
        </w:rPr>
        <w:t>14</w:t>
      </w:r>
      <w:r w:rsidRPr="0092761B">
        <w:t>C-LUM ranged from 99.97% to 100.00% in human plasma. LUM was highly bound to human serum albumin (HSA), with &gt; 98% binding, whereas, binding to alpha-1-acid glycoprotein and human gamma-globulin played a minor role. IVA was also highly bound (&gt; 98%) to proteins in human plasma at all concentrations tested.</w:t>
      </w:r>
    </w:p>
    <w:p w14:paraId="53677FA1" w14:textId="77777777" w:rsidR="0076207A" w:rsidRPr="0092761B" w:rsidRDefault="0076207A" w:rsidP="0092761B">
      <w:pPr>
        <w:pStyle w:val="ListBullet"/>
      </w:pPr>
      <w:r w:rsidRPr="0092761B">
        <w:t>A mass balance study indicates that LUM does not partition into human red blood cells.</w:t>
      </w:r>
    </w:p>
    <w:p w14:paraId="44981A8E" w14:textId="77777777" w:rsidR="0076207A" w:rsidRPr="0092761B" w:rsidRDefault="0076207A" w:rsidP="0092761B">
      <w:pPr>
        <w:pStyle w:val="ListBullet"/>
      </w:pPr>
      <w:r w:rsidRPr="0092761B">
        <w:t>Based on the Vd values, LUM is primarily distributed within the circulatory system, whereas, IVA (Vd = 1000 L) demonstrates high tissue penetration.</w:t>
      </w:r>
    </w:p>
    <w:p w14:paraId="1A3F95FA" w14:textId="77777777" w:rsidR="0076207A" w:rsidRDefault="0076207A" w:rsidP="0076207A">
      <w:pPr>
        <w:pStyle w:val="Heading5"/>
      </w:pPr>
      <w:r>
        <w:t>Metabolism</w:t>
      </w:r>
    </w:p>
    <w:p w14:paraId="146949E0" w14:textId="77777777" w:rsidR="0076207A" w:rsidRPr="0092761B" w:rsidRDefault="0076207A" w:rsidP="0092761B">
      <w:pPr>
        <w:pStyle w:val="ListBullet"/>
      </w:pPr>
      <w:r w:rsidRPr="0092761B">
        <w:t xml:space="preserve">LUM is poorly metabolised in man, as the majority of 200 mg </w:t>
      </w:r>
      <w:r w:rsidRPr="003C0CF8">
        <w:rPr>
          <w:vertAlign w:val="superscript"/>
        </w:rPr>
        <w:t>14</w:t>
      </w:r>
      <w:r w:rsidRPr="0092761B">
        <w:t xml:space="preserve">C-LUM dose administered was excreted unchanged from body in the faeces. It is believed that </w:t>
      </w:r>
      <w:r w:rsidRPr="003C0CF8">
        <w:rPr>
          <w:vertAlign w:val="superscript"/>
        </w:rPr>
        <w:t>14</w:t>
      </w:r>
      <w:r w:rsidR="003C0CF8">
        <w:t>C</w:t>
      </w:r>
      <w:r w:rsidR="003C0CF8">
        <w:noBreakHyphen/>
      </w:r>
      <w:r w:rsidRPr="0092761B">
        <w:t>LUM is mainly metabolised via oxidation and glucuronidation. In contrast to LUM, IVA is extensively metabolised in humans, primarily via CYP3A.</w:t>
      </w:r>
    </w:p>
    <w:p w14:paraId="2643D6BE" w14:textId="77777777" w:rsidR="0076207A" w:rsidRPr="0092761B" w:rsidRDefault="0076207A" w:rsidP="0092761B">
      <w:pPr>
        <w:pStyle w:val="ListBullet"/>
      </w:pPr>
      <w:r w:rsidRPr="0092761B">
        <w:t xml:space="preserve">LUM is primarily excreted via the faecal route with a </w:t>
      </w:r>
      <w:r w:rsidR="00303FCD">
        <w:t>clearance</w:t>
      </w:r>
      <w:r w:rsidR="00303FCD" w:rsidRPr="0092761B">
        <w:t xml:space="preserve"> </w:t>
      </w:r>
      <w:r w:rsidR="00303FCD">
        <w:t>(</w:t>
      </w:r>
      <w:r w:rsidRPr="0092761B">
        <w:t>CL/F</w:t>
      </w:r>
      <w:r w:rsidR="00303FCD">
        <w:t>)</w:t>
      </w:r>
      <w:r w:rsidRPr="0092761B">
        <w:t xml:space="preserve"> (SD) in healthy males of 1.09 (0.29) L/h.</w:t>
      </w:r>
    </w:p>
    <w:p w14:paraId="1391EBA0" w14:textId="77777777" w:rsidR="0076207A" w:rsidRPr="0092761B" w:rsidRDefault="0076207A" w:rsidP="0092761B">
      <w:pPr>
        <w:pStyle w:val="ListBullet"/>
      </w:pPr>
      <w:r w:rsidRPr="0092761B">
        <w:lastRenderedPageBreak/>
        <w:t xml:space="preserve">A major metabolite of LUM in plasma was identified as </w:t>
      </w:r>
      <w:r w:rsidR="0026099D" w:rsidRPr="0026099D">
        <w:t>M2</w:t>
      </w:r>
      <w:r w:rsidRPr="0026099D">
        <w:t>8</w:t>
      </w:r>
      <w:r w:rsidRPr="0092761B">
        <w:t xml:space="preserve"> and it represented a 13% of the circulating total radioactivity and the LUM/</w:t>
      </w:r>
      <w:r w:rsidR="0026099D" w:rsidRPr="0026099D">
        <w:t>M2</w:t>
      </w:r>
      <w:r w:rsidRPr="0026099D">
        <w:t>8</w:t>
      </w:r>
      <w:r w:rsidRPr="0092761B">
        <w:t xml:space="preserve"> AUC ratio was approximately 25%. Additional metabolites identified in plasma included O-VX-809-glucuronide-1 (M14), O-VX-809-glucuronide-2 (M16), VX-809-glucuronide-2 (</w:t>
      </w:r>
      <w:r w:rsidR="0026099D">
        <w:t>M2</w:t>
      </w:r>
      <w:r w:rsidRPr="0092761B">
        <w:t>1), and O-VX-809-1 (</w:t>
      </w:r>
      <w:r w:rsidR="0026099D">
        <w:t>M2</w:t>
      </w:r>
      <w:r w:rsidRPr="0092761B">
        <w:t>2); however, no other parent/metabolite ratios exceeded 5.4% and they were therefore considered minor metabolites.</w:t>
      </w:r>
    </w:p>
    <w:p w14:paraId="6009203B" w14:textId="77777777" w:rsidR="0076207A" w:rsidRPr="0092761B" w:rsidRDefault="0076207A" w:rsidP="0092761B">
      <w:pPr>
        <w:pStyle w:val="ListBullet"/>
      </w:pPr>
      <w:r w:rsidRPr="0092761B">
        <w:t xml:space="preserve">Following a single dose of the free combination the </w:t>
      </w:r>
      <w:r w:rsidR="008B5A3E" w:rsidRPr="004B7CB2">
        <w:t>C</w:t>
      </w:r>
      <w:r w:rsidR="008B5A3E" w:rsidRPr="008B5A3E">
        <w:rPr>
          <w:vertAlign w:val="subscript"/>
        </w:rPr>
        <w:t>max</w:t>
      </w:r>
      <w:r w:rsidRPr="0092761B">
        <w:t xml:space="preserve"> and AUC</w:t>
      </w:r>
      <w:r w:rsidRPr="003C0CF8">
        <w:rPr>
          <w:vertAlign w:val="subscript"/>
        </w:rPr>
        <w:t>0-24</w:t>
      </w:r>
      <w:r w:rsidR="003C0CF8" w:rsidRPr="003C0CF8">
        <w:rPr>
          <w:vertAlign w:val="subscript"/>
        </w:rPr>
        <w:t>h</w:t>
      </w:r>
      <w:r w:rsidRPr="0092761B">
        <w:t xml:space="preserve"> values for: </w:t>
      </w:r>
      <w:r w:rsidR="0026099D">
        <w:t>M2</w:t>
      </w:r>
      <w:r w:rsidRPr="0092761B">
        <w:t>8 were 0.232 µg/mL and 3.76 µg.h/mL, respective</w:t>
      </w:r>
      <w:r w:rsidR="003C0CF8">
        <w:t>ly; M1 were 5.34 µg/mL and 87.6 </w:t>
      </w:r>
      <w:r w:rsidRPr="0092761B">
        <w:t>µg.h/mL, respectively; and for M6 w</w:t>
      </w:r>
      <w:r w:rsidR="003C0CF8">
        <w:t>ere 1.06 µg/mL and 22.0 µg.h/mL</w:t>
      </w:r>
      <w:r w:rsidRPr="0092761B">
        <w:t xml:space="preserve"> respectively. The parent/metabolite AUC ratios (SD) for </w:t>
      </w:r>
      <w:r w:rsidR="0026099D">
        <w:t>M2</w:t>
      </w:r>
      <w:r w:rsidRPr="0092761B">
        <w:t>8, M1 and M6 were 0.041 (0.011), 5.14 (1.09) and 1.42(0.55</w:t>
      </w:r>
      <w:r w:rsidR="003C0CF8">
        <w:t>)</w:t>
      </w:r>
      <w:r w:rsidRPr="0092761B">
        <w:t xml:space="preserve"> respectively. Following 14 days of dosing accumulation ratios (SD) for </w:t>
      </w:r>
      <w:r w:rsidR="0026099D">
        <w:t>M2</w:t>
      </w:r>
      <w:r w:rsidRPr="0092761B">
        <w:t xml:space="preserve">8, M1 and M6 were 7.30 (1.63), 0.89 (0.27) and 3.36 (1.24), respectively. The parent/metabolite AUC ratios (SD) for </w:t>
      </w:r>
      <w:r w:rsidR="0026099D">
        <w:t>M2</w:t>
      </w:r>
      <w:r w:rsidRPr="0092761B">
        <w:t>8, M1 and M6 following multiple doses were 0.154 (0.038), 8.43</w:t>
      </w:r>
      <w:r w:rsidR="003C0CF8">
        <w:t xml:space="preserve"> (1.85) and 9.43 (5.05)</w:t>
      </w:r>
      <w:r w:rsidRPr="0092761B">
        <w:t xml:space="preserve"> respectively.</w:t>
      </w:r>
    </w:p>
    <w:p w14:paraId="59265FBC" w14:textId="77777777" w:rsidR="0076207A" w:rsidRDefault="0076207A" w:rsidP="0076207A">
      <w:pPr>
        <w:pStyle w:val="Heading5"/>
      </w:pPr>
      <w:r>
        <w:t>Excretion</w:t>
      </w:r>
    </w:p>
    <w:p w14:paraId="30338325" w14:textId="77777777" w:rsidR="0076207A" w:rsidRPr="0092761B" w:rsidRDefault="0076207A" w:rsidP="0092761B">
      <w:pPr>
        <w:pStyle w:val="ListBullet"/>
      </w:pPr>
      <w:r w:rsidRPr="0092761B">
        <w:t xml:space="preserve">Individual faecal recoveries of administered radioactivity ranged from 81% to 93% of the administered dose (mean of 90%) and individual urinary recoveries ranged from 6.9% to 13% (mean of 8.6%) through the last collection interval following a single dose of 200 mg </w:t>
      </w:r>
      <w:r w:rsidRPr="003C0CF8">
        <w:rPr>
          <w:vertAlign w:val="superscript"/>
        </w:rPr>
        <w:t>14</w:t>
      </w:r>
      <w:r w:rsidRPr="0092761B">
        <w:t>C-LUM to healthy males.</w:t>
      </w:r>
    </w:p>
    <w:p w14:paraId="433ADFBC" w14:textId="77777777" w:rsidR="0076207A" w:rsidRPr="0092761B" w:rsidRDefault="0076207A" w:rsidP="0092761B">
      <w:pPr>
        <w:pStyle w:val="ListBullet"/>
      </w:pPr>
      <w:r w:rsidRPr="0092761B">
        <w:t>Unchanged LUM accounted for 42% of the radioactive dose excreted in faeces, while amonohydroxylated metabolite (</w:t>
      </w:r>
      <w:r w:rsidR="0026099D">
        <w:t>M2</w:t>
      </w:r>
      <w:r w:rsidRPr="0092761B">
        <w:t>2) accounted for a further 14%, through 216 h post-dose.</w:t>
      </w:r>
    </w:p>
    <w:p w14:paraId="44A5F91A" w14:textId="702089EB" w:rsidR="0076207A" w:rsidRPr="0092761B" w:rsidRDefault="0076207A" w:rsidP="0092761B">
      <w:pPr>
        <w:pStyle w:val="ListBullet"/>
      </w:pPr>
      <w:r w:rsidRPr="0092761B">
        <w:t xml:space="preserve">Only small amounts of unchanged LUM, </w:t>
      </w:r>
      <w:r w:rsidR="00170C1A">
        <w:t xml:space="preserve">with a </w:t>
      </w:r>
      <w:r w:rsidRPr="0092761B">
        <w:t>mean of 0.12% (range 0.08%</w:t>
      </w:r>
      <w:r w:rsidR="00026051">
        <w:t xml:space="preserve"> to </w:t>
      </w:r>
      <w:r w:rsidRPr="0092761B">
        <w:t xml:space="preserve">0.15%) of the dose, were excreted in urine, whereas, the majority of the radioactivity excreted in urine was associated with </w:t>
      </w:r>
      <w:r w:rsidR="0026099D">
        <w:t>M2</w:t>
      </w:r>
      <w:r w:rsidRPr="0092761B">
        <w:t>0 with a mean of 3.2% of the radioactive dose through a 120 h period.</w:t>
      </w:r>
    </w:p>
    <w:p w14:paraId="2E523110" w14:textId="77777777" w:rsidR="0076207A" w:rsidRPr="0092761B" w:rsidRDefault="0076207A" w:rsidP="0092761B">
      <w:pPr>
        <w:pStyle w:val="ListBullet"/>
      </w:pPr>
      <w:r w:rsidRPr="0092761B">
        <w:t xml:space="preserve">Following a single dose of 200 mg </w:t>
      </w:r>
      <w:r w:rsidRPr="003C0CF8">
        <w:rPr>
          <w:vertAlign w:val="superscript"/>
        </w:rPr>
        <w:t>14</w:t>
      </w:r>
      <w:r w:rsidRPr="0092761B">
        <w:t>C-LUM to healthy males, most of the administered radioactivity was recovered in the first 216 h post-dose (range of 89% to 100%; mean of 96%). The overall mean recovery of radioactivity in urine and faeces samples ranged from 94% to 100% (mean of 98%) over the 480 h study period.</w:t>
      </w:r>
    </w:p>
    <w:p w14:paraId="22310BC1" w14:textId="77777777" w:rsidR="0076207A" w:rsidRPr="0092761B" w:rsidRDefault="0076207A" w:rsidP="0092761B">
      <w:pPr>
        <w:pStyle w:val="ListBullet"/>
      </w:pPr>
      <w:r w:rsidRPr="0092761B">
        <w:t>Renal clearance is not likely to be an important elimination pathway for LUM in humans.</w:t>
      </w:r>
    </w:p>
    <w:p w14:paraId="4E9CB5E4" w14:textId="77777777" w:rsidR="0076207A" w:rsidRDefault="0076207A" w:rsidP="0076207A">
      <w:pPr>
        <w:pStyle w:val="Heading5"/>
      </w:pPr>
      <w:r w:rsidRPr="00D1092B">
        <w:t>Intra- a</w:t>
      </w:r>
      <w:r>
        <w:t>nd inter-individual variability</w:t>
      </w:r>
    </w:p>
    <w:p w14:paraId="6CFAD04E" w14:textId="77777777" w:rsidR="0076207A" w:rsidRPr="00D1092B" w:rsidRDefault="0076207A" w:rsidP="0076207A">
      <w:r w:rsidRPr="00D1092B">
        <w:t>The PopPK analyses provided inter-individual variability estimates on: CL/F of 0.0829 for LUM</w:t>
      </w:r>
      <w:r w:rsidR="003C0CF8">
        <w:t xml:space="preserve"> </w:t>
      </w:r>
      <w:r w:rsidRPr="00D1092B">
        <w:t xml:space="preserve">and 0.152 for IVA; </w:t>
      </w:r>
      <w:r w:rsidR="0052340A">
        <w:t>central volume of distribution</w:t>
      </w:r>
      <w:r w:rsidR="0052340A" w:rsidRPr="00D1092B">
        <w:t xml:space="preserve"> </w:t>
      </w:r>
      <w:r w:rsidR="0052340A">
        <w:t>(</w:t>
      </w:r>
      <w:r w:rsidRPr="00D1092B">
        <w:t>Vc/F</w:t>
      </w:r>
      <w:r w:rsidR="0052340A">
        <w:t>)</w:t>
      </w:r>
      <w:r w:rsidRPr="00D1092B">
        <w:t xml:space="preserve"> of 0.213 for LUM and 0.255 for IVA; and </w:t>
      </w:r>
      <w:r w:rsidR="0052340A">
        <w:t>peripheral volume of distribution</w:t>
      </w:r>
      <w:r w:rsidR="0052340A" w:rsidRPr="00D1092B">
        <w:t xml:space="preserve"> </w:t>
      </w:r>
      <w:r w:rsidR="0052340A">
        <w:t>(</w:t>
      </w:r>
      <w:r w:rsidRPr="00D1092B">
        <w:t>Vp/F</w:t>
      </w:r>
      <w:r w:rsidR="0052340A">
        <w:t>)</w:t>
      </w:r>
      <w:r w:rsidRPr="00D1092B">
        <w:t xml:space="preserve"> of 0.089 for LUM and 0.068 for IVA. The intra-subject variability on bioavailability was 0.139 for LUM and 0.187 f</w:t>
      </w:r>
      <w:r>
        <w:t>or IVA.</w:t>
      </w:r>
    </w:p>
    <w:p w14:paraId="6D16306D" w14:textId="77777777" w:rsidR="0076207A" w:rsidRDefault="0076207A" w:rsidP="0076207A">
      <w:pPr>
        <w:pStyle w:val="Heading5"/>
      </w:pPr>
      <w:r w:rsidRPr="00D1092B">
        <w:t>Pharmacoki</w:t>
      </w:r>
      <w:r>
        <w:t>netics in the target population</w:t>
      </w:r>
    </w:p>
    <w:p w14:paraId="074CBB9D" w14:textId="77777777" w:rsidR="0076207A" w:rsidRPr="00D1092B" w:rsidRDefault="0076207A" w:rsidP="0076207A">
      <w:pPr>
        <w:pStyle w:val="ListBullet"/>
        <w:numPr>
          <w:ilvl w:val="0"/>
          <w:numId w:val="0"/>
        </w:numPr>
      </w:pPr>
      <w:r w:rsidRPr="00D1092B">
        <w:t>A pooled PK analysis indicated that following dosing with the FDC proposed for commercialisation at a dose of 400 mg LUM q12</w:t>
      </w:r>
      <w:r>
        <w:t xml:space="preserve">h/250 mg IVA q12h, the mean LUM </w:t>
      </w:r>
      <w:r w:rsidRPr="007F4B4F">
        <w:t>C</w:t>
      </w:r>
      <w:r w:rsidRPr="00661535">
        <w:rPr>
          <w:vertAlign w:val="subscript"/>
        </w:rPr>
        <w:t>trough</w:t>
      </w:r>
      <w:r w:rsidRPr="00D1092B">
        <w:t xml:space="preserve"> increased from 0.48 </w:t>
      </w:r>
      <w:r>
        <w:t>µ</w:t>
      </w:r>
      <w:r w:rsidRPr="002227DB">
        <w:t>g</w:t>
      </w:r>
      <w:r w:rsidRPr="00D1092B">
        <w:t xml:space="preserve">/mL on Day 1 to 14.1 </w:t>
      </w:r>
      <w:r>
        <w:t>µ</w:t>
      </w:r>
      <w:r w:rsidRPr="002227DB">
        <w:t>g</w:t>
      </w:r>
      <w:r w:rsidRPr="00D1092B">
        <w:t xml:space="preserve">/mL by Day 15 of dosing and thereafter remained relatively stable. For </w:t>
      </w:r>
      <w:r>
        <w:t xml:space="preserve">the IVA component, although IVA </w:t>
      </w:r>
      <w:r w:rsidRPr="007F4B4F">
        <w:t>C</w:t>
      </w:r>
      <w:r w:rsidRPr="00661535">
        <w:rPr>
          <w:vertAlign w:val="subscript"/>
        </w:rPr>
        <w:t>trough</w:t>
      </w:r>
      <w:r w:rsidRPr="00D1092B">
        <w:t xml:space="preserve"> increased from Day 1 (0.042 </w:t>
      </w:r>
      <w:r>
        <w:t>µ</w:t>
      </w:r>
      <w:r w:rsidRPr="002227DB">
        <w:t>g</w:t>
      </w:r>
      <w:r w:rsidRPr="00D1092B">
        <w:t xml:space="preserve">/mL) to Day 15 (0.115 </w:t>
      </w:r>
      <w:r>
        <w:t>µ</w:t>
      </w:r>
      <w:r w:rsidRPr="002227DB">
        <w:t>g</w:t>
      </w:r>
      <w:r w:rsidRPr="00D1092B">
        <w:t xml:space="preserve">/mL) and then remained relatively stable, the magnitude of change for IVA </w:t>
      </w:r>
      <w:r w:rsidRPr="007F4B4F">
        <w:t>C</w:t>
      </w:r>
      <w:r w:rsidRPr="00661535">
        <w:rPr>
          <w:vertAlign w:val="subscript"/>
        </w:rPr>
        <w:t>trough</w:t>
      </w:r>
      <w:r w:rsidRPr="00D1092B">
        <w:t xml:space="preserve"> (</w:t>
      </w:r>
      <w:r>
        <w:t xml:space="preserve">approximately </w:t>
      </w:r>
      <w:r w:rsidRPr="00D1092B">
        <w:t>2.7</w:t>
      </w:r>
      <w:r>
        <w:t xml:space="preserve"> fold</w:t>
      </w:r>
      <w:r w:rsidRPr="00D1092B">
        <w:t>) was considerably smaller than that seen for the LUM component (</w:t>
      </w:r>
      <w:r>
        <w:t xml:space="preserve">approximately </w:t>
      </w:r>
      <w:r w:rsidRPr="00D1092B">
        <w:t>29</w:t>
      </w:r>
      <w:r>
        <w:t xml:space="preserve"> fold).</w:t>
      </w:r>
    </w:p>
    <w:p w14:paraId="25C62CCF" w14:textId="77777777" w:rsidR="0076207A" w:rsidRPr="00D1092B" w:rsidRDefault="0076207A" w:rsidP="0076207A">
      <w:pPr>
        <w:pStyle w:val="ListBullet"/>
        <w:numPr>
          <w:ilvl w:val="0"/>
          <w:numId w:val="0"/>
        </w:numPr>
      </w:pPr>
      <w:r w:rsidRPr="00D1092B">
        <w:t xml:space="preserve">Following doses of 600 mg LUM QD + 250 mg IVA of the free combination LUM PKs were similar in both heterozygous and homozygous patients. By contrast for the IVA component both the </w:t>
      </w:r>
      <w:r w:rsidR="008B5A3E" w:rsidRPr="004B7CB2">
        <w:t>C</w:t>
      </w:r>
      <w:r w:rsidR="008B5A3E" w:rsidRPr="008B5A3E">
        <w:rPr>
          <w:vertAlign w:val="subscript"/>
        </w:rPr>
        <w:t>max</w:t>
      </w:r>
      <w:r w:rsidRPr="00D1092B">
        <w:t xml:space="preserve"> </w:t>
      </w:r>
      <w:r w:rsidR="00FF35A0">
        <w:t>AUC during a dosing interval</w:t>
      </w:r>
      <w:r w:rsidR="00FF35A0" w:rsidRPr="002227DB">
        <w:t xml:space="preserve"> </w:t>
      </w:r>
      <w:r w:rsidR="00FF35A0">
        <w:t>(</w:t>
      </w:r>
      <w:r w:rsidRPr="002227DB">
        <w:t>AUC</w:t>
      </w:r>
      <w:r w:rsidRPr="00511EB7">
        <w:rPr>
          <w:vertAlign w:val="subscript"/>
        </w:rPr>
        <w:t>τ</w:t>
      </w:r>
      <w:r w:rsidR="00FF35A0">
        <w:t>)</w:t>
      </w:r>
      <w:r w:rsidRPr="00D1092B">
        <w:t xml:space="preserve"> of IVA were slig</w:t>
      </w:r>
      <w:r>
        <w:t xml:space="preserve">htly higher </w:t>
      </w:r>
      <w:r>
        <w:lastRenderedPageBreak/>
        <w:t>(approximately 1.20</w:t>
      </w:r>
      <w:r w:rsidRPr="00D1092B">
        <w:t xml:space="preserve"> and 1.1</w:t>
      </w:r>
      <w:r>
        <w:t xml:space="preserve"> fold</w:t>
      </w:r>
      <w:r w:rsidRPr="00D1092B">
        <w:t xml:space="preserve">, respectively) in homozygous compared to heterozygous patients, whereas, </w:t>
      </w:r>
      <w:r w:rsidR="004A47B3" w:rsidRPr="004A47B3">
        <w:t xml:space="preserve">apparent clearance at steady state </w:t>
      </w:r>
      <w:r w:rsidR="004A47B3">
        <w:t>(</w:t>
      </w:r>
      <w:r w:rsidRPr="00D1092B">
        <w:t>CLss/F</w:t>
      </w:r>
      <w:r w:rsidR="004A47B3">
        <w:t>)</w:t>
      </w:r>
      <w:r w:rsidRPr="00D1092B">
        <w:t xml:space="preserve"> was higher (</w:t>
      </w:r>
      <w:r>
        <w:t xml:space="preserve">approximately </w:t>
      </w:r>
      <w:r w:rsidRPr="00D1092B">
        <w:t>1.35</w:t>
      </w:r>
      <w:r>
        <w:t xml:space="preserve"> fold</w:t>
      </w:r>
      <w:r w:rsidRPr="00D1092B">
        <w:t xml:space="preserve">) in the heterozygous group. In spite of these differences, the median </w:t>
      </w:r>
      <w:r w:rsidR="00026051" w:rsidRPr="004B7CB2">
        <w:t>T</w:t>
      </w:r>
      <w:r w:rsidR="00026051" w:rsidRPr="00026051">
        <w:rPr>
          <w:vertAlign w:val="subscript"/>
        </w:rPr>
        <w:t>max</w:t>
      </w:r>
      <w:r w:rsidRPr="00D1092B">
        <w:t xml:space="preserve"> and mean </w:t>
      </w:r>
      <w:r w:rsidR="003C0CF8" w:rsidRPr="0092761B">
        <w:t>C</w:t>
      </w:r>
      <w:r w:rsidR="003C0CF8" w:rsidRPr="003C0CF8">
        <w:rPr>
          <w:vertAlign w:val="subscript"/>
        </w:rPr>
        <w:t>min</w:t>
      </w:r>
      <w:r w:rsidRPr="00D1092B">
        <w:t xml:space="preserve"> of IVA were similar in both groups suggesting that the differences identified in IVA PKs between homozygous and heterozygous patients are unlikel</w:t>
      </w:r>
      <w:r>
        <w:t>y to be clinically significant.</w:t>
      </w:r>
    </w:p>
    <w:p w14:paraId="3EB1D292" w14:textId="77777777" w:rsidR="0076207A" w:rsidRDefault="0076207A" w:rsidP="0076207A">
      <w:pPr>
        <w:pStyle w:val="Heading5"/>
      </w:pPr>
      <w:r w:rsidRPr="00D1092B">
        <w:t xml:space="preserve">PKs in target population compared </w:t>
      </w:r>
      <w:r>
        <w:t>to healthy subjects</w:t>
      </w:r>
    </w:p>
    <w:p w14:paraId="46E80EEB" w14:textId="77777777" w:rsidR="0076207A" w:rsidRDefault="0076207A" w:rsidP="0076207A">
      <w:r w:rsidRPr="00D1092B">
        <w:t xml:space="preserve">A PopPK analysis indicated that following administration of LUM/IVA, LUM bioavailability was 1.81 times higher in healthy subjects and </w:t>
      </w:r>
      <w:r w:rsidR="00303FCD">
        <w:t>zero order dose duration</w:t>
      </w:r>
      <w:r w:rsidR="00303FCD" w:rsidRPr="00D1092B">
        <w:t xml:space="preserve"> </w:t>
      </w:r>
      <w:r w:rsidR="00303FCD">
        <w:t>(</w:t>
      </w:r>
      <w:r w:rsidRPr="00D1092B">
        <w:t>D1</w:t>
      </w:r>
      <w:r w:rsidR="00303FCD">
        <w:t>)</w:t>
      </w:r>
      <w:r w:rsidRPr="00D1092B">
        <w:t xml:space="preserve"> was increased by a factor of 1.34, whereas, the </w:t>
      </w:r>
      <w:r w:rsidR="00F55D98">
        <w:t>first-order absorption rate</w:t>
      </w:r>
      <w:r w:rsidR="00F55D98" w:rsidRPr="00D1092B">
        <w:t xml:space="preserve"> </w:t>
      </w:r>
      <w:r w:rsidR="00F55D98">
        <w:t>(</w:t>
      </w:r>
      <w:r w:rsidRPr="00D1092B">
        <w:t>Ka</w:t>
      </w:r>
      <w:r w:rsidR="00F55D98">
        <w:t>)</w:t>
      </w:r>
      <w:r w:rsidRPr="00D1092B">
        <w:t xml:space="preserve"> and the </w:t>
      </w:r>
      <w:r w:rsidR="00CB1352">
        <w:t>absorption lag time</w:t>
      </w:r>
      <w:r w:rsidR="00CB1352" w:rsidRPr="00D1092B">
        <w:t xml:space="preserve"> </w:t>
      </w:r>
      <w:r w:rsidR="00CB1352">
        <w:t>(</w:t>
      </w:r>
      <w:r w:rsidRPr="00D1092B">
        <w:t>ALAG</w:t>
      </w:r>
      <w:r w:rsidR="00CB1352">
        <w:t>)</w:t>
      </w:r>
      <w:r w:rsidRPr="00D1092B">
        <w:t xml:space="preserve"> were decreased by factors of 0.663 and 0.514, respectively, in healthy subjects compared to subjects with CF. For the IVA component, bioavailability was 1.53 times higher in healthy subjects than in subject with </w:t>
      </w:r>
      <w:r w:rsidRPr="00DB650D">
        <w:t>CF (</w:t>
      </w:r>
      <w:r w:rsidR="00DB650D" w:rsidRPr="00DB650D">
        <w:t xml:space="preserve">Table </w:t>
      </w:r>
      <w:r w:rsidRPr="00DB650D">
        <w:t>6).</w:t>
      </w:r>
    </w:p>
    <w:p w14:paraId="4F912C14" w14:textId="77777777" w:rsidR="0076207A" w:rsidRDefault="00DB650D" w:rsidP="0076207A">
      <w:pPr>
        <w:pStyle w:val="Tabletitle0"/>
      </w:pPr>
      <w:r w:rsidRPr="00DB650D">
        <w:t xml:space="preserve">Table </w:t>
      </w:r>
      <w:r w:rsidR="0076207A" w:rsidRPr="00DB650D">
        <w:t>6.</w:t>
      </w:r>
      <w:r w:rsidR="0076207A">
        <w:t xml:space="preserve"> Study K050. Parameter estimates from the ivacaftor Phase I/II final population pharmacokinetic model (Run 2023)</w:t>
      </w:r>
    </w:p>
    <w:p w14:paraId="0F54EBE3" w14:textId="77777777" w:rsidR="0076207A" w:rsidRDefault="0076207A" w:rsidP="0076207A">
      <w:r>
        <w:rPr>
          <w:noProof/>
          <w:lang w:eastAsia="en-AU"/>
        </w:rPr>
        <w:drawing>
          <wp:inline distT="0" distB="0" distL="0" distR="0" wp14:anchorId="2D59F210" wp14:editId="6EA8217B">
            <wp:extent cx="5400040" cy="2736366"/>
            <wp:effectExtent l="0" t="0" r="0" b="6985"/>
            <wp:docPr id="20" name="Picture 20" descr="Table 6. Study K050. Parameter estimates from the ivacaftor Phase I/II final population pharmacokinetic model (Ru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2736366"/>
                    </a:xfrm>
                    <a:prstGeom prst="rect">
                      <a:avLst/>
                    </a:prstGeom>
                  </pic:spPr>
                </pic:pic>
              </a:graphicData>
            </a:graphic>
          </wp:inline>
        </w:drawing>
      </w:r>
    </w:p>
    <w:p w14:paraId="47EA172A" w14:textId="77777777" w:rsidR="0076207A" w:rsidRDefault="0076207A" w:rsidP="0076207A">
      <w:pPr>
        <w:pStyle w:val="Heading5"/>
      </w:pPr>
      <w:r w:rsidRPr="00D1092B">
        <w:t>PKs in subjects</w:t>
      </w:r>
      <w:r>
        <w:t xml:space="preserve"> with impaired hepatic function</w:t>
      </w:r>
    </w:p>
    <w:p w14:paraId="7A878CD5" w14:textId="77777777" w:rsidR="0076207A" w:rsidRPr="00D1092B" w:rsidRDefault="0076207A" w:rsidP="0076207A">
      <w:r w:rsidRPr="00D1092B">
        <w:t xml:space="preserve">Following multiple doses of LUM/IVA, LUM and IVA AUC was </w:t>
      </w:r>
      <w:r>
        <w:t xml:space="preserve">approximately </w:t>
      </w:r>
      <w:r w:rsidRPr="00D1092B">
        <w:t>1.43</w:t>
      </w:r>
      <w:r>
        <w:t xml:space="preserve"> fold</w:t>
      </w:r>
      <w:r w:rsidRPr="00D1092B">
        <w:t xml:space="preserve"> and 1.81</w:t>
      </w:r>
      <w:r>
        <w:t xml:space="preserve"> fold</w:t>
      </w:r>
      <w:r w:rsidRPr="00D1092B">
        <w:t xml:space="preserve"> higher, respectively, and CLss/F was </w:t>
      </w:r>
      <w:r>
        <w:t xml:space="preserve">approximately </w:t>
      </w:r>
      <w:r w:rsidRPr="00D1092B">
        <w:t>1.50</w:t>
      </w:r>
      <w:r>
        <w:t xml:space="preserve"> fold and 1.43 </w:t>
      </w:r>
      <w:r w:rsidRPr="00D1092B">
        <w:t>fold lower, respectively, in subjects with moderate hepatic impairment than in healthy subjects. Therefore, adequate precautions relating to the effects of moderate hepatic impairment on the PKs of LUM/IVA</w:t>
      </w:r>
      <w:r>
        <w:t xml:space="preserve"> need to be provided in the PI.</w:t>
      </w:r>
    </w:p>
    <w:p w14:paraId="3D32BAC5" w14:textId="77777777" w:rsidR="0076207A" w:rsidRDefault="0076207A" w:rsidP="0076207A">
      <w:pPr>
        <w:pStyle w:val="Heading5"/>
      </w:pPr>
      <w:r w:rsidRPr="00D1092B">
        <w:t>Ph</w:t>
      </w:r>
      <w:r>
        <w:t>armacokinetics according to age</w:t>
      </w:r>
    </w:p>
    <w:p w14:paraId="5E33E6EA" w14:textId="77777777" w:rsidR="0076207A" w:rsidRPr="00D1092B" w:rsidRDefault="0076207A" w:rsidP="0076207A">
      <w:r w:rsidRPr="00D1092B">
        <w:t xml:space="preserve">PopPK analysis indicated that LUM CL/F decreased with increasing age, such that the typical 12 year old has an 11% greater CL/F when compared to the reference 18 year old, and the typical 50 year old subject has a CL/F that is 24% lower </w:t>
      </w:r>
      <w:r>
        <w:t>than the reference 18 year old.</w:t>
      </w:r>
    </w:p>
    <w:p w14:paraId="082E8690" w14:textId="1AB21F44" w:rsidR="0076207A" w:rsidRDefault="0076207A" w:rsidP="0076207A">
      <w:pPr>
        <w:pStyle w:val="Heading5"/>
      </w:pPr>
      <w:r>
        <w:t xml:space="preserve">Gender, </w:t>
      </w:r>
      <w:r w:rsidR="00162D47">
        <w:t>b</w:t>
      </w:r>
      <w:r>
        <w:t>ody weight</w:t>
      </w:r>
    </w:p>
    <w:p w14:paraId="7BECF6D5" w14:textId="77777777" w:rsidR="0076207A" w:rsidRPr="00D1092B" w:rsidRDefault="0076207A" w:rsidP="0076207A">
      <w:r w:rsidRPr="00D1092B">
        <w:t xml:space="preserve">The PKs of both LUM and IVA were not affected by gender. Body weight was an important predictor of variability in LUM CL/F. For example, LUM CL/F was 39% and 131% of the reference value of 1.67 L/h for the typical 20 kg and 100 kg subject, respectively, when compared to the reference subject (70 kg). Body weight was also an important predictor of variability in IVA CL/F. IVA CL/F was 39% and 131% of the reference value of 25.1 L/h for </w:t>
      </w:r>
      <w:r w:rsidRPr="00D1092B">
        <w:lastRenderedPageBreak/>
        <w:t>the typical 20 kg and 100 kg subject, respectively, when compared to</w:t>
      </w:r>
      <w:r>
        <w:t xml:space="preserve"> the reference subject (70 kg).</w:t>
      </w:r>
    </w:p>
    <w:p w14:paraId="4CC6563E" w14:textId="77777777" w:rsidR="0076207A" w:rsidRDefault="0076207A" w:rsidP="0076207A">
      <w:pPr>
        <w:pStyle w:val="Heading5"/>
      </w:pPr>
      <w:r>
        <w:t>Interaction between LUM and IVA</w:t>
      </w:r>
    </w:p>
    <w:p w14:paraId="6FE774F1" w14:textId="77777777" w:rsidR="0076207A" w:rsidRPr="00D1092B" w:rsidRDefault="0076207A" w:rsidP="0076207A">
      <w:r w:rsidRPr="00D1092B">
        <w:t xml:space="preserve">Co-administration of 150 mg IVA q12h and 200 mg LUM QD had little effect on LUM and </w:t>
      </w:r>
      <w:r w:rsidR="0026099D">
        <w:t>M2</w:t>
      </w:r>
      <w:r w:rsidRPr="00D1092B">
        <w:t>8 exposure, accumulation and attainment of steady state compared to when LUM was administered alone. By contrast, following 14 days of co-administra</w:t>
      </w:r>
      <w:r>
        <w:t>tion of LUM/IVA there was a 70 to</w:t>
      </w:r>
      <w:r w:rsidRPr="00D1092B">
        <w:t xml:space="preserve"> 80% reduction in IVA and M1 exposure compared to w</w:t>
      </w:r>
      <w:r>
        <w:t>hen IVA was administered alone.</w:t>
      </w:r>
    </w:p>
    <w:p w14:paraId="1D7E3B63" w14:textId="77777777" w:rsidR="0076207A" w:rsidRPr="00D1092B" w:rsidRDefault="0076207A" w:rsidP="0076207A">
      <w:r w:rsidRPr="00D1092B">
        <w:t xml:space="preserve">When 200 mg LUM QD was co-administered with 250 mg IVA q12h for 14 days, LUM exposure decreased compared to when LUM was administered alone (GLSM ratios for </w:t>
      </w:r>
      <w:r w:rsidR="008B5A3E" w:rsidRPr="004B7CB2">
        <w:t>C</w:t>
      </w:r>
      <w:r w:rsidR="008B5A3E" w:rsidRPr="008B5A3E">
        <w:rPr>
          <w:vertAlign w:val="subscript"/>
        </w:rPr>
        <w:t>max</w:t>
      </w:r>
      <w:r w:rsidRPr="00D1092B">
        <w:t xml:space="preserve"> by 39% and for </w:t>
      </w:r>
      <w:r w:rsidRPr="002227DB">
        <w:t>AUC</w:t>
      </w:r>
      <w:r w:rsidRPr="00511EB7">
        <w:rPr>
          <w:vertAlign w:val="subscript"/>
        </w:rPr>
        <w:t>0-24</w:t>
      </w:r>
      <w:r w:rsidRPr="00D1092B">
        <w:t>h by 32%). Whereas, when IVA (250 mg q12h) was administered alone for 14 days IVA exposure increased by approximately 2.5</w:t>
      </w:r>
      <w:r>
        <w:t xml:space="preserve"> fold</w:t>
      </w:r>
      <w:r w:rsidRPr="00D1092B">
        <w:t>; however, following co-administration for 14 days IVA exposure decreased (0.63</w:t>
      </w:r>
      <w:r>
        <w:t xml:space="preserve"> fold).</w:t>
      </w:r>
    </w:p>
    <w:p w14:paraId="0EB905EE" w14:textId="77777777" w:rsidR="0076207A" w:rsidRDefault="0076207A" w:rsidP="0076207A">
      <w:pPr>
        <w:pStyle w:val="Heading6"/>
      </w:pPr>
      <w:r>
        <w:t>Ciprofloxacin</w:t>
      </w:r>
    </w:p>
    <w:p w14:paraId="6B254171" w14:textId="77777777" w:rsidR="0076207A" w:rsidRPr="00CE11AD" w:rsidRDefault="0076207A" w:rsidP="0076207A">
      <w:r w:rsidRPr="00CE11AD">
        <w:t xml:space="preserve">Following co-administration of 200 mg LUM q12h and 250 mg IVA q12h, mean LUM </w:t>
      </w:r>
      <w:r w:rsidRPr="002227DB">
        <w:t>AUC</w:t>
      </w:r>
      <w:r w:rsidRPr="00511EB7">
        <w:rPr>
          <w:vertAlign w:val="subscript"/>
        </w:rPr>
        <w:t>τ</w:t>
      </w:r>
      <w:r w:rsidRPr="00CE11AD">
        <w:t xml:space="preserve"> (90% CI) values were approximately 14% (79, 95) lower in the presence of ciprofloxacin, whereas, the </w:t>
      </w:r>
      <w:r w:rsidR="0026099D">
        <w:t>M2</w:t>
      </w:r>
      <w:r w:rsidRPr="00CE11AD">
        <w:t xml:space="preserve">8-LUM concentration versus time profiles were similar in both its absence and presence. By contrast, the mean IVA </w:t>
      </w:r>
      <w:r w:rsidRPr="002227DB">
        <w:t>AUC</w:t>
      </w:r>
      <w:r w:rsidRPr="00511EB7">
        <w:rPr>
          <w:vertAlign w:val="subscript"/>
        </w:rPr>
        <w:t>τ</w:t>
      </w:r>
      <w:r w:rsidRPr="00CE11AD">
        <w:t xml:space="preserve"> was approximately 28% (111, 148) higher in the presence of ciprofloxacin. The mean plasma concentra</w:t>
      </w:r>
      <w:r w:rsidR="00B22DD1">
        <w:t xml:space="preserve">tions for the metabolites M1 and M6 </w:t>
      </w:r>
      <w:r w:rsidRPr="00CE11AD">
        <w:t>were also higher by 126 % and 112%, respectively, in the presence of ciprofloxacin.</w:t>
      </w:r>
    </w:p>
    <w:p w14:paraId="0F4C7EEB" w14:textId="77777777" w:rsidR="0076207A" w:rsidRDefault="0076207A" w:rsidP="0076207A">
      <w:pPr>
        <w:pStyle w:val="Heading6"/>
      </w:pPr>
      <w:r>
        <w:t>CYP3A inhibitor itraconazole</w:t>
      </w:r>
    </w:p>
    <w:p w14:paraId="04ADC262" w14:textId="77777777" w:rsidR="0076207A" w:rsidRPr="00CE11AD" w:rsidRDefault="0076207A" w:rsidP="0076207A">
      <w:r w:rsidRPr="00CE11AD">
        <w:t xml:space="preserve">LUM and </w:t>
      </w:r>
      <w:r w:rsidR="0026099D">
        <w:t>M2</w:t>
      </w:r>
      <w:r w:rsidRPr="00CE11AD">
        <w:t xml:space="preserve">8-LUM mean plasma concentrations were similar in the absence and presence of the itraconazole, whereas, the mean IVA </w:t>
      </w:r>
      <w:r w:rsidRPr="002227DB">
        <w:t>AUC</w:t>
      </w:r>
      <w:r w:rsidRPr="00511EB7">
        <w:rPr>
          <w:vertAlign w:val="subscript"/>
        </w:rPr>
        <w:t>τ</w:t>
      </w:r>
      <w:r w:rsidRPr="00CE11AD">
        <w:t xml:space="preserve"> was approximately 4.2</w:t>
      </w:r>
      <w:r>
        <w:t xml:space="preserve"> fold</w:t>
      </w:r>
      <w:r w:rsidRPr="00CE11AD">
        <w:t xml:space="preserve"> (3.78, 4.88) higher in its presence. The mean plasma concen</w:t>
      </w:r>
      <w:r w:rsidR="00B22DD1">
        <w:t>tration of the metabolite M1</w:t>
      </w:r>
      <w:r w:rsidRPr="00CE11AD">
        <w:t xml:space="preserve"> was higher (2.4</w:t>
      </w:r>
      <w:r>
        <w:t xml:space="preserve"> fold</w:t>
      </w:r>
      <w:r w:rsidRPr="00CE11AD">
        <w:t xml:space="preserve">) in the presence of itraconazole; however, </w:t>
      </w:r>
      <w:r w:rsidR="00B22DD1">
        <w:t>there was no change for M6</w:t>
      </w:r>
      <w:r>
        <w:t>.</w:t>
      </w:r>
    </w:p>
    <w:p w14:paraId="1906E83F" w14:textId="77777777" w:rsidR="0076207A" w:rsidRDefault="0076207A" w:rsidP="0076207A">
      <w:pPr>
        <w:pStyle w:val="Heading6"/>
      </w:pPr>
      <w:r>
        <w:t>CYP3A inducer rifampin</w:t>
      </w:r>
    </w:p>
    <w:p w14:paraId="390866AB" w14:textId="77777777" w:rsidR="0076207A" w:rsidRPr="0076207A" w:rsidRDefault="0076207A" w:rsidP="0076207A">
      <w:pPr>
        <w:pStyle w:val="ListBullet"/>
      </w:pPr>
      <w:r w:rsidRPr="0076207A">
        <w:t xml:space="preserve">Rifampin had little to no effect on mean LUM AUCτ, whereas, the mean </w:t>
      </w:r>
      <w:r w:rsidR="0026099D">
        <w:t>M2</w:t>
      </w:r>
      <w:r w:rsidRPr="0076207A">
        <w:t>8-LUM AUCτ was approximately 35% (132, 140) higher in the presence of rifampin. By contrast, the mean IVA AUCτ was approximately 67% (38, 49) lower in the presence of rifampin. The mean plasma concentr</w:t>
      </w:r>
      <w:r w:rsidR="00B22DD1">
        <w:t>ation of M1</w:t>
      </w:r>
      <w:r w:rsidRPr="0076207A">
        <w:t>was also lower (app</w:t>
      </w:r>
      <w:r w:rsidR="00B22DD1">
        <w:t>roximately 35%), whereas, M6</w:t>
      </w:r>
      <w:r w:rsidRPr="0076207A">
        <w:t xml:space="preserve"> AUCτ was higher (approximately 29%) in the presence of rifampin.</w:t>
      </w:r>
    </w:p>
    <w:p w14:paraId="1257874A" w14:textId="77777777" w:rsidR="0076207A" w:rsidRPr="0076207A" w:rsidRDefault="0076207A" w:rsidP="0076207A">
      <w:pPr>
        <w:pStyle w:val="ListBullet"/>
      </w:pPr>
      <w:r w:rsidRPr="0076207A">
        <w:t>In vitro studies have established that LUM is an inducer of CYP3A, whereas, IVA is a weak inhibitor of CYP3A when given as monotherapy. The net effect of lumacaftor/ivacaftor therapy is expected to be strong CYP3A induction. In addition, both LUM and IVA have been shown to have no inhibitory effect on the inducible enzyme CYP2D6 and neither compound is a substrate for P-gp. By contrast, in vitro studies indicated that both LUM and IVA are P-gp inhibitors.</w:t>
      </w:r>
    </w:p>
    <w:p w14:paraId="42EDDB34" w14:textId="77777777" w:rsidR="0076207A" w:rsidRDefault="0076207A" w:rsidP="0076207A">
      <w:pPr>
        <w:pStyle w:val="Heading5"/>
      </w:pPr>
      <w:r>
        <w:t>Limitations of the PK studies</w:t>
      </w:r>
    </w:p>
    <w:p w14:paraId="39FF3202" w14:textId="54DA246B" w:rsidR="003C0CF8" w:rsidRDefault="0076207A" w:rsidP="0092761B">
      <w:pPr>
        <w:pStyle w:val="ListBullet"/>
      </w:pPr>
      <w:r w:rsidRPr="0092761B">
        <w:t>No studies specifically examined the bioavailability of LUM and IVA following multiple dose</w:t>
      </w:r>
      <w:r w:rsidR="00170C1A">
        <w:t>s</w:t>
      </w:r>
      <w:r w:rsidRPr="0092761B">
        <w:t xml:space="preserve"> of the FDC fo</w:t>
      </w:r>
      <w:r w:rsidR="003C0CF8">
        <w:t>rmulations in healthy subjects.</w:t>
      </w:r>
    </w:p>
    <w:p w14:paraId="0E2E4195" w14:textId="77777777" w:rsidR="0076207A" w:rsidRPr="0092761B" w:rsidRDefault="0076207A" w:rsidP="0092761B">
      <w:pPr>
        <w:pStyle w:val="ListBullet"/>
      </w:pPr>
      <w:r w:rsidRPr="0092761B">
        <w:t>The activity of the various circulating metabolites of LUM is not clear from the information provid</w:t>
      </w:r>
      <w:r w:rsidR="003C0CF8">
        <w:t>ed in the evaluation materials.</w:t>
      </w:r>
    </w:p>
    <w:p w14:paraId="1F96B637" w14:textId="77777777" w:rsidR="0076207A" w:rsidRPr="0076207A" w:rsidRDefault="0076207A" w:rsidP="0076207A">
      <w:pPr>
        <w:pStyle w:val="ListBullet"/>
      </w:pPr>
      <w:r w:rsidRPr="0092761B">
        <w:t xml:space="preserve">The effect of renal impairment on the PKs of LUM and IVA has not been examined for either of the FDC tablets, the free combination or for when LUM </w:t>
      </w:r>
      <w:r w:rsidR="0092761B">
        <w:t>or IVA were administered alone.</w:t>
      </w:r>
    </w:p>
    <w:p w14:paraId="73D92196" w14:textId="77777777" w:rsidR="008E7846" w:rsidRDefault="008E7846" w:rsidP="003A0E05">
      <w:pPr>
        <w:pStyle w:val="Heading3"/>
      </w:pPr>
      <w:bookmarkStart w:id="85" w:name="_Toc196046481"/>
      <w:bookmarkStart w:id="86" w:name="_Toc247691520"/>
      <w:bookmarkStart w:id="87" w:name="_Toc314842503"/>
      <w:bookmarkStart w:id="88" w:name="_Toc462141655"/>
      <w:r w:rsidRPr="00254787">
        <w:lastRenderedPageBreak/>
        <w:t>Pharmacodynamics</w:t>
      </w:r>
      <w:bookmarkEnd w:id="72"/>
      <w:bookmarkEnd w:id="85"/>
      <w:bookmarkEnd w:id="86"/>
      <w:bookmarkEnd w:id="87"/>
      <w:bookmarkEnd w:id="88"/>
    </w:p>
    <w:p w14:paraId="6BEA6DE0" w14:textId="77777777" w:rsidR="00605AD4" w:rsidRDefault="00605AD4" w:rsidP="00605AD4">
      <w:pPr>
        <w:pStyle w:val="Heading4"/>
      </w:pPr>
      <w:r>
        <w:t>Studies providing pharmacodynamic data</w:t>
      </w:r>
    </w:p>
    <w:p w14:paraId="1B862A48" w14:textId="2779D1EE" w:rsidR="0092761B" w:rsidRPr="0092761B" w:rsidRDefault="0092761B" w:rsidP="0092761B">
      <w:r w:rsidRPr="0092761B">
        <w:t>Summaries of the pharmacodynamic studies were provided. Table 7 shows the studies relating to each pharmacodynamic topic.</w:t>
      </w:r>
    </w:p>
    <w:p w14:paraId="0510C209" w14:textId="77777777" w:rsidR="0092761B" w:rsidRPr="0092761B" w:rsidRDefault="0092761B" w:rsidP="0092761B">
      <w:r w:rsidRPr="0092761B">
        <w:t>Note: Almost all of the studies that contain a PD component have been previously summarised; therefore, only a single study, which represented a population exposure response analysis, is included in the following table.</w:t>
      </w:r>
    </w:p>
    <w:p w14:paraId="6EF07762" w14:textId="77777777" w:rsidR="0092761B" w:rsidRPr="0000088C" w:rsidRDefault="00DB650D" w:rsidP="003C0CF8">
      <w:pPr>
        <w:pStyle w:val="Tabletitle0"/>
      </w:pPr>
      <w:r>
        <w:t xml:space="preserve">Table </w:t>
      </w:r>
      <w:r w:rsidR="0092761B">
        <w:t>7</w:t>
      </w:r>
      <w:r w:rsidR="0092761B" w:rsidRPr="0000088C">
        <w:t>. Submitted pharmacodynamic stu</w:t>
      </w:r>
      <w:r w:rsidR="0092761B">
        <w:t>dies</w:t>
      </w:r>
    </w:p>
    <w:tbl>
      <w:tblPr>
        <w:tblStyle w:val="TableTGAblue"/>
        <w:tblW w:w="0" w:type="auto"/>
        <w:tblLook w:val="04A0" w:firstRow="1" w:lastRow="0" w:firstColumn="1" w:lastColumn="0" w:noHBand="0" w:noVBand="1"/>
      </w:tblPr>
      <w:tblGrid>
        <w:gridCol w:w="2188"/>
        <w:gridCol w:w="1595"/>
        <w:gridCol w:w="1364"/>
        <w:gridCol w:w="3573"/>
      </w:tblGrid>
      <w:tr w:rsidR="0092761B" w:rsidRPr="006040A9" w14:paraId="5337B436" w14:textId="77777777" w:rsidTr="0092761B">
        <w:trPr>
          <w:cnfStyle w:val="100000000000" w:firstRow="1" w:lastRow="0" w:firstColumn="0" w:lastColumn="0" w:oddVBand="0" w:evenVBand="0" w:oddHBand="0" w:evenHBand="0" w:firstRowFirstColumn="0" w:firstRowLastColumn="0" w:lastRowFirstColumn="0" w:lastRowLastColumn="0"/>
        </w:trPr>
        <w:tc>
          <w:tcPr>
            <w:tcW w:w="2188" w:type="dxa"/>
          </w:tcPr>
          <w:p w14:paraId="1A20D993" w14:textId="07775F3F" w:rsidR="0092761B" w:rsidRPr="006040A9" w:rsidRDefault="0092761B" w:rsidP="003A0E05">
            <w:pPr>
              <w:ind w:left="0" w:right="0"/>
              <w:rPr>
                <w:sz w:val="18"/>
                <w:szCs w:val="18"/>
              </w:rPr>
            </w:pPr>
            <w:r w:rsidRPr="006040A9">
              <w:rPr>
                <w:sz w:val="18"/>
                <w:szCs w:val="18"/>
              </w:rPr>
              <w:t>PD Topic</w:t>
            </w:r>
          </w:p>
        </w:tc>
        <w:tc>
          <w:tcPr>
            <w:tcW w:w="1595" w:type="dxa"/>
          </w:tcPr>
          <w:p w14:paraId="79479053" w14:textId="098DA7D1" w:rsidR="0092761B" w:rsidRPr="006040A9" w:rsidRDefault="0092761B" w:rsidP="003A0E05">
            <w:pPr>
              <w:ind w:left="0" w:right="0"/>
              <w:rPr>
                <w:sz w:val="18"/>
                <w:szCs w:val="18"/>
              </w:rPr>
            </w:pPr>
            <w:r w:rsidRPr="006040A9">
              <w:rPr>
                <w:sz w:val="18"/>
                <w:szCs w:val="18"/>
              </w:rPr>
              <w:t>Subtopic</w:t>
            </w:r>
          </w:p>
        </w:tc>
        <w:tc>
          <w:tcPr>
            <w:tcW w:w="1364" w:type="dxa"/>
          </w:tcPr>
          <w:p w14:paraId="4978BBA2" w14:textId="1A6BABAF" w:rsidR="0092761B" w:rsidRPr="006040A9" w:rsidRDefault="0092761B" w:rsidP="003A0E05">
            <w:pPr>
              <w:ind w:left="0" w:right="0"/>
              <w:rPr>
                <w:sz w:val="18"/>
                <w:szCs w:val="18"/>
              </w:rPr>
            </w:pPr>
            <w:r w:rsidRPr="006040A9">
              <w:rPr>
                <w:sz w:val="18"/>
                <w:szCs w:val="18"/>
              </w:rPr>
              <w:t>Study ID</w:t>
            </w:r>
          </w:p>
        </w:tc>
        <w:tc>
          <w:tcPr>
            <w:tcW w:w="3573" w:type="dxa"/>
          </w:tcPr>
          <w:p w14:paraId="37C31CE1" w14:textId="77777777" w:rsidR="0092761B" w:rsidRPr="006040A9" w:rsidRDefault="0092761B" w:rsidP="003A0E05">
            <w:pPr>
              <w:ind w:left="0" w:right="0"/>
              <w:rPr>
                <w:sz w:val="18"/>
                <w:szCs w:val="18"/>
              </w:rPr>
            </w:pPr>
            <w:r w:rsidRPr="006040A9">
              <w:rPr>
                <w:sz w:val="18"/>
                <w:szCs w:val="18"/>
              </w:rPr>
              <w:t>Primary aim of the study</w:t>
            </w:r>
          </w:p>
        </w:tc>
      </w:tr>
      <w:tr w:rsidR="0092761B" w:rsidRPr="006040A9" w14:paraId="6BD87BB6" w14:textId="77777777" w:rsidTr="0092761B">
        <w:tc>
          <w:tcPr>
            <w:tcW w:w="2188" w:type="dxa"/>
          </w:tcPr>
          <w:p w14:paraId="1B09589B" w14:textId="2FA6193D" w:rsidR="0092761B" w:rsidRPr="006040A9" w:rsidRDefault="0092761B" w:rsidP="003A0E05">
            <w:pPr>
              <w:ind w:left="0" w:right="0"/>
              <w:rPr>
                <w:sz w:val="18"/>
                <w:szCs w:val="18"/>
              </w:rPr>
            </w:pPr>
            <w:r w:rsidRPr="006040A9">
              <w:rPr>
                <w:sz w:val="18"/>
                <w:szCs w:val="18"/>
              </w:rPr>
              <w:t>Population PD and PK-PD analyses</w:t>
            </w:r>
          </w:p>
        </w:tc>
        <w:tc>
          <w:tcPr>
            <w:tcW w:w="1595" w:type="dxa"/>
          </w:tcPr>
          <w:p w14:paraId="5098F5BE" w14:textId="122309A3" w:rsidR="0092761B" w:rsidRPr="006040A9" w:rsidRDefault="0092761B" w:rsidP="003A0E05">
            <w:pPr>
              <w:ind w:left="0" w:right="0"/>
              <w:rPr>
                <w:sz w:val="18"/>
                <w:szCs w:val="18"/>
              </w:rPr>
            </w:pPr>
            <w:r w:rsidRPr="006040A9">
              <w:rPr>
                <w:sz w:val="18"/>
                <w:szCs w:val="18"/>
              </w:rPr>
              <w:t>Target population</w:t>
            </w:r>
          </w:p>
        </w:tc>
        <w:tc>
          <w:tcPr>
            <w:tcW w:w="1364" w:type="dxa"/>
          </w:tcPr>
          <w:p w14:paraId="17186626" w14:textId="653568D6" w:rsidR="0092761B" w:rsidRPr="006040A9" w:rsidRDefault="0092761B" w:rsidP="003A0E05">
            <w:pPr>
              <w:ind w:left="0" w:right="0"/>
              <w:rPr>
                <w:sz w:val="18"/>
                <w:szCs w:val="18"/>
              </w:rPr>
            </w:pPr>
            <w:r w:rsidRPr="006040A9">
              <w:rPr>
                <w:sz w:val="18"/>
                <w:szCs w:val="18"/>
              </w:rPr>
              <w:t>K261</w:t>
            </w:r>
          </w:p>
        </w:tc>
        <w:tc>
          <w:tcPr>
            <w:tcW w:w="3573" w:type="dxa"/>
          </w:tcPr>
          <w:p w14:paraId="1E137767" w14:textId="4D03C38A" w:rsidR="0092761B" w:rsidRPr="006040A9" w:rsidRDefault="0092761B" w:rsidP="003A0E05">
            <w:pPr>
              <w:ind w:left="0" w:right="0"/>
              <w:rPr>
                <w:sz w:val="18"/>
                <w:szCs w:val="18"/>
              </w:rPr>
            </w:pPr>
            <w:r w:rsidRPr="006040A9">
              <w:rPr>
                <w:sz w:val="18"/>
                <w:szCs w:val="18"/>
              </w:rPr>
              <w:t>Population exposure</w:t>
            </w:r>
            <w:r w:rsidR="00026051">
              <w:rPr>
                <w:sz w:val="18"/>
                <w:szCs w:val="18"/>
              </w:rPr>
              <w:t xml:space="preserve"> </w:t>
            </w:r>
            <w:r w:rsidRPr="006040A9">
              <w:rPr>
                <w:sz w:val="18"/>
                <w:szCs w:val="18"/>
              </w:rPr>
              <w:t>response analysis of sweat chloride response to treatment with LUM alone or with LUM in combination with IVA in adults with CF, homozygous for the F508del-CFTR mutation</w:t>
            </w:r>
          </w:p>
        </w:tc>
      </w:tr>
    </w:tbl>
    <w:p w14:paraId="6B0EF864" w14:textId="77777777" w:rsidR="0092761B" w:rsidRPr="0092761B" w:rsidRDefault="0092761B" w:rsidP="0092761B">
      <w:r w:rsidRPr="0092761B">
        <w:t>None of the pharmacodynamic studies had deficiencies that excluded their results from consideration.</w:t>
      </w:r>
    </w:p>
    <w:p w14:paraId="385BF729" w14:textId="77777777" w:rsidR="00605AD4" w:rsidRDefault="00605AD4" w:rsidP="00605AD4">
      <w:pPr>
        <w:pStyle w:val="Heading4"/>
      </w:pPr>
      <w:r>
        <w:t>Evaluator’s conclusions on pharmacodynamics</w:t>
      </w:r>
    </w:p>
    <w:p w14:paraId="3B25A9D9" w14:textId="77777777" w:rsidR="0092761B" w:rsidRPr="0092761B" w:rsidRDefault="0092761B" w:rsidP="0092761B">
      <w:pPr>
        <w:pStyle w:val="Heading5"/>
      </w:pPr>
      <w:r w:rsidRPr="0092761B">
        <w:t>Mechanism of action</w:t>
      </w:r>
    </w:p>
    <w:p w14:paraId="2EF1CE63" w14:textId="77777777" w:rsidR="0092761B" w:rsidRPr="0092761B" w:rsidRDefault="0092761B" w:rsidP="0092761B">
      <w:r w:rsidRPr="0092761B">
        <w:t>The combined effect of lumacaftor and ivacaftor is to increase the quantity and function ofF508del-CFTR at the cell surface, resulting in increased chloride ion transport.</w:t>
      </w:r>
    </w:p>
    <w:p w14:paraId="0D877CAB" w14:textId="77777777" w:rsidR="0092761B" w:rsidRPr="0092761B" w:rsidRDefault="0092761B" w:rsidP="0092761B">
      <w:pPr>
        <w:pStyle w:val="Heading5"/>
      </w:pPr>
      <w:r w:rsidRPr="0092761B">
        <w:t>Primary pharmacodynamic effects</w:t>
      </w:r>
    </w:p>
    <w:p w14:paraId="21C6514A" w14:textId="77777777" w:rsidR="0092761B" w:rsidRPr="0092761B" w:rsidRDefault="0092761B" w:rsidP="0092761B">
      <w:pPr>
        <w:pStyle w:val="Heading6"/>
      </w:pPr>
      <w:r w:rsidRPr="0092761B">
        <w:t>Sweat chloride</w:t>
      </w:r>
    </w:p>
    <w:p w14:paraId="50293AF4" w14:textId="77777777" w:rsidR="0092761B" w:rsidRPr="0092761B" w:rsidRDefault="0092761B" w:rsidP="0092761B">
      <w:pPr>
        <w:pStyle w:val="ListBullet"/>
      </w:pPr>
      <w:r w:rsidRPr="0092761B">
        <w:t>No PK/PD studies examined the effect of the FDC on sweat chloride in the target population.</w:t>
      </w:r>
    </w:p>
    <w:p w14:paraId="58C78FE3" w14:textId="77777777" w:rsidR="0092761B" w:rsidRPr="0092761B" w:rsidRDefault="0092761B" w:rsidP="0092761B">
      <w:pPr>
        <w:pStyle w:val="ListBullet"/>
      </w:pPr>
      <w:r w:rsidRPr="0092761B">
        <w:t>In patients with CF who were heterozygous for the F508del-CFTR mutation (that is; not the target population), administration of the FDC at a dose of 400 mg LUM q12h + 250 mg IVA q12h resulted in a statistically significant reduction in sweat chloride levels in subjects who received the active FDC (-11.82 mmol/L; p &lt; 0.0001) compared to subjects who received a FDC containing the LUM component + placebo (-11.03 mmol/L; p = &lt; 0.0001).</w:t>
      </w:r>
    </w:p>
    <w:p w14:paraId="7AE7CADB" w14:textId="77777777" w:rsidR="0092761B" w:rsidRPr="0092761B" w:rsidRDefault="0092761B" w:rsidP="0092761B">
      <w:pPr>
        <w:pStyle w:val="ListBullet"/>
      </w:pPr>
      <w:r w:rsidRPr="0092761B">
        <w:t>In subjects who were homozygous for the F508del-CFTR mutation, dosing with 200 mg LUM QD +250 mg IVA q12h dose of the free combination, but not 200 mg LUM QD + 150 mg IVA q12h, resulted in a statistically significant decrease in adjusted mean absolute change from Day 14 at Day 21 in sweat chloride values compared to placebo (</w:t>
      </w:r>
      <w:r w:rsidR="003C0CF8">
        <w:t>Δ</w:t>
      </w:r>
      <w:r w:rsidRPr="0092761B">
        <w:t xml:space="preserve"> = -9.626 mmol/L; 95% Cl: -14.801, -4.551; p &lt; 0.001).</w:t>
      </w:r>
    </w:p>
    <w:p w14:paraId="295E3A22" w14:textId="77777777" w:rsidR="0092761B" w:rsidRPr="0092761B" w:rsidRDefault="0092761B" w:rsidP="00844954">
      <w:pPr>
        <w:pStyle w:val="ListBullet"/>
      </w:pPr>
      <w:r w:rsidRPr="0092761B">
        <w:t>Statistically significant within</w:t>
      </w:r>
      <w:r w:rsidR="00026051">
        <w:t xml:space="preserve"> </w:t>
      </w:r>
      <w:r w:rsidRPr="0092761B">
        <w:t xml:space="preserve">group adjusted mean absolute changes from baseline in sweat chloride levels over the entire treatment period were observed for subjects who received either 200 mg LUM QD + 250 mg IVA q12h (-12.561 mmol/L, p &lt; 0.001) or 200 mg LUM QD + 150 g IVA q12h group (-6.741 mmol/L, p = 0.003) as a free combination. However, although the treatment difference for the 200 mg LUM QD + 250 mg IVA q12h group compared to the combined placebo group in the mean absolute change from baseline at Day 21 in sweat chloride values was statistically significant (-10.86 mmol/L, p = 0.002), the treatment difference for the subjects who </w:t>
      </w:r>
      <w:r w:rsidRPr="0092761B">
        <w:lastRenderedPageBreak/>
        <w:t>were administered 200 mg LUM QD + 150 mg IVA q12h group compared to the combined placebo group was not significant (-5.04 mmol/L, p = 0.126).</w:t>
      </w:r>
    </w:p>
    <w:p w14:paraId="1EE8E685" w14:textId="77777777" w:rsidR="0092761B" w:rsidRPr="0092761B" w:rsidRDefault="0092761B" w:rsidP="0092761B">
      <w:pPr>
        <w:pStyle w:val="ListBullet"/>
      </w:pPr>
      <w:r w:rsidRPr="0092761B">
        <w:t>The percentage of subjects who were considered sweat chloride responders to LUM monotherapy or LUM in combination with IVA was higher in the active treatment groups compared to the monotherapy placebo group or combination placebo group.</w:t>
      </w:r>
    </w:p>
    <w:p w14:paraId="67E050AF" w14:textId="77777777" w:rsidR="0092761B" w:rsidRPr="0092761B" w:rsidRDefault="0092761B" w:rsidP="0092761B">
      <w:pPr>
        <w:pStyle w:val="ListBullet"/>
      </w:pPr>
      <w:r w:rsidRPr="0092761B">
        <w:t>In a combined population of homozygous and heterozygous subjects who received a range of LUM doses (200 mg to 600 mg) in combination with 250 mg IVA q12h there were no statistically significant adjusted mean absolute changes in sweat chloride values from Day 28 at Day 56 in any active treatment group when analysed within group or in comparison to the combination placebo group.</w:t>
      </w:r>
    </w:p>
    <w:p w14:paraId="238437A5" w14:textId="77777777" w:rsidR="0092761B" w:rsidRPr="0092761B" w:rsidRDefault="0092761B" w:rsidP="0092761B">
      <w:pPr>
        <w:pStyle w:val="ListBullet"/>
      </w:pPr>
      <w:r w:rsidRPr="0092761B">
        <w:t>Population exposure</w:t>
      </w:r>
      <w:r w:rsidR="00026051">
        <w:t xml:space="preserve"> </w:t>
      </w:r>
      <w:r w:rsidRPr="0092761B">
        <w:t xml:space="preserve">response analysis of sweat chloride response to treatment identified a final structural model that consisted of an </w:t>
      </w:r>
      <w:r w:rsidR="00303FCD">
        <w:t>maximum effect</w:t>
      </w:r>
      <w:r w:rsidR="00303FCD" w:rsidRPr="0092761B">
        <w:t xml:space="preserve"> </w:t>
      </w:r>
      <w:r w:rsidR="00303FCD">
        <w:t>(</w:t>
      </w:r>
      <w:r w:rsidR="003C0CF8" w:rsidRPr="0092761B">
        <w:t>E</w:t>
      </w:r>
      <w:r w:rsidR="003C0CF8" w:rsidRPr="003C0CF8">
        <w:rPr>
          <w:vertAlign w:val="subscript"/>
        </w:rPr>
        <w:t>max</w:t>
      </w:r>
      <w:r w:rsidR="00303FCD">
        <w:t>)</w:t>
      </w:r>
      <w:r w:rsidRPr="0092761B">
        <w:t xml:space="preserve"> model, parameterised by </w:t>
      </w:r>
      <w:r w:rsidR="003C0CF8" w:rsidRPr="0092761B">
        <w:t>E</w:t>
      </w:r>
      <w:r w:rsidR="003C0CF8" w:rsidRPr="003C0CF8">
        <w:rPr>
          <w:vertAlign w:val="subscript"/>
        </w:rPr>
        <w:t>max</w:t>
      </w:r>
      <w:r w:rsidRPr="0092761B">
        <w:t xml:space="preserve"> and EC50, and an additional term, E</w:t>
      </w:r>
      <w:r w:rsidRPr="003C0CF8">
        <w:rPr>
          <w:vertAlign w:val="subscript"/>
        </w:rPr>
        <w:t>base</w:t>
      </w:r>
      <w:r w:rsidRPr="0092761B">
        <w:t xml:space="preserve">, which is the model estimated sweat chloride baseline for each subject. The effect of the presence of IVA on sweat chloride response was statistically significant and was described best by a multiplicative term (E770m) applied to </w:t>
      </w:r>
      <w:r w:rsidR="003C0CF8" w:rsidRPr="0092761B">
        <w:t>E</w:t>
      </w:r>
      <w:r w:rsidR="003C0CF8" w:rsidRPr="003C0CF8">
        <w:rPr>
          <w:vertAlign w:val="subscript"/>
        </w:rPr>
        <w:t>max</w:t>
      </w:r>
      <w:r w:rsidRPr="0092761B">
        <w:t>.</w:t>
      </w:r>
    </w:p>
    <w:p w14:paraId="22578844" w14:textId="77777777" w:rsidR="0092761B" w:rsidRPr="0092761B" w:rsidRDefault="0092761B" w:rsidP="0092761B">
      <w:pPr>
        <w:pStyle w:val="Heading6"/>
      </w:pPr>
      <w:r w:rsidRPr="0092761B">
        <w:t>Lung function – target population (homozygous for F508del-CFTR mutation)</w:t>
      </w:r>
    </w:p>
    <w:p w14:paraId="13134B95" w14:textId="4B6CD06B" w:rsidR="0092761B" w:rsidRPr="0092761B" w:rsidRDefault="0092761B" w:rsidP="0092761B">
      <w:pPr>
        <w:pStyle w:val="ListBullet"/>
      </w:pPr>
      <w:r w:rsidRPr="0092761B">
        <w:t>No PK/PD studies examined the effects of the FDC on lung function in the target population</w:t>
      </w:r>
      <w:r w:rsidR="009D2D39">
        <w:t xml:space="preserve"> </w:t>
      </w:r>
      <w:r w:rsidRPr="0092761B">
        <w:t>(homozygous subjects).</w:t>
      </w:r>
    </w:p>
    <w:p w14:paraId="6647536A" w14:textId="77777777" w:rsidR="0092761B" w:rsidRPr="0092761B" w:rsidRDefault="0092761B" w:rsidP="0092761B">
      <w:pPr>
        <w:pStyle w:val="ListBullet"/>
      </w:pPr>
      <w:r w:rsidRPr="0092761B">
        <w:t xml:space="preserve">In the target population administered the free combination (200 mg LUM QD + 150 mg IVA q12h)statistically significant decreases in adjusted mean absolute change from Day 14 at Day 21 in </w:t>
      </w:r>
      <w:r w:rsidR="00303FCD">
        <w:t>forced expiratory volume in 1 second</w:t>
      </w:r>
      <w:r w:rsidR="00303FCD" w:rsidRPr="0092761B">
        <w:t xml:space="preserve"> </w:t>
      </w:r>
      <w:r w:rsidR="00303FCD">
        <w:t>(</w:t>
      </w:r>
      <w:r w:rsidRPr="0092761B">
        <w:t>FEV1</w:t>
      </w:r>
      <w:r w:rsidR="00303FCD">
        <w:t>)</w:t>
      </w:r>
      <w:r w:rsidRPr="0092761B">
        <w:t xml:space="preserve"> and </w:t>
      </w:r>
      <w:r w:rsidR="00A94F3D">
        <w:t>percent predicted FEV1 (</w:t>
      </w:r>
      <w:r w:rsidRPr="0092761B">
        <w:t>ppFEV1</w:t>
      </w:r>
      <w:r w:rsidR="00A94F3D">
        <w:t>)</w:t>
      </w:r>
      <w:r w:rsidRPr="0092761B">
        <w:t xml:space="preserve"> compared to placebo (Δ = 0.174 L and 4.9%, respectively).</w:t>
      </w:r>
    </w:p>
    <w:p w14:paraId="595803DD" w14:textId="77777777" w:rsidR="0092761B" w:rsidRPr="0092761B" w:rsidRDefault="0092761B" w:rsidP="0092761B">
      <w:pPr>
        <w:pStyle w:val="ListBullet"/>
      </w:pPr>
      <w:r w:rsidRPr="0092761B">
        <w:t>Following administration of 200 mg LUM QD + 250 mg IVA q12h to the target population absolute changes from Day 14 at Day 21 in FEV1 and ppFEV1 were not significantly different from placebo.</w:t>
      </w:r>
    </w:p>
    <w:p w14:paraId="209926E1" w14:textId="77777777" w:rsidR="0092761B" w:rsidRPr="0092761B" w:rsidRDefault="0092761B" w:rsidP="0092761B">
      <w:pPr>
        <w:pStyle w:val="ListBullet"/>
      </w:pPr>
      <w:r w:rsidRPr="0092761B">
        <w:t>Over the entire treatment period (from Day 1 to 21) there were no treatment differences in FEV1or ppFEV1 following administration of 200 mg LUM QD + 150 mg IVA q12h compared to placebo.</w:t>
      </w:r>
    </w:p>
    <w:p w14:paraId="2E75474D" w14:textId="77777777" w:rsidR="0092761B" w:rsidRPr="0092761B" w:rsidRDefault="0092761B" w:rsidP="0092761B">
      <w:pPr>
        <w:pStyle w:val="ListBullet"/>
      </w:pPr>
      <w:r w:rsidRPr="0092761B">
        <w:t>The percentage of subjects who were considered FEV1 responders was similar in both the LUM monotherapy and the placebo monotherapy groups, whereas, following administration of LUM in combination with IVA the percentage of FEV1 responders was higher in the active treatment group than in the combination placebo group.</w:t>
      </w:r>
    </w:p>
    <w:p w14:paraId="643D2C56" w14:textId="77777777" w:rsidR="0092761B" w:rsidRPr="0092761B" w:rsidRDefault="0092761B" w:rsidP="0092761B">
      <w:pPr>
        <w:pStyle w:val="ListBullet"/>
      </w:pPr>
      <w:r w:rsidRPr="0092761B">
        <w:t>Following administration of the free combination as either 600 mg LUM QD + 250 mg IVA q12h or400 mg LUM q12h + 250 mg IVA q12h, statistically significant differences in the mean relative change from Day 28 at Day 56 compared to placebo were identified. In addition, statistically significant differences in absolute change from baseline at Day 56 in FEV1 and ppFEV1 compared to placebo were identified following administration of 600 mg LUM QD + 250 mg IVA q12h.</w:t>
      </w:r>
    </w:p>
    <w:p w14:paraId="19DAD781" w14:textId="77777777" w:rsidR="0092761B" w:rsidRPr="0092761B" w:rsidRDefault="0092761B" w:rsidP="0092761B">
      <w:pPr>
        <w:pStyle w:val="Heading6"/>
      </w:pPr>
      <w:r w:rsidRPr="0092761B">
        <w:t>Lung function – heterozygous population</w:t>
      </w:r>
    </w:p>
    <w:p w14:paraId="7B8A37CB" w14:textId="77777777" w:rsidR="0092761B" w:rsidRPr="0092761B" w:rsidRDefault="0092761B" w:rsidP="0092761B">
      <w:r w:rsidRPr="0092761B">
        <w:t xml:space="preserve">Following administration of the FDC (400 mg LUM q12h + 250 mg IVA q12h) to heterozygous CF subjects there was no statistically significant </w:t>
      </w:r>
      <w:r w:rsidR="00B22DD1">
        <w:t>least squares</w:t>
      </w:r>
      <w:r w:rsidR="00B22DD1" w:rsidRPr="0092761B">
        <w:t xml:space="preserve"> </w:t>
      </w:r>
      <w:r w:rsidR="00B22DD1">
        <w:t>(</w:t>
      </w:r>
      <w:r w:rsidRPr="0092761B">
        <w:t>LS</w:t>
      </w:r>
      <w:r w:rsidR="00B22DD1">
        <w:t>)</w:t>
      </w:r>
      <w:r w:rsidRPr="0092761B">
        <w:t xml:space="preserve"> mean absolute or relative change from baseline at Day 56 in ppFEV1 compared to placebo.</w:t>
      </w:r>
    </w:p>
    <w:p w14:paraId="008B4EFA" w14:textId="77777777" w:rsidR="0092761B" w:rsidRPr="0092761B" w:rsidRDefault="00B72132" w:rsidP="0092761B">
      <w:pPr>
        <w:pStyle w:val="Heading6"/>
      </w:pPr>
      <w:r>
        <w:t>Cystic fibrosis questionnaire – revised</w:t>
      </w:r>
      <w:r w:rsidRPr="0092761B">
        <w:t xml:space="preserve"> </w:t>
      </w:r>
      <w:r>
        <w:t>(</w:t>
      </w:r>
      <w:r w:rsidR="0092761B" w:rsidRPr="0092761B">
        <w:t>CFQ-R</w:t>
      </w:r>
      <w:r>
        <w:t>)</w:t>
      </w:r>
    </w:p>
    <w:p w14:paraId="7B617368" w14:textId="77777777" w:rsidR="0092761B" w:rsidRPr="0092761B" w:rsidRDefault="0092761B" w:rsidP="0092761B">
      <w:r w:rsidRPr="0092761B">
        <w:t>Following treatment with LUM alone there were no clear or sustained improvements in any CFQ-R domain compared to placebo.</w:t>
      </w:r>
    </w:p>
    <w:p w14:paraId="64954B86" w14:textId="77777777" w:rsidR="0092761B" w:rsidRPr="0092761B" w:rsidRDefault="0092761B" w:rsidP="0092761B">
      <w:pPr>
        <w:pStyle w:val="Heading5"/>
      </w:pPr>
      <w:r w:rsidRPr="0092761B">
        <w:lastRenderedPageBreak/>
        <w:t>Secondary pharmacodynamic effects</w:t>
      </w:r>
    </w:p>
    <w:p w14:paraId="4E7F4AE4" w14:textId="77777777" w:rsidR="0092761B" w:rsidRPr="0092761B" w:rsidRDefault="0092761B" w:rsidP="0092761B">
      <w:pPr>
        <w:pStyle w:val="Heading6"/>
      </w:pPr>
      <w:r w:rsidRPr="0092761B">
        <w:t>Effects on QT interval</w:t>
      </w:r>
    </w:p>
    <w:p w14:paraId="0468E64C" w14:textId="77777777" w:rsidR="0092761B" w:rsidRPr="0092761B" w:rsidRDefault="0092761B" w:rsidP="0092761B">
      <w:r w:rsidRPr="0092761B">
        <w:t>Following therapeutic and supra therapeutic doses of LUM/IVA, the active combination did not prolong the QTc interval to a clinically significant degree.</w:t>
      </w:r>
    </w:p>
    <w:p w14:paraId="4757A070" w14:textId="77777777" w:rsidR="0092761B" w:rsidRPr="0092761B" w:rsidRDefault="0092761B" w:rsidP="0092761B">
      <w:pPr>
        <w:pStyle w:val="Heading6"/>
      </w:pPr>
      <w:r w:rsidRPr="0092761B">
        <w:t>Body weight</w:t>
      </w:r>
    </w:p>
    <w:p w14:paraId="07B2D6B0" w14:textId="77777777" w:rsidR="0092761B" w:rsidRPr="0092761B" w:rsidRDefault="0092761B" w:rsidP="0092761B">
      <w:r w:rsidRPr="0092761B">
        <w:t xml:space="preserve">Treatment with LUM in combination with IVA did not result in any improvement in </w:t>
      </w:r>
      <w:r w:rsidR="00A347E8">
        <w:t>body mass index</w:t>
      </w:r>
      <w:r w:rsidR="00A347E8" w:rsidRPr="0092761B">
        <w:t xml:space="preserve"> </w:t>
      </w:r>
      <w:r w:rsidR="00A347E8">
        <w:t>(</w:t>
      </w:r>
      <w:r w:rsidRPr="0092761B">
        <w:t>BMI</w:t>
      </w:r>
      <w:r w:rsidR="00A347E8">
        <w:t>)</w:t>
      </w:r>
      <w:r w:rsidRPr="0092761B">
        <w:t xml:space="preserve"> or weight.</w:t>
      </w:r>
    </w:p>
    <w:p w14:paraId="72E2C3EC" w14:textId="77777777" w:rsidR="0092761B" w:rsidRPr="0092761B" w:rsidRDefault="0092761B" w:rsidP="0092761B">
      <w:pPr>
        <w:pStyle w:val="Heading5"/>
      </w:pPr>
      <w:r w:rsidRPr="0092761B">
        <w:t>Time course of pharmacodynamic effects</w:t>
      </w:r>
    </w:p>
    <w:p w14:paraId="00833876" w14:textId="77777777" w:rsidR="0092761B" w:rsidRPr="0092761B" w:rsidRDefault="0092761B" w:rsidP="0092761B">
      <w:pPr>
        <w:pStyle w:val="ListBullet"/>
      </w:pPr>
      <w:r w:rsidRPr="0092761B">
        <w:t>In subjects with CF who were homozygous for the F508del-CFTR mutation, reductions from baseline in mean sweat chloride were observed as early as Day 7 following administration of 50, 100, and 200 mg LUM alone and tended to be largest in the 200 mg group. The magnitude of decreases in these 3 groups did not increase with time, and the decreases were not sustained at follow-up.</w:t>
      </w:r>
    </w:p>
    <w:p w14:paraId="4519C6EE" w14:textId="77777777" w:rsidR="0092761B" w:rsidRPr="0092761B" w:rsidRDefault="0092761B" w:rsidP="0092761B">
      <w:pPr>
        <w:pStyle w:val="ListBullet"/>
      </w:pPr>
      <w:r w:rsidRPr="0092761B">
        <w:t xml:space="preserve">In homozygous subjects, following co-administration with 400 mg LUM q12h/250 mg IVA q12h as a free combination, the LS mean difference of absolute change in sweat chloride from baseline was </w:t>
      </w:r>
      <w:r w:rsidRPr="0092761B">
        <w:noBreakHyphen/>
        <w:t xml:space="preserve">2.154 and the treatment difference verses combination placebo was </w:t>
      </w:r>
      <w:r w:rsidRPr="0092761B">
        <w:noBreakHyphen/>
        <w:t xml:space="preserve">3.78. Following administration of 400 mg LUM QD/250 mg IVA q12h these values were </w:t>
      </w:r>
      <w:r w:rsidRPr="0092761B">
        <w:noBreakHyphen/>
        <w:t xml:space="preserve">1.04 and </w:t>
      </w:r>
      <w:r w:rsidRPr="0092761B">
        <w:noBreakHyphen/>
        <w:t>2.67, respectively. However, none of these differences reached statistical significance with p values ranging from 0.365 to 0.664.</w:t>
      </w:r>
    </w:p>
    <w:p w14:paraId="08F17DEB" w14:textId="77777777" w:rsidR="0092761B" w:rsidRPr="0092761B" w:rsidRDefault="0092761B" w:rsidP="0092761B">
      <w:pPr>
        <w:pStyle w:val="ListBullet"/>
      </w:pPr>
      <w:r w:rsidRPr="0092761B">
        <w:t>When LUM was administered q12h in combination with IVA there were significant differences in both LS mean relative change from Day 28 (Δ = 8.24, p = 0.012) and treatment difference verses placebo (Δ = 10.3, p = 0.010) in ppFEV1, whereas, there was no significant difference in these measures when LUM was administered QD in combination with IVA.</w:t>
      </w:r>
    </w:p>
    <w:p w14:paraId="33785D10" w14:textId="77777777" w:rsidR="0092761B" w:rsidRPr="0092761B" w:rsidRDefault="0092761B" w:rsidP="0092761B">
      <w:pPr>
        <w:pStyle w:val="Heading5"/>
      </w:pPr>
      <w:r w:rsidRPr="0092761B">
        <w:t>Relationship between drug concentration and pharmacodynamic effects</w:t>
      </w:r>
    </w:p>
    <w:p w14:paraId="2B970D99" w14:textId="5D9FD810" w:rsidR="0092761B" w:rsidRPr="0092761B" w:rsidRDefault="0092761B" w:rsidP="0092761B">
      <w:pPr>
        <w:pStyle w:val="Heading6"/>
      </w:pPr>
      <w:r w:rsidRPr="0092761B">
        <w:t xml:space="preserve">Sweat </w:t>
      </w:r>
      <w:r w:rsidR="00844954">
        <w:t>c</w:t>
      </w:r>
      <w:r w:rsidRPr="0092761B">
        <w:t>hloride</w:t>
      </w:r>
    </w:p>
    <w:p w14:paraId="5CF177CE" w14:textId="77777777" w:rsidR="0092761B" w:rsidRPr="0092761B" w:rsidRDefault="0092761B" w:rsidP="0092761B">
      <w:r w:rsidRPr="0092761B">
        <w:t xml:space="preserve">In the target population, although, LUM AUC and </w:t>
      </w:r>
      <w:r w:rsidR="003C0CF8" w:rsidRPr="0092761B">
        <w:t>C</w:t>
      </w:r>
      <w:r w:rsidR="003C0CF8" w:rsidRPr="003C0CF8">
        <w:rPr>
          <w:vertAlign w:val="subscript"/>
        </w:rPr>
        <w:t>min</w:t>
      </w:r>
      <w:r w:rsidRPr="0092761B">
        <w:t xml:space="preserve"> values were 1.28 fold and 1.83 fold higher, respectively, following administration of 400 mg LUM q12h/250 mg IVA q12h than following 600 mg LUM QD/250 mg IVA q12h, the treatment difference for sweat chloride from Day 28 at Day 56 was lower following 400 mg LUM q12h (</w:t>
      </w:r>
      <w:r w:rsidRPr="0092761B">
        <w:noBreakHyphen/>
        <w:t>3.78) than following 60</w:t>
      </w:r>
      <w:r w:rsidR="003C0CF8">
        <w:t>0 </w:t>
      </w:r>
      <w:r w:rsidRPr="0092761B">
        <w:t>mg LUM QD (</w:t>
      </w:r>
      <w:r w:rsidRPr="0092761B">
        <w:noBreakHyphen/>
        <w:t>4.53). It should be noted that neither of these treatment differences were statistically significant (p = 0.365 and 0.161, respectively) and given the relatively minor improvement in sweat chloride following dosing with 600 mg LUM QD (approximately 1.2 fold), any difference in sweat chloride response between the two dosing regimens is unlikely to be clinically significant.</w:t>
      </w:r>
    </w:p>
    <w:p w14:paraId="368DEFC8" w14:textId="5FD45568" w:rsidR="0092761B" w:rsidRPr="0092761B" w:rsidRDefault="0092761B" w:rsidP="0092761B">
      <w:pPr>
        <w:pStyle w:val="Heading6"/>
      </w:pPr>
      <w:r w:rsidRPr="0092761B">
        <w:t xml:space="preserve">Pulmonary </w:t>
      </w:r>
      <w:r w:rsidR="00844954">
        <w:t>f</w:t>
      </w:r>
      <w:r w:rsidRPr="0092761B">
        <w:t>unction</w:t>
      </w:r>
    </w:p>
    <w:p w14:paraId="7E348C3E" w14:textId="77777777" w:rsidR="0092761B" w:rsidRPr="0092761B" w:rsidRDefault="0092761B" w:rsidP="0092761B">
      <w:r w:rsidRPr="0092761B">
        <w:t xml:space="preserve">Despite evidence of higher LUM AUC and </w:t>
      </w:r>
      <w:r w:rsidR="003C0CF8" w:rsidRPr="0092761B">
        <w:t>C</w:t>
      </w:r>
      <w:r w:rsidR="003C0CF8" w:rsidRPr="003C0CF8">
        <w:rPr>
          <w:vertAlign w:val="subscript"/>
        </w:rPr>
        <w:t>min</w:t>
      </w:r>
      <w:r w:rsidRPr="0092761B">
        <w:t xml:space="preserve"> values following administration of 400 mg LUM q12h/250 mg IVA q12h, the greatest improvement in lung function in the target population, based on ppFEV1, was seen in the group receiving 600 mg LUM QD/250 mg IVA q12h. No clear trends between LUM or IVA average trough concentrations versus absolute change in ppFEV1 were identified. In an analysis of ppFEV1 responders, who were defined as &gt; 5% average relative ch</w:t>
      </w:r>
      <w:r w:rsidR="00303FCD">
        <w:t>ange in ppFEV1</w:t>
      </w:r>
      <w:r w:rsidRPr="0092761B">
        <w:t xml:space="preserve"> from Week 16 to Week 24 and non-responders as &lt; 5% average relative change in ppFEV1 from Week 16 to Week 24 there was no clear differentiation in exposure between responders and non-responders. In addition, no differentiation in exposure between subjects with and without pulmonary exacerbation events could be identified. Nor was there a clear differentiation in exposure between subjects with and without pulmonary exacerbation hospitalisation visits. By contrast, a dose dependent decline in ppFEV1 was identified following a range of LUM </w:t>
      </w:r>
      <w:r w:rsidRPr="0092761B">
        <w:lastRenderedPageBreak/>
        <w:t>doses when administered as a monotherapy, with a significant within group decline identified in the 400 mg LUM q12h group (p = 0.032). However, there were no clear trends between LUM or IVA average trough concentrations and absolute change in ppFEV1.</w:t>
      </w:r>
    </w:p>
    <w:p w14:paraId="40F51664" w14:textId="77777777" w:rsidR="0092761B" w:rsidRPr="0092761B" w:rsidRDefault="0092761B" w:rsidP="0092761B">
      <w:pPr>
        <w:pStyle w:val="Heading6"/>
      </w:pPr>
      <w:r w:rsidRPr="0092761B">
        <w:t>Liver function</w:t>
      </w:r>
    </w:p>
    <w:p w14:paraId="1568DB83" w14:textId="77777777" w:rsidR="0092761B" w:rsidRPr="0092761B" w:rsidRDefault="0092761B" w:rsidP="0092761B">
      <w:r w:rsidRPr="0092761B">
        <w:t>Linear regr</w:t>
      </w:r>
      <w:r w:rsidR="00A1399A">
        <w:t>ession analysis of LUM C</w:t>
      </w:r>
      <w:r w:rsidR="00A1399A" w:rsidRPr="00A1399A">
        <w:rPr>
          <w:vertAlign w:val="subscript"/>
        </w:rPr>
        <w:t>trough,</w:t>
      </w:r>
      <w:r w:rsidRPr="00A1399A">
        <w:rPr>
          <w:vertAlign w:val="subscript"/>
        </w:rPr>
        <w:t>ave</w:t>
      </w:r>
      <w:r w:rsidRPr="0092761B">
        <w:t xml:space="preserve"> versus absolute change in creatinine clearance by dose groups did not identify any trends between LUM pre-dose concentration and baseline creatinine clearance. In addition, no clear trends were observed between Day 15 concentrations of LUM or IVA and absolute change in </w:t>
      </w:r>
      <w:r w:rsidR="00CB1352">
        <w:t>alanine aminotransferase</w:t>
      </w:r>
      <w:r w:rsidR="00CB1352" w:rsidRPr="0092761B">
        <w:t xml:space="preserve"> </w:t>
      </w:r>
      <w:r w:rsidR="00CB1352">
        <w:t>(</w:t>
      </w:r>
      <w:r w:rsidRPr="0092761B">
        <w:t>ALT</w:t>
      </w:r>
      <w:r w:rsidR="00CB1352">
        <w:t>)</w:t>
      </w:r>
      <w:r w:rsidRPr="0092761B">
        <w:t xml:space="preserve"> or </w:t>
      </w:r>
      <w:r w:rsidR="00A347E8">
        <w:t>aspartate aminotransferase</w:t>
      </w:r>
      <w:r w:rsidR="00A347E8" w:rsidRPr="0092761B">
        <w:t xml:space="preserve"> </w:t>
      </w:r>
      <w:r w:rsidR="00A347E8">
        <w:t>(</w:t>
      </w:r>
      <w:r w:rsidRPr="0092761B">
        <w:t>AST</w:t>
      </w:r>
      <w:r w:rsidR="00A347E8">
        <w:t>)</w:t>
      </w:r>
      <w:r w:rsidRPr="0092761B">
        <w:t>.</w:t>
      </w:r>
    </w:p>
    <w:p w14:paraId="72B9FA9E" w14:textId="77777777" w:rsidR="0092761B" w:rsidRPr="0092761B" w:rsidRDefault="0092761B" w:rsidP="0092761B">
      <w:pPr>
        <w:pStyle w:val="Heading6"/>
      </w:pPr>
      <w:r w:rsidRPr="0092761B">
        <w:t>Genetic, gender and age related differences in pharmacodynamic response</w:t>
      </w:r>
    </w:p>
    <w:p w14:paraId="63D06AEB" w14:textId="77777777" w:rsidR="0092761B" w:rsidRPr="0092761B" w:rsidRDefault="0092761B" w:rsidP="0092761B">
      <w:r w:rsidRPr="0092761B">
        <w:t>An exposure response analysis of LUM and IVA based on AUC</w:t>
      </w:r>
      <w:r w:rsidRPr="00111E67">
        <w:rPr>
          <w:vertAlign w:val="subscript"/>
        </w:rPr>
        <w:t>0-24</w:t>
      </w:r>
      <w:r w:rsidR="00111E67" w:rsidRPr="00111E67">
        <w:rPr>
          <w:vertAlign w:val="subscript"/>
        </w:rPr>
        <w:t>h</w:t>
      </w:r>
      <w:r w:rsidRPr="0092761B">
        <w:t xml:space="preserve"> identified that the linear slope of LUM effect (SLOPE809) estimate (bootstrap 95% CI) for the reference covariate effects (male, less than 24 years) was 0.</w:t>
      </w:r>
      <w:r w:rsidR="00A1399A">
        <w:t xml:space="preserve">00942 (0.00702, 0.0117) %/µg/mL </w:t>
      </w:r>
      <w:r w:rsidRPr="0092761B">
        <w:t>h. For the typical subject, this translates to an absolute increase of 4.2% (3.13, 5.22) for a 400 mg q12h LUM dose and an increase of 3.32 % (2.48, 4.13) for the 600 mg QD dose. The slope of the drug effect was also affected by age with the slope decreasing with increasing age beyond 24 years.</w:t>
      </w:r>
    </w:p>
    <w:p w14:paraId="4DA2AC63" w14:textId="77777777" w:rsidR="0092761B" w:rsidRPr="0092761B" w:rsidRDefault="0092761B" w:rsidP="0092761B">
      <w:pPr>
        <w:pStyle w:val="Heading6"/>
      </w:pPr>
      <w:r w:rsidRPr="0092761B">
        <w:t>Pharmacodynamic interactions</w:t>
      </w:r>
    </w:p>
    <w:p w14:paraId="74BC24D5" w14:textId="77777777" w:rsidR="0092761B" w:rsidRPr="0092761B" w:rsidRDefault="0092761B" w:rsidP="0092761B">
      <w:r w:rsidRPr="0092761B">
        <w:t>An asymptomatic, generally mild decline in FEV1 within 4 h of treatment with LUM in combination with IVA was identified. Long acting bronchodilators (indacaterol and tiotropium) largely prevented the mild decline observed in FEV1 following dosing w</w:t>
      </w:r>
      <w:r w:rsidR="00A1399A">
        <w:t>ith LUM in combination with IVA</w:t>
      </w:r>
      <w:r w:rsidRPr="0092761B">
        <w:t xml:space="preserve"> and treatment with short acting bronchodilators (albuterol and ipratropium) led to a reversal of the decline.</w:t>
      </w:r>
    </w:p>
    <w:p w14:paraId="70DDFB88" w14:textId="77777777" w:rsidR="0092761B" w:rsidRPr="0092761B" w:rsidRDefault="0092761B" w:rsidP="0092761B">
      <w:pPr>
        <w:pStyle w:val="Heading5"/>
      </w:pPr>
      <w:r w:rsidRPr="0092761B">
        <w:t>Limitations of the PD studies</w:t>
      </w:r>
    </w:p>
    <w:p w14:paraId="0F078FDD" w14:textId="77777777" w:rsidR="0092761B" w:rsidRPr="0092761B" w:rsidRDefault="0092761B" w:rsidP="0092761B">
      <w:pPr>
        <w:pStyle w:val="ListBullet"/>
      </w:pPr>
      <w:r w:rsidRPr="0092761B">
        <w:t>No PK/PD studies examined the effect of the FDC on sweat chloride in the target population of patients with CF who were homozygous for the F508del-CFTR mutation.</w:t>
      </w:r>
    </w:p>
    <w:p w14:paraId="3026C3B7" w14:textId="77777777" w:rsidR="0092761B" w:rsidRPr="0092761B" w:rsidRDefault="0092761B" w:rsidP="0092761B">
      <w:pPr>
        <w:pStyle w:val="ListBullet"/>
      </w:pPr>
      <w:r w:rsidRPr="0092761B">
        <w:t>No PK/PD studies examined the relationship between drug concentration and effect on sweat chloride following doses of the FDC in the target population.</w:t>
      </w:r>
    </w:p>
    <w:p w14:paraId="5A2F0052" w14:textId="77777777" w:rsidR="0092761B" w:rsidRPr="0092761B" w:rsidRDefault="0092761B" w:rsidP="0092761B">
      <w:pPr>
        <w:pStyle w:val="ListBullet"/>
      </w:pPr>
      <w:r w:rsidRPr="0092761B">
        <w:t>No PK/PD studies examined the effects of the FDC on lung function in the target population (homozygous subjects).</w:t>
      </w:r>
    </w:p>
    <w:p w14:paraId="582C3682" w14:textId="77777777" w:rsidR="008E7846" w:rsidRDefault="00605AD4" w:rsidP="00605AD4">
      <w:pPr>
        <w:pStyle w:val="Heading3"/>
      </w:pPr>
      <w:bookmarkStart w:id="89" w:name="_Toc462141656"/>
      <w:r>
        <w:t>Dosage selection for the pivotal studies</w:t>
      </w:r>
      <w:bookmarkEnd w:id="89"/>
    </w:p>
    <w:p w14:paraId="33340892" w14:textId="77777777" w:rsidR="00B957DB" w:rsidRPr="00B957DB" w:rsidRDefault="00B957DB" w:rsidP="00B957DB">
      <w:r w:rsidRPr="00B957DB">
        <w:t>Lumacaftor monotherapy has been investigated in 2 clinical studies in subjects with CF (Study VX08-809-101 (Study 101) and VX09-809-102 (Study 102)).</w:t>
      </w:r>
    </w:p>
    <w:p w14:paraId="6E399FBB" w14:textId="77777777" w:rsidR="00B957DB" w:rsidRPr="00B957DB" w:rsidRDefault="008C6759" w:rsidP="00B957DB">
      <w:r>
        <w:t>For a more detailed description of these studies please see Attachment 2.</w:t>
      </w:r>
    </w:p>
    <w:p w14:paraId="33B1A8D8" w14:textId="0BE6AF90" w:rsidR="00B957DB" w:rsidRPr="00B957DB" w:rsidRDefault="00B957DB" w:rsidP="00507D71">
      <w:pPr>
        <w:pStyle w:val="Comment"/>
        <w:ind w:left="1276" w:hanging="1276"/>
      </w:pPr>
      <w:r w:rsidRPr="00B957DB">
        <w:rPr>
          <w:b/>
        </w:rPr>
        <w:t>Comments</w:t>
      </w:r>
      <w:r w:rsidR="00507D71">
        <w:t>:</w:t>
      </w:r>
      <w:r w:rsidR="00507D71">
        <w:tab/>
      </w:r>
      <w:r w:rsidRPr="00B957DB">
        <w:t xml:space="preserve">Overall, the choice of 2 dosage regimens (LUM 600 mg </w:t>
      </w:r>
      <w:r w:rsidR="009B151C">
        <w:t>QD</w:t>
      </w:r>
      <w:r w:rsidRPr="00B957DB">
        <w:t>/IVA 250 mg q12h and LUM 400 mg q12h/IVA 250 mg q12h) for the Phase III studies was justified.</w:t>
      </w:r>
    </w:p>
    <w:p w14:paraId="41A72D20" w14:textId="77777777" w:rsidR="00B957DB" w:rsidRDefault="008C6759" w:rsidP="00B957DB">
      <w:pPr>
        <w:pStyle w:val="FigureTitle"/>
        <w:rPr>
          <w:lang w:eastAsia="ja-JP"/>
        </w:rPr>
      </w:pPr>
      <w:r>
        <w:rPr>
          <w:lang w:eastAsia="ja-JP"/>
        </w:rPr>
        <w:lastRenderedPageBreak/>
        <w:t>Figure 2. Phase III dosing r</w:t>
      </w:r>
      <w:r w:rsidR="00B957DB">
        <w:rPr>
          <w:lang w:eastAsia="ja-JP"/>
        </w:rPr>
        <w:t>egimens</w:t>
      </w:r>
    </w:p>
    <w:p w14:paraId="457B097A" w14:textId="77777777" w:rsidR="00B957DB" w:rsidRDefault="00B957DB" w:rsidP="00B957DB">
      <w:pPr>
        <w:pStyle w:val="Comment"/>
      </w:pPr>
      <w:r>
        <w:rPr>
          <w:noProof/>
          <w:lang w:eastAsia="en-AU"/>
        </w:rPr>
        <w:drawing>
          <wp:inline distT="0" distB="0" distL="0" distR="0" wp14:anchorId="43196B70" wp14:editId="2F2AC571">
            <wp:extent cx="5400040" cy="2308863"/>
            <wp:effectExtent l="0" t="0" r="0" b="0"/>
            <wp:docPr id="23" name="Picture 23" descr="Figure 2. Phase III dosing regimens&#10;Dosing regimen 1 (LUM 600 mg qd/ IVA 250 mg q 12h); morning LUM/IVA 3 x 200/83; evening 2x IVA 125&#10;Dosing regimen 2 (LUM 400 mg q 12h/ IVA 250 mg q 12h); morning LUM/IVA 2 x 200/125; evening LUM/IVA 2 x 2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2308863"/>
                    </a:xfrm>
                    <a:prstGeom prst="rect">
                      <a:avLst/>
                    </a:prstGeom>
                  </pic:spPr>
                </pic:pic>
              </a:graphicData>
            </a:graphic>
          </wp:inline>
        </w:drawing>
      </w:r>
    </w:p>
    <w:p w14:paraId="1C2779E5" w14:textId="77777777" w:rsidR="00B957DB" w:rsidRPr="00B957DB" w:rsidRDefault="00B957DB" w:rsidP="00A1399A">
      <w:pPr>
        <w:pStyle w:val="TableDescription"/>
      </w:pPr>
      <w:r w:rsidRPr="00B957DB">
        <w:t xml:space="preserve">IVA: ivacaftor; LUM: lumacaftor; </w:t>
      </w:r>
      <w:r w:rsidR="009B151C">
        <w:t>QD</w:t>
      </w:r>
      <w:r w:rsidRPr="00B957DB">
        <w:t>: daily; q12h: every 12 hours</w:t>
      </w:r>
    </w:p>
    <w:p w14:paraId="317C013C" w14:textId="77777777" w:rsidR="008E7846" w:rsidRPr="00254787" w:rsidRDefault="008E7846" w:rsidP="008E7846">
      <w:pPr>
        <w:pStyle w:val="Heading3"/>
      </w:pPr>
      <w:bookmarkStart w:id="90" w:name="_Toc163441372"/>
      <w:bookmarkStart w:id="91" w:name="_Toc196046485"/>
      <w:bookmarkStart w:id="92" w:name="_Toc247691521"/>
      <w:bookmarkStart w:id="93" w:name="_Toc314842504"/>
      <w:bookmarkStart w:id="94" w:name="_Toc462141657"/>
      <w:r w:rsidRPr="00254787">
        <w:t>Efficacy</w:t>
      </w:r>
      <w:bookmarkEnd w:id="90"/>
      <w:bookmarkEnd w:id="91"/>
      <w:bookmarkEnd w:id="92"/>
      <w:bookmarkEnd w:id="93"/>
      <w:bookmarkEnd w:id="94"/>
    </w:p>
    <w:p w14:paraId="7D4839BA" w14:textId="77777777" w:rsidR="00605AD4" w:rsidRDefault="00605AD4" w:rsidP="00605AD4">
      <w:pPr>
        <w:pStyle w:val="Heading4"/>
      </w:pPr>
      <w:bookmarkStart w:id="95" w:name="_Toc184439992"/>
      <w:bookmarkStart w:id="96" w:name="_Toc184440279"/>
      <w:bookmarkStart w:id="97" w:name="_Toc184444657"/>
      <w:bookmarkStart w:id="98" w:name="_Toc196046487"/>
      <w:r>
        <w:t>Studies providing efficacy data</w:t>
      </w:r>
    </w:p>
    <w:p w14:paraId="56DB9A17" w14:textId="77777777" w:rsidR="00B957DB" w:rsidRPr="00B957DB" w:rsidRDefault="00B957DB" w:rsidP="00B957DB">
      <w:pPr>
        <w:pStyle w:val="Heading5"/>
      </w:pPr>
      <w:bookmarkStart w:id="99" w:name="_Toc453937656"/>
      <w:r w:rsidRPr="00B957DB">
        <w:t>Pivotal efficacy studies</w:t>
      </w:r>
      <w:bookmarkEnd w:id="99"/>
    </w:p>
    <w:p w14:paraId="41B35892" w14:textId="77777777" w:rsidR="00B957DB" w:rsidRPr="00B957DB" w:rsidRDefault="00B957DB" w:rsidP="00B957DB">
      <w:pPr>
        <w:pStyle w:val="Heading6"/>
      </w:pPr>
      <w:r w:rsidRPr="00B957DB">
        <w:t>Study VX12-809-103</w:t>
      </w:r>
    </w:p>
    <w:p w14:paraId="1859A851" w14:textId="77777777" w:rsidR="00B957DB" w:rsidRPr="00B957DB" w:rsidRDefault="00B957DB" w:rsidP="00B957DB">
      <w:r w:rsidRPr="00B957DB">
        <w:t>The primary objective of this pivotal Phase III, double blind, placebo controlled, parallel group study was to evaluate the efficacy of lumacaftor in combination with ivacaftor at Week 24 in 549 subjects with CF</w:t>
      </w:r>
      <w:r w:rsidR="00111E67">
        <w:t xml:space="preserve"> who were homozygous for the F5</w:t>
      </w:r>
      <w:r w:rsidRPr="00B957DB">
        <w:t>08del-CFTR mutation. Two dosing regimens were evaluated: LUM 600 mg qd/IVA 250 mg q12h and LUM 400 mg q12h/IVA 250 mg q12h. The primary efficacy endpoint was absolute ch</w:t>
      </w:r>
      <w:r w:rsidR="00303FCD">
        <w:t>ange from baseline in</w:t>
      </w:r>
      <w:r w:rsidRPr="00B957DB">
        <w:t xml:space="preserve"> </w:t>
      </w:r>
      <w:r w:rsidR="00303FCD">
        <w:t>pp</w:t>
      </w:r>
      <w:r w:rsidRPr="00B957DB">
        <w:t>FEV1 at Week 24 (assessed as the average treatment effect at Week 16 and at Week 24), and the key secondary endpoints were relative change fr</w:t>
      </w:r>
      <w:r w:rsidR="00303FCD">
        <w:t>om baseline in</w:t>
      </w:r>
      <w:r w:rsidRPr="00B957DB">
        <w:t xml:space="preserve"> </w:t>
      </w:r>
      <w:r w:rsidR="00303FCD">
        <w:t>pp</w:t>
      </w:r>
      <w:r w:rsidRPr="00B957DB">
        <w:t xml:space="preserve">FEV1 at Week 24 (assessed as the average treatment effect at Week 16 and at Week 24), absolute change from baseline in BMI at Week 24, absolute change from baseline in CFQ-R respiratory domain score at Week 24, response defined as </w:t>
      </w:r>
      <w:r w:rsidR="00026051">
        <w:t xml:space="preserve">≥ </w:t>
      </w:r>
      <w:r w:rsidRPr="00B957DB">
        <w:t xml:space="preserve"> 5% increase in average relative change from baseline in </w:t>
      </w:r>
      <w:r w:rsidR="00303FCD">
        <w:t>pp</w:t>
      </w:r>
      <w:r w:rsidRPr="00B957DB">
        <w:t>FEV1 at Week 16 and at Week 24, and number of pulmonary exacerbations through Week 24. The overall study design, treatment duration and efficacy endpoints of this well</w:t>
      </w:r>
      <w:r w:rsidR="00026051">
        <w:t xml:space="preserve"> </w:t>
      </w:r>
      <w:r w:rsidRPr="00B957DB">
        <w:t xml:space="preserve">conducted Phase III study complied with </w:t>
      </w:r>
      <w:r w:rsidR="00B72132">
        <w:t>Committee for Medicinal Products for Human Use (</w:t>
      </w:r>
      <w:r w:rsidRPr="00B957DB">
        <w:t>CHMP</w:t>
      </w:r>
      <w:r w:rsidR="00B72132">
        <w:t>)</w:t>
      </w:r>
      <w:r w:rsidRPr="00B957DB">
        <w:t xml:space="preserve"> guidelines for evaluation of medicinal products for treatment of CF.</w:t>
      </w:r>
    </w:p>
    <w:p w14:paraId="429AE5A5" w14:textId="77777777" w:rsidR="00B957DB" w:rsidRPr="00B957DB" w:rsidRDefault="00B957DB" w:rsidP="00B957DB">
      <w:r w:rsidRPr="00B957DB">
        <w:t>The primary and key secondary efficacy results are summar</w:t>
      </w:r>
      <w:r w:rsidR="00A02EC9">
        <w:t>ise</w:t>
      </w:r>
      <w:r w:rsidR="008C6759">
        <w:t>d in Table 8</w:t>
      </w:r>
      <w:r w:rsidRPr="00B957DB">
        <w:t>.</w:t>
      </w:r>
    </w:p>
    <w:p w14:paraId="4B68C9F3" w14:textId="77777777" w:rsidR="00B957DB" w:rsidRPr="00B957DB" w:rsidRDefault="008C6759" w:rsidP="00B957DB">
      <w:pPr>
        <w:pStyle w:val="Tabletitle0"/>
      </w:pPr>
      <w:r w:rsidRPr="008C6759">
        <w:lastRenderedPageBreak/>
        <w:t>Table 8</w:t>
      </w:r>
      <w:r w:rsidR="00B957DB" w:rsidRPr="00B957DB">
        <w:t>. Primary and key secondary efficacy results</w:t>
      </w:r>
    </w:p>
    <w:p w14:paraId="0E185568" w14:textId="77777777" w:rsidR="00B957DB" w:rsidRDefault="00B957DB" w:rsidP="00507D71">
      <w:r>
        <w:rPr>
          <w:noProof/>
          <w:lang w:eastAsia="en-AU"/>
        </w:rPr>
        <w:drawing>
          <wp:inline distT="0" distB="0" distL="0" distR="0" wp14:anchorId="212A3DA2" wp14:editId="6C8B37B5">
            <wp:extent cx="5400040" cy="6475433"/>
            <wp:effectExtent l="0" t="0" r="0" b="1905"/>
            <wp:docPr id="24" name="Picture 24" descr="Table 8. Primary and key secondary efficac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6475433"/>
                    </a:xfrm>
                    <a:prstGeom prst="rect">
                      <a:avLst/>
                    </a:prstGeom>
                  </pic:spPr>
                </pic:pic>
              </a:graphicData>
            </a:graphic>
          </wp:inline>
        </w:drawing>
      </w:r>
    </w:p>
    <w:p w14:paraId="5691405C" w14:textId="21E613F3" w:rsidR="00E60BB8" w:rsidRPr="00E60BB8" w:rsidRDefault="00E60BB8" w:rsidP="00E60BB8">
      <w:r w:rsidRPr="00E60BB8">
        <w:t>The test for treatment effect was considered statistically s</w:t>
      </w:r>
      <w:r w:rsidR="006D5004">
        <w:t>ignificant if the p value was ≤ </w:t>
      </w:r>
      <w:r w:rsidRPr="00E60BB8">
        <w:t xml:space="preserve">0.0250 and all previous tests within the testing hierarchy also met this level of significance. Based on these statistical testing procedures, the absolute change from baseline in </w:t>
      </w:r>
      <w:r w:rsidR="00303FCD">
        <w:t>pp</w:t>
      </w:r>
      <w:r w:rsidRPr="00E60BB8">
        <w:t xml:space="preserve">FEV1 at Week 24 (assessed as the average treatment effect at Week 16 and at Week 24) and the relative change from baseline in </w:t>
      </w:r>
      <w:r w:rsidR="00303FCD">
        <w:t>pp</w:t>
      </w:r>
      <w:r w:rsidRPr="00E60BB8">
        <w:t>FEV1 at Week 24 (assessed as the average treatment effect at Week 16 and at Week 24) were considered statistically significant within the framework of the testing hierarchy. Although, both active treatment groups showed numerical improvements over placebo in change in BMI and CFQ-R respiratory domain scores, the difference was not statistically significant.</w:t>
      </w:r>
    </w:p>
    <w:p w14:paraId="1D5EF180" w14:textId="77777777" w:rsidR="00E60BB8" w:rsidRPr="00E60BB8" w:rsidRDefault="00E60BB8" w:rsidP="00E60BB8">
      <w:r w:rsidRPr="00E60BB8">
        <w:t xml:space="preserve">Both active treatment groups demonstrated statistically significant treatment differences in favour of lumacaftor in combination with ivacaftor for the primary endpoint, with improvements in lung function that were consistent. The treatment effect was rapid and </w:t>
      </w:r>
      <w:r w:rsidRPr="00E60BB8">
        <w:lastRenderedPageBreak/>
        <w:t xml:space="preserve">sustained across all visits during the treatment period. The percentage of responders (defined as &gt; 5% increase in average relative change from baseline in </w:t>
      </w:r>
      <w:r w:rsidR="00303FCD">
        <w:t>pp</w:t>
      </w:r>
      <w:r w:rsidRPr="00E60BB8">
        <w:t xml:space="preserve">FEV1 at </w:t>
      </w:r>
      <w:r w:rsidR="00E65C2F">
        <w:t>Week</w:t>
      </w:r>
      <w:r w:rsidRPr="00E60BB8">
        <w:t xml:space="preserve"> 16 and 24) was also significantly higher in both active groups compared with placebo (46.4%, 36.8% and 22.3% in LUM 600 mg </w:t>
      </w:r>
      <w:r w:rsidR="009B151C" w:rsidRPr="00E60BB8">
        <w:t>QD</w:t>
      </w:r>
      <w:r w:rsidRPr="00E60BB8">
        <w:t>/ IVA 250 mg q12h, LUM 400 mg q12h/IVA 250 mg q12h and placebo groups, respectively). However, no statistically significant Improvements in measures of nutritional status (BMI and weight) were observed.</w:t>
      </w:r>
    </w:p>
    <w:p w14:paraId="5E637A70" w14:textId="77777777" w:rsidR="00E60BB8" w:rsidRPr="00E60BB8" w:rsidRDefault="00E60BB8" w:rsidP="00E60BB8">
      <w:r w:rsidRPr="00E60BB8">
        <w:t xml:space="preserve">There were robust reductions in the rate of pulmonary exacerbations, including statistically significant reductions in severe pulmonary exacerbations requiring hospitalization or IV antibiotic therapy. Treatment with lumacaftor in combination with ivacaftor resulted in favourable changes in the </w:t>
      </w:r>
      <w:r w:rsidR="00303FCD">
        <w:t>EuroQol 3-Level</w:t>
      </w:r>
      <w:r w:rsidR="00303FCD" w:rsidRPr="00E60BB8">
        <w:t xml:space="preserve"> </w:t>
      </w:r>
      <w:r w:rsidR="00303FCD">
        <w:t>(</w:t>
      </w:r>
      <w:r w:rsidRPr="00E60BB8">
        <w:t>EQ-5D-3L</w:t>
      </w:r>
      <w:r w:rsidR="00303FCD">
        <w:t>)</w:t>
      </w:r>
      <w:r w:rsidRPr="00E60BB8">
        <w:t xml:space="preserve"> VAS score and some TSQM domains (effectiveness and global satisfaction domains).</w:t>
      </w:r>
    </w:p>
    <w:p w14:paraId="295D0AB5" w14:textId="77777777" w:rsidR="00E60BB8" w:rsidRPr="00E60BB8" w:rsidRDefault="00E60BB8" w:rsidP="00E60BB8">
      <w:r w:rsidRPr="00E60BB8">
        <w:t xml:space="preserve">Compared to the LUM 400 mg q12h/IVA 250 mg q12h group, patients in the LUM 600 mg </w:t>
      </w:r>
      <w:r w:rsidR="009B151C" w:rsidRPr="00E60BB8">
        <w:t>QD</w:t>
      </w:r>
      <w:r w:rsidRPr="00E60BB8">
        <w:t xml:space="preserve">/IVA 250 mg q12h showed numerically greater improvements in terms of absolute and relative change from baseline in percent predicted change in FEV1 as well as FEV1 responders; only number of pulmonary exacerbations showed greater reduction in the LUM 400 mg q12h/IVA 250 mg q12h group </w:t>
      </w:r>
      <w:r w:rsidRPr="008C6759">
        <w:t xml:space="preserve">(Table </w:t>
      </w:r>
      <w:r w:rsidR="008C6759" w:rsidRPr="008C6759">
        <w:t>8</w:t>
      </w:r>
      <w:r w:rsidRPr="008C6759">
        <w:t>). However</w:t>
      </w:r>
      <w:r w:rsidRPr="00E60BB8">
        <w:t>, interpretation of these differences was difficult as the study was not powered to detect any difference between the 2 active treatment groups.</w:t>
      </w:r>
    </w:p>
    <w:p w14:paraId="71708A6F" w14:textId="77777777" w:rsidR="00E60BB8" w:rsidRPr="00E60BB8" w:rsidRDefault="00E60BB8" w:rsidP="00E60BB8">
      <w:pPr>
        <w:pStyle w:val="Heading6"/>
      </w:pPr>
      <w:r w:rsidRPr="00E60BB8">
        <w:t>Study VX12-809-104</w:t>
      </w:r>
    </w:p>
    <w:p w14:paraId="057BA583" w14:textId="77777777" w:rsidR="00E60BB8" w:rsidRPr="00E60BB8" w:rsidRDefault="00E60BB8" w:rsidP="00E60BB8">
      <w:r w:rsidRPr="00E60BB8">
        <w:t>This was also a well conducted pivotal Phase III study which was identical to Study 103 described above. The primary and key secondary efficacy results are summar</w:t>
      </w:r>
      <w:r w:rsidR="00A02EC9">
        <w:t>ise</w:t>
      </w:r>
      <w:r w:rsidRPr="00E60BB8">
        <w:t xml:space="preserve">d in </w:t>
      </w:r>
      <w:r w:rsidRPr="008C6759">
        <w:t>Table </w:t>
      </w:r>
      <w:r w:rsidR="008C6759" w:rsidRPr="008C6759">
        <w:t>9</w:t>
      </w:r>
      <w:r w:rsidRPr="00E60BB8">
        <w:t>. Results were also similar to those observed in Study 103. Both active treatment groups demonstrated statistically significant treatment differences in favour of lumacaftor in combination with ivacaftor for the primary endpoint with improvements in lung function that were consistent. The treatment effect was rapid and sustained across all visits during the treatment period. Notably, there were robust reductions in the rate of pulmonary exacerbations, including statistically significant reductions in severe pulmonary exacerbations requiring IV antibiotic therapy. Furthermore, this study demonstrated statistically significant improvements in measures of nutritional status (BMI, weight, BMI z-score and weight z-score) which were not shown in Study 103. Results of all sensitivity and supportive analyses were consistent with the results of the primary analyses. For some endpoints, the treatment effect numerically favoured 1 dosing regimen versus the other. However, the study was not powered to detect statistical differences between the 2 dosing regimens.</w:t>
      </w:r>
    </w:p>
    <w:p w14:paraId="73893654" w14:textId="77777777" w:rsidR="00E60BB8" w:rsidRDefault="00E60BB8" w:rsidP="00E60BB8">
      <w:pPr>
        <w:pStyle w:val="Tabletitle0"/>
      </w:pPr>
      <w:r>
        <w:lastRenderedPageBreak/>
        <w:t xml:space="preserve">Table </w:t>
      </w:r>
      <w:r w:rsidR="008C6759">
        <w:t>9</w:t>
      </w:r>
      <w:r>
        <w:t xml:space="preserve"> Study 104 Primary and key secondary efficacy results</w:t>
      </w:r>
    </w:p>
    <w:p w14:paraId="71F62701" w14:textId="77777777" w:rsidR="00B957DB" w:rsidRDefault="00E60BB8" w:rsidP="00507D71">
      <w:r>
        <w:rPr>
          <w:noProof/>
          <w:lang w:eastAsia="en-AU"/>
        </w:rPr>
        <w:drawing>
          <wp:inline distT="0" distB="0" distL="0" distR="0" wp14:anchorId="33E4FC03" wp14:editId="72A4D03C">
            <wp:extent cx="5400040" cy="6358893"/>
            <wp:effectExtent l="0" t="0" r="0" b="3810"/>
            <wp:docPr id="25" name="Picture 25" descr="Table 9 Study 104 Primary and key secondary efficac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6358893"/>
                    </a:xfrm>
                    <a:prstGeom prst="rect">
                      <a:avLst/>
                    </a:prstGeom>
                  </pic:spPr>
                </pic:pic>
              </a:graphicData>
            </a:graphic>
          </wp:inline>
        </w:drawing>
      </w:r>
    </w:p>
    <w:p w14:paraId="0B434030" w14:textId="24717142" w:rsidR="00E60BB8" w:rsidRPr="00E60BB8" w:rsidRDefault="00E60BB8" w:rsidP="00E60BB8">
      <w:pPr>
        <w:pStyle w:val="Heading5"/>
      </w:pPr>
      <w:r>
        <w:t>Other studies</w:t>
      </w:r>
    </w:p>
    <w:p w14:paraId="2E02176D" w14:textId="77777777" w:rsidR="00B91B63" w:rsidRPr="00B91B63" w:rsidRDefault="00E60BB8" w:rsidP="00B91B63">
      <w:pPr>
        <w:pStyle w:val="ListBullet"/>
      </w:pPr>
      <w:r w:rsidRPr="00E60BB8">
        <w:t>Study VX12-809-105</w:t>
      </w:r>
      <w:r w:rsidR="00B91B63">
        <w:t xml:space="preserve">. </w:t>
      </w:r>
      <w:r w:rsidR="00B91B63" w:rsidRPr="00B91B63">
        <w:t>This was a Phase III, parallel group, multicentre, rollover study in subjects with CF who were homozygous or heterozygous for the F508del-CFTR mutation and who participated in Study 103, Study 104, or Cohort 4 of Study 102. The study consisted of 2 parts (Part A and Part B)</w:t>
      </w:r>
    </w:p>
    <w:p w14:paraId="21498DF6" w14:textId="77777777" w:rsidR="00E60BB8" w:rsidRPr="00B91B63" w:rsidRDefault="00E60BB8" w:rsidP="00E60BB8">
      <w:pPr>
        <w:pStyle w:val="ListBullet"/>
      </w:pPr>
      <w:r w:rsidRPr="00E60BB8">
        <w:t>Study VX-08-770-104</w:t>
      </w:r>
      <w:r w:rsidR="00B91B63">
        <w:t xml:space="preserve">. </w:t>
      </w:r>
      <w:r w:rsidR="00B91B63" w:rsidRPr="00B91B63">
        <w:t>This study was a Phase II, random</w:t>
      </w:r>
      <w:r w:rsidR="00A02EC9">
        <w:t>ise</w:t>
      </w:r>
      <w:r w:rsidR="00B91B63" w:rsidRPr="00B91B63">
        <w:t>d, double blind, placebo controlled, parallel group study (Part A) with an open label extension (Part B) of orally administered ivacaftor (VX-770) in 140 subjects aged &gt; 12 years with CF homozygous for the F508del-CFTR mutation.</w:t>
      </w:r>
    </w:p>
    <w:p w14:paraId="1DD7D649" w14:textId="77777777" w:rsidR="00B91B63" w:rsidRPr="00B91B63" w:rsidRDefault="00B91B63" w:rsidP="00B91B63">
      <w:pPr>
        <w:pStyle w:val="Heading5"/>
      </w:pPr>
      <w:bookmarkStart w:id="100" w:name="_Toc453937658"/>
      <w:r w:rsidRPr="00B91B63">
        <w:lastRenderedPageBreak/>
        <w:t>Analyses performed across trials (pooled analyses and meta-analyses)</w:t>
      </w:r>
      <w:bookmarkEnd w:id="100"/>
    </w:p>
    <w:p w14:paraId="7C445FAB" w14:textId="77777777" w:rsidR="00B91B63" w:rsidRPr="00B91B63" w:rsidRDefault="00B91B63" w:rsidP="00B91B63">
      <w:r w:rsidRPr="00B91B63">
        <w:t>Data from Studies 103 and 104 were pooled for analysis because of the similarity in the study design, population, and treatment regimens. Analysis of pooled data allowed exploration of any possible trends in subpopulations and pulmonary exacerbation endpoints.</w:t>
      </w:r>
    </w:p>
    <w:p w14:paraId="66172951" w14:textId="77777777" w:rsidR="00B91B63" w:rsidRPr="00B91B63" w:rsidRDefault="00B91B63" w:rsidP="00B91B63">
      <w:r w:rsidRPr="00B91B63">
        <w:t>Overall, pooled efficacy analysis from the two pivotal Studies 103 and 104 provided evidence of clinical benefits of lumacaftor and ivacaftor combination therapy in patients 12 years of age and older who are homozygous for the F508del-CFTR mutation. There were significant improvements in lung function, nutritional status and respiratory symptoms (</w:t>
      </w:r>
      <w:r w:rsidRPr="00C01F38">
        <w:t xml:space="preserve">Table </w:t>
      </w:r>
      <w:r w:rsidR="00C01F38">
        <w:t>10</w:t>
      </w:r>
      <w:r w:rsidRPr="00B91B63">
        <w:t>). All treatment effects demonstrated for the primary and secondary endpoints were in addition to the benefit a subject received from standard of care medications (prior and concomitant medications taken by the majority of subjects in these studies included bronchodilators, dornase alpha, inhaled antibiotics, and inhaled hypertonic saline).</w:t>
      </w:r>
    </w:p>
    <w:p w14:paraId="2198EE8E" w14:textId="77777777" w:rsidR="003F4344" w:rsidRPr="003F4344" w:rsidRDefault="00C01F38" w:rsidP="003F4344">
      <w:pPr>
        <w:pStyle w:val="Tabletitle0"/>
      </w:pPr>
      <w:r>
        <w:t>Table 10</w:t>
      </w:r>
      <w:r w:rsidR="003F4344" w:rsidRPr="003F4344">
        <w:t>. Studies 103 and 104 Primary and Key secondary efficacy analysis full analysis set</w:t>
      </w:r>
    </w:p>
    <w:p w14:paraId="0304872B" w14:textId="77777777" w:rsidR="00E60BB8" w:rsidRPr="00E60BB8" w:rsidRDefault="003F4344" w:rsidP="00E60BB8">
      <w:r>
        <w:rPr>
          <w:noProof/>
          <w:lang w:eastAsia="en-AU"/>
        </w:rPr>
        <w:drawing>
          <wp:inline distT="0" distB="0" distL="0" distR="0" wp14:anchorId="37D58323" wp14:editId="15149A94">
            <wp:extent cx="5400040" cy="5495233"/>
            <wp:effectExtent l="0" t="0" r="0" b="0"/>
            <wp:docPr id="26" name="Picture 26" descr="Table 10. Studies 103 and 104 Primary and Key secondary efficacy analysi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5400040" cy="5495233"/>
                    </a:xfrm>
                    <a:prstGeom prst="rect">
                      <a:avLst/>
                    </a:prstGeom>
                  </pic:spPr>
                </pic:pic>
              </a:graphicData>
            </a:graphic>
          </wp:inline>
        </w:drawing>
      </w:r>
    </w:p>
    <w:p w14:paraId="5FC23E55" w14:textId="77777777" w:rsidR="008E7846" w:rsidRDefault="00605AD4" w:rsidP="00605AD4">
      <w:pPr>
        <w:pStyle w:val="Heading4"/>
      </w:pPr>
      <w:r>
        <w:lastRenderedPageBreak/>
        <w:t>Evaluator’s conclusions on efficacy</w:t>
      </w:r>
    </w:p>
    <w:p w14:paraId="39DE282F" w14:textId="77777777" w:rsidR="003F4344" w:rsidRPr="003F4344" w:rsidRDefault="003F4344" w:rsidP="003F4344">
      <w:r w:rsidRPr="003F4344">
        <w:t>Both the pivotal Phase III Studies (103 and 104) were well</w:t>
      </w:r>
      <w:r w:rsidR="00026051">
        <w:t xml:space="preserve"> </w:t>
      </w:r>
      <w:r w:rsidRPr="003F4344">
        <w:t>conducted in over 1,000 patients representative of the target patient population for which approval is being sought in this submission. The study designs</w:t>
      </w:r>
      <w:r w:rsidRPr="00A1399A">
        <w:rPr>
          <w:vertAlign w:val="superscript"/>
        </w:rPr>
        <w:footnoteReference w:id="24"/>
      </w:r>
      <w:r w:rsidRPr="003F4344">
        <w:t>, including the treatment duration of 24 weeks, were developed in general acco</w:t>
      </w:r>
      <w:r w:rsidR="00B72132">
        <w:t>rdance with the CHMP</w:t>
      </w:r>
      <w:r w:rsidRPr="003F4344">
        <w:t xml:space="preserve"> Guideline on the Clinical Development of Medicinal Products for the Treatment of Cystic Fibrosis, the Guidance for Industry for Chronic Obstructive Pulmonary Disease, and precedent from other drugs approved for CF. Furthermore, efficacy endpoints were designed to evaluate lung function (FEV1), respiratory symptoms, pulmonary exacerbations, nutritional effec</w:t>
      </w:r>
      <w:r w:rsidR="00A347E8">
        <w:t xml:space="preserve">ts (weight and </w:t>
      </w:r>
      <w:r w:rsidRPr="003F4344">
        <w:t>BMI) and sweat chloride levels.</w:t>
      </w:r>
    </w:p>
    <w:p w14:paraId="1AB873BC" w14:textId="77777777" w:rsidR="003F4344" w:rsidRPr="003F4344" w:rsidRDefault="003F4344" w:rsidP="003F4344">
      <w:r w:rsidRPr="003F4344">
        <w:t xml:space="preserve">Analysis of the primary endpoint (absolute change in </w:t>
      </w:r>
      <w:r w:rsidR="00A94F3D">
        <w:t>pp</w:t>
      </w:r>
      <w:r w:rsidRPr="003F4344">
        <w:t xml:space="preserve">FEV1 at Week 24, assessed as the average of the treatment effects at Week 16 and at Week 24) showed a statistically significant (p ≤ 0.0004) and consistent treatment effect in both studies for both LUM 600 mg </w:t>
      </w:r>
      <w:r w:rsidR="009B151C" w:rsidRPr="003F4344">
        <w:t>QD</w:t>
      </w:r>
      <w:r w:rsidRPr="003F4344">
        <w:t xml:space="preserve">/IVA 250 mg q12h (4.03 and 2.62 percentage points percentage points in Studies 103 and 104, respectively) and LUM 400 mg q12h/ IVA 250 mg q12h (2.60 and 3.00 percentage points, respectively). Statistically significant improvements in </w:t>
      </w:r>
      <w:r w:rsidR="00A94F3D">
        <w:t>pp</w:t>
      </w:r>
      <w:r w:rsidRPr="003F4344">
        <w:t>FEV1 were rapid in onset and sustained throughout the 24 week treatment period.</w:t>
      </w:r>
    </w:p>
    <w:p w14:paraId="313CB2EA" w14:textId="77777777" w:rsidR="003F4344" w:rsidRPr="003F4344" w:rsidRDefault="003F4344" w:rsidP="003F4344">
      <w:r w:rsidRPr="003F4344">
        <w:t>Improvements were also observed for multiple secondary endpoints:</w:t>
      </w:r>
    </w:p>
    <w:p w14:paraId="00A876A8" w14:textId="77777777" w:rsidR="003F4344" w:rsidRPr="003F4344" w:rsidRDefault="003F4344" w:rsidP="003F4344">
      <w:pPr>
        <w:pStyle w:val="ListBullet"/>
      </w:pPr>
      <w:r w:rsidRPr="003F4344">
        <w:t xml:space="preserve">statistically significant improvements in relative change from baseline in </w:t>
      </w:r>
      <w:r w:rsidR="00A94F3D">
        <w:t>pp</w:t>
      </w:r>
      <w:r w:rsidRPr="003F4344">
        <w:t>FEV1 at Week 24</w:t>
      </w:r>
    </w:p>
    <w:p w14:paraId="59DCAE9F" w14:textId="77777777" w:rsidR="003F4344" w:rsidRPr="003F4344" w:rsidRDefault="003F4344" w:rsidP="003F4344">
      <w:pPr>
        <w:pStyle w:val="ListBullet"/>
      </w:pPr>
      <w:r w:rsidRPr="003F4344">
        <w:t>reduction in the risk of experiencing a pulmonary exacerbation, and the frequency and duration of pulmonary exacerbations</w:t>
      </w:r>
    </w:p>
    <w:p w14:paraId="0223EE52" w14:textId="77777777" w:rsidR="003F4344" w:rsidRPr="003F4344" w:rsidRDefault="003F4344" w:rsidP="003F4344">
      <w:pPr>
        <w:pStyle w:val="ListBullet"/>
      </w:pPr>
      <w:r w:rsidRPr="003F4344">
        <w:t>reduction in pulmonary exacerbations that required hospitalization or IV antibiotic therapy</w:t>
      </w:r>
    </w:p>
    <w:p w14:paraId="377A7597" w14:textId="77777777" w:rsidR="003F4344" w:rsidRPr="003F4344" w:rsidRDefault="003F4344" w:rsidP="003F4344">
      <w:pPr>
        <w:pStyle w:val="ListBullet"/>
      </w:pPr>
      <w:r w:rsidRPr="003F4344">
        <w:t>improved respiratory symptoms as measured by CFQ-R respiratory domain score</w:t>
      </w:r>
    </w:p>
    <w:p w14:paraId="6FFDE55E" w14:textId="77777777" w:rsidR="003F4344" w:rsidRPr="003F4344" w:rsidRDefault="003F4344" w:rsidP="003F4344">
      <w:pPr>
        <w:pStyle w:val="ListBullet"/>
      </w:pPr>
      <w:r w:rsidRPr="003F4344">
        <w:t>improvements in measures of nutritional status, including BMI and weight.</w:t>
      </w:r>
    </w:p>
    <w:p w14:paraId="7A552AE0" w14:textId="77777777" w:rsidR="003F4344" w:rsidRPr="003F4344" w:rsidRDefault="003F4344" w:rsidP="003F4344">
      <w:r w:rsidRPr="003F4344">
        <w:t>The treatment effects demonstrated for the primary and secondary endpoints were in addition to the benefit a subject received from prescribed CF therapies.</w:t>
      </w:r>
    </w:p>
    <w:p w14:paraId="305ACA96" w14:textId="77777777" w:rsidR="003F4344" w:rsidRPr="003F4344" w:rsidRDefault="003F4344" w:rsidP="003F4344">
      <w:r w:rsidRPr="003F4344">
        <w:t xml:space="preserve">Consistent treatment effects were observed in subjects with all degrees of disease severity, according to baseline </w:t>
      </w:r>
      <w:r w:rsidR="00A94F3D">
        <w:t>pp</w:t>
      </w:r>
      <w:r w:rsidRPr="003F4344">
        <w:t xml:space="preserve">FEV1. Subjects with baseline </w:t>
      </w:r>
      <w:r w:rsidR="00A94F3D">
        <w:t>pp</w:t>
      </w:r>
      <w:r w:rsidRPr="003F4344">
        <w:t xml:space="preserve">FEV1 less than 40 had improvements that were at least similar to subjects with higher baseline </w:t>
      </w:r>
      <w:r w:rsidR="00A94F3D">
        <w:t>pp</w:t>
      </w:r>
      <w:r w:rsidRPr="003F4344">
        <w:t>FEV1 values. Consistent treatment effects were also observed regardless of age, sex, geographic region, prior use of CF medications, and P. aeruginosa status.</w:t>
      </w:r>
    </w:p>
    <w:p w14:paraId="261AB609" w14:textId="77777777" w:rsidR="003F4344" w:rsidRPr="003F4344" w:rsidRDefault="003F4344" w:rsidP="003F4344">
      <w:r w:rsidRPr="003F4344">
        <w:t>For some endpoints, the treatment effect numerically favoured 1 dosing regimen versus the other. However, the pivotal studies were not powered to detect statistical differences between the 2 LUM/IVA dosing regimens. However, compared with placebo, treatment with the proposed LUM 400 mg q12h/ IVA 250 mg q12h regimen significantly decreased the risk pulmonary exacerbations by 39% (rate ratio = 0.61, p &lt; 0.0001), reduced risk of exacerbations requiring hospitalisation by 61% (rate ratio = 0.39, p &lt; 0.0001) and reduced exacerbations requiring treatment with intravenous antibiotics by 56% (rate ratio = 0.44, p &lt; 0.0001).</w:t>
      </w:r>
    </w:p>
    <w:p w14:paraId="69C62D11" w14:textId="77777777" w:rsidR="003F4344" w:rsidRPr="003F4344" w:rsidRDefault="003F4344" w:rsidP="003F4344">
      <w:r w:rsidRPr="003F4344">
        <w:t>Based on these results and the simplicity of the twice daily FDC regimen, the sponsors are seeking approval for only the lumacaftor 400 mg/ivacaftor 250 mg q12h dosing regimen administered as an FDC of 2 tablets of LUM 200 mg/IVA 125 mg every 12 hours.</w:t>
      </w:r>
    </w:p>
    <w:p w14:paraId="72BBCF0C" w14:textId="77777777" w:rsidR="003F4344" w:rsidRPr="003F4344" w:rsidRDefault="003F4344" w:rsidP="003F4344">
      <w:r w:rsidRPr="003F4344">
        <w:lastRenderedPageBreak/>
        <w:t>The maintenance of efficacy of Orkambi was confirmed in an ad hoc efficacy analysis which was performed after 95 patients who had received Orkambi (lumacaftor 400 mg/ivacaftor 250 mg q12h) in placebo controlled Phase III Studies 103 or 104 had completed the Week 24 Visit in the rollover, long-term Study 105 (up to 48 weeks of treatment overall). However, there was no evidence of efficacy of proposed lumacaftor 400 mg/ivacaftor 250 mg q12h beyond 48 weeks. Long-term efficacy beyond 48 weeks will require confirmation from ongoing rollover, open label, 96 week Study 105 and the data should be provided for evaluation on completion of this study.</w:t>
      </w:r>
    </w:p>
    <w:p w14:paraId="2A02F273" w14:textId="77777777" w:rsidR="003F4344" w:rsidRPr="003F4344" w:rsidRDefault="003F4344" w:rsidP="003F4344">
      <w:r w:rsidRPr="003F4344">
        <w:t>In conclusion, results from the two pivotal placebo controlled Phase III Studies (103 and 104) and a rollover Study (105) conducted in over 1,000 subjects showed that lumacaftor in combination with ivacaftor was effective in the treatment of CF, as evidenced by rapid and sustained improvements in important clinical outcomes, including FEV1, pulmonary exacerbations, and nutritional status. Thus, lumacaftor in combination with ivacaftor is expected to have broad and meaningful clinical benefit in patients 12 years of age and older who are homozygous for the F508del-CFTR mutation patients with F508del mutation is devastating and lumacaftor plus ivacaftor combination product will provide benefit to these patients over the current standard of care treatment.</w:t>
      </w:r>
    </w:p>
    <w:p w14:paraId="4E1BFF9E" w14:textId="77777777" w:rsidR="008E7846" w:rsidRPr="002E238E" w:rsidRDefault="008E7846" w:rsidP="008E7846">
      <w:pPr>
        <w:pStyle w:val="Heading3"/>
      </w:pPr>
      <w:bookmarkStart w:id="101" w:name="_Toc163441378"/>
      <w:bookmarkStart w:id="102" w:name="_Toc196046495"/>
      <w:bookmarkStart w:id="103" w:name="_Toc247691522"/>
      <w:bookmarkStart w:id="104" w:name="_Toc314842505"/>
      <w:bookmarkStart w:id="105" w:name="_Toc462141658"/>
      <w:bookmarkEnd w:id="95"/>
      <w:bookmarkEnd w:id="96"/>
      <w:bookmarkEnd w:id="97"/>
      <w:bookmarkEnd w:id="98"/>
      <w:r w:rsidRPr="002E238E">
        <w:t>Safety</w:t>
      </w:r>
      <w:bookmarkEnd w:id="101"/>
      <w:bookmarkEnd w:id="102"/>
      <w:bookmarkEnd w:id="103"/>
      <w:bookmarkEnd w:id="104"/>
      <w:bookmarkEnd w:id="105"/>
    </w:p>
    <w:p w14:paraId="232A2213" w14:textId="77777777" w:rsidR="00605AD4" w:rsidRDefault="00605AD4" w:rsidP="00605AD4">
      <w:pPr>
        <w:pStyle w:val="Heading4"/>
      </w:pPr>
      <w:bookmarkStart w:id="106" w:name="_Toc247691524"/>
      <w:bookmarkStart w:id="107" w:name="_Toc314842508"/>
      <w:bookmarkStart w:id="108" w:name="_Toc196046504"/>
      <w:bookmarkStart w:id="109" w:name="_Toc163441390"/>
      <w:r w:rsidRPr="00605AD4">
        <w:t>Studies providing safety data</w:t>
      </w:r>
    </w:p>
    <w:p w14:paraId="2269E5EE" w14:textId="77777777" w:rsidR="003F4344" w:rsidRDefault="003F4344" w:rsidP="003F4344">
      <w:r w:rsidRPr="003F4344">
        <w:t>Seventeen clinical studies (as of 21 July 2014) with lumacaftor monotherapy or lumacaftor in combi</w:t>
      </w:r>
      <w:r w:rsidR="00C01F38">
        <w:t>nation with ivacaftor (Figure 3</w:t>
      </w:r>
      <w:r w:rsidRPr="003F4344">
        <w:t>) provided evaluable safety data. The core safety data were from pooled analyses of two placebo controlled Phase III studies of LUM/IVA in subjects with CF homozygous for the CFTR-F508del mutation. The supportive analysis includes pooled safety data from 9 Phase I studies (lumacaftor monotherapy and lumacaftor in combination with ivacaftor) in healthy subjects and some Phase I and II non-pooled studies.</w:t>
      </w:r>
    </w:p>
    <w:p w14:paraId="53A6A9AF" w14:textId="77777777" w:rsidR="001C6610" w:rsidRDefault="00C01F38" w:rsidP="001C6610">
      <w:pPr>
        <w:pStyle w:val="TableTitle"/>
      </w:pPr>
      <w:r>
        <w:t>Figure 3</w:t>
      </w:r>
      <w:r w:rsidR="001C6610" w:rsidRPr="001C6610">
        <w:t>. Overview of studies (n = 17) and poolings in the summary of clinical safety</w:t>
      </w:r>
    </w:p>
    <w:p w14:paraId="3BC890B1" w14:textId="77777777" w:rsidR="001C6610" w:rsidRDefault="00111E67" w:rsidP="003F4344">
      <w:r>
        <w:rPr>
          <w:noProof/>
          <w:lang w:eastAsia="en-AU"/>
        </w:rPr>
        <w:drawing>
          <wp:inline distT="0" distB="0" distL="0" distR="0" wp14:anchorId="527AD078" wp14:editId="4C9C67FB">
            <wp:extent cx="5400040" cy="2686751"/>
            <wp:effectExtent l="0" t="0" r="0" b="0"/>
            <wp:docPr id="28" name="Picture 28" descr="Figure 3. Overview of studies (n = 17) and poolings in the summary of clinical safety&#10;Summary of clinical safety studies (17 studies) these studies are from the following&#10;10 Phase I studies in  healthy subjects [comprised of 9 Pooled Phase I studies; (Study 001, Study 003 to Study 007, Study 009 (Cohorts 1 to 3) Study 010 (Group B) Study 012 LUM N = 287); Thourough QT Study 008 LUM N = 78; and Bronchodiolatory Study 009 (Cohort 4) Lum N = 26]&#10;1 Phase I study in special population without CF - moderate hepatic impairment Study 010 (Group A) LUM N=12&#10;2 Phase I Studies in subjects with CF [Pancreatic insufficiency study 002 LUM N=8 and PK age 6 to 11 Study 011 (Part A) Lum N=10&#10;2 Phase II Studies; LUM monotherapy study 101 LUM N=72; and LUM monotherapy or LUM/IVA Study 102 Any LUM N=197&#10;3 Phase III Studies in subjects with CF [Pooled Placebo controlled Phase III studies PBO N = 370; LUM/IVA = 738 made up of (Study 103 PBO N = 184 LUM/IVA N = 365) and Study 104 PBO N = 186 and LUM/IVA N=373) and a Phas III extentions study Study 105 Part A and Part B [Part B PBO to LUM/IVA N=60 and LUM/IVA to LUM/IVA N=55] [Part A PBO to LUM/IVA N=353 and LUM/IVA to LUM/IVA N =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2686751"/>
                    </a:xfrm>
                    <a:prstGeom prst="rect">
                      <a:avLst/>
                    </a:prstGeom>
                  </pic:spPr>
                </pic:pic>
              </a:graphicData>
            </a:graphic>
          </wp:inline>
        </w:drawing>
      </w:r>
    </w:p>
    <w:p w14:paraId="1863A248" w14:textId="77777777" w:rsidR="001C6610" w:rsidRPr="001C6610" w:rsidRDefault="001C6610" w:rsidP="00507D71">
      <w:pPr>
        <w:pStyle w:val="TableDescription"/>
      </w:pPr>
      <w:r w:rsidRPr="001C6610">
        <w:t>Notes: Figure includes the number of subjects in each study as of the snapshot date of 21 July 2014. Studies with multiple parts or cohorts (Studies 009, 010, and 105) appear more</w:t>
      </w:r>
      <w:r>
        <w:t xml:space="preserve"> </w:t>
      </w:r>
      <w:r w:rsidRPr="001C6610">
        <w:t xml:space="preserve">than once in this figure based on the methodology within that part of the study; however, these studies are only counted once toward the total </w:t>
      </w:r>
      <w:r>
        <w:t>number of studies investigating l</w:t>
      </w:r>
      <w:r w:rsidRPr="001C6610">
        <w:t>umacaftor. Shaded boxes denote analysis pooling for safety analyses. Study 102 Cohorts 1 to 3 included subjects with CF who were het</w:t>
      </w:r>
      <w:r>
        <w:t xml:space="preserve">erozygous or </w:t>
      </w:r>
      <w:r>
        <w:lastRenderedPageBreak/>
        <w:t xml:space="preserve">homozygous for the </w:t>
      </w:r>
      <w:r w:rsidRPr="001C6610">
        <w:t>F508del-CFTR mutation, and Study 102 Cohort 4 included subjects who were heterozygous for the F508del-CFTR mutation</w:t>
      </w:r>
    </w:p>
    <w:p w14:paraId="41555EAD" w14:textId="77777777" w:rsidR="001C6610" w:rsidRPr="001C6610" w:rsidRDefault="001C6610" w:rsidP="001C6610">
      <w:pPr>
        <w:pStyle w:val="TableDescription"/>
      </w:pPr>
      <w:r w:rsidRPr="001C6610">
        <w:t>a Study 010 is included in 2 subcategories: Pooled Phase 1 studies in healthy subjects and Phase 1 study in special population without CF.</w:t>
      </w:r>
    </w:p>
    <w:p w14:paraId="031DE75F" w14:textId="77777777" w:rsidR="001C6610" w:rsidRPr="001C6610" w:rsidRDefault="001C6610" w:rsidP="001C6610">
      <w:pPr>
        <w:pStyle w:val="TableDescription"/>
      </w:pPr>
      <w:r w:rsidRPr="001C6610">
        <w:t>b Study 011 has 2 parts: Part A (Phase 1 study) is included in the SCS, and Part B (Phase 3 study) was ongoing and is not included in the SCS.</w:t>
      </w:r>
    </w:p>
    <w:p w14:paraId="2D41D6CB" w14:textId="77777777" w:rsidR="001C6610" w:rsidRPr="001C6610" w:rsidRDefault="001C6610" w:rsidP="001C6610">
      <w:pPr>
        <w:pStyle w:val="TableDescription"/>
      </w:pPr>
      <w:r w:rsidRPr="001C6610">
        <w:t xml:space="preserve">c Study 102 included lumacaftor monotherapy and lumacaftor combination therapy. The number of subjects (N) who received at least 1 </w:t>
      </w:r>
      <w:r>
        <w:t xml:space="preserve">dose of lumacaftor, alone or in </w:t>
      </w:r>
      <w:r w:rsidRPr="001C6610">
        <w:t>combination with ivacaftor, is provided.</w:t>
      </w:r>
    </w:p>
    <w:p w14:paraId="51D9F4D3" w14:textId="77777777" w:rsidR="001C6610" w:rsidRPr="001C6610" w:rsidRDefault="001C6610" w:rsidP="001C6610">
      <w:pPr>
        <w:pStyle w:val="TableDescription"/>
      </w:pPr>
      <w:r w:rsidRPr="001C6610">
        <w:t>d Numbers of subjects in the figure for Study 105 are provided for the All Subjects Safety Set (subjects who received at least 1 dose of study dr</w:t>
      </w:r>
      <w:r>
        <w:t xml:space="preserve">ug) of Part A or Part B Current </w:t>
      </w:r>
      <w:r w:rsidRPr="001C6610">
        <w:t>Study Period (date of initial dose in Study 105 through the data snapshot date, 21 July 2014). Additional data are provided in the body of t</w:t>
      </w:r>
      <w:r>
        <w:t xml:space="preserve">he SCS for the Part A Long-term </w:t>
      </w:r>
      <w:r w:rsidRPr="001C6610">
        <w:t>Safety Set (subjects who received LUM/IVA in Study 103/104 and completed at least the Week 24 Visit in Study 105) for 116 subjects (58 s</w:t>
      </w:r>
      <w:r>
        <w:t xml:space="preserve">ubjects in the LUM 400 mg q12h/ </w:t>
      </w:r>
      <w:r w:rsidRPr="001C6610">
        <w:t xml:space="preserve">IVA 250 mg q12h group and 58 subjects in the LUM 600 mg </w:t>
      </w:r>
      <w:r w:rsidR="009B151C" w:rsidRPr="001C6610">
        <w:t>QD</w:t>
      </w:r>
      <w:r w:rsidRPr="001C6610">
        <w:t>/IVA 250 mg q12h group).</w:t>
      </w:r>
    </w:p>
    <w:p w14:paraId="319233A5" w14:textId="77777777" w:rsidR="00605AD4" w:rsidRDefault="00605AD4" w:rsidP="00605AD4">
      <w:pPr>
        <w:pStyle w:val="Heading4"/>
      </w:pPr>
      <w:r w:rsidRPr="00605AD4">
        <w:t>Patient exposure</w:t>
      </w:r>
    </w:p>
    <w:p w14:paraId="50D4177C" w14:textId="77777777" w:rsidR="001C6610" w:rsidRPr="001C6610" w:rsidRDefault="001C6610" w:rsidP="001C6610">
      <w:r w:rsidRPr="001C6610">
        <w:t xml:space="preserve">Overall 1,839 subjects received at least 1 dose of lumacaftor (alone or in combination with another study drug). There were 1,615 subjects who received lumacaftor in combination with ivacaftor (with or without a </w:t>
      </w:r>
      <w:r w:rsidR="00303FCD">
        <w:t>drug-drug interaction</w:t>
      </w:r>
      <w:r w:rsidR="00303FCD" w:rsidRPr="001C6610">
        <w:t xml:space="preserve"> </w:t>
      </w:r>
      <w:r w:rsidR="00303FCD">
        <w:t>(</w:t>
      </w:r>
      <w:r w:rsidRPr="001C6610">
        <w:t>DDI</w:t>
      </w:r>
      <w:r w:rsidR="00303FCD">
        <w:t>)</w:t>
      </w:r>
      <w:r w:rsidRPr="001C6610">
        <w:t xml:space="preserve"> drug) (Table 49</w:t>
      </w:r>
      <w:r>
        <w:t xml:space="preserve"> Attachment 2</w:t>
      </w:r>
      <w:r w:rsidRPr="001C6610">
        <w:t>).</w:t>
      </w:r>
    </w:p>
    <w:p w14:paraId="7395C204" w14:textId="77777777" w:rsidR="00605AD4" w:rsidRDefault="00605AD4" w:rsidP="00605AD4">
      <w:pPr>
        <w:pStyle w:val="Heading4"/>
      </w:pPr>
      <w:r w:rsidRPr="00605AD4">
        <w:t>Safety issues with the potential for major regulatory impact</w:t>
      </w:r>
    </w:p>
    <w:p w14:paraId="534108B7" w14:textId="77777777" w:rsidR="007F5DF3" w:rsidRPr="007F5DF3" w:rsidRDefault="007F5DF3" w:rsidP="007F5DF3">
      <w:pPr>
        <w:pStyle w:val="Heading5"/>
      </w:pPr>
      <w:r w:rsidRPr="007F5DF3">
        <w:t>Liver toxicity</w:t>
      </w:r>
    </w:p>
    <w:p w14:paraId="00F838AA" w14:textId="2F12A893" w:rsidR="007F5DF3" w:rsidRPr="007F5DF3" w:rsidRDefault="007F5DF3" w:rsidP="007F5DF3">
      <w:r w:rsidRPr="007F5DF3">
        <w:t>In the pooled placebo controlled studies (Studies 103/104), 5.7% of subjects had elevated transaminases or hepatobiliary disorder related adverse events</w:t>
      </w:r>
      <w:r w:rsidR="00170C1A">
        <w:t xml:space="preserve"> </w:t>
      </w:r>
      <w:r w:rsidR="00CB1352">
        <w:t>(AEs)</w:t>
      </w:r>
      <w:r w:rsidRPr="007F5DF3">
        <w:t xml:space="preserve"> in the total LUM/IVA group compared with 5.4% of subjects in the placebo group. The overall incidence of elevated liver enzymes (&gt; 3 × </w:t>
      </w:r>
      <w:r w:rsidR="0052340A">
        <w:t>upper limit of normal</w:t>
      </w:r>
      <w:r w:rsidR="0052340A" w:rsidRPr="007F5DF3">
        <w:t xml:space="preserve"> </w:t>
      </w:r>
      <w:r w:rsidR="0052340A">
        <w:t>(</w:t>
      </w:r>
      <w:r w:rsidRPr="007F5DF3">
        <w:t>ULN</w:t>
      </w:r>
      <w:r w:rsidR="0052340A">
        <w:t>)</w:t>
      </w:r>
      <w:r w:rsidRPr="007F5DF3">
        <w:t>) was low and similar in the total LUM/IVA group (5.2%) and the placebo group (5.1%). Transaminase elevations of &gt;</w:t>
      </w:r>
      <w:r w:rsidR="00EE4315">
        <w:t> </w:t>
      </w:r>
      <w:r w:rsidRPr="007F5DF3">
        <w:t xml:space="preserve">5 × ULN were ≤ 2% and &gt; 8 × ULN were &lt; 1% in both the total LUM/IVA and placebo groups. The incidence of </w:t>
      </w:r>
      <w:r w:rsidR="00CB1352">
        <w:t>adverse events of special interest</w:t>
      </w:r>
      <w:r w:rsidR="00CB1352" w:rsidRPr="007F5DF3">
        <w:t xml:space="preserve"> </w:t>
      </w:r>
      <w:r w:rsidR="00CB1352">
        <w:t>(</w:t>
      </w:r>
      <w:r w:rsidRPr="007F5DF3">
        <w:t>AESIs</w:t>
      </w:r>
      <w:r w:rsidR="00CB1352">
        <w:t>)</w:t>
      </w:r>
      <w:r w:rsidRPr="007F5DF3">
        <w:t xml:space="preserve"> of elevated transaminases continued to be low in Study 105.</w:t>
      </w:r>
    </w:p>
    <w:p w14:paraId="4DA27F9D" w14:textId="77777777" w:rsidR="007F5DF3" w:rsidRPr="007F5DF3" w:rsidRDefault="007F5DF3" w:rsidP="007F5DF3">
      <w:r w:rsidRPr="007F5DF3">
        <w:t xml:space="preserve">In the pooled placebo controlled Phase III Studies, 7 subjects in the total LUM/IVA group had </w:t>
      </w:r>
      <w:r w:rsidR="00390D21">
        <w:t>serious adverse events (</w:t>
      </w:r>
      <w:r w:rsidRPr="007F5DF3">
        <w:t>SAEs</w:t>
      </w:r>
      <w:r w:rsidR="00390D21">
        <w:t>)</w:t>
      </w:r>
      <w:r w:rsidRPr="007F5DF3">
        <w:t xml:space="preserve"> associated with elevated transaminases or hepatobiliary </w:t>
      </w:r>
      <w:r w:rsidR="00CB1352">
        <w:t>AE</w:t>
      </w:r>
      <w:r w:rsidRPr="007F5DF3">
        <w:t>s. In 3 cases with associated clinical AEs (for example, cholestatic hepatitis, hepatitis and cholestasis, and hepatic encephalopathy) also associated with a concurrent elevation in bilirubin. Liver function tests returned to baseline or improved substantially in all 7 subjects. Underlying risk factors and alternative aetiologies complicate assessment of the SAEs, but do not exclude LUM/IVA as a potential contributory factor.</w:t>
      </w:r>
    </w:p>
    <w:p w14:paraId="6E068A2B" w14:textId="77777777" w:rsidR="007F5DF3" w:rsidRPr="007F5DF3" w:rsidRDefault="007F5DF3" w:rsidP="007F5DF3">
      <w:r w:rsidRPr="007F5DF3">
        <w:t xml:space="preserve">The incidence and pattern of </w:t>
      </w:r>
      <w:r w:rsidR="00B22DD1">
        <w:t>liver function test</w:t>
      </w:r>
      <w:r w:rsidR="00B22DD1" w:rsidRPr="007F5DF3">
        <w:t xml:space="preserve"> </w:t>
      </w:r>
      <w:r w:rsidR="00B22DD1">
        <w:t>(</w:t>
      </w:r>
      <w:r w:rsidRPr="007F5DF3">
        <w:t>LFT</w:t>
      </w:r>
      <w:r w:rsidR="00B22DD1">
        <w:t>)</w:t>
      </w:r>
      <w:r w:rsidRPr="007F5DF3">
        <w:t xml:space="preserve"> changes in Study 105 did not suggest any new findings compared with Studies 103/104 with exposure to LUM/IVA beyond 24 weeks. The incidence of AESIs of elevated transaminases in subjects new to active treatment in Study 105 was similar to the incidence in the pooled analysis of Studies 103/104.</w:t>
      </w:r>
    </w:p>
    <w:p w14:paraId="0BEF7AA7" w14:textId="77777777" w:rsidR="007F5DF3" w:rsidRPr="007F5DF3" w:rsidRDefault="007F5DF3" w:rsidP="007F5DF3">
      <w:r w:rsidRPr="007F5DF3">
        <w:t>The overall incidence and patterns of transaminase elevations observed in the studies is typical for patients with CF. Marked elevations of transaminases and associated SAEs are confounded by complicated medical histories and alternative aetiologies, though the role of LUM/IVA cannot be excluded.</w:t>
      </w:r>
    </w:p>
    <w:p w14:paraId="7D4102D9" w14:textId="77777777" w:rsidR="00605AD4" w:rsidRDefault="00605AD4" w:rsidP="00605AD4">
      <w:pPr>
        <w:pStyle w:val="Heading4"/>
      </w:pPr>
      <w:r w:rsidRPr="00605AD4">
        <w:t>Post</w:t>
      </w:r>
      <w:r w:rsidR="00E65C2F">
        <w:t>-</w:t>
      </w:r>
      <w:r w:rsidRPr="00605AD4">
        <w:t>marketing data</w:t>
      </w:r>
    </w:p>
    <w:p w14:paraId="42174926" w14:textId="77777777" w:rsidR="007F5DF3" w:rsidRPr="007F5DF3" w:rsidRDefault="00E65C2F" w:rsidP="007F5DF3">
      <w:r>
        <w:t>No post-</w:t>
      </w:r>
      <w:r w:rsidR="007F5DF3" w:rsidRPr="007F5DF3">
        <w:t>marketing data submitted in the current dossier.</w:t>
      </w:r>
    </w:p>
    <w:p w14:paraId="125E1CA3" w14:textId="77777777" w:rsidR="00605AD4" w:rsidRPr="00605AD4" w:rsidRDefault="00605AD4" w:rsidP="00605AD4">
      <w:pPr>
        <w:pStyle w:val="Heading4"/>
      </w:pPr>
      <w:r w:rsidRPr="00605AD4">
        <w:lastRenderedPageBreak/>
        <w:t>Evaluator’s conclusions on safety</w:t>
      </w:r>
    </w:p>
    <w:p w14:paraId="3F7D46EC" w14:textId="77777777" w:rsidR="007F5DF3" w:rsidRPr="007F5DF3" w:rsidRDefault="007F5DF3" w:rsidP="007F5DF3">
      <w:r w:rsidRPr="007F5DF3">
        <w:t>Overall exposure to proposed combination of lumacaftor and ivacaftor was adequate to evaluate safety in the target patient population for the proposed indication. Safety was evaluated in 17 studies with lumacaftor including 12 completed Phase I studies, 2 completed Phase II studies, 2 completed Phase III studies, and 1 ongoing Phase III study. A total of 1,839 subjects were exposed to lumacaftor: 391 subjects without CF (excluding 12 subjects with moderate hepatic impairment) and 1,436 subjects with CF. A total of 1,615 subjects were exposed to lumacaftor in combination with ivacaftor in Phase I through Phase III studies: 254 subjects without CF (excluding 12 subjects with moderate hepatic impairment) and 1,349 subjects with CF. Overall, 738 subjects received study treatment for 24 weeks (Studies 103/104) of whom 369 patients were treated with proposed dose of LUM 400 mg q12h/IVA 250 mg q12h.</w:t>
      </w:r>
    </w:p>
    <w:p w14:paraId="44169DEE" w14:textId="6E8448AD" w:rsidR="007F5DF3" w:rsidRPr="007F5DF3" w:rsidRDefault="007F5DF3" w:rsidP="007F5DF3">
      <w:r w:rsidRPr="007F5DF3">
        <w:t xml:space="preserve">In the placebo controlled Phase III studies, AEs that occurred in ≥ 1% increase incidence in the total LUM/IVA group (compared with the placebo group) and had an incidence of at least 5% in any treatment group were dyspnoea, diarrhoea, nausea, respiration abnormal, oropharyngeal pain, upper respiratory tract infection, rhinitis, flatulence, rash, rhinorrhoea, and vomiting. The placebo group had a higher incidence of pulmonary exacerbation of cystic fibrosis, cough, sputum increased, nasal congestion, and pulmonary function test decreased. The majority of AEs were mild or moderate in severity. In the placebo controlled Phase III studies, infective pulmonary exacerbation of CF, headache, and blood </w:t>
      </w:r>
      <w:r w:rsidR="00303FCD">
        <w:t>creatine phosphokinase</w:t>
      </w:r>
      <w:r w:rsidR="00303FCD" w:rsidRPr="007F5DF3">
        <w:t xml:space="preserve"> </w:t>
      </w:r>
      <w:r w:rsidR="00303FCD">
        <w:t>(</w:t>
      </w:r>
      <w:r w:rsidRPr="007F5DF3">
        <w:t>CPK</w:t>
      </w:r>
      <w:r w:rsidR="00303FCD">
        <w:t>)</w:t>
      </w:r>
      <w:r w:rsidRPr="007F5DF3">
        <w:t xml:space="preserve"> increased were the only severe (Grade 3) or life threatening (Grade 4) AE with an incidence of at least 1% in any treatment group. There were no deaths in the placebo controlled studies. The incidence of SAEs was higher in the placebo (28.6%) group compared with the total LUM/IVA group (20.1% subjects). The most common SAE (at least 5% incidence) in any treatment group was infective pulmonary exacerbation of CF. The rate of study drug discontinuation was higher in the total LUM/IVA group (4.2%) compared with the placebo group (1.6%). The most common AEs (&gt; 2 subjects in any treatment group) that led to discontinuation of study drug were haemoptysis and blood CPK increased.</w:t>
      </w:r>
    </w:p>
    <w:p w14:paraId="32B59744" w14:textId="77777777" w:rsidR="007F5DF3" w:rsidRPr="007F5DF3" w:rsidRDefault="007F5DF3" w:rsidP="007F5DF3">
      <w:r w:rsidRPr="007F5DF3">
        <w:t xml:space="preserve">The safety profiles for the LUM 600 mg </w:t>
      </w:r>
      <w:r w:rsidR="009B151C" w:rsidRPr="007F5DF3">
        <w:t>QD</w:t>
      </w:r>
      <w:r w:rsidRPr="007F5DF3">
        <w:t>/IVA 250 mg q12h group and the LUM 400 mg q12h/IVA 250 mg q12h group were similar. No new safety signal was identified in the interim analysis of ongoing, long-term Study 105. The overall incidence of AEs was lower in subjects that were on active treatment in Studies 103/104 (and continued on treatment in Study 105) compared with subjects who received placebo in Studies 103/104 (and received active treatment in Study 105). The overall rate of treatment discontinuation was low (2.7%). There was 1 death due to infective pulmonary exacerbation of cystic fibrosis leading to respiratory failure in the LUM 400 mg q12h/IVA 250 mg q12h group that occurred approximately 1 year after the first dose of study drug. The event was considered not related to the study drug by the investigator.</w:t>
      </w:r>
    </w:p>
    <w:p w14:paraId="7B78E371" w14:textId="77777777" w:rsidR="007F5DF3" w:rsidRPr="007F5DF3" w:rsidRDefault="007F5DF3" w:rsidP="007F5DF3">
      <w:r w:rsidRPr="007F5DF3">
        <w:t>Liver related safety concerns from the ivacaftor monotherapy program led to specific analyses to assess for potential liver toxicity. In the pooled placebo controlled studies, the incidence of elevated transaminases or hepatobiliary disorder related AEs was similar in the total LUM/IVA group compared with placebo (5.7% versus 5.4%) with similar results for incidence of elevated liver enzymes &gt; 3 × ULN (5.2% versus 5.1%). The incidence of transaminase elevations &gt; 5 × ULN and &gt; 8 × ULN were ≤ 2% and &lt; 1%, respectively, in both the total LUM/IVA and placebo groups. Seven subjects in the total LUM/IVA group had SAEs associated with elevated transaminases or hepatobiliary AEs and in 3 cases (for example, cholestatic hepatitis, hepatitis and cholestasis, and hepatic encephalopathy</w:t>
      </w:r>
      <w:r w:rsidRPr="007F5DF3">
        <w:rPr>
          <w:vertAlign w:val="superscript"/>
        </w:rPr>
        <w:footnoteReference w:id="25"/>
      </w:r>
      <w:r w:rsidRPr="007F5DF3">
        <w:t xml:space="preserve">) </w:t>
      </w:r>
      <w:r w:rsidRPr="007F5DF3">
        <w:lastRenderedPageBreak/>
        <w:t>was also associated with a concurrent elevation in bilirubin. LFTs returned to normal or improved substantially in all 7 subjects. The incidence and pattern of LFT changes in Study 105 did not suggest any new findings compared with Studies 103/104 with exposure to LUM/IVA beyond 24 weeks. The incidence of AESIs of elevated transaminases in subjects new to active treatment in Study 105 was similar to the incidence in the pooled analysis of Studies 103/104. There was no apparent relationship between higher exposure to LUM/IVA and the occurrence of transaminase elevations in subjects exposed to LUM/IVA compared with exposure in subjects without transaminase elevations. Six of the 7 subjects with portal hypertension and/or cirrhosis in the pooled Phase III studies did not have any AEs suggesting worsening of liver function while receiving LUM/IVA. One of these 7 subjects had worsened liver function after receiving LUM/IVA, manifest as hepatic encephalopathy. The role of LUM/IVA in worsening of underlying liver function in this case cannot be excluded. Overall, marked elevations of transaminases and associated SAEs were confounded by complicated medical histories and alternative aetiologies, though the role of LUM/IVA cannot be excluded and hence adequate monitoring and management recommendations have been included in the proposed PI.</w:t>
      </w:r>
    </w:p>
    <w:p w14:paraId="67BA5AC9" w14:textId="77777777" w:rsidR="007F5DF3" w:rsidRPr="007F5DF3" w:rsidRDefault="007F5DF3" w:rsidP="007F5DF3">
      <w:r w:rsidRPr="007F5DF3">
        <w:t>As a result of dose dependent decrease in pulmonary function observed in patients who received lumacaftor monotherapy, the sponsors performed a safety analysis grouping together respiratory</w:t>
      </w:r>
      <w:r w:rsidR="00026051">
        <w:t xml:space="preserve"> </w:t>
      </w:r>
      <w:r w:rsidRPr="007F5DF3">
        <w:t xml:space="preserve">related AEs. Respiratory AEs were more frequent in the total LUM/IVA group than the placebo group (LUM/IVA versus placebo: 26.3% versus 17%) particularly dyspnoea (23% versus 8%) and ‘respiration abnormal’ (10% versus 3%). The incidence of subjects with AESIs of respiratory symptoms or reactive airways was similar in the LUM 600 mg </w:t>
      </w:r>
      <w:r w:rsidR="009B151C" w:rsidRPr="007F5DF3">
        <w:t>QD</w:t>
      </w:r>
      <w:r w:rsidRPr="007F5DF3">
        <w:t xml:space="preserve">/IVA 250 mg q12h group (26.8%) and the LUM400 mg q12h/IVA 250 mg q12h group (25.7%). The majority of respiratory AESIs in pooled placebo controlled Phase III studies were mild or moderate in severity, with the majority of events occurring within the first week of treatment. Although the aetiology is unknown, these respiratory events are likely associated with LUM/IVA treatment. These events usually resolved within 1 to 2 weeks, and led to treatment discontinuation in only 5 subjects in the pooled placebo controlled Phase III studies (all 5 subjects were in the LUM 600 mg </w:t>
      </w:r>
      <w:r w:rsidR="009B151C" w:rsidRPr="007F5DF3">
        <w:t>QD</w:t>
      </w:r>
      <w:r w:rsidRPr="007F5DF3">
        <w:t xml:space="preserve">/IVA 250 mg q12h group, with no SAEs or discontinuations due to respiratory AEs in the proposed LUM 400 mg q12h/IVA 250 mg q12h group). There were no notable differences in the incidence of respiratory events in analyses by screening or baseline </w:t>
      </w:r>
      <w:r w:rsidR="00A94F3D">
        <w:t>pp</w:t>
      </w:r>
      <w:r w:rsidRPr="007F5DF3">
        <w:t xml:space="preserve">FEV1, with the exception of dyspnoea. In both the placebo group and the total LUM/IVA group, subjects with </w:t>
      </w:r>
      <w:r w:rsidR="00A94F3D">
        <w:t>ppFEV1</w:t>
      </w:r>
      <w:r w:rsidRPr="007F5DF3">
        <w:t xml:space="preserve"> &lt; 70 at screening or </w:t>
      </w:r>
      <w:r w:rsidR="00A94F3D">
        <w:t>ppFEV1</w:t>
      </w:r>
      <w:r w:rsidRPr="007F5DF3">
        <w:t xml:space="preserve"> &lt; 40 at baseline were approximately twice as likely to have dyspnoea compared with subjects with </w:t>
      </w:r>
      <w:r w:rsidR="00A94F3D">
        <w:t>ppFEV1</w:t>
      </w:r>
      <w:r w:rsidRPr="007F5DF3">
        <w:t xml:space="preserve"> ≥ 70 at screening and </w:t>
      </w:r>
      <w:r w:rsidR="00A94F3D">
        <w:t>ppFEV1</w:t>
      </w:r>
      <w:r w:rsidRPr="007F5DF3">
        <w:t xml:space="preserve"> ≥ 40 at baseline. For subjects new to active treatment in the long-term safety and efficacy study (Study 105), the incidence of AESI of respiratory symptoms was similar compared with the subjects receiving active treatment in the pooled placebo controlled Phase III studies, and was higher compared with subjects who continued on active treatment in Study 105. Overall, these data suggest that treatment with lumacaftor plus ivacaftor combination product can cause increased respiratory symptoms and AEs in some CF patients.</w:t>
      </w:r>
    </w:p>
    <w:p w14:paraId="7339D138" w14:textId="0A9A2039" w:rsidR="007F5DF3" w:rsidRPr="007F5DF3" w:rsidRDefault="007F5DF3" w:rsidP="007F5DF3">
      <w:r w:rsidRPr="007F5DF3">
        <w:t xml:space="preserve">Menstrual abnormalities were also evaluated as an AESI due to observed increased metrorrhagia following treatment with lumacaftor plus ivacaftor combination product compared to placebo from early phase studies. Female patients reported more menstrual abnormalities in the lumacaftor plus ivacaftor combination product treatment arms compared to placebo (9.9% versus 1.7%) with metrorrhagia reported most commonly, These menstrual events occurred more frequently in the subset of female patients who were taking hormonal contraceptives (25.0%) compared to patients who were not taking </w:t>
      </w:r>
      <w:r w:rsidRPr="007F5DF3">
        <w:lastRenderedPageBreak/>
        <w:t>hormonal contraceptives (3.5%)</w:t>
      </w:r>
      <w:r w:rsidR="006D5004">
        <w:t xml:space="preserve">. </w:t>
      </w:r>
      <w:r w:rsidRPr="007F5DF3">
        <w:t xml:space="preserve">Most of these reactions were mild or moderate in severity and </w:t>
      </w:r>
      <w:r w:rsidR="00CF57A1" w:rsidRPr="007F5DF3">
        <w:t>non-serious</w:t>
      </w:r>
      <w:r w:rsidRPr="007F5DF3">
        <w:t>. Lumacaftor is a CYP3A inducer and could reduce hormonal contraceptive exposure, which could result in disruption of the menstrual cycle. There was no apparent relationship for incidence of menstrual abnormalities and lumacaftor dose in Studies 008, 103, 104, or 105.</w:t>
      </w:r>
    </w:p>
    <w:p w14:paraId="0C1C4962" w14:textId="77777777" w:rsidR="007F5DF3" w:rsidRPr="007F5DF3" w:rsidRDefault="007F5DF3" w:rsidP="007F5DF3">
      <w:r w:rsidRPr="007F5DF3">
        <w:t xml:space="preserve">The clinical laboratory parameters (serum chemistry, haematology, and coagulation studies) showed minor differences between the LUM 600 mg </w:t>
      </w:r>
      <w:r w:rsidR="009B151C" w:rsidRPr="007F5DF3">
        <w:t>QD</w:t>
      </w:r>
      <w:r w:rsidRPr="007F5DF3">
        <w:t>/IVA 250 mg q12h, LUM 400 mg q12h/IVA 250 mg q12h, and placebo groups that were not considered to be clinically meaningful. Patients with CF are chronically ill and often have associated metabolic and nutritional disorders, so minor fluctuations in chemistry parameters are common.</w:t>
      </w:r>
    </w:p>
    <w:p w14:paraId="3437E7C7" w14:textId="13975A49" w:rsidR="007F5DF3" w:rsidRPr="007F5DF3" w:rsidRDefault="007F5DF3" w:rsidP="007F5DF3">
      <w:r w:rsidRPr="007F5DF3">
        <w:t>There were no clinically meaningful differences in any ECG parameter between the total LUM/IVA and placebo groups as measured by 12</w:t>
      </w:r>
      <w:r w:rsidR="00026051">
        <w:t xml:space="preserve"> </w:t>
      </w:r>
      <w:r w:rsidRPr="007F5DF3">
        <w:t>lead sta</w:t>
      </w:r>
      <w:r w:rsidR="006D5004">
        <w:t>ndard ECGs and ambulatory ECGs.</w:t>
      </w:r>
    </w:p>
    <w:p w14:paraId="5FC39974" w14:textId="77777777" w:rsidR="007F5DF3" w:rsidRPr="007F5DF3" w:rsidRDefault="007F5DF3" w:rsidP="007F5DF3">
      <w:r w:rsidRPr="007F5DF3">
        <w:t>The safety profile of LUM/IVA was similar across the different age and sex subgroups. The pattern of AEs was generally similar across the subgroups by severity of lung disease and the most common AEs within each FEV1 subgroup were common manifestations of CF. As expected, subjects with more severe disease (</w:t>
      </w:r>
      <w:r w:rsidR="00A94F3D">
        <w:t>ppFEV1</w:t>
      </w:r>
      <w:r w:rsidRPr="007F5DF3">
        <w:t xml:space="preserve"> &lt; 40 at baseline or </w:t>
      </w:r>
      <w:r w:rsidR="00A94F3D">
        <w:t>ppFEV1</w:t>
      </w:r>
      <w:r w:rsidRPr="007F5DF3">
        <w:t xml:space="preserve"> &lt; 70 at screening) had a higher incidence of AEs compared to other subgroups, but LUM/IVA was well tolerated even in this more severely compromised group. Safety analysis from the pooled Phase I studies and the </w:t>
      </w:r>
      <w:r w:rsidR="00F55D98" w:rsidRPr="007F5DF3">
        <w:t>non-pooled</w:t>
      </w:r>
      <w:r w:rsidRPr="007F5DF3">
        <w:t xml:space="preserve"> Phase I studies showed similar safety results to those observed in CF patients. The incidence and pattern of AEs was similar in subjects with CF who are homozygous or heterozygous for the F508del-CFTR mutation and do not suggest any genotype specific safety risks. Subjects with moderate hepatic impairment (Child-Pugh B) and severe hepatic impairment (Child-Pugh C) may have increased exposure to LUM/IVA.</w:t>
      </w:r>
    </w:p>
    <w:p w14:paraId="6DE2E103" w14:textId="77777777" w:rsidR="00605AD4" w:rsidRPr="00605AD4" w:rsidRDefault="007F5DF3" w:rsidP="00605AD4">
      <w:r w:rsidRPr="007F5DF3">
        <w:t>Overall, the safety of the proposed combination of LUM 400 mg q12h/IVA 250 mg q12h has been adequately established for the proposed indication of treatment of CF patients who are homozygous for the F508del-CFTR mutation. The only limitation was lack of safety data beyond 48 weeks of treatment although the ongoing 96 week open label Study 105 should be able to address t</w:t>
      </w:r>
      <w:r w:rsidR="00FF4F70">
        <w:t>hat on completion of the study.</w:t>
      </w:r>
    </w:p>
    <w:p w14:paraId="33DF232E" w14:textId="3EE023CD" w:rsidR="00605AD4" w:rsidRPr="00605AD4" w:rsidRDefault="00507D71" w:rsidP="00605AD4">
      <w:pPr>
        <w:pStyle w:val="Heading3"/>
        <w:rPr>
          <w:rFonts w:eastAsia="Cambria"/>
        </w:rPr>
      </w:pPr>
      <w:bookmarkStart w:id="110" w:name="_Toc462141659"/>
      <w:r>
        <w:rPr>
          <w:rFonts w:eastAsia="Cambria"/>
        </w:rPr>
        <w:t>First r</w:t>
      </w:r>
      <w:r w:rsidR="00605AD4" w:rsidRPr="00605AD4">
        <w:rPr>
          <w:rFonts w:eastAsia="Cambria"/>
        </w:rPr>
        <w:t xml:space="preserve">ound </w:t>
      </w:r>
      <w:r>
        <w:rPr>
          <w:rFonts w:eastAsia="Cambria"/>
        </w:rPr>
        <w:t>b</w:t>
      </w:r>
      <w:r w:rsidR="00605AD4" w:rsidRPr="00605AD4">
        <w:rPr>
          <w:rFonts w:eastAsia="Cambria"/>
        </w:rPr>
        <w:t>enefit-</w:t>
      </w:r>
      <w:r>
        <w:rPr>
          <w:rFonts w:eastAsia="Cambria"/>
        </w:rPr>
        <w:t>r</w:t>
      </w:r>
      <w:r w:rsidR="00605AD4" w:rsidRPr="00605AD4">
        <w:rPr>
          <w:rFonts w:eastAsia="Cambria"/>
        </w:rPr>
        <w:t xml:space="preserve">isk </w:t>
      </w:r>
      <w:r>
        <w:rPr>
          <w:rFonts w:eastAsia="Cambria"/>
        </w:rPr>
        <w:t>a</w:t>
      </w:r>
      <w:r w:rsidR="00605AD4" w:rsidRPr="00605AD4">
        <w:rPr>
          <w:rFonts w:eastAsia="Cambria"/>
        </w:rPr>
        <w:t>ssessment</w:t>
      </w:r>
      <w:bookmarkEnd w:id="110"/>
    </w:p>
    <w:p w14:paraId="1255758E" w14:textId="77777777" w:rsidR="00605AD4" w:rsidRDefault="00605AD4" w:rsidP="00605AD4">
      <w:pPr>
        <w:pStyle w:val="Heading4"/>
      </w:pPr>
      <w:r w:rsidRPr="00605AD4">
        <w:t>First round assessment of benefits</w:t>
      </w:r>
    </w:p>
    <w:p w14:paraId="738B73E4" w14:textId="77777777" w:rsidR="007F5DF3" w:rsidRPr="007F5DF3" w:rsidRDefault="007F5DF3" w:rsidP="007F5DF3">
      <w:r w:rsidRPr="007F5DF3">
        <w:t>The benefits of Orkambi in the proposed usage are;</w:t>
      </w:r>
    </w:p>
    <w:p w14:paraId="47E9F195" w14:textId="77777777" w:rsidR="007F5DF3" w:rsidRPr="007F5DF3" w:rsidRDefault="007F5DF3" w:rsidP="007F5DF3">
      <w:pPr>
        <w:pStyle w:val="ListBullet"/>
      </w:pPr>
      <w:r w:rsidRPr="007F5DF3">
        <w:t>LUM/IVA combination therapy demonstrated beneficial effects on pulmonary function, pulmonary exacerbations, patient reported outcomes, and nutritional measures (BMI and weight) in subjects 12 years of age and older with CF who are homozygous for the F508del</w:t>
      </w:r>
      <w:r w:rsidRPr="007F5DF3">
        <w:noBreakHyphen/>
        <w:t>CFTR mutation. These effects were observed while subjects continued on their usual prescribed therapies for CF</w:t>
      </w:r>
    </w:p>
    <w:p w14:paraId="74E5AF6D" w14:textId="77777777" w:rsidR="007F5DF3" w:rsidRPr="007F5DF3" w:rsidRDefault="007F5DF3" w:rsidP="007F5DF3">
      <w:pPr>
        <w:pStyle w:val="ListBullet"/>
      </w:pPr>
      <w:r w:rsidRPr="007F5DF3">
        <w:t>While there was no clear differentiation between the 2 combination therapy regimens in other efficacy measures, treatment with the pr</w:t>
      </w:r>
      <w:r w:rsidR="00FF4F70">
        <w:t>oposed LUM 400 mg q12h/ IVA 250 </w:t>
      </w:r>
      <w:r w:rsidRPr="007F5DF3">
        <w:t>mg q12h regimen significantly decreased the risk for all pulmonary exacerbations by 39%, exacerbations requiring hospitalisation by 61% and exacerbations requiring treatment with intravenous antibiotics by 56%</w:t>
      </w:r>
    </w:p>
    <w:p w14:paraId="2A87E1AF" w14:textId="77777777" w:rsidR="007F5DF3" w:rsidRPr="007F5DF3" w:rsidRDefault="007F5DF3" w:rsidP="007F5DF3">
      <w:pPr>
        <w:pStyle w:val="ListBullet"/>
      </w:pPr>
      <w:r w:rsidRPr="007F5DF3">
        <w:t xml:space="preserve">The treatment effects favoured LUM/IVA across all subgroups, including subjects with severely compromised lung function (who have a </w:t>
      </w:r>
      <w:r w:rsidR="00A94F3D">
        <w:t>ppFEV1</w:t>
      </w:r>
      <w:r w:rsidRPr="007F5DF3">
        <w:t xml:space="preserve"> &lt; 40 at baseline)</w:t>
      </w:r>
    </w:p>
    <w:p w14:paraId="39E9BE6E" w14:textId="77777777" w:rsidR="007F5DF3" w:rsidRPr="007F5DF3" w:rsidRDefault="007F5DF3" w:rsidP="007F5DF3">
      <w:pPr>
        <w:pStyle w:val="ListBullet"/>
      </w:pPr>
      <w:r w:rsidRPr="007F5DF3">
        <w:lastRenderedPageBreak/>
        <w:t>Interim results from the rollover study (Study 105) demonstrate that the effect of LUM/IVA persisted up to approximately 48 weeks and was reproducible in subjects who were previously receiving placebo</w:t>
      </w:r>
    </w:p>
    <w:p w14:paraId="573B6337" w14:textId="77777777" w:rsidR="007F5DF3" w:rsidRPr="007F5DF3" w:rsidRDefault="007F5DF3" w:rsidP="007F5DF3">
      <w:pPr>
        <w:pStyle w:val="ListBullet"/>
      </w:pPr>
      <w:r w:rsidRPr="007F5DF3">
        <w:t xml:space="preserve">The PK/PD analyses of sweat chloride response in Phase II suggests that the higher lumacaftor concentrations in the presence of ivacaftor for the LUM 400 mg q12h/ IVA 250 mg q12h regimen results in a greater reduction of sweat chloride and a greater improvement in CFTR function than the LUM 600 mg </w:t>
      </w:r>
      <w:r w:rsidR="009B151C" w:rsidRPr="007F5DF3">
        <w:t>QD</w:t>
      </w:r>
      <w:r w:rsidRPr="007F5DF3">
        <w:t>/IVA 250 mg q12h regimen</w:t>
      </w:r>
    </w:p>
    <w:p w14:paraId="1C5A2C58" w14:textId="77777777" w:rsidR="007F5DF3" w:rsidRPr="007F5DF3" w:rsidRDefault="007F5DF3" w:rsidP="007F5DF3">
      <w:pPr>
        <w:pStyle w:val="ListBullet"/>
      </w:pPr>
      <w:r w:rsidRPr="007F5DF3">
        <w:t>The proposed Orkambi is manufactured as a fixed</w:t>
      </w:r>
      <w:r w:rsidR="00026051">
        <w:t xml:space="preserve"> </w:t>
      </w:r>
      <w:r w:rsidRPr="007F5DF3">
        <w:t>dose combination of lumacaftor/ Ivacaftor 200 mg/125 mg tablet and 2 tablets q12h (800 mg lumacaftor/500 mg ivacaftor total daily dose) is recommended for adults aged 12 years and older. The simplicity of this proposed dosing regimen minim</w:t>
      </w:r>
      <w:r w:rsidR="00A02EC9">
        <w:t>ise</w:t>
      </w:r>
      <w:r w:rsidRPr="007F5DF3">
        <w:t>s the potential of medication errors in terms of prescription and administration errors</w:t>
      </w:r>
    </w:p>
    <w:p w14:paraId="4A63ED02" w14:textId="77777777" w:rsidR="007F5DF3" w:rsidRPr="007F5DF3" w:rsidRDefault="007F5DF3" w:rsidP="007F5DF3">
      <w:pPr>
        <w:pStyle w:val="ListBullet"/>
      </w:pPr>
      <w:r w:rsidRPr="007F5DF3">
        <w:t>The safety profile of LUM/IVA was character</w:t>
      </w:r>
      <w:r w:rsidR="00A02EC9">
        <w:t>ise</w:t>
      </w:r>
      <w:r w:rsidRPr="007F5DF3">
        <w:t>d by AEs that were most often mild to moderate in severity and the most common risks of LUM/IVA identified in the clinical and nonclinical studies are readily monitored and recogn</w:t>
      </w:r>
      <w:r w:rsidR="00A02EC9">
        <w:t>ise</w:t>
      </w:r>
      <w:r w:rsidRPr="007F5DF3">
        <w:t>d, and may be managed without treatment discontinuation.</w:t>
      </w:r>
    </w:p>
    <w:p w14:paraId="768832AD" w14:textId="77777777" w:rsidR="00605AD4" w:rsidRDefault="00605AD4" w:rsidP="00605AD4">
      <w:pPr>
        <w:pStyle w:val="Heading4"/>
      </w:pPr>
      <w:r w:rsidRPr="00605AD4">
        <w:t>First round assessment of risks</w:t>
      </w:r>
    </w:p>
    <w:p w14:paraId="620D0597" w14:textId="77777777" w:rsidR="007F5DF3" w:rsidRPr="00081B82" w:rsidRDefault="007F5DF3" w:rsidP="007F5DF3">
      <w:r w:rsidRPr="00081B82">
        <w:t xml:space="preserve">The risks of </w:t>
      </w:r>
      <w:r>
        <w:t>Orkambi in the proposed usage are;</w:t>
      </w:r>
    </w:p>
    <w:p w14:paraId="289C5DAE" w14:textId="77777777" w:rsidR="007F5DF3" w:rsidRPr="002A36CA" w:rsidRDefault="007F5DF3" w:rsidP="002A36CA">
      <w:pPr>
        <w:pStyle w:val="ListBullet"/>
      </w:pPr>
      <w:r w:rsidRPr="002A36CA">
        <w:t>Hepatic toxicity including elevated hepatic enzymes, although incidence was similar in LUM/IVA and placebo groups</w:t>
      </w:r>
    </w:p>
    <w:p w14:paraId="11C29E4D" w14:textId="77777777" w:rsidR="007F5DF3" w:rsidRPr="002A36CA" w:rsidRDefault="007F5DF3" w:rsidP="002A36CA">
      <w:pPr>
        <w:pStyle w:val="ListBullet"/>
      </w:pPr>
      <w:r w:rsidRPr="002A36CA">
        <w:t>CF patients who received lumacaftor plus ivacaftor combination product had an increased frequency of respiratory symptoms, although there were no SAEs or discontinuations due to respiratory AEs in the proposed LUM 400 mg q12h/ IVA 250 mg q12h group</w:t>
      </w:r>
    </w:p>
    <w:p w14:paraId="723FAB63" w14:textId="77777777" w:rsidR="007F5DF3" w:rsidRPr="002A36CA" w:rsidRDefault="007F5DF3" w:rsidP="002A36CA">
      <w:pPr>
        <w:pStyle w:val="ListBullet"/>
      </w:pPr>
      <w:r w:rsidRPr="002A36CA">
        <w:t>Menstrual AEs</w:t>
      </w:r>
    </w:p>
    <w:p w14:paraId="0F9EF6BE" w14:textId="77777777" w:rsidR="007F5DF3" w:rsidRPr="002A36CA" w:rsidRDefault="007F5DF3" w:rsidP="002A36CA">
      <w:pPr>
        <w:pStyle w:val="ListBullet"/>
      </w:pPr>
      <w:r w:rsidRPr="002A36CA">
        <w:t>LUM is a strong inducer of CYP3A and IVA is a sensitive CYP3A substrate with potential for drug</w:t>
      </w:r>
      <w:r w:rsidR="00FF4F70">
        <w:t>-</w:t>
      </w:r>
      <w:r w:rsidRPr="002A36CA">
        <w:t>drug interactions</w:t>
      </w:r>
    </w:p>
    <w:p w14:paraId="606CA193" w14:textId="77777777" w:rsidR="007F5DF3" w:rsidRPr="002A36CA" w:rsidRDefault="007F5DF3" w:rsidP="002A36CA">
      <w:pPr>
        <w:pStyle w:val="ListBullet"/>
      </w:pPr>
      <w:r w:rsidRPr="002A36CA">
        <w:t>Lack of adequate data on long-term efficacy and safety.</w:t>
      </w:r>
    </w:p>
    <w:p w14:paraId="427F7A57" w14:textId="77777777" w:rsidR="00605AD4" w:rsidRPr="00605AD4" w:rsidRDefault="00605AD4" w:rsidP="00605AD4">
      <w:pPr>
        <w:pStyle w:val="Heading4"/>
      </w:pPr>
      <w:r w:rsidRPr="00605AD4">
        <w:t>First round assessment of benefit-risk balance</w:t>
      </w:r>
    </w:p>
    <w:p w14:paraId="2F8531B3" w14:textId="79D9E0B2" w:rsidR="002A36CA" w:rsidRPr="002A36CA" w:rsidRDefault="002A36CA" w:rsidP="002A36CA">
      <w:r w:rsidRPr="002A36CA">
        <w:t>F508del has been character</w:t>
      </w:r>
      <w:r w:rsidR="00A02EC9">
        <w:t>ise</w:t>
      </w:r>
      <w:r w:rsidRPr="002A36CA">
        <w:t xml:space="preserve">d as a ‘severe’ CFTR mutation, based upon the F508del-CFTR homozygote clinical phenotype </w:t>
      </w:r>
      <w:r w:rsidR="004D785B" w:rsidRPr="004D785B">
        <w:rPr>
          <w:vertAlign w:val="superscript"/>
        </w:rPr>
        <w:fldChar w:fldCharType="begin"/>
      </w:r>
      <w:r w:rsidR="004D785B" w:rsidRPr="004D785B">
        <w:rPr>
          <w:vertAlign w:val="superscript"/>
        </w:rPr>
        <w:instrText xml:space="preserve"> NOTEREF _Ref456692300 \h </w:instrText>
      </w:r>
      <w:r w:rsidR="004D785B">
        <w:rPr>
          <w:vertAlign w:val="superscript"/>
        </w:rPr>
        <w:instrText xml:space="preserve"> \* MERGEFORMAT </w:instrText>
      </w:r>
      <w:r w:rsidR="004D785B" w:rsidRPr="004D785B">
        <w:rPr>
          <w:vertAlign w:val="superscript"/>
        </w:rPr>
      </w:r>
      <w:r w:rsidR="004D785B" w:rsidRPr="004D785B">
        <w:rPr>
          <w:vertAlign w:val="superscript"/>
        </w:rPr>
        <w:fldChar w:fldCharType="separate"/>
      </w:r>
      <w:r w:rsidR="00EC3FD5">
        <w:rPr>
          <w:vertAlign w:val="superscript"/>
        </w:rPr>
        <w:t>19</w:t>
      </w:r>
      <w:r w:rsidR="004D785B" w:rsidRPr="004D785B">
        <w:rPr>
          <w:vertAlign w:val="superscript"/>
        </w:rPr>
        <w:fldChar w:fldCharType="end"/>
      </w:r>
      <w:r w:rsidR="004D785B" w:rsidRPr="004D785B">
        <w:rPr>
          <w:vertAlign w:val="superscript"/>
        </w:rPr>
        <w:t>,</w:t>
      </w:r>
      <w:r w:rsidR="004D785B" w:rsidRPr="004D785B">
        <w:rPr>
          <w:vertAlign w:val="superscript"/>
        </w:rPr>
        <w:fldChar w:fldCharType="begin"/>
      </w:r>
      <w:r w:rsidR="004D785B" w:rsidRPr="004D785B">
        <w:rPr>
          <w:vertAlign w:val="superscript"/>
        </w:rPr>
        <w:instrText xml:space="preserve"> NOTEREF _Ref456692313 \h </w:instrText>
      </w:r>
      <w:r w:rsidR="004D785B">
        <w:rPr>
          <w:vertAlign w:val="superscript"/>
        </w:rPr>
        <w:instrText xml:space="preserve"> \* MERGEFORMAT </w:instrText>
      </w:r>
      <w:r w:rsidR="004D785B" w:rsidRPr="004D785B">
        <w:rPr>
          <w:vertAlign w:val="superscript"/>
        </w:rPr>
      </w:r>
      <w:r w:rsidR="004D785B" w:rsidRPr="004D785B">
        <w:rPr>
          <w:vertAlign w:val="superscript"/>
        </w:rPr>
        <w:fldChar w:fldCharType="separate"/>
      </w:r>
      <w:r w:rsidR="00EC3FD5">
        <w:rPr>
          <w:vertAlign w:val="superscript"/>
        </w:rPr>
        <w:t>20</w:t>
      </w:r>
      <w:r w:rsidR="004D785B" w:rsidRPr="004D785B">
        <w:rPr>
          <w:vertAlign w:val="superscript"/>
        </w:rPr>
        <w:fldChar w:fldCharType="end"/>
      </w:r>
      <w:r w:rsidR="004D785B" w:rsidRPr="004D785B">
        <w:rPr>
          <w:vertAlign w:val="superscript"/>
        </w:rPr>
        <w:t>,</w:t>
      </w:r>
      <w:r w:rsidR="004D785B" w:rsidRPr="004D785B">
        <w:rPr>
          <w:vertAlign w:val="superscript"/>
        </w:rPr>
        <w:fldChar w:fldCharType="begin"/>
      </w:r>
      <w:r w:rsidR="004D785B" w:rsidRPr="004D785B">
        <w:rPr>
          <w:vertAlign w:val="superscript"/>
        </w:rPr>
        <w:instrText xml:space="preserve"> NOTEREF _Ref456692331 \h </w:instrText>
      </w:r>
      <w:r w:rsidR="004D785B">
        <w:rPr>
          <w:vertAlign w:val="superscript"/>
        </w:rPr>
        <w:instrText xml:space="preserve"> \* MERGEFORMAT </w:instrText>
      </w:r>
      <w:r w:rsidR="004D785B" w:rsidRPr="004D785B">
        <w:rPr>
          <w:vertAlign w:val="superscript"/>
        </w:rPr>
      </w:r>
      <w:r w:rsidR="004D785B" w:rsidRPr="004D785B">
        <w:rPr>
          <w:vertAlign w:val="superscript"/>
        </w:rPr>
        <w:fldChar w:fldCharType="separate"/>
      </w:r>
      <w:r w:rsidR="00EC3FD5">
        <w:rPr>
          <w:vertAlign w:val="superscript"/>
        </w:rPr>
        <w:t>21</w:t>
      </w:r>
      <w:r w:rsidR="004D785B" w:rsidRPr="004D785B">
        <w:rPr>
          <w:vertAlign w:val="superscript"/>
        </w:rPr>
        <w:fldChar w:fldCharType="end"/>
      </w:r>
      <w:r w:rsidRPr="002A36CA">
        <w:t xml:space="preserve"> which is character</w:t>
      </w:r>
      <w:r w:rsidR="00A02EC9">
        <w:t>ise</w:t>
      </w:r>
      <w:r w:rsidRPr="002A36CA">
        <w:t>d by an early onset of clinical manifestations, a high incidence of pancreatic insufficiency, colonization with Pseudomonas aeruginosa, a more rapid rate of lung function decline and shorter life expectancy</w:t>
      </w:r>
      <w:r w:rsidR="004D785B">
        <w:t>.</w:t>
      </w:r>
      <w:r w:rsidR="004D785B" w:rsidRPr="004D785B">
        <w:rPr>
          <w:vertAlign w:val="superscript"/>
        </w:rPr>
        <w:fldChar w:fldCharType="begin"/>
      </w:r>
      <w:r w:rsidR="004D785B" w:rsidRPr="004D785B">
        <w:rPr>
          <w:vertAlign w:val="superscript"/>
        </w:rPr>
        <w:instrText xml:space="preserve"> NOTEREF _Ref456692384 \h </w:instrText>
      </w:r>
      <w:r w:rsidR="004D785B">
        <w:rPr>
          <w:vertAlign w:val="superscript"/>
        </w:rPr>
        <w:instrText xml:space="preserve"> \* MERGEFORMAT </w:instrText>
      </w:r>
      <w:r w:rsidR="004D785B" w:rsidRPr="004D785B">
        <w:rPr>
          <w:vertAlign w:val="superscript"/>
        </w:rPr>
      </w:r>
      <w:r w:rsidR="004D785B" w:rsidRPr="004D785B">
        <w:rPr>
          <w:vertAlign w:val="superscript"/>
        </w:rPr>
        <w:fldChar w:fldCharType="separate"/>
      </w:r>
      <w:r w:rsidR="00EC3FD5">
        <w:rPr>
          <w:vertAlign w:val="superscript"/>
        </w:rPr>
        <w:t>22</w:t>
      </w:r>
      <w:r w:rsidR="004D785B" w:rsidRPr="004D785B">
        <w:rPr>
          <w:vertAlign w:val="superscript"/>
        </w:rPr>
        <w:fldChar w:fldCharType="end"/>
      </w:r>
      <w:r w:rsidR="004D785B" w:rsidRPr="004D785B">
        <w:rPr>
          <w:vertAlign w:val="superscript"/>
        </w:rPr>
        <w:t>,</w:t>
      </w:r>
      <w:r w:rsidR="00EE4315">
        <w:rPr>
          <w:vertAlign w:val="superscript"/>
        </w:rPr>
        <w:t xml:space="preserve"> </w:t>
      </w:r>
      <w:r w:rsidR="004D785B" w:rsidRPr="004D785B">
        <w:rPr>
          <w:vertAlign w:val="superscript"/>
        </w:rPr>
        <w:fldChar w:fldCharType="begin"/>
      </w:r>
      <w:r w:rsidR="004D785B" w:rsidRPr="004D785B">
        <w:rPr>
          <w:vertAlign w:val="superscript"/>
        </w:rPr>
        <w:instrText xml:space="preserve"> NOTEREF _Ref456692331 \h </w:instrText>
      </w:r>
      <w:r w:rsidR="004D785B">
        <w:rPr>
          <w:vertAlign w:val="superscript"/>
        </w:rPr>
        <w:instrText xml:space="preserve"> \* MERGEFORMAT </w:instrText>
      </w:r>
      <w:r w:rsidR="004D785B" w:rsidRPr="004D785B">
        <w:rPr>
          <w:vertAlign w:val="superscript"/>
        </w:rPr>
      </w:r>
      <w:r w:rsidR="004D785B" w:rsidRPr="004D785B">
        <w:rPr>
          <w:vertAlign w:val="superscript"/>
        </w:rPr>
        <w:fldChar w:fldCharType="separate"/>
      </w:r>
      <w:r w:rsidR="00EC3FD5">
        <w:rPr>
          <w:vertAlign w:val="superscript"/>
        </w:rPr>
        <w:t>21</w:t>
      </w:r>
      <w:r w:rsidR="004D785B" w:rsidRPr="004D785B">
        <w:rPr>
          <w:vertAlign w:val="superscript"/>
        </w:rPr>
        <w:fldChar w:fldCharType="end"/>
      </w:r>
      <w:r w:rsidRPr="002A36CA">
        <w:t xml:space="preserve"> The patients demonstrate progression of disease with advancing age and have a decreased life expectancy. According to the Australian Cystic Fibrosis Data Registry, there were 3,156 patients with CF in 2012. Of the patients with genotype data available, 51.8% are homozygous for F508del-CFTR. Given the high unmet medical need of patients with CF who are homozygous for the F508del mutation, and considering that there is no currently approved therapy to treat the underlying cause of CF in this population, there is a substantial need to improve the treatment and outlook for patients with this mutation.</w:t>
      </w:r>
    </w:p>
    <w:p w14:paraId="23D06E8E" w14:textId="77777777" w:rsidR="002A36CA" w:rsidRPr="002A36CA" w:rsidRDefault="002A36CA" w:rsidP="002A36CA">
      <w:r w:rsidRPr="002A36CA">
        <w:t>The lumacaftor and ivacaftor combination development program consists of 17 clinical studies, with 16 completed clinical studies and 1 ongoing long-term efficacy and safety study. In vitro data provided evidence that a combination of lumacaftor and ivacaftor could potentially increase CFTR mediated Cl secretion in patients with CF carrying the F508del-CFTR mutation.</w:t>
      </w:r>
    </w:p>
    <w:p w14:paraId="0E2DFEDA" w14:textId="77777777" w:rsidR="002A36CA" w:rsidRPr="002A36CA" w:rsidRDefault="002A36CA" w:rsidP="002A36CA">
      <w:r w:rsidRPr="002A36CA">
        <w:lastRenderedPageBreak/>
        <w:t xml:space="preserve">The Phase II Study 102 was planned to investigate lumacaftor and ivacaftor combination therapy, as well as lumacaftor monotherapy, in subjects who are homozygous or heterozygous for the F508del-CFTR mutation. Studies 005 and 006 were carried out in healthy subjects order to understand the </w:t>
      </w:r>
      <w:r w:rsidR="00303FCD">
        <w:t>drug-drug interaction</w:t>
      </w:r>
      <w:r w:rsidR="00303FCD" w:rsidRPr="002A36CA">
        <w:t xml:space="preserve"> </w:t>
      </w:r>
      <w:r w:rsidR="00303FCD">
        <w:t>(</w:t>
      </w:r>
      <w:r w:rsidRPr="002A36CA">
        <w:t>DDI</w:t>
      </w:r>
      <w:r w:rsidR="00303FCD">
        <w:t>)</w:t>
      </w:r>
      <w:r w:rsidRPr="002A36CA">
        <w:t xml:space="preserve"> between lumacaftor (a CYP3A inducer) and ivacaftor (a sensitive CYP3A substrate) and to inform selection of the dosages used in combination therapy studies. Results from Study 102 demonstrated that pharmacologic modulation of CFTR function through treatment with lumacaftor in combination with ivacaftor can result in clinical benefit in subjects with CF who are homozygous for the F508del-CFTR mutation. Several clinical pharmacology studies were also performed in healthy subjects, including a bioavailability study of additional dosage strengths, as well as evaluations of potential DDIs identified from in vitro studies.</w:t>
      </w:r>
    </w:p>
    <w:p w14:paraId="1596ACB1" w14:textId="77777777" w:rsidR="002A36CA" w:rsidRPr="002A36CA" w:rsidRDefault="002A36CA" w:rsidP="002A36CA">
      <w:r w:rsidRPr="002A36CA">
        <w:t xml:space="preserve">Based on the results from Studies 101 and 102 (Cohorts 1 to 3), and in consultation with the US and EU regulatory authorities, the pivotal, placebo controlled Phase III studies (Studies 103/104) were designed to evaluate the efficacy and safety of lumacaftor in combination with ivacaftor in subjects who are homozygous for the F508del-CFTR mutation. Two dosing regimens, LUM 600 mg </w:t>
      </w:r>
      <w:r w:rsidR="009B151C" w:rsidRPr="002A36CA">
        <w:t>QD</w:t>
      </w:r>
      <w:r w:rsidRPr="002A36CA">
        <w:t>/IVA 250 mg and LUM 400 mg q12h/IVA 250 mg q12h, were studied in pivotal Phase III clinical studies in order to determine the optimal clinical dose combination of LUM/IVA for patients 12 years and older who are homozygous for the F508del-CFTR mutation.</w:t>
      </w:r>
    </w:p>
    <w:p w14:paraId="506BBE51" w14:textId="77777777" w:rsidR="002A36CA" w:rsidRPr="002A36CA" w:rsidRDefault="002A36CA" w:rsidP="002A36CA">
      <w:r w:rsidRPr="002A36CA">
        <w:t xml:space="preserve">The Phase III clinical data showed that lumacaftor plus ivacaftor fixed dose combination product has statistically significant benefit over placebo in FEV1 with a modest effect size of approximately 3%. Statistically significant improvements in </w:t>
      </w:r>
      <w:r w:rsidR="00A94F3D">
        <w:t>ppFEV1</w:t>
      </w:r>
      <w:r w:rsidRPr="002A36CA">
        <w:t xml:space="preserve"> were rapid in onset and sustained throughout the 24</w:t>
      </w:r>
      <w:r w:rsidR="00026051">
        <w:t xml:space="preserve"> </w:t>
      </w:r>
      <w:r w:rsidRPr="002A36CA">
        <w:t xml:space="preserve">week treatment period. Improvements were also observed for multiple secondary endpoints including reductions in risk, frequency/ duration of experiencing a pulmonary exacerbation as well as reductions in pulmonary exacerbations that required hospitalization or IV antibiotic therapy. This suggests that the numerically small but statistical significant improvement in FEV1 is a meaningful clinical benefit. The proposed combination also showed improvements in measures of nutritional status (BMI and weight) and in respiratory symptoms (as measured by CFQ-R respiratory domain score). Consistent treatment effects were observed in subjects with all degrees of disease severity, according to baseline </w:t>
      </w:r>
      <w:r w:rsidR="00A94F3D">
        <w:t>ppFEV1</w:t>
      </w:r>
      <w:r w:rsidRPr="002A36CA">
        <w:t xml:space="preserve">. Subjects with severely compromised lung function (baseline </w:t>
      </w:r>
      <w:r w:rsidR="00A94F3D">
        <w:t>ppFEV1</w:t>
      </w:r>
      <w:r w:rsidRPr="002A36CA">
        <w:t xml:space="preserve"> &lt; 40) had improvements that were at least similar to subjects with higher baseline </w:t>
      </w:r>
      <w:r w:rsidR="00A94F3D">
        <w:t>ppFEV1</w:t>
      </w:r>
      <w:r w:rsidRPr="002A36CA">
        <w:t xml:space="preserve"> values. Consistent treatment effects were also observed regardless of age, sex, geographic region, prior use of CF medications, and P. aeruginosa status. The treatment effects demonstrated for the primary and secondary endpoints were in addition to the benefit a subject received from prescribed CF therapies.</w:t>
      </w:r>
    </w:p>
    <w:p w14:paraId="50711639" w14:textId="368E0FF0" w:rsidR="002A36CA" w:rsidRPr="002A36CA" w:rsidRDefault="002A36CA" w:rsidP="002A36CA">
      <w:r w:rsidRPr="002A36CA">
        <w:t xml:space="preserve">While there was no clear differentiation between the 2 combination therapy regimens when </w:t>
      </w:r>
      <w:r w:rsidR="00A94F3D">
        <w:t>ppFEV1</w:t>
      </w:r>
      <w:r w:rsidRPr="002A36CA">
        <w:t>, BMI and CFQ-R respiratory domain score were evaluated, improvements in pulmonary exacerbation</w:t>
      </w:r>
      <w:r w:rsidR="00026051">
        <w:t xml:space="preserve"> </w:t>
      </w:r>
      <w:r w:rsidRPr="002A36CA">
        <w:t>related outcomes favoured the LUM 400 mg q12h/IVA 250 mg q12h regimen. Based on these results and the simplicity of the twice</w:t>
      </w:r>
      <w:r w:rsidR="00026051">
        <w:t xml:space="preserve"> </w:t>
      </w:r>
      <w:r w:rsidRPr="002A36CA">
        <w:t>daily FDC regimen, the recommended dosing regimen (for which approval is being sought in this submission) is lumacaftor 400 mg q12h in combination with ivacaftor 250 mg q12h administered as an FDC of 2 tablets of LUM 200 mg/IVA 125 mg every 12 hours.</w:t>
      </w:r>
    </w:p>
    <w:p w14:paraId="1D6E58A8" w14:textId="03064D06" w:rsidR="002A36CA" w:rsidRPr="002A36CA" w:rsidRDefault="002A36CA" w:rsidP="002A36CA">
      <w:r w:rsidRPr="002A36CA">
        <w:t xml:space="preserve">The maintenance of efficacy of Orkambi was confirmed in an </w:t>
      </w:r>
      <w:r w:rsidR="008262B5">
        <w:t xml:space="preserve">interim </w:t>
      </w:r>
      <w:r w:rsidRPr="002A36CA">
        <w:t>efficacy analysis which was performed after 95 patients who had received Orkambi (lumacaftor 400 mg/ivacaftor 250 mg q12h) in placebo controlled Phase III studies 103 or 104 had completed the Week 24 Visit in the rollover, long-term Study 105 (up to 48 weeks of treatment overall). However, there was no evidence of efficacy of proposed lumacaftor 400 mg/ivacaftor 250 mg q12h beyond 48 weeks. Long-term efficacy beyond 48 weeks will require confirmation from ongoing rollover, open label, 96 week Study 105 and the data should be provided for evaluation on completion of this study.</w:t>
      </w:r>
    </w:p>
    <w:p w14:paraId="2D4BF79B" w14:textId="77777777" w:rsidR="002A36CA" w:rsidRPr="002A36CA" w:rsidRDefault="002A36CA" w:rsidP="002A36CA">
      <w:r w:rsidRPr="002A36CA">
        <w:lastRenderedPageBreak/>
        <w:t>The contribution of the individual drugs lumacaftor and ivacaftor in the combination pr</w:t>
      </w:r>
      <w:r w:rsidR="004D785B">
        <w:t xml:space="preserve">oduct were obtained from the in </w:t>
      </w:r>
      <w:r w:rsidRPr="002A36CA">
        <w:t>vitro data suggesting additive benefit of the two and early clinical data suggest some additive benefit on FEV1 when ivacaftor is added to lumacaftor (Study 102). The available clinical data are not adequate to determine whether lumacaftor provides additive clinical benefit over ivacaftor alone. However, demonstration of additive clinical benefit of lumacaftor is not necessary in this specific situation. The lumacaftor plus ivacaftor combination product provides benefit over placebo (standard of care background treatment in this case). The natural course of CF patients with F508del mutation is devastating with limited treatment options. Hence, the proposed lumacaftor plus ivacaftor combination product will provide benefit to these patients over the current standard of care treatment.</w:t>
      </w:r>
    </w:p>
    <w:p w14:paraId="5666AF3A" w14:textId="77777777" w:rsidR="002A36CA" w:rsidRPr="002A36CA" w:rsidRDefault="002A36CA" w:rsidP="002A36CA">
      <w:r w:rsidRPr="002A36CA">
        <w:t xml:space="preserve">Overall exposure to proposed combination of lumacaftor and ivacaftor was adequate to evaluate safety in the target patient population for the proposed indication. Treatment with lumacaftor in combination with ivacaftor was safe and well tolerated in 738 subjects who received treatment for 24 weeks (Studies 103/104) of whom 369 patients were treated with proposed dose of LUM 400 mg q12h/IVA 250 mg q12h. The safety profiles for the LUM 600 mg </w:t>
      </w:r>
      <w:r w:rsidR="009B151C" w:rsidRPr="002A36CA">
        <w:t>QD</w:t>
      </w:r>
      <w:r w:rsidRPr="002A36CA">
        <w:t>/IVA 250 mg q12h group and the proposed dose of LUM 400 mg q12h/IVA 250 mg q12h group were similar. In the long-term safety and efficacy study, no new safety signal was identified. The overall incidence of AEs was lower in subjects who continued on treatment in Study 105 compared with subjects who were new to treatment in Study 105.</w:t>
      </w:r>
    </w:p>
    <w:p w14:paraId="3C5D2D92" w14:textId="77777777" w:rsidR="002A36CA" w:rsidRPr="002A36CA" w:rsidRDefault="002A36CA" w:rsidP="002A36CA">
      <w:r w:rsidRPr="002A36CA">
        <w:t>The safety profile of LUM/IVA was character</w:t>
      </w:r>
      <w:r w:rsidR="00A02EC9">
        <w:t>ise</w:t>
      </w:r>
      <w:r w:rsidRPr="002A36CA">
        <w:t>d by AEs that were most often mild to moderate in severity and the most common risks of LUM/IVA identified in the clinical studies (such as elevated transaminases, liver toxicity, respiratory AEs and menstrual AEs) are readily monitored and recogn</w:t>
      </w:r>
      <w:r w:rsidR="00A02EC9">
        <w:t>ise</w:t>
      </w:r>
      <w:r w:rsidRPr="002A36CA">
        <w:t>d, and may be managed without treatment discontinuation. Furthermore, adequate precautions have been included in the proposed PI.</w:t>
      </w:r>
    </w:p>
    <w:p w14:paraId="5DAA0A49" w14:textId="77777777" w:rsidR="002A36CA" w:rsidRPr="002A36CA" w:rsidRDefault="002A36CA" w:rsidP="002A36CA">
      <w:r w:rsidRPr="002A36CA">
        <w:t>Given the broad array of clinical benefits, chronic treatment with LUM/IVA combination therapy may have potential to decrease the morbidity and mortality of patients with CF who are homozygous for the F508del mutation in the CFTR gene, although this was not specifically analysed in any of the submitted studies.</w:t>
      </w:r>
    </w:p>
    <w:p w14:paraId="5F5980F6" w14:textId="77777777" w:rsidR="002A36CA" w:rsidRPr="002A36CA" w:rsidRDefault="002A36CA" w:rsidP="002A36CA">
      <w:r w:rsidRPr="002A36CA">
        <w:t>Overall, the results of the clinical development program provide adequate evidence to support the use of LUM/IVA combination therapy for the treatment of CF in patients age 12 years and older who are homozygous for the F508del mutation on the CFTR gene.</w:t>
      </w:r>
    </w:p>
    <w:p w14:paraId="07B55388" w14:textId="77777777" w:rsidR="00605AD4" w:rsidRPr="00605AD4" w:rsidRDefault="002A36CA" w:rsidP="00605AD4">
      <w:r w:rsidRPr="002A36CA">
        <w:t>The benefit-risk balance of Orkambi, given the proposed usage, is favourable.</w:t>
      </w:r>
    </w:p>
    <w:p w14:paraId="52524D0A" w14:textId="29183068" w:rsidR="00605AD4" w:rsidRPr="00605AD4" w:rsidRDefault="00011650" w:rsidP="00605AD4">
      <w:pPr>
        <w:pStyle w:val="Heading3"/>
        <w:rPr>
          <w:rFonts w:eastAsia="Cambria"/>
        </w:rPr>
      </w:pPr>
      <w:bookmarkStart w:id="111" w:name="_Toc462141660"/>
      <w:r>
        <w:rPr>
          <w:rFonts w:eastAsia="Cambria"/>
        </w:rPr>
        <w:t>First r</w:t>
      </w:r>
      <w:r w:rsidR="00605AD4" w:rsidRPr="00605AD4">
        <w:rPr>
          <w:rFonts w:eastAsia="Cambria"/>
        </w:rPr>
        <w:t xml:space="preserve">ound </w:t>
      </w:r>
      <w:r>
        <w:rPr>
          <w:rFonts w:eastAsia="Cambria"/>
        </w:rPr>
        <w:t>r</w:t>
      </w:r>
      <w:r w:rsidR="00605AD4" w:rsidRPr="00605AD4">
        <w:rPr>
          <w:rFonts w:eastAsia="Cambria"/>
        </w:rPr>
        <w:t xml:space="preserve">ecommendation </w:t>
      </w:r>
      <w:r>
        <w:rPr>
          <w:rFonts w:eastAsia="Cambria"/>
        </w:rPr>
        <w:t>r</w:t>
      </w:r>
      <w:r w:rsidR="00605AD4" w:rsidRPr="00605AD4">
        <w:rPr>
          <w:rFonts w:eastAsia="Cambria"/>
        </w:rPr>
        <w:t xml:space="preserve">egarding </w:t>
      </w:r>
      <w:r>
        <w:rPr>
          <w:rFonts w:eastAsia="Cambria"/>
        </w:rPr>
        <w:t>a</w:t>
      </w:r>
      <w:r w:rsidR="00605AD4" w:rsidRPr="00605AD4">
        <w:rPr>
          <w:rFonts w:eastAsia="Cambria"/>
        </w:rPr>
        <w:t>uthorisation</w:t>
      </w:r>
      <w:bookmarkEnd w:id="111"/>
    </w:p>
    <w:p w14:paraId="3A626129" w14:textId="77777777" w:rsidR="002A36CA" w:rsidRPr="002A36CA" w:rsidRDefault="002A36CA" w:rsidP="002A36CA">
      <w:r w:rsidRPr="002A36CA">
        <w:t>It is recommended that marketing approval be granted for Orkambi for the proposed indication of;</w:t>
      </w:r>
    </w:p>
    <w:p w14:paraId="6B362447" w14:textId="77777777" w:rsidR="002A36CA" w:rsidRPr="002A36CA" w:rsidRDefault="002A36CA" w:rsidP="002A36CA">
      <w:pPr>
        <w:ind w:left="720"/>
        <w:rPr>
          <w:i/>
        </w:rPr>
      </w:pPr>
      <w:r w:rsidRPr="002A36CA">
        <w:rPr>
          <w:i/>
        </w:rPr>
        <w:t>treatment of cystic fibrosis (CF) in patients aged 12 years and older who are homozygous for the F508del mutation in the CFTR gene.</w:t>
      </w:r>
    </w:p>
    <w:p w14:paraId="171AB573" w14:textId="306F6AAD" w:rsidR="00605AD4" w:rsidRPr="002A36CA" w:rsidRDefault="002A36CA" w:rsidP="002A36CA">
      <w:r w:rsidRPr="002A36CA">
        <w:t>Approval is subject to incorporation of suggested changes to the proposed PI and adequate response to clinical questions</w:t>
      </w:r>
      <w:r w:rsidR="006D5004">
        <w:t>.</w:t>
      </w:r>
    </w:p>
    <w:p w14:paraId="76AFC7C7" w14:textId="7CE3765E" w:rsidR="00605AD4" w:rsidRPr="00605AD4" w:rsidRDefault="00B447F1" w:rsidP="00605AD4">
      <w:pPr>
        <w:pStyle w:val="Heading3"/>
        <w:rPr>
          <w:rFonts w:eastAsia="Cambria"/>
        </w:rPr>
      </w:pPr>
      <w:bookmarkStart w:id="112" w:name="_Toc462141661"/>
      <w:r>
        <w:rPr>
          <w:rFonts w:eastAsia="Cambria"/>
        </w:rPr>
        <w:lastRenderedPageBreak/>
        <w:t>Clinical q</w:t>
      </w:r>
      <w:r w:rsidR="00605AD4" w:rsidRPr="00605AD4">
        <w:rPr>
          <w:rFonts w:eastAsia="Cambria"/>
        </w:rPr>
        <w:t>uestions</w:t>
      </w:r>
      <w:bookmarkEnd w:id="112"/>
    </w:p>
    <w:p w14:paraId="509016AD" w14:textId="77777777" w:rsidR="002A36CA" w:rsidRPr="002A36CA" w:rsidRDefault="002A36CA" w:rsidP="002A36CA">
      <w:pPr>
        <w:pStyle w:val="Heading4"/>
      </w:pPr>
      <w:bookmarkStart w:id="113" w:name="_Toc453937676"/>
      <w:r w:rsidRPr="002A36CA">
        <w:t>Pharmacokinetics</w:t>
      </w:r>
      <w:bookmarkEnd w:id="113"/>
    </w:p>
    <w:p w14:paraId="42C2CE94" w14:textId="77777777" w:rsidR="002A36CA" w:rsidRPr="002A36CA" w:rsidRDefault="002A36CA" w:rsidP="00B447F1">
      <w:pPr>
        <w:pStyle w:val="Numberbullet0"/>
      </w:pPr>
      <w:r w:rsidRPr="002A36CA">
        <w:t xml:space="preserve">The values given in the Clinical Pharmacology Summary (p99 of 135) regarding the radioactivity associated with unchanged LUM and </w:t>
      </w:r>
      <w:r w:rsidR="0026099D">
        <w:t>M2</w:t>
      </w:r>
      <w:r w:rsidRPr="002A36CA">
        <w:t>8-LUM were approximately 10% higher than the values given in the study</w:t>
      </w:r>
      <w:r w:rsidR="00026051">
        <w:t xml:space="preserve"> </w:t>
      </w:r>
      <w:r w:rsidRPr="002A36CA">
        <w:t>report</w:t>
      </w:r>
      <w:r w:rsidR="00026051">
        <w:t xml:space="preserve"> </w:t>
      </w:r>
      <w:r w:rsidRPr="002A36CA">
        <w:t>body</w:t>
      </w:r>
      <w:r w:rsidR="00026051">
        <w:t xml:space="preserve"> </w:t>
      </w:r>
      <w:r w:rsidRPr="002A36CA">
        <w:t>VX08-809-004.pdf on page 63 (of 684) and Table 11.3 (p65 of 684) of the same document. Can the sponsor please clarify why these differences between the two documents exist?</w:t>
      </w:r>
    </w:p>
    <w:p w14:paraId="467BD48A" w14:textId="77777777" w:rsidR="002A36CA" w:rsidRPr="002A36CA" w:rsidRDefault="002A36CA" w:rsidP="004D785B">
      <w:pPr>
        <w:pStyle w:val="Numberbullet0"/>
      </w:pPr>
      <w:r w:rsidRPr="002A36CA">
        <w:t>Can the sponsor please provide information on the activity of the plasma metabolites of LUM.</w:t>
      </w:r>
    </w:p>
    <w:p w14:paraId="179584A2" w14:textId="77777777" w:rsidR="002A36CA" w:rsidRPr="002A36CA" w:rsidRDefault="002A36CA" w:rsidP="002A36CA">
      <w:pPr>
        <w:pStyle w:val="Heading4"/>
      </w:pPr>
      <w:bookmarkStart w:id="114" w:name="_Toc453937677"/>
      <w:r w:rsidRPr="002A36CA">
        <w:t>Pharmacodynamics</w:t>
      </w:r>
      <w:bookmarkEnd w:id="114"/>
    </w:p>
    <w:p w14:paraId="5E0DEDCD" w14:textId="77777777" w:rsidR="002A36CA" w:rsidRPr="002A36CA" w:rsidRDefault="004D785B" w:rsidP="002A36CA">
      <w:r>
        <w:t>No questions.</w:t>
      </w:r>
    </w:p>
    <w:p w14:paraId="5768BF17" w14:textId="77777777" w:rsidR="002A36CA" w:rsidRPr="002A36CA" w:rsidRDefault="002A36CA" w:rsidP="002A36CA">
      <w:pPr>
        <w:pStyle w:val="Heading4"/>
      </w:pPr>
      <w:bookmarkStart w:id="115" w:name="_Toc453937678"/>
      <w:r w:rsidRPr="002A36CA">
        <w:t>Efficacy</w:t>
      </w:r>
      <w:bookmarkEnd w:id="115"/>
    </w:p>
    <w:p w14:paraId="6877CB97" w14:textId="77777777" w:rsidR="002A36CA" w:rsidRPr="002A36CA" w:rsidRDefault="002A36CA" w:rsidP="004D785B">
      <w:pPr>
        <w:pStyle w:val="Numberbullet0"/>
      </w:pPr>
      <w:r w:rsidRPr="002A36CA">
        <w:t>Long-term efficacy and safety of Orkambi was only established up to 48 weeks. Hence, on completion of the 96</w:t>
      </w:r>
      <w:r w:rsidR="00026051">
        <w:t xml:space="preserve"> </w:t>
      </w:r>
      <w:r w:rsidRPr="002A36CA">
        <w:t>week, long-term, open</w:t>
      </w:r>
      <w:r w:rsidR="00026051">
        <w:t xml:space="preserve"> </w:t>
      </w:r>
      <w:r w:rsidRPr="002A36CA">
        <w:t>label Study 105, data should be presented for evaluation.</w:t>
      </w:r>
    </w:p>
    <w:p w14:paraId="56CA51D2" w14:textId="77777777" w:rsidR="002A36CA" w:rsidRPr="002A36CA" w:rsidRDefault="002A36CA" w:rsidP="002A36CA">
      <w:pPr>
        <w:pStyle w:val="Heading4"/>
      </w:pPr>
      <w:bookmarkStart w:id="116" w:name="_Toc453937679"/>
      <w:r w:rsidRPr="002A36CA">
        <w:t>Safety</w:t>
      </w:r>
      <w:bookmarkEnd w:id="116"/>
    </w:p>
    <w:p w14:paraId="2AB1C9B2" w14:textId="77777777" w:rsidR="00605AD4" w:rsidRPr="00605AD4" w:rsidRDefault="002A36CA" w:rsidP="00605AD4">
      <w:r w:rsidRPr="002A36CA">
        <w:t>No</w:t>
      </w:r>
      <w:r w:rsidR="004D785B">
        <w:t xml:space="preserve"> questions</w:t>
      </w:r>
      <w:r w:rsidRPr="002A36CA">
        <w:t>.</w:t>
      </w:r>
    </w:p>
    <w:p w14:paraId="0193746E" w14:textId="35FF1EC8" w:rsidR="00605AD4" w:rsidRPr="00605AD4" w:rsidRDefault="00605AD4" w:rsidP="00605AD4">
      <w:pPr>
        <w:pStyle w:val="Heading3"/>
        <w:rPr>
          <w:rFonts w:eastAsia="Cambria"/>
        </w:rPr>
      </w:pPr>
      <w:bookmarkStart w:id="117" w:name="_Toc462141662"/>
      <w:r w:rsidRPr="00605AD4">
        <w:rPr>
          <w:rFonts w:eastAsia="Cambria"/>
        </w:rPr>
        <w:t xml:space="preserve">Second </w:t>
      </w:r>
      <w:r w:rsidR="00E92662">
        <w:rPr>
          <w:rFonts w:eastAsia="Cambria"/>
        </w:rPr>
        <w:t>r</w:t>
      </w:r>
      <w:r w:rsidRPr="00605AD4">
        <w:rPr>
          <w:rFonts w:eastAsia="Cambria"/>
        </w:rPr>
        <w:t xml:space="preserve">ound </w:t>
      </w:r>
      <w:r w:rsidR="00E92662">
        <w:rPr>
          <w:rFonts w:eastAsia="Cambria"/>
        </w:rPr>
        <w:t>e</w:t>
      </w:r>
      <w:r w:rsidRPr="00605AD4">
        <w:rPr>
          <w:rFonts w:eastAsia="Cambria"/>
        </w:rPr>
        <w:t>valuation of clinical data submitted in response to questions</w:t>
      </w:r>
      <w:bookmarkEnd w:id="117"/>
    </w:p>
    <w:p w14:paraId="10E64D5F" w14:textId="439B4EB9" w:rsidR="00605AD4" w:rsidRPr="00605AD4" w:rsidRDefault="002A36CA" w:rsidP="00605AD4">
      <w:r>
        <w:t>For details of the sponsor’s responses and the evaluation of these responses please see Attachment 2</w:t>
      </w:r>
      <w:r w:rsidR="006D5004">
        <w:t xml:space="preserve"> (extract of the clinical evaluation report)</w:t>
      </w:r>
      <w:r>
        <w:t>.</w:t>
      </w:r>
    </w:p>
    <w:p w14:paraId="6E32EBD5" w14:textId="3D718EAF" w:rsidR="00605AD4" w:rsidRPr="00605AD4" w:rsidRDefault="00E92662" w:rsidP="00546154">
      <w:pPr>
        <w:pStyle w:val="Heading3"/>
        <w:rPr>
          <w:rFonts w:eastAsia="Cambria"/>
        </w:rPr>
      </w:pPr>
      <w:bookmarkStart w:id="118" w:name="_Toc462141663"/>
      <w:r>
        <w:rPr>
          <w:rFonts w:eastAsia="Cambria"/>
        </w:rPr>
        <w:t>Second r</w:t>
      </w:r>
      <w:r w:rsidR="00605AD4" w:rsidRPr="00605AD4">
        <w:rPr>
          <w:rFonts w:eastAsia="Cambria"/>
        </w:rPr>
        <w:t xml:space="preserve">ound </w:t>
      </w:r>
      <w:r>
        <w:rPr>
          <w:rFonts w:eastAsia="Cambria"/>
        </w:rPr>
        <w:t>b</w:t>
      </w:r>
      <w:r w:rsidR="00605AD4" w:rsidRPr="00605AD4">
        <w:rPr>
          <w:rFonts w:eastAsia="Cambria"/>
        </w:rPr>
        <w:t>enefit-</w:t>
      </w:r>
      <w:r>
        <w:rPr>
          <w:rFonts w:eastAsia="Cambria"/>
        </w:rPr>
        <w:t>r</w:t>
      </w:r>
      <w:r w:rsidR="00605AD4" w:rsidRPr="00605AD4">
        <w:rPr>
          <w:rFonts w:eastAsia="Cambria"/>
        </w:rPr>
        <w:t xml:space="preserve">isk </w:t>
      </w:r>
      <w:r>
        <w:rPr>
          <w:rFonts w:eastAsia="Cambria"/>
        </w:rPr>
        <w:t>a</w:t>
      </w:r>
      <w:r w:rsidR="00605AD4" w:rsidRPr="00605AD4">
        <w:rPr>
          <w:rFonts w:eastAsia="Cambria"/>
        </w:rPr>
        <w:t>ssessment</w:t>
      </w:r>
      <w:bookmarkEnd w:id="118"/>
    </w:p>
    <w:p w14:paraId="328E4A2C" w14:textId="77777777" w:rsidR="002A36CA" w:rsidRPr="002A36CA" w:rsidRDefault="002A36CA" w:rsidP="002A36CA">
      <w:pPr>
        <w:pStyle w:val="Heading4"/>
      </w:pPr>
      <w:bookmarkStart w:id="119" w:name="_Toc453937686"/>
      <w:r w:rsidRPr="002A36CA">
        <w:t>Second round assessment of benefits</w:t>
      </w:r>
      <w:bookmarkEnd w:id="119"/>
    </w:p>
    <w:p w14:paraId="17C0388D" w14:textId="77777777" w:rsidR="002A36CA" w:rsidRPr="002A36CA" w:rsidRDefault="002A36CA" w:rsidP="002A36CA">
      <w:r w:rsidRPr="002A36CA">
        <w:t>After consideration of the responses to clinical questions, the benefits of Orkambi in the proposed usage are unchanged from those identified in the first round assessment of benefits.</w:t>
      </w:r>
    </w:p>
    <w:p w14:paraId="44464666" w14:textId="77777777" w:rsidR="002A36CA" w:rsidRPr="002A36CA" w:rsidRDefault="002A36CA" w:rsidP="002A36CA">
      <w:pPr>
        <w:pStyle w:val="Heading4"/>
      </w:pPr>
      <w:bookmarkStart w:id="120" w:name="_Toc453937687"/>
      <w:r w:rsidRPr="002A36CA">
        <w:t>Second round assessment of risks</w:t>
      </w:r>
      <w:bookmarkEnd w:id="120"/>
    </w:p>
    <w:p w14:paraId="57079457" w14:textId="77777777" w:rsidR="002A36CA" w:rsidRPr="002A36CA" w:rsidRDefault="002A36CA" w:rsidP="002A36CA">
      <w:r w:rsidRPr="002A36CA">
        <w:t>After consideration of the responses to clinical questions, the risks of Orkambi in the proposed usage are unchanged from those identified in the first round assessment of risks.</w:t>
      </w:r>
    </w:p>
    <w:p w14:paraId="58D2ACEA" w14:textId="77777777" w:rsidR="002A36CA" w:rsidRPr="002A36CA" w:rsidRDefault="002A36CA" w:rsidP="002A36CA">
      <w:pPr>
        <w:pStyle w:val="Heading4"/>
      </w:pPr>
      <w:bookmarkStart w:id="121" w:name="_Toc453937688"/>
      <w:r w:rsidRPr="002A36CA">
        <w:t>Second round assessment of benefit-risk balance</w:t>
      </w:r>
      <w:bookmarkEnd w:id="121"/>
    </w:p>
    <w:p w14:paraId="254068A6" w14:textId="77777777" w:rsidR="002A36CA" w:rsidRPr="006C2395" w:rsidRDefault="002A36CA" w:rsidP="002A36CA">
      <w:r w:rsidRPr="002A36CA">
        <w:t>The benefit-risk balance of Orkambi in the proposed usage is favourable</w:t>
      </w:r>
      <w:r>
        <w:t>.</w:t>
      </w:r>
    </w:p>
    <w:p w14:paraId="32FB6167" w14:textId="77777777" w:rsidR="002A36CA" w:rsidRPr="002A36CA" w:rsidRDefault="002A36CA" w:rsidP="002A36CA">
      <w:pPr>
        <w:pStyle w:val="Heading4"/>
      </w:pPr>
      <w:bookmarkStart w:id="122" w:name="_Toc453937689"/>
      <w:r w:rsidRPr="002A36CA">
        <w:t>Second round recommendation regarding authorisation</w:t>
      </w:r>
      <w:bookmarkEnd w:id="122"/>
    </w:p>
    <w:p w14:paraId="70D46FA0" w14:textId="77777777" w:rsidR="002A36CA" w:rsidRPr="002A36CA" w:rsidRDefault="002A36CA" w:rsidP="002A36CA">
      <w:r w:rsidRPr="002A36CA">
        <w:t>It is recommended that application for marketing of Orkambi (lumacaftor 200 mg/ ivacaftor 125mg tablets) be a</w:t>
      </w:r>
      <w:r w:rsidR="004D785B">
        <w:t>pproved for proposed indication;</w:t>
      </w:r>
    </w:p>
    <w:p w14:paraId="20CB4AB5" w14:textId="77777777" w:rsidR="00605AD4" w:rsidRPr="002A36CA" w:rsidRDefault="002A36CA" w:rsidP="002A36CA">
      <w:pPr>
        <w:ind w:left="720"/>
        <w:rPr>
          <w:i/>
        </w:rPr>
      </w:pPr>
      <w:r w:rsidRPr="002A36CA">
        <w:rPr>
          <w:i/>
        </w:rPr>
        <w:lastRenderedPageBreak/>
        <w:t>for the treatment of cystic fibrosis (CF) in patients aged 12 years and older who are homozygous for the F508del mutation in the CFTR gene.</w:t>
      </w:r>
    </w:p>
    <w:p w14:paraId="31FDC5B7" w14:textId="77777777" w:rsidR="008E7846" w:rsidRPr="00E41208" w:rsidRDefault="008E7846" w:rsidP="00546154">
      <w:pPr>
        <w:pStyle w:val="Heading2"/>
      </w:pPr>
      <w:bookmarkStart w:id="123" w:name="_Toc462141664"/>
      <w:r w:rsidRPr="00E41208">
        <w:t xml:space="preserve">V. Pharmacovigilance </w:t>
      </w:r>
      <w:r>
        <w:t>f</w:t>
      </w:r>
      <w:r w:rsidRPr="00E41208">
        <w:t>indings</w:t>
      </w:r>
      <w:bookmarkEnd w:id="106"/>
      <w:bookmarkEnd w:id="107"/>
      <w:bookmarkEnd w:id="123"/>
    </w:p>
    <w:p w14:paraId="6F96CDA7" w14:textId="77777777" w:rsidR="008E7846" w:rsidRDefault="00386150" w:rsidP="008E7846">
      <w:pPr>
        <w:pStyle w:val="Heading3"/>
        <w:rPr>
          <w:lang w:eastAsia="en-AU"/>
        </w:rPr>
      </w:pPr>
      <w:bookmarkStart w:id="124" w:name="_Toc247691526"/>
      <w:bookmarkStart w:id="125" w:name="_Toc314842509"/>
      <w:bookmarkStart w:id="126" w:name="_Toc462141665"/>
      <w:r>
        <w:rPr>
          <w:lang w:eastAsia="en-AU"/>
        </w:rPr>
        <w:t>Risk m</w:t>
      </w:r>
      <w:r w:rsidR="008E7846">
        <w:rPr>
          <w:lang w:eastAsia="en-AU"/>
        </w:rPr>
        <w:t xml:space="preserve">anagement </w:t>
      </w:r>
      <w:r>
        <w:rPr>
          <w:lang w:eastAsia="en-AU"/>
        </w:rPr>
        <w:t>p</w:t>
      </w:r>
      <w:r w:rsidR="008E7846">
        <w:rPr>
          <w:lang w:eastAsia="en-AU"/>
        </w:rPr>
        <w:t>lan</w:t>
      </w:r>
      <w:bookmarkEnd w:id="124"/>
      <w:bookmarkEnd w:id="125"/>
      <w:bookmarkEnd w:id="126"/>
    </w:p>
    <w:p w14:paraId="075C6726" w14:textId="77777777" w:rsidR="008E7846" w:rsidRDefault="008E7846" w:rsidP="008E7846">
      <w:pPr>
        <w:rPr>
          <w:lang w:eastAsia="en-AU"/>
        </w:rPr>
      </w:pPr>
      <w:r>
        <w:rPr>
          <w:lang w:eastAsia="en-AU"/>
        </w:rPr>
        <w:t>The sponsor submitted a Risk Management Plan</w:t>
      </w:r>
      <w:r w:rsidR="00665596" w:rsidRPr="00665596">
        <w:rPr>
          <w:kern w:val="2"/>
          <w:sz w:val="24"/>
          <w:szCs w:val="24"/>
        </w:rPr>
        <w:t xml:space="preserve"> </w:t>
      </w:r>
      <w:r w:rsidR="00665596" w:rsidRPr="00665596">
        <w:t>EU-RMP version 1.0 dated 30 October 2014 (data lock point 21 July 2014); Australian Specific Annex version 1.0 dated 20 March 2015; updated EU-RMP version 1.1 dated 18 May 2015 (data lock point 21 July 2014)</w:t>
      </w:r>
      <w:r w:rsidR="006F25B8" w:rsidRPr="006F25B8">
        <w:rPr>
          <w:lang w:eastAsia="en-AU"/>
        </w:rPr>
        <w:t>)</w:t>
      </w:r>
      <w:r w:rsidRPr="006F25B8">
        <w:t xml:space="preserve"> </w:t>
      </w:r>
      <w:r>
        <w:rPr>
          <w:lang w:eastAsia="en-AU"/>
        </w:rPr>
        <w:t xml:space="preserve">which was reviewed by the </w:t>
      </w:r>
      <w:r w:rsidR="00FC1FCA">
        <w:rPr>
          <w:lang w:eastAsia="en-AU"/>
        </w:rPr>
        <w:t>RMP evaluator.</w:t>
      </w:r>
    </w:p>
    <w:p w14:paraId="7EEDCA6F" w14:textId="77777777" w:rsidR="008E7846" w:rsidRDefault="003A7F6C" w:rsidP="008E7846">
      <w:pPr>
        <w:pStyle w:val="Heading4"/>
        <w:rPr>
          <w:lang w:eastAsia="en-AU"/>
        </w:rPr>
      </w:pPr>
      <w:r>
        <w:rPr>
          <w:lang w:eastAsia="en-AU"/>
        </w:rPr>
        <w:t>Safety s</w:t>
      </w:r>
      <w:r w:rsidR="008E7846">
        <w:rPr>
          <w:lang w:eastAsia="en-AU"/>
        </w:rPr>
        <w:t>pecification</w:t>
      </w:r>
    </w:p>
    <w:p w14:paraId="037BF5EB" w14:textId="77777777"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w:t>
      </w:r>
      <w:r w:rsidR="00C01F38">
        <w:rPr>
          <w:lang w:eastAsia="en-AU"/>
        </w:rPr>
        <w:t>cerns which are shown at Table 11</w:t>
      </w:r>
      <w:r>
        <w:rPr>
          <w:lang w:eastAsia="en-AU"/>
        </w:rPr>
        <w:t>.</w:t>
      </w:r>
    </w:p>
    <w:p w14:paraId="4595F9EF" w14:textId="77777777" w:rsidR="00DF23C7" w:rsidRDefault="00C01F38" w:rsidP="00DF23C7">
      <w:pPr>
        <w:pStyle w:val="TableTitle"/>
        <w:rPr>
          <w:lang w:eastAsia="en-AU"/>
        </w:rPr>
      </w:pPr>
      <w:r>
        <w:rPr>
          <w:lang w:eastAsia="en-AU"/>
        </w:rPr>
        <w:t>Table 11</w:t>
      </w:r>
      <w:r w:rsidR="00DF23C7">
        <w:rPr>
          <w:lang w:eastAsia="en-AU"/>
        </w:rPr>
        <w:t xml:space="preserve"> Summary of ongoing safety concerns</w:t>
      </w:r>
    </w:p>
    <w:tbl>
      <w:tblPr>
        <w:tblStyle w:val="TableTGAblue"/>
        <w:tblW w:w="0" w:type="auto"/>
        <w:tblLook w:val="04A0" w:firstRow="1" w:lastRow="0" w:firstColumn="1" w:lastColumn="0" w:noHBand="0" w:noVBand="1"/>
      </w:tblPr>
      <w:tblGrid>
        <w:gridCol w:w="3085"/>
        <w:gridCol w:w="5635"/>
      </w:tblGrid>
      <w:tr w:rsidR="00DF23C7" w:rsidRPr="00DF23C7" w14:paraId="4E4244F5" w14:textId="77777777" w:rsidTr="00DF23C7">
        <w:trPr>
          <w:cnfStyle w:val="100000000000" w:firstRow="1" w:lastRow="0" w:firstColumn="0" w:lastColumn="0" w:oddVBand="0" w:evenVBand="0" w:oddHBand="0" w:evenHBand="0" w:firstRowFirstColumn="0" w:firstRowLastColumn="0" w:lastRowFirstColumn="0" w:lastRowLastColumn="0"/>
        </w:trPr>
        <w:tc>
          <w:tcPr>
            <w:tcW w:w="3085" w:type="dxa"/>
          </w:tcPr>
          <w:p w14:paraId="25A21D31" w14:textId="77777777" w:rsidR="00DF23C7" w:rsidRPr="00E92662" w:rsidRDefault="00DF23C7" w:rsidP="00DF23C7">
            <w:pPr>
              <w:rPr>
                <w:sz w:val="20"/>
                <w:szCs w:val="20"/>
              </w:rPr>
            </w:pPr>
            <w:r w:rsidRPr="00E92662">
              <w:rPr>
                <w:sz w:val="20"/>
                <w:szCs w:val="20"/>
              </w:rPr>
              <w:t xml:space="preserve">Ongoing safety </w:t>
            </w:r>
            <w:r w:rsidR="004D785B" w:rsidRPr="00E92662">
              <w:rPr>
                <w:sz w:val="20"/>
                <w:szCs w:val="20"/>
              </w:rPr>
              <w:t>concerns</w:t>
            </w:r>
          </w:p>
        </w:tc>
        <w:tc>
          <w:tcPr>
            <w:tcW w:w="5635" w:type="dxa"/>
          </w:tcPr>
          <w:p w14:paraId="5746B2B2" w14:textId="77777777" w:rsidR="00DF23C7" w:rsidRPr="00E92662" w:rsidRDefault="00DF23C7" w:rsidP="00DF23C7">
            <w:pPr>
              <w:rPr>
                <w:sz w:val="20"/>
                <w:szCs w:val="20"/>
              </w:rPr>
            </w:pPr>
          </w:p>
        </w:tc>
      </w:tr>
      <w:tr w:rsidR="00DF23C7" w:rsidRPr="00DF23C7" w14:paraId="1E117D7A" w14:textId="77777777" w:rsidTr="00DF23C7">
        <w:tc>
          <w:tcPr>
            <w:tcW w:w="3085" w:type="dxa"/>
          </w:tcPr>
          <w:p w14:paraId="5F5C533A" w14:textId="77777777" w:rsidR="00DF23C7" w:rsidRPr="00E92662" w:rsidRDefault="00DF23C7" w:rsidP="00DF23C7">
            <w:pPr>
              <w:rPr>
                <w:sz w:val="20"/>
                <w:szCs w:val="20"/>
              </w:rPr>
            </w:pPr>
            <w:r w:rsidRPr="00E92662">
              <w:rPr>
                <w:sz w:val="20"/>
                <w:szCs w:val="20"/>
              </w:rPr>
              <w:t>Important identified risks</w:t>
            </w:r>
          </w:p>
        </w:tc>
        <w:tc>
          <w:tcPr>
            <w:tcW w:w="5635" w:type="dxa"/>
          </w:tcPr>
          <w:p w14:paraId="73F1CB4F" w14:textId="77777777" w:rsidR="00DF23C7" w:rsidRPr="00E92662" w:rsidRDefault="00DF23C7" w:rsidP="00DF23C7">
            <w:pPr>
              <w:rPr>
                <w:sz w:val="20"/>
                <w:szCs w:val="20"/>
              </w:rPr>
            </w:pPr>
            <w:r w:rsidRPr="00E92662">
              <w:rPr>
                <w:sz w:val="20"/>
                <w:szCs w:val="20"/>
              </w:rPr>
              <w:t>None</w:t>
            </w:r>
          </w:p>
        </w:tc>
      </w:tr>
      <w:tr w:rsidR="00DF23C7" w:rsidRPr="00DF23C7" w14:paraId="08A6FD89" w14:textId="77777777" w:rsidTr="00DF23C7">
        <w:tc>
          <w:tcPr>
            <w:tcW w:w="3085" w:type="dxa"/>
          </w:tcPr>
          <w:p w14:paraId="20077AD4" w14:textId="77777777" w:rsidR="00DF23C7" w:rsidRPr="00E92662" w:rsidRDefault="00DF23C7" w:rsidP="00DF23C7">
            <w:pPr>
              <w:rPr>
                <w:sz w:val="20"/>
                <w:szCs w:val="20"/>
              </w:rPr>
            </w:pPr>
            <w:r w:rsidRPr="00E92662">
              <w:rPr>
                <w:sz w:val="20"/>
                <w:szCs w:val="20"/>
              </w:rPr>
              <w:t>Important potential risks</w:t>
            </w:r>
          </w:p>
        </w:tc>
        <w:tc>
          <w:tcPr>
            <w:tcW w:w="5635" w:type="dxa"/>
          </w:tcPr>
          <w:p w14:paraId="59FFD1C2" w14:textId="77777777" w:rsidR="00DF23C7" w:rsidRPr="00E92662" w:rsidRDefault="00DF23C7" w:rsidP="00C15334">
            <w:pPr>
              <w:pStyle w:val="ListBullet"/>
              <w:spacing w:line="240" w:lineRule="auto"/>
              <w:ind w:left="357" w:hanging="357"/>
              <w:rPr>
                <w:sz w:val="20"/>
                <w:szCs w:val="20"/>
              </w:rPr>
            </w:pPr>
            <w:r w:rsidRPr="00E92662">
              <w:rPr>
                <w:sz w:val="20"/>
                <w:szCs w:val="20"/>
              </w:rPr>
              <w:t>Hepatobiliary events</w:t>
            </w:r>
          </w:p>
          <w:p w14:paraId="461EE8E7" w14:textId="77777777" w:rsidR="00DF23C7" w:rsidRPr="00E92662" w:rsidRDefault="00F55D98" w:rsidP="00C15334">
            <w:pPr>
              <w:pStyle w:val="ListBullet"/>
              <w:spacing w:line="240" w:lineRule="auto"/>
              <w:ind w:left="357" w:hanging="357"/>
              <w:rPr>
                <w:sz w:val="20"/>
                <w:szCs w:val="20"/>
              </w:rPr>
            </w:pPr>
            <w:r w:rsidRPr="00E92662">
              <w:rPr>
                <w:sz w:val="20"/>
                <w:szCs w:val="20"/>
              </w:rPr>
              <w:t>Concomitant use of LUM/</w:t>
            </w:r>
            <w:r w:rsidR="00DF23C7" w:rsidRPr="00E92662">
              <w:rPr>
                <w:sz w:val="20"/>
                <w:szCs w:val="20"/>
              </w:rPr>
              <w:t>IVA with strong CYP3A inhibitors or inducers</w:t>
            </w:r>
          </w:p>
          <w:p w14:paraId="2AD9AF33" w14:textId="77777777" w:rsidR="00DF23C7" w:rsidRPr="00E92662" w:rsidRDefault="00DF23C7" w:rsidP="00C15334">
            <w:pPr>
              <w:pStyle w:val="ListBullet"/>
              <w:spacing w:line="240" w:lineRule="auto"/>
              <w:ind w:left="357" w:hanging="357"/>
              <w:rPr>
                <w:sz w:val="20"/>
                <w:szCs w:val="20"/>
              </w:rPr>
            </w:pPr>
            <w:r w:rsidRPr="00E92662">
              <w:rPr>
                <w:sz w:val="20"/>
                <w:szCs w:val="20"/>
              </w:rPr>
              <w:t xml:space="preserve">Concomitant use of </w:t>
            </w:r>
            <w:r w:rsidR="00F55D98" w:rsidRPr="00E92662">
              <w:rPr>
                <w:sz w:val="20"/>
                <w:szCs w:val="20"/>
              </w:rPr>
              <w:t>LUM/</w:t>
            </w:r>
            <w:r w:rsidRPr="00E92662">
              <w:rPr>
                <w:sz w:val="20"/>
                <w:szCs w:val="20"/>
              </w:rPr>
              <w:t>IVA with sensitive CYP3A substrates and CYP3A substrates with narrow therapeutic index</w:t>
            </w:r>
          </w:p>
          <w:p w14:paraId="7C2303BA" w14:textId="77777777" w:rsidR="00C15334" w:rsidRPr="00E92662" w:rsidRDefault="00C15334" w:rsidP="00C15334">
            <w:pPr>
              <w:pStyle w:val="ListBullet"/>
              <w:spacing w:line="240" w:lineRule="auto"/>
              <w:ind w:left="357" w:hanging="357"/>
              <w:rPr>
                <w:sz w:val="20"/>
                <w:szCs w:val="20"/>
              </w:rPr>
            </w:pPr>
            <w:r w:rsidRPr="00E92662">
              <w:rPr>
                <w:sz w:val="20"/>
                <w:szCs w:val="20"/>
              </w:rPr>
              <w:t>Cataracts</w:t>
            </w:r>
          </w:p>
          <w:p w14:paraId="6652EC5B" w14:textId="77777777" w:rsidR="00C15334" w:rsidRPr="00E92662" w:rsidRDefault="00C15334" w:rsidP="00C15334">
            <w:pPr>
              <w:pStyle w:val="ListBullet"/>
              <w:spacing w:line="240" w:lineRule="auto"/>
              <w:ind w:left="357" w:hanging="357"/>
              <w:rPr>
                <w:sz w:val="20"/>
                <w:szCs w:val="20"/>
              </w:rPr>
            </w:pPr>
            <w:r w:rsidRPr="00E92662">
              <w:rPr>
                <w:sz w:val="20"/>
                <w:szCs w:val="20"/>
              </w:rPr>
              <w:t>Cardiac arrhythmias</w:t>
            </w:r>
          </w:p>
          <w:p w14:paraId="16424D95" w14:textId="77777777" w:rsidR="00C15334" w:rsidRPr="00E92662" w:rsidRDefault="00C15334" w:rsidP="00C15334">
            <w:pPr>
              <w:pStyle w:val="ListBullet"/>
              <w:spacing w:line="240" w:lineRule="auto"/>
              <w:ind w:left="357" w:hanging="357"/>
              <w:rPr>
                <w:sz w:val="20"/>
                <w:szCs w:val="20"/>
              </w:rPr>
            </w:pPr>
            <w:r w:rsidRPr="00E92662">
              <w:rPr>
                <w:sz w:val="20"/>
                <w:szCs w:val="20"/>
              </w:rPr>
              <w:t>Off-label used in children less than 12 years of age or in patients who are not homozygous for F508del-CFTR mutation</w:t>
            </w:r>
          </w:p>
        </w:tc>
      </w:tr>
      <w:tr w:rsidR="00DF23C7" w:rsidRPr="00DF23C7" w14:paraId="5B972031" w14:textId="77777777" w:rsidTr="00DF23C7">
        <w:tc>
          <w:tcPr>
            <w:tcW w:w="3085" w:type="dxa"/>
          </w:tcPr>
          <w:p w14:paraId="09593149" w14:textId="77777777" w:rsidR="00DF23C7" w:rsidRPr="00E92662" w:rsidRDefault="00C15334" w:rsidP="00DF23C7">
            <w:pPr>
              <w:rPr>
                <w:sz w:val="20"/>
                <w:szCs w:val="20"/>
              </w:rPr>
            </w:pPr>
            <w:r w:rsidRPr="00E92662">
              <w:rPr>
                <w:sz w:val="20"/>
                <w:szCs w:val="20"/>
              </w:rPr>
              <w:t>Missing information</w:t>
            </w:r>
          </w:p>
        </w:tc>
        <w:tc>
          <w:tcPr>
            <w:tcW w:w="5635" w:type="dxa"/>
          </w:tcPr>
          <w:p w14:paraId="3DC4800E" w14:textId="77777777" w:rsidR="00DF23C7" w:rsidRPr="00E92662" w:rsidRDefault="00C15334" w:rsidP="00C15334">
            <w:pPr>
              <w:pStyle w:val="ListBullet"/>
              <w:spacing w:line="240" w:lineRule="auto"/>
              <w:ind w:left="357" w:hanging="357"/>
              <w:rPr>
                <w:sz w:val="20"/>
                <w:szCs w:val="20"/>
              </w:rPr>
            </w:pPr>
            <w:r w:rsidRPr="00E92662">
              <w:rPr>
                <w:sz w:val="20"/>
                <w:szCs w:val="20"/>
              </w:rPr>
              <w:t>Use in pregnant and lactating women</w:t>
            </w:r>
          </w:p>
          <w:p w14:paraId="36717E51" w14:textId="77777777" w:rsidR="00C15334" w:rsidRPr="00E92662" w:rsidRDefault="00C15334" w:rsidP="00C15334">
            <w:pPr>
              <w:pStyle w:val="ListBullet"/>
              <w:spacing w:line="240" w:lineRule="auto"/>
              <w:ind w:left="357" w:hanging="357"/>
              <w:rPr>
                <w:sz w:val="20"/>
                <w:szCs w:val="20"/>
              </w:rPr>
            </w:pPr>
            <w:r w:rsidRPr="00E92662">
              <w:rPr>
                <w:sz w:val="20"/>
                <w:szCs w:val="20"/>
              </w:rPr>
              <w:t xml:space="preserve">Patients with </w:t>
            </w:r>
            <w:r w:rsidR="00A94F3D" w:rsidRPr="00E92662">
              <w:rPr>
                <w:sz w:val="20"/>
                <w:szCs w:val="20"/>
              </w:rPr>
              <w:t>ppFEV1</w:t>
            </w:r>
            <w:r w:rsidRPr="00E92662">
              <w:rPr>
                <w:sz w:val="20"/>
                <w:szCs w:val="20"/>
              </w:rPr>
              <w:t xml:space="preserve"> &lt; 40</w:t>
            </w:r>
          </w:p>
          <w:p w14:paraId="3B07AC1D" w14:textId="77777777" w:rsidR="00C15334" w:rsidRPr="00E92662" w:rsidRDefault="00C15334" w:rsidP="00C15334">
            <w:pPr>
              <w:pStyle w:val="ListBullet"/>
              <w:spacing w:line="240" w:lineRule="auto"/>
              <w:ind w:left="357" w:hanging="357"/>
              <w:rPr>
                <w:sz w:val="20"/>
                <w:szCs w:val="20"/>
              </w:rPr>
            </w:pPr>
            <w:r w:rsidRPr="00E92662">
              <w:rPr>
                <w:sz w:val="20"/>
                <w:szCs w:val="20"/>
              </w:rPr>
              <w:t>Long term safety</w:t>
            </w:r>
          </w:p>
          <w:p w14:paraId="3062A157" w14:textId="77777777" w:rsidR="00C15334" w:rsidRPr="00E92662" w:rsidRDefault="00C15334" w:rsidP="00C15334">
            <w:pPr>
              <w:pStyle w:val="ListBullet"/>
              <w:spacing w:line="240" w:lineRule="auto"/>
              <w:ind w:left="357" w:hanging="357"/>
              <w:rPr>
                <w:sz w:val="20"/>
                <w:szCs w:val="20"/>
              </w:rPr>
            </w:pPr>
            <w:r w:rsidRPr="00E92662">
              <w:rPr>
                <w:sz w:val="20"/>
                <w:szCs w:val="20"/>
              </w:rPr>
              <w:t>Safety in patients with cardiac diseases</w:t>
            </w:r>
          </w:p>
          <w:p w14:paraId="52D4410C" w14:textId="77777777" w:rsidR="00C15334" w:rsidRPr="00E92662" w:rsidRDefault="00C15334" w:rsidP="00C15334">
            <w:pPr>
              <w:pStyle w:val="ListBullet"/>
              <w:spacing w:line="240" w:lineRule="auto"/>
              <w:ind w:left="357" w:hanging="357"/>
              <w:rPr>
                <w:sz w:val="20"/>
                <w:szCs w:val="20"/>
              </w:rPr>
            </w:pPr>
            <w:r w:rsidRPr="00E92662">
              <w:rPr>
                <w:sz w:val="20"/>
                <w:szCs w:val="20"/>
              </w:rPr>
              <w:t>Use in patients with organ transplant</w:t>
            </w:r>
          </w:p>
          <w:p w14:paraId="33D05D46" w14:textId="77777777" w:rsidR="00C15334" w:rsidRPr="00E92662" w:rsidRDefault="00C15334" w:rsidP="00C15334">
            <w:pPr>
              <w:pStyle w:val="ListBullet"/>
              <w:spacing w:line="240" w:lineRule="auto"/>
              <w:ind w:left="357" w:hanging="357"/>
              <w:rPr>
                <w:sz w:val="20"/>
                <w:szCs w:val="20"/>
              </w:rPr>
            </w:pPr>
            <w:r w:rsidRPr="00E92662">
              <w:rPr>
                <w:sz w:val="20"/>
                <w:szCs w:val="20"/>
              </w:rPr>
              <w:t>Effect of LUM/IVA on P-gp substrates</w:t>
            </w:r>
          </w:p>
        </w:tc>
      </w:tr>
    </w:tbl>
    <w:p w14:paraId="4FBAE8DE" w14:textId="77777777"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14:paraId="50846A29" w14:textId="77777777" w:rsidR="00854A79" w:rsidRDefault="00C01F38" w:rsidP="00854A79">
      <w:pPr>
        <w:rPr>
          <w:lang w:eastAsia="en-AU"/>
        </w:rPr>
      </w:pPr>
      <w:r>
        <w:rPr>
          <w:lang w:eastAsia="en-AU"/>
        </w:rPr>
        <w:t>Table 12</w:t>
      </w:r>
      <w:r w:rsidR="00854A79">
        <w:rPr>
          <w:lang w:eastAsia="en-AU"/>
        </w:rPr>
        <w:t xml:space="preserve"> summarises the pharmacovigilance activities. The content of the table is based on the information provided in the EU-RMP and the ASA.</w:t>
      </w:r>
    </w:p>
    <w:p w14:paraId="02E974C0" w14:textId="77777777" w:rsidR="00854A79" w:rsidRDefault="00C01F38" w:rsidP="002760E1">
      <w:pPr>
        <w:pStyle w:val="TableTitle"/>
        <w:pageBreakBefore/>
        <w:rPr>
          <w:rStyle w:val="TableTitleChar"/>
          <w:b/>
        </w:rPr>
      </w:pPr>
      <w:r>
        <w:rPr>
          <w:rStyle w:val="TableTitleChar"/>
          <w:b/>
        </w:rPr>
        <w:lastRenderedPageBreak/>
        <w:t>Table 12.</w:t>
      </w:r>
      <w:r w:rsidR="00854A79" w:rsidRPr="00854A79">
        <w:rPr>
          <w:rStyle w:val="TableTitleChar"/>
          <w:b/>
        </w:rPr>
        <w:t xml:space="preserve"> Pharmacovigilance activities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8"/>
        <w:gridCol w:w="4942"/>
      </w:tblGrid>
      <w:tr w:rsidR="00854A79" w:rsidRPr="00854A79" w14:paraId="2C9195D5" w14:textId="77777777" w:rsidTr="00E65C2F">
        <w:trPr>
          <w:tblHeader/>
        </w:trPr>
        <w:tc>
          <w:tcPr>
            <w:tcW w:w="3778" w:type="dxa"/>
            <w:shd w:val="clear" w:color="auto" w:fill="006DA7"/>
          </w:tcPr>
          <w:p w14:paraId="513092A9" w14:textId="77777777" w:rsidR="00854A79" w:rsidRPr="00854A79" w:rsidRDefault="00854A79" w:rsidP="00854A79">
            <w:pPr>
              <w:rPr>
                <w:sz w:val="18"/>
                <w:szCs w:val="18"/>
              </w:rPr>
            </w:pPr>
          </w:p>
        </w:tc>
        <w:tc>
          <w:tcPr>
            <w:tcW w:w="4942" w:type="dxa"/>
            <w:shd w:val="clear" w:color="auto" w:fill="006DA7"/>
          </w:tcPr>
          <w:p w14:paraId="4F773DFB" w14:textId="77777777" w:rsidR="00854A79" w:rsidRPr="00854A79" w:rsidRDefault="00854A79" w:rsidP="000170FB">
            <w:pPr>
              <w:rPr>
                <w:b/>
                <w:sz w:val="18"/>
                <w:szCs w:val="18"/>
              </w:rPr>
            </w:pPr>
            <w:r w:rsidRPr="00854A79">
              <w:rPr>
                <w:b/>
                <w:color w:val="FFFFFF" w:themeColor="background1"/>
                <w:sz w:val="18"/>
                <w:szCs w:val="18"/>
              </w:rPr>
              <w:t>Pharmacovigilance activities</w:t>
            </w:r>
          </w:p>
        </w:tc>
      </w:tr>
      <w:tr w:rsidR="00854A79" w:rsidRPr="00854A79" w14:paraId="44615E74" w14:textId="77777777" w:rsidTr="00854A79">
        <w:tc>
          <w:tcPr>
            <w:tcW w:w="8720" w:type="dxa"/>
            <w:gridSpan w:val="2"/>
          </w:tcPr>
          <w:p w14:paraId="682DE970" w14:textId="77777777" w:rsidR="00854A79" w:rsidRPr="00854A79" w:rsidRDefault="00854A79" w:rsidP="00854A79">
            <w:pPr>
              <w:rPr>
                <w:b/>
                <w:sz w:val="18"/>
                <w:szCs w:val="18"/>
              </w:rPr>
            </w:pPr>
            <w:r w:rsidRPr="00854A79">
              <w:rPr>
                <w:b/>
                <w:sz w:val="18"/>
                <w:szCs w:val="18"/>
              </w:rPr>
              <w:t>Important potential risks</w:t>
            </w:r>
          </w:p>
        </w:tc>
      </w:tr>
      <w:tr w:rsidR="00854A79" w:rsidRPr="00854A79" w14:paraId="6571F748" w14:textId="77777777" w:rsidTr="00854A79">
        <w:tc>
          <w:tcPr>
            <w:tcW w:w="3778" w:type="dxa"/>
          </w:tcPr>
          <w:p w14:paraId="66717024" w14:textId="77777777" w:rsidR="00854A79" w:rsidRPr="00854A79" w:rsidRDefault="00854A79" w:rsidP="00854A79">
            <w:pPr>
              <w:rPr>
                <w:sz w:val="18"/>
                <w:szCs w:val="18"/>
              </w:rPr>
            </w:pPr>
            <w:r w:rsidRPr="00854A79">
              <w:rPr>
                <w:sz w:val="18"/>
                <w:szCs w:val="18"/>
              </w:rPr>
              <w:t>Hepatobiliary events</w:t>
            </w:r>
          </w:p>
        </w:tc>
        <w:tc>
          <w:tcPr>
            <w:tcW w:w="4942" w:type="dxa"/>
          </w:tcPr>
          <w:p w14:paraId="28E7F36A" w14:textId="77777777" w:rsidR="00854A79" w:rsidRPr="00854A79" w:rsidRDefault="00854A79" w:rsidP="00854A79">
            <w:pPr>
              <w:rPr>
                <w:sz w:val="18"/>
                <w:szCs w:val="18"/>
              </w:rPr>
            </w:pPr>
            <w:r w:rsidRPr="00854A79">
              <w:rPr>
                <w:sz w:val="18"/>
                <w:szCs w:val="18"/>
              </w:rPr>
              <w:t>Routine pharmacovigilance;</w:t>
            </w:r>
            <w:r>
              <w:rPr>
                <w:sz w:val="18"/>
                <w:szCs w:val="18"/>
              </w:rPr>
              <w:t xml:space="preserve"> </w:t>
            </w:r>
            <w:r w:rsidR="004D785B">
              <w:rPr>
                <w:sz w:val="18"/>
                <w:szCs w:val="18"/>
              </w:rPr>
              <w:t>Study 105, study 106, study 108</w:t>
            </w:r>
          </w:p>
        </w:tc>
      </w:tr>
      <w:tr w:rsidR="00854A79" w:rsidRPr="00854A79" w14:paraId="3F6163B2" w14:textId="77777777" w:rsidTr="00854A79">
        <w:tc>
          <w:tcPr>
            <w:tcW w:w="3778" w:type="dxa"/>
          </w:tcPr>
          <w:p w14:paraId="602873D3" w14:textId="77777777" w:rsidR="00854A79" w:rsidRPr="00854A79" w:rsidRDefault="00854A79" w:rsidP="00854A79">
            <w:pPr>
              <w:rPr>
                <w:sz w:val="18"/>
                <w:szCs w:val="18"/>
              </w:rPr>
            </w:pPr>
            <w:r w:rsidRPr="00854A79">
              <w:rPr>
                <w:sz w:val="18"/>
                <w:szCs w:val="18"/>
              </w:rPr>
              <w:t>Concomitant use with strong CYP3A inhibitors/inducers</w:t>
            </w:r>
          </w:p>
        </w:tc>
        <w:tc>
          <w:tcPr>
            <w:tcW w:w="4942" w:type="dxa"/>
          </w:tcPr>
          <w:p w14:paraId="0AF04A5C" w14:textId="77777777" w:rsidR="00854A79" w:rsidRPr="00854A79" w:rsidRDefault="00854A79" w:rsidP="00854A79">
            <w:pPr>
              <w:rPr>
                <w:sz w:val="18"/>
                <w:szCs w:val="18"/>
              </w:rPr>
            </w:pPr>
            <w:r w:rsidRPr="00854A79">
              <w:rPr>
                <w:sz w:val="18"/>
                <w:szCs w:val="18"/>
              </w:rPr>
              <w:t>Routine pharmacovigilance;</w:t>
            </w:r>
            <w:r>
              <w:rPr>
                <w:sz w:val="18"/>
                <w:szCs w:val="18"/>
              </w:rPr>
              <w:t xml:space="preserve"> </w:t>
            </w:r>
            <w:r w:rsidR="004D785B">
              <w:rPr>
                <w:sz w:val="18"/>
                <w:szCs w:val="18"/>
              </w:rPr>
              <w:t>Study 105, study 106</w:t>
            </w:r>
          </w:p>
        </w:tc>
      </w:tr>
      <w:tr w:rsidR="00854A79" w:rsidRPr="00854A79" w14:paraId="77DDD311" w14:textId="77777777" w:rsidTr="00854A79">
        <w:tc>
          <w:tcPr>
            <w:tcW w:w="3778" w:type="dxa"/>
          </w:tcPr>
          <w:p w14:paraId="163A66F4" w14:textId="77777777" w:rsidR="00854A79" w:rsidRPr="00854A79" w:rsidRDefault="00854A79" w:rsidP="00854A79">
            <w:pPr>
              <w:rPr>
                <w:sz w:val="18"/>
                <w:szCs w:val="18"/>
              </w:rPr>
            </w:pPr>
            <w:r w:rsidRPr="00854A79">
              <w:rPr>
                <w:sz w:val="18"/>
                <w:szCs w:val="18"/>
              </w:rPr>
              <w:t>Concomitant use with sensitive CYP3A substrates and CYP3A substrates with a narrow therapeutic index</w:t>
            </w:r>
          </w:p>
        </w:tc>
        <w:tc>
          <w:tcPr>
            <w:tcW w:w="4942" w:type="dxa"/>
          </w:tcPr>
          <w:p w14:paraId="598C5676" w14:textId="77777777" w:rsidR="00854A79" w:rsidRPr="00854A79" w:rsidRDefault="00854A79" w:rsidP="00854A79">
            <w:pPr>
              <w:rPr>
                <w:sz w:val="18"/>
                <w:szCs w:val="18"/>
              </w:rPr>
            </w:pPr>
            <w:r w:rsidRPr="00854A79">
              <w:rPr>
                <w:sz w:val="18"/>
                <w:szCs w:val="18"/>
              </w:rPr>
              <w:t>Routine pharmacovigilance;</w:t>
            </w:r>
            <w:r>
              <w:rPr>
                <w:sz w:val="18"/>
                <w:szCs w:val="18"/>
              </w:rPr>
              <w:t xml:space="preserve"> </w:t>
            </w:r>
            <w:r w:rsidR="004D785B">
              <w:rPr>
                <w:sz w:val="18"/>
                <w:szCs w:val="18"/>
              </w:rPr>
              <w:t>Study 105, study 106</w:t>
            </w:r>
          </w:p>
        </w:tc>
      </w:tr>
      <w:tr w:rsidR="00854A79" w:rsidRPr="00854A79" w14:paraId="54211676" w14:textId="77777777" w:rsidTr="00854A79">
        <w:tc>
          <w:tcPr>
            <w:tcW w:w="3778" w:type="dxa"/>
          </w:tcPr>
          <w:p w14:paraId="13F72A17" w14:textId="77777777" w:rsidR="00854A79" w:rsidRPr="00854A79" w:rsidRDefault="00854A79" w:rsidP="00854A79">
            <w:pPr>
              <w:rPr>
                <w:sz w:val="18"/>
                <w:szCs w:val="18"/>
              </w:rPr>
            </w:pPr>
            <w:r w:rsidRPr="00854A79">
              <w:rPr>
                <w:sz w:val="18"/>
                <w:szCs w:val="18"/>
              </w:rPr>
              <w:t>Cataracts</w:t>
            </w:r>
          </w:p>
        </w:tc>
        <w:tc>
          <w:tcPr>
            <w:tcW w:w="4942" w:type="dxa"/>
          </w:tcPr>
          <w:p w14:paraId="0C167206" w14:textId="77777777" w:rsidR="00854A79" w:rsidRPr="00854A79" w:rsidRDefault="00854A79" w:rsidP="00854A79">
            <w:pPr>
              <w:rPr>
                <w:sz w:val="18"/>
                <w:szCs w:val="18"/>
              </w:rPr>
            </w:pPr>
            <w:r w:rsidRPr="00854A79">
              <w:rPr>
                <w:sz w:val="18"/>
                <w:szCs w:val="18"/>
              </w:rPr>
              <w:t>Routine pharmacovigilance;</w:t>
            </w:r>
            <w:r>
              <w:rPr>
                <w:sz w:val="18"/>
                <w:szCs w:val="18"/>
              </w:rPr>
              <w:t xml:space="preserve"> </w:t>
            </w:r>
            <w:r w:rsidR="004D785B">
              <w:rPr>
                <w:sz w:val="18"/>
                <w:szCs w:val="18"/>
              </w:rPr>
              <w:t>Study 105, study 106, study 770-115.</w:t>
            </w:r>
          </w:p>
        </w:tc>
      </w:tr>
      <w:tr w:rsidR="00854A79" w:rsidRPr="00854A79" w14:paraId="64F830C6" w14:textId="77777777" w:rsidTr="00854A79">
        <w:tc>
          <w:tcPr>
            <w:tcW w:w="3778" w:type="dxa"/>
          </w:tcPr>
          <w:p w14:paraId="1467953F" w14:textId="77777777" w:rsidR="00854A79" w:rsidRPr="00854A79" w:rsidRDefault="00854A79" w:rsidP="00854A79">
            <w:pPr>
              <w:rPr>
                <w:sz w:val="18"/>
                <w:szCs w:val="18"/>
              </w:rPr>
            </w:pPr>
            <w:r w:rsidRPr="00854A79">
              <w:rPr>
                <w:sz w:val="18"/>
                <w:szCs w:val="18"/>
              </w:rPr>
              <w:t>Cardiac arrhythmias</w:t>
            </w:r>
          </w:p>
        </w:tc>
        <w:tc>
          <w:tcPr>
            <w:tcW w:w="4942" w:type="dxa"/>
          </w:tcPr>
          <w:p w14:paraId="64D54656" w14:textId="77777777" w:rsidR="00854A79" w:rsidRPr="00854A79" w:rsidRDefault="00854A79" w:rsidP="00854A79">
            <w:pPr>
              <w:rPr>
                <w:sz w:val="18"/>
                <w:szCs w:val="18"/>
              </w:rPr>
            </w:pPr>
            <w:r w:rsidRPr="00854A79">
              <w:rPr>
                <w:sz w:val="18"/>
                <w:szCs w:val="18"/>
              </w:rPr>
              <w:t>Routine pharmacovigilance;</w:t>
            </w:r>
            <w:r>
              <w:rPr>
                <w:sz w:val="18"/>
                <w:szCs w:val="18"/>
              </w:rPr>
              <w:t xml:space="preserve"> </w:t>
            </w:r>
            <w:r w:rsidR="004D785B">
              <w:rPr>
                <w:sz w:val="18"/>
                <w:szCs w:val="18"/>
              </w:rPr>
              <w:t>Study 105, study 106, study 108</w:t>
            </w:r>
          </w:p>
        </w:tc>
      </w:tr>
      <w:tr w:rsidR="00854A79" w:rsidRPr="00854A79" w14:paraId="29A54A6C" w14:textId="77777777" w:rsidTr="00854A79">
        <w:tc>
          <w:tcPr>
            <w:tcW w:w="3778" w:type="dxa"/>
          </w:tcPr>
          <w:p w14:paraId="20740C79" w14:textId="77777777" w:rsidR="00854A79" w:rsidRPr="00854A79" w:rsidRDefault="00854A79" w:rsidP="00854A79">
            <w:pPr>
              <w:rPr>
                <w:sz w:val="18"/>
                <w:szCs w:val="18"/>
              </w:rPr>
            </w:pPr>
            <w:r w:rsidRPr="00854A79">
              <w:rPr>
                <w:sz w:val="18"/>
                <w:szCs w:val="18"/>
              </w:rPr>
              <w:t>Off-label use in children &lt; 12 years of age or in patients who are not homozygous for F508del-CFTR mutation</w:t>
            </w:r>
          </w:p>
        </w:tc>
        <w:tc>
          <w:tcPr>
            <w:tcW w:w="4942" w:type="dxa"/>
          </w:tcPr>
          <w:p w14:paraId="1F0F510E" w14:textId="77777777" w:rsidR="00854A79" w:rsidRPr="00854A79" w:rsidRDefault="00854A79" w:rsidP="00854A79">
            <w:pPr>
              <w:rPr>
                <w:sz w:val="18"/>
                <w:szCs w:val="18"/>
              </w:rPr>
            </w:pPr>
            <w:r w:rsidRPr="00854A79">
              <w:rPr>
                <w:sz w:val="18"/>
                <w:szCs w:val="18"/>
              </w:rPr>
              <w:t>Routine pharmacovigilance;</w:t>
            </w:r>
            <w:r>
              <w:rPr>
                <w:sz w:val="18"/>
                <w:szCs w:val="18"/>
              </w:rPr>
              <w:t xml:space="preserve"> </w:t>
            </w:r>
            <w:r w:rsidR="004D785B">
              <w:rPr>
                <w:sz w:val="18"/>
                <w:szCs w:val="18"/>
              </w:rPr>
              <w:t>Study 108</w:t>
            </w:r>
          </w:p>
        </w:tc>
      </w:tr>
      <w:tr w:rsidR="00854A79" w:rsidRPr="00854A79" w14:paraId="32612056" w14:textId="77777777" w:rsidTr="00854A79">
        <w:tc>
          <w:tcPr>
            <w:tcW w:w="8720" w:type="dxa"/>
            <w:gridSpan w:val="2"/>
          </w:tcPr>
          <w:p w14:paraId="4524DDE3" w14:textId="77777777" w:rsidR="00854A79" w:rsidRPr="00854A79" w:rsidRDefault="00854A79" w:rsidP="00854A79">
            <w:pPr>
              <w:rPr>
                <w:b/>
                <w:sz w:val="18"/>
                <w:szCs w:val="18"/>
              </w:rPr>
            </w:pPr>
            <w:r w:rsidRPr="00854A79">
              <w:rPr>
                <w:b/>
                <w:sz w:val="18"/>
                <w:szCs w:val="18"/>
              </w:rPr>
              <w:t>Missing information</w:t>
            </w:r>
          </w:p>
        </w:tc>
      </w:tr>
      <w:tr w:rsidR="00854A79" w:rsidRPr="00854A79" w14:paraId="1358CD45" w14:textId="77777777" w:rsidTr="00854A79">
        <w:tc>
          <w:tcPr>
            <w:tcW w:w="3778" w:type="dxa"/>
          </w:tcPr>
          <w:p w14:paraId="53225909" w14:textId="77777777" w:rsidR="00854A79" w:rsidRPr="00854A79" w:rsidRDefault="00854A79" w:rsidP="00854A79">
            <w:pPr>
              <w:rPr>
                <w:sz w:val="18"/>
                <w:szCs w:val="18"/>
              </w:rPr>
            </w:pPr>
            <w:r w:rsidRPr="00854A79">
              <w:rPr>
                <w:sz w:val="18"/>
                <w:szCs w:val="18"/>
              </w:rPr>
              <w:t>use in pregnant and lactating women</w:t>
            </w:r>
          </w:p>
        </w:tc>
        <w:tc>
          <w:tcPr>
            <w:tcW w:w="4942" w:type="dxa"/>
          </w:tcPr>
          <w:p w14:paraId="67BE8748" w14:textId="77777777" w:rsidR="00854A79" w:rsidRPr="00854A79" w:rsidRDefault="00854A79" w:rsidP="00854A79">
            <w:pPr>
              <w:rPr>
                <w:sz w:val="18"/>
                <w:szCs w:val="18"/>
              </w:rPr>
            </w:pPr>
            <w:r w:rsidRPr="00854A79">
              <w:rPr>
                <w:sz w:val="18"/>
                <w:szCs w:val="18"/>
              </w:rPr>
              <w:t>Routine pharmacovigilance;</w:t>
            </w:r>
            <w:r>
              <w:rPr>
                <w:sz w:val="18"/>
                <w:szCs w:val="18"/>
              </w:rPr>
              <w:t xml:space="preserve"> </w:t>
            </w:r>
            <w:r w:rsidR="004D785B">
              <w:rPr>
                <w:sz w:val="18"/>
                <w:szCs w:val="18"/>
              </w:rPr>
              <w:t>Study 108</w:t>
            </w:r>
          </w:p>
        </w:tc>
      </w:tr>
      <w:tr w:rsidR="00854A79" w:rsidRPr="00854A79" w14:paraId="643B707F" w14:textId="77777777" w:rsidTr="00854A79">
        <w:tc>
          <w:tcPr>
            <w:tcW w:w="3778" w:type="dxa"/>
          </w:tcPr>
          <w:p w14:paraId="50C78A0F" w14:textId="77777777" w:rsidR="00854A79" w:rsidRPr="00854A79" w:rsidRDefault="00854A79" w:rsidP="00854A79">
            <w:pPr>
              <w:rPr>
                <w:sz w:val="18"/>
                <w:szCs w:val="18"/>
              </w:rPr>
            </w:pPr>
            <w:r w:rsidRPr="00854A79">
              <w:rPr>
                <w:sz w:val="18"/>
                <w:szCs w:val="18"/>
              </w:rPr>
              <w:t xml:space="preserve">Patients with </w:t>
            </w:r>
            <w:r w:rsidR="00A94F3D">
              <w:rPr>
                <w:sz w:val="18"/>
                <w:szCs w:val="18"/>
              </w:rPr>
              <w:t>ppFEV1</w:t>
            </w:r>
            <w:r w:rsidRPr="00854A79">
              <w:rPr>
                <w:sz w:val="18"/>
                <w:szCs w:val="18"/>
              </w:rPr>
              <w:t xml:space="preserve"> &lt; 40</w:t>
            </w:r>
          </w:p>
        </w:tc>
        <w:tc>
          <w:tcPr>
            <w:tcW w:w="4942" w:type="dxa"/>
          </w:tcPr>
          <w:p w14:paraId="120851EB" w14:textId="77777777" w:rsidR="00854A79" w:rsidRPr="00854A79" w:rsidRDefault="00854A79" w:rsidP="00854A79">
            <w:pPr>
              <w:rPr>
                <w:sz w:val="18"/>
                <w:szCs w:val="18"/>
              </w:rPr>
            </w:pPr>
            <w:r w:rsidRPr="00854A79">
              <w:rPr>
                <w:sz w:val="18"/>
                <w:szCs w:val="18"/>
              </w:rPr>
              <w:t>Routine pharmacovigilance;</w:t>
            </w:r>
            <w:r>
              <w:rPr>
                <w:sz w:val="18"/>
                <w:szCs w:val="18"/>
              </w:rPr>
              <w:t xml:space="preserve"> </w:t>
            </w:r>
            <w:r w:rsidR="004D785B">
              <w:rPr>
                <w:sz w:val="18"/>
                <w:szCs w:val="18"/>
              </w:rPr>
              <w:t>Study 105, study 106, study 108</w:t>
            </w:r>
          </w:p>
        </w:tc>
      </w:tr>
      <w:tr w:rsidR="00854A79" w:rsidRPr="00854A79" w14:paraId="78E58D8C" w14:textId="77777777" w:rsidTr="00854A79">
        <w:tc>
          <w:tcPr>
            <w:tcW w:w="3778" w:type="dxa"/>
          </w:tcPr>
          <w:p w14:paraId="5757A6F4" w14:textId="77777777" w:rsidR="00854A79" w:rsidRPr="00854A79" w:rsidRDefault="00854A79" w:rsidP="00854A79">
            <w:pPr>
              <w:rPr>
                <w:sz w:val="18"/>
                <w:szCs w:val="18"/>
              </w:rPr>
            </w:pPr>
            <w:r w:rsidRPr="00854A79">
              <w:rPr>
                <w:sz w:val="18"/>
                <w:szCs w:val="18"/>
              </w:rPr>
              <w:t>Long-term safety</w:t>
            </w:r>
          </w:p>
        </w:tc>
        <w:tc>
          <w:tcPr>
            <w:tcW w:w="4942" w:type="dxa"/>
          </w:tcPr>
          <w:p w14:paraId="58ACD148" w14:textId="77777777" w:rsidR="00854A79" w:rsidRPr="00854A79" w:rsidRDefault="00854A79" w:rsidP="00854A79">
            <w:pPr>
              <w:rPr>
                <w:sz w:val="18"/>
                <w:szCs w:val="18"/>
              </w:rPr>
            </w:pPr>
            <w:r w:rsidRPr="00854A79">
              <w:rPr>
                <w:sz w:val="18"/>
                <w:szCs w:val="18"/>
              </w:rPr>
              <w:t>Routine pharmacovigilance;</w:t>
            </w:r>
            <w:r>
              <w:rPr>
                <w:sz w:val="18"/>
                <w:szCs w:val="18"/>
              </w:rPr>
              <w:t xml:space="preserve"> </w:t>
            </w:r>
            <w:r w:rsidR="004D785B">
              <w:rPr>
                <w:sz w:val="18"/>
                <w:szCs w:val="18"/>
              </w:rPr>
              <w:t>Study 105, study 108</w:t>
            </w:r>
          </w:p>
        </w:tc>
      </w:tr>
      <w:tr w:rsidR="00854A79" w:rsidRPr="00854A79" w14:paraId="6A66DF40" w14:textId="77777777" w:rsidTr="00854A79">
        <w:tc>
          <w:tcPr>
            <w:tcW w:w="3778" w:type="dxa"/>
          </w:tcPr>
          <w:p w14:paraId="19741E43" w14:textId="77777777" w:rsidR="00854A79" w:rsidRPr="00854A79" w:rsidRDefault="00854A79" w:rsidP="00854A79">
            <w:pPr>
              <w:rPr>
                <w:sz w:val="18"/>
                <w:szCs w:val="18"/>
              </w:rPr>
            </w:pPr>
            <w:r w:rsidRPr="00854A79">
              <w:rPr>
                <w:sz w:val="18"/>
                <w:szCs w:val="18"/>
              </w:rPr>
              <w:t xml:space="preserve">Safety in patients with cardiac diseases </w:t>
            </w:r>
          </w:p>
        </w:tc>
        <w:tc>
          <w:tcPr>
            <w:tcW w:w="4942" w:type="dxa"/>
          </w:tcPr>
          <w:p w14:paraId="16B9A11F" w14:textId="77777777" w:rsidR="00854A79" w:rsidRPr="00854A79" w:rsidRDefault="00854A79" w:rsidP="00854A79">
            <w:pPr>
              <w:rPr>
                <w:sz w:val="18"/>
                <w:szCs w:val="18"/>
              </w:rPr>
            </w:pPr>
            <w:r w:rsidRPr="00854A79">
              <w:rPr>
                <w:sz w:val="18"/>
                <w:szCs w:val="18"/>
              </w:rPr>
              <w:t>Routine pharmacovigilance;</w:t>
            </w:r>
            <w:r>
              <w:rPr>
                <w:sz w:val="18"/>
                <w:szCs w:val="18"/>
              </w:rPr>
              <w:t xml:space="preserve"> </w:t>
            </w:r>
            <w:r w:rsidRPr="00854A79">
              <w:rPr>
                <w:sz w:val="18"/>
                <w:szCs w:val="18"/>
              </w:rPr>
              <w:t>S</w:t>
            </w:r>
            <w:r w:rsidR="004D785B">
              <w:rPr>
                <w:sz w:val="18"/>
                <w:szCs w:val="18"/>
              </w:rPr>
              <w:t>tudy 105, study 106, study 108</w:t>
            </w:r>
          </w:p>
        </w:tc>
      </w:tr>
      <w:tr w:rsidR="00854A79" w:rsidRPr="00854A79" w14:paraId="6ACDDA0A" w14:textId="77777777" w:rsidTr="00854A79">
        <w:tc>
          <w:tcPr>
            <w:tcW w:w="3778" w:type="dxa"/>
          </w:tcPr>
          <w:p w14:paraId="078F94E9" w14:textId="77777777" w:rsidR="00854A79" w:rsidRPr="00854A79" w:rsidRDefault="00854A79" w:rsidP="00854A79">
            <w:pPr>
              <w:rPr>
                <w:sz w:val="18"/>
                <w:szCs w:val="18"/>
              </w:rPr>
            </w:pPr>
            <w:r w:rsidRPr="00854A79">
              <w:rPr>
                <w:sz w:val="18"/>
                <w:szCs w:val="18"/>
              </w:rPr>
              <w:t>Use in patients with organ transplant</w:t>
            </w:r>
          </w:p>
        </w:tc>
        <w:tc>
          <w:tcPr>
            <w:tcW w:w="4942" w:type="dxa"/>
          </w:tcPr>
          <w:p w14:paraId="2A506F62" w14:textId="77777777" w:rsidR="00854A79" w:rsidRPr="00854A79" w:rsidRDefault="00854A79" w:rsidP="00854A79">
            <w:pPr>
              <w:rPr>
                <w:sz w:val="18"/>
                <w:szCs w:val="18"/>
              </w:rPr>
            </w:pPr>
            <w:r w:rsidRPr="00854A79">
              <w:rPr>
                <w:sz w:val="18"/>
                <w:szCs w:val="18"/>
              </w:rPr>
              <w:t>Routine pharmacovigilance;</w:t>
            </w:r>
            <w:r>
              <w:rPr>
                <w:sz w:val="18"/>
                <w:szCs w:val="18"/>
              </w:rPr>
              <w:t xml:space="preserve"> </w:t>
            </w:r>
            <w:r w:rsidR="004D785B">
              <w:rPr>
                <w:sz w:val="18"/>
                <w:szCs w:val="18"/>
              </w:rPr>
              <w:t>Study 108</w:t>
            </w:r>
            <w:r w:rsidRPr="00854A79">
              <w:rPr>
                <w:sz w:val="18"/>
                <w:szCs w:val="18"/>
              </w:rPr>
              <w:t xml:space="preserve"> </w:t>
            </w:r>
          </w:p>
        </w:tc>
      </w:tr>
      <w:tr w:rsidR="00854A79" w:rsidRPr="00854A79" w14:paraId="54098B22" w14:textId="77777777" w:rsidTr="00854A79">
        <w:tc>
          <w:tcPr>
            <w:tcW w:w="3778" w:type="dxa"/>
          </w:tcPr>
          <w:p w14:paraId="7632B0DC" w14:textId="77777777" w:rsidR="00854A79" w:rsidRPr="00854A79" w:rsidRDefault="00854A79" w:rsidP="00854A79">
            <w:pPr>
              <w:rPr>
                <w:sz w:val="18"/>
                <w:szCs w:val="18"/>
              </w:rPr>
            </w:pPr>
            <w:r w:rsidRPr="00854A79">
              <w:rPr>
                <w:sz w:val="18"/>
                <w:szCs w:val="18"/>
              </w:rPr>
              <w:t>Effect on P-gp substrates</w:t>
            </w:r>
          </w:p>
        </w:tc>
        <w:tc>
          <w:tcPr>
            <w:tcW w:w="4942" w:type="dxa"/>
          </w:tcPr>
          <w:p w14:paraId="11B7D240" w14:textId="77777777" w:rsidR="00854A79" w:rsidRPr="00854A79" w:rsidRDefault="004D785B" w:rsidP="00854A79">
            <w:pPr>
              <w:rPr>
                <w:sz w:val="18"/>
                <w:szCs w:val="18"/>
              </w:rPr>
            </w:pPr>
            <w:r>
              <w:rPr>
                <w:sz w:val="18"/>
                <w:szCs w:val="18"/>
              </w:rPr>
              <w:t>Routine pharmacovigilance</w:t>
            </w:r>
          </w:p>
        </w:tc>
      </w:tr>
    </w:tbl>
    <w:p w14:paraId="0D2B85CD" w14:textId="77777777" w:rsidR="00854A79" w:rsidRPr="00854A79" w:rsidRDefault="00854A79" w:rsidP="00854A79">
      <w:r w:rsidRPr="00854A79">
        <w:t>As outlined in the ASA, all the studies included in the pharmacovigilance plan are ongoing except study 108, which is at planning stage. Protocols for ongoing studies are not evaluated as part of the submission.</w:t>
      </w:r>
    </w:p>
    <w:p w14:paraId="59B8B2E8" w14:textId="77777777" w:rsidR="00854A79" w:rsidRPr="00854A79" w:rsidRDefault="00854A79" w:rsidP="00854A79">
      <w:r w:rsidRPr="00854A79">
        <w:t>Study 108 is a three</w:t>
      </w:r>
      <w:r w:rsidR="009D006E">
        <w:t xml:space="preserve"> </w:t>
      </w:r>
      <w:r w:rsidRPr="00854A79">
        <w:t>year observational post-authorisation safety study to evaluate the utilisation patterns and long-term effects of Orkambi in patients with CF to be conducted in the EU and the USA using patient registries in these countries. The study data collection is expected to start in June 2016 with the final study report due in December 2018 to cover a three</w:t>
      </w:r>
      <w:r w:rsidR="009D006E">
        <w:t xml:space="preserve"> </w:t>
      </w:r>
      <w:r w:rsidRPr="00854A79">
        <w:t>year period.</w:t>
      </w:r>
    </w:p>
    <w:p w14:paraId="1DB45948" w14:textId="77777777" w:rsidR="00854A79" w:rsidRPr="00854A79" w:rsidRDefault="00854A79" w:rsidP="00854A79">
      <w:r w:rsidRPr="00854A79">
        <w:t xml:space="preserve">Study 770-115 is an ocular safety study in paediatric patients 11 years of age or younger with CF. Protocol for this study has not </w:t>
      </w:r>
      <w:r w:rsidR="004D785B">
        <w:t>been submitted with the EU-RMP.</w:t>
      </w:r>
    </w:p>
    <w:p w14:paraId="2AD1E152" w14:textId="77777777" w:rsidR="00854A79" w:rsidRPr="00854A79" w:rsidRDefault="004D785B" w:rsidP="00854A79">
      <w:r>
        <w:t>Study 105 is a P</w:t>
      </w:r>
      <w:r w:rsidR="00854A79" w:rsidRPr="00854A79">
        <w:t>hase III rollover study from previous studies to evaluate the safety and efficacy of long-term treatment with Orkambi in patients aged 12 years and older with CF, homozygous or heterozygous for the F508del-CFTR mutation. The stu</w:t>
      </w:r>
      <w:r>
        <w:t>dy duration is up to 105 weeks.</w:t>
      </w:r>
    </w:p>
    <w:p w14:paraId="50BDC92D" w14:textId="77777777" w:rsidR="00854A79" w:rsidRPr="00854A79" w:rsidRDefault="004D785B" w:rsidP="00854A79">
      <w:r>
        <w:lastRenderedPageBreak/>
        <w:t>Study 106 is a P</w:t>
      </w:r>
      <w:r w:rsidR="00854A79" w:rsidRPr="00854A79">
        <w:t>hase IIIb open</w:t>
      </w:r>
      <w:r w:rsidR="009D006E">
        <w:t xml:space="preserve"> </w:t>
      </w:r>
      <w:r w:rsidR="00854A79" w:rsidRPr="00854A79">
        <w:t>label study to evaluate the effects of Orkambi in patients 12 years and older with CF and advanced lung disease, homozygous for the F508del-CFTR mutation. Protocol for this study has not been submitted with the EU-RMP.</w:t>
      </w:r>
    </w:p>
    <w:p w14:paraId="1BDB9AA4" w14:textId="77777777" w:rsidR="00854A79" w:rsidRPr="00854A79" w:rsidRDefault="00854A79" w:rsidP="00854A79">
      <w:r w:rsidRPr="00854A79">
        <w:t>The sponsor has advised in the ASA that study 105 is the only study mentioned above that involves Australian patients. The sponsor should clarify whether the studies conducted overseas are applicable to the Australian context and provide justification to its conclusion. Given the availability of the Australian Cystic Fibrosis Data Registry (ACFDR), the sponsor should consider adding Australia to study 108 or provide justification to why this is unnecessary.</w:t>
      </w:r>
    </w:p>
    <w:p w14:paraId="52C85081" w14:textId="77777777" w:rsidR="00854A79" w:rsidRPr="00854A79" w:rsidRDefault="00854A79" w:rsidP="00854A79">
      <w:r w:rsidRPr="00854A79">
        <w:t>The sponsor should provide an update on any significant safety findings from the ongoing additional pharmacovigilance activities, including study 105, study 106 and study 770-115.</w:t>
      </w:r>
    </w:p>
    <w:p w14:paraId="69C55747" w14:textId="77777777"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52B226A5" w14:textId="77777777" w:rsidR="00665596" w:rsidRDefault="00665596" w:rsidP="00665596">
      <w:bookmarkStart w:id="127" w:name="_Toc247691527"/>
      <w:r w:rsidRPr="00665596">
        <w:t>The sponsor has proposed routine risk minimisation activities for all the safety concerns in the EU-RMP. No additional risk minimisation is consi</w:t>
      </w:r>
      <w:r w:rsidR="004D785B">
        <w:t>dered necessary by the sponsor.</w:t>
      </w:r>
    </w:p>
    <w:p w14:paraId="17815858" w14:textId="47929164" w:rsidR="00665596" w:rsidRPr="00145418" w:rsidRDefault="00145418" w:rsidP="00145418">
      <w:pPr>
        <w:pStyle w:val="Comment"/>
        <w:ind w:left="1134" w:hanging="1134"/>
      </w:pPr>
      <w:r w:rsidRPr="00145418">
        <w:rPr>
          <w:b/>
        </w:rPr>
        <w:t>C</w:t>
      </w:r>
      <w:r w:rsidR="00665596" w:rsidRPr="00145418">
        <w:rPr>
          <w:b/>
        </w:rPr>
        <w:t>omment:</w:t>
      </w:r>
      <w:r w:rsidR="004D785B" w:rsidRPr="00145418">
        <w:t xml:space="preserve"> </w:t>
      </w:r>
      <w:r w:rsidR="00665596" w:rsidRPr="00145418">
        <w:t>The sponsor’s plan to mitigate all the risks through routine r</w:t>
      </w:r>
      <w:r w:rsidR="004D785B" w:rsidRPr="00145418">
        <w:t>isk minimisation is acceptable.</w:t>
      </w:r>
    </w:p>
    <w:p w14:paraId="5826D79F" w14:textId="77777777" w:rsidR="00665596" w:rsidRPr="00665596" w:rsidRDefault="00665596" w:rsidP="00665596">
      <w:r w:rsidRPr="00665596">
        <w:t>In regard to the proposed routine risk minimisation activities, the following recommendations are made to the Deleg</w:t>
      </w:r>
      <w:r w:rsidR="004D785B">
        <w:t>ate on the draft Australian PI:</w:t>
      </w:r>
    </w:p>
    <w:p w14:paraId="652ADCAE" w14:textId="77777777" w:rsidR="00665596" w:rsidRPr="00665596" w:rsidRDefault="004D785B" w:rsidP="00665596">
      <w:pPr>
        <w:pStyle w:val="ListBullet"/>
      </w:pPr>
      <w:r>
        <w:t>Use in hepatic impairment:</w:t>
      </w:r>
    </w:p>
    <w:p w14:paraId="3860EAF5" w14:textId="77777777" w:rsidR="00665596" w:rsidRPr="00665596" w:rsidRDefault="00665596" w:rsidP="00665596">
      <w:r w:rsidRPr="00665596">
        <w:t xml:space="preserve">Evidence on use in patients with severe hepatic impairment is lacking for both ivacaftor and lumacaftor/ivacaftor. The approved PI for ivacaftor (Kalydeco) contains the following advice on use in severe hepatic impairment: ‘The use of </w:t>
      </w:r>
      <w:r w:rsidR="008B5A3E">
        <w:t>Kalydeco</w:t>
      </w:r>
      <w:r w:rsidRPr="00665596">
        <w:t xml:space="preserve"> in patients with severe hepatic impairment is therefore not recommended unless the benefits outweigh the risks.’ In comparison, the PI for lumacaftor/ivacaftor (Orkambi) only advises to weigh the risks and benefits of treatment. It is recommended that the Delegate considers the adequacy of the PI on this iss</w:t>
      </w:r>
      <w:r w:rsidR="004D785B">
        <w:t>ue.</w:t>
      </w:r>
    </w:p>
    <w:p w14:paraId="79229A7C" w14:textId="23C582B3" w:rsidR="00665596" w:rsidRPr="00665596" w:rsidRDefault="00665596" w:rsidP="00665596">
      <w:r w:rsidRPr="00665596">
        <w:t>Both the draft Australian PI and the approved US label recommend three</w:t>
      </w:r>
      <w:r w:rsidR="009D006E">
        <w:t xml:space="preserve"> </w:t>
      </w:r>
      <w:r w:rsidRPr="00665596">
        <w:t>monthly</w:t>
      </w:r>
      <w:r w:rsidR="00270280" w:rsidRPr="00270280">
        <w:t xml:space="preserve"> </w:t>
      </w:r>
      <w:r w:rsidR="00270280" w:rsidRPr="00665596">
        <w:t>monitoring</w:t>
      </w:r>
      <w:r w:rsidR="00270280">
        <w:t xml:space="preserve"> of</w:t>
      </w:r>
      <w:r w:rsidRPr="00665596">
        <w:t xml:space="preserve"> hepatic function during the first year of treatment. The approved US label contains additional advice on patients with relevant medical history: ‘For patients with a history of ALT, AST, or bilirubin elevations, more frequent monitoring should be considered.’ It is recommended that the Delegate c</w:t>
      </w:r>
      <w:r w:rsidR="004D785B">
        <w:t>onsiders the additional advice.</w:t>
      </w:r>
    </w:p>
    <w:p w14:paraId="3F8D6CF3" w14:textId="77777777" w:rsidR="00665596" w:rsidRPr="00665596" w:rsidRDefault="004D785B" w:rsidP="00665596">
      <w:pPr>
        <w:pStyle w:val="ListBullet"/>
      </w:pPr>
      <w:r>
        <w:t>Respiratory events:</w:t>
      </w:r>
    </w:p>
    <w:p w14:paraId="2F998151" w14:textId="77777777" w:rsidR="00665596" w:rsidRPr="00665596" w:rsidRDefault="00665596" w:rsidP="00665596">
      <w:r w:rsidRPr="00665596">
        <w:t>The following advice appears in the approved US label and has been added to the updated SPC submitted with the EU Day120 data: ‘Respiratory events were more common during initiation of lumacaftor/ivacaftor therapy. Additional mon</w:t>
      </w:r>
      <w:r w:rsidR="004D785B">
        <w:t>itoring of patients with ppFEV1 </w:t>
      </w:r>
      <w:r w:rsidR="00026051">
        <w:t xml:space="preserve">&lt; </w:t>
      </w:r>
      <w:r w:rsidRPr="00665596">
        <w:t xml:space="preserve">40 is therefore recommended during initiation of therapy’. Given that use of Orkambi in patients with </w:t>
      </w:r>
      <w:r w:rsidR="004D785B">
        <w:t>pp</w:t>
      </w:r>
      <w:r w:rsidRPr="00665596">
        <w:t xml:space="preserve">FEV1 &lt; 40 is missing information and dyspnoea is the most common </w:t>
      </w:r>
      <w:r w:rsidR="00CB1352">
        <w:t>AE</w:t>
      </w:r>
      <w:r w:rsidRPr="00665596">
        <w:t xml:space="preserve"> experienced by patients taking Orkambi in clinical trials (14.0% in Orkambi group compared to 7.8% in placebo group, Australian PI), this advice should</w:t>
      </w:r>
      <w:r w:rsidR="004D785B">
        <w:t xml:space="preserve"> be added in the Australian PI.</w:t>
      </w:r>
    </w:p>
    <w:p w14:paraId="2F02CE81" w14:textId="77777777" w:rsidR="00665596" w:rsidRPr="00665596" w:rsidRDefault="00F20ED3" w:rsidP="00665596">
      <w:pPr>
        <w:pStyle w:val="ListBullet"/>
      </w:pPr>
      <w:r>
        <w:t>Use in lactation:</w:t>
      </w:r>
    </w:p>
    <w:p w14:paraId="19B8E8AF" w14:textId="77777777" w:rsidR="00665596" w:rsidRPr="00665596" w:rsidRDefault="00665596" w:rsidP="00665596">
      <w:r w:rsidRPr="00665596">
        <w:t>The EU SPC has been updated to include new advice on breast</w:t>
      </w:r>
      <w:r w:rsidR="009D006E">
        <w:t xml:space="preserve"> </w:t>
      </w:r>
      <w:r w:rsidRPr="00665596">
        <w:t>feeding: ‘risks to the suckling child cannot be excluded. A decision must be made whether to discontinue breast</w:t>
      </w:r>
      <w:r w:rsidR="009D006E">
        <w:t xml:space="preserve"> </w:t>
      </w:r>
      <w:r w:rsidRPr="00665596">
        <w:t>feeding or to discontinue/abstain from lumacaftor/ivacaftor therapy taking into account the benefit of breast feeding for the child and the benefit of therapy for the mother.’ In comparison, the Australian PI advises that ‘</w:t>
      </w:r>
      <w:r w:rsidR="008B5A3E">
        <w:t>Orkambi</w:t>
      </w:r>
      <w:r w:rsidRPr="00665596">
        <w:t xml:space="preserve"> should only be used during breast</w:t>
      </w:r>
      <w:r w:rsidR="009D006E">
        <w:t xml:space="preserve"> </w:t>
      </w:r>
      <w:r w:rsidRPr="00665596">
        <w:lastRenderedPageBreak/>
        <w:t>feeding if the potential benefit outweighs the potential risk.’ It is recommended that the Delegate considers the adequacy of advice provided by the PI in the context of findings from animal pharmacokinetic studies in the absence of evidence on</w:t>
      </w:r>
      <w:r w:rsidR="004D785B">
        <w:t xml:space="preserve"> humans.</w:t>
      </w:r>
    </w:p>
    <w:p w14:paraId="65C32F6E" w14:textId="77777777" w:rsidR="00665596" w:rsidRPr="00665596" w:rsidRDefault="00665596" w:rsidP="00665596">
      <w:r w:rsidRPr="00665596">
        <w:t>Relevant parts of the draft CMI</w:t>
      </w:r>
      <w:r w:rsidR="004D785B">
        <w:t xml:space="preserve"> should be updated accordingly.</w:t>
      </w:r>
    </w:p>
    <w:p w14:paraId="0BFF6F19" w14:textId="77777777" w:rsidR="006F25B8" w:rsidRDefault="006F25B8" w:rsidP="006F25B8">
      <w:pPr>
        <w:pStyle w:val="Heading4"/>
        <w:rPr>
          <w:lang w:eastAsia="en-AU"/>
        </w:rPr>
      </w:pPr>
      <w:r w:rsidRPr="006F25B8">
        <w:rPr>
          <w:lang w:eastAsia="en-AU"/>
        </w:rPr>
        <w:t>Reconciliation of is</w:t>
      </w:r>
      <w:r w:rsidR="004D785B">
        <w:rPr>
          <w:lang w:eastAsia="en-AU"/>
        </w:rPr>
        <w:t>sues outlined in the RMP report</w:t>
      </w:r>
    </w:p>
    <w:p w14:paraId="6155C748" w14:textId="77777777" w:rsidR="00A3667B" w:rsidRDefault="00A02EC9" w:rsidP="00A3667B">
      <w:pPr>
        <w:rPr>
          <w:lang w:eastAsia="en-AU"/>
        </w:rPr>
      </w:pPr>
      <w:r>
        <w:rPr>
          <w:lang w:eastAsia="en-AU"/>
        </w:rPr>
        <w:t>‘</w:t>
      </w:r>
      <w:r w:rsidR="00C01F38">
        <w:rPr>
          <w:lang w:eastAsia="en-AU"/>
        </w:rPr>
        <w:t>Table 13</w:t>
      </w:r>
      <w:r w:rsidR="00A3667B">
        <w:rPr>
          <w:lang w:eastAsia="en-AU"/>
        </w:rPr>
        <w:t xml:space="preserve"> summarises the OPR’s first round evaluation of the RMP, the sponsor’s responses to issues raised by the OPR and the OPR’s evaluation of the sponsor’s responses.</w:t>
      </w:r>
      <w:r>
        <w:rPr>
          <w:lang w:eastAsia="en-AU"/>
        </w:rPr>
        <w:t>’</w:t>
      </w:r>
    </w:p>
    <w:p w14:paraId="32CAEDA6" w14:textId="77777777" w:rsidR="0039142C" w:rsidRPr="00A3667B" w:rsidRDefault="00C01F38" w:rsidP="0039142C">
      <w:pPr>
        <w:pStyle w:val="TableTitle"/>
        <w:rPr>
          <w:lang w:eastAsia="en-AU"/>
        </w:rPr>
      </w:pPr>
      <w:r>
        <w:rPr>
          <w:lang w:eastAsia="en-AU"/>
        </w:rPr>
        <w:t>Table 13.</w:t>
      </w:r>
      <w:r w:rsidR="0039142C">
        <w:rPr>
          <w:lang w:eastAsia="en-AU"/>
        </w:rPr>
        <w:t xml:space="preserve"> </w:t>
      </w:r>
      <w:r w:rsidR="0039142C" w:rsidRPr="00FC1FCA">
        <w:rPr>
          <w:lang w:eastAsia="en-AU"/>
        </w:rPr>
        <w:t>Reconciliation of issues outlined in the RMP</w:t>
      </w:r>
      <w:r w:rsidR="0039142C">
        <w:rPr>
          <w:lang w:eastAsia="en-AU"/>
        </w:rPr>
        <w:t xml:space="preserve"> report</w:t>
      </w:r>
    </w:p>
    <w:tbl>
      <w:tblPr>
        <w:tblStyle w:val="TableTGAblue"/>
        <w:tblW w:w="5000" w:type="pct"/>
        <w:tblLayout w:type="fixed"/>
        <w:tblLook w:val="04A0" w:firstRow="1" w:lastRow="0" w:firstColumn="1" w:lastColumn="0" w:noHBand="0" w:noVBand="1"/>
      </w:tblPr>
      <w:tblGrid>
        <w:gridCol w:w="3511"/>
        <w:gridCol w:w="3491"/>
        <w:gridCol w:w="1718"/>
      </w:tblGrid>
      <w:tr w:rsidR="00A36893" w:rsidRPr="00A36893" w14:paraId="0E3AE13E" w14:textId="77777777" w:rsidTr="00A36893">
        <w:trPr>
          <w:cnfStyle w:val="100000000000" w:firstRow="1" w:lastRow="0" w:firstColumn="0" w:lastColumn="0" w:oddVBand="0" w:evenVBand="0" w:oddHBand="0" w:evenHBand="0" w:firstRowFirstColumn="0" w:firstRowLastColumn="0" w:lastRowFirstColumn="0" w:lastRowLastColumn="0"/>
        </w:trPr>
        <w:tc>
          <w:tcPr>
            <w:tcW w:w="2013" w:type="pct"/>
            <w:noWrap/>
          </w:tcPr>
          <w:p w14:paraId="2E0BC0A3" w14:textId="77777777" w:rsidR="00A36893" w:rsidRPr="00A36893" w:rsidRDefault="00A36893" w:rsidP="00A36893">
            <w:pPr>
              <w:ind w:left="0" w:right="0"/>
              <w:rPr>
                <w:sz w:val="18"/>
                <w:szCs w:val="18"/>
              </w:rPr>
            </w:pPr>
            <w:r w:rsidRPr="00A36893">
              <w:rPr>
                <w:sz w:val="18"/>
                <w:szCs w:val="18"/>
              </w:rPr>
              <w:t>Recommendation in RMP evaluation report</w:t>
            </w:r>
          </w:p>
        </w:tc>
        <w:tc>
          <w:tcPr>
            <w:tcW w:w="2002" w:type="pct"/>
            <w:noWrap/>
          </w:tcPr>
          <w:p w14:paraId="13EA040F" w14:textId="77777777" w:rsidR="00A36893" w:rsidRPr="00A36893" w:rsidRDefault="00A36893" w:rsidP="00A36893">
            <w:pPr>
              <w:ind w:left="0" w:right="0"/>
              <w:rPr>
                <w:sz w:val="18"/>
                <w:szCs w:val="18"/>
              </w:rPr>
            </w:pPr>
            <w:r w:rsidRPr="00A36893">
              <w:rPr>
                <w:sz w:val="18"/>
                <w:szCs w:val="18"/>
              </w:rPr>
              <w:t>Sponsor’s response</w:t>
            </w:r>
          </w:p>
        </w:tc>
        <w:tc>
          <w:tcPr>
            <w:tcW w:w="985" w:type="pct"/>
            <w:noWrap/>
          </w:tcPr>
          <w:p w14:paraId="13AA7AEF" w14:textId="77777777" w:rsidR="00A36893" w:rsidRPr="00A36893" w:rsidRDefault="00A36893" w:rsidP="00A36893">
            <w:pPr>
              <w:ind w:left="0" w:right="0"/>
              <w:rPr>
                <w:sz w:val="18"/>
                <w:szCs w:val="18"/>
              </w:rPr>
            </w:pPr>
            <w:r w:rsidRPr="00A36893">
              <w:rPr>
                <w:sz w:val="18"/>
                <w:szCs w:val="18"/>
              </w:rPr>
              <w:t>RMP evaluator’s comment</w:t>
            </w:r>
          </w:p>
        </w:tc>
      </w:tr>
      <w:tr w:rsidR="00A36893" w:rsidRPr="00A36893" w14:paraId="5A71126F" w14:textId="77777777" w:rsidTr="00A36893">
        <w:tc>
          <w:tcPr>
            <w:tcW w:w="2013" w:type="pct"/>
            <w:noWrap/>
          </w:tcPr>
          <w:p w14:paraId="03DFC6C4" w14:textId="77777777" w:rsidR="00A36893" w:rsidRPr="00A36893" w:rsidRDefault="00A36893" w:rsidP="00A36893">
            <w:pPr>
              <w:ind w:left="0" w:right="0"/>
              <w:rPr>
                <w:sz w:val="18"/>
                <w:szCs w:val="18"/>
              </w:rPr>
            </w:pPr>
            <w:r w:rsidRPr="00A36893">
              <w:rPr>
                <w:sz w:val="18"/>
                <w:szCs w:val="18"/>
              </w:rPr>
              <w:t>The evaluator has noted that on 2 July 2015, the US FDA granted market authorisation to Orkambi</w:t>
            </w:r>
            <w:r>
              <w:rPr>
                <w:rStyle w:val="FootnoteReference"/>
                <w:sz w:val="18"/>
                <w:szCs w:val="18"/>
              </w:rPr>
              <w:footnoteReference w:id="26"/>
            </w:r>
            <w:r w:rsidRPr="00A36893">
              <w:rPr>
                <w:sz w:val="18"/>
                <w:szCs w:val="18"/>
              </w:rPr>
              <w:t xml:space="preserve"> The sponsor should provide an update to the market authorisation status overseas. Explanation should be provided for any decision of deferral, rejection, or</w:t>
            </w:r>
            <w:r>
              <w:rPr>
                <w:sz w:val="18"/>
                <w:szCs w:val="18"/>
              </w:rPr>
              <w:t xml:space="preserve"> withdrawal of an application.</w:t>
            </w:r>
          </w:p>
        </w:tc>
        <w:tc>
          <w:tcPr>
            <w:tcW w:w="2002" w:type="pct"/>
            <w:noWrap/>
          </w:tcPr>
          <w:p w14:paraId="3AD90C5E" w14:textId="77777777" w:rsidR="00A36893" w:rsidRPr="00A36893" w:rsidRDefault="00A36893" w:rsidP="00565ADB">
            <w:pPr>
              <w:ind w:left="0" w:right="0"/>
              <w:rPr>
                <w:sz w:val="18"/>
                <w:szCs w:val="18"/>
              </w:rPr>
            </w:pPr>
            <w:r w:rsidRPr="00A36893">
              <w:rPr>
                <w:sz w:val="18"/>
                <w:szCs w:val="18"/>
              </w:rPr>
              <w:t>An updated market authorization status is provided.</w:t>
            </w:r>
          </w:p>
        </w:tc>
        <w:tc>
          <w:tcPr>
            <w:tcW w:w="985" w:type="pct"/>
            <w:noWrap/>
          </w:tcPr>
          <w:p w14:paraId="33BC50B6" w14:textId="77777777" w:rsidR="00A36893" w:rsidRPr="00A36893" w:rsidRDefault="00A36893" w:rsidP="00A36893">
            <w:pPr>
              <w:ind w:left="0" w:right="0"/>
              <w:rPr>
                <w:sz w:val="18"/>
                <w:szCs w:val="18"/>
              </w:rPr>
            </w:pPr>
            <w:r w:rsidRPr="00A36893">
              <w:rPr>
                <w:sz w:val="18"/>
                <w:szCs w:val="18"/>
              </w:rPr>
              <w:t>The spon</w:t>
            </w:r>
            <w:r>
              <w:rPr>
                <w:sz w:val="18"/>
                <w:szCs w:val="18"/>
              </w:rPr>
              <w:t>sor’s response is satisfactory.</w:t>
            </w:r>
          </w:p>
        </w:tc>
      </w:tr>
      <w:tr w:rsidR="00A36893" w:rsidRPr="00A36893" w14:paraId="3E9C9155" w14:textId="77777777" w:rsidTr="00A36893">
        <w:tc>
          <w:tcPr>
            <w:tcW w:w="2013" w:type="pct"/>
            <w:noWrap/>
          </w:tcPr>
          <w:p w14:paraId="3EDD0EA1" w14:textId="77777777" w:rsidR="00A36893" w:rsidRPr="00A36893" w:rsidRDefault="00A36893" w:rsidP="00565ADB">
            <w:pPr>
              <w:ind w:left="0" w:right="0"/>
              <w:rPr>
                <w:sz w:val="18"/>
                <w:szCs w:val="18"/>
              </w:rPr>
            </w:pPr>
            <w:r w:rsidRPr="00A36893">
              <w:rPr>
                <w:sz w:val="18"/>
                <w:szCs w:val="18"/>
              </w:rPr>
              <w:t>As the updated version of the EU-RMP became available, the initial EU-RMP version 1.0 was superseded. The EU-RMP version 1.1 is unlikely to be the approved EU-RMP as the evaluation in the EU is still ongoing. Nonetheless, the EU-RMP version 1.1 and the Australian Specific Annex version 1.0 are the RMP documents being evaluated for the purpose of this submission. The sponsor should submit an updated ASA to a</w:t>
            </w:r>
            <w:r w:rsidR="00565ADB">
              <w:rPr>
                <w:sz w:val="18"/>
                <w:szCs w:val="18"/>
              </w:rPr>
              <w:t>lign with the EU-RMP updates.</w:t>
            </w:r>
          </w:p>
        </w:tc>
        <w:tc>
          <w:tcPr>
            <w:tcW w:w="2002" w:type="pct"/>
            <w:noWrap/>
          </w:tcPr>
          <w:p w14:paraId="41871C51" w14:textId="77777777" w:rsidR="00A36893" w:rsidRPr="00A36893" w:rsidRDefault="00A36893" w:rsidP="00565ADB">
            <w:pPr>
              <w:ind w:left="0" w:right="0"/>
              <w:rPr>
                <w:sz w:val="18"/>
                <w:szCs w:val="18"/>
                <w:highlight w:val="yellow"/>
              </w:rPr>
            </w:pPr>
            <w:r w:rsidRPr="00A36893">
              <w:rPr>
                <w:sz w:val="18"/>
                <w:szCs w:val="18"/>
              </w:rPr>
              <w:t>An updated ASA (Version 2.0) has been provided to align with the EU RMP Version 1.5, which received a positive opinion from the EMA CHMP on 24 September 2015. The EU RMP Version 1.5 is provided for reference in updated 1.8.1 and 1.8.2 for the EU RMP and ASA respectively.</w:t>
            </w:r>
          </w:p>
        </w:tc>
        <w:tc>
          <w:tcPr>
            <w:tcW w:w="985" w:type="pct"/>
            <w:noWrap/>
          </w:tcPr>
          <w:p w14:paraId="7756237E" w14:textId="77777777" w:rsidR="00A36893" w:rsidRPr="00A36893" w:rsidRDefault="00A36893" w:rsidP="00565ADB">
            <w:pPr>
              <w:ind w:left="0" w:right="0"/>
              <w:rPr>
                <w:sz w:val="18"/>
                <w:szCs w:val="18"/>
              </w:rPr>
            </w:pPr>
            <w:r w:rsidRPr="00A36893">
              <w:rPr>
                <w:sz w:val="18"/>
                <w:szCs w:val="18"/>
              </w:rPr>
              <w:t>The evaluator has noted the updated EU-RMP and ASA. The spon</w:t>
            </w:r>
            <w:r w:rsidR="00565ADB">
              <w:rPr>
                <w:sz w:val="18"/>
                <w:szCs w:val="18"/>
              </w:rPr>
              <w:t>sor’s response is satisfactory.</w:t>
            </w:r>
          </w:p>
        </w:tc>
      </w:tr>
      <w:tr w:rsidR="00A36893" w:rsidRPr="00A36893" w14:paraId="767B5B5C" w14:textId="77777777" w:rsidTr="00A36893">
        <w:tc>
          <w:tcPr>
            <w:tcW w:w="2013" w:type="pct"/>
            <w:noWrap/>
          </w:tcPr>
          <w:p w14:paraId="17804DC3" w14:textId="77777777" w:rsidR="00A36893" w:rsidRPr="00A36893" w:rsidRDefault="00A36893" w:rsidP="00565ADB">
            <w:pPr>
              <w:ind w:left="0" w:right="0"/>
              <w:rPr>
                <w:sz w:val="18"/>
                <w:szCs w:val="18"/>
              </w:rPr>
            </w:pPr>
            <w:r w:rsidRPr="00A36893">
              <w:rPr>
                <w:sz w:val="18"/>
                <w:szCs w:val="18"/>
              </w:rPr>
              <w:t>Both the EU-RMP and the draft PI recognise the lack of evidence in patients with severe hepatic impairment and advice is provided in the draft PI to halve the dosage in this patient population. Considering the lack of evidence, the potential use in this group, and hepatic impairment being a common complication of CF, the sponsor should add ‘patients with severe hepatic impairment’ to the ASA as ‘missing information’.</w:t>
            </w:r>
          </w:p>
        </w:tc>
        <w:tc>
          <w:tcPr>
            <w:tcW w:w="2002" w:type="pct"/>
            <w:noWrap/>
          </w:tcPr>
          <w:p w14:paraId="3033EA30" w14:textId="77777777" w:rsidR="00A36893" w:rsidRPr="00A36893" w:rsidRDefault="00A36893" w:rsidP="00565ADB">
            <w:pPr>
              <w:ind w:left="0" w:right="0"/>
              <w:rPr>
                <w:sz w:val="18"/>
                <w:szCs w:val="18"/>
              </w:rPr>
            </w:pPr>
            <w:r w:rsidRPr="00A36893">
              <w:rPr>
                <w:sz w:val="18"/>
                <w:szCs w:val="18"/>
              </w:rPr>
              <w:t>In the EU RMP Version 1.0 and ASA Version 1.0, use of Orkambi in patients with advanced liver disease, which encompasses patients with severe hepatic impairment, was proposed as an important potential risk. During the EU MAA</w:t>
            </w:r>
            <w:r w:rsidR="00B22DD1">
              <w:rPr>
                <w:rStyle w:val="FootnoteReference"/>
                <w:sz w:val="18"/>
                <w:szCs w:val="18"/>
              </w:rPr>
              <w:footnoteReference w:id="27"/>
            </w:r>
            <w:r w:rsidRPr="00A36893">
              <w:rPr>
                <w:sz w:val="18"/>
                <w:szCs w:val="18"/>
              </w:rPr>
              <w:t xml:space="preserve"> Day 120 List of Questions, the Pharmacovigilance and Risk Assessment Committee (PRAC) requested that the proposed important potential risk of </w:t>
            </w:r>
            <w:r w:rsidR="00A02EC9">
              <w:rPr>
                <w:sz w:val="18"/>
                <w:szCs w:val="18"/>
              </w:rPr>
              <w:t>‘</w:t>
            </w:r>
            <w:r w:rsidRPr="00A36893">
              <w:rPr>
                <w:sz w:val="18"/>
                <w:szCs w:val="18"/>
              </w:rPr>
              <w:t>Use in patients with advanced liver disease</w:t>
            </w:r>
            <w:r w:rsidR="00A02EC9">
              <w:rPr>
                <w:sz w:val="18"/>
                <w:szCs w:val="18"/>
              </w:rPr>
              <w:t>’</w:t>
            </w:r>
            <w:r w:rsidRPr="00A36893">
              <w:rPr>
                <w:sz w:val="18"/>
                <w:szCs w:val="18"/>
              </w:rPr>
              <w:t xml:space="preserve"> be combined and addressed in the context of the important potential risk of </w:t>
            </w:r>
            <w:r w:rsidR="00A02EC9">
              <w:rPr>
                <w:sz w:val="18"/>
                <w:szCs w:val="18"/>
              </w:rPr>
              <w:t>‘</w:t>
            </w:r>
            <w:r w:rsidRPr="00A36893">
              <w:rPr>
                <w:sz w:val="18"/>
                <w:szCs w:val="18"/>
              </w:rPr>
              <w:t>Hepatobiliary events</w:t>
            </w:r>
            <w:r w:rsidR="00A02EC9">
              <w:rPr>
                <w:sz w:val="18"/>
                <w:szCs w:val="18"/>
              </w:rPr>
              <w:t>’</w:t>
            </w:r>
            <w:r w:rsidRPr="00A36893">
              <w:rPr>
                <w:sz w:val="18"/>
                <w:szCs w:val="18"/>
              </w:rPr>
              <w:t xml:space="preserve">. Following this recommendation, </w:t>
            </w:r>
            <w:r w:rsidR="00A02EC9">
              <w:rPr>
                <w:sz w:val="18"/>
                <w:szCs w:val="18"/>
              </w:rPr>
              <w:t>‘</w:t>
            </w:r>
            <w:r w:rsidRPr="00A36893">
              <w:rPr>
                <w:sz w:val="18"/>
                <w:szCs w:val="18"/>
              </w:rPr>
              <w:t xml:space="preserve">Use in patients with </w:t>
            </w:r>
            <w:r w:rsidRPr="00A36893">
              <w:rPr>
                <w:sz w:val="18"/>
                <w:szCs w:val="18"/>
              </w:rPr>
              <w:lastRenderedPageBreak/>
              <w:t>advanced liver disease</w:t>
            </w:r>
            <w:r w:rsidR="00A02EC9">
              <w:rPr>
                <w:sz w:val="18"/>
                <w:szCs w:val="18"/>
              </w:rPr>
              <w:t>’</w:t>
            </w:r>
            <w:r w:rsidRPr="00A36893">
              <w:rPr>
                <w:sz w:val="18"/>
                <w:szCs w:val="18"/>
              </w:rPr>
              <w:t xml:space="preserve"> was removed from EU RMP Version 1.5 as a separate important potential risk.</w:t>
            </w:r>
          </w:p>
          <w:p w14:paraId="52ABFDB1" w14:textId="77777777" w:rsidR="00A36893" w:rsidRPr="00A36893" w:rsidRDefault="00A36893" w:rsidP="00565ADB">
            <w:pPr>
              <w:ind w:left="0" w:right="0"/>
              <w:rPr>
                <w:sz w:val="18"/>
                <w:szCs w:val="18"/>
              </w:rPr>
            </w:pPr>
            <w:r w:rsidRPr="00A36893">
              <w:rPr>
                <w:sz w:val="18"/>
                <w:szCs w:val="18"/>
              </w:rPr>
              <w:t xml:space="preserve">Vertex agrees with TGA’s assessment that experience in the use of Orkambi in patients with severe hepatic impairment is limited; however, because the EU RMP serves as the basis for the ASA and other global regions, Vertex proposes that </w:t>
            </w:r>
            <w:r w:rsidR="00A02EC9">
              <w:rPr>
                <w:sz w:val="18"/>
                <w:szCs w:val="18"/>
              </w:rPr>
              <w:t>‘</w:t>
            </w:r>
            <w:r w:rsidRPr="00A36893">
              <w:rPr>
                <w:sz w:val="18"/>
                <w:szCs w:val="18"/>
              </w:rPr>
              <w:t>Use in patients with severe hepatic impairment</w:t>
            </w:r>
            <w:r w:rsidR="00A02EC9">
              <w:rPr>
                <w:sz w:val="18"/>
                <w:szCs w:val="18"/>
              </w:rPr>
              <w:t>’</w:t>
            </w:r>
            <w:r w:rsidRPr="00A36893">
              <w:rPr>
                <w:sz w:val="18"/>
                <w:szCs w:val="18"/>
              </w:rPr>
              <w:t xml:space="preserve"> not be listed as a separate missing information and be addressed in the context of </w:t>
            </w:r>
            <w:r w:rsidR="00A02EC9">
              <w:rPr>
                <w:sz w:val="18"/>
                <w:szCs w:val="18"/>
              </w:rPr>
              <w:t>‘</w:t>
            </w:r>
            <w:r w:rsidRPr="00A36893">
              <w:rPr>
                <w:sz w:val="18"/>
                <w:szCs w:val="18"/>
              </w:rPr>
              <w:t>Hepatobiliary events</w:t>
            </w:r>
            <w:r w:rsidR="00A02EC9">
              <w:rPr>
                <w:sz w:val="18"/>
                <w:szCs w:val="18"/>
              </w:rPr>
              <w:t>’</w:t>
            </w:r>
            <w:r w:rsidRPr="00A36893">
              <w:rPr>
                <w:sz w:val="18"/>
                <w:szCs w:val="18"/>
              </w:rPr>
              <w:t xml:space="preserve"> to align with the EMA recommendation. Vertex will ensure that any reports involving the use of Orkambi in patients with severe hepatic impairment be carefully evaluated and discussed in the PSUR.</w:t>
            </w:r>
          </w:p>
        </w:tc>
        <w:tc>
          <w:tcPr>
            <w:tcW w:w="985" w:type="pct"/>
            <w:noWrap/>
          </w:tcPr>
          <w:p w14:paraId="2B30495E" w14:textId="77777777" w:rsidR="00A36893" w:rsidRPr="00A36893" w:rsidRDefault="00A36893" w:rsidP="00565ADB">
            <w:pPr>
              <w:ind w:left="0" w:right="0"/>
              <w:rPr>
                <w:sz w:val="18"/>
                <w:szCs w:val="18"/>
              </w:rPr>
            </w:pPr>
            <w:r w:rsidRPr="00A36893">
              <w:rPr>
                <w:sz w:val="18"/>
                <w:szCs w:val="18"/>
              </w:rPr>
              <w:lastRenderedPageBreak/>
              <w:t>The sponsor’s response is ac</w:t>
            </w:r>
            <w:r w:rsidR="004D785B">
              <w:rPr>
                <w:sz w:val="18"/>
                <w:szCs w:val="18"/>
              </w:rPr>
              <w:t>ceptable.</w:t>
            </w:r>
          </w:p>
        </w:tc>
      </w:tr>
      <w:tr w:rsidR="00A36893" w:rsidRPr="00A36893" w14:paraId="31B02C4A" w14:textId="77777777" w:rsidTr="00A36893">
        <w:tc>
          <w:tcPr>
            <w:tcW w:w="2013" w:type="pct"/>
            <w:noWrap/>
          </w:tcPr>
          <w:p w14:paraId="756CCBCF" w14:textId="77777777" w:rsidR="00A36893" w:rsidRPr="00A36893" w:rsidRDefault="00A36893" w:rsidP="00565ADB">
            <w:pPr>
              <w:ind w:left="0" w:right="0"/>
              <w:rPr>
                <w:sz w:val="18"/>
                <w:szCs w:val="18"/>
              </w:rPr>
            </w:pPr>
            <w:r w:rsidRPr="00A36893">
              <w:rPr>
                <w:sz w:val="18"/>
                <w:szCs w:val="18"/>
              </w:rPr>
              <w:lastRenderedPageBreak/>
              <w:t>‘Pulmonary exacerbations and bacterial sputum colonisation with long-term treatment’ is listed as missing information independent of ‘long-term safety’ in the EU-RMP for ivacaftor. The sponsor should provide justification to why this is irrelevant for Orkambi or list it as missing inf</w:t>
            </w:r>
            <w:r w:rsidR="00565ADB">
              <w:rPr>
                <w:sz w:val="18"/>
                <w:szCs w:val="18"/>
              </w:rPr>
              <w:t>ormation in the ASA.</w:t>
            </w:r>
          </w:p>
        </w:tc>
        <w:tc>
          <w:tcPr>
            <w:tcW w:w="2002" w:type="pct"/>
            <w:noWrap/>
          </w:tcPr>
          <w:p w14:paraId="69D3B9E9" w14:textId="77777777" w:rsidR="00A36893" w:rsidRPr="00A36893" w:rsidRDefault="00A36893" w:rsidP="00565ADB">
            <w:pPr>
              <w:ind w:left="0" w:right="0"/>
              <w:rPr>
                <w:sz w:val="18"/>
                <w:szCs w:val="18"/>
              </w:rPr>
            </w:pPr>
            <w:r w:rsidRPr="00A36893">
              <w:rPr>
                <w:sz w:val="18"/>
                <w:szCs w:val="18"/>
              </w:rPr>
              <w:t>Vertex maintains that ‘Pulmonary exacerbations’ should not be considered missing information based on the available efficacy and safety information for lumacaftor/ivacaftor (LUM/IVA) combination therapy.</w:t>
            </w:r>
          </w:p>
          <w:p w14:paraId="7A900744" w14:textId="77777777" w:rsidR="00A36893" w:rsidRPr="00A36893" w:rsidRDefault="00A36893" w:rsidP="00565ADB">
            <w:pPr>
              <w:ind w:left="0" w:right="0"/>
              <w:rPr>
                <w:sz w:val="18"/>
                <w:szCs w:val="18"/>
              </w:rPr>
            </w:pPr>
            <w:r w:rsidRPr="00A36893">
              <w:rPr>
                <w:sz w:val="18"/>
                <w:szCs w:val="18"/>
              </w:rPr>
              <w:t xml:space="preserve">In the individual study and pooled analyses for Studies VX12-809-103 (Study 103) and VX12-809-104 (Study 104), treatment with LUM/IVA resulted in statistically significant reductions in pulmonary exacerbations (event rate per 48 weeks of 0.80 and 0.70 for LUM 600 mg </w:t>
            </w:r>
            <w:r w:rsidR="009B151C" w:rsidRPr="00A36893">
              <w:rPr>
                <w:sz w:val="18"/>
                <w:szCs w:val="18"/>
              </w:rPr>
              <w:t>QD</w:t>
            </w:r>
            <w:r w:rsidRPr="00A36893">
              <w:rPr>
                <w:sz w:val="18"/>
                <w:szCs w:val="18"/>
              </w:rPr>
              <w:t xml:space="preserve">/IVA 250 mg q12h and LUM 400 mg q12h/ IVA 250 mg q12h, respectively, and 1.14 for placebo; representing 30% reduction in the LUM 600 mg </w:t>
            </w:r>
            <w:r w:rsidR="009B151C" w:rsidRPr="00A36893">
              <w:rPr>
                <w:sz w:val="18"/>
                <w:szCs w:val="18"/>
              </w:rPr>
              <w:t>QD</w:t>
            </w:r>
            <w:r w:rsidRPr="00A36893">
              <w:rPr>
                <w:sz w:val="18"/>
                <w:szCs w:val="18"/>
              </w:rPr>
              <w:t>/IVA 250 mg q12h group and 39% reduction in the LUM 400 mg q12h/IVA 250 mg q12h group) as well as pulmonary exacerbations requiring hospitalization or intravenous antibiotic therapy, through 24 weeks of treatment. This effect was observed in the context of consistent improvements in other pulmonary and extrapulmonary endpoints, such as significant improvem</w:t>
            </w:r>
            <w:r w:rsidR="003E3011">
              <w:rPr>
                <w:sz w:val="18"/>
                <w:szCs w:val="18"/>
              </w:rPr>
              <w:t>ents in ppFEV1</w:t>
            </w:r>
            <w:r w:rsidRPr="00A36893">
              <w:rPr>
                <w:sz w:val="18"/>
                <w:szCs w:val="18"/>
              </w:rPr>
              <w:t xml:space="preserve"> and improvements in measures of nutr</w:t>
            </w:r>
            <w:r w:rsidR="004D785B">
              <w:rPr>
                <w:sz w:val="18"/>
                <w:szCs w:val="18"/>
              </w:rPr>
              <w:t xml:space="preserve">itional status </w:t>
            </w:r>
            <w:r w:rsidRPr="00A36893">
              <w:rPr>
                <w:sz w:val="18"/>
                <w:szCs w:val="18"/>
              </w:rPr>
              <w:t>BMI and weight)). The data from the second interim analysis of Stud</w:t>
            </w:r>
            <w:r w:rsidR="00565ADB">
              <w:rPr>
                <w:sz w:val="18"/>
                <w:szCs w:val="18"/>
              </w:rPr>
              <w:t>y 105</w:t>
            </w:r>
            <w:r w:rsidRPr="00A36893">
              <w:rPr>
                <w:sz w:val="18"/>
                <w:szCs w:val="18"/>
              </w:rPr>
              <w:t xml:space="preserve"> demonstrate the maintenance of effect on pulmonary exacerbations in all subjects treated for 48 weeks. Results show that the annual</w:t>
            </w:r>
            <w:r w:rsidR="00A02EC9">
              <w:rPr>
                <w:sz w:val="18"/>
                <w:szCs w:val="18"/>
              </w:rPr>
              <w:t>ise</w:t>
            </w:r>
            <w:r w:rsidRPr="00A36893">
              <w:rPr>
                <w:sz w:val="18"/>
                <w:szCs w:val="18"/>
              </w:rPr>
              <w:t xml:space="preserve">d rate of pulmonary </w:t>
            </w:r>
            <w:r w:rsidRPr="00A36893">
              <w:rPr>
                <w:sz w:val="18"/>
                <w:szCs w:val="18"/>
              </w:rPr>
              <w:lastRenderedPageBreak/>
              <w:t xml:space="preserve">exacerbations remained lower through 48 weeks on active treatment than through 24 weeks on placebo. The safety specification of ‘Pulmonary exacerbations’ for ivacaftor monotherapy was based on the concern regarding the adverse drug reaction (ADR) of ‘Bacteria in sputum’ (based on a preferred term </w:t>
            </w:r>
            <w:r w:rsidR="00026051">
              <w:rPr>
                <w:sz w:val="18"/>
                <w:szCs w:val="18"/>
              </w:rPr>
              <w:t>(</w:t>
            </w:r>
            <w:r w:rsidRPr="00A36893">
              <w:rPr>
                <w:sz w:val="18"/>
                <w:szCs w:val="18"/>
              </w:rPr>
              <w:t>PT</w:t>
            </w:r>
            <w:r w:rsidR="00026051">
              <w:rPr>
                <w:sz w:val="18"/>
                <w:szCs w:val="18"/>
              </w:rPr>
              <w:t>)</w:t>
            </w:r>
            <w:r w:rsidRPr="00A36893">
              <w:rPr>
                <w:sz w:val="18"/>
                <w:szCs w:val="18"/>
              </w:rPr>
              <w:t xml:space="preserve"> in MedDRA</w:t>
            </w:r>
            <w:r w:rsidR="00A50EF6">
              <w:rPr>
                <w:rStyle w:val="FootnoteReference"/>
                <w:sz w:val="18"/>
                <w:szCs w:val="18"/>
              </w:rPr>
              <w:footnoteReference w:id="28"/>
            </w:r>
            <w:r w:rsidRPr="00A36893">
              <w:rPr>
                <w:sz w:val="18"/>
                <w:szCs w:val="18"/>
              </w:rPr>
              <w:t xml:space="preserve"> 12.0 in use at the time) and a theoretical concern that changes in sputum might result in increased pulmonary exacerbations with long-term treatment. The first two years' analysis of the ivacaftor long-term safety study using registry data actually showed a reduction in the rate of pulmonary exacerbations in the ivacaftor cohort as compared to the comparator cohort, along with a reduction of selected pulmonary microorganisms. Similar findings were also observed in the published GOAL study.3 Overall, the available data do not support the theoretical increased risk of pulmonary exacerbations and bacterial sputum colonisation with long-term ivacaftor monotherapy treatment, and in fact the data support a reduction in both of these endpoints with extended ivacaftor treatment.</w:t>
            </w:r>
          </w:p>
          <w:p w14:paraId="0273C3ED" w14:textId="77777777" w:rsidR="00A36893" w:rsidRPr="00A36893" w:rsidRDefault="00A36893" w:rsidP="00565ADB">
            <w:pPr>
              <w:ind w:left="0" w:right="0"/>
              <w:rPr>
                <w:sz w:val="18"/>
                <w:szCs w:val="18"/>
              </w:rPr>
            </w:pPr>
            <w:r w:rsidRPr="00A36893">
              <w:rPr>
                <w:sz w:val="18"/>
                <w:szCs w:val="18"/>
              </w:rPr>
              <w:t>Studies 103 and 104 together comprise a much larger safety set than that of ivacaftor monotherapy at the time of MAA submission. In Studies 103 and 104, consistent with the observed reduction in pulmonary exacerbations assessed as an efficacy endpoint, the i</w:t>
            </w:r>
            <w:r w:rsidR="003E3011">
              <w:rPr>
                <w:sz w:val="18"/>
                <w:szCs w:val="18"/>
              </w:rPr>
              <w:t>ncidence of the AEs and SAEs</w:t>
            </w:r>
            <w:r w:rsidRPr="00A36893">
              <w:rPr>
                <w:sz w:val="18"/>
                <w:szCs w:val="18"/>
              </w:rPr>
              <w:t xml:space="preserve"> of infective pulmonary exacerbation of CF was lower in the total LUM/IVA group (37.5% for AE, 13.0% for SAE) compared with the placebo group (49.2% for AE, 24.1% for SAE). Furthermore, ‘bacteria test positive’ (PT under which bacteria in sputum currently codes in MedDRA 18.0) had a similar incidence in the total LUM/IVA group (3.1%) compared to placebo (2.7%). Therefore, the same rationale for the inclusion of ‘Pulmonary exacerbations’ as missing information in the ivacaftor monotherapy RMP cannot be applied to that of LUM/IVA combination therapy.</w:t>
            </w:r>
          </w:p>
          <w:p w14:paraId="2E301744" w14:textId="77777777" w:rsidR="00A36893" w:rsidRPr="00A36893" w:rsidRDefault="00A36893" w:rsidP="00565ADB">
            <w:pPr>
              <w:ind w:left="0" w:right="0"/>
              <w:rPr>
                <w:sz w:val="18"/>
                <w:szCs w:val="18"/>
              </w:rPr>
            </w:pPr>
            <w:r w:rsidRPr="00A36893">
              <w:rPr>
                <w:sz w:val="18"/>
                <w:szCs w:val="18"/>
              </w:rPr>
              <w:t xml:space="preserve">Lastly, the specific aspect of the long-term </w:t>
            </w:r>
            <w:r w:rsidRPr="00A36893">
              <w:rPr>
                <w:sz w:val="18"/>
                <w:szCs w:val="18"/>
              </w:rPr>
              <w:lastRenderedPageBreak/>
              <w:t xml:space="preserve">effect of LUM/IVA on pulmonary exacerbations as an efficacy endpoint is planned to be assessed in the Post-Authorisation Safety Study (PASS) </w:t>
            </w:r>
            <w:r w:rsidR="00565ADB">
              <w:rPr>
                <w:sz w:val="18"/>
                <w:szCs w:val="18"/>
              </w:rPr>
              <w:t>(</w:t>
            </w:r>
            <w:r w:rsidRPr="00A36893">
              <w:rPr>
                <w:sz w:val="18"/>
                <w:szCs w:val="18"/>
              </w:rPr>
              <w:t>Study 108) and through continued efficacy analyses in the long-term Study VX12-809-105 (Study 105).</w:t>
            </w:r>
          </w:p>
          <w:p w14:paraId="05F96014" w14:textId="77777777" w:rsidR="00A36893" w:rsidRPr="00A36893" w:rsidRDefault="00A36893" w:rsidP="00565ADB">
            <w:pPr>
              <w:ind w:left="0" w:right="0"/>
              <w:rPr>
                <w:sz w:val="18"/>
                <w:szCs w:val="18"/>
              </w:rPr>
            </w:pPr>
            <w:r w:rsidRPr="00A36893">
              <w:rPr>
                <w:sz w:val="18"/>
                <w:szCs w:val="18"/>
              </w:rPr>
              <w:t>Taken together, given the significant reduction in pulmonary exacerbations in the context of consistent improvements in other pulmonary and extrapulmonary endpoints, which were maintained for 48 weeks of treatment, and the observed significant lower incidence in AE/SAEs of pulmonary exacerbation, Vertex does not believe that pulmonary exacerbations should be considered as a safety concern of missing information for LUM/IVA combination therapy treatment.</w:t>
            </w:r>
          </w:p>
        </w:tc>
        <w:tc>
          <w:tcPr>
            <w:tcW w:w="985" w:type="pct"/>
            <w:noWrap/>
          </w:tcPr>
          <w:p w14:paraId="4AE7979D" w14:textId="77777777" w:rsidR="00A36893" w:rsidRPr="00A36893" w:rsidRDefault="00A36893" w:rsidP="00565ADB">
            <w:pPr>
              <w:ind w:left="0" w:right="0"/>
              <w:rPr>
                <w:sz w:val="18"/>
                <w:szCs w:val="18"/>
              </w:rPr>
            </w:pPr>
            <w:r w:rsidRPr="00A36893">
              <w:rPr>
                <w:sz w:val="18"/>
                <w:szCs w:val="18"/>
              </w:rPr>
              <w:lastRenderedPageBreak/>
              <w:t>The sp</w:t>
            </w:r>
            <w:r w:rsidR="004D785B">
              <w:rPr>
                <w:sz w:val="18"/>
                <w:szCs w:val="18"/>
              </w:rPr>
              <w:t>onsor’s response is acceptable.</w:t>
            </w:r>
          </w:p>
        </w:tc>
      </w:tr>
      <w:tr w:rsidR="00A36893" w:rsidRPr="00A36893" w14:paraId="2322B6C7" w14:textId="77777777" w:rsidTr="00A36893">
        <w:tc>
          <w:tcPr>
            <w:tcW w:w="2013" w:type="pct"/>
            <w:noWrap/>
          </w:tcPr>
          <w:p w14:paraId="4E9FECF2" w14:textId="77777777" w:rsidR="00A36893" w:rsidRPr="00A36893" w:rsidRDefault="00A36893" w:rsidP="00565ADB">
            <w:pPr>
              <w:ind w:left="0" w:right="0"/>
              <w:rPr>
                <w:sz w:val="18"/>
                <w:szCs w:val="18"/>
              </w:rPr>
            </w:pPr>
            <w:r w:rsidRPr="00A36893">
              <w:rPr>
                <w:sz w:val="18"/>
                <w:szCs w:val="18"/>
              </w:rPr>
              <w:lastRenderedPageBreak/>
              <w:t xml:space="preserve">The evaluator has also noted the substantive advice provided for concomitant use of Orkambi with strong CYP3A inhibitors/inducers and sensitive CYP3A substrates and CYP3A substrates with a narrow therapeutic index. The sponsor should provide justification to why these are not considered ‘identified risks’ or upgrade them to </w:t>
            </w:r>
            <w:r w:rsidR="004D785B">
              <w:rPr>
                <w:sz w:val="18"/>
                <w:szCs w:val="18"/>
              </w:rPr>
              <w:t>‘identified risks’ in the ASA.</w:t>
            </w:r>
          </w:p>
        </w:tc>
        <w:tc>
          <w:tcPr>
            <w:tcW w:w="2002" w:type="pct"/>
            <w:noWrap/>
          </w:tcPr>
          <w:p w14:paraId="6851E67D" w14:textId="77777777" w:rsidR="00A36893" w:rsidRPr="00A36893" w:rsidRDefault="00A36893" w:rsidP="00565ADB">
            <w:pPr>
              <w:ind w:left="0" w:right="0"/>
              <w:rPr>
                <w:sz w:val="18"/>
                <w:szCs w:val="18"/>
              </w:rPr>
            </w:pPr>
            <w:r w:rsidRPr="00A36893">
              <w:rPr>
                <w:sz w:val="18"/>
                <w:szCs w:val="18"/>
              </w:rPr>
              <w:t xml:space="preserve">Vertex maintains that these are potential risks because interactions may be avoided with appropriate dosing of Orkambi and the concomitant medication, as recommended in the </w:t>
            </w:r>
            <w:r w:rsidR="004D785B">
              <w:rPr>
                <w:sz w:val="18"/>
                <w:szCs w:val="18"/>
              </w:rPr>
              <w:t>PI</w:t>
            </w:r>
            <w:r w:rsidRPr="00A36893">
              <w:rPr>
                <w:sz w:val="18"/>
                <w:szCs w:val="18"/>
              </w:rPr>
              <w:t xml:space="preserve"> and in the</w:t>
            </w:r>
            <w:r w:rsidR="004D785B">
              <w:rPr>
                <w:sz w:val="18"/>
                <w:szCs w:val="18"/>
              </w:rPr>
              <w:t xml:space="preserve"> CMI</w:t>
            </w:r>
            <w:r w:rsidRPr="00A36893">
              <w:rPr>
                <w:sz w:val="18"/>
                <w:szCs w:val="18"/>
              </w:rPr>
              <w:t>.</w:t>
            </w:r>
          </w:p>
          <w:p w14:paraId="29043CCD" w14:textId="77777777" w:rsidR="00A36893" w:rsidRPr="00A36893" w:rsidRDefault="00A36893" w:rsidP="00565ADB">
            <w:pPr>
              <w:ind w:left="0" w:right="0"/>
              <w:rPr>
                <w:sz w:val="18"/>
                <w:szCs w:val="18"/>
              </w:rPr>
            </w:pPr>
            <w:r w:rsidRPr="00A36893">
              <w:rPr>
                <w:sz w:val="18"/>
                <w:szCs w:val="18"/>
              </w:rPr>
              <w:t>Lumacaftor is a strong inducer of CYP3A, and, ivacaftor is a weak inhibitor of CYP3A when given as monotherapy. The net effect of lumacaftor/ivacaftor therapy is expected to be CYP3A induction. The PI and the CMI provide recommendations to inform the prescriber on potential effects of Orkambi on various CYP substrates/medications commonly used in the CF population. Whilst it is not recommended to co</w:t>
            </w:r>
            <w:r w:rsidR="00565ADB">
              <w:rPr>
                <w:sz w:val="18"/>
                <w:szCs w:val="18"/>
              </w:rPr>
              <w:t>-</w:t>
            </w:r>
            <w:r w:rsidRPr="00A36893">
              <w:rPr>
                <w:sz w:val="18"/>
                <w:szCs w:val="18"/>
              </w:rPr>
              <w:t>administer Orkambi with sensitive CYP3A substrates and CYP3A substrates with a narrow therapeutic index, it would be at the prescriber’s discretion to manage any concomitant use and monitor the effectiveness of the medications.</w:t>
            </w:r>
          </w:p>
          <w:p w14:paraId="229D53D3" w14:textId="77777777" w:rsidR="00A36893" w:rsidRPr="00A36893" w:rsidRDefault="00A36893" w:rsidP="00565ADB">
            <w:pPr>
              <w:ind w:left="0" w:right="0"/>
              <w:rPr>
                <w:sz w:val="18"/>
                <w:szCs w:val="18"/>
              </w:rPr>
            </w:pPr>
            <w:r w:rsidRPr="00A36893">
              <w:rPr>
                <w:sz w:val="18"/>
                <w:szCs w:val="18"/>
              </w:rPr>
              <w:t>Similarly, advice is provided in the PI and the CMI to inform the prescriber on the potential effect of CYP inhibitors/inducers on Orkambi. In the case of CYP3A inhibitors, specific recommendations regarding Orkambi dose adjustment is provided to avoid potential interactions.</w:t>
            </w:r>
          </w:p>
          <w:p w14:paraId="08A586D8" w14:textId="77777777" w:rsidR="00A36893" w:rsidRPr="00A36893" w:rsidRDefault="00A36893" w:rsidP="00565ADB">
            <w:pPr>
              <w:ind w:left="0" w:right="0"/>
              <w:rPr>
                <w:sz w:val="18"/>
                <w:szCs w:val="18"/>
              </w:rPr>
            </w:pPr>
            <w:r w:rsidRPr="00A36893">
              <w:rPr>
                <w:sz w:val="18"/>
                <w:szCs w:val="18"/>
              </w:rPr>
              <w:t xml:space="preserve">In summary, with appropriate dosing of Orkambi and proper selection of concomitant medication according to the recommendations provided in the PI and </w:t>
            </w:r>
            <w:r w:rsidRPr="00A36893">
              <w:rPr>
                <w:sz w:val="18"/>
                <w:szCs w:val="18"/>
              </w:rPr>
              <w:lastRenderedPageBreak/>
              <w:t>the CMI, interactions between Orkambi and concomitantly used medications can be avoided. Thus, drug-drug interaction between Orkambi and sensitive CYP3A substrates and strong CYP3A inhibitors/inducers represents an important potential risk.</w:t>
            </w:r>
          </w:p>
        </w:tc>
        <w:tc>
          <w:tcPr>
            <w:tcW w:w="985" w:type="pct"/>
            <w:noWrap/>
          </w:tcPr>
          <w:p w14:paraId="5132C0FE" w14:textId="77777777" w:rsidR="00A36893" w:rsidRPr="00A36893" w:rsidRDefault="00A36893" w:rsidP="00565ADB">
            <w:pPr>
              <w:ind w:left="0" w:right="0"/>
              <w:rPr>
                <w:sz w:val="18"/>
                <w:szCs w:val="18"/>
              </w:rPr>
            </w:pPr>
            <w:r w:rsidRPr="00A36893">
              <w:rPr>
                <w:sz w:val="18"/>
                <w:szCs w:val="18"/>
              </w:rPr>
              <w:lastRenderedPageBreak/>
              <w:t>T</w:t>
            </w:r>
            <w:r w:rsidR="004D785B">
              <w:rPr>
                <w:sz w:val="18"/>
                <w:szCs w:val="18"/>
              </w:rPr>
              <w:t>he sponsor’s response is noted.</w:t>
            </w:r>
          </w:p>
        </w:tc>
      </w:tr>
      <w:tr w:rsidR="00A36893" w:rsidRPr="00A36893" w14:paraId="2C6108BC" w14:textId="77777777" w:rsidTr="00A36893">
        <w:tc>
          <w:tcPr>
            <w:tcW w:w="2013" w:type="pct"/>
            <w:noWrap/>
          </w:tcPr>
          <w:p w14:paraId="05CAB65B" w14:textId="77777777" w:rsidR="00A36893" w:rsidRPr="00A36893" w:rsidRDefault="00A36893" w:rsidP="00565ADB">
            <w:pPr>
              <w:ind w:left="0" w:right="0"/>
              <w:rPr>
                <w:sz w:val="18"/>
                <w:szCs w:val="18"/>
              </w:rPr>
            </w:pPr>
            <w:r w:rsidRPr="00A36893">
              <w:rPr>
                <w:sz w:val="18"/>
                <w:szCs w:val="18"/>
              </w:rPr>
              <w:lastRenderedPageBreak/>
              <w:t>The sponsor has advised in the ASA that study 105 is the only study listed in the pharmacovigilance plan that involves Australian patients. The sponsor should clarify whether the studies conducted overseas are applicable to the Australian context and provide j</w:t>
            </w:r>
            <w:r w:rsidR="00565ADB">
              <w:rPr>
                <w:sz w:val="18"/>
                <w:szCs w:val="18"/>
              </w:rPr>
              <w:t>ustification to its conclusion.</w:t>
            </w:r>
          </w:p>
        </w:tc>
        <w:tc>
          <w:tcPr>
            <w:tcW w:w="2002" w:type="pct"/>
            <w:noWrap/>
          </w:tcPr>
          <w:p w14:paraId="4CC26E2A" w14:textId="77777777" w:rsidR="00A36893" w:rsidRPr="00A36893" w:rsidRDefault="00A36893" w:rsidP="00E65C2F">
            <w:pPr>
              <w:ind w:left="0" w:right="0"/>
              <w:rPr>
                <w:sz w:val="18"/>
                <w:szCs w:val="18"/>
              </w:rPr>
            </w:pPr>
            <w:r w:rsidRPr="00A36893">
              <w:rPr>
                <w:sz w:val="18"/>
                <w:szCs w:val="18"/>
              </w:rPr>
              <w:t xml:space="preserve">Given the similarities between the indicated population in Australia compared to the US and </w:t>
            </w:r>
            <w:r w:rsidR="00565ADB">
              <w:rPr>
                <w:sz w:val="18"/>
                <w:szCs w:val="18"/>
              </w:rPr>
              <w:t>EU</w:t>
            </w:r>
            <w:r w:rsidRPr="00A36893">
              <w:rPr>
                <w:sz w:val="18"/>
                <w:szCs w:val="18"/>
              </w:rPr>
              <w:t xml:space="preserve">, Vertex believes that data obtained in studies conducted outside of Australia are applicable to the Australian context. In addition, the </w:t>
            </w:r>
            <w:r w:rsidR="00565ADB">
              <w:rPr>
                <w:sz w:val="18"/>
                <w:szCs w:val="18"/>
              </w:rPr>
              <w:t>safety data from the two Phase III</w:t>
            </w:r>
            <w:r w:rsidR="003E3011">
              <w:rPr>
                <w:sz w:val="18"/>
                <w:szCs w:val="18"/>
              </w:rPr>
              <w:t xml:space="preserve"> Studies 103 and 104 were analys</w:t>
            </w:r>
            <w:r w:rsidRPr="00A36893">
              <w:rPr>
                <w:sz w:val="18"/>
                <w:szCs w:val="18"/>
              </w:rPr>
              <w:t>ed by geographic regions (North America, EU, and Australia). The data demonstrated that there were no meaningful differences in the safety profile of LUM/IVA treatment among these 3 geographic regions. These analyses further support that data obtained in studies conducted outside of Australia are applicable to the Australian context.</w:t>
            </w:r>
          </w:p>
        </w:tc>
        <w:tc>
          <w:tcPr>
            <w:tcW w:w="985" w:type="pct"/>
            <w:noWrap/>
          </w:tcPr>
          <w:p w14:paraId="5A09286F" w14:textId="77777777" w:rsidR="00A36893" w:rsidRPr="00A36893" w:rsidRDefault="00A36893" w:rsidP="00565ADB">
            <w:pPr>
              <w:ind w:left="0" w:right="0"/>
              <w:rPr>
                <w:sz w:val="18"/>
                <w:szCs w:val="18"/>
              </w:rPr>
            </w:pPr>
            <w:r w:rsidRPr="00A36893">
              <w:rPr>
                <w:sz w:val="18"/>
                <w:szCs w:val="18"/>
              </w:rPr>
              <w:t>The spon</w:t>
            </w:r>
            <w:r w:rsidR="00565ADB">
              <w:rPr>
                <w:sz w:val="18"/>
                <w:szCs w:val="18"/>
              </w:rPr>
              <w:t>sor’s response is satisfactory.</w:t>
            </w:r>
          </w:p>
        </w:tc>
      </w:tr>
      <w:tr w:rsidR="00A36893" w:rsidRPr="00A36893" w14:paraId="5E5BC298" w14:textId="77777777" w:rsidTr="00A36893">
        <w:tc>
          <w:tcPr>
            <w:tcW w:w="2013" w:type="pct"/>
            <w:noWrap/>
          </w:tcPr>
          <w:p w14:paraId="2198E90B" w14:textId="77777777" w:rsidR="00A36893" w:rsidRPr="00A36893" w:rsidRDefault="00A36893" w:rsidP="00565ADB">
            <w:pPr>
              <w:ind w:left="0" w:right="0"/>
              <w:rPr>
                <w:sz w:val="18"/>
                <w:szCs w:val="18"/>
              </w:rPr>
            </w:pPr>
            <w:r w:rsidRPr="00A36893">
              <w:rPr>
                <w:sz w:val="18"/>
                <w:szCs w:val="18"/>
              </w:rPr>
              <w:t>Given the availability of the Australian Cystic Fibrosis Data Registry (ACFDR), the sponsor should consider adding Australia to study 108 or provide justification t</w:t>
            </w:r>
            <w:r w:rsidR="00565ADB">
              <w:rPr>
                <w:sz w:val="18"/>
                <w:szCs w:val="18"/>
              </w:rPr>
              <w:t>o why this is unnecessary.</w:t>
            </w:r>
          </w:p>
        </w:tc>
        <w:tc>
          <w:tcPr>
            <w:tcW w:w="2002" w:type="pct"/>
            <w:noWrap/>
          </w:tcPr>
          <w:p w14:paraId="02310F2F" w14:textId="77777777" w:rsidR="00A36893" w:rsidRPr="00A36893" w:rsidRDefault="00A36893" w:rsidP="00565ADB">
            <w:pPr>
              <w:ind w:left="0" w:right="0"/>
              <w:rPr>
                <w:sz w:val="18"/>
                <w:szCs w:val="18"/>
              </w:rPr>
            </w:pPr>
            <w:r w:rsidRPr="00A36893">
              <w:rPr>
                <w:sz w:val="18"/>
                <w:szCs w:val="18"/>
              </w:rPr>
              <w:t>To guide the development of the Study 108 protocol, Vertex conducted a thorough feasibility assessment resulting in the recommendation to util</w:t>
            </w:r>
            <w:r w:rsidR="00A02EC9">
              <w:rPr>
                <w:sz w:val="18"/>
                <w:szCs w:val="18"/>
              </w:rPr>
              <w:t>ise</w:t>
            </w:r>
            <w:r w:rsidRPr="00A36893">
              <w:rPr>
                <w:sz w:val="18"/>
                <w:szCs w:val="18"/>
              </w:rPr>
              <w:t xml:space="preserve"> the CF patient registries in US and UK as the 2 primary data sources for the study. This recommendation was accepted by the PRAC and was based on the sample size calculations (available upon request), which concluded that a data source selected for Study 108 inclusion should have at least 2,681 exposed and 885 unexposed subjects to allow for informative comparative safety analyses (at least 80% power to detect relative risk of 2.0 or higher for endpoints with an annual frequency of 2% in the unexposed population).</w:t>
            </w:r>
          </w:p>
          <w:p w14:paraId="2F203CCA" w14:textId="77777777" w:rsidR="00A36893" w:rsidRPr="00A36893" w:rsidRDefault="00565ADB" w:rsidP="00565ADB">
            <w:pPr>
              <w:ind w:left="0" w:right="0"/>
              <w:rPr>
                <w:sz w:val="18"/>
                <w:szCs w:val="18"/>
              </w:rPr>
            </w:pPr>
            <w:r>
              <w:rPr>
                <w:sz w:val="18"/>
                <w:szCs w:val="18"/>
              </w:rPr>
              <w:t>T</w:t>
            </w:r>
            <w:r w:rsidR="00A36893" w:rsidRPr="00A36893">
              <w:rPr>
                <w:sz w:val="18"/>
                <w:szCs w:val="18"/>
              </w:rPr>
              <w:t>he estimated number of patients eligible for Orkamb</w:t>
            </w:r>
            <w:r w:rsidR="003E3011">
              <w:rPr>
                <w:sz w:val="18"/>
                <w:szCs w:val="18"/>
              </w:rPr>
              <w:t xml:space="preserve">i therapy in </w:t>
            </w:r>
            <w:r>
              <w:rPr>
                <w:sz w:val="18"/>
                <w:szCs w:val="18"/>
              </w:rPr>
              <w:t xml:space="preserve">ACFDR; n approximately </w:t>
            </w:r>
            <w:r w:rsidR="00A36893" w:rsidRPr="00A36893">
              <w:rPr>
                <w:sz w:val="18"/>
                <w:szCs w:val="18"/>
              </w:rPr>
              <w:t xml:space="preserve">828) is about 10 times lower than that in the US registry (n=8,526) and about 3.5 times lower than that in the UK registry </w:t>
            </w:r>
            <w:r>
              <w:rPr>
                <w:sz w:val="18"/>
                <w:szCs w:val="18"/>
              </w:rPr>
              <w:t xml:space="preserve">(n approximately </w:t>
            </w:r>
            <w:r w:rsidR="00A36893" w:rsidRPr="00A36893">
              <w:rPr>
                <w:sz w:val="18"/>
                <w:szCs w:val="18"/>
              </w:rPr>
              <w:t xml:space="preserve">3,003). The ACFDR is also more than 3 times lower than the minimum required sample size above. Such sample size is </w:t>
            </w:r>
            <w:r w:rsidR="00A36893" w:rsidRPr="00A36893">
              <w:rPr>
                <w:sz w:val="18"/>
                <w:szCs w:val="18"/>
              </w:rPr>
              <w:lastRenderedPageBreak/>
              <w:t>considered insufficient for informative comparative safety analyses.</w:t>
            </w:r>
          </w:p>
          <w:p w14:paraId="02C8EC81" w14:textId="77777777" w:rsidR="00A36893" w:rsidRPr="00A36893" w:rsidRDefault="00A36893" w:rsidP="00565ADB">
            <w:pPr>
              <w:ind w:left="0" w:right="0"/>
              <w:rPr>
                <w:sz w:val="18"/>
                <w:szCs w:val="18"/>
              </w:rPr>
            </w:pPr>
            <w:r w:rsidRPr="00A36893">
              <w:rPr>
                <w:sz w:val="18"/>
                <w:szCs w:val="18"/>
              </w:rPr>
              <w:t xml:space="preserve">Further, Vertex believes that the results of analyses using US and UK CF registries are applicable and generalizable to CF patients in Australia. Based on data reports from patient registries from Australia, USA and UK, demographics (age, sex, and race) and F508del homozygote genotype frequency are similar in the 3 countries. Moreover, annual mortality, rates of transplantation, prevalence of pancreatic insufficiency, mean BMI (BMI percentile) and </w:t>
            </w:r>
            <w:r w:rsidR="00A94F3D">
              <w:rPr>
                <w:sz w:val="18"/>
                <w:szCs w:val="18"/>
              </w:rPr>
              <w:t>ppFEV1</w:t>
            </w:r>
            <w:r w:rsidRPr="00A36893">
              <w:rPr>
                <w:sz w:val="18"/>
                <w:szCs w:val="18"/>
              </w:rPr>
              <w:t xml:space="preserve"> are generally comparable among the CF patient populations.</w:t>
            </w:r>
          </w:p>
          <w:p w14:paraId="7125B02E" w14:textId="77777777" w:rsidR="00A36893" w:rsidRPr="00A36893" w:rsidRDefault="00A36893" w:rsidP="00565ADB">
            <w:pPr>
              <w:ind w:left="0" w:right="0"/>
              <w:rPr>
                <w:sz w:val="18"/>
                <w:szCs w:val="18"/>
              </w:rPr>
            </w:pPr>
            <w:r w:rsidRPr="00A36893">
              <w:rPr>
                <w:sz w:val="18"/>
                <w:szCs w:val="18"/>
              </w:rPr>
              <w:t>In conclusion, Vertex considers the US and UK registry analyses applicable and generalizable to the Australian CF patient population, and comparative analyses within ACFDR unnecessary as being not informative / having limited value added due to power limitations.</w:t>
            </w:r>
          </w:p>
        </w:tc>
        <w:tc>
          <w:tcPr>
            <w:tcW w:w="985" w:type="pct"/>
            <w:noWrap/>
          </w:tcPr>
          <w:p w14:paraId="4DE4D211" w14:textId="77777777" w:rsidR="00A36893" w:rsidRPr="00A36893" w:rsidRDefault="00A36893" w:rsidP="00565ADB">
            <w:pPr>
              <w:ind w:left="0" w:right="0"/>
              <w:rPr>
                <w:sz w:val="18"/>
                <w:szCs w:val="18"/>
              </w:rPr>
            </w:pPr>
            <w:r w:rsidRPr="00A36893">
              <w:rPr>
                <w:sz w:val="18"/>
                <w:szCs w:val="18"/>
              </w:rPr>
              <w:lastRenderedPageBreak/>
              <w:t>The sp</w:t>
            </w:r>
            <w:r w:rsidR="00565ADB">
              <w:rPr>
                <w:sz w:val="18"/>
                <w:szCs w:val="18"/>
              </w:rPr>
              <w:t>onsor’s response is acceptable.</w:t>
            </w:r>
          </w:p>
        </w:tc>
      </w:tr>
      <w:tr w:rsidR="00A36893" w:rsidRPr="00A36893" w14:paraId="52C5F00A" w14:textId="77777777" w:rsidTr="00A36893">
        <w:tc>
          <w:tcPr>
            <w:tcW w:w="2013" w:type="pct"/>
            <w:noWrap/>
          </w:tcPr>
          <w:p w14:paraId="01453B0E" w14:textId="77777777" w:rsidR="00A36893" w:rsidRPr="00A36893" w:rsidRDefault="00A36893" w:rsidP="00565ADB">
            <w:pPr>
              <w:ind w:left="0" w:right="0"/>
              <w:rPr>
                <w:sz w:val="18"/>
                <w:szCs w:val="18"/>
              </w:rPr>
            </w:pPr>
            <w:r w:rsidRPr="00A36893">
              <w:rPr>
                <w:sz w:val="18"/>
                <w:szCs w:val="18"/>
              </w:rPr>
              <w:lastRenderedPageBreak/>
              <w:t>The sponsor should provide an update on any significant safety findings from the ongoing additional pharmacovigilance activities, including study 105, study 106 and study 770-115.</w:t>
            </w:r>
          </w:p>
        </w:tc>
        <w:tc>
          <w:tcPr>
            <w:tcW w:w="2002" w:type="pct"/>
            <w:noWrap/>
          </w:tcPr>
          <w:p w14:paraId="57F748E6" w14:textId="77777777" w:rsidR="00A36893" w:rsidRPr="00A36893" w:rsidRDefault="00A36893" w:rsidP="00565ADB">
            <w:pPr>
              <w:ind w:left="0" w:right="0"/>
              <w:rPr>
                <w:sz w:val="18"/>
                <w:szCs w:val="18"/>
              </w:rPr>
            </w:pPr>
            <w:r w:rsidRPr="00A36893">
              <w:rPr>
                <w:sz w:val="18"/>
                <w:szCs w:val="18"/>
              </w:rPr>
              <w:t xml:space="preserve">Safety results to date from Studies VX12-809-105, VX14-809-106, and VX12-770-115 were consistent with the safety profiles of lumacaftor/ivacaftor and ivacaftor </w:t>
            </w:r>
            <w:r w:rsidR="003E3011">
              <w:rPr>
                <w:sz w:val="18"/>
                <w:szCs w:val="18"/>
              </w:rPr>
              <w:t>monotherapy from pivotal Phase III</w:t>
            </w:r>
            <w:r w:rsidRPr="00A36893">
              <w:rPr>
                <w:sz w:val="18"/>
                <w:szCs w:val="18"/>
              </w:rPr>
              <w:t xml:space="preserve"> studies. No new safety concerns were identified.</w:t>
            </w:r>
          </w:p>
          <w:p w14:paraId="44B47DF7" w14:textId="77777777" w:rsidR="00A36893" w:rsidRPr="00A36893" w:rsidRDefault="00A36893" w:rsidP="00565ADB">
            <w:pPr>
              <w:ind w:left="0" w:right="0"/>
              <w:rPr>
                <w:sz w:val="18"/>
                <w:szCs w:val="18"/>
              </w:rPr>
            </w:pPr>
            <w:r w:rsidRPr="00A36893">
              <w:rPr>
                <w:sz w:val="18"/>
                <w:szCs w:val="18"/>
              </w:rPr>
              <w:t xml:space="preserve">Recent interim analysis reports from Study VX12-809-105 (Interim Analysis 2 </w:t>
            </w:r>
            <w:r w:rsidR="00026051">
              <w:rPr>
                <w:sz w:val="18"/>
                <w:szCs w:val="18"/>
              </w:rPr>
              <w:t>(</w:t>
            </w:r>
            <w:r w:rsidRPr="00A36893">
              <w:rPr>
                <w:sz w:val="18"/>
                <w:szCs w:val="18"/>
              </w:rPr>
              <w:t>IA2</w:t>
            </w:r>
            <w:r w:rsidR="00026051">
              <w:rPr>
                <w:sz w:val="18"/>
                <w:szCs w:val="18"/>
              </w:rPr>
              <w:t>)</w:t>
            </w:r>
            <w:r w:rsidRPr="00A36893">
              <w:rPr>
                <w:sz w:val="18"/>
                <w:szCs w:val="18"/>
              </w:rPr>
              <w:t>) and Study VX12-770-115 (IA 2) are provided.</w:t>
            </w:r>
          </w:p>
          <w:p w14:paraId="5B514CF0" w14:textId="77777777" w:rsidR="00A36893" w:rsidRPr="00A36893" w:rsidRDefault="00A36893" w:rsidP="00565ADB">
            <w:pPr>
              <w:ind w:left="0" w:right="0"/>
              <w:rPr>
                <w:sz w:val="18"/>
                <w:szCs w:val="18"/>
              </w:rPr>
            </w:pPr>
            <w:r w:rsidRPr="00A36893">
              <w:rPr>
                <w:sz w:val="18"/>
                <w:szCs w:val="18"/>
              </w:rPr>
              <w:t>Summaries of the safety results from Studies VX12-809-105, VX14-809-106, and VX12-0-115 are provided below.</w:t>
            </w:r>
          </w:p>
          <w:p w14:paraId="590175B8" w14:textId="77777777" w:rsidR="00A36893" w:rsidRPr="00A36893" w:rsidRDefault="00A36893" w:rsidP="00565ADB">
            <w:pPr>
              <w:ind w:left="0" w:right="0"/>
              <w:rPr>
                <w:sz w:val="18"/>
                <w:szCs w:val="18"/>
              </w:rPr>
            </w:pPr>
            <w:r w:rsidRPr="00A36893">
              <w:rPr>
                <w:sz w:val="18"/>
                <w:szCs w:val="18"/>
              </w:rPr>
              <w:t>Study VX12-809-105</w:t>
            </w:r>
          </w:p>
          <w:p w14:paraId="280DE837" w14:textId="77777777" w:rsidR="00A36893" w:rsidRPr="00A36893" w:rsidRDefault="00A3667B" w:rsidP="00565ADB">
            <w:pPr>
              <w:ind w:left="0" w:right="0"/>
              <w:rPr>
                <w:sz w:val="18"/>
                <w:szCs w:val="18"/>
              </w:rPr>
            </w:pPr>
            <w:r>
              <w:rPr>
                <w:sz w:val="18"/>
                <w:szCs w:val="18"/>
              </w:rPr>
              <w:t>Study 105 is an ongoing Phase III</w:t>
            </w:r>
            <w:r w:rsidR="00A36893" w:rsidRPr="00A36893">
              <w:rPr>
                <w:sz w:val="18"/>
                <w:szCs w:val="18"/>
              </w:rPr>
              <w:t>, rollover study to evaluate the safety and efficacy of long</w:t>
            </w:r>
            <w:r>
              <w:rPr>
                <w:sz w:val="18"/>
                <w:szCs w:val="18"/>
              </w:rPr>
              <w:t>-</w:t>
            </w:r>
            <w:r w:rsidR="00A36893" w:rsidRPr="00A36893">
              <w:rPr>
                <w:sz w:val="18"/>
                <w:szCs w:val="18"/>
              </w:rPr>
              <w:t>term treatment (96 weeks) with LUM/IVA in subjects aged 12 years and older with CF, homozygous our heterozygous for the F508del-CFTR mutation. Subjects who completed Studies 103 or 104 were offered participation in Study 105. Subjects who received active study drug in Studies 103/104 continued their assigned treatment; subjects who received placebo in Studies 103/104 were random</w:t>
            </w:r>
            <w:r w:rsidR="00A02EC9">
              <w:rPr>
                <w:sz w:val="18"/>
                <w:szCs w:val="18"/>
              </w:rPr>
              <w:t>ise</w:t>
            </w:r>
            <w:r w:rsidR="00A36893" w:rsidRPr="00A36893">
              <w:rPr>
                <w:sz w:val="18"/>
                <w:szCs w:val="18"/>
              </w:rPr>
              <w:t xml:space="preserve">d to receive 1 of the active dose </w:t>
            </w:r>
            <w:r w:rsidR="00A36893" w:rsidRPr="00A36893">
              <w:rPr>
                <w:sz w:val="18"/>
                <w:szCs w:val="18"/>
              </w:rPr>
              <w:lastRenderedPageBreak/>
              <w:t>regimens.</w:t>
            </w:r>
          </w:p>
          <w:p w14:paraId="38924DB0" w14:textId="77777777" w:rsidR="00A36893" w:rsidRPr="00A36893" w:rsidRDefault="00A36893" w:rsidP="00565ADB">
            <w:pPr>
              <w:ind w:left="0" w:right="0"/>
              <w:rPr>
                <w:sz w:val="18"/>
                <w:szCs w:val="18"/>
              </w:rPr>
            </w:pPr>
            <w:r w:rsidRPr="00A36893">
              <w:rPr>
                <w:sz w:val="18"/>
                <w:szCs w:val="18"/>
              </w:rPr>
              <w:t xml:space="preserve">Study 105 IA2 was conducted after all subjects completed at least 24 weeks of LUM/IVA. Analyses were conducted based on </w:t>
            </w:r>
            <w:r w:rsidR="00A02EC9">
              <w:rPr>
                <w:sz w:val="18"/>
                <w:szCs w:val="18"/>
              </w:rPr>
              <w:t>‘</w:t>
            </w:r>
            <w:r w:rsidRPr="00A36893">
              <w:rPr>
                <w:sz w:val="18"/>
                <w:szCs w:val="18"/>
              </w:rPr>
              <w:t>actual treatment duration,</w:t>
            </w:r>
            <w:r w:rsidR="00A02EC9">
              <w:rPr>
                <w:sz w:val="18"/>
                <w:szCs w:val="18"/>
              </w:rPr>
              <w:t>’</w:t>
            </w:r>
            <w:r w:rsidRPr="00A36893">
              <w:rPr>
                <w:sz w:val="18"/>
                <w:szCs w:val="18"/>
              </w:rPr>
              <w:t xml:space="preserve"> inclusive of the LUM/IVA treatment received in Studies 103 and 104, for the full analysis set of 1092 subjects.</w:t>
            </w:r>
          </w:p>
          <w:p w14:paraId="5FBB2C42" w14:textId="77777777" w:rsidR="00A36893" w:rsidRPr="00A36893" w:rsidRDefault="00A36893" w:rsidP="00565ADB">
            <w:pPr>
              <w:ind w:left="0" w:right="0"/>
              <w:rPr>
                <w:sz w:val="18"/>
                <w:szCs w:val="18"/>
              </w:rPr>
            </w:pPr>
            <w:r w:rsidRPr="00A36893">
              <w:rPr>
                <w:sz w:val="18"/>
                <w:szCs w:val="18"/>
              </w:rPr>
              <w:t xml:space="preserve">As of IA2, 1015 (92.9%) subjects received at least 24 weeks of LUM/IVA, including 683 (62.5%) subjects who received at least 48 weeks of LUM/IVA. A total of 95 (9.2%) subjects discontinued treatment, most frequently for an </w:t>
            </w:r>
            <w:r w:rsidR="00CB1352">
              <w:rPr>
                <w:sz w:val="18"/>
                <w:szCs w:val="18"/>
              </w:rPr>
              <w:t>AE</w:t>
            </w:r>
            <w:r w:rsidRPr="00A36893">
              <w:rPr>
                <w:sz w:val="18"/>
                <w:szCs w:val="18"/>
              </w:rPr>
              <w:t xml:space="preserve"> (</w:t>
            </w:r>
            <w:r w:rsidR="001031EC">
              <w:rPr>
                <w:sz w:val="18"/>
                <w:szCs w:val="18"/>
              </w:rPr>
              <w:t>for example</w:t>
            </w:r>
            <w:r w:rsidRPr="00A36893">
              <w:rPr>
                <w:sz w:val="18"/>
                <w:szCs w:val="18"/>
              </w:rPr>
              <w:t xml:space="preserve">, respiration abnormal, </w:t>
            </w:r>
            <w:r w:rsidR="003E3011" w:rsidRPr="00A36893">
              <w:rPr>
                <w:sz w:val="18"/>
                <w:szCs w:val="18"/>
              </w:rPr>
              <w:t>dyspnoea</w:t>
            </w:r>
            <w:r w:rsidRPr="00A36893">
              <w:rPr>
                <w:sz w:val="18"/>
                <w:szCs w:val="18"/>
              </w:rPr>
              <w:t>, blood creatine phosphokinase increased, and infective pulmonary exacerbation of CF).</w:t>
            </w:r>
          </w:p>
          <w:p w14:paraId="2A9DB938" w14:textId="77777777" w:rsidR="00A36893" w:rsidRPr="00A36893" w:rsidRDefault="00A36893" w:rsidP="00565ADB">
            <w:pPr>
              <w:ind w:left="0" w:right="0"/>
              <w:rPr>
                <w:sz w:val="18"/>
                <w:szCs w:val="18"/>
              </w:rPr>
            </w:pPr>
            <w:r w:rsidRPr="00A36893">
              <w:rPr>
                <w:sz w:val="18"/>
                <w:szCs w:val="18"/>
              </w:rPr>
              <w:t>The most</w:t>
            </w:r>
            <w:r w:rsidR="00CB1352">
              <w:rPr>
                <w:sz w:val="18"/>
                <w:szCs w:val="18"/>
              </w:rPr>
              <w:t xml:space="preserve"> common SAEs</w:t>
            </w:r>
            <w:r w:rsidRPr="00A36893">
              <w:rPr>
                <w:sz w:val="18"/>
                <w:szCs w:val="18"/>
              </w:rPr>
              <w:t xml:space="preserve"> were infective pulmonary exacerbation of CF (in</w:t>
            </w:r>
            <w:r w:rsidR="009D006E">
              <w:rPr>
                <w:sz w:val="18"/>
                <w:szCs w:val="18"/>
              </w:rPr>
              <w:t xml:space="preserve"> 13.6% of subjects during the 0 to </w:t>
            </w:r>
            <w:r w:rsidRPr="00A36893">
              <w:rPr>
                <w:sz w:val="18"/>
                <w:szCs w:val="18"/>
              </w:rPr>
              <w:t>24 week i</w:t>
            </w:r>
            <w:r w:rsidR="009D006E">
              <w:rPr>
                <w:sz w:val="18"/>
                <w:szCs w:val="18"/>
              </w:rPr>
              <w:t xml:space="preserve">nterval and 12.2% during the 24 to </w:t>
            </w:r>
            <w:r w:rsidRPr="00A36893">
              <w:rPr>
                <w:sz w:val="18"/>
                <w:szCs w:val="18"/>
              </w:rPr>
              <w:t xml:space="preserve">48 week interval). All other SAEs occurred in </w:t>
            </w:r>
            <w:r w:rsidR="00026051">
              <w:rPr>
                <w:sz w:val="18"/>
                <w:szCs w:val="18"/>
              </w:rPr>
              <w:t xml:space="preserve">≤ </w:t>
            </w:r>
            <w:r w:rsidR="009D006E">
              <w:rPr>
                <w:sz w:val="18"/>
                <w:szCs w:val="18"/>
              </w:rPr>
              <w:t xml:space="preserve">2% of subjects (for the 0 to </w:t>
            </w:r>
            <w:r w:rsidRPr="00A36893">
              <w:rPr>
                <w:sz w:val="18"/>
                <w:szCs w:val="18"/>
              </w:rPr>
              <w:t xml:space="preserve">48 week interval: </w:t>
            </w:r>
            <w:r w:rsidR="003E3011" w:rsidRPr="00A36893">
              <w:rPr>
                <w:sz w:val="18"/>
                <w:szCs w:val="18"/>
              </w:rPr>
              <w:t>haemoptysis</w:t>
            </w:r>
            <w:r w:rsidRPr="00A36893">
              <w:rPr>
                <w:sz w:val="18"/>
                <w:szCs w:val="18"/>
              </w:rPr>
              <w:t xml:space="preserve"> </w:t>
            </w:r>
            <w:r w:rsidR="00026051">
              <w:rPr>
                <w:sz w:val="18"/>
                <w:szCs w:val="18"/>
              </w:rPr>
              <w:t>(</w:t>
            </w:r>
            <w:r w:rsidRPr="00A36893">
              <w:rPr>
                <w:sz w:val="18"/>
                <w:szCs w:val="18"/>
              </w:rPr>
              <w:t>1.8%</w:t>
            </w:r>
            <w:r w:rsidR="00026051">
              <w:rPr>
                <w:sz w:val="18"/>
                <w:szCs w:val="18"/>
              </w:rPr>
              <w:t>)</w:t>
            </w:r>
            <w:r w:rsidRPr="00A36893">
              <w:rPr>
                <w:sz w:val="18"/>
                <w:szCs w:val="18"/>
              </w:rPr>
              <w:t xml:space="preserve">, pneumonia </w:t>
            </w:r>
            <w:r w:rsidR="00026051">
              <w:rPr>
                <w:sz w:val="18"/>
                <w:szCs w:val="18"/>
              </w:rPr>
              <w:t>(</w:t>
            </w:r>
            <w:r w:rsidRPr="00A36893">
              <w:rPr>
                <w:sz w:val="18"/>
                <w:szCs w:val="18"/>
              </w:rPr>
              <w:t>0.9%</w:t>
            </w:r>
            <w:r w:rsidR="00026051">
              <w:rPr>
                <w:sz w:val="18"/>
                <w:szCs w:val="18"/>
              </w:rPr>
              <w:t>)</w:t>
            </w:r>
            <w:r w:rsidRPr="00A36893">
              <w:rPr>
                <w:sz w:val="18"/>
                <w:szCs w:val="18"/>
              </w:rPr>
              <w:t xml:space="preserve">, pneumothorax and small intestinal obstruction </w:t>
            </w:r>
            <w:r w:rsidR="00026051">
              <w:rPr>
                <w:sz w:val="18"/>
                <w:szCs w:val="18"/>
              </w:rPr>
              <w:t>(</w:t>
            </w:r>
            <w:r w:rsidRPr="00A36893">
              <w:rPr>
                <w:sz w:val="18"/>
                <w:szCs w:val="18"/>
              </w:rPr>
              <w:t>0.5% each</w:t>
            </w:r>
            <w:r w:rsidR="00026051">
              <w:rPr>
                <w:sz w:val="18"/>
                <w:szCs w:val="18"/>
              </w:rPr>
              <w:t>)</w:t>
            </w:r>
            <w:r w:rsidRPr="00A36893">
              <w:rPr>
                <w:sz w:val="18"/>
                <w:szCs w:val="18"/>
              </w:rPr>
              <w:t xml:space="preserve">, respiration abnormal, blood creatine phosphokinase increased, FEV decreased, and liver function test abnormal </w:t>
            </w:r>
            <w:r w:rsidR="00026051">
              <w:rPr>
                <w:sz w:val="18"/>
                <w:szCs w:val="18"/>
              </w:rPr>
              <w:t>(</w:t>
            </w:r>
            <w:r w:rsidRPr="00A36893">
              <w:rPr>
                <w:sz w:val="18"/>
                <w:szCs w:val="18"/>
              </w:rPr>
              <w:t>0.4% each</w:t>
            </w:r>
            <w:r w:rsidR="00026051">
              <w:rPr>
                <w:sz w:val="18"/>
                <w:szCs w:val="18"/>
              </w:rPr>
              <w:t>)</w:t>
            </w:r>
            <w:r w:rsidRPr="00A36893">
              <w:rPr>
                <w:sz w:val="18"/>
                <w:szCs w:val="18"/>
              </w:rPr>
              <w:t>).</w:t>
            </w:r>
          </w:p>
          <w:p w14:paraId="7FD759A1" w14:textId="77777777" w:rsidR="00A36893" w:rsidRPr="00A36893" w:rsidRDefault="00A36893" w:rsidP="00565ADB">
            <w:pPr>
              <w:ind w:left="0" w:right="0"/>
              <w:rPr>
                <w:sz w:val="18"/>
                <w:szCs w:val="18"/>
              </w:rPr>
            </w:pPr>
            <w:r w:rsidRPr="00A36893">
              <w:rPr>
                <w:sz w:val="18"/>
                <w:szCs w:val="18"/>
              </w:rPr>
              <w:t>There were 2 deaths, both of which were considered not related to study drug by the investigator. One subject died approximately 1 year after the first dose of LUM/IVA after an infective pulmonary exacerbation of CF leading to respiratory failure. The other subject died approximately 9 months after the first dose of LUM/IVA after an infective pulmonary exacerbation.</w:t>
            </w:r>
          </w:p>
          <w:p w14:paraId="03966FDA" w14:textId="77777777" w:rsidR="00A36893" w:rsidRPr="00A36893" w:rsidRDefault="00A36893" w:rsidP="00565ADB">
            <w:pPr>
              <w:ind w:left="0" w:right="0"/>
              <w:rPr>
                <w:sz w:val="18"/>
                <w:szCs w:val="18"/>
              </w:rPr>
            </w:pPr>
            <w:r w:rsidRPr="00A36893">
              <w:rPr>
                <w:sz w:val="18"/>
                <w:szCs w:val="18"/>
              </w:rPr>
              <w:t>After IA2, one additional death occurred in a patient after 60 weeks of LUM/IVA treatment. The death was attributed to distal intestinal obstruction syndrome and was considered not related to study drug by the investigator.</w:t>
            </w:r>
          </w:p>
          <w:p w14:paraId="3D4DA323" w14:textId="77777777" w:rsidR="00A36893" w:rsidRPr="00A36893" w:rsidRDefault="00A36893" w:rsidP="00565ADB">
            <w:pPr>
              <w:ind w:left="0" w:right="0"/>
              <w:rPr>
                <w:sz w:val="18"/>
                <w:szCs w:val="18"/>
              </w:rPr>
            </w:pPr>
            <w:r w:rsidRPr="00A36893">
              <w:rPr>
                <w:sz w:val="18"/>
                <w:szCs w:val="18"/>
              </w:rPr>
              <w:t>Overall, the data from Study 105 were consistent with that from Studies 103 and 104.</w:t>
            </w:r>
          </w:p>
          <w:p w14:paraId="66783E3E" w14:textId="77777777" w:rsidR="00A36893" w:rsidRPr="00A36893" w:rsidRDefault="00A36893" w:rsidP="00565ADB">
            <w:pPr>
              <w:ind w:left="0" w:right="0"/>
              <w:rPr>
                <w:sz w:val="18"/>
                <w:szCs w:val="18"/>
              </w:rPr>
            </w:pPr>
            <w:r w:rsidRPr="00A36893">
              <w:rPr>
                <w:sz w:val="18"/>
                <w:szCs w:val="18"/>
              </w:rPr>
              <w:t>Study VX14-809-106</w:t>
            </w:r>
          </w:p>
          <w:p w14:paraId="2DF8CA22" w14:textId="77777777" w:rsidR="00A36893" w:rsidRPr="00A36893" w:rsidRDefault="00A36893" w:rsidP="00565ADB">
            <w:pPr>
              <w:ind w:left="0" w:right="0"/>
              <w:rPr>
                <w:sz w:val="18"/>
                <w:szCs w:val="18"/>
              </w:rPr>
            </w:pPr>
            <w:r w:rsidRPr="00A36893">
              <w:rPr>
                <w:sz w:val="18"/>
                <w:szCs w:val="18"/>
              </w:rPr>
              <w:t>Study 106 (VX1</w:t>
            </w:r>
            <w:r w:rsidR="003E3011">
              <w:rPr>
                <w:sz w:val="18"/>
                <w:szCs w:val="18"/>
              </w:rPr>
              <w:t xml:space="preserve">4-809-106) is an ongoing </w:t>
            </w:r>
            <w:r w:rsidR="003E3011">
              <w:rPr>
                <w:sz w:val="18"/>
                <w:szCs w:val="18"/>
              </w:rPr>
              <w:lastRenderedPageBreak/>
              <w:t>Phase III</w:t>
            </w:r>
            <w:r w:rsidRPr="00A36893">
              <w:rPr>
                <w:sz w:val="18"/>
                <w:szCs w:val="18"/>
              </w:rPr>
              <w:t>b, open</w:t>
            </w:r>
            <w:r w:rsidR="009D006E">
              <w:rPr>
                <w:sz w:val="18"/>
                <w:szCs w:val="18"/>
              </w:rPr>
              <w:t xml:space="preserve"> </w:t>
            </w:r>
            <w:r w:rsidRPr="00A36893">
              <w:rPr>
                <w:sz w:val="18"/>
                <w:szCs w:val="18"/>
              </w:rPr>
              <w:t xml:space="preserve">label study to evaluate LUM/IVA in subjects 12 years and older with CF and advanced lung disease, homozygous for the F508del-CFTR mutation. This study is conducted in the US and plans to </w:t>
            </w:r>
            <w:r w:rsidR="003E3011" w:rsidRPr="00A36893">
              <w:rPr>
                <w:sz w:val="18"/>
                <w:szCs w:val="18"/>
              </w:rPr>
              <w:t>enrol</w:t>
            </w:r>
            <w:r w:rsidRPr="00A36893">
              <w:rPr>
                <w:sz w:val="18"/>
                <w:szCs w:val="18"/>
              </w:rPr>
              <w:t xml:space="preserve"> approximately 100 subjects and up to 200 subjects for a 24</w:t>
            </w:r>
            <w:r w:rsidR="009D006E">
              <w:rPr>
                <w:sz w:val="18"/>
                <w:szCs w:val="18"/>
              </w:rPr>
              <w:t xml:space="preserve"> </w:t>
            </w:r>
            <w:r w:rsidRPr="00A36893">
              <w:rPr>
                <w:sz w:val="18"/>
                <w:szCs w:val="18"/>
              </w:rPr>
              <w:t>week treatment duration.</w:t>
            </w:r>
          </w:p>
          <w:p w14:paraId="3C6F4CA0" w14:textId="77777777" w:rsidR="00A36893" w:rsidRPr="00A36893" w:rsidRDefault="00A36893" w:rsidP="00565ADB">
            <w:pPr>
              <w:ind w:left="0" w:right="0"/>
              <w:rPr>
                <w:sz w:val="18"/>
                <w:szCs w:val="18"/>
              </w:rPr>
            </w:pPr>
            <w:r w:rsidRPr="00A36893">
              <w:rPr>
                <w:sz w:val="18"/>
                <w:szCs w:val="18"/>
              </w:rPr>
              <w:t>To date, 39 subjects have received at least 1 dose of LUM/IVA for up to 24 weeks. Av</w:t>
            </w:r>
            <w:r w:rsidR="00CB1352">
              <w:rPr>
                <w:sz w:val="18"/>
                <w:szCs w:val="18"/>
              </w:rPr>
              <w:t>ailable SAEs</w:t>
            </w:r>
            <w:r w:rsidRPr="00A36893">
              <w:rPr>
                <w:sz w:val="18"/>
                <w:szCs w:val="18"/>
              </w:rPr>
              <w:t xml:space="preserve"> data showed 12 SAEs in 10 subjects: infection pulmonary exacerbation of CF (7 SAEs), bacteraemia, cough, haemoptysis, pyrexia, and respiration abnormal (1 SAE each).</w:t>
            </w:r>
          </w:p>
          <w:p w14:paraId="14DB5A8A" w14:textId="77777777" w:rsidR="00A36893" w:rsidRPr="00A36893" w:rsidRDefault="00A36893" w:rsidP="00565ADB">
            <w:pPr>
              <w:ind w:left="0" w:right="0"/>
              <w:rPr>
                <w:sz w:val="18"/>
                <w:szCs w:val="18"/>
              </w:rPr>
            </w:pPr>
            <w:r w:rsidRPr="00A36893">
              <w:rPr>
                <w:sz w:val="18"/>
                <w:szCs w:val="18"/>
              </w:rPr>
              <w:t xml:space="preserve">One subject died in Study 106. Subject </w:t>
            </w:r>
            <w:r w:rsidR="000755E7">
              <w:rPr>
                <w:sz w:val="18"/>
                <w:szCs w:val="18"/>
              </w:rPr>
              <w:t xml:space="preserve">X </w:t>
            </w:r>
            <w:r w:rsidR="003E3011">
              <w:rPr>
                <w:sz w:val="18"/>
                <w:szCs w:val="18"/>
              </w:rPr>
              <w:t xml:space="preserve">[information redacted] </w:t>
            </w:r>
            <w:r w:rsidRPr="00A36893">
              <w:rPr>
                <w:sz w:val="18"/>
                <w:szCs w:val="18"/>
              </w:rPr>
              <w:t>was a 33</w:t>
            </w:r>
            <w:r w:rsidR="009D006E">
              <w:rPr>
                <w:sz w:val="18"/>
                <w:szCs w:val="18"/>
              </w:rPr>
              <w:t xml:space="preserve"> </w:t>
            </w:r>
            <w:r w:rsidRPr="00A36893">
              <w:rPr>
                <w:sz w:val="18"/>
                <w:szCs w:val="18"/>
              </w:rPr>
              <w:t>year</w:t>
            </w:r>
            <w:r w:rsidR="009D006E">
              <w:rPr>
                <w:sz w:val="18"/>
                <w:szCs w:val="18"/>
              </w:rPr>
              <w:t xml:space="preserve"> </w:t>
            </w:r>
            <w:r w:rsidRPr="00A36893">
              <w:rPr>
                <w:sz w:val="18"/>
                <w:szCs w:val="18"/>
              </w:rPr>
              <w:t xml:space="preserve">old male with a history of massive </w:t>
            </w:r>
            <w:r w:rsidR="003E3011" w:rsidRPr="00A36893">
              <w:rPr>
                <w:sz w:val="18"/>
                <w:szCs w:val="18"/>
              </w:rPr>
              <w:t>haemoptysis</w:t>
            </w:r>
            <w:r w:rsidRPr="00A36893">
              <w:rPr>
                <w:sz w:val="18"/>
                <w:szCs w:val="18"/>
              </w:rPr>
              <w:t xml:space="preserve"> requiring arterial embolization. On Day 1, he had an SAE of respiration abnormal. By Day 2, his predicted FEV1 had decreased from 18.2% to 13.3%. Prednisone treatment did not improve his symptoms and LUM/IVA was interrupted on Day 5. On Day 8, the respiration abnormal SAE was considered resolved, and his lung function returned to baseline a week later. Eleven days after the last dose of study drug, the subject had a fatal episode of massive </w:t>
            </w:r>
            <w:r w:rsidR="000755E7" w:rsidRPr="00A36893">
              <w:rPr>
                <w:sz w:val="18"/>
                <w:szCs w:val="18"/>
              </w:rPr>
              <w:t>haemoptysis</w:t>
            </w:r>
            <w:r w:rsidRPr="00A36893">
              <w:rPr>
                <w:sz w:val="18"/>
                <w:szCs w:val="18"/>
              </w:rPr>
              <w:t xml:space="preserve">. Based on his medical history and the timing of the event, the </w:t>
            </w:r>
            <w:r w:rsidR="000755E7" w:rsidRPr="00A36893">
              <w:rPr>
                <w:sz w:val="18"/>
                <w:szCs w:val="18"/>
              </w:rPr>
              <w:t>haemoptysis</w:t>
            </w:r>
            <w:r w:rsidRPr="00A36893">
              <w:rPr>
                <w:sz w:val="18"/>
                <w:szCs w:val="18"/>
              </w:rPr>
              <w:t xml:space="preserve"> was considered not related to study drug.</w:t>
            </w:r>
          </w:p>
          <w:p w14:paraId="3E2D0D64" w14:textId="77777777" w:rsidR="00A36893" w:rsidRPr="00A36893" w:rsidRDefault="00A36893" w:rsidP="00565ADB">
            <w:pPr>
              <w:ind w:left="0" w:right="0"/>
              <w:rPr>
                <w:sz w:val="18"/>
                <w:szCs w:val="18"/>
              </w:rPr>
            </w:pPr>
            <w:r w:rsidRPr="00A36893">
              <w:rPr>
                <w:sz w:val="18"/>
                <w:szCs w:val="18"/>
              </w:rPr>
              <w:t xml:space="preserve">Because the SAE of respiration abnormal occurred in Subject </w:t>
            </w:r>
            <w:r w:rsidR="00743C6F">
              <w:rPr>
                <w:sz w:val="18"/>
                <w:szCs w:val="18"/>
              </w:rPr>
              <w:t>X</w:t>
            </w:r>
            <w:r w:rsidRPr="00A36893">
              <w:rPr>
                <w:sz w:val="18"/>
                <w:szCs w:val="18"/>
              </w:rPr>
              <w:t xml:space="preserve"> who had a baseline predicted FEV1 of 18.2%, the protocol was amended to provide additional safety precautions for subjects with low lung function. Protocol Version 3.0 was updated on 29 April 2015 to raise the lower bound of eligible </w:t>
            </w:r>
            <w:r w:rsidR="00A94F3D">
              <w:rPr>
                <w:sz w:val="18"/>
                <w:szCs w:val="18"/>
              </w:rPr>
              <w:t>ppFEV1</w:t>
            </w:r>
            <w:r w:rsidRPr="00A36893">
              <w:rPr>
                <w:sz w:val="18"/>
                <w:szCs w:val="18"/>
              </w:rPr>
              <w:t xml:space="preserve"> from not specified to 30, add Day 2 and safety assessments, add dose modification option for dealing with respiratory events, and add ongoing reviews of all available safety data. After a subsequent review of data from the first 12 subjects who have completed the Day 15 Visit, the lower bound of eligible </w:t>
            </w:r>
            <w:r w:rsidR="00A94F3D">
              <w:rPr>
                <w:sz w:val="18"/>
                <w:szCs w:val="18"/>
              </w:rPr>
              <w:t>ppFEV1</w:t>
            </w:r>
            <w:r w:rsidRPr="00A36893">
              <w:rPr>
                <w:sz w:val="18"/>
                <w:szCs w:val="18"/>
              </w:rPr>
              <w:t xml:space="preserve"> was removed.</w:t>
            </w:r>
          </w:p>
          <w:p w14:paraId="61678413" w14:textId="77777777" w:rsidR="00A36893" w:rsidRPr="00A36893" w:rsidRDefault="00A36893" w:rsidP="00565ADB">
            <w:pPr>
              <w:ind w:left="0" w:right="0"/>
              <w:rPr>
                <w:sz w:val="18"/>
                <w:szCs w:val="18"/>
              </w:rPr>
            </w:pPr>
            <w:r w:rsidRPr="00A36893">
              <w:rPr>
                <w:sz w:val="18"/>
                <w:szCs w:val="18"/>
              </w:rPr>
              <w:t xml:space="preserve">Overall, the safety data cumulated to date in Study 106 suggest that lumacaftor/ivacaftor is well tolerated in </w:t>
            </w:r>
            <w:r w:rsidRPr="00A36893">
              <w:rPr>
                <w:sz w:val="18"/>
                <w:szCs w:val="18"/>
              </w:rPr>
              <w:lastRenderedPageBreak/>
              <w:t>patients with advanced lung disease.</w:t>
            </w:r>
          </w:p>
          <w:p w14:paraId="5B42C96F" w14:textId="77777777" w:rsidR="00A36893" w:rsidRPr="00A36893" w:rsidRDefault="00A36893" w:rsidP="00565ADB">
            <w:pPr>
              <w:ind w:left="0" w:right="0"/>
              <w:rPr>
                <w:sz w:val="18"/>
                <w:szCs w:val="18"/>
              </w:rPr>
            </w:pPr>
            <w:r w:rsidRPr="00A36893">
              <w:rPr>
                <w:sz w:val="18"/>
                <w:szCs w:val="18"/>
              </w:rPr>
              <w:t>Study VX12-770-115</w:t>
            </w:r>
          </w:p>
          <w:p w14:paraId="2C367CD2" w14:textId="77777777" w:rsidR="00A36893" w:rsidRPr="00A36893" w:rsidRDefault="00A36893" w:rsidP="00565ADB">
            <w:pPr>
              <w:ind w:left="0" w:right="0"/>
              <w:rPr>
                <w:sz w:val="18"/>
                <w:szCs w:val="18"/>
              </w:rPr>
            </w:pPr>
            <w:r w:rsidRPr="00A36893">
              <w:rPr>
                <w:sz w:val="18"/>
                <w:szCs w:val="18"/>
              </w:rPr>
              <w:t>Study 770-115 is an ocular safety study of ivacaftor</w:t>
            </w:r>
            <w:r w:rsidR="009D006E">
              <w:rPr>
                <w:sz w:val="18"/>
                <w:szCs w:val="18"/>
              </w:rPr>
              <w:t xml:space="preserve"> </w:t>
            </w:r>
            <w:r w:rsidRPr="00A36893">
              <w:rPr>
                <w:sz w:val="18"/>
                <w:szCs w:val="18"/>
              </w:rPr>
              <w:t xml:space="preserve">treated </w:t>
            </w:r>
            <w:r w:rsidR="000755E7" w:rsidRPr="00A36893">
              <w:rPr>
                <w:sz w:val="18"/>
                <w:szCs w:val="18"/>
              </w:rPr>
              <w:t>paediatric</w:t>
            </w:r>
            <w:r w:rsidRPr="00A36893">
              <w:rPr>
                <w:sz w:val="18"/>
                <w:szCs w:val="18"/>
              </w:rPr>
              <w:t xml:space="preserve"> patients 11 years of age or younger with CF. A total of 95 subjects were enrolled. IA2 was conducted in September 2015 with a median 37.1 months on ivacaftor treatment (range 2.5 to 61.0 months).</w:t>
            </w:r>
          </w:p>
          <w:p w14:paraId="415F416E" w14:textId="77777777" w:rsidR="00A36893" w:rsidRPr="00A36893" w:rsidRDefault="00A36893" w:rsidP="00565ADB">
            <w:pPr>
              <w:ind w:left="0" w:right="0"/>
              <w:rPr>
                <w:sz w:val="18"/>
                <w:szCs w:val="18"/>
              </w:rPr>
            </w:pPr>
            <w:r w:rsidRPr="00A36893">
              <w:rPr>
                <w:sz w:val="18"/>
                <w:szCs w:val="18"/>
              </w:rPr>
              <w:t>Cumulatively, 19 subjects had vision</w:t>
            </w:r>
            <w:r w:rsidR="009D006E">
              <w:rPr>
                <w:sz w:val="18"/>
                <w:szCs w:val="18"/>
              </w:rPr>
              <w:t xml:space="preserve"> </w:t>
            </w:r>
            <w:r w:rsidRPr="00A36893">
              <w:rPr>
                <w:sz w:val="18"/>
                <w:szCs w:val="18"/>
              </w:rPr>
              <w:t xml:space="preserve">related </w:t>
            </w:r>
            <w:r w:rsidR="00CB1352">
              <w:rPr>
                <w:sz w:val="18"/>
                <w:szCs w:val="18"/>
              </w:rPr>
              <w:t>AE</w:t>
            </w:r>
            <w:r w:rsidRPr="00A36893">
              <w:rPr>
                <w:sz w:val="18"/>
                <w:szCs w:val="18"/>
              </w:rPr>
              <w:t>s, including 17 subjects with cataracts, and 2 subjects with other vision</w:t>
            </w:r>
            <w:r w:rsidR="009D006E">
              <w:rPr>
                <w:sz w:val="18"/>
                <w:szCs w:val="18"/>
              </w:rPr>
              <w:t xml:space="preserve"> </w:t>
            </w:r>
            <w:r w:rsidRPr="00A36893">
              <w:rPr>
                <w:sz w:val="18"/>
                <w:szCs w:val="18"/>
              </w:rPr>
              <w:t>related non</w:t>
            </w:r>
            <w:r w:rsidR="000755E7">
              <w:rPr>
                <w:sz w:val="18"/>
                <w:szCs w:val="18"/>
              </w:rPr>
              <w:t>-</w:t>
            </w:r>
            <w:r w:rsidRPr="00A36893">
              <w:rPr>
                <w:sz w:val="18"/>
                <w:szCs w:val="18"/>
              </w:rPr>
              <w:t>cataract events (</w:t>
            </w:r>
            <w:r w:rsidR="001031EC">
              <w:rPr>
                <w:sz w:val="18"/>
                <w:szCs w:val="18"/>
              </w:rPr>
              <w:t>for example</w:t>
            </w:r>
            <w:r w:rsidRPr="00A36893">
              <w:rPr>
                <w:sz w:val="18"/>
                <w:szCs w:val="18"/>
              </w:rPr>
              <w:t>, blurred vision and vitreous degeneration). Of the 17 subjects with cataract, 12 were diagnosed at Day 1, with 6 considered congenital in nature. The remaining 5 subjects had cataracts diagnosed after Day 1, with 1 considered congenital in nature.</w:t>
            </w:r>
          </w:p>
          <w:p w14:paraId="7E5DFB30" w14:textId="77777777" w:rsidR="00A36893" w:rsidRPr="00A36893" w:rsidRDefault="00A36893" w:rsidP="00565ADB">
            <w:pPr>
              <w:ind w:left="0" w:right="0"/>
              <w:rPr>
                <w:sz w:val="18"/>
                <w:szCs w:val="18"/>
              </w:rPr>
            </w:pPr>
            <w:r w:rsidRPr="00A36893">
              <w:rPr>
                <w:sz w:val="18"/>
                <w:szCs w:val="18"/>
              </w:rPr>
              <w:t>None of the cataracts were visually significant, all subjects continued with ivacaftor treatment, and there was no evidence of increased prevalence of cataract with increased duration of prior ivacaftor exposure. In 3 subjects with Day 1 diagnosis of cataract, the lens was reported as normal in follow-up ophthalmological examinations (OEs). Risk factors were present in subjects with non-congenital cataract.</w:t>
            </w:r>
          </w:p>
          <w:p w14:paraId="767A65A8" w14:textId="77777777" w:rsidR="00A36893" w:rsidRPr="00A36893" w:rsidRDefault="00A36893" w:rsidP="00565ADB">
            <w:pPr>
              <w:ind w:left="0" w:right="0"/>
              <w:rPr>
                <w:sz w:val="18"/>
                <w:szCs w:val="18"/>
              </w:rPr>
            </w:pPr>
            <w:r w:rsidRPr="00A36893">
              <w:rPr>
                <w:sz w:val="18"/>
                <w:szCs w:val="18"/>
              </w:rPr>
              <w:t>Additionally, there was no difference in LOCS III (Lens Opacity Classification System) scores on Day 1 among subjects with different durations of prior ivacaftor therapy, and no</w:t>
            </w:r>
            <w:r w:rsidR="000755E7">
              <w:rPr>
                <w:sz w:val="18"/>
                <w:szCs w:val="18"/>
              </w:rPr>
              <w:t xml:space="preserve"> </w:t>
            </w:r>
            <w:r w:rsidRPr="00A36893">
              <w:rPr>
                <w:sz w:val="18"/>
                <w:szCs w:val="18"/>
              </w:rPr>
              <w:t>worsening in average LOCS III scores from Day 1 at the Months 6, 12, or 18 OEs. Similarly, there was no worsening of best</w:t>
            </w:r>
            <w:r w:rsidR="009D006E">
              <w:rPr>
                <w:sz w:val="18"/>
                <w:szCs w:val="18"/>
              </w:rPr>
              <w:t xml:space="preserve"> </w:t>
            </w:r>
            <w:r w:rsidRPr="00A36893">
              <w:rPr>
                <w:sz w:val="18"/>
                <w:szCs w:val="18"/>
              </w:rPr>
              <w:t>corrected visual acuity from Day 1 at Month 6, 12, or 18 OEs.</w:t>
            </w:r>
          </w:p>
          <w:p w14:paraId="509ADCBC" w14:textId="77777777" w:rsidR="00A36893" w:rsidRPr="00A36893" w:rsidRDefault="00A36893" w:rsidP="00565ADB">
            <w:pPr>
              <w:ind w:left="0" w:right="0"/>
              <w:rPr>
                <w:sz w:val="18"/>
                <w:szCs w:val="18"/>
              </w:rPr>
            </w:pPr>
            <w:r w:rsidRPr="00A36893">
              <w:rPr>
                <w:sz w:val="18"/>
                <w:szCs w:val="18"/>
              </w:rPr>
              <w:t xml:space="preserve">While the role of ivacaftor in contributing to cataract development in subjects with non-congenital cataract reports cannot be fully excluded, their clinical characteristics did not follow any apparent pattern. In all of the subjects with non-congenital cataracts, cataract </w:t>
            </w:r>
            <w:r w:rsidR="000755E7" w:rsidRPr="00A36893">
              <w:rPr>
                <w:sz w:val="18"/>
                <w:szCs w:val="18"/>
              </w:rPr>
              <w:t>aetiology</w:t>
            </w:r>
            <w:r w:rsidRPr="00A36893">
              <w:rPr>
                <w:sz w:val="18"/>
                <w:szCs w:val="18"/>
              </w:rPr>
              <w:t xml:space="preserve"> was confounded by a number of risk factors including prolonged steroid use, impaired glucose tolerance, radiation exposure, or family history of cataract. Coupled with the high background prevalence of lens opacities in CF patients, the subtlety of the </w:t>
            </w:r>
            <w:r w:rsidRPr="00A36893">
              <w:rPr>
                <w:sz w:val="18"/>
                <w:szCs w:val="18"/>
              </w:rPr>
              <w:lastRenderedPageBreak/>
              <w:t>ophthalmological findings with no impact on visual acuity, and, most importantly, lack of progression based on the sensitive and more objective LOCS III grading, the non-congenital lens abnormalities identified may represent background findings rather than suggest an association with ivacaftor.</w:t>
            </w:r>
          </w:p>
        </w:tc>
        <w:tc>
          <w:tcPr>
            <w:tcW w:w="985" w:type="pct"/>
            <w:noWrap/>
          </w:tcPr>
          <w:p w14:paraId="6012F821" w14:textId="77777777" w:rsidR="00A36893" w:rsidRPr="00A36893" w:rsidRDefault="00A36893" w:rsidP="00565ADB">
            <w:pPr>
              <w:ind w:left="0" w:right="0"/>
              <w:rPr>
                <w:sz w:val="18"/>
                <w:szCs w:val="18"/>
              </w:rPr>
            </w:pPr>
            <w:r w:rsidRPr="00A36893">
              <w:rPr>
                <w:sz w:val="18"/>
                <w:szCs w:val="18"/>
              </w:rPr>
              <w:lastRenderedPageBreak/>
              <w:t>The sponsor’s response is satisfactory. The evaluator has noted that ‘respiratory events’ is an important identified risk, and ‘cataract’ is an important pot</w:t>
            </w:r>
            <w:r w:rsidR="00565ADB">
              <w:rPr>
                <w:sz w:val="18"/>
                <w:szCs w:val="18"/>
              </w:rPr>
              <w:t>ential risk in the updated RMP.</w:t>
            </w:r>
          </w:p>
        </w:tc>
      </w:tr>
      <w:tr w:rsidR="00A36893" w:rsidRPr="00A36893" w14:paraId="58943DCC" w14:textId="77777777" w:rsidTr="00A36893">
        <w:tc>
          <w:tcPr>
            <w:tcW w:w="2013" w:type="pct"/>
            <w:noWrap/>
          </w:tcPr>
          <w:p w14:paraId="0E96989C" w14:textId="77777777" w:rsidR="00A36893" w:rsidRPr="00A36893" w:rsidRDefault="00A36893" w:rsidP="00A3667B">
            <w:pPr>
              <w:ind w:left="0" w:right="0"/>
              <w:rPr>
                <w:sz w:val="18"/>
                <w:szCs w:val="18"/>
              </w:rPr>
            </w:pPr>
            <w:r w:rsidRPr="00A36893">
              <w:rPr>
                <w:sz w:val="18"/>
                <w:szCs w:val="18"/>
              </w:rPr>
              <w:lastRenderedPageBreak/>
              <w:t>In regard to the proposed routine risk minimisation activities, the following recommendations are made to the Delegate on the draft Australian PI:</w:t>
            </w:r>
          </w:p>
          <w:p w14:paraId="42695E81" w14:textId="6B33C440" w:rsidR="00A36893" w:rsidRPr="00A36893" w:rsidRDefault="00A36893" w:rsidP="00A3667B">
            <w:pPr>
              <w:ind w:left="0" w:right="0"/>
              <w:rPr>
                <w:sz w:val="18"/>
                <w:szCs w:val="18"/>
              </w:rPr>
            </w:pPr>
            <w:r w:rsidRPr="00A36893">
              <w:rPr>
                <w:sz w:val="18"/>
                <w:szCs w:val="18"/>
              </w:rPr>
              <w:t xml:space="preserve">Evidence on use in patients with severe hepatic impairment is lacking for both ivacaftor and lumacaftor/ivacaftor. The approved PI for ivacaftor (Kalydeco) contains the following advice on use in severe hepatic impairment: ‘The use of </w:t>
            </w:r>
            <w:r w:rsidR="008B5A3E">
              <w:rPr>
                <w:sz w:val="18"/>
                <w:szCs w:val="18"/>
              </w:rPr>
              <w:t>Kalydeco</w:t>
            </w:r>
            <w:r w:rsidRPr="00A36893">
              <w:rPr>
                <w:sz w:val="18"/>
                <w:szCs w:val="18"/>
              </w:rPr>
              <w:t xml:space="preserve"> in patients with severe hepatic impairment is therefore not recommended unless the benefits outweigh the risks.’ In comparison, the PI for lumacaftor/ivacaftor (Orkambi) only advises to weigh the risks and benefits of treatment. It is recommended that the Delegate considers the adequacy of the PI on this issue.</w:t>
            </w:r>
          </w:p>
          <w:p w14:paraId="5F5B5FCA" w14:textId="77777777" w:rsidR="00A36893" w:rsidRPr="00A36893" w:rsidRDefault="00A36893" w:rsidP="00A3667B">
            <w:pPr>
              <w:ind w:left="0" w:right="0"/>
              <w:rPr>
                <w:sz w:val="18"/>
                <w:szCs w:val="18"/>
              </w:rPr>
            </w:pPr>
            <w:r w:rsidRPr="00A36893">
              <w:rPr>
                <w:sz w:val="18"/>
                <w:szCs w:val="18"/>
              </w:rPr>
              <w:t>Both the draft Australian PI and the approved US label recommend three</w:t>
            </w:r>
            <w:r w:rsidR="009D006E">
              <w:rPr>
                <w:sz w:val="18"/>
                <w:szCs w:val="18"/>
              </w:rPr>
              <w:t xml:space="preserve"> </w:t>
            </w:r>
            <w:r w:rsidRPr="00A36893">
              <w:rPr>
                <w:sz w:val="18"/>
                <w:szCs w:val="18"/>
              </w:rPr>
              <w:t>monthly hepatic function monitoring during the first year of treatment. The approved US label contains additional advice on patients with relevant medical history: ‘For patients with a history of ALT, AST, or bilirubin elevations, more frequent monitoring should be considered.’ It is recommended that the Delegate considers the additional advice.</w:t>
            </w:r>
          </w:p>
          <w:p w14:paraId="4F76BBEC" w14:textId="77777777" w:rsidR="00A36893" w:rsidRPr="00A36893" w:rsidRDefault="00A36893" w:rsidP="00A3667B">
            <w:pPr>
              <w:ind w:left="0" w:right="0"/>
              <w:rPr>
                <w:sz w:val="18"/>
                <w:szCs w:val="18"/>
              </w:rPr>
            </w:pPr>
            <w:r w:rsidRPr="00A36893">
              <w:rPr>
                <w:sz w:val="18"/>
                <w:szCs w:val="18"/>
              </w:rPr>
              <w:t>The following advice appears in the approved US label and has been added to the updated SPC submitted with the EU Day</w:t>
            </w:r>
            <w:r w:rsidR="00303FCD">
              <w:rPr>
                <w:sz w:val="18"/>
                <w:szCs w:val="18"/>
              </w:rPr>
              <w:t xml:space="preserve"> </w:t>
            </w:r>
            <w:r w:rsidRPr="00A36893">
              <w:rPr>
                <w:sz w:val="18"/>
                <w:szCs w:val="18"/>
              </w:rPr>
              <w:t xml:space="preserve">120 data: ‘Respiratory events were more common during initiation of lumacaftor/ivacaftor therapy. Additional monitoring of patients with ppFEV1 </w:t>
            </w:r>
            <w:r w:rsidR="00026051">
              <w:rPr>
                <w:sz w:val="18"/>
                <w:szCs w:val="18"/>
              </w:rPr>
              <w:t xml:space="preserve">&lt; </w:t>
            </w:r>
            <w:r w:rsidRPr="00A36893">
              <w:rPr>
                <w:sz w:val="18"/>
                <w:szCs w:val="18"/>
              </w:rPr>
              <w:t xml:space="preserve">40 is therefore recommended during initiation of therapy’. Given that use of Orkambi in patients with </w:t>
            </w:r>
            <w:r w:rsidR="00A94F3D">
              <w:rPr>
                <w:sz w:val="18"/>
                <w:szCs w:val="18"/>
              </w:rPr>
              <w:t>ppFEV1</w:t>
            </w:r>
            <w:r w:rsidRPr="00A36893">
              <w:rPr>
                <w:sz w:val="18"/>
                <w:szCs w:val="18"/>
              </w:rPr>
              <w:t xml:space="preserve"> &lt; 40 is missing information and dyspnoea is the most common </w:t>
            </w:r>
            <w:r w:rsidR="00CB1352">
              <w:rPr>
                <w:sz w:val="18"/>
                <w:szCs w:val="18"/>
              </w:rPr>
              <w:t>AE</w:t>
            </w:r>
            <w:r w:rsidRPr="00A36893">
              <w:rPr>
                <w:sz w:val="18"/>
                <w:szCs w:val="18"/>
              </w:rPr>
              <w:t xml:space="preserve"> experienced by patients taking Orkambi in clinical trials (14.0% in Orkambi group compared to 7.8% in </w:t>
            </w:r>
            <w:r w:rsidRPr="00A36893">
              <w:rPr>
                <w:sz w:val="18"/>
                <w:szCs w:val="18"/>
              </w:rPr>
              <w:lastRenderedPageBreak/>
              <w:t>placebo group, Australian PI), this advice should</w:t>
            </w:r>
            <w:r w:rsidR="00743C6F">
              <w:rPr>
                <w:sz w:val="18"/>
                <w:szCs w:val="18"/>
              </w:rPr>
              <w:t xml:space="preserve"> be added in the Australian PI.</w:t>
            </w:r>
          </w:p>
          <w:p w14:paraId="19142A06" w14:textId="77777777" w:rsidR="00A36893" w:rsidRPr="00A36893" w:rsidRDefault="00A36893" w:rsidP="00A3667B">
            <w:pPr>
              <w:ind w:left="0" w:right="0"/>
              <w:rPr>
                <w:sz w:val="18"/>
                <w:szCs w:val="18"/>
              </w:rPr>
            </w:pPr>
            <w:r w:rsidRPr="00A36893">
              <w:rPr>
                <w:sz w:val="18"/>
                <w:szCs w:val="18"/>
              </w:rPr>
              <w:t>The EU SPC has been updated to include new advice on breast</w:t>
            </w:r>
            <w:r w:rsidR="009D006E">
              <w:rPr>
                <w:sz w:val="18"/>
                <w:szCs w:val="18"/>
              </w:rPr>
              <w:t xml:space="preserve"> </w:t>
            </w:r>
            <w:r w:rsidRPr="00A36893">
              <w:rPr>
                <w:sz w:val="18"/>
                <w:szCs w:val="18"/>
              </w:rPr>
              <w:t>feeding: ‘risks to the suckling child cannot be excluded. A decision must be made whether to discontinue breast</w:t>
            </w:r>
            <w:r w:rsidR="009D006E">
              <w:rPr>
                <w:sz w:val="18"/>
                <w:szCs w:val="18"/>
              </w:rPr>
              <w:t xml:space="preserve"> </w:t>
            </w:r>
            <w:r w:rsidRPr="00A36893">
              <w:rPr>
                <w:sz w:val="18"/>
                <w:szCs w:val="18"/>
              </w:rPr>
              <w:t>feeding or to discontinue/abstain from lumacaftor/ivacaftor therapy taking into account the benefit of breast feeding for the child and the benefit of therapy for the mother.’ In comparison, the Australian PI advises that ‘</w:t>
            </w:r>
            <w:r w:rsidR="008B5A3E">
              <w:rPr>
                <w:sz w:val="18"/>
                <w:szCs w:val="18"/>
              </w:rPr>
              <w:t>Orkambi</w:t>
            </w:r>
            <w:r w:rsidRPr="00A36893">
              <w:rPr>
                <w:sz w:val="18"/>
                <w:szCs w:val="18"/>
              </w:rPr>
              <w:t xml:space="preserve"> should only be used during breast</w:t>
            </w:r>
            <w:r w:rsidR="009D006E">
              <w:rPr>
                <w:sz w:val="18"/>
                <w:szCs w:val="18"/>
              </w:rPr>
              <w:t xml:space="preserve"> </w:t>
            </w:r>
            <w:r w:rsidRPr="00A36893">
              <w:rPr>
                <w:sz w:val="18"/>
                <w:szCs w:val="18"/>
              </w:rPr>
              <w:t>feeding if the potential benefit outweighs the potential risk.’ It is recommended that the Delegate considers the adequacy of advice provided by the PI in the context of findings from animal pharmacokinetic studies in the absence of evidence on humans.</w:t>
            </w:r>
          </w:p>
        </w:tc>
        <w:tc>
          <w:tcPr>
            <w:tcW w:w="2002" w:type="pct"/>
            <w:noWrap/>
          </w:tcPr>
          <w:p w14:paraId="359CE120" w14:textId="77777777" w:rsidR="00A36893" w:rsidRPr="00A36893" w:rsidRDefault="00A36893" w:rsidP="000755E7">
            <w:pPr>
              <w:ind w:left="0" w:right="0"/>
              <w:rPr>
                <w:sz w:val="18"/>
                <w:szCs w:val="18"/>
              </w:rPr>
            </w:pPr>
            <w:r w:rsidRPr="00A36893">
              <w:rPr>
                <w:sz w:val="18"/>
                <w:szCs w:val="18"/>
              </w:rPr>
              <w:lastRenderedPageBreak/>
              <w:t xml:space="preserve">Please refer to the labelling response document including detailed Vertex’s responses on the </w:t>
            </w:r>
            <w:r w:rsidR="000755E7">
              <w:rPr>
                <w:sz w:val="18"/>
                <w:szCs w:val="18"/>
              </w:rPr>
              <w:t>PI</w:t>
            </w:r>
            <w:r w:rsidRPr="00A36893">
              <w:rPr>
                <w:sz w:val="18"/>
                <w:szCs w:val="18"/>
              </w:rPr>
              <w:t xml:space="preserve"> in Annex 4. Revised </w:t>
            </w:r>
            <w:r w:rsidR="000755E7">
              <w:rPr>
                <w:sz w:val="18"/>
                <w:szCs w:val="18"/>
              </w:rPr>
              <w:t>PI</w:t>
            </w:r>
            <w:r w:rsidRPr="00A36893">
              <w:rPr>
                <w:sz w:val="18"/>
                <w:szCs w:val="18"/>
              </w:rPr>
              <w:t xml:space="preserve"> is provided.</w:t>
            </w:r>
          </w:p>
        </w:tc>
        <w:tc>
          <w:tcPr>
            <w:tcW w:w="985" w:type="pct"/>
            <w:noWrap/>
          </w:tcPr>
          <w:p w14:paraId="5E756443" w14:textId="3BFCB713" w:rsidR="00A36893" w:rsidRPr="00A36893" w:rsidRDefault="00A36893" w:rsidP="00A3667B">
            <w:pPr>
              <w:ind w:left="0" w:right="0"/>
              <w:rPr>
                <w:sz w:val="18"/>
                <w:szCs w:val="18"/>
              </w:rPr>
            </w:pPr>
            <w:r w:rsidRPr="00A36893">
              <w:rPr>
                <w:sz w:val="18"/>
                <w:szCs w:val="18"/>
              </w:rPr>
              <w:t>The evaluator has noted the updated draft PI. The recommendations on the PI remain for final determination by the Delegate.</w:t>
            </w:r>
          </w:p>
        </w:tc>
      </w:tr>
      <w:tr w:rsidR="00A36893" w:rsidRPr="00A36893" w14:paraId="71CFC700" w14:textId="77777777" w:rsidTr="00A36893">
        <w:tc>
          <w:tcPr>
            <w:tcW w:w="2013" w:type="pct"/>
            <w:noWrap/>
          </w:tcPr>
          <w:p w14:paraId="4A13A4AF" w14:textId="77777777" w:rsidR="00A36893" w:rsidRPr="00A36893" w:rsidRDefault="00A36893" w:rsidP="00A3667B">
            <w:pPr>
              <w:ind w:left="0" w:right="0"/>
              <w:rPr>
                <w:sz w:val="18"/>
                <w:szCs w:val="18"/>
              </w:rPr>
            </w:pPr>
            <w:r w:rsidRPr="00A36893">
              <w:rPr>
                <w:sz w:val="18"/>
                <w:szCs w:val="18"/>
              </w:rPr>
              <w:lastRenderedPageBreak/>
              <w:t>Relevant parts of the draft CMI should be updated accordingly.</w:t>
            </w:r>
          </w:p>
        </w:tc>
        <w:tc>
          <w:tcPr>
            <w:tcW w:w="2002" w:type="pct"/>
            <w:noWrap/>
          </w:tcPr>
          <w:p w14:paraId="6EA1A4CA" w14:textId="77777777" w:rsidR="00A36893" w:rsidRPr="00A36893" w:rsidRDefault="00A36893" w:rsidP="00A3667B">
            <w:pPr>
              <w:ind w:left="0" w:right="0"/>
              <w:rPr>
                <w:sz w:val="18"/>
                <w:szCs w:val="18"/>
              </w:rPr>
            </w:pPr>
            <w:r w:rsidRPr="00A36893">
              <w:rPr>
                <w:sz w:val="18"/>
                <w:szCs w:val="18"/>
              </w:rPr>
              <w:t xml:space="preserve">Please refer to the labelling response document including detailed Vertex’s responses on the Consumer Product Information in Annex 4. Revised </w:t>
            </w:r>
            <w:r w:rsidR="00A3667B">
              <w:rPr>
                <w:sz w:val="18"/>
                <w:szCs w:val="18"/>
              </w:rPr>
              <w:t>CMI</w:t>
            </w:r>
            <w:r w:rsidRPr="00A36893">
              <w:rPr>
                <w:sz w:val="18"/>
                <w:szCs w:val="18"/>
              </w:rPr>
              <w:t xml:space="preserve"> is </w:t>
            </w:r>
            <w:r w:rsidR="00A3667B">
              <w:rPr>
                <w:sz w:val="18"/>
                <w:szCs w:val="18"/>
              </w:rPr>
              <w:t>provided.</w:t>
            </w:r>
          </w:p>
        </w:tc>
        <w:tc>
          <w:tcPr>
            <w:tcW w:w="985" w:type="pct"/>
            <w:noWrap/>
          </w:tcPr>
          <w:p w14:paraId="4A3BC3B5" w14:textId="69081610" w:rsidR="00A36893" w:rsidRPr="00A36893" w:rsidRDefault="00A36893" w:rsidP="00A3667B">
            <w:pPr>
              <w:ind w:left="0" w:right="0"/>
              <w:rPr>
                <w:sz w:val="18"/>
                <w:szCs w:val="18"/>
              </w:rPr>
            </w:pPr>
            <w:r w:rsidRPr="00A36893">
              <w:rPr>
                <w:sz w:val="18"/>
                <w:szCs w:val="18"/>
              </w:rPr>
              <w:t>The evaluator has noted the updated CMI. The adequacy of the content of the CMI remain</w:t>
            </w:r>
            <w:r w:rsidR="00743C6F">
              <w:rPr>
                <w:sz w:val="18"/>
                <w:szCs w:val="18"/>
              </w:rPr>
              <w:t>s</w:t>
            </w:r>
            <w:r w:rsidRPr="00A36893">
              <w:rPr>
                <w:sz w:val="18"/>
                <w:szCs w:val="18"/>
              </w:rPr>
              <w:t xml:space="preserve"> for final determination by the Delegate.</w:t>
            </w:r>
          </w:p>
        </w:tc>
      </w:tr>
    </w:tbl>
    <w:p w14:paraId="4B123972" w14:textId="77777777"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14:paraId="15329A5E" w14:textId="77777777" w:rsidR="00761486" w:rsidRPr="00761486" w:rsidRDefault="00761486" w:rsidP="00761486">
      <w:pPr>
        <w:pStyle w:val="Heading5"/>
      </w:pPr>
      <w:r w:rsidRPr="00761486">
        <w:t>Outstanding issues</w:t>
      </w:r>
    </w:p>
    <w:p w14:paraId="5158B45B" w14:textId="402A9DA8" w:rsidR="00761486" w:rsidRPr="00761486" w:rsidRDefault="00145418" w:rsidP="00761486">
      <w:pPr>
        <w:pStyle w:val="Heading6"/>
      </w:pPr>
      <w:r>
        <w:t>Issues in relation to the RMP</w:t>
      </w:r>
    </w:p>
    <w:p w14:paraId="530BE757" w14:textId="77777777" w:rsidR="00761486" w:rsidRPr="00761486" w:rsidRDefault="00761486" w:rsidP="00761486">
      <w:r w:rsidRPr="00761486">
        <w:t>The evaluator has noted the updated draft PI. The recommendations on the PI remain for final determination by the Delegate.</w:t>
      </w:r>
    </w:p>
    <w:p w14:paraId="0AB6DE1C" w14:textId="15C820A1" w:rsidR="00761486" w:rsidRPr="00761486" w:rsidRDefault="00761486" w:rsidP="00761486">
      <w:pPr>
        <w:pStyle w:val="Heading6"/>
      </w:pPr>
      <w:r w:rsidRPr="00761486">
        <w:t xml:space="preserve">Additional </w:t>
      </w:r>
      <w:r w:rsidR="00145418">
        <w:t>recommendations</w:t>
      </w:r>
    </w:p>
    <w:p w14:paraId="2473820F" w14:textId="77777777" w:rsidR="00761486" w:rsidRPr="00761486" w:rsidRDefault="00761486" w:rsidP="00761486">
      <w:r w:rsidRPr="00761486">
        <w:t>The following safety concerns have been identified during the evaluation of the clinical data from communication with the Delegate. T</w:t>
      </w:r>
      <w:r w:rsidR="00743C6F">
        <w:t>hey should be added to the ASA:</w:t>
      </w:r>
    </w:p>
    <w:p w14:paraId="7E514187" w14:textId="77777777" w:rsidR="00761486" w:rsidRPr="00761486" w:rsidRDefault="00761486" w:rsidP="00761486">
      <w:pPr>
        <w:pStyle w:val="ListBullet"/>
      </w:pPr>
      <w:r w:rsidRPr="00761486">
        <w:t>Important identified risk: menstrual abnormalities in patients on oral contraceptives. The draft PI contains advice on this issue under ‘adverse effects’. The adequacy of the advice provided in the PI awaits final</w:t>
      </w:r>
      <w:r w:rsidR="00743C6F">
        <w:t xml:space="preserve"> determination by the Delegate.</w:t>
      </w:r>
    </w:p>
    <w:p w14:paraId="0E4BCE35" w14:textId="77777777" w:rsidR="00761486" w:rsidRPr="00761486" w:rsidRDefault="00761486" w:rsidP="00761486">
      <w:pPr>
        <w:pStyle w:val="ListBullet"/>
      </w:pPr>
      <w:r w:rsidRPr="00761486">
        <w:t>Important potential risk: rhabdomyolysis. Rhabdomyolysis and raised creatine kinase (CK) were noted in the clinical trials. The EU evaluator also noted this. The sponsor has described a high rate of raised CK in the community, and lack of correlation between CK values and clinical symptoms in the clinical trials. Ongoing pharmacovigilance is</w:t>
      </w:r>
      <w:r w:rsidR="00743C6F">
        <w:t xml:space="preserve"> required to monitor this risk.</w:t>
      </w:r>
    </w:p>
    <w:p w14:paraId="0D328BF7" w14:textId="28FEB865" w:rsidR="00761486" w:rsidRDefault="00761486" w:rsidP="00761486">
      <w:pPr>
        <w:pStyle w:val="ListBullet"/>
      </w:pPr>
      <w:r w:rsidRPr="00761486">
        <w:t>Missing information: long-term efficacy. Collection of post-authorisation data, including that from the ongoing studies should be used</w:t>
      </w:r>
      <w:r w:rsidR="00145418">
        <w:t xml:space="preserve"> to establish evidence on this.</w:t>
      </w:r>
    </w:p>
    <w:p w14:paraId="67304BDC" w14:textId="77777777" w:rsidR="00761486" w:rsidRPr="00761486" w:rsidRDefault="00761486" w:rsidP="00761486">
      <w:pPr>
        <w:pStyle w:val="Heading6"/>
      </w:pPr>
      <w:r w:rsidRPr="00761486">
        <w:lastRenderedPageBreak/>
        <w:t>Advice from the Advisory Committee on the Safety of Medicines (ACSOM)</w:t>
      </w:r>
    </w:p>
    <w:p w14:paraId="42DB1B8D" w14:textId="77777777" w:rsidR="00CE4311" w:rsidRPr="00D46335" w:rsidRDefault="00CE4311" w:rsidP="00D46335">
      <w:pPr>
        <w:pStyle w:val="Numberbullet0"/>
        <w:numPr>
          <w:ilvl w:val="0"/>
          <w:numId w:val="26"/>
        </w:numPr>
        <w:rPr>
          <w:i/>
        </w:rPr>
      </w:pPr>
      <w:r w:rsidRPr="00D46335">
        <w:rPr>
          <w:i/>
        </w:rPr>
        <w:t>The proposed list of safety concerns (Table 27, Attachment 1) refers to ‘long term safety’ but does not include the missing information, ‘patients with severe hepatic impairment’ and ‘pulmonary exacerbation and bacterial sputum colonisation with long-term treatment’. (These are specifically listed as safety concerns for ivacaftor).</w:t>
      </w:r>
    </w:p>
    <w:p w14:paraId="6ABCC7E3" w14:textId="77777777" w:rsidR="00CE4311" w:rsidRPr="00D46335" w:rsidRDefault="00CE4311" w:rsidP="00D46335">
      <w:pPr>
        <w:ind w:left="425"/>
        <w:rPr>
          <w:i/>
        </w:rPr>
      </w:pPr>
      <w:r w:rsidRPr="00D46335">
        <w:rPr>
          <w:i/>
        </w:rPr>
        <w:t>Concomitant use with strong CYP3A inhibitors / inducers, and concomitant use with sensitive CYP3A substrates including those with a narrow therapeutic index are listed as potential risks rather than identified risks.</w:t>
      </w:r>
    </w:p>
    <w:p w14:paraId="674D3D3C" w14:textId="77777777" w:rsidR="00CE4311" w:rsidRPr="00D46335" w:rsidRDefault="00CE4311" w:rsidP="00D46335">
      <w:pPr>
        <w:ind w:left="425"/>
        <w:rPr>
          <w:i/>
        </w:rPr>
      </w:pPr>
      <w:r w:rsidRPr="00D46335">
        <w:rPr>
          <w:i/>
        </w:rPr>
        <w:t>Can the committee comment on the adequacy of the proposed safety concern list (Table 27, Attachment 1) and in particular, whether any safety concerns related to lumacaftor should be added?</w:t>
      </w:r>
    </w:p>
    <w:p w14:paraId="1933049C" w14:textId="6C4D70C9" w:rsidR="00D46335" w:rsidRPr="00D46335" w:rsidRDefault="00D46335" w:rsidP="00D46335">
      <w:r w:rsidRPr="00D46335">
        <w:t>The committee advised that the safety concern li</w:t>
      </w:r>
      <w:r w:rsidR="00145418">
        <w:t>st should be amended as follows:</w:t>
      </w:r>
    </w:p>
    <w:p w14:paraId="55449808" w14:textId="77777777" w:rsidR="00D46335" w:rsidRPr="00D46335" w:rsidRDefault="00D46335" w:rsidP="00D46335">
      <w:r w:rsidRPr="00D46335">
        <w:t>Patients with severe hepatic impairment had been excluded from the clinical studies. The Product Information (PI) adequately addresses the management of patients with severe hepatic impairment. Inclusion of ‘patients with severe hepatic impairment’ as missing information is not essential.</w:t>
      </w:r>
    </w:p>
    <w:p w14:paraId="4389500F" w14:textId="77777777" w:rsidR="00D46335" w:rsidRPr="00D46335" w:rsidRDefault="00D46335" w:rsidP="00D46335">
      <w:r w:rsidRPr="00D46335">
        <w:t>CF patients with infection/colonisation by particular organisms known to be associated with rapid decline in lung function (e.g. Mycobacterium abscessus, Burkholderia cepacia complex) had been excluded from the clinical studies to avoid confounding effects. The committee considered that this was a reasonable approach for the clinical studies. The medicine is intended to address/reverse the pathophysiology of CF lung disease and trials show clinically significant reductions in exacerbation frequency and increases in lung function. It appears to be only a theoretical safety concern that pulmonary exacerbation and bacterial sputum colonisation would be adversely affected by long-term lumacaftor/ivacaftor treatment. It would be reasonable for the PI to state that there is limited evidence in patients with very poor lung function.</w:t>
      </w:r>
    </w:p>
    <w:p w14:paraId="05D13189" w14:textId="77777777" w:rsidR="00D46335" w:rsidRPr="00D46335" w:rsidRDefault="00D46335" w:rsidP="00D46335">
      <w:r w:rsidRPr="00D46335">
        <w:t>Lumacaftor is a CYP3A inducer and a potential inhibitor/inducer of P-gp; ivacaftor is metabolised by CYP3A and is a potential weak inhibitor of CYP3A and CYP2C, and a weak inhibitor of P-gp. Overall, lumacaftor/ivacaftor is a strong inducer of CYP3A. Drug-drug interactions are likely to be significant, including with other medicines frequently used by CF patients such as antifungals, antibiotics and immunosuppressants. Drug-drug interactions should be considered as identified risks, especially as hepatic impairment is common in CF patients. As CF patients are now living into adulthood, the interaction with hormonal contraceptives is particularly significant.</w:t>
      </w:r>
    </w:p>
    <w:p w14:paraId="4565FF54" w14:textId="77777777" w:rsidR="00CE4311" w:rsidRPr="00D46335" w:rsidRDefault="00CE4311" w:rsidP="00D46335">
      <w:pPr>
        <w:pStyle w:val="Numberbullet0"/>
        <w:rPr>
          <w:i/>
        </w:rPr>
      </w:pPr>
      <w:r w:rsidRPr="00D46335">
        <w:rPr>
          <w:i/>
        </w:rPr>
        <w:t>Routine pharmacovigilance is proposed for all safety concerns. The sponsor has also proposed the four studies noted above ie. Study 108, Study 770-115, Study 105 and Study 106 (Annex 6, Attachment 1).</w:t>
      </w:r>
    </w:p>
    <w:p w14:paraId="750119F2" w14:textId="77777777" w:rsidR="00CE4311" w:rsidRPr="00D46335" w:rsidRDefault="00CE4311" w:rsidP="00D46335">
      <w:pPr>
        <w:ind w:left="425"/>
        <w:rPr>
          <w:i/>
        </w:rPr>
      </w:pPr>
      <w:r w:rsidRPr="00D46335">
        <w:rPr>
          <w:i/>
        </w:rPr>
        <w:t>Can the committee comment on the adequacy of the pharmacovigilance plan to monitor all the safety concerns?</w:t>
      </w:r>
    </w:p>
    <w:p w14:paraId="464D505A" w14:textId="77777777" w:rsidR="00D46335" w:rsidRPr="00D46335" w:rsidRDefault="00D46335" w:rsidP="00D46335">
      <w:r w:rsidRPr="00D46335">
        <w:t>Overall the committee considered that the existing mechanisms for routine pharmacovigilance should be adequate to monitor the safety concerns, including missing information and off-label use.</w:t>
      </w:r>
    </w:p>
    <w:p w14:paraId="1F1054DB" w14:textId="77777777" w:rsidR="00D46335" w:rsidRPr="00D46335" w:rsidRDefault="00D46335" w:rsidP="00D46335">
      <w:r w:rsidRPr="00D46335">
        <w:t>The committee noted that the sponsor should be expected to provide to the TGA the outcomes of the four studies above, particularly if any study identifies additional safety issues.</w:t>
      </w:r>
    </w:p>
    <w:p w14:paraId="509405F6" w14:textId="77777777" w:rsidR="00D46335" w:rsidRPr="00D46335" w:rsidRDefault="00D46335" w:rsidP="00D46335">
      <w:r w:rsidRPr="00D46335">
        <w:t>While the relative lack of Australian participation in the trials is concerning, European and American populations are likely to be representative of the Australian population.</w:t>
      </w:r>
    </w:p>
    <w:p w14:paraId="59B5953E" w14:textId="77777777" w:rsidR="00D46335" w:rsidRPr="00D46335" w:rsidRDefault="00D46335" w:rsidP="00D46335">
      <w:r w:rsidRPr="00D46335">
        <w:lastRenderedPageBreak/>
        <w:t>Ongoing studies should adequately capture information on long term use, concerns around cataracts and potentially covering other safety issues/missing information.</w:t>
      </w:r>
    </w:p>
    <w:p w14:paraId="262B546D" w14:textId="77777777" w:rsidR="00CE4311" w:rsidRPr="00D46335" w:rsidRDefault="00CE4311" w:rsidP="00D46335">
      <w:pPr>
        <w:pStyle w:val="Numberbullet0"/>
        <w:rPr>
          <w:i/>
        </w:rPr>
      </w:pPr>
      <w:r w:rsidRPr="00D46335">
        <w:rPr>
          <w:i/>
        </w:rPr>
        <w:t>Routine risk minimisation is proposed for all safety concerns. No additional risk minimisation has been considered necessary by the sponsor.</w:t>
      </w:r>
    </w:p>
    <w:p w14:paraId="67529876" w14:textId="77777777" w:rsidR="00CE4311" w:rsidRPr="00D46335" w:rsidRDefault="00CE4311" w:rsidP="00D46335">
      <w:pPr>
        <w:ind w:left="425"/>
        <w:rPr>
          <w:i/>
        </w:rPr>
      </w:pPr>
      <w:r w:rsidRPr="00D46335">
        <w:rPr>
          <w:i/>
        </w:rPr>
        <w:t>Can the committee comment on the adequacy of the risk minimisation plan to mitigate all the safety concerns?</w:t>
      </w:r>
    </w:p>
    <w:p w14:paraId="66AFCFEA" w14:textId="77777777" w:rsidR="00D46335" w:rsidRPr="00D46335" w:rsidRDefault="00D46335" w:rsidP="00D46335">
      <w:r w:rsidRPr="00D46335">
        <w:t>Routine risk minimisation with no additional risk minimisation has been proposed by the sponsor. The committee agreed with this approach.</w:t>
      </w:r>
    </w:p>
    <w:p w14:paraId="01C8372D" w14:textId="77777777" w:rsidR="00D46335" w:rsidRPr="00D46335" w:rsidRDefault="00D46335" w:rsidP="00D46335">
      <w:r w:rsidRPr="00D46335">
        <w:t>While initiation of lumacaftor/ivacaftor treatment will be by specialists and it is routine for CF patients to be closely monitored, the effects of lumacaftor/ivacaftor on other medicines needs to be strengthened and emphasised in the Product Information.</w:t>
      </w:r>
    </w:p>
    <w:p w14:paraId="78F973CA" w14:textId="77777777" w:rsidR="00D46335" w:rsidRPr="00D46335" w:rsidRDefault="00D46335" w:rsidP="00D46335">
      <w:r w:rsidRPr="00D46335">
        <w:t>Of Australian patients for whom genotype data are available, 52% are homozygous for the Fdel508-CFTR gene abnormality, and 34% are heterozygous for the gene. Clinical trials excluded persons with the heterozygous genotype, yet this group comprises a significant proportion of CF patients. Off-label use will occur, and off-label usage during pregnancy may be a particular problem. Additional monitoring of patients who are heterozygous for the gene would be useful to identify responders and to reduce exposure of patients who are not benefitting from the medicine.</w:t>
      </w:r>
    </w:p>
    <w:p w14:paraId="14DC004D" w14:textId="77777777" w:rsidR="00D46335" w:rsidRPr="00D46335" w:rsidRDefault="00D46335" w:rsidP="00D46335">
      <w:pPr>
        <w:rPr>
          <w:i/>
        </w:rPr>
      </w:pPr>
      <w:r w:rsidRPr="00D46335">
        <w:rPr>
          <w:i/>
        </w:rPr>
        <w:t>Other</w:t>
      </w:r>
    </w:p>
    <w:p w14:paraId="57045460" w14:textId="77777777" w:rsidR="00D46335" w:rsidRPr="00D46335" w:rsidRDefault="00D46335" w:rsidP="00D46335">
      <w:r w:rsidRPr="00D46335">
        <w:t>The ACSOM noted the importance of identifying responders to lumacaftor/ivacaftor and to establish stopping rules for the medication, as a risk minimisation strategy.</w:t>
      </w:r>
    </w:p>
    <w:p w14:paraId="5C25CEE0" w14:textId="77777777" w:rsidR="00D46335" w:rsidRPr="00D46335" w:rsidRDefault="00D46335" w:rsidP="002F13B9">
      <w:pPr>
        <w:pStyle w:val="Heading5"/>
      </w:pPr>
      <w:r w:rsidRPr="00D46335">
        <w:t xml:space="preserve">Key changes to the updated RMP </w:t>
      </w:r>
    </w:p>
    <w:p w14:paraId="317E45B6" w14:textId="77777777" w:rsidR="002F13B9" w:rsidRDefault="002F13B9" w:rsidP="002F13B9">
      <w:pPr>
        <w:rPr>
          <w:rFonts w:asciiTheme="minorHAnsi" w:hAnsiTheme="minorHAnsi"/>
        </w:rPr>
      </w:pPr>
      <w:r w:rsidRPr="009A2FAD">
        <w:rPr>
          <w:rFonts w:asciiTheme="minorHAnsi" w:hAnsiTheme="minorHAnsi"/>
        </w:rPr>
        <w:t xml:space="preserve">In their response to the TGA </w:t>
      </w:r>
      <w:r>
        <w:rPr>
          <w:rFonts w:asciiTheme="minorHAnsi" w:hAnsiTheme="minorHAnsi"/>
        </w:rPr>
        <w:t xml:space="preserve">consolidated request for information the sponsor provided the </w:t>
      </w:r>
      <w:r w:rsidRPr="009A2FAD">
        <w:rPr>
          <w:rFonts w:asciiTheme="minorHAnsi" w:hAnsiTheme="minorHAnsi"/>
        </w:rPr>
        <w:t xml:space="preserve">updated </w:t>
      </w:r>
      <w:r w:rsidRPr="00D73855">
        <w:rPr>
          <w:rFonts w:asciiTheme="minorHAnsi" w:hAnsiTheme="minorHAnsi" w:cstheme="majorHAnsi"/>
        </w:rPr>
        <w:t>EU-RMP version 1.5 dated 24 September 2015 (data lock point 21 July 2014) with Australian Specific Annex version 2.0 dated 20 October 2015</w:t>
      </w:r>
      <w:r w:rsidRPr="009A2FAD">
        <w:rPr>
          <w:rFonts w:asciiTheme="minorHAnsi" w:hAnsiTheme="minorHAnsi"/>
        </w:rPr>
        <w:t>. Key changes from the version eval</w:t>
      </w:r>
      <w:r>
        <w:rPr>
          <w:rFonts w:asciiTheme="minorHAnsi" w:hAnsiTheme="minorHAnsi"/>
        </w:rPr>
        <w:t>uate</w:t>
      </w:r>
      <w:r w:rsidR="00C01F38">
        <w:rPr>
          <w:rFonts w:asciiTheme="minorHAnsi" w:hAnsiTheme="minorHAnsi"/>
        </w:rPr>
        <w:t>d at Round 1 are summarised in Table 14</w:t>
      </w:r>
      <w:r>
        <w:rPr>
          <w:rFonts w:asciiTheme="minorHAnsi" w:hAnsiTheme="minorHAnsi"/>
        </w:rPr>
        <w:t xml:space="preserve"> below</w:t>
      </w:r>
      <w:r w:rsidR="00C01F38">
        <w:rPr>
          <w:rFonts w:asciiTheme="minorHAnsi" w:hAnsiTheme="minorHAnsi"/>
        </w:rPr>
        <w:t>.</w:t>
      </w:r>
    </w:p>
    <w:p w14:paraId="544524E4" w14:textId="77777777" w:rsidR="002F13B9" w:rsidRPr="009A2FAD" w:rsidRDefault="00C01F38" w:rsidP="002F13B9">
      <w:pPr>
        <w:pStyle w:val="Tabletitle0"/>
      </w:pPr>
      <w:r>
        <w:t>Table 14</w:t>
      </w:r>
      <w:r w:rsidR="002F13B9">
        <w:t>. Key changes to the updated RMP</w:t>
      </w:r>
    </w:p>
    <w:tbl>
      <w:tblPr>
        <w:tblStyle w:val="TableTGAblue1"/>
        <w:tblW w:w="0" w:type="auto"/>
        <w:tblLook w:val="04A0" w:firstRow="1" w:lastRow="0" w:firstColumn="1" w:lastColumn="0" w:noHBand="0" w:noVBand="1"/>
      </w:tblPr>
      <w:tblGrid>
        <w:gridCol w:w="2218"/>
        <w:gridCol w:w="6502"/>
      </w:tblGrid>
      <w:tr w:rsidR="002F13B9" w:rsidRPr="002F13B9" w14:paraId="0ACF45D8" w14:textId="77777777" w:rsidTr="003B0881">
        <w:trPr>
          <w:cnfStyle w:val="100000000000" w:firstRow="1" w:lastRow="0" w:firstColumn="0" w:lastColumn="0" w:oddVBand="0" w:evenVBand="0" w:oddHBand="0" w:evenHBand="0" w:firstRowFirstColumn="0" w:firstRowLastColumn="0" w:lastRowFirstColumn="0" w:lastRowLastColumn="0"/>
          <w:cantSplit/>
          <w:trHeight w:val="536"/>
          <w:tblHeader/>
        </w:trPr>
        <w:tc>
          <w:tcPr>
            <w:tcW w:w="8720" w:type="dxa"/>
            <w:gridSpan w:val="2"/>
          </w:tcPr>
          <w:p w14:paraId="7BA52D7E" w14:textId="77777777" w:rsidR="002F13B9" w:rsidRPr="00E92662" w:rsidRDefault="002F13B9" w:rsidP="002F13B9">
            <w:pPr>
              <w:rPr>
                <w:sz w:val="20"/>
                <w:szCs w:val="20"/>
              </w:rPr>
            </w:pPr>
            <w:r w:rsidRPr="00E92662">
              <w:rPr>
                <w:sz w:val="20"/>
                <w:szCs w:val="20"/>
              </w:rPr>
              <w:t>Key changes to the updated RMP</w:t>
            </w:r>
          </w:p>
        </w:tc>
      </w:tr>
      <w:tr w:rsidR="002F13B9" w:rsidRPr="002F13B9" w14:paraId="205D0BE3" w14:textId="77777777" w:rsidTr="002F13B9">
        <w:trPr>
          <w:cantSplit/>
          <w:trHeight w:val="270"/>
        </w:trPr>
        <w:tc>
          <w:tcPr>
            <w:tcW w:w="221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4CB727BD" w14:textId="77777777" w:rsidR="002F13B9" w:rsidRPr="00E92662" w:rsidRDefault="002F13B9" w:rsidP="002F13B9">
            <w:pPr>
              <w:rPr>
                <w:sz w:val="20"/>
                <w:szCs w:val="20"/>
              </w:rPr>
            </w:pPr>
            <w:r w:rsidRPr="00E92662">
              <w:rPr>
                <w:sz w:val="20"/>
                <w:szCs w:val="20"/>
              </w:rPr>
              <w:t>Safety specification</w:t>
            </w:r>
          </w:p>
        </w:tc>
        <w:tc>
          <w:tcPr>
            <w:tcW w:w="6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7C6750" w14:textId="77777777" w:rsidR="002F13B9" w:rsidRPr="00E92662" w:rsidRDefault="002F13B9" w:rsidP="002F13B9">
            <w:pPr>
              <w:rPr>
                <w:sz w:val="20"/>
                <w:szCs w:val="20"/>
              </w:rPr>
            </w:pPr>
            <w:r w:rsidRPr="00E92662">
              <w:rPr>
                <w:sz w:val="20"/>
                <w:szCs w:val="20"/>
              </w:rPr>
              <w:t>The following safety concerns are added to the RMP:</w:t>
            </w:r>
          </w:p>
          <w:p w14:paraId="24941FE3" w14:textId="77777777" w:rsidR="002F13B9" w:rsidRPr="00E92662" w:rsidRDefault="002F13B9" w:rsidP="002F13B9">
            <w:pPr>
              <w:pStyle w:val="ListBullet"/>
              <w:rPr>
                <w:sz w:val="20"/>
                <w:szCs w:val="20"/>
              </w:rPr>
            </w:pPr>
            <w:r w:rsidRPr="00E92662">
              <w:rPr>
                <w:sz w:val="20"/>
                <w:szCs w:val="20"/>
              </w:rPr>
              <w:t>Important identified risk: respiratory events</w:t>
            </w:r>
          </w:p>
          <w:p w14:paraId="6198074D" w14:textId="77777777" w:rsidR="002F13B9" w:rsidRPr="00E92662" w:rsidRDefault="002F13B9" w:rsidP="002F13B9">
            <w:pPr>
              <w:pStyle w:val="ListBullet"/>
              <w:rPr>
                <w:sz w:val="20"/>
                <w:szCs w:val="20"/>
              </w:rPr>
            </w:pPr>
            <w:r w:rsidRPr="00E92662">
              <w:rPr>
                <w:sz w:val="20"/>
                <w:szCs w:val="20"/>
              </w:rPr>
              <w:t>Missing information: potential off</w:t>
            </w:r>
            <w:r w:rsidR="00B22DD1" w:rsidRPr="00E92662">
              <w:rPr>
                <w:sz w:val="20"/>
                <w:szCs w:val="20"/>
              </w:rPr>
              <w:t>-target activity of M6</w:t>
            </w:r>
            <w:r w:rsidRPr="00E92662">
              <w:rPr>
                <w:sz w:val="20"/>
                <w:szCs w:val="20"/>
              </w:rPr>
              <w:t>, interaction potential between transporters and lumacaftor and/or ivacaftor, potential environmental risk.</w:t>
            </w:r>
          </w:p>
        </w:tc>
      </w:tr>
      <w:tr w:rsidR="002F13B9" w:rsidRPr="002F13B9" w14:paraId="27A9F456" w14:textId="77777777" w:rsidTr="002F13B9">
        <w:trPr>
          <w:cantSplit/>
          <w:trHeight w:val="524"/>
        </w:trPr>
        <w:tc>
          <w:tcPr>
            <w:tcW w:w="221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2C9DC10F" w14:textId="77777777" w:rsidR="002F13B9" w:rsidRPr="00E92662" w:rsidRDefault="002F13B9" w:rsidP="002F13B9">
            <w:pPr>
              <w:rPr>
                <w:sz w:val="20"/>
                <w:szCs w:val="20"/>
              </w:rPr>
            </w:pPr>
            <w:r w:rsidRPr="00E92662">
              <w:rPr>
                <w:sz w:val="20"/>
                <w:szCs w:val="20"/>
              </w:rPr>
              <w:t>Pharmacovigilance activities</w:t>
            </w:r>
          </w:p>
        </w:tc>
        <w:tc>
          <w:tcPr>
            <w:tcW w:w="6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041BC4" w14:textId="76434C8F" w:rsidR="002F13B9" w:rsidRPr="00E92662" w:rsidRDefault="002F13B9" w:rsidP="002F13B9">
            <w:pPr>
              <w:rPr>
                <w:sz w:val="20"/>
                <w:szCs w:val="20"/>
              </w:rPr>
            </w:pPr>
            <w:r w:rsidRPr="00E92662">
              <w:rPr>
                <w:sz w:val="20"/>
                <w:szCs w:val="20"/>
              </w:rPr>
              <w:t>No changes</w:t>
            </w:r>
          </w:p>
        </w:tc>
      </w:tr>
      <w:tr w:rsidR="002F13B9" w:rsidRPr="002F13B9" w14:paraId="3472967D" w14:textId="77777777" w:rsidTr="002F13B9">
        <w:trPr>
          <w:cantSplit/>
          <w:trHeight w:val="524"/>
        </w:trPr>
        <w:tc>
          <w:tcPr>
            <w:tcW w:w="221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14:paraId="3E0F61AE" w14:textId="77777777" w:rsidR="002F13B9" w:rsidRPr="00E92662" w:rsidRDefault="002F13B9" w:rsidP="002F13B9">
            <w:pPr>
              <w:rPr>
                <w:sz w:val="20"/>
                <w:szCs w:val="20"/>
              </w:rPr>
            </w:pPr>
            <w:r w:rsidRPr="00E92662">
              <w:rPr>
                <w:sz w:val="20"/>
                <w:szCs w:val="20"/>
              </w:rPr>
              <w:t>Risk minimisation activities</w:t>
            </w:r>
          </w:p>
        </w:tc>
        <w:tc>
          <w:tcPr>
            <w:tcW w:w="650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233343" w14:textId="0EDD079B" w:rsidR="002F13B9" w:rsidRPr="00E92662" w:rsidRDefault="002F13B9" w:rsidP="002F13B9">
            <w:pPr>
              <w:rPr>
                <w:sz w:val="20"/>
                <w:szCs w:val="20"/>
              </w:rPr>
            </w:pPr>
            <w:r w:rsidRPr="00E92662">
              <w:rPr>
                <w:sz w:val="20"/>
                <w:szCs w:val="20"/>
              </w:rPr>
              <w:t>No changes</w:t>
            </w:r>
          </w:p>
        </w:tc>
      </w:tr>
    </w:tbl>
    <w:p w14:paraId="2B040AB5" w14:textId="40A3BA3B" w:rsidR="002F13B9" w:rsidRPr="00145418" w:rsidRDefault="00145418" w:rsidP="00145418">
      <w:pPr>
        <w:pStyle w:val="Comment"/>
        <w:ind w:left="1191" w:hanging="1191"/>
      </w:pPr>
      <w:r w:rsidRPr="00145418">
        <w:rPr>
          <w:b/>
        </w:rPr>
        <w:t>C</w:t>
      </w:r>
      <w:r w:rsidR="002F13B9" w:rsidRPr="00145418">
        <w:rPr>
          <w:b/>
        </w:rPr>
        <w:t>omments:</w:t>
      </w:r>
      <w:r w:rsidR="002F13B9" w:rsidRPr="00145418">
        <w:t xml:space="preserve"> The evaluator has no objection to the above changes, but the sponsor should note the additional recommendations for the ASA.</w:t>
      </w:r>
    </w:p>
    <w:p w14:paraId="551B9EAA" w14:textId="00B5A95D" w:rsidR="002F13B9" w:rsidRPr="002F13B9" w:rsidRDefault="002F13B9" w:rsidP="002F13B9">
      <w:pPr>
        <w:pStyle w:val="Heading5"/>
      </w:pPr>
      <w:r w:rsidRPr="002F13B9">
        <w:t>Suggested wording for conditions of registration</w:t>
      </w:r>
    </w:p>
    <w:p w14:paraId="1FA2C297" w14:textId="77777777" w:rsidR="002F13B9" w:rsidRPr="002F13B9" w:rsidRDefault="002F13B9" w:rsidP="002F13B9">
      <w:r w:rsidRPr="002F13B9">
        <w:t>RMP</w:t>
      </w:r>
      <w:r>
        <w:t xml:space="preserve">: </w:t>
      </w:r>
      <w:r w:rsidRPr="002F13B9">
        <w:t>Any changes to which the sponsor agreed become part of the risk management system, whether they are included in the currently available version of the RMP document, or not included, inadvertently or otherwise.</w:t>
      </w:r>
    </w:p>
    <w:p w14:paraId="420FE4BC" w14:textId="77777777" w:rsidR="002F13B9" w:rsidRPr="002F13B9" w:rsidRDefault="002F13B9" w:rsidP="002F13B9">
      <w:r w:rsidRPr="002F13B9">
        <w:lastRenderedPageBreak/>
        <w:t>The suggested wording is:</w:t>
      </w:r>
    </w:p>
    <w:p w14:paraId="76C6DDE1" w14:textId="77777777" w:rsidR="002F13B9" w:rsidRPr="002F13B9" w:rsidRDefault="002F13B9" w:rsidP="002760E1">
      <w:pPr>
        <w:ind w:left="720"/>
      </w:pPr>
      <w:r w:rsidRPr="002F13B9">
        <w:t xml:space="preserve">The EU-RMP version 1.5 dated 24 September 2015 (data lock point 21 July 2014) with Australian Specific Annex version 2.0 dated 20 October 2015, to be revised to the satisfaction of </w:t>
      </w:r>
      <w:r>
        <w:t>the TGA, should be implemented.</w:t>
      </w:r>
    </w:p>
    <w:p w14:paraId="463AFBEC" w14:textId="77777777" w:rsidR="008E7846" w:rsidRPr="00792A32" w:rsidRDefault="008E7846" w:rsidP="008E7846">
      <w:pPr>
        <w:pStyle w:val="Heading2"/>
      </w:pPr>
      <w:bookmarkStart w:id="128" w:name="_Toc314842510"/>
      <w:bookmarkStart w:id="129" w:name="_Toc462141666"/>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8"/>
      <w:bookmarkEnd w:id="127"/>
      <w:bookmarkEnd w:id="128"/>
      <w:bookmarkEnd w:id="129"/>
    </w:p>
    <w:p w14:paraId="5FDF57E3" w14:textId="77777777" w:rsidR="008E7846" w:rsidRDefault="008E7846" w:rsidP="008E7846">
      <w:bookmarkStart w:id="130" w:name="_Toc247691528"/>
      <w:r>
        <w:t xml:space="preserve">The submission was summarised in the following </w:t>
      </w:r>
      <w:r w:rsidRPr="00EF5C48">
        <w:t xml:space="preserve">Delegate’s </w:t>
      </w:r>
      <w:r>
        <w:t>overview</w:t>
      </w:r>
      <w:r w:rsidRPr="00EF5C48">
        <w:t xml:space="preserve"> and recommendation</w:t>
      </w:r>
      <w:r w:rsidR="0052340A">
        <w:t>s.</w:t>
      </w:r>
    </w:p>
    <w:p w14:paraId="163B806D" w14:textId="77777777" w:rsidR="008E7846" w:rsidRDefault="008E7846" w:rsidP="008E7846">
      <w:pPr>
        <w:pStyle w:val="Heading3"/>
      </w:pPr>
      <w:bookmarkStart w:id="131" w:name="_Toc314842511"/>
      <w:bookmarkStart w:id="132" w:name="_Toc462141667"/>
      <w:r>
        <w:t>Quality</w:t>
      </w:r>
      <w:bookmarkEnd w:id="130"/>
      <w:bookmarkEnd w:id="131"/>
      <w:bookmarkEnd w:id="132"/>
    </w:p>
    <w:p w14:paraId="03BA8ABA" w14:textId="77777777" w:rsidR="00343630" w:rsidRPr="00343630" w:rsidRDefault="00343630" w:rsidP="00343630">
      <w:r>
        <w:rPr>
          <w:lang w:val="en-US"/>
        </w:rPr>
        <w:t>The quality</w:t>
      </w:r>
      <w:r w:rsidRPr="00343630">
        <w:rPr>
          <w:lang w:val="en-US"/>
        </w:rPr>
        <w:t xml:space="preserve"> evaluator was satisfied with the quality aspects of the submission.</w:t>
      </w:r>
    </w:p>
    <w:p w14:paraId="2668ACBB" w14:textId="77777777" w:rsidR="008E7846" w:rsidRDefault="008E7846" w:rsidP="008E7846">
      <w:pPr>
        <w:pStyle w:val="Heading3"/>
      </w:pPr>
      <w:bookmarkStart w:id="133" w:name="_Toc314842512"/>
      <w:bookmarkStart w:id="134" w:name="_Toc462141668"/>
      <w:r>
        <w:t>Nonclinical</w:t>
      </w:r>
      <w:bookmarkEnd w:id="133"/>
      <w:bookmarkEnd w:id="134"/>
    </w:p>
    <w:p w14:paraId="18B74D64" w14:textId="77777777" w:rsidR="00343630" w:rsidRPr="00343630" w:rsidRDefault="00343630" w:rsidP="00343630">
      <w:r w:rsidRPr="00343630">
        <w:t xml:space="preserve">Lumacaftor was shown to act as a CFTR corrector in </w:t>
      </w:r>
      <w:r w:rsidR="0052340A">
        <w:t xml:space="preserve">in </w:t>
      </w:r>
      <w:r w:rsidRPr="00343630">
        <w:t>vit</w:t>
      </w:r>
      <w:r w:rsidR="0052340A">
        <w:t>ro</w:t>
      </w:r>
      <w:r w:rsidRPr="00343630">
        <w:t xml:space="preserve"> experiments with transfected cells and bronchial epithelial cells from cystic fibrosis patients.</w:t>
      </w:r>
    </w:p>
    <w:p w14:paraId="4B20A56F" w14:textId="2A00F3AA" w:rsidR="00343630" w:rsidRPr="00343630" w:rsidRDefault="00343630" w:rsidP="00343630">
      <w:r w:rsidRPr="00343630">
        <w:t>In F508del/F508del-HBE cells (</w:t>
      </w:r>
      <w:r w:rsidR="00A94F3D">
        <w:t>HBE</w:t>
      </w:r>
      <w:r w:rsidRPr="00343630">
        <w:t xml:space="preserve"> cells derived from people homozygous for F508del), IVA alone had minimal effect on chloride transport (a measurement of CFTR function) consistent with little</w:t>
      </w:r>
      <w:r w:rsidR="009D006E">
        <w:t xml:space="preserve"> </w:t>
      </w:r>
      <w:r w:rsidRPr="00343630">
        <w:t>to</w:t>
      </w:r>
      <w:r w:rsidR="009D006E">
        <w:t xml:space="preserve"> </w:t>
      </w:r>
      <w:r w:rsidRPr="00343630">
        <w:t>no F508del-CFTR protein at the cell surface. LUM increased chloride transport to 19% of normal, consistent with LUM directly addressing the defect caused by F508del</w:t>
      </w:r>
      <w:r w:rsidR="0052340A">
        <w:t>,</w:t>
      </w:r>
      <w:r w:rsidRPr="00343630">
        <w:t xml:space="preserve"> to increase the amount of F508del-CFTR protein at the cell surface. LUM/IVA in combination increased the chlor</w:t>
      </w:r>
      <w:r>
        <w:t>ide transport to 27% of normal.</w:t>
      </w:r>
    </w:p>
    <w:p w14:paraId="3E775E54" w14:textId="08993991" w:rsidR="00343630" w:rsidRPr="00343630" w:rsidRDefault="00343630" w:rsidP="00343630">
      <w:r w:rsidRPr="00343630">
        <w:t>Secondary pharmacodynamic stud</w:t>
      </w:r>
      <w:r w:rsidR="0052340A">
        <w:t>ies indicated that l</w:t>
      </w:r>
      <w:r w:rsidRPr="00343630">
        <w:t xml:space="preserve">umacaftor is not a general protein </w:t>
      </w:r>
      <w:r w:rsidR="00145418" w:rsidRPr="00343630">
        <w:t>corrector;</w:t>
      </w:r>
      <w:r w:rsidRPr="00343630">
        <w:t xml:space="preserve"> its effects on protein processing and trafficking are specific to CFTR. It is antagonist for thromboxane A2 receptor. Safety pharmacology studies </w:t>
      </w:r>
      <w:r w:rsidR="0052340A">
        <w:t>identified no acute effects of l</w:t>
      </w:r>
      <w:r w:rsidRPr="00343630">
        <w:t>umacaftor on CNS, respiratory or cardiovascular function, GI motility, stomach emptying or blockade of the hERG K+ channel.</w:t>
      </w:r>
    </w:p>
    <w:p w14:paraId="046A8F8A" w14:textId="77777777" w:rsidR="00343630" w:rsidRPr="00343630" w:rsidRDefault="00343630" w:rsidP="00343630">
      <w:r w:rsidRPr="00343630">
        <w:t>Plasma protein binding is very high in humans and animals. Tissue distribution was rapid and wide after oral administration in rats, entry into the brain was very low. Metabolism of Lumacaftor involved oxidation and glucuronidation, but was not extensive invitro or in</w:t>
      </w:r>
      <w:r w:rsidR="00671E96">
        <w:t xml:space="preserve"> </w:t>
      </w:r>
      <w:r w:rsidRPr="00343630">
        <w:t xml:space="preserve">vivo. Roles for the CYP3A4 and CYP2C8 in the metabolism of Lumacaftor were identified in in vitro experiments with recombinant CYP isoenzymes. Excretion was predominantly via the </w:t>
      </w:r>
      <w:r w:rsidR="00671E96" w:rsidRPr="00343630">
        <w:t>faecal</w:t>
      </w:r>
      <w:r w:rsidRPr="00343630">
        <w:t xml:space="preserve"> route in both rats and humans. In vitro studies indicated potentially clinically relevant pharmacokinetic drug interactions mediated by lumacaftor’s inhibition of CYP2C8, inhibition of </w:t>
      </w:r>
      <w:r w:rsidR="009B151C">
        <w:t>P-gp</w:t>
      </w:r>
      <w:r w:rsidRPr="00343630">
        <w:t xml:space="preserve"> and induction of a wide range of CYPs and transporters via </w:t>
      </w:r>
      <w:r>
        <w:t>pregnane X receptor activation.</w:t>
      </w:r>
    </w:p>
    <w:p w14:paraId="07115E81" w14:textId="77777777" w:rsidR="00343630" w:rsidRPr="00343630" w:rsidRDefault="00343630" w:rsidP="00343630">
      <w:r w:rsidRPr="00343630">
        <w:t>Repeat dose toxicity studies were performed in mice, rats and dogs. No target organs for toxicity were observed for Lumacaftor. Lumacaftor/Ivacaftor combination identified the stoma</w:t>
      </w:r>
      <w:r w:rsidR="00671E96">
        <w:t>ch as the target organ in rats.</w:t>
      </w:r>
    </w:p>
    <w:p w14:paraId="40632546" w14:textId="77777777" w:rsidR="008E7846" w:rsidRDefault="00343630" w:rsidP="008E7846">
      <w:r w:rsidRPr="00343630">
        <w:t>There were no genotoxic or carcinogenic effects identified using the standard battery of tests.</w:t>
      </w:r>
    </w:p>
    <w:p w14:paraId="3699C0ED" w14:textId="77777777" w:rsidR="00343630" w:rsidRDefault="00671E96" w:rsidP="008E7846">
      <w:r>
        <w:t>There were no non</w:t>
      </w:r>
      <w:r w:rsidR="00343630" w:rsidRPr="00343630">
        <w:t xml:space="preserve">clinical objections to the registration of </w:t>
      </w:r>
      <w:r w:rsidR="008B5A3E">
        <w:t>Orkambi</w:t>
      </w:r>
      <w:r w:rsidR="00343630" w:rsidRPr="00343630">
        <w:t xml:space="preserve"> for the proposed indication, however chan</w:t>
      </w:r>
      <w:r>
        <w:t>ges to the PI were recommended.</w:t>
      </w:r>
    </w:p>
    <w:p w14:paraId="438B1D6A" w14:textId="77777777" w:rsidR="008E7846" w:rsidRDefault="008E7846" w:rsidP="008E7846">
      <w:pPr>
        <w:pStyle w:val="Heading3"/>
      </w:pPr>
      <w:bookmarkStart w:id="135" w:name="_Toc247691530"/>
      <w:bookmarkStart w:id="136" w:name="_Toc314842513"/>
      <w:bookmarkStart w:id="137" w:name="_Toc462141669"/>
      <w:r>
        <w:lastRenderedPageBreak/>
        <w:t>Clinical</w:t>
      </w:r>
      <w:bookmarkEnd w:id="135"/>
      <w:bookmarkEnd w:id="136"/>
      <w:bookmarkEnd w:id="137"/>
    </w:p>
    <w:p w14:paraId="4AF432C4" w14:textId="77777777" w:rsidR="00343630" w:rsidRPr="00343630" w:rsidRDefault="00671E96" w:rsidP="00343630">
      <w:pPr>
        <w:pStyle w:val="Heading4"/>
      </w:pPr>
      <w:bookmarkStart w:id="138" w:name="_Toc314842514"/>
      <w:r>
        <w:t>Formulation</w:t>
      </w:r>
    </w:p>
    <w:p w14:paraId="154C5914" w14:textId="77777777" w:rsidR="00343630" w:rsidRPr="00343630" w:rsidRDefault="00343630" w:rsidP="00343630">
      <w:r w:rsidRPr="00343630">
        <w:t>Dissolution and bioavailability studies have predicted similar exposure from th</w:t>
      </w:r>
      <w:r w:rsidR="00303FCD">
        <w:t>e FDC</w:t>
      </w:r>
      <w:r w:rsidR="00671E96">
        <w:t xml:space="preserve"> </w:t>
      </w:r>
      <w:r w:rsidRPr="00343630">
        <w:t>tablet formulation</w:t>
      </w:r>
      <w:r w:rsidR="00A02EC9">
        <w:t xml:space="preserve"> </w:t>
      </w:r>
      <w:r w:rsidRPr="00343630">
        <w:t xml:space="preserve">to the individual tablet formulations for Ivacaftor (slightly higher </w:t>
      </w:r>
      <w:r w:rsidR="008B5A3E" w:rsidRPr="004B7CB2">
        <w:t>C</w:t>
      </w:r>
      <w:r w:rsidR="008B5A3E" w:rsidRPr="008B5A3E">
        <w:rPr>
          <w:vertAlign w:val="subscript"/>
        </w:rPr>
        <w:t>max</w:t>
      </w:r>
      <w:r w:rsidR="00671E96">
        <w:t>) and Lumacaftor.</w:t>
      </w:r>
    </w:p>
    <w:p w14:paraId="2D021FDF" w14:textId="77777777" w:rsidR="00343630" w:rsidRPr="00343630" w:rsidRDefault="00671E96" w:rsidP="00343630">
      <w:pPr>
        <w:pStyle w:val="Heading4"/>
      </w:pPr>
      <w:r>
        <w:t>Pharmacokinetics</w:t>
      </w:r>
    </w:p>
    <w:p w14:paraId="458D6C0D" w14:textId="77777777" w:rsidR="00343630" w:rsidRPr="00343630" w:rsidRDefault="00343630" w:rsidP="00343630">
      <w:r w:rsidRPr="00343630">
        <w:t xml:space="preserve">The proposed dose of IVA in </w:t>
      </w:r>
      <w:r w:rsidR="008B5A3E">
        <w:t>Orkambi</w:t>
      </w:r>
      <w:r w:rsidRPr="00343630">
        <w:t xml:space="preserve"> is higher than that in </w:t>
      </w:r>
      <w:r w:rsidR="008B5A3E">
        <w:t>Kalydeco</w:t>
      </w:r>
      <w:r w:rsidRPr="00343630">
        <w:t xml:space="preserve"> as LUM causes induction of the CYP enzymes and results in reduced IVA exposure.</w:t>
      </w:r>
    </w:p>
    <w:p w14:paraId="5D7717D8" w14:textId="77777777" w:rsidR="00343630" w:rsidRPr="00343630" w:rsidRDefault="00343630" w:rsidP="00343630">
      <w:r w:rsidRPr="00343630">
        <w:t>Following administration of an oral dose of 400</w:t>
      </w:r>
      <w:r w:rsidR="00671E96">
        <w:t xml:space="preserve"> </w:t>
      </w:r>
      <w:r w:rsidRPr="00343630">
        <w:t>mg/250</w:t>
      </w:r>
      <w:r w:rsidR="00671E96">
        <w:t xml:space="preserve"> </w:t>
      </w:r>
      <w:r w:rsidRPr="00343630">
        <w:t xml:space="preserve">mg </w:t>
      </w:r>
      <w:r w:rsidR="008B5A3E">
        <w:t>Orkambi</w:t>
      </w:r>
      <w:r w:rsidRPr="00343630">
        <w:t xml:space="preserve">, the median </w:t>
      </w:r>
      <w:r w:rsidR="00026051" w:rsidRPr="004B7CB2">
        <w:t>T</w:t>
      </w:r>
      <w:r w:rsidR="00026051" w:rsidRPr="00026051">
        <w:rPr>
          <w:vertAlign w:val="subscript"/>
        </w:rPr>
        <w:t>max</w:t>
      </w:r>
      <w:r w:rsidRPr="00343630">
        <w:t xml:space="preserve"> for both co</w:t>
      </w:r>
      <w:r w:rsidR="00671E96">
        <w:t>mponents was at around 4 hours.</w:t>
      </w:r>
    </w:p>
    <w:p w14:paraId="3CDAB39A" w14:textId="77777777" w:rsidR="00343630" w:rsidRPr="00343630" w:rsidRDefault="00343630" w:rsidP="00343630">
      <w:r w:rsidRPr="00343630">
        <w:t xml:space="preserve">The absolute bioavailability of the LUM and IVA component is unknown due to </w:t>
      </w:r>
      <w:r w:rsidR="00C639FF" w:rsidRPr="00343630">
        <w:t>its</w:t>
      </w:r>
      <w:r w:rsidRPr="00343630">
        <w:t xml:space="preserve"> poor solubility and the inability to make an IV formulation. Exposure to LUM and IVA</w:t>
      </w:r>
      <w:r w:rsidR="00A02EC9">
        <w:t xml:space="preserve"> </w:t>
      </w:r>
      <w:r w:rsidRPr="00343630">
        <w:t>is increased in the fed state.</w:t>
      </w:r>
    </w:p>
    <w:p w14:paraId="2D28F7A2" w14:textId="77777777" w:rsidR="00343630" w:rsidRPr="00343630" w:rsidRDefault="0052340A" w:rsidP="00343630">
      <w:r>
        <w:t>The mean Vd</w:t>
      </w:r>
      <w:r w:rsidR="00343630" w:rsidRPr="00343630">
        <w:t xml:space="preserve"> for LUM and IVA were 50.1</w:t>
      </w:r>
      <w:r w:rsidR="00671E96">
        <w:t xml:space="preserve"> </w:t>
      </w:r>
      <w:r w:rsidR="00343630" w:rsidRPr="00343630">
        <w:t>L and 1000</w:t>
      </w:r>
      <w:r w:rsidR="00671E96">
        <w:t xml:space="preserve"> </w:t>
      </w:r>
      <w:r w:rsidR="00343630" w:rsidRPr="00343630">
        <w:t>L respectively. Both LUM and IVA are tightly bound to plasma proteins. LUM does not partition into red blood cells, it is primarily distributed in the circulatory system with low tissue penetration com</w:t>
      </w:r>
      <w:r w:rsidR="00671E96">
        <w:t>pared to IVA.</w:t>
      </w:r>
    </w:p>
    <w:p w14:paraId="17B0CFC8" w14:textId="77777777" w:rsidR="00343630" w:rsidRPr="00343630" w:rsidRDefault="00343630" w:rsidP="00343630">
      <w:r w:rsidRPr="00343630">
        <w:t>LUM is poorly metabolised in man, the majority is excre</w:t>
      </w:r>
      <w:r w:rsidR="009D006E">
        <w:t xml:space="preserve">ted unchanged in the faeces (81 to </w:t>
      </w:r>
      <w:r w:rsidRPr="00343630">
        <w:t xml:space="preserve">93%). The principal form of metabolism is via oxidation and glucuronidation. The main metabolite of LUM is </w:t>
      </w:r>
      <w:r w:rsidR="0026099D">
        <w:t>M2</w:t>
      </w:r>
      <w:r w:rsidRPr="00343630">
        <w:t>8, the pharmacological activity is unknown. IVA is extensively metabolised by CYP3A. The main metabolites of IVA are M1 and M6. M1 has around one sixth of the potency of IVA a</w:t>
      </w:r>
      <w:r w:rsidR="001D0566">
        <w:t>nd is pharmacologically active.</w:t>
      </w:r>
    </w:p>
    <w:p w14:paraId="751FDB88" w14:textId="77777777" w:rsidR="00343630" w:rsidRPr="00343630" w:rsidRDefault="00343630" w:rsidP="00343630">
      <w:r w:rsidRPr="00343630">
        <w:t>The intra and inter</w:t>
      </w:r>
      <w:r w:rsidR="001D0566">
        <w:t xml:space="preserve"> </w:t>
      </w:r>
      <w:r w:rsidRPr="00343630">
        <w:t>subject variability in metabolism of LUM and IVA was &lt; 20%.</w:t>
      </w:r>
    </w:p>
    <w:p w14:paraId="6235F33B" w14:textId="77777777" w:rsidR="00343630" w:rsidRPr="00343630" w:rsidRDefault="00343630" w:rsidP="00343630">
      <w:r w:rsidRPr="00343630">
        <w:t>There is more accumulation of LUM (29 X) than IVA (2.7 fold) after repeated dosing.</w:t>
      </w:r>
    </w:p>
    <w:p w14:paraId="4AC0FDF8" w14:textId="77777777" w:rsidR="00343630" w:rsidRPr="00343630" w:rsidRDefault="00343630" w:rsidP="00343630">
      <w:r w:rsidRPr="00343630">
        <w:t xml:space="preserve">Patients with CF have lower bioavailability of both IVA and LUM than healthy subjects. LUM and IVA </w:t>
      </w:r>
      <w:r w:rsidR="008B5A3E" w:rsidRPr="004B7CB2">
        <w:t>C</w:t>
      </w:r>
      <w:r w:rsidR="008B5A3E" w:rsidRPr="008B5A3E">
        <w:rPr>
          <w:vertAlign w:val="subscript"/>
        </w:rPr>
        <w:t>max</w:t>
      </w:r>
      <w:r w:rsidRPr="00343630">
        <w:t xml:space="preserve"> and AUC were lower in patients with CF than healthy volunteers. The PK values for LUM and IVA are similar in patients with CF who are heterozygous or h</w:t>
      </w:r>
      <w:r w:rsidR="001D0566">
        <w:t>omozygous to the F508 mutation.</w:t>
      </w:r>
    </w:p>
    <w:p w14:paraId="68DBDD45" w14:textId="77777777" w:rsidR="00343630" w:rsidRPr="00343630" w:rsidRDefault="00343630" w:rsidP="00343630">
      <w:r w:rsidRPr="00343630">
        <w:t>CL/F increased with increasing body weight.</w:t>
      </w:r>
    </w:p>
    <w:p w14:paraId="55C49986" w14:textId="77777777" w:rsidR="00343630" w:rsidRPr="00343630" w:rsidRDefault="00343630" w:rsidP="00343630">
      <w:r w:rsidRPr="00343630">
        <w:t xml:space="preserve">When IVA is given with LUM, the mean plasma/time concentration of LUM was similar to that when LUM is given alone, but there was some accumulation after repeated dosing and accumulation of the metabolite </w:t>
      </w:r>
      <w:r w:rsidR="0026099D">
        <w:t>M2</w:t>
      </w:r>
      <w:r w:rsidRPr="00343630">
        <w:t>8.</w:t>
      </w:r>
    </w:p>
    <w:p w14:paraId="72429460" w14:textId="77777777" w:rsidR="00343630" w:rsidRPr="00343630" w:rsidRDefault="00343630" w:rsidP="00343630">
      <w:r w:rsidRPr="00343630">
        <w:t>In contrast the e</w:t>
      </w:r>
      <w:r w:rsidR="009D006E">
        <w:t xml:space="preserve">xposure to IVA decreased (by 70 to </w:t>
      </w:r>
      <w:r w:rsidR="001D0566">
        <w:t>80%)</w:t>
      </w:r>
      <w:r w:rsidRPr="00343630">
        <w:t>, which was thought to be due to LUM induced induction of CYP3A</w:t>
      </w:r>
      <w:r w:rsidR="00A02EC9">
        <w:t xml:space="preserve"> </w:t>
      </w:r>
      <w:r w:rsidRPr="00343630">
        <w:t>with co-administration of the dru</w:t>
      </w:r>
      <w:r w:rsidR="001D0566">
        <w:t>gs.</w:t>
      </w:r>
    </w:p>
    <w:p w14:paraId="7F4319E3" w14:textId="77777777" w:rsidR="00343630" w:rsidRPr="00343630" w:rsidRDefault="00343630" w:rsidP="00343630">
      <w:r w:rsidRPr="00343630">
        <w:t>The administration of ciprofloxacin decreases exposure to LUM by 14% and increases the exposure to IVA by 28%.The administration of the CYP3A inhibitor itraconazole resulted in a 4 fold increase in IVA exposure but no significant change in LUM exposure. The administration of the CYP3A inducer rifampicin had little</w:t>
      </w:r>
      <w:r w:rsidR="009D006E">
        <w:t xml:space="preserve"> </w:t>
      </w:r>
      <w:r w:rsidRPr="00343630">
        <w:t>no effect on mean LUM AUC, in contrast the mean IVA AUC was 67% lower. (this is because</w:t>
      </w:r>
      <w:r w:rsidR="00A02EC9">
        <w:t xml:space="preserve"> </w:t>
      </w:r>
      <w:r w:rsidRPr="00343630">
        <w:t>IVA is a substrate for CYP3A but not LUM).</w:t>
      </w:r>
    </w:p>
    <w:p w14:paraId="4C4512C6" w14:textId="77777777" w:rsidR="00343630" w:rsidRPr="00343630" w:rsidRDefault="00343630" w:rsidP="00343630">
      <w:r w:rsidRPr="00343630">
        <w:t xml:space="preserve">In vitro studies have demonstrated that LUM is an inducer of CYP3A whereas IVA is a weak inhibitor. </w:t>
      </w:r>
      <w:r w:rsidR="00C639FF" w:rsidRPr="00343630">
        <w:t>Neither LUM nor</w:t>
      </w:r>
      <w:r w:rsidRPr="00343630">
        <w:t xml:space="preserve"> IVA is a substrate for P</w:t>
      </w:r>
      <w:r w:rsidR="00C639FF">
        <w:t>-</w:t>
      </w:r>
      <w:r w:rsidRPr="00343630">
        <w:t>gp, however in vivo in Caco-2 cells and vitro studies with Digoxin have indicated that both LUM and IVA are P</w:t>
      </w:r>
      <w:r w:rsidR="00C639FF">
        <w:t>-</w:t>
      </w:r>
      <w:r w:rsidRPr="00343630">
        <w:t>gp inhibitors. Based on data that shows a relationship between CYP3A4</w:t>
      </w:r>
      <w:r w:rsidR="001D0566">
        <w:t xml:space="preserve"> and CYP2B6</w:t>
      </w:r>
      <w:r w:rsidRPr="00343630">
        <w:t xml:space="preserve">, CYP2C8 </w:t>
      </w:r>
      <w:r w:rsidRPr="00343630">
        <w:lastRenderedPageBreak/>
        <w:t>induction activity, LUM is expected to be an inducer of CYP2B6 and reduce exposures of CYP2B6 substrates.</w:t>
      </w:r>
    </w:p>
    <w:p w14:paraId="10EE12C5" w14:textId="77777777" w:rsidR="00343630" w:rsidRPr="00343630" w:rsidRDefault="00343630" w:rsidP="00343630">
      <w:r w:rsidRPr="00343630">
        <w:t>Continuous daily dosing of LUM/IVA is needed as maximal serum concentrations are required to maintain the channel opening effects. A waning of PD effect on sweat chloride begins 1 day after cessation with complete reversal after 6 days.</w:t>
      </w:r>
    </w:p>
    <w:p w14:paraId="1852C511" w14:textId="77777777" w:rsidR="00343630" w:rsidRPr="00343630" w:rsidRDefault="00343630" w:rsidP="00343630">
      <w:pPr>
        <w:pStyle w:val="Heading4"/>
      </w:pPr>
      <w:r w:rsidRPr="00343630">
        <w:t>Pharmacodynamics</w:t>
      </w:r>
    </w:p>
    <w:p w14:paraId="3A5EEB2D" w14:textId="2A8F0352" w:rsidR="00343630" w:rsidRPr="00343630" w:rsidRDefault="001D0566" w:rsidP="00343630">
      <w:pPr>
        <w:pStyle w:val="Heading5"/>
      </w:pPr>
      <w:r>
        <w:t xml:space="preserve">Sweat </w:t>
      </w:r>
      <w:r w:rsidR="00E92662">
        <w:t>c</w:t>
      </w:r>
      <w:r>
        <w:t>hloride</w:t>
      </w:r>
    </w:p>
    <w:p w14:paraId="6670FA8E" w14:textId="77777777" w:rsidR="00343630" w:rsidRPr="00343630" w:rsidRDefault="00343630" w:rsidP="00343630">
      <w:r w:rsidRPr="00343630">
        <w:t>There were no PK/PD studies on the effect of the FDC product on sweat chloride in the target population of subjects with CF who were homozygous to the F508 CFTR mutation. In patients heterozygous to the F508del-CFTR mutation, the FDC at a dose of 400</w:t>
      </w:r>
      <w:r w:rsidR="001D0566">
        <w:t> </w:t>
      </w:r>
      <w:r w:rsidRPr="00343630">
        <w:t>mg/250</w:t>
      </w:r>
      <w:r w:rsidR="001D0566">
        <w:t> </w:t>
      </w:r>
      <w:r w:rsidRPr="00343630">
        <w:t>mg q12hr resulted in a statistically significant reduction (but questionable clinically significant reduction) in sweat chloride (-11.82</w:t>
      </w:r>
      <w:r w:rsidR="001D0566">
        <w:t xml:space="preserve"> </w:t>
      </w:r>
      <w:r w:rsidRPr="00343630">
        <w:t>mmol/L) compared to those who received just LUM (-11.03</w:t>
      </w:r>
      <w:r w:rsidR="001D0566">
        <w:t xml:space="preserve"> </w:t>
      </w:r>
      <w:r w:rsidRPr="00343630">
        <w:t>mmol/L, p</w:t>
      </w:r>
      <w:r w:rsidR="001D0566">
        <w:t xml:space="preserve"> </w:t>
      </w:r>
      <w:r w:rsidR="00026051">
        <w:t xml:space="preserve">&lt; </w:t>
      </w:r>
      <w:r w:rsidRPr="00343630">
        <w:t>0.0001). This co</w:t>
      </w:r>
      <w:r w:rsidR="001D0566">
        <w:t xml:space="preserve">mpares to a decrease of around </w:t>
      </w:r>
      <w:r w:rsidR="001D0566">
        <w:noBreakHyphen/>
      </w:r>
      <w:r w:rsidRPr="00343630">
        <w:t>50</w:t>
      </w:r>
      <w:r w:rsidR="001D0566">
        <w:t> </w:t>
      </w:r>
      <w:r w:rsidRPr="00343630">
        <w:t xml:space="preserve">mmol/L when IVA is given to </w:t>
      </w:r>
      <w:r w:rsidR="001D0566">
        <w:t>patients with gating mutations.</w:t>
      </w:r>
    </w:p>
    <w:p w14:paraId="1749184B" w14:textId="77777777" w:rsidR="00343630" w:rsidRPr="00343630" w:rsidRDefault="00343630" w:rsidP="00343630">
      <w:r w:rsidRPr="00343630">
        <w:t>In patients homozygous to F508, a free dose combination of 200</w:t>
      </w:r>
      <w:r w:rsidR="001D0566">
        <w:t xml:space="preserve"> </w:t>
      </w:r>
      <w:r w:rsidRPr="00343630">
        <w:t>mg LUM and 250</w:t>
      </w:r>
      <w:r w:rsidR="001D0566">
        <w:t xml:space="preserve"> </w:t>
      </w:r>
      <w:r w:rsidRPr="00343630">
        <w:t>mg IVA resulted in a significantly decreased sweat chloride (-9.626</w:t>
      </w:r>
      <w:r w:rsidR="001D0566">
        <w:t xml:space="preserve"> mmol/L from </w:t>
      </w:r>
      <w:r w:rsidR="00E65C2F">
        <w:t>Day</w:t>
      </w:r>
      <w:r w:rsidR="001D0566">
        <w:t xml:space="preserve"> 14 to 21, or </w:t>
      </w:r>
      <w:r w:rsidR="001D0566">
        <w:noBreakHyphen/>
      </w:r>
      <w:r w:rsidRPr="00343630">
        <w:t xml:space="preserve">12.561mmol/L from baseline to </w:t>
      </w:r>
      <w:r w:rsidR="00E65C2F">
        <w:t>Day</w:t>
      </w:r>
      <w:r w:rsidRPr="00343630">
        <w:t xml:space="preserve"> 21) compared to those who received just 200</w:t>
      </w:r>
      <w:r w:rsidR="001D0566">
        <w:t xml:space="preserve"> </w:t>
      </w:r>
      <w:r w:rsidRPr="00343630">
        <w:t>mg LUM</w:t>
      </w:r>
      <w:r w:rsidR="00A02EC9">
        <w:t xml:space="preserve"> </w:t>
      </w:r>
      <w:r w:rsidRPr="00343630">
        <w:t>and 150</w:t>
      </w:r>
      <w:r w:rsidR="001D0566">
        <w:t xml:space="preserve"> </w:t>
      </w:r>
      <w:r w:rsidRPr="00343630">
        <w:t>m</w:t>
      </w:r>
      <w:r w:rsidR="009D006E">
        <w:t>g IVA (-2.679</w:t>
      </w:r>
      <w:r w:rsidR="001D0566">
        <w:t xml:space="preserve"> </w:t>
      </w:r>
      <w:r w:rsidR="009D006E">
        <w:t xml:space="preserve">mmol/L from </w:t>
      </w:r>
      <w:r w:rsidR="00E65C2F">
        <w:t>Day</w:t>
      </w:r>
      <w:r w:rsidR="009D006E">
        <w:t xml:space="preserve"> 14 to </w:t>
      </w:r>
      <w:r w:rsidRPr="00343630">
        <w:t>21 or -6.741</w:t>
      </w:r>
      <w:r w:rsidR="001D0566">
        <w:t xml:space="preserve"> </w:t>
      </w:r>
      <w:r w:rsidRPr="00343630">
        <w:t>m</w:t>
      </w:r>
      <w:r w:rsidR="001D0566">
        <w:t xml:space="preserve">mol/L from baseline to </w:t>
      </w:r>
      <w:r w:rsidR="00E65C2F">
        <w:t>Day</w:t>
      </w:r>
      <w:r w:rsidR="001D0566">
        <w:t xml:space="preserve"> 21).</w:t>
      </w:r>
    </w:p>
    <w:p w14:paraId="6A35AEA4" w14:textId="694417D1" w:rsidR="00343630" w:rsidRPr="00343630" w:rsidRDefault="001D0566" w:rsidP="00343630">
      <w:pPr>
        <w:pStyle w:val="Heading5"/>
      </w:pPr>
      <w:r>
        <w:t xml:space="preserve">Lung </w:t>
      </w:r>
      <w:r w:rsidR="00E92662">
        <w:t>f</w:t>
      </w:r>
      <w:r>
        <w:t>unction</w:t>
      </w:r>
    </w:p>
    <w:p w14:paraId="2879A8AA" w14:textId="77777777" w:rsidR="00343630" w:rsidRPr="00343630" w:rsidRDefault="00343630" w:rsidP="00343630">
      <w:r w:rsidRPr="00343630">
        <w:t>There were no studies examining the effect of the FDC on lung function in patients homozygous to the F508 mutation. In subjects with CF heterozygous to the F508-del mutation, there was no LS mean absolute chang</w:t>
      </w:r>
      <w:r w:rsidR="001D0566">
        <w:t xml:space="preserve">e in </w:t>
      </w:r>
      <w:r w:rsidRPr="00343630">
        <w:t>ppFEV</w:t>
      </w:r>
      <w:r w:rsidR="001D0566">
        <w:t>1</w:t>
      </w:r>
      <w:r w:rsidRPr="00343630">
        <w:t xml:space="preserve"> fro</w:t>
      </w:r>
      <w:r w:rsidR="00E65C2F">
        <w:t>m baseline to D</w:t>
      </w:r>
      <w:r w:rsidR="001D0566">
        <w:t>ay 56 when analys</w:t>
      </w:r>
      <w:r w:rsidRPr="00343630">
        <w:t>ed withi</w:t>
      </w:r>
      <w:r w:rsidR="001D0566">
        <w:t>n group or compared to placebo.</w:t>
      </w:r>
    </w:p>
    <w:p w14:paraId="5E48487D" w14:textId="77777777" w:rsidR="00343630" w:rsidRPr="00343630" w:rsidRDefault="00343630" w:rsidP="00343630">
      <w:r w:rsidRPr="00343630">
        <w:t>In patients homozygous to F508-del given a free combination of 200</w:t>
      </w:r>
      <w:r w:rsidR="001D0566">
        <w:t xml:space="preserve"> </w:t>
      </w:r>
      <w:r w:rsidRPr="00343630">
        <w:t xml:space="preserve">mg LUM </w:t>
      </w:r>
      <w:r w:rsidR="00390D21">
        <w:t>QD</w:t>
      </w:r>
      <w:r w:rsidRPr="00343630">
        <w:t xml:space="preserve"> and 150</w:t>
      </w:r>
      <w:r w:rsidR="001D0566">
        <w:t xml:space="preserve"> mg IVA BD</w:t>
      </w:r>
      <w:r w:rsidRPr="00343630">
        <w:t xml:space="preserve"> there was a within group change in FEV1 of 0.128</w:t>
      </w:r>
      <w:r w:rsidR="001D0566">
        <w:t xml:space="preserve"> </w:t>
      </w:r>
      <w:r w:rsidRPr="00343630">
        <w:t>L, p</w:t>
      </w:r>
      <w:r w:rsidR="001D0566">
        <w:t xml:space="preserve"> </w:t>
      </w:r>
      <w:r w:rsidRPr="00343630">
        <w:t>=</w:t>
      </w:r>
      <w:r w:rsidR="001D0566">
        <w:t xml:space="preserve"> </w:t>
      </w:r>
      <w:r w:rsidRPr="00343630">
        <w:t>0.011 (3.42%),</w:t>
      </w:r>
      <w:r w:rsidR="00A02EC9">
        <w:t xml:space="preserve"> </w:t>
      </w:r>
      <w:r w:rsidRPr="00343630">
        <w:t>or 0.174, p</w:t>
      </w:r>
      <w:r w:rsidR="001D0566">
        <w:t xml:space="preserve"> </w:t>
      </w:r>
      <w:r w:rsidRPr="00343630">
        <w:t>=</w:t>
      </w:r>
      <w:r w:rsidR="001D0566">
        <w:t xml:space="preserve"> </w:t>
      </w:r>
      <w:r w:rsidRPr="00343630">
        <w:t>0.011 (4.9%)</w:t>
      </w:r>
      <w:r w:rsidR="00A02EC9">
        <w:t xml:space="preserve"> </w:t>
      </w:r>
      <w:r w:rsidRPr="00343630">
        <w:t xml:space="preserve">compared to placebo. In contrast, the adjusted mean absolute change from </w:t>
      </w:r>
      <w:r w:rsidR="00E65C2F">
        <w:t>Day</w:t>
      </w:r>
      <w:r w:rsidRPr="00343630">
        <w:t xml:space="preserve"> 14 to </w:t>
      </w:r>
      <w:r w:rsidR="00E65C2F">
        <w:t>Day</w:t>
      </w:r>
      <w:r w:rsidRPr="00343630">
        <w:t xml:space="preserve"> 21 for FEV1 or ppFEV1 for 200mg LUM </w:t>
      </w:r>
      <w:r w:rsidR="00390D21">
        <w:t>QD</w:t>
      </w:r>
      <w:r w:rsidRPr="00343630">
        <w:t xml:space="preserve"> with </w:t>
      </w:r>
      <w:r w:rsidR="002C7662">
        <w:t>250 mg</w:t>
      </w:r>
      <w:r w:rsidRPr="00343630">
        <w:t xml:space="preserve"> IVA </w:t>
      </w:r>
      <w:r w:rsidR="001D0566">
        <w:t>BD</w:t>
      </w:r>
      <w:r w:rsidRPr="00343630">
        <w:t xml:space="preserve"> was not statistically signif</w:t>
      </w:r>
      <w:r w:rsidR="00E65C2F">
        <w:t>icant.</w:t>
      </w:r>
    </w:p>
    <w:p w14:paraId="1611CF3C" w14:textId="77777777" w:rsidR="00343630" w:rsidRPr="00343630" w:rsidRDefault="00343630" w:rsidP="00343630">
      <w:r w:rsidRPr="00343630">
        <w:t xml:space="preserve">Patients homozygous to </w:t>
      </w:r>
      <w:r w:rsidR="009D006E">
        <w:t xml:space="preserve">F508-del given LUM 200mg to </w:t>
      </w:r>
      <w:r w:rsidR="002C7662">
        <w:t>400 mg</w:t>
      </w:r>
      <w:r w:rsidRPr="00343630">
        <w:t xml:space="preserve"> </w:t>
      </w:r>
      <w:r w:rsidR="00390D21">
        <w:t>QD</w:t>
      </w:r>
      <w:r w:rsidRPr="00343630">
        <w:t xml:space="preserve"> had a dose dependent decrease in sweat chloride of 4.9 to 8.2, with a deterioration of lung function of up to 4.6% change in ppFEV1 which was</w:t>
      </w:r>
      <w:r w:rsidR="00E65C2F">
        <w:t xml:space="preserve"> not statistically significant.</w:t>
      </w:r>
    </w:p>
    <w:p w14:paraId="4447F2E2" w14:textId="77777777" w:rsidR="00343630" w:rsidRPr="00343630" w:rsidRDefault="00343630" w:rsidP="00343630">
      <w:r w:rsidRPr="00343630">
        <w:t>There was also trend to greater improvement in lung function seemed with bigger doses. The percentage of subjects who were considered ppFEV1 responders to LUM and IVA was highest in the 400</w:t>
      </w:r>
      <w:r w:rsidR="001D0566">
        <w:t xml:space="preserve"> </w:t>
      </w:r>
      <w:r w:rsidRPr="00343630">
        <w:t>mg LUM q12hr and 250</w:t>
      </w:r>
      <w:r w:rsidR="001D0566">
        <w:t xml:space="preserve"> mg IVA q12hr group.</w:t>
      </w:r>
    </w:p>
    <w:p w14:paraId="173DA9E3" w14:textId="77777777" w:rsidR="00343630" w:rsidRPr="00343630" w:rsidRDefault="00343630" w:rsidP="00343630">
      <w:r w:rsidRPr="00343630">
        <w:t>With the FDC formulation, there was no clear trend between LUM or IVA average trough concentrations versus absolute change in FEV1. There was no clear difference in exposure between subjects with and without pulmonary exacerbations. There was no significant change in liver function p</w:t>
      </w:r>
      <w:r w:rsidR="001D0566">
        <w:t>arameters with increasing dose.</w:t>
      </w:r>
    </w:p>
    <w:p w14:paraId="33AB1E84" w14:textId="77777777" w:rsidR="00343630" w:rsidRPr="00343630" w:rsidRDefault="00343630" w:rsidP="00343630">
      <w:pPr>
        <w:pStyle w:val="Heading4"/>
      </w:pPr>
      <w:r>
        <w:t>E</w:t>
      </w:r>
      <w:r w:rsidRPr="00343630">
        <w:t>fficacy</w:t>
      </w:r>
    </w:p>
    <w:p w14:paraId="46BE7882" w14:textId="01907F2D" w:rsidR="00343630" w:rsidRPr="00343630" w:rsidRDefault="00467DBD" w:rsidP="00343630">
      <w:r>
        <w:t>Assessment in the t</w:t>
      </w:r>
      <w:r w:rsidR="00343630" w:rsidRPr="00343630">
        <w:t>reatment of CF in patients with CF aged 12 years and older who are homozygous for the F508 del mutation in the CFTR gene</w:t>
      </w:r>
      <w:r w:rsidR="001D0566">
        <w:t>.</w:t>
      </w:r>
    </w:p>
    <w:p w14:paraId="1421E2CE" w14:textId="77777777" w:rsidR="00343630" w:rsidRPr="00343630" w:rsidRDefault="00913299" w:rsidP="00E91D82">
      <w:pPr>
        <w:pStyle w:val="Heading5"/>
      </w:pPr>
      <w:r>
        <w:lastRenderedPageBreak/>
        <w:t xml:space="preserve">Study </w:t>
      </w:r>
      <w:r w:rsidR="00343630" w:rsidRPr="00343630">
        <w:t>VX12-809-103</w:t>
      </w:r>
    </w:p>
    <w:p w14:paraId="7306A890" w14:textId="77777777" w:rsidR="00343630" w:rsidRPr="00E91D82" w:rsidRDefault="00E91D82" w:rsidP="00E91D82">
      <w:pPr>
        <w:pStyle w:val="Heading6"/>
      </w:pPr>
      <w:r w:rsidRPr="00E91D82">
        <w:t>Study design</w:t>
      </w:r>
    </w:p>
    <w:p w14:paraId="617D9133" w14:textId="79422360" w:rsidR="00343630" w:rsidRDefault="00E91D82" w:rsidP="00E91D82">
      <w:r w:rsidRPr="00E91D82">
        <w:t>Randomised, double blind, placebo controlled, parallel group multicentre st</w:t>
      </w:r>
      <w:r w:rsidR="001D0566">
        <w:t xml:space="preserve">udy. </w:t>
      </w:r>
      <w:r w:rsidR="009D006E">
        <w:t xml:space="preserve">Conducted between May 2013 to </w:t>
      </w:r>
      <w:r w:rsidRPr="00E91D82">
        <w:t>April 2014</w:t>
      </w:r>
      <w:r w:rsidR="00145418">
        <w:t>.</w:t>
      </w:r>
    </w:p>
    <w:p w14:paraId="29383928" w14:textId="2C59EA48" w:rsidR="00E91D82" w:rsidRDefault="00E91D82" w:rsidP="00E91D82">
      <w:pPr>
        <w:pStyle w:val="Heading6"/>
        <w:rPr>
          <w:lang w:val="en-US"/>
        </w:rPr>
      </w:pPr>
      <w:r w:rsidRPr="00E91D82">
        <w:rPr>
          <w:lang w:val="en-US"/>
        </w:rPr>
        <w:t xml:space="preserve">Primary </w:t>
      </w:r>
      <w:r w:rsidR="00E92662">
        <w:rPr>
          <w:lang w:val="en-US"/>
        </w:rPr>
        <w:t>o</w:t>
      </w:r>
      <w:r w:rsidRPr="00E91D82">
        <w:rPr>
          <w:lang w:val="en-US"/>
        </w:rPr>
        <w:t>bjective</w:t>
      </w:r>
    </w:p>
    <w:p w14:paraId="6CF56F06" w14:textId="77777777" w:rsidR="00E91D82" w:rsidRPr="00E91D82" w:rsidRDefault="00E91D82" w:rsidP="00E91D82">
      <w:r w:rsidRPr="00E91D82">
        <w:t>Efficacy after 24 weeks</w:t>
      </w:r>
      <w:r w:rsidR="001D0566">
        <w:t>.</w:t>
      </w:r>
    </w:p>
    <w:p w14:paraId="1EB11B90" w14:textId="12468F18" w:rsidR="00E91D82" w:rsidRPr="001D0566" w:rsidRDefault="00E91D82" w:rsidP="001D0566">
      <w:r w:rsidRPr="001D0566">
        <w:t>Primary efficacy endpoint was absolute change from</w:t>
      </w:r>
      <w:r w:rsidR="001D0566" w:rsidRPr="001D0566">
        <w:t xml:space="preserve"> baseline in ppFEV1</w:t>
      </w:r>
      <w:r w:rsidR="00145418">
        <w:t xml:space="preserve"> </w:t>
      </w:r>
      <w:r w:rsidR="001D0566" w:rsidRPr="001D0566">
        <w:t xml:space="preserve">at </w:t>
      </w:r>
      <w:r w:rsidR="00E65C2F">
        <w:t>Week</w:t>
      </w:r>
      <w:r w:rsidR="001D0566" w:rsidRPr="001D0566">
        <w:t xml:space="preserve"> 24</w:t>
      </w:r>
      <w:bookmarkStart w:id="139" w:name="_Ref459645554"/>
      <w:r w:rsidR="009E6BAF">
        <w:rPr>
          <w:rStyle w:val="FootnoteReference"/>
        </w:rPr>
        <w:footnoteReference w:id="29"/>
      </w:r>
      <w:bookmarkEnd w:id="139"/>
    </w:p>
    <w:p w14:paraId="0B7B29D3" w14:textId="77777777" w:rsidR="001D0566" w:rsidRPr="001D0566" w:rsidRDefault="001D0566" w:rsidP="001D0566">
      <w:r w:rsidRPr="001D0566">
        <w:t>Secondary endpoints were:</w:t>
      </w:r>
    </w:p>
    <w:p w14:paraId="0F003436" w14:textId="37EC39A7" w:rsidR="001D0566" w:rsidRPr="001D0566" w:rsidRDefault="001D0566" w:rsidP="001D0566">
      <w:pPr>
        <w:pStyle w:val="ListBullet"/>
      </w:pPr>
      <w:r>
        <w:t>r</w:t>
      </w:r>
      <w:r w:rsidR="00E91D82" w:rsidRPr="001D0566">
        <w:t>elative change from</w:t>
      </w:r>
      <w:r>
        <w:t xml:space="preserve"> baseline in ppFEV1</w:t>
      </w:r>
      <w:r w:rsidR="008262B5">
        <w:t xml:space="preserve"> </w:t>
      </w:r>
      <w:r>
        <w:t xml:space="preserve">at </w:t>
      </w:r>
      <w:r w:rsidR="00E65C2F">
        <w:t>Week</w:t>
      </w:r>
      <w:r>
        <w:t xml:space="preserve"> 24</w:t>
      </w:r>
      <w:r w:rsidR="009E6BAF" w:rsidRPr="002760E1">
        <w:rPr>
          <w:vertAlign w:val="superscript"/>
        </w:rPr>
        <w:fldChar w:fldCharType="begin"/>
      </w:r>
      <w:r w:rsidR="009E6BAF" w:rsidRPr="002760E1">
        <w:rPr>
          <w:vertAlign w:val="superscript"/>
        </w:rPr>
        <w:instrText xml:space="preserve"> NOTEREF _Ref459645554 \h </w:instrText>
      </w:r>
      <w:r w:rsidR="009E6BAF">
        <w:rPr>
          <w:vertAlign w:val="superscript"/>
        </w:rPr>
        <w:instrText xml:space="preserve"> \* MERGEFORMAT </w:instrText>
      </w:r>
      <w:r w:rsidR="009E6BAF" w:rsidRPr="002760E1">
        <w:rPr>
          <w:vertAlign w:val="superscript"/>
        </w:rPr>
      </w:r>
      <w:r w:rsidR="009E6BAF" w:rsidRPr="002760E1">
        <w:rPr>
          <w:vertAlign w:val="superscript"/>
        </w:rPr>
        <w:fldChar w:fldCharType="separate"/>
      </w:r>
      <w:r w:rsidR="009E6BAF" w:rsidRPr="002760E1">
        <w:rPr>
          <w:vertAlign w:val="superscript"/>
        </w:rPr>
        <w:t>30</w:t>
      </w:r>
      <w:r w:rsidR="009E6BAF" w:rsidRPr="002760E1">
        <w:rPr>
          <w:vertAlign w:val="superscript"/>
        </w:rPr>
        <w:fldChar w:fldCharType="end"/>
      </w:r>
    </w:p>
    <w:p w14:paraId="15DFA3B5" w14:textId="77777777" w:rsidR="001D0566" w:rsidRPr="001D0566" w:rsidRDefault="00E91D82" w:rsidP="001D0566">
      <w:pPr>
        <w:pStyle w:val="ListBullet"/>
      </w:pPr>
      <w:r w:rsidRPr="001D0566">
        <w:t>absol</w:t>
      </w:r>
      <w:r w:rsidR="002C7662">
        <w:t>ute change from baseline in BMI</w:t>
      </w:r>
    </w:p>
    <w:p w14:paraId="3F98110C" w14:textId="77777777" w:rsidR="001D0566" w:rsidRPr="001D0566" w:rsidRDefault="002C7662" w:rsidP="001D0566">
      <w:pPr>
        <w:pStyle w:val="ListBullet"/>
      </w:pPr>
      <w:r>
        <w:t>a</w:t>
      </w:r>
      <w:r w:rsidR="00E91D82" w:rsidRPr="001D0566">
        <w:t>bsolute change from baseline in CFQ-R</w:t>
      </w:r>
      <w:r>
        <w:t xml:space="preserve"> respiratory domain at </w:t>
      </w:r>
      <w:r w:rsidR="00E65C2F">
        <w:t>Week</w:t>
      </w:r>
      <w:r>
        <w:t xml:space="preserve"> 24</w:t>
      </w:r>
    </w:p>
    <w:p w14:paraId="47D2DF56" w14:textId="77777777" w:rsidR="001D0566" w:rsidRPr="001D0566" w:rsidRDefault="002C7662" w:rsidP="001D0566">
      <w:pPr>
        <w:pStyle w:val="ListBullet"/>
      </w:pPr>
      <w:r>
        <w:t>r</w:t>
      </w:r>
      <w:r w:rsidR="00E91D82" w:rsidRPr="001D0566">
        <w:t xml:space="preserve">esponse defined as a </w:t>
      </w:r>
      <w:r w:rsidR="00026051" w:rsidRPr="001D0566">
        <w:t xml:space="preserve">≥ </w:t>
      </w:r>
      <w:r w:rsidR="00E91D82" w:rsidRPr="001D0566">
        <w:t>5% increase in average rel</w:t>
      </w:r>
      <w:r>
        <w:t>ative change from baseline in ppFEV1</w:t>
      </w:r>
    </w:p>
    <w:p w14:paraId="7FCEC83F" w14:textId="77777777" w:rsidR="00E91D82" w:rsidRPr="001D0566" w:rsidRDefault="00E91D82" w:rsidP="001D0566">
      <w:pPr>
        <w:pStyle w:val="ListBullet"/>
      </w:pPr>
      <w:r w:rsidRPr="001D0566">
        <w:t>Number of exacerbations.</w:t>
      </w:r>
    </w:p>
    <w:p w14:paraId="3AE50934" w14:textId="3BE0A124" w:rsidR="00E91D82" w:rsidRPr="00E91D82" w:rsidRDefault="00E91D82" w:rsidP="00E91D82">
      <w:pPr>
        <w:pStyle w:val="Heading6"/>
      </w:pPr>
      <w:r w:rsidRPr="00E91D82">
        <w:t xml:space="preserve">Secondary </w:t>
      </w:r>
      <w:r w:rsidR="00E92662">
        <w:t>o</w:t>
      </w:r>
      <w:r w:rsidRPr="00E91D82">
        <w:t>bjective</w:t>
      </w:r>
    </w:p>
    <w:p w14:paraId="7F9EF484" w14:textId="77777777" w:rsidR="00E91D82" w:rsidRPr="00E91D82" w:rsidRDefault="005905AE" w:rsidP="005905AE">
      <w:pPr>
        <w:pStyle w:val="ListBullet"/>
        <w:numPr>
          <w:ilvl w:val="0"/>
          <w:numId w:val="0"/>
        </w:numPr>
        <w:ind w:left="360" w:hanging="360"/>
      </w:pPr>
      <w:r>
        <w:t>Secondary objectives were s</w:t>
      </w:r>
      <w:r w:rsidR="00E91D82" w:rsidRPr="00E91D82">
        <w:t>afety</w:t>
      </w:r>
      <w:r>
        <w:t xml:space="preserve"> and PK.</w:t>
      </w:r>
    </w:p>
    <w:p w14:paraId="101769FC" w14:textId="18357A7E" w:rsidR="00E91D82" w:rsidRPr="00E91D82" w:rsidRDefault="00E92662" w:rsidP="00E91D82">
      <w:pPr>
        <w:pStyle w:val="Heading6"/>
      </w:pPr>
      <w:r>
        <w:t>Inclusion c</w:t>
      </w:r>
      <w:r w:rsidR="00E91D82" w:rsidRPr="00E91D82">
        <w:t>riteria</w:t>
      </w:r>
    </w:p>
    <w:p w14:paraId="6D49B01A" w14:textId="77777777" w:rsidR="00E91D82" w:rsidRPr="00E91D82" w:rsidRDefault="00E91D82" w:rsidP="00E91D82">
      <w:pPr>
        <w:pStyle w:val="ListBullet"/>
      </w:pPr>
      <w:r w:rsidRPr="00E91D82">
        <w:t>Male and female&gt; 12 years</w:t>
      </w:r>
    </w:p>
    <w:p w14:paraId="3EF5C131" w14:textId="77777777" w:rsidR="00E91D82" w:rsidRPr="00E91D82" w:rsidRDefault="00E91D82" w:rsidP="00E91D82">
      <w:pPr>
        <w:pStyle w:val="ListBullet"/>
      </w:pPr>
      <w:r w:rsidRPr="00E91D82">
        <w:t>Sweat chloride &gt; 60</w:t>
      </w:r>
      <w:r w:rsidR="002C7662">
        <w:t xml:space="preserve"> </w:t>
      </w:r>
      <w:r w:rsidRPr="00E91D82">
        <w:t>nmol/L by pilocarpine ionotop</w:t>
      </w:r>
      <w:r w:rsidR="002C7662">
        <w:t xml:space="preserve">horesis or CF causing mutations </w:t>
      </w:r>
      <w:r>
        <w:t>and Chronic sinopulmonary disease or</w:t>
      </w:r>
      <w:r w:rsidRPr="00E91D82">
        <w:t xml:space="preserve"> gastrointestinal manifestations</w:t>
      </w:r>
    </w:p>
    <w:p w14:paraId="7501566E" w14:textId="77777777" w:rsidR="00E91D82" w:rsidRPr="00E91D82" w:rsidRDefault="00E91D82" w:rsidP="00E91D82">
      <w:pPr>
        <w:pStyle w:val="ListBullet"/>
      </w:pPr>
      <w:r w:rsidRPr="00E91D82">
        <w:t>homozygous for F508 mutation</w:t>
      </w:r>
    </w:p>
    <w:p w14:paraId="4F5DADCD" w14:textId="77777777" w:rsidR="00E91D82" w:rsidRPr="00E91D82" w:rsidRDefault="009D006E" w:rsidP="002C7662">
      <w:pPr>
        <w:pStyle w:val="ListBullet"/>
      </w:pPr>
      <w:r>
        <w:t xml:space="preserve">At screening FEV1 40 to </w:t>
      </w:r>
      <w:r w:rsidR="00E91D82" w:rsidRPr="00E91D82">
        <w:t>90% predicted for normal age, sex, height</w:t>
      </w:r>
    </w:p>
    <w:p w14:paraId="57E1646B" w14:textId="77777777" w:rsidR="00E91D82" w:rsidRPr="00E91D82" w:rsidRDefault="00E91D82" w:rsidP="002C7662">
      <w:pPr>
        <w:pStyle w:val="ListBullet"/>
      </w:pPr>
      <w:r w:rsidRPr="00E91D82">
        <w:t>Stable CF disease</w:t>
      </w:r>
      <w:r w:rsidR="00C639FF">
        <w:t>.</w:t>
      </w:r>
    </w:p>
    <w:p w14:paraId="7CD639A1" w14:textId="1EDA89ED" w:rsidR="00E91D82" w:rsidRPr="00E91D82" w:rsidRDefault="00E91D82" w:rsidP="00E91D82">
      <w:pPr>
        <w:pStyle w:val="Heading6"/>
      </w:pPr>
      <w:r w:rsidRPr="00E91D82">
        <w:t xml:space="preserve">Study </w:t>
      </w:r>
      <w:r w:rsidR="00E92662">
        <w:t>t</w:t>
      </w:r>
      <w:r w:rsidRPr="00E91D82">
        <w:t>reatments</w:t>
      </w:r>
    </w:p>
    <w:p w14:paraId="416DD0BF" w14:textId="77777777" w:rsidR="00E91D82" w:rsidRPr="00E91D82" w:rsidRDefault="00E91D82" w:rsidP="00E91D82">
      <w:r w:rsidRPr="00E91D82">
        <w:rPr>
          <w:lang w:val="en-US"/>
        </w:rPr>
        <w:t>Screening phase</w:t>
      </w:r>
      <w:r w:rsidR="00C01F38">
        <w:rPr>
          <w:lang w:val="en-US"/>
        </w:rPr>
        <w:t>;</w:t>
      </w:r>
      <w:r w:rsidRPr="00E91D82">
        <w:rPr>
          <w:lang w:val="en-US"/>
        </w:rPr>
        <w:t xml:space="preserve"> 28 days</w:t>
      </w:r>
      <w:r>
        <w:rPr>
          <w:lang w:val="en-US"/>
        </w:rPr>
        <w:t>. Patients were given one of the following:</w:t>
      </w:r>
    </w:p>
    <w:p w14:paraId="2CEE0196" w14:textId="77777777" w:rsidR="00E91D82" w:rsidRPr="00E91D82" w:rsidRDefault="00E91D82" w:rsidP="00E91D82">
      <w:pPr>
        <w:pStyle w:val="ListBullet"/>
        <w:rPr>
          <w:lang w:val="en-US"/>
        </w:rPr>
      </w:pPr>
      <w:r>
        <w:rPr>
          <w:lang w:val="en-US"/>
        </w:rPr>
        <w:t>LUM 600</w:t>
      </w:r>
      <w:r w:rsidR="002C7662">
        <w:rPr>
          <w:lang w:val="en-US"/>
        </w:rPr>
        <w:t xml:space="preserve"> </w:t>
      </w:r>
      <w:r>
        <w:rPr>
          <w:lang w:val="en-US"/>
        </w:rPr>
        <w:t xml:space="preserve">mg </w:t>
      </w:r>
      <w:r w:rsidR="00390D21">
        <w:rPr>
          <w:lang w:val="en-US"/>
        </w:rPr>
        <w:t>QD</w:t>
      </w:r>
      <w:r>
        <w:rPr>
          <w:lang w:val="en-US"/>
        </w:rPr>
        <w:t xml:space="preserve"> IVA 250</w:t>
      </w:r>
      <w:r w:rsidR="002C7662">
        <w:rPr>
          <w:lang w:val="en-US"/>
        </w:rPr>
        <w:t xml:space="preserve"> </w:t>
      </w:r>
      <w:r>
        <w:rPr>
          <w:lang w:val="en-US"/>
        </w:rPr>
        <w:t xml:space="preserve">mg </w:t>
      </w:r>
      <w:r w:rsidR="002C7662">
        <w:rPr>
          <w:lang w:val="en-US"/>
        </w:rPr>
        <w:t>BD</w:t>
      </w:r>
    </w:p>
    <w:p w14:paraId="41BF94EF" w14:textId="77777777" w:rsidR="00E91D82" w:rsidRDefault="00E91D82" w:rsidP="00E91D82">
      <w:pPr>
        <w:pStyle w:val="ListBullet"/>
        <w:rPr>
          <w:lang w:val="en-US"/>
        </w:rPr>
      </w:pPr>
      <w:r>
        <w:rPr>
          <w:lang w:val="en-US"/>
        </w:rPr>
        <w:t>LUM 400</w:t>
      </w:r>
      <w:r w:rsidR="002C7662">
        <w:rPr>
          <w:lang w:val="en-US"/>
        </w:rPr>
        <w:t xml:space="preserve"> </w:t>
      </w:r>
      <w:r>
        <w:rPr>
          <w:lang w:val="en-US"/>
        </w:rPr>
        <w:t xml:space="preserve">mg </w:t>
      </w:r>
      <w:r w:rsidR="00390D21">
        <w:rPr>
          <w:lang w:val="en-US"/>
        </w:rPr>
        <w:t>QD</w:t>
      </w:r>
      <w:r>
        <w:rPr>
          <w:lang w:val="en-US"/>
        </w:rPr>
        <w:t xml:space="preserve"> IVA 250</w:t>
      </w:r>
      <w:r w:rsidR="002C7662">
        <w:rPr>
          <w:lang w:val="en-US"/>
        </w:rPr>
        <w:t xml:space="preserve"> </w:t>
      </w:r>
      <w:r>
        <w:rPr>
          <w:lang w:val="en-US"/>
        </w:rPr>
        <w:t xml:space="preserve">mg </w:t>
      </w:r>
      <w:r w:rsidR="002C7662">
        <w:rPr>
          <w:lang w:val="en-US"/>
        </w:rPr>
        <w:t>BD</w:t>
      </w:r>
    </w:p>
    <w:p w14:paraId="6DC16C90" w14:textId="77777777" w:rsidR="00E91D82" w:rsidRPr="00E91D82" w:rsidRDefault="00E91D82" w:rsidP="00E91D82">
      <w:pPr>
        <w:pStyle w:val="ListBullet"/>
        <w:rPr>
          <w:lang w:val="en-US"/>
        </w:rPr>
      </w:pPr>
      <w:r w:rsidRPr="00E91D82">
        <w:rPr>
          <w:lang w:val="en-US"/>
        </w:rPr>
        <w:t>Placebo</w:t>
      </w:r>
    </w:p>
    <w:p w14:paraId="306EC50D" w14:textId="77777777" w:rsidR="00E91D82" w:rsidRPr="00E54794" w:rsidRDefault="00E54794" w:rsidP="00E54794">
      <w:pPr>
        <w:pStyle w:val="Heading6"/>
      </w:pPr>
      <w:r w:rsidRPr="00E54794">
        <w:t>Statistics</w:t>
      </w:r>
    </w:p>
    <w:p w14:paraId="248A5D90" w14:textId="77777777" w:rsidR="00E54794" w:rsidRPr="00E54794" w:rsidRDefault="00E54794" w:rsidP="00E54794">
      <w:r w:rsidRPr="00E54794">
        <w:t>Sample size: the sample size was determined using the absolute cha</w:t>
      </w:r>
      <w:r w:rsidR="002C7662">
        <w:t xml:space="preserve">nge in ppFEV1; </w:t>
      </w:r>
      <w:r w:rsidRPr="00E54794">
        <w:t>treatment difference 5%, SD 8%, 10% drop out, 2 sided t-test with alpha 0.025 to address multiplicity of the 2 doses and ensure type 1 error of 0.05. A sample size of 501 (167 each treatme</w:t>
      </w:r>
      <w:r w:rsidR="002C7662">
        <w:t>nt group) would give 99% power.</w:t>
      </w:r>
    </w:p>
    <w:p w14:paraId="6B342EFB" w14:textId="77777777" w:rsidR="00E54794" w:rsidRPr="00E54794" w:rsidRDefault="00E54794" w:rsidP="00E54794">
      <w:r w:rsidRPr="00E54794">
        <w:t>The primary analysis for the primary efficacy endpoint used a mixed effec</w:t>
      </w:r>
      <w:r w:rsidR="002C7662">
        <w:t>ts model for repeated measures.</w:t>
      </w:r>
    </w:p>
    <w:p w14:paraId="4BFB52F0" w14:textId="77777777" w:rsidR="00E91D82" w:rsidRPr="00E54794" w:rsidRDefault="00E54794" w:rsidP="00E54794">
      <w:r w:rsidRPr="00E54794">
        <w:t xml:space="preserve">Exacerbations were defined using acceptable criteria. A Wilcoxon rank sum test (stratified by sex, age group at baseline and ppFEV1 at screening) was performed on the number of </w:t>
      </w:r>
      <w:r w:rsidR="00C01F38">
        <w:t>exacerbations from baseline to W</w:t>
      </w:r>
      <w:r w:rsidRPr="00E54794">
        <w:t>eek 24.</w:t>
      </w:r>
    </w:p>
    <w:p w14:paraId="03A98F7E" w14:textId="77777777" w:rsidR="00E91D82" w:rsidRPr="00E54794" w:rsidRDefault="00E54794" w:rsidP="00E54794">
      <w:pPr>
        <w:pStyle w:val="Heading6"/>
      </w:pPr>
      <w:r w:rsidRPr="00E54794">
        <w:lastRenderedPageBreak/>
        <w:t>Baseline</w:t>
      </w:r>
    </w:p>
    <w:p w14:paraId="1AF28122" w14:textId="77777777" w:rsidR="00E54794" w:rsidRPr="00E54794" w:rsidRDefault="00E54794" w:rsidP="00E54794">
      <w:r w:rsidRPr="00E54794">
        <w:t>Overall, 53.7% of subjects were male. The me</w:t>
      </w:r>
      <w:r w:rsidR="009D006E">
        <w:t xml:space="preserve">dian age was 23 years, range 12 to 64years. 28.8% were aged 12 to </w:t>
      </w:r>
      <w:r w:rsidR="00C01F38">
        <w:t>18 years;</w:t>
      </w:r>
      <w:r w:rsidR="002C7662">
        <w:t xml:space="preserve"> 98.2% were Caucasian.</w:t>
      </w:r>
    </w:p>
    <w:p w14:paraId="6450BD35" w14:textId="77777777" w:rsidR="00E54794" w:rsidRPr="00E54794" w:rsidRDefault="009D006E" w:rsidP="00E54794">
      <w:r>
        <w:t>Weight</w:t>
      </w:r>
      <w:r w:rsidR="005905AE">
        <w:t>;</w:t>
      </w:r>
      <w:r>
        <w:t xml:space="preserve"> 59kg (29 to 101</w:t>
      </w:r>
      <w:r w:rsidR="002C7662">
        <w:t xml:space="preserve"> </w:t>
      </w:r>
      <w:r>
        <w:t>kg); BMI 20.9 mg/</w:t>
      </w:r>
      <w:r w:rsidR="002C7662" w:rsidRPr="00910763">
        <w:t>m</w:t>
      </w:r>
      <w:r w:rsidR="002C7662" w:rsidRPr="002C7662">
        <w:rPr>
          <w:vertAlign w:val="superscript"/>
        </w:rPr>
        <w:t>2</w:t>
      </w:r>
      <w:r>
        <w:t xml:space="preserve"> (14.3 to </w:t>
      </w:r>
      <w:r w:rsidR="00E54794" w:rsidRPr="00E54794">
        <w:t>32.2)</w:t>
      </w:r>
      <w:r w:rsidR="005905AE">
        <w:t>.</w:t>
      </w:r>
    </w:p>
    <w:p w14:paraId="08777B84" w14:textId="7C6C7C67" w:rsidR="00E54794" w:rsidRPr="00E54794" w:rsidRDefault="00E54794" w:rsidP="00E54794">
      <w:r w:rsidRPr="00E54794">
        <w:t>ppFEV1</w:t>
      </w:r>
      <w:r w:rsidR="005905AE">
        <w:t>;</w:t>
      </w:r>
      <w:r w:rsidRPr="00E54794">
        <w:t xml:space="preserve"> 60.40% (31</w:t>
      </w:r>
      <w:r w:rsidR="009D006E">
        <w:t xml:space="preserve"> to </w:t>
      </w:r>
      <w:r w:rsidRPr="00E54794">
        <w:t>94</w:t>
      </w:r>
      <w:r w:rsidR="009D006E">
        <w:t xml:space="preserve">). Of these 6.4% &lt; 40; 65.6% 40 to 70, 26.6% 70 to </w:t>
      </w:r>
      <w:r w:rsidRPr="00E54794">
        <w:t>90</w:t>
      </w:r>
      <w:r w:rsidR="00145418">
        <w:t>.</w:t>
      </w:r>
    </w:p>
    <w:p w14:paraId="6ACA2196" w14:textId="68ED7938" w:rsidR="00E54794" w:rsidRPr="00E54794" w:rsidRDefault="00E54794" w:rsidP="00E54794">
      <w:r w:rsidRPr="00E54794">
        <w:t>mean FEV1</w:t>
      </w:r>
      <w:r w:rsidR="005905AE">
        <w:t>;</w:t>
      </w:r>
      <w:r w:rsidRPr="00E54794">
        <w:t xml:space="preserve"> 2.172</w:t>
      </w:r>
      <w:r w:rsidR="002C7662">
        <w:t xml:space="preserve"> </w:t>
      </w:r>
      <w:r w:rsidRPr="00E54794">
        <w:t>L SD 0.62;</w:t>
      </w:r>
      <w:r w:rsidR="00A02EC9">
        <w:t xml:space="preserve"> </w:t>
      </w:r>
      <w:r w:rsidR="00A94F3D">
        <w:t>forced vital capacity</w:t>
      </w:r>
      <w:r w:rsidR="00A94F3D" w:rsidRPr="00E54794">
        <w:t xml:space="preserve"> </w:t>
      </w:r>
      <w:r w:rsidR="00A94F3D">
        <w:t>(</w:t>
      </w:r>
      <w:r w:rsidRPr="00E54794">
        <w:t>FVC</w:t>
      </w:r>
      <w:r w:rsidR="00A94F3D">
        <w:t>)</w:t>
      </w:r>
      <w:r w:rsidRPr="00E54794">
        <w:t xml:space="preserve"> 3.2</w:t>
      </w:r>
      <w:r w:rsidR="002C7662">
        <w:t xml:space="preserve"> </w:t>
      </w:r>
      <w:r w:rsidRPr="00E54794">
        <w:t>L SD 0.87</w:t>
      </w:r>
      <w:r w:rsidR="00145418">
        <w:t>.</w:t>
      </w:r>
    </w:p>
    <w:p w14:paraId="67775EE4" w14:textId="77777777" w:rsidR="00E91D82" w:rsidRDefault="00C01F38" w:rsidP="00E54794">
      <w:r>
        <w:t xml:space="preserve">71.8% were receiving dornase, </w:t>
      </w:r>
      <w:r w:rsidR="00E54794" w:rsidRPr="00E54794">
        <w:t xml:space="preserve">62.7% were </w:t>
      </w:r>
      <w:r>
        <w:t xml:space="preserve">receiving an inhaled antibiotic, </w:t>
      </w:r>
      <w:r w:rsidR="00E54794" w:rsidRPr="00E54794">
        <w:t xml:space="preserve">93.3% received an inhaled </w:t>
      </w:r>
      <w:r w:rsidR="002C7662" w:rsidRPr="00E54794">
        <w:t>bronchodilator</w:t>
      </w:r>
      <w:r>
        <w:t xml:space="preserve">, </w:t>
      </w:r>
      <w:r w:rsidR="00E54794" w:rsidRPr="00E54794">
        <w:t>56.3% rec</w:t>
      </w:r>
      <w:r w:rsidR="00C639FF">
        <w:t>eived inhaled hypertonic saline and</w:t>
      </w:r>
      <w:r>
        <w:t xml:space="preserve"> </w:t>
      </w:r>
      <w:r w:rsidR="00E54794" w:rsidRPr="00E54794">
        <w:t>60.3% received inhaled corticosteroids</w:t>
      </w:r>
      <w:r>
        <w:t>.</w:t>
      </w:r>
    </w:p>
    <w:p w14:paraId="69804424" w14:textId="77777777" w:rsidR="00E54794" w:rsidRPr="00E54794" w:rsidRDefault="005905AE" w:rsidP="00E54794">
      <w:pPr>
        <w:pStyle w:val="TableTitle"/>
      </w:pPr>
      <w:r>
        <w:t>Table 15</w:t>
      </w:r>
      <w:r w:rsidR="00E54794">
        <w:t>. Medical history with an incidence of at least 15% of subjects by preferred term in any treatment group, full analysis set</w:t>
      </w:r>
    </w:p>
    <w:p w14:paraId="78C307D2" w14:textId="77777777" w:rsidR="00E91D82" w:rsidRDefault="00E54794" w:rsidP="00E91D82">
      <w:r>
        <w:rPr>
          <w:noProof/>
          <w:lang w:eastAsia="en-AU"/>
        </w:rPr>
        <w:drawing>
          <wp:inline distT="0" distB="0" distL="0" distR="0" wp14:anchorId="274DE09A" wp14:editId="71AE344E">
            <wp:extent cx="5400040" cy="3342717"/>
            <wp:effectExtent l="0" t="0" r="0" b="0"/>
            <wp:docPr id="1" name="Picture 1" descr="Table 15. Medical history with an incidence of at least 15% of subjects by preferred term in any treatment 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3342717"/>
                    </a:xfrm>
                    <a:prstGeom prst="rect">
                      <a:avLst/>
                    </a:prstGeom>
                  </pic:spPr>
                </pic:pic>
              </a:graphicData>
            </a:graphic>
          </wp:inline>
        </w:drawing>
      </w:r>
    </w:p>
    <w:p w14:paraId="6D0FEEF5" w14:textId="77777777" w:rsidR="00E91D82" w:rsidRPr="00E54794" w:rsidRDefault="00E54794" w:rsidP="00E54794">
      <w:r w:rsidRPr="00E54794">
        <w:t>76.3% had pseudomonas, of these 51.9% were mucoid</w:t>
      </w:r>
      <w:r w:rsidR="00C639FF">
        <w:t xml:space="preserve">; </w:t>
      </w:r>
      <w:r w:rsidRPr="00E54794">
        <w:t xml:space="preserve">41.2% had </w:t>
      </w:r>
      <w:r w:rsidR="00E65C2F" w:rsidRPr="00E54794">
        <w:t>staph</w:t>
      </w:r>
      <w:r w:rsidR="00E65C2F">
        <w:t>ylococcus</w:t>
      </w:r>
      <w:r w:rsidRPr="00E54794">
        <w:t xml:space="preserve"> aureus, 4</w:t>
      </w:r>
      <w:r w:rsidR="00E65C2F">
        <w:t>2.8% had positive cultures for a</w:t>
      </w:r>
      <w:r w:rsidRPr="00E54794">
        <w:t>sper</w:t>
      </w:r>
      <w:r w:rsidR="00E65C2F">
        <w:t>g</w:t>
      </w:r>
      <w:r w:rsidRPr="00E54794">
        <w:t>illus</w:t>
      </w:r>
      <w:r w:rsidR="00E65C2F">
        <w:t>.</w:t>
      </w:r>
    </w:p>
    <w:p w14:paraId="174F2DF5" w14:textId="5EDF66E5" w:rsidR="00E91D82" w:rsidRPr="00E54794" w:rsidRDefault="00E54794" w:rsidP="00E54794">
      <w:pPr>
        <w:pStyle w:val="Heading6"/>
      </w:pPr>
      <w:r w:rsidRPr="00E54794">
        <w:lastRenderedPageBreak/>
        <w:t xml:space="preserve">Primary </w:t>
      </w:r>
      <w:r w:rsidR="00E92662">
        <w:t>e</w:t>
      </w:r>
      <w:r w:rsidRPr="00E54794">
        <w:t xml:space="preserve">fficacy </w:t>
      </w:r>
      <w:r w:rsidR="00E92662">
        <w:t>e</w:t>
      </w:r>
      <w:r w:rsidRPr="00E54794">
        <w:t>ndpoints</w:t>
      </w:r>
    </w:p>
    <w:p w14:paraId="53A2DAB5" w14:textId="77777777" w:rsidR="00E91D82" w:rsidRDefault="00E54794" w:rsidP="00E54794">
      <w:pPr>
        <w:pStyle w:val="TableTitle"/>
      </w:pPr>
      <w:r>
        <w:t xml:space="preserve">Table </w:t>
      </w:r>
      <w:r w:rsidR="005905AE">
        <w:t>16</w:t>
      </w:r>
      <w:r>
        <w:t xml:space="preserve"> </w:t>
      </w:r>
      <w:r w:rsidR="00A50EF6">
        <w:t>Mixed effects model for repeated measures (</w:t>
      </w:r>
      <w:r>
        <w:t>MMRM</w:t>
      </w:r>
      <w:r w:rsidR="00A50EF6">
        <w:t>)</w:t>
      </w:r>
      <w:r>
        <w:t xml:space="preserve"> analysis of average</w:t>
      </w:r>
      <w:r w:rsidR="005905AE">
        <w:t xml:space="preserve"> absolute change fro</w:t>
      </w:r>
      <w:r>
        <w:t xml:space="preserve">m baseline in </w:t>
      </w:r>
      <w:r w:rsidR="00A94F3D">
        <w:t>ppFEV1</w:t>
      </w:r>
      <w:r>
        <w:t xml:space="preserve"> at Week 16 and at Week 24, full analysis set.</w:t>
      </w:r>
    </w:p>
    <w:p w14:paraId="29AD2F44" w14:textId="77777777" w:rsidR="00E54794" w:rsidRDefault="00910763" w:rsidP="00E91D82">
      <w:r>
        <w:rPr>
          <w:noProof/>
          <w:lang w:eastAsia="en-AU"/>
        </w:rPr>
        <w:drawing>
          <wp:inline distT="0" distB="0" distL="0" distR="0" wp14:anchorId="431995AA" wp14:editId="478F6204">
            <wp:extent cx="5400040" cy="2318671"/>
            <wp:effectExtent l="0" t="0" r="0" b="5715"/>
            <wp:docPr id="2" name="Picture 2" descr="Table 16 MMRM analysis of average absolute change form baseline in percent predicted FEV1 at Week 16 and at Week 2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2318671"/>
                    </a:xfrm>
                    <a:prstGeom prst="rect">
                      <a:avLst/>
                    </a:prstGeom>
                  </pic:spPr>
                </pic:pic>
              </a:graphicData>
            </a:graphic>
          </wp:inline>
        </w:drawing>
      </w:r>
    </w:p>
    <w:p w14:paraId="73FB118D" w14:textId="77777777" w:rsidR="00910763" w:rsidRPr="00910763" w:rsidRDefault="00910763" w:rsidP="00910763">
      <w:r w:rsidRPr="00910763">
        <w:t xml:space="preserve">There was an improvement in ppFEV1 in both the </w:t>
      </w:r>
      <w:r w:rsidR="002C7662">
        <w:t>600 mg</w:t>
      </w:r>
      <w:r w:rsidRPr="00910763">
        <w:t xml:space="preserve"> </w:t>
      </w:r>
      <w:r w:rsidR="00390D21">
        <w:t>QD</w:t>
      </w:r>
      <w:r w:rsidRPr="00910763">
        <w:t xml:space="preserve"> (3.5%) and </w:t>
      </w:r>
      <w:r w:rsidR="002C7662">
        <w:t>400 mg</w:t>
      </w:r>
      <w:r w:rsidRPr="00910763">
        <w:t xml:space="preserve"> </w:t>
      </w:r>
      <w:r w:rsidR="002C7662">
        <w:t>BD</w:t>
      </w:r>
      <w:r w:rsidRPr="00910763">
        <w:t xml:space="preserve"> (2.14%) treatment groups. (These difference</w:t>
      </w:r>
      <w:r>
        <w:t>s</w:t>
      </w:r>
      <w:r w:rsidRPr="00910763">
        <w:t xml:space="preserve"> </w:t>
      </w:r>
      <w:r w:rsidR="009D006E">
        <w:t xml:space="preserve">compare to an improvement of 10 to </w:t>
      </w:r>
      <w:r w:rsidRPr="00910763">
        <w:t>12% seen with IVA in gating mutations) Treatment differences w</w:t>
      </w:r>
      <w:r w:rsidR="005905AE">
        <w:t xml:space="preserve">ere noticed as early as </w:t>
      </w:r>
      <w:r w:rsidR="00E65C2F">
        <w:t>Day</w:t>
      </w:r>
      <w:r w:rsidR="005905AE">
        <w:t xml:space="preserve"> 15.</w:t>
      </w:r>
    </w:p>
    <w:p w14:paraId="01DD43DD" w14:textId="77777777" w:rsidR="00E54794" w:rsidRPr="00910763" w:rsidRDefault="00910763" w:rsidP="00910763">
      <w:r w:rsidRPr="00910763">
        <w:t>The proportion of subjects with a 5% absolute increase in FEV1 was 15.2% place</w:t>
      </w:r>
      <w:r>
        <w:t xml:space="preserve">bo, 37.7% LUM </w:t>
      </w:r>
      <w:r w:rsidR="002C7662">
        <w:t>600 mg</w:t>
      </w:r>
      <w:r>
        <w:t xml:space="preserve"> </w:t>
      </w:r>
      <w:r w:rsidR="00390D21">
        <w:t>QD</w:t>
      </w:r>
      <w:r>
        <w:t>/250</w:t>
      </w:r>
      <w:r w:rsidR="00913299">
        <w:t xml:space="preserve"> </w:t>
      </w:r>
      <w:r>
        <w:t xml:space="preserve">IVA </w:t>
      </w:r>
      <w:r w:rsidRPr="00910763">
        <w:t xml:space="preserve">and 23.6% LUM </w:t>
      </w:r>
      <w:r w:rsidR="002C7662">
        <w:t>400 mg</w:t>
      </w:r>
      <w:r w:rsidRPr="00910763">
        <w:t xml:space="preserve"> </w:t>
      </w:r>
      <w:r w:rsidR="002C7662">
        <w:t>BD</w:t>
      </w:r>
      <w:r w:rsidRPr="00910763">
        <w:t>/250</w:t>
      </w:r>
      <w:r w:rsidR="00913299">
        <w:t xml:space="preserve"> </w:t>
      </w:r>
      <w:r w:rsidRPr="00910763">
        <w:t>IVA.</w:t>
      </w:r>
    </w:p>
    <w:p w14:paraId="20812FA8" w14:textId="77777777" w:rsidR="00E54794" w:rsidRPr="00910763" w:rsidRDefault="00910763" w:rsidP="00910763">
      <w:pPr>
        <w:pStyle w:val="Heading6"/>
      </w:pPr>
      <w:r w:rsidRPr="00910763">
        <w:t>Secondary efficacy endpoints</w:t>
      </w:r>
    </w:p>
    <w:p w14:paraId="170E069E" w14:textId="77777777" w:rsidR="00E54794" w:rsidRPr="00E91D82" w:rsidRDefault="00910763" w:rsidP="00910763">
      <w:pPr>
        <w:pStyle w:val="TableTitle"/>
      </w:pPr>
      <w:r>
        <w:t xml:space="preserve">Table </w:t>
      </w:r>
      <w:r w:rsidR="005905AE">
        <w:t>17</w:t>
      </w:r>
      <w:r>
        <w:t xml:space="preserve">. MMRM analysis of average relative change from baseline in </w:t>
      </w:r>
      <w:r w:rsidR="00A94F3D">
        <w:t>ppFEV1</w:t>
      </w:r>
      <w:r>
        <w:t xml:space="preserve"> at Week 16 and at Week 24 full analysis set</w:t>
      </w:r>
    </w:p>
    <w:p w14:paraId="1020A9ED" w14:textId="77777777" w:rsidR="00E91D82" w:rsidRDefault="00910763" w:rsidP="00E91D82">
      <w:r>
        <w:rPr>
          <w:noProof/>
          <w:lang w:eastAsia="en-AU"/>
        </w:rPr>
        <w:drawing>
          <wp:inline distT="0" distB="0" distL="0" distR="0" wp14:anchorId="62B00353" wp14:editId="157C791F">
            <wp:extent cx="5400040" cy="2431339"/>
            <wp:effectExtent l="0" t="0" r="0" b="7620"/>
            <wp:docPr id="3" name="Picture 3" descr="Table 17. MMRM analysis of average relative change from baseline in percent predicted FEV1 at Week 16 and at Week 2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2431339"/>
                    </a:xfrm>
                    <a:prstGeom prst="rect">
                      <a:avLst/>
                    </a:prstGeom>
                  </pic:spPr>
                </pic:pic>
              </a:graphicData>
            </a:graphic>
          </wp:inline>
        </w:drawing>
      </w:r>
    </w:p>
    <w:p w14:paraId="5023AA5C" w14:textId="77777777" w:rsidR="00910763" w:rsidRPr="00910763" w:rsidRDefault="00910763" w:rsidP="00910763">
      <w:r w:rsidRPr="00910763">
        <w:t xml:space="preserve">There was a non-statistically significant trend an improvement in BMI at </w:t>
      </w:r>
      <w:r w:rsidR="00E65C2F">
        <w:t>Week</w:t>
      </w:r>
      <w:r w:rsidRPr="00910763">
        <w:t xml:space="preserve"> 24 in the active treatment groups: the placebo 0.19 kg/</w:t>
      </w:r>
      <w:r w:rsidR="002C7662" w:rsidRPr="00910763">
        <w:t>m</w:t>
      </w:r>
      <w:r w:rsidR="002C7662" w:rsidRPr="002C7662">
        <w:rPr>
          <w:vertAlign w:val="superscript"/>
        </w:rPr>
        <w:t>2</w:t>
      </w:r>
      <w:r w:rsidRPr="00910763">
        <w:t xml:space="preserve">, LUM </w:t>
      </w:r>
      <w:r w:rsidR="002C7662">
        <w:t>600 mg</w:t>
      </w:r>
      <w:r w:rsidRPr="00910763">
        <w:t xml:space="preserve"> </w:t>
      </w:r>
      <w:r w:rsidR="00390D21">
        <w:t>QD</w:t>
      </w:r>
      <w:r w:rsidRPr="00910763">
        <w:t xml:space="preserve">/IVA </w:t>
      </w:r>
      <w:r w:rsidR="002C7662">
        <w:t>250 mg</w:t>
      </w:r>
      <w:r w:rsidRPr="00910763">
        <w:t xml:space="preserve"> </w:t>
      </w:r>
      <w:r w:rsidR="002C7662">
        <w:t>BD</w:t>
      </w:r>
      <w:r w:rsidR="005905AE">
        <w:t xml:space="preserve"> 0.34 </w:t>
      </w:r>
      <w:r w:rsidRPr="00910763">
        <w:t>kg/</w:t>
      </w:r>
      <w:r w:rsidR="002C7662" w:rsidRPr="00910763">
        <w:t>m</w:t>
      </w:r>
      <w:r w:rsidR="002C7662" w:rsidRPr="002C7662">
        <w:rPr>
          <w:vertAlign w:val="superscript"/>
        </w:rPr>
        <w:t>2</w:t>
      </w:r>
      <w:r w:rsidRPr="00910763">
        <w:t xml:space="preserve">, LUM </w:t>
      </w:r>
      <w:r w:rsidR="002C7662">
        <w:t>400 mg</w:t>
      </w:r>
      <w:r w:rsidRPr="00910763">
        <w:t xml:space="preserve"> </w:t>
      </w:r>
      <w:r w:rsidR="002C7662">
        <w:t>BD</w:t>
      </w:r>
      <w:r w:rsidRPr="00910763">
        <w:t xml:space="preserve">/IVA </w:t>
      </w:r>
      <w:r w:rsidR="002C7662">
        <w:t>250 mg</w:t>
      </w:r>
      <w:r w:rsidRPr="00910763">
        <w:t xml:space="preserve"> </w:t>
      </w:r>
      <w:r w:rsidR="002C7662">
        <w:t>BD</w:t>
      </w:r>
      <w:r w:rsidR="00A02EC9">
        <w:t xml:space="preserve"> </w:t>
      </w:r>
      <w:r w:rsidRPr="00910763">
        <w:t>0.32 kg/</w:t>
      </w:r>
      <w:r w:rsidR="002C7662" w:rsidRPr="00910763">
        <w:t>m</w:t>
      </w:r>
      <w:r w:rsidR="002C7662" w:rsidRPr="002C7662">
        <w:rPr>
          <w:vertAlign w:val="superscript"/>
        </w:rPr>
        <w:t>2</w:t>
      </w:r>
      <w:r w:rsidRPr="00910763">
        <w:t xml:space="preserve"> (This compares with</w:t>
      </w:r>
      <w:r w:rsidR="00A02EC9">
        <w:t xml:space="preserve"> </w:t>
      </w:r>
      <w:r w:rsidRPr="00910763">
        <w:t>0.9 kg/</w:t>
      </w:r>
      <w:r w:rsidR="002C7662" w:rsidRPr="00910763">
        <w:t>m</w:t>
      </w:r>
      <w:r w:rsidR="002C7662" w:rsidRPr="002C7662">
        <w:rPr>
          <w:vertAlign w:val="superscript"/>
        </w:rPr>
        <w:t>2</w:t>
      </w:r>
      <w:r w:rsidRPr="00910763">
        <w:t xml:space="preserve"> change with IVA in gating mutations)</w:t>
      </w:r>
      <w:r w:rsidR="002C7662">
        <w:t>.</w:t>
      </w:r>
    </w:p>
    <w:p w14:paraId="034B6D48" w14:textId="77777777" w:rsidR="00910763" w:rsidRPr="00910763" w:rsidRDefault="00910763" w:rsidP="00910763">
      <w:r w:rsidRPr="00910763">
        <w:t xml:space="preserve">There was a </w:t>
      </w:r>
      <w:r w:rsidR="002C7662" w:rsidRPr="00910763">
        <w:t>non-statistically</w:t>
      </w:r>
      <w:r w:rsidRPr="00910763">
        <w:t xml:space="preserve"> significant greater improvement in the CFQ-R in the active compared to the placebo groups: placebo 1.1point, LUM </w:t>
      </w:r>
      <w:r w:rsidR="002C7662">
        <w:t>600 mg</w:t>
      </w:r>
      <w:r w:rsidRPr="00910763">
        <w:t xml:space="preserve"> </w:t>
      </w:r>
      <w:r w:rsidR="00390D21">
        <w:t>QD</w:t>
      </w:r>
      <w:r w:rsidRPr="00910763">
        <w:t xml:space="preserve">/IVA </w:t>
      </w:r>
      <w:r w:rsidR="002C7662">
        <w:t>250 mg</w:t>
      </w:r>
      <w:r w:rsidRPr="00910763">
        <w:t xml:space="preserve"> </w:t>
      </w:r>
      <w:r w:rsidR="002C7662">
        <w:t>BD</w:t>
      </w:r>
      <w:r w:rsidRPr="00910763">
        <w:t xml:space="preserve"> 4.98 points, LUM </w:t>
      </w:r>
      <w:r w:rsidR="002C7662">
        <w:t>400 mg</w:t>
      </w:r>
      <w:r w:rsidRPr="00910763">
        <w:t xml:space="preserve"> </w:t>
      </w:r>
      <w:r w:rsidR="002C7662">
        <w:t>BD</w:t>
      </w:r>
      <w:r w:rsidRPr="00910763">
        <w:t xml:space="preserve">/IVA </w:t>
      </w:r>
      <w:r w:rsidR="002C7662">
        <w:t>250 mg</w:t>
      </w:r>
      <w:r w:rsidRPr="00910763">
        <w:t xml:space="preserve"> </w:t>
      </w:r>
      <w:r w:rsidR="002C7662">
        <w:t>BD</w:t>
      </w:r>
      <w:r w:rsidRPr="00910763">
        <w:t xml:space="preserve"> 2.6 points</w:t>
      </w:r>
      <w:r w:rsidR="002C7662">
        <w:t>.</w:t>
      </w:r>
    </w:p>
    <w:p w14:paraId="7FAC1F2C" w14:textId="77777777" w:rsidR="00910763" w:rsidRDefault="00910763" w:rsidP="00910763">
      <w:pPr>
        <w:pStyle w:val="TableTitle"/>
      </w:pPr>
      <w:r>
        <w:lastRenderedPageBreak/>
        <w:t xml:space="preserve">Table </w:t>
      </w:r>
      <w:r w:rsidR="005905AE">
        <w:t>18</w:t>
      </w:r>
      <w:r>
        <w:t xml:space="preserve">. Response analysis of average relative change from baseline in </w:t>
      </w:r>
      <w:r w:rsidR="00A94F3D">
        <w:t>ppFEV1</w:t>
      </w:r>
      <w:r>
        <w:t xml:space="preserve"> at </w:t>
      </w:r>
      <w:r w:rsidR="00E65C2F">
        <w:t>Week</w:t>
      </w:r>
      <w:r>
        <w:t xml:space="preserve"> 16 a</w:t>
      </w:r>
      <w:r w:rsidR="005905AE">
        <w:t>nd at Week 24 Full analysis set</w:t>
      </w:r>
    </w:p>
    <w:p w14:paraId="0934C7C9" w14:textId="77777777" w:rsidR="00910763" w:rsidRDefault="00910763" w:rsidP="00E91D82">
      <w:r>
        <w:rPr>
          <w:noProof/>
          <w:lang w:eastAsia="en-AU"/>
        </w:rPr>
        <w:drawing>
          <wp:inline distT="0" distB="0" distL="0" distR="0" wp14:anchorId="633F584D" wp14:editId="102B6B1A">
            <wp:extent cx="5400040" cy="1530588"/>
            <wp:effectExtent l="0" t="0" r="0" b="0"/>
            <wp:docPr id="4" name="Picture 4" descr="Table 18. Response analysis of average relative change from baseline in percent predicted FEV1 at week 16 and at Week 2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1530588"/>
                    </a:xfrm>
                    <a:prstGeom prst="rect">
                      <a:avLst/>
                    </a:prstGeom>
                  </pic:spPr>
                </pic:pic>
              </a:graphicData>
            </a:graphic>
          </wp:inline>
        </w:drawing>
      </w:r>
    </w:p>
    <w:p w14:paraId="48E12AAF" w14:textId="77777777" w:rsidR="00910763" w:rsidRDefault="00910763" w:rsidP="00910763">
      <w:pPr>
        <w:pStyle w:val="TableTitle"/>
      </w:pPr>
      <w:r>
        <w:t xml:space="preserve">Table </w:t>
      </w:r>
      <w:r w:rsidR="005905AE">
        <w:t>19</w:t>
      </w:r>
      <w:r>
        <w:t>. Number of pulmonary exacerbations th</w:t>
      </w:r>
      <w:r w:rsidR="005905AE">
        <w:t>rough Week 24 Full analysis set</w:t>
      </w:r>
    </w:p>
    <w:p w14:paraId="012F4C0D" w14:textId="77777777" w:rsidR="00910763" w:rsidRDefault="00F00A02" w:rsidP="00E91D82">
      <w:r>
        <w:rPr>
          <w:noProof/>
          <w:lang w:eastAsia="en-AU"/>
        </w:rPr>
        <w:drawing>
          <wp:inline distT="0" distB="0" distL="0" distR="0" wp14:anchorId="6CB871D9" wp14:editId="7AF494E1">
            <wp:extent cx="5400040" cy="1686939"/>
            <wp:effectExtent l="0" t="0" r="0" b="8890"/>
            <wp:docPr id="5" name="Picture 5" descr="Table 19. Number of pulmonary exacerbations through Week 2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1686939"/>
                    </a:xfrm>
                    <a:prstGeom prst="rect">
                      <a:avLst/>
                    </a:prstGeom>
                  </pic:spPr>
                </pic:pic>
              </a:graphicData>
            </a:graphic>
          </wp:inline>
        </w:drawing>
      </w:r>
    </w:p>
    <w:p w14:paraId="0E854559" w14:textId="77777777" w:rsidR="00910763" w:rsidRDefault="00F00A02" w:rsidP="00E91D82">
      <w:r>
        <w:t>There was a significant improvement in the number of exacerbations.</w:t>
      </w:r>
    </w:p>
    <w:p w14:paraId="29C22AC5" w14:textId="77777777" w:rsidR="00F00A02" w:rsidRDefault="005905AE" w:rsidP="00F00A02">
      <w:pPr>
        <w:pStyle w:val="TableTitle"/>
      </w:pPr>
      <w:r>
        <w:t>Table 20. N</w:t>
      </w:r>
      <w:r w:rsidR="00F00A02">
        <w:t>umber of exacerbations in each treatment group</w:t>
      </w:r>
    </w:p>
    <w:tbl>
      <w:tblPr>
        <w:tblStyle w:val="TableTGAblue"/>
        <w:tblW w:w="0" w:type="auto"/>
        <w:tblLook w:val="04A0" w:firstRow="1" w:lastRow="0" w:firstColumn="1" w:lastColumn="0" w:noHBand="0" w:noVBand="1"/>
      </w:tblPr>
      <w:tblGrid>
        <w:gridCol w:w="2180"/>
        <w:gridCol w:w="1756"/>
        <w:gridCol w:w="2409"/>
        <w:gridCol w:w="2375"/>
      </w:tblGrid>
      <w:tr w:rsidR="00F00A02" w:rsidRPr="002C7662" w14:paraId="653516ED" w14:textId="77777777" w:rsidTr="002760E1">
        <w:trPr>
          <w:cnfStyle w:val="100000000000" w:firstRow="1" w:lastRow="0" w:firstColumn="0" w:lastColumn="0" w:oddVBand="0" w:evenVBand="0" w:oddHBand="0" w:evenHBand="0" w:firstRowFirstColumn="0" w:firstRowLastColumn="0" w:lastRowFirstColumn="0" w:lastRowLastColumn="0"/>
        </w:trPr>
        <w:tc>
          <w:tcPr>
            <w:tcW w:w="2180" w:type="dxa"/>
          </w:tcPr>
          <w:p w14:paraId="18EF98D4" w14:textId="77777777" w:rsidR="00F00A02" w:rsidRPr="002C7662" w:rsidRDefault="00F00A02" w:rsidP="002C7662">
            <w:pPr>
              <w:rPr>
                <w:sz w:val="20"/>
                <w:szCs w:val="20"/>
              </w:rPr>
            </w:pPr>
          </w:p>
        </w:tc>
        <w:tc>
          <w:tcPr>
            <w:tcW w:w="1756" w:type="dxa"/>
          </w:tcPr>
          <w:p w14:paraId="763DB30C" w14:textId="0BC7B70C" w:rsidR="00F00A02" w:rsidRPr="002C7662" w:rsidRDefault="00F00A02" w:rsidP="002760E1">
            <w:pPr>
              <w:rPr>
                <w:b w:val="0"/>
                <w:color w:val="auto"/>
                <w:sz w:val="20"/>
                <w:szCs w:val="20"/>
                <w:lang w:eastAsia="en-US"/>
              </w:rPr>
            </w:pPr>
            <w:r w:rsidRPr="002C7662">
              <w:rPr>
                <w:sz w:val="20"/>
                <w:szCs w:val="20"/>
              </w:rPr>
              <w:t>Placebo</w:t>
            </w:r>
            <w:r w:rsidR="00C530A0">
              <w:rPr>
                <w:sz w:val="20"/>
                <w:szCs w:val="20"/>
              </w:rPr>
              <w:t xml:space="preserve"> </w:t>
            </w:r>
            <w:r w:rsidRPr="002C7662">
              <w:rPr>
                <w:sz w:val="20"/>
                <w:szCs w:val="20"/>
              </w:rPr>
              <w:t>N=184</w:t>
            </w:r>
          </w:p>
        </w:tc>
        <w:tc>
          <w:tcPr>
            <w:tcW w:w="2409" w:type="dxa"/>
          </w:tcPr>
          <w:p w14:paraId="0FF908CB" w14:textId="07C604BB" w:rsidR="00F00A02" w:rsidRPr="002C7662" w:rsidRDefault="00F00A02" w:rsidP="002760E1">
            <w:pPr>
              <w:rPr>
                <w:b w:val="0"/>
                <w:color w:val="auto"/>
                <w:sz w:val="20"/>
                <w:szCs w:val="20"/>
                <w:lang w:eastAsia="en-US"/>
              </w:rPr>
            </w:pPr>
            <w:r w:rsidRPr="002C7662">
              <w:rPr>
                <w:sz w:val="20"/>
                <w:szCs w:val="20"/>
              </w:rPr>
              <w:t xml:space="preserve">LUM </w:t>
            </w:r>
            <w:r w:rsidR="002C7662" w:rsidRPr="002C7662">
              <w:rPr>
                <w:sz w:val="20"/>
                <w:szCs w:val="20"/>
              </w:rPr>
              <w:t>600 mg</w:t>
            </w:r>
            <w:r w:rsidRPr="002C7662">
              <w:rPr>
                <w:sz w:val="20"/>
                <w:szCs w:val="20"/>
              </w:rPr>
              <w:t xml:space="preserve"> </w:t>
            </w:r>
            <w:r w:rsidR="009B151C">
              <w:rPr>
                <w:sz w:val="20"/>
                <w:szCs w:val="20"/>
              </w:rPr>
              <w:t>QD</w:t>
            </w:r>
            <w:r w:rsidRPr="002C7662">
              <w:rPr>
                <w:sz w:val="20"/>
                <w:szCs w:val="20"/>
              </w:rPr>
              <w:t xml:space="preserve">/IVA </w:t>
            </w:r>
            <w:r w:rsidR="002C7662">
              <w:rPr>
                <w:sz w:val="20"/>
                <w:szCs w:val="20"/>
              </w:rPr>
              <w:t>250 mg</w:t>
            </w:r>
            <w:r w:rsidRPr="002C7662">
              <w:rPr>
                <w:sz w:val="20"/>
                <w:szCs w:val="20"/>
              </w:rPr>
              <w:t xml:space="preserve"> </w:t>
            </w:r>
            <w:r w:rsidR="002C7662" w:rsidRPr="002C7662">
              <w:rPr>
                <w:sz w:val="20"/>
                <w:szCs w:val="20"/>
              </w:rPr>
              <w:t>BD</w:t>
            </w:r>
            <w:r w:rsidR="00C530A0">
              <w:rPr>
                <w:sz w:val="20"/>
                <w:szCs w:val="20"/>
              </w:rPr>
              <w:t xml:space="preserve"> </w:t>
            </w:r>
            <w:r w:rsidRPr="002C7662">
              <w:rPr>
                <w:sz w:val="20"/>
                <w:szCs w:val="20"/>
              </w:rPr>
              <w:t>N=183</w:t>
            </w:r>
          </w:p>
        </w:tc>
        <w:tc>
          <w:tcPr>
            <w:tcW w:w="2375" w:type="dxa"/>
          </w:tcPr>
          <w:p w14:paraId="3E4481D1" w14:textId="52B02458" w:rsidR="00F00A02" w:rsidRPr="002C7662" w:rsidRDefault="00F00A02" w:rsidP="002760E1">
            <w:pPr>
              <w:rPr>
                <w:b w:val="0"/>
                <w:color w:val="auto"/>
                <w:sz w:val="20"/>
                <w:szCs w:val="20"/>
                <w:lang w:eastAsia="en-US"/>
              </w:rPr>
            </w:pPr>
            <w:r w:rsidRPr="002C7662">
              <w:rPr>
                <w:sz w:val="20"/>
                <w:szCs w:val="20"/>
              </w:rPr>
              <w:t xml:space="preserve">LUM </w:t>
            </w:r>
            <w:r w:rsidR="002C7662" w:rsidRPr="002C7662">
              <w:rPr>
                <w:sz w:val="20"/>
                <w:szCs w:val="20"/>
              </w:rPr>
              <w:t>400 mg</w:t>
            </w:r>
            <w:r w:rsidRPr="002C7662">
              <w:rPr>
                <w:sz w:val="20"/>
                <w:szCs w:val="20"/>
              </w:rPr>
              <w:t xml:space="preserve"> </w:t>
            </w:r>
            <w:r w:rsidR="002C7662" w:rsidRPr="002C7662">
              <w:rPr>
                <w:sz w:val="20"/>
                <w:szCs w:val="20"/>
              </w:rPr>
              <w:t>BD</w:t>
            </w:r>
            <w:r w:rsidRPr="002C7662">
              <w:rPr>
                <w:sz w:val="20"/>
                <w:szCs w:val="20"/>
              </w:rPr>
              <w:t>/IVA 250</w:t>
            </w:r>
            <w:r w:rsidR="002C7662">
              <w:rPr>
                <w:sz w:val="20"/>
                <w:szCs w:val="20"/>
              </w:rPr>
              <w:t xml:space="preserve"> </w:t>
            </w:r>
            <w:r w:rsidRPr="002C7662">
              <w:rPr>
                <w:sz w:val="20"/>
                <w:szCs w:val="20"/>
              </w:rPr>
              <w:t xml:space="preserve">mg </w:t>
            </w:r>
            <w:r w:rsidR="002C7662" w:rsidRPr="002C7662">
              <w:rPr>
                <w:sz w:val="20"/>
                <w:szCs w:val="20"/>
              </w:rPr>
              <w:t>BD</w:t>
            </w:r>
            <w:r w:rsidR="00C530A0">
              <w:rPr>
                <w:sz w:val="20"/>
                <w:szCs w:val="20"/>
              </w:rPr>
              <w:t xml:space="preserve"> </w:t>
            </w:r>
            <w:r w:rsidRPr="002C7662">
              <w:rPr>
                <w:sz w:val="20"/>
                <w:szCs w:val="20"/>
              </w:rPr>
              <w:t>N=182</w:t>
            </w:r>
          </w:p>
        </w:tc>
      </w:tr>
      <w:tr w:rsidR="00F00A02" w:rsidRPr="002C7662" w14:paraId="2E9C67C7" w14:textId="77777777" w:rsidTr="002760E1">
        <w:tc>
          <w:tcPr>
            <w:tcW w:w="2180" w:type="dxa"/>
          </w:tcPr>
          <w:p w14:paraId="40BD606F" w14:textId="77777777" w:rsidR="00F00A02" w:rsidRPr="002C7662" w:rsidRDefault="00F00A02" w:rsidP="002C7662">
            <w:pPr>
              <w:rPr>
                <w:sz w:val="20"/>
                <w:szCs w:val="20"/>
              </w:rPr>
            </w:pPr>
            <w:r w:rsidRPr="002C7662">
              <w:rPr>
                <w:sz w:val="20"/>
                <w:szCs w:val="20"/>
              </w:rPr>
              <w:t>Having at least one exacerbation</w:t>
            </w:r>
          </w:p>
        </w:tc>
        <w:tc>
          <w:tcPr>
            <w:tcW w:w="1756" w:type="dxa"/>
          </w:tcPr>
          <w:p w14:paraId="3C29501A" w14:textId="77777777" w:rsidR="00F00A02" w:rsidRPr="002C7662" w:rsidRDefault="00F00A02" w:rsidP="002C7662">
            <w:pPr>
              <w:rPr>
                <w:sz w:val="20"/>
                <w:szCs w:val="20"/>
              </w:rPr>
            </w:pPr>
            <w:r w:rsidRPr="002C7662">
              <w:rPr>
                <w:sz w:val="20"/>
                <w:szCs w:val="20"/>
              </w:rPr>
              <w:t>39.7%</w:t>
            </w:r>
          </w:p>
        </w:tc>
        <w:tc>
          <w:tcPr>
            <w:tcW w:w="2409" w:type="dxa"/>
          </w:tcPr>
          <w:p w14:paraId="17F2BDC1" w14:textId="77777777" w:rsidR="00F00A02" w:rsidRPr="002C7662" w:rsidRDefault="00F00A02" w:rsidP="002C7662">
            <w:pPr>
              <w:rPr>
                <w:sz w:val="20"/>
                <w:szCs w:val="20"/>
              </w:rPr>
            </w:pPr>
            <w:r w:rsidRPr="002C7662">
              <w:rPr>
                <w:sz w:val="20"/>
                <w:szCs w:val="20"/>
              </w:rPr>
              <w:t>30.1%</w:t>
            </w:r>
          </w:p>
        </w:tc>
        <w:tc>
          <w:tcPr>
            <w:tcW w:w="2375" w:type="dxa"/>
          </w:tcPr>
          <w:p w14:paraId="56665374" w14:textId="77777777" w:rsidR="00F00A02" w:rsidRPr="002C7662" w:rsidRDefault="00F00A02" w:rsidP="002C7662">
            <w:pPr>
              <w:rPr>
                <w:sz w:val="20"/>
                <w:szCs w:val="20"/>
              </w:rPr>
            </w:pPr>
            <w:r w:rsidRPr="002C7662">
              <w:rPr>
                <w:sz w:val="20"/>
                <w:szCs w:val="20"/>
              </w:rPr>
              <w:t>30.2%</w:t>
            </w:r>
          </w:p>
        </w:tc>
      </w:tr>
      <w:tr w:rsidR="00F00A02" w:rsidRPr="002C7662" w14:paraId="77FEA563" w14:textId="77777777" w:rsidTr="002760E1">
        <w:tc>
          <w:tcPr>
            <w:tcW w:w="2180" w:type="dxa"/>
          </w:tcPr>
          <w:p w14:paraId="41460094" w14:textId="77777777" w:rsidR="00F00A02" w:rsidRPr="002C7662" w:rsidRDefault="00F00A02" w:rsidP="002C7662">
            <w:pPr>
              <w:rPr>
                <w:sz w:val="20"/>
                <w:szCs w:val="20"/>
              </w:rPr>
            </w:pPr>
            <w:r w:rsidRPr="002C7662">
              <w:rPr>
                <w:sz w:val="20"/>
                <w:szCs w:val="20"/>
              </w:rPr>
              <w:t>Exacerbations needing hospitalisation</w:t>
            </w:r>
          </w:p>
        </w:tc>
        <w:tc>
          <w:tcPr>
            <w:tcW w:w="1756" w:type="dxa"/>
          </w:tcPr>
          <w:p w14:paraId="35910BF4" w14:textId="77777777" w:rsidR="00F00A02" w:rsidRPr="002C7662" w:rsidRDefault="00F00A02" w:rsidP="002C7662">
            <w:pPr>
              <w:rPr>
                <w:sz w:val="20"/>
                <w:szCs w:val="20"/>
              </w:rPr>
            </w:pPr>
            <w:r w:rsidRPr="002C7662">
              <w:rPr>
                <w:sz w:val="20"/>
                <w:szCs w:val="20"/>
              </w:rPr>
              <w:t>39</w:t>
            </w:r>
          </w:p>
        </w:tc>
        <w:tc>
          <w:tcPr>
            <w:tcW w:w="2409" w:type="dxa"/>
          </w:tcPr>
          <w:p w14:paraId="18844F7B" w14:textId="77777777" w:rsidR="00F00A02" w:rsidRPr="002C7662" w:rsidRDefault="00F00A02" w:rsidP="002C7662">
            <w:pPr>
              <w:rPr>
                <w:sz w:val="20"/>
                <w:szCs w:val="20"/>
              </w:rPr>
            </w:pPr>
            <w:r w:rsidRPr="002C7662">
              <w:rPr>
                <w:sz w:val="20"/>
                <w:szCs w:val="20"/>
              </w:rPr>
              <w:t>21</w:t>
            </w:r>
          </w:p>
        </w:tc>
        <w:tc>
          <w:tcPr>
            <w:tcW w:w="2375" w:type="dxa"/>
          </w:tcPr>
          <w:p w14:paraId="26E9F23C" w14:textId="77777777" w:rsidR="00F00A02" w:rsidRPr="002C7662" w:rsidRDefault="00F00A02" w:rsidP="002C7662">
            <w:pPr>
              <w:rPr>
                <w:sz w:val="20"/>
                <w:szCs w:val="20"/>
              </w:rPr>
            </w:pPr>
            <w:r w:rsidRPr="002C7662">
              <w:rPr>
                <w:sz w:val="20"/>
                <w:szCs w:val="20"/>
              </w:rPr>
              <w:t>17</w:t>
            </w:r>
          </w:p>
        </w:tc>
      </w:tr>
    </w:tbl>
    <w:p w14:paraId="7F1BACA4" w14:textId="77777777" w:rsidR="00253508" w:rsidRPr="00253508" w:rsidRDefault="00253508" w:rsidP="00253508">
      <w:pPr>
        <w:pStyle w:val="Heading5"/>
      </w:pPr>
      <w:r w:rsidRPr="00253508">
        <w:t>Study VX12-809-104</w:t>
      </w:r>
    </w:p>
    <w:p w14:paraId="63BAFC26" w14:textId="77777777" w:rsidR="00910763" w:rsidRPr="00253508" w:rsidRDefault="00253508" w:rsidP="00253508">
      <w:pPr>
        <w:pStyle w:val="Heading6"/>
      </w:pPr>
      <w:r w:rsidRPr="00253508">
        <w:t>Study design</w:t>
      </w:r>
    </w:p>
    <w:p w14:paraId="17681F4A" w14:textId="77777777" w:rsidR="00F00A02" w:rsidRPr="00253508" w:rsidRDefault="002C7662" w:rsidP="00253508">
      <w:r>
        <w:t>As per Study</w:t>
      </w:r>
      <w:r w:rsidR="00253508" w:rsidRPr="00253508">
        <w:t>103</w:t>
      </w:r>
      <w:r w:rsidR="005905AE">
        <w:t>.</w:t>
      </w:r>
    </w:p>
    <w:p w14:paraId="1085196D" w14:textId="77777777" w:rsidR="00F00A02" w:rsidRPr="00253508" w:rsidRDefault="00253508" w:rsidP="00253508">
      <w:pPr>
        <w:pStyle w:val="Heading6"/>
      </w:pPr>
      <w:r w:rsidRPr="00253508">
        <w:t>Baseline characteristics</w:t>
      </w:r>
    </w:p>
    <w:p w14:paraId="5D2D1F45" w14:textId="77777777" w:rsidR="00253508" w:rsidRPr="00253508" w:rsidRDefault="00253508" w:rsidP="00253508">
      <w:r w:rsidRPr="00253508">
        <w:t>47.9% were male</w:t>
      </w:r>
      <w:r w:rsidR="005905AE">
        <w:t xml:space="preserve">. </w:t>
      </w:r>
      <w:r w:rsidR="009D006E">
        <w:t>Median age</w:t>
      </w:r>
      <w:r w:rsidR="00C639FF">
        <w:t xml:space="preserve"> 24 years, range 12 to 55 years;</w:t>
      </w:r>
      <w:r w:rsidR="009D006E">
        <w:t xml:space="preserve"> 23.6% 12 to </w:t>
      </w:r>
      <w:r w:rsidRPr="00253508">
        <w:t>18 years</w:t>
      </w:r>
      <w:r w:rsidR="002C7662">
        <w:t>.</w:t>
      </w:r>
    </w:p>
    <w:p w14:paraId="27158E82" w14:textId="77777777" w:rsidR="00253508" w:rsidRPr="00253508" w:rsidRDefault="009D006E" w:rsidP="00253508">
      <w:r>
        <w:t>Median weight 57</w:t>
      </w:r>
      <w:r w:rsidR="002C7662">
        <w:t xml:space="preserve"> </w:t>
      </w:r>
      <w:r>
        <w:t xml:space="preserve">kg, range 27 to </w:t>
      </w:r>
      <w:r w:rsidR="00253508" w:rsidRPr="00253508">
        <w:t>105</w:t>
      </w:r>
      <w:r w:rsidR="002C7662">
        <w:t xml:space="preserve"> </w:t>
      </w:r>
      <w:r w:rsidR="00253508" w:rsidRPr="00253508">
        <w:t>kg. BMI 21</w:t>
      </w:r>
      <w:r w:rsidR="002C7662">
        <w:t xml:space="preserve"> </w:t>
      </w:r>
      <w:r w:rsidR="00253508" w:rsidRPr="00253508">
        <w:t>kg/</w:t>
      </w:r>
      <w:r w:rsidR="002C7662" w:rsidRPr="00910763">
        <w:t>m</w:t>
      </w:r>
      <w:r w:rsidR="002C7662" w:rsidRPr="002C7662">
        <w:rPr>
          <w:vertAlign w:val="superscript"/>
        </w:rPr>
        <w:t>2</w:t>
      </w:r>
      <w:r w:rsidR="002C7662">
        <w:t xml:space="preserve">, range 14 to </w:t>
      </w:r>
      <w:r w:rsidR="00E65C2F">
        <w:t>35.1. BMI-z -0.4230 (</w:t>
      </w:r>
      <w:r w:rsidR="00E65C2F">
        <w:noBreakHyphen/>
      </w:r>
      <w:r w:rsidR="00253508" w:rsidRPr="00253508">
        <w:t>2.857-1.470)</w:t>
      </w:r>
      <w:r w:rsidR="00C639FF">
        <w:t>.</w:t>
      </w:r>
    </w:p>
    <w:p w14:paraId="0108CF0C" w14:textId="77777777" w:rsidR="00253508" w:rsidRPr="00253508" w:rsidRDefault="00253508" w:rsidP="00253508">
      <w:r w:rsidRPr="00253508">
        <w:t>ppFEV1</w:t>
      </w:r>
      <w:r w:rsidR="005905AE">
        <w:t>;</w:t>
      </w:r>
      <w:r w:rsidRPr="00253508">
        <w:t xml:space="preserve"> 60.5 SD 14. 8.2% &lt; 40; 6</w:t>
      </w:r>
      <w:r w:rsidR="009D006E">
        <w:t xml:space="preserve">3%40 to 70, 26.7% 70 to </w:t>
      </w:r>
      <w:r w:rsidR="002C7662">
        <w:t>90</w:t>
      </w:r>
      <w:r w:rsidR="005905AE">
        <w:t>.</w:t>
      </w:r>
    </w:p>
    <w:p w14:paraId="49FBAD37" w14:textId="77777777" w:rsidR="00253508" w:rsidRPr="00253508" w:rsidRDefault="00253508" w:rsidP="00253508">
      <w:r w:rsidRPr="00253508">
        <w:t>FEV1</w:t>
      </w:r>
      <w:r w:rsidR="005905AE">
        <w:t>;</w:t>
      </w:r>
      <w:r w:rsidRPr="00253508">
        <w:t xml:space="preserve"> 2.138L SD 0.66; FVC 3.182L SD 0.9123</w:t>
      </w:r>
      <w:r w:rsidR="005905AE">
        <w:t>.</w:t>
      </w:r>
    </w:p>
    <w:p w14:paraId="5730F71D" w14:textId="77777777" w:rsidR="00253508" w:rsidRPr="00253508" w:rsidRDefault="00253508" w:rsidP="00253508">
      <w:r w:rsidRPr="00253508">
        <w:t>80.3% receiving dornase</w:t>
      </w:r>
      <w:r w:rsidR="005905AE">
        <w:t xml:space="preserve">. </w:t>
      </w:r>
      <w:r w:rsidRPr="00253508">
        <w:t>66.4% receiving inhaled antibiotics</w:t>
      </w:r>
      <w:r w:rsidR="005905AE">
        <w:t xml:space="preserve">. </w:t>
      </w:r>
      <w:r w:rsidRPr="00253508">
        <w:t>91.6% receiving inhaled bronchodilators</w:t>
      </w:r>
      <w:r w:rsidR="005905AE">
        <w:t xml:space="preserve">. </w:t>
      </w:r>
      <w:r w:rsidRPr="00253508">
        <w:t>59.9% receiving inhaled hypertonic saline</w:t>
      </w:r>
      <w:r w:rsidR="005905AE">
        <w:t xml:space="preserve">. </w:t>
      </w:r>
      <w:r w:rsidRPr="00253508">
        <w:t>56.2% re</w:t>
      </w:r>
      <w:r w:rsidR="005905AE">
        <w:t xml:space="preserve">ceiving inhaled corticosteroids. </w:t>
      </w:r>
      <w:r w:rsidRPr="00253508">
        <w:t>71.9% positive pseudomonas aeruginosa</w:t>
      </w:r>
      <w:r w:rsidR="00C639FF">
        <w:t>.</w:t>
      </w:r>
    </w:p>
    <w:p w14:paraId="0C84FA91" w14:textId="77777777" w:rsidR="00F00A02" w:rsidRDefault="00253508" w:rsidP="00253508">
      <w:pPr>
        <w:pStyle w:val="TableTitle"/>
      </w:pPr>
      <w:r>
        <w:lastRenderedPageBreak/>
        <w:t xml:space="preserve">Table </w:t>
      </w:r>
      <w:r w:rsidR="005905AE">
        <w:t>21</w:t>
      </w:r>
      <w:r>
        <w:t>. Medical history with an incidence of at least 15% of subjects by preferred term in any treatment group, full analysis set</w:t>
      </w:r>
    </w:p>
    <w:p w14:paraId="648D36C9" w14:textId="77777777" w:rsidR="00910763" w:rsidRDefault="00253508" w:rsidP="00E91D82">
      <w:r>
        <w:rPr>
          <w:noProof/>
          <w:lang w:eastAsia="en-AU"/>
        </w:rPr>
        <w:drawing>
          <wp:inline distT="0" distB="0" distL="0" distR="0" wp14:anchorId="1400701B" wp14:editId="6FD972BA">
            <wp:extent cx="5400040" cy="4493110"/>
            <wp:effectExtent l="0" t="0" r="0" b="3175"/>
            <wp:docPr id="7" name="Picture 7" descr="Table 21. Medical history with an incidence of at least 15% of subjects by preferred term in any treatment group,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4493110"/>
                    </a:xfrm>
                    <a:prstGeom prst="rect">
                      <a:avLst/>
                    </a:prstGeom>
                  </pic:spPr>
                </pic:pic>
              </a:graphicData>
            </a:graphic>
          </wp:inline>
        </w:drawing>
      </w:r>
    </w:p>
    <w:p w14:paraId="187B9A02" w14:textId="77777777" w:rsidR="00253508" w:rsidRDefault="00253508" w:rsidP="00253508">
      <w:pPr>
        <w:pStyle w:val="Heading6"/>
      </w:pPr>
      <w:r w:rsidRPr="00253508">
        <w:t>Primary efficacy endpoint</w:t>
      </w:r>
    </w:p>
    <w:p w14:paraId="58D00229" w14:textId="77777777" w:rsidR="00253508" w:rsidRPr="00253508" w:rsidRDefault="00253508" w:rsidP="00253508">
      <w:r w:rsidRPr="00253508">
        <w:t>There was a statistically significant impro</w:t>
      </w:r>
      <w:r w:rsidR="002C7662">
        <w:t>vement in absolute change in pp</w:t>
      </w:r>
      <w:r w:rsidRPr="00253508">
        <w:t xml:space="preserve">FEV1 in both treatment arms, beginning at </w:t>
      </w:r>
      <w:r w:rsidR="00E65C2F">
        <w:t>Week</w:t>
      </w:r>
      <w:r w:rsidRPr="00253508">
        <w:t xml:space="preserve"> 15. A 5% improvement in ppFEV1 was seen in 12.8% of the placebo group, 30.8% of the LUM </w:t>
      </w:r>
      <w:r w:rsidR="002C7662">
        <w:t>600 mg</w:t>
      </w:r>
      <w:r w:rsidRPr="00253508">
        <w:t xml:space="preserve"> </w:t>
      </w:r>
      <w:r w:rsidR="009B151C">
        <w:t>QD</w:t>
      </w:r>
      <w:r w:rsidRPr="00253508">
        <w:t xml:space="preserve">/IVA </w:t>
      </w:r>
      <w:r w:rsidR="002C7662">
        <w:t>250 mg</w:t>
      </w:r>
      <w:r w:rsidRPr="00253508">
        <w:t xml:space="preserve"> </w:t>
      </w:r>
      <w:r w:rsidR="002C7662">
        <w:t>BD</w:t>
      </w:r>
      <w:r w:rsidRPr="00253508">
        <w:t xml:space="preserve"> group and 29.9% of the</w:t>
      </w:r>
      <w:r w:rsidR="00A02EC9">
        <w:t xml:space="preserve"> </w:t>
      </w:r>
      <w:r w:rsidRPr="00253508">
        <w:t xml:space="preserve">LUM </w:t>
      </w:r>
      <w:r w:rsidR="002C7662">
        <w:t>400 mg</w:t>
      </w:r>
      <w:r w:rsidRPr="00253508">
        <w:t xml:space="preserve"> </w:t>
      </w:r>
      <w:r w:rsidR="002C7662">
        <w:t>BD</w:t>
      </w:r>
      <w:r w:rsidRPr="00253508">
        <w:t xml:space="preserve">/IVA </w:t>
      </w:r>
      <w:r w:rsidR="002C7662">
        <w:t>250 mg</w:t>
      </w:r>
      <w:r w:rsidRPr="00253508">
        <w:t xml:space="preserve"> </w:t>
      </w:r>
      <w:r w:rsidR="002C7662">
        <w:t>BD</w:t>
      </w:r>
      <w:r w:rsidRPr="00253508">
        <w:t xml:space="preserve"> groups.</w:t>
      </w:r>
    </w:p>
    <w:p w14:paraId="3EEFCB04" w14:textId="77777777" w:rsidR="00253508" w:rsidRDefault="00A772FE" w:rsidP="00253508">
      <w:pPr>
        <w:pStyle w:val="TableTitle"/>
      </w:pPr>
      <w:r>
        <w:t>Table 22</w:t>
      </w:r>
      <w:r w:rsidR="00253508">
        <w:t xml:space="preserve">. MMRM analysis of average absolute change from baseline in </w:t>
      </w:r>
      <w:r w:rsidR="00A94F3D">
        <w:t>ppFEV1</w:t>
      </w:r>
      <w:r w:rsidR="00253508">
        <w:t xml:space="preserve"> at Week 16 and at Week 24, full analysis set</w:t>
      </w:r>
    </w:p>
    <w:p w14:paraId="104C366B" w14:textId="77777777" w:rsidR="00253508" w:rsidRDefault="00253508" w:rsidP="00253508">
      <w:r>
        <w:rPr>
          <w:noProof/>
          <w:lang w:eastAsia="en-AU"/>
        </w:rPr>
        <w:drawing>
          <wp:inline distT="0" distB="0" distL="0" distR="0" wp14:anchorId="04134F3F" wp14:editId="73D3D928">
            <wp:extent cx="5400040" cy="2390210"/>
            <wp:effectExtent l="0" t="0" r="0" b="0"/>
            <wp:docPr id="8" name="Picture 8" descr="Table 22. MMRM analysis of average absolute change from baseline in percent predicted FEV1 at Week 16 and at Week 2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2390210"/>
                    </a:xfrm>
                    <a:prstGeom prst="rect">
                      <a:avLst/>
                    </a:prstGeom>
                  </pic:spPr>
                </pic:pic>
              </a:graphicData>
            </a:graphic>
          </wp:inline>
        </w:drawing>
      </w:r>
    </w:p>
    <w:p w14:paraId="56D051CE" w14:textId="77777777" w:rsidR="00253508" w:rsidRDefault="00253508" w:rsidP="00253508">
      <w:pPr>
        <w:pStyle w:val="Heading6"/>
      </w:pPr>
      <w:r>
        <w:lastRenderedPageBreak/>
        <w:t>Secondary endpoints</w:t>
      </w:r>
    </w:p>
    <w:p w14:paraId="10DF28C0" w14:textId="77777777" w:rsidR="00253508" w:rsidRPr="00253508" w:rsidRDefault="00A772FE" w:rsidP="00253508">
      <w:pPr>
        <w:pStyle w:val="TableTitle"/>
      </w:pPr>
      <w:r>
        <w:t>Table 23</w:t>
      </w:r>
      <w:r w:rsidR="00253508" w:rsidRPr="00253508">
        <w:t>. MMRM analysis</w:t>
      </w:r>
      <w:r>
        <w:t xml:space="preserve"> of average relative change from</w:t>
      </w:r>
      <w:r w:rsidR="00253508" w:rsidRPr="00253508">
        <w:t xml:space="preserve"> bas</w:t>
      </w:r>
      <w:r>
        <w:t>e</w:t>
      </w:r>
      <w:r w:rsidR="00253508" w:rsidRPr="00253508">
        <w:t xml:space="preserve">line in </w:t>
      </w:r>
      <w:r w:rsidR="00A94F3D">
        <w:t>ppFEV1</w:t>
      </w:r>
      <w:r w:rsidR="00253508" w:rsidRPr="00253508">
        <w:t xml:space="preserve"> at Week 16 and at Week 24, full analysis set</w:t>
      </w:r>
    </w:p>
    <w:p w14:paraId="5C2B0A37" w14:textId="77777777" w:rsidR="00253508" w:rsidRDefault="00253508" w:rsidP="00253508">
      <w:r>
        <w:rPr>
          <w:noProof/>
          <w:lang w:eastAsia="en-AU"/>
        </w:rPr>
        <w:drawing>
          <wp:inline distT="0" distB="0" distL="0" distR="0" wp14:anchorId="213ED95B" wp14:editId="03253B6C">
            <wp:extent cx="5400040" cy="2378671"/>
            <wp:effectExtent l="0" t="0" r="0" b="3175"/>
            <wp:docPr id="9" name="Picture 9" descr="Table 23. MMRM analysis of average relative change from baseline in percent predicted FEV1 at Week 16 and at Week 2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2378671"/>
                    </a:xfrm>
                    <a:prstGeom prst="rect">
                      <a:avLst/>
                    </a:prstGeom>
                  </pic:spPr>
                </pic:pic>
              </a:graphicData>
            </a:graphic>
          </wp:inline>
        </w:drawing>
      </w:r>
    </w:p>
    <w:p w14:paraId="7A33D038" w14:textId="77777777" w:rsidR="00253508" w:rsidRDefault="00A772FE" w:rsidP="00694689">
      <w:pPr>
        <w:pStyle w:val="FigureTitle"/>
      </w:pPr>
      <w:r>
        <w:t>Figure 4.</w:t>
      </w:r>
      <w:r w:rsidR="00694689">
        <w:t xml:space="preserve"> Absolute change from baseline in BMI (kg/</w:t>
      </w:r>
      <w:r w:rsidR="002C7662" w:rsidRPr="00910763">
        <w:t>m</w:t>
      </w:r>
      <w:r w:rsidR="002C7662" w:rsidRPr="002C7662">
        <w:rPr>
          <w:vertAlign w:val="superscript"/>
        </w:rPr>
        <w:t>2</w:t>
      </w:r>
      <w:r w:rsidR="00694689">
        <w:t>) at each visit full analysis set</w:t>
      </w:r>
    </w:p>
    <w:p w14:paraId="30C7F84B" w14:textId="77777777" w:rsidR="00253508" w:rsidRDefault="00694689" w:rsidP="00253508">
      <w:r>
        <w:rPr>
          <w:noProof/>
          <w:lang w:eastAsia="en-AU"/>
        </w:rPr>
        <w:drawing>
          <wp:inline distT="0" distB="0" distL="0" distR="0" wp14:anchorId="46655D06" wp14:editId="39AE9144">
            <wp:extent cx="5400040" cy="2581173"/>
            <wp:effectExtent l="0" t="0" r="0" b="0"/>
            <wp:docPr id="10" name="Picture 10" descr="Figure 4. Absolute change from baseline in BMI (kg/m2) at each visi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2581173"/>
                    </a:xfrm>
                    <a:prstGeom prst="rect">
                      <a:avLst/>
                    </a:prstGeom>
                  </pic:spPr>
                </pic:pic>
              </a:graphicData>
            </a:graphic>
          </wp:inline>
        </w:drawing>
      </w:r>
    </w:p>
    <w:p w14:paraId="028D2A25" w14:textId="77777777" w:rsidR="00253508" w:rsidRPr="00694689" w:rsidRDefault="00694689" w:rsidP="00694689">
      <w:r w:rsidRPr="00694689">
        <w:t>There was a significant improvement in BMI in both IVA/LUM treatment arms.</w:t>
      </w:r>
    </w:p>
    <w:p w14:paraId="7C967932" w14:textId="46EAA591" w:rsidR="00694689" w:rsidRPr="00694689" w:rsidRDefault="00694689" w:rsidP="00694689">
      <w:r w:rsidRPr="00694689">
        <w:t>There was a significant within group change in CFQ-R in all groups, which was numerically but not statistically greater in the treatment than t</w:t>
      </w:r>
      <w:r w:rsidR="00145418">
        <w:t>he placebo groups (2.81 placebo;</w:t>
      </w:r>
      <w:r w:rsidRPr="00694689">
        <w:t xml:space="preserve"> 5.02 </w:t>
      </w:r>
      <w:r w:rsidR="002C7662">
        <w:t>600 mg</w:t>
      </w:r>
      <w:r w:rsidRPr="00694689">
        <w:t xml:space="preserve"> LUM </w:t>
      </w:r>
      <w:r w:rsidR="009B151C">
        <w:t>QD</w:t>
      </w:r>
      <w:r w:rsidRPr="00694689">
        <w:t xml:space="preserve">/IVA </w:t>
      </w:r>
      <w:r w:rsidR="002C7662">
        <w:t>250 mg</w:t>
      </w:r>
      <w:r w:rsidR="00145418">
        <w:t>;</w:t>
      </w:r>
      <w:r w:rsidRPr="00694689">
        <w:t xml:space="preserve"> 5.66 </w:t>
      </w:r>
      <w:r w:rsidR="002C7662">
        <w:t>400 mg</w:t>
      </w:r>
      <w:r w:rsidRPr="00694689">
        <w:t xml:space="preserve"> LUM </w:t>
      </w:r>
      <w:r w:rsidR="002C7662">
        <w:t>BD</w:t>
      </w:r>
      <w:r w:rsidRPr="00694689">
        <w:t xml:space="preserve">/IVA </w:t>
      </w:r>
      <w:r w:rsidR="002C7662">
        <w:t>250 mg</w:t>
      </w:r>
      <w:r w:rsidRPr="00694689">
        <w:t xml:space="preserve"> </w:t>
      </w:r>
      <w:r w:rsidR="002C7662">
        <w:t>BD</w:t>
      </w:r>
      <w:r w:rsidRPr="00694689">
        <w:t>)</w:t>
      </w:r>
      <w:r w:rsidR="00A772FE">
        <w:t>.</w:t>
      </w:r>
    </w:p>
    <w:p w14:paraId="33B4765E" w14:textId="77777777" w:rsidR="00694689" w:rsidRPr="00694689" w:rsidRDefault="00694689" w:rsidP="00694689">
      <w:r w:rsidRPr="00694689">
        <w:t xml:space="preserve">There were significantly more patients in the treatment groups who experienced a ≥ 5% average relative change from baseline in ppFEV1 (placebo 22.5%, </w:t>
      </w:r>
      <w:r w:rsidR="002C7662">
        <w:t>600 mg</w:t>
      </w:r>
      <w:r w:rsidRPr="00694689">
        <w:t xml:space="preserve"> LUM 45.9%, </w:t>
      </w:r>
      <w:r w:rsidR="00913299">
        <w:t>400 </w:t>
      </w:r>
      <w:r w:rsidR="002C7662">
        <w:t>mg</w:t>
      </w:r>
      <w:r w:rsidRPr="00694689">
        <w:t xml:space="preserve"> LUM 41.2%).</w:t>
      </w:r>
    </w:p>
    <w:p w14:paraId="2D2DC0A7" w14:textId="77777777" w:rsidR="00694689" w:rsidRPr="00694689" w:rsidRDefault="00694689" w:rsidP="00694689">
      <w:pPr>
        <w:pStyle w:val="TableTitle"/>
      </w:pPr>
      <w:r w:rsidRPr="00694689">
        <w:lastRenderedPageBreak/>
        <w:t xml:space="preserve">Table </w:t>
      </w:r>
      <w:r w:rsidR="00A772FE">
        <w:t>24</w:t>
      </w:r>
      <w:r w:rsidRPr="00694689">
        <w:t>. Number of p</w:t>
      </w:r>
      <w:r w:rsidR="00A772FE">
        <w:t>ulmonary exacerbations through W</w:t>
      </w:r>
      <w:r w:rsidRPr="00694689">
        <w:t>eek 24, full analysis set</w:t>
      </w:r>
    </w:p>
    <w:p w14:paraId="4F448B9A" w14:textId="77777777" w:rsidR="00694689" w:rsidRDefault="00694689" w:rsidP="00253508">
      <w:r>
        <w:rPr>
          <w:noProof/>
          <w:lang w:eastAsia="en-AU"/>
        </w:rPr>
        <w:drawing>
          <wp:inline distT="0" distB="0" distL="0" distR="0" wp14:anchorId="79079F43" wp14:editId="3475CB12">
            <wp:extent cx="5400040" cy="1692705"/>
            <wp:effectExtent l="0" t="0" r="0" b="3175"/>
            <wp:docPr id="11" name="Picture 11" descr="Table 24. Number of pulmonary exacerbations through Week 2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1692705"/>
                    </a:xfrm>
                    <a:prstGeom prst="rect">
                      <a:avLst/>
                    </a:prstGeom>
                  </pic:spPr>
                </pic:pic>
              </a:graphicData>
            </a:graphic>
          </wp:inline>
        </w:drawing>
      </w:r>
    </w:p>
    <w:p w14:paraId="13AC70FC" w14:textId="76726FE5" w:rsidR="00ED69EB" w:rsidRPr="00ED69EB" w:rsidRDefault="00ED69EB" w:rsidP="00ED69EB">
      <w:r w:rsidRPr="00ED69EB">
        <w:t xml:space="preserve">The number of patients who had at least one exacerbation was greater in the placebo (47.1%) than the treatment arms (36.8% </w:t>
      </w:r>
      <w:r w:rsidR="002C7662">
        <w:t>600 mg</w:t>
      </w:r>
      <w:r w:rsidRPr="00ED69EB">
        <w:t xml:space="preserve"> LUM, 28.9% </w:t>
      </w:r>
      <w:r w:rsidR="002C7662">
        <w:t>400 mg</w:t>
      </w:r>
      <w:r w:rsidRPr="00ED69EB">
        <w:t xml:space="preserve"> LUM). The number of pulmonary exacerbations requiring hospitalisation was also greater in the placebo arm, 28</w:t>
      </w:r>
      <w:r w:rsidR="00145418" w:rsidRPr="00ED69EB">
        <w:t>,</w:t>
      </w:r>
      <w:r w:rsidR="00145418">
        <w:t xml:space="preserve"> rate</w:t>
      </w:r>
      <w:r w:rsidR="009B151C">
        <w:t xml:space="preserve"> ratio (</w:t>
      </w:r>
      <w:r w:rsidRPr="00ED69EB">
        <w:t>RR</w:t>
      </w:r>
      <w:r w:rsidR="009B151C">
        <w:t xml:space="preserve">) </w:t>
      </w:r>
      <w:r w:rsidRPr="00ED69EB">
        <w:t>=</w:t>
      </w:r>
      <w:r w:rsidR="009B151C">
        <w:t xml:space="preserve"> </w:t>
      </w:r>
      <w:r w:rsidRPr="00ED69EB">
        <w:t xml:space="preserve">1; </w:t>
      </w:r>
      <w:r w:rsidR="002C7662">
        <w:t>600 mg</w:t>
      </w:r>
      <w:r w:rsidRPr="00ED69EB">
        <w:t xml:space="preserve"> LUM 32, RR 0.648; </w:t>
      </w:r>
      <w:r w:rsidR="002C7662">
        <w:t>400 mg</w:t>
      </w:r>
      <w:r w:rsidRPr="00ED69EB">
        <w:t xml:space="preserve"> LUM 20</w:t>
      </w:r>
      <w:r w:rsidRPr="009B151C">
        <w:t>, RR</w:t>
      </w:r>
      <w:r w:rsidRPr="00ED69EB">
        <w:t xml:space="preserve"> 0.3896</w:t>
      </w:r>
      <w:r w:rsidR="00C530A0">
        <w:t>.</w:t>
      </w:r>
    </w:p>
    <w:p w14:paraId="59772573" w14:textId="77777777" w:rsidR="00ED69EB" w:rsidRPr="00ED69EB" w:rsidRDefault="00ED69EB" w:rsidP="00ED69EB">
      <w:pPr>
        <w:pStyle w:val="Heading5"/>
      </w:pPr>
      <w:r w:rsidRPr="00ED69EB">
        <w:t>Study VX12-809-105</w:t>
      </w:r>
    </w:p>
    <w:p w14:paraId="4AE48591" w14:textId="28C370C9" w:rsidR="00ED69EB" w:rsidRPr="00ED69EB" w:rsidRDefault="00ED69EB" w:rsidP="00ED69EB">
      <w:pPr>
        <w:pStyle w:val="Heading6"/>
      </w:pPr>
      <w:r w:rsidRPr="00ED69EB">
        <w:t xml:space="preserve">Study </w:t>
      </w:r>
      <w:r w:rsidR="000119CA">
        <w:t>d</w:t>
      </w:r>
      <w:r w:rsidRPr="00ED69EB">
        <w:t>esign</w:t>
      </w:r>
    </w:p>
    <w:p w14:paraId="3BE4EEE2" w14:textId="1F3B9855" w:rsidR="00ED69EB" w:rsidRPr="00ED69EB" w:rsidRDefault="00ED69EB" w:rsidP="00ED69EB">
      <w:r w:rsidRPr="00ED69EB">
        <w:t xml:space="preserve">Phase </w:t>
      </w:r>
      <w:r w:rsidR="00913299">
        <w:t>III</w:t>
      </w:r>
      <w:r w:rsidRPr="00ED69EB">
        <w:t>, parallel group, multicentre rollover subject from studies 103, 104, and 102</w:t>
      </w:r>
      <w:r w:rsidR="008262B5">
        <w:t>, Cohort 4</w:t>
      </w:r>
      <w:r w:rsidR="00145418">
        <w:t>.</w:t>
      </w:r>
    </w:p>
    <w:p w14:paraId="58AD1A75" w14:textId="4A6F1677" w:rsidR="00ED69EB" w:rsidRPr="00ED69EB" w:rsidRDefault="00ED69EB" w:rsidP="00ED69EB">
      <w:r w:rsidRPr="00ED69EB">
        <w:t xml:space="preserve">Part A: Studied patients homozygous for F508 from studies 103 or 104. Patients were randomised and blinded to LUM </w:t>
      </w:r>
      <w:r w:rsidR="002C7662">
        <w:t>600 mg</w:t>
      </w:r>
      <w:r w:rsidRPr="00ED69EB">
        <w:t xml:space="preserve"> </w:t>
      </w:r>
      <w:r w:rsidR="009B151C">
        <w:t>QD</w:t>
      </w:r>
      <w:r w:rsidRPr="00ED69EB">
        <w:t xml:space="preserve">/ IVA </w:t>
      </w:r>
      <w:r w:rsidR="002C7662">
        <w:t>250 mg</w:t>
      </w:r>
      <w:r w:rsidRPr="00ED69EB">
        <w:t xml:space="preserve"> </w:t>
      </w:r>
      <w:r w:rsidR="002C7662">
        <w:t>BD</w:t>
      </w:r>
      <w:r w:rsidRPr="00ED69EB">
        <w:t xml:space="preserve"> </w:t>
      </w:r>
      <w:r w:rsidR="00913299">
        <w:t>or</w:t>
      </w:r>
      <w:r w:rsidRPr="00ED69EB">
        <w:t xml:space="preserve"> LUM </w:t>
      </w:r>
      <w:r w:rsidR="002C7662">
        <w:t>400 mg</w:t>
      </w:r>
      <w:r w:rsidRPr="00ED69EB">
        <w:t xml:space="preserve"> </w:t>
      </w:r>
      <w:r w:rsidR="002C7662">
        <w:t>BD</w:t>
      </w:r>
      <w:r w:rsidRPr="00ED69EB">
        <w:t xml:space="preserve">/ IVA </w:t>
      </w:r>
      <w:r w:rsidR="002C7662">
        <w:t>250 mg</w:t>
      </w:r>
      <w:r w:rsidRPr="00ED69EB">
        <w:t xml:space="preserve"> </w:t>
      </w:r>
      <w:r w:rsidR="002C7662">
        <w:t>BD</w:t>
      </w:r>
      <w:r w:rsidR="00A772FE">
        <w:t>.</w:t>
      </w:r>
    </w:p>
    <w:p w14:paraId="03DCE9DA" w14:textId="77777777" w:rsidR="00ED69EB" w:rsidRPr="00ED69EB" w:rsidRDefault="00913299" w:rsidP="00ED69EB">
      <w:r>
        <w:t>Part B</w:t>
      </w:r>
      <w:r w:rsidR="00ED69EB" w:rsidRPr="00ED69EB">
        <w:t>: Studied patients heterozygous to F508-del who participated in co</w:t>
      </w:r>
      <w:r>
        <w:t>hort 4 of 102.</w:t>
      </w:r>
      <w:r w:rsidR="00ED69EB">
        <w:t xml:space="preserve"> These patients </w:t>
      </w:r>
      <w:r w:rsidR="00ED69EB" w:rsidRPr="00ED69EB">
        <w:t xml:space="preserve">were invited to enter an open label study and receive LUM </w:t>
      </w:r>
      <w:r w:rsidR="002C7662">
        <w:t>400 mg</w:t>
      </w:r>
      <w:r w:rsidR="00ED69EB" w:rsidRPr="00ED69EB">
        <w:t xml:space="preserve"> </w:t>
      </w:r>
      <w:r w:rsidR="002C7662">
        <w:t>BD</w:t>
      </w:r>
      <w:r w:rsidR="00ED69EB" w:rsidRPr="00ED69EB">
        <w:t xml:space="preserve">/IVA </w:t>
      </w:r>
      <w:r w:rsidR="002C7662">
        <w:t>250 mg</w:t>
      </w:r>
      <w:r w:rsidR="00ED69EB" w:rsidRPr="00ED69EB">
        <w:t xml:space="preserve"> </w:t>
      </w:r>
      <w:r w:rsidR="002C7662">
        <w:t>BD</w:t>
      </w:r>
      <w:r w:rsidR="00A772FE">
        <w:t>.</w:t>
      </w:r>
    </w:p>
    <w:p w14:paraId="4D040086" w14:textId="182D15DB" w:rsidR="00ED69EB" w:rsidRDefault="000119CA" w:rsidP="00ED69EB">
      <w:pPr>
        <w:pStyle w:val="Heading6"/>
      </w:pPr>
      <w:r>
        <w:rPr>
          <w:lang w:val="en-US"/>
        </w:rPr>
        <w:t>Primary o</w:t>
      </w:r>
      <w:r w:rsidR="00ED69EB" w:rsidRPr="00ED69EB">
        <w:rPr>
          <w:lang w:val="en-US"/>
        </w:rPr>
        <w:t>bjective</w:t>
      </w:r>
    </w:p>
    <w:p w14:paraId="2D94F497" w14:textId="77777777" w:rsidR="00ED69EB" w:rsidRPr="00ED69EB" w:rsidRDefault="00ED69EB" w:rsidP="00ED69EB">
      <w:r w:rsidRPr="00ED69EB">
        <w:t>To assess long term safety and tolerability of LUM/IVA</w:t>
      </w:r>
      <w:r w:rsidR="00C639FF">
        <w:t>.</w:t>
      </w:r>
    </w:p>
    <w:p w14:paraId="46780B83" w14:textId="77777777" w:rsidR="00ED69EB" w:rsidRDefault="00ED69EB" w:rsidP="00ED69EB">
      <w:r w:rsidRPr="00ED69EB">
        <w:t>Efficacy endpoints included spirometry, height, weight, CFQ-R and exacerbations</w:t>
      </w:r>
      <w:r w:rsidR="00913299">
        <w:t>.</w:t>
      </w:r>
    </w:p>
    <w:p w14:paraId="065E8572" w14:textId="77777777" w:rsidR="002561BD" w:rsidRDefault="00A772FE" w:rsidP="00983F0F">
      <w:pPr>
        <w:pStyle w:val="FigureTitle"/>
      </w:pPr>
      <w:r>
        <w:lastRenderedPageBreak/>
        <w:t>Figure 5. Study flow c</w:t>
      </w:r>
      <w:r w:rsidR="002561BD">
        <w:t>hart</w:t>
      </w:r>
    </w:p>
    <w:p w14:paraId="73322C9E" w14:textId="77777777" w:rsidR="00983F0F" w:rsidRDefault="002561BD" w:rsidP="00ED69EB">
      <w:r>
        <w:rPr>
          <w:noProof/>
          <w:lang w:eastAsia="en-AU"/>
        </w:rPr>
        <w:drawing>
          <wp:inline distT="0" distB="0" distL="0" distR="0" wp14:anchorId="25FC4396" wp14:editId="7CD822F7">
            <wp:extent cx="5400040" cy="4395609"/>
            <wp:effectExtent l="0" t="0" r="0" b="5080"/>
            <wp:docPr id="12" name="Picture 12" descr="Figure 5. Study flow chart&#10;PART A; 1031 subjects form study 103 and 104 of which &#10;335 continued on 600 mg QD LUM/250 mg IVA; 341 continued on 400 mg BD LUM/ 250 mg BD IVA; 179 went from Placebo onto 600 mg LUM/ 250 mg BD IVA; 176 went from placebo onto 400 mg LUM/ 250 IVA BD ; 19 were observed. Of these &gt; 89% completed week 16 visit rate of treatment discontiunation&#10;PART B: CF heterozygotes 126 randomised; 115 continued of these 55 on LUM400 mg/ IVA 250 mg bd cont and 60 on placebo LUM/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4395609"/>
                    </a:xfrm>
                    <a:prstGeom prst="rect">
                      <a:avLst/>
                    </a:prstGeom>
                  </pic:spPr>
                </pic:pic>
              </a:graphicData>
            </a:graphic>
          </wp:inline>
        </w:drawing>
      </w:r>
    </w:p>
    <w:p w14:paraId="66E6B12B" w14:textId="77777777" w:rsidR="002561BD" w:rsidRDefault="00913299" w:rsidP="00573B69">
      <w:pPr>
        <w:pStyle w:val="Heading6"/>
        <w:pageBreakBefore/>
      </w:pPr>
      <w:r>
        <w:lastRenderedPageBreak/>
        <w:t>Results</w:t>
      </w:r>
    </w:p>
    <w:p w14:paraId="3B279D8E" w14:textId="77777777" w:rsidR="002561BD" w:rsidRDefault="002561BD" w:rsidP="00ED69EB">
      <w:r w:rsidRPr="002561BD">
        <w:rPr>
          <w:lang w:val="en-US"/>
        </w:rPr>
        <w:t>Part A efficacy</w:t>
      </w:r>
    </w:p>
    <w:p w14:paraId="79D42FBE" w14:textId="22BDAC8C" w:rsidR="002561BD" w:rsidRDefault="00A772FE" w:rsidP="002561BD">
      <w:pPr>
        <w:pStyle w:val="TableTitle"/>
      </w:pPr>
      <w:r>
        <w:t>Table 25.</w:t>
      </w:r>
      <w:r w:rsidR="002561BD">
        <w:t xml:space="preserve"> MMRM analysis of relative change form baseline in </w:t>
      </w:r>
      <w:r w:rsidR="00A94F3D">
        <w:t>ppFEV1</w:t>
      </w:r>
      <w:r w:rsidR="002561BD">
        <w:t xml:space="preserve"> at each visit Part A cumulative period, full analysis set</w:t>
      </w:r>
    </w:p>
    <w:p w14:paraId="5C388016" w14:textId="77777777" w:rsidR="002561BD" w:rsidRDefault="002561BD" w:rsidP="00ED69EB">
      <w:r>
        <w:rPr>
          <w:noProof/>
          <w:lang w:eastAsia="en-AU"/>
        </w:rPr>
        <w:drawing>
          <wp:inline distT="0" distB="0" distL="0" distR="0" wp14:anchorId="42565468" wp14:editId="04F0E769">
            <wp:extent cx="5400040" cy="4764843"/>
            <wp:effectExtent l="0" t="0" r="0" b="0"/>
            <wp:docPr id="13" name="Picture 13" descr="Table 25. MMRM analysis of relative change form baseline in percent predicted FEV1 at each visit Part A cumulative perio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4764843"/>
                    </a:xfrm>
                    <a:prstGeom prst="rect">
                      <a:avLst/>
                    </a:prstGeom>
                  </pic:spPr>
                </pic:pic>
              </a:graphicData>
            </a:graphic>
          </wp:inline>
        </w:drawing>
      </w:r>
    </w:p>
    <w:p w14:paraId="7E96B3C4" w14:textId="77777777" w:rsidR="002561BD" w:rsidRPr="002561BD" w:rsidRDefault="00913299" w:rsidP="002561BD">
      <w:r>
        <w:t>Note; baseline was start of S</w:t>
      </w:r>
      <w:r w:rsidR="002561BD" w:rsidRPr="002561BD">
        <w:t>tudy 103 or 104.</w:t>
      </w:r>
    </w:p>
    <w:p w14:paraId="767B55FE" w14:textId="77777777" w:rsidR="002561BD" w:rsidRPr="002561BD" w:rsidRDefault="002561BD" w:rsidP="002561BD">
      <w:r w:rsidRPr="002561BD">
        <w:t xml:space="preserve">In those previously treated with </w:t>
      </w:r>
      <w:r w:rsidR="008B5A3E">
        <w:t>Orkambi</w:t>
      </w:r>
      <w:r w:rsidRPr="002561BD">
        <w:t>, FEV1 remained stable but did not improve further after an additional 24 week</w:t>
      </w:r>
      <w:r w:rsidR="00913299">
        <w:t>s</w:t>
      </w:r>
      <w:r w:rsidRPr="002561BD">
        <w:t xml:space="preserve"> of treatment. There was no placebo arm for this subsequent 24 weeks follow up, however it is noted that in the first 24 weeks the lung function in the pla</w:t>
      </w:r>
      <w:r w:rsidR="002B6692">
        <w:t>cebo arm deteriorated by 0.5%.</w:t>
      </w:r>
    </w:p>
    <w:p w14:paraId="749EF1C6" w14:textId="77777777" w:rsidR="002561BD" w:rsidRPr="002561BD" w:rsidRDefault="002561BD" w:rsidP="002561BD">
      <w:r w:rsidRPr="002561BD">
        <w:t>BMI continued to increase in the second 24 weeks of treatment.</w:t>
      </w:r>
    </w:p>
    <w:p w14:paraId="10AE268E" w14:textId="77777777" w:rsidR="002561BD" w:rsidRDefault="00A772FE" w:rsidP="002561BD">
      <w:pPr>
        <w:pStyle w:val="FigureTitle"/>
      </w:pPr>
      <w:r>
        <w:lastRenderedPageBreak/>
        <w:t>Figure 6.</w:t>
      </w:r>
      <w:r w:rsidR="002561BD">
        <w:t xml:space="preserve"> Absolute change form baseline </w:t>
      </w:r>
      <w:r>
        <w:t>in BMI at each visi</w:t>
      </w:r>
      <w:r w:rsidR="002561BD">
        <w:t>t, Part A cumulative period, full analysis set.</w:t>
      </w:r>
    </w:p>
    <w:p w14:paraId="0409BF2D" w14:textId="77777777" w:rsidR="002561BD" w:rsidRDefault="002561BD" w:rsidP="00ED69EB">
      <w:r>
        <w:rPr>
          <w:noProof/>
          <w:lang w:eastAsia="en-AU"/>
        </w:rPr>
        <w:drawing>
          <wp:inline distT="0" distB="0" distL="0" distR="0" wp14:anchorId="28EA6184" wp14:editId="42ABCB89">
            <wp:extent cx="5400040" cy="2465787"/>
            <wp:effectExtent l="0" t="0" r="0" b="0"/>
            <wp:docPr id="14" name="Picture 14" descr="Figure 6. Absolute change form baseline in BMI at each visit, Part A cumulative perio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2465787"/>
                    </a:xfrm>
                    <a:prstGeom prst="rect">
                      <a:avLst/>
                    </a:prstGeom>
                  </pic:spPr>
                </pic:pic>
              </a:graphicData>
            </a:graphic>
          </wp:inline>
        </w:drawing>
      </w:r>
    </w:p>
    <w:p w14:paraId="04F7CD8F" w14:textId="77777777" w:rsidR="002561BD" w:rsidRDefault="00A772FE" w:rsidP="007414C1">
      <w:pPr>
        <w:pStyle w:val="TableTitle"/>
      </w:pPr>
      <w:r>
        <w:t>Table 26</w:t>
      </w:r>
      <w:r w:rsidR="007414C1">
        <w:t xml:space="preserve"> Exacerbation data for the placebo group in studies 103/104 and all treatment groups I study 105</w:t>
      </w:r>
      <w:r>
        <w:t>.</w:t>
      </w:r>
    </w:p>
    <w:p w14:paraId="3195A0DF" w14:textId="77777777" w:rsidR="002561BD" w:rsidRDefault="007414C1" w:rsidP="00ED69EB">
      <w:r>
        <w:rPr>
          <w:noProof/>
          <w:lang w:eastAsia="en-AU"/>
        </w:rPr>
        <w:drawing>
          <wp:inline distT="0" distB="0" distL="0" distR="0" wp14:anchorId="53AC24A7" wp14:editId="0E070B5D">
            <wp:extent cx="5400040" cy="4476956"/>
            <wp:effectExtent l="0" t="0" r="0" b="0"/>
            <wp:docPr id="15" name="Picture 15" descr="Table 26 Exacerbation data for the placebo group in studies 103/104 and all treatment groups I study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4476956"/>
                    </a:xfrm>
                    <a:prstGeom prst="rect">
                      <a:avLst/>
                    </a:prstGeom>
                  </pic:spPr>
                </pic:pic>
              </a:graphicData>
            </a:graphic>
          </wp:inline>
        </w:drawing>
      </w:r>
    </w:p>
    <w:p w14:paraId="54494E26" w14:textId="77777777" w:rsidR="007414C1" w:rsidRPr="007414C1" w:rsidRDefault="007414C1" w:rsidP="007414C1">
      <w:r w:rsidRPr="007414C1">
        <w:t xml:space="preserve">The improvements in lung function were most noticeable in those who were </w:t>
      </w:r>
      <w:r w:rsidR="002B6692">
        <w:t>deteriorating at &lt; 5% per annual at baseline.</w:t>
      </w:r>
    </w:p>
    <w:p w14:paraId="1B47D80E" w14:textId="61913E1D" w:rsidR="002561BD" w:rsidRDefault="007414C1" w:rsidP="007414C1">
      <w:pPr>
        <w:pStyle w:val="TableTitle"/>
      </w:pPr>
      <w:r>
        <w:lastRenderedPageBreak/>
        <w:t>Table 2</w:t>
      </w:r>
      <w:r w:rsidR="00A772FE">
        <w:t>7.</w:t>
      </w:r>
      <w:r>
        <w:t xml:space="preserve"> Study 105 efficacy results: subgroup analysis of </w:t>
      </w:r>
      <w:r w:rsidR="002B6692">
        <w:t>patients</w:t>
      </w:r>
      <w:r>
        <w:t xml:space="preserve"> with and without rapidly progressive pulmonary disease, patients who were in placebo groups in studies 103/104 and in LUM400q12h/IVA group in study 105</w:t>
      </w:r>
    </w:p>
    <w:p w14:paraId="2E38592B" w14:textId="77777777" w:rsidR="002561BD" w:rsidRDefault="007414C1" w:rsidP="00ED69EB">
      <w:r>
        <w:rPr>
          <w:noProof/>
          <w:lang w:eastAsia="en-AU"/>
        </w:rPr>
        <w:drawing>
          <wp:inline distT="0" distB="0" distL="0" distR="0" wp14:anchorId="3F4BA974" wp14:editId="54B0A998">
            <wp:extent cx="5400040" cy="4461956"/>
            <wp:effectExtent l="0" t="0" r="0" b="0"/>
            <wp:docPr id="16" name="Picture 16" descr="Table 27. Study 105 efficacy results: subgroup analysis of patients with and without rapidly progressive pulmonary disease, patients who were in placebo groups in studies 103/104 and in LUM400q12h/IVA group in study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4461956"/>
                    </a:xfrm>
                    <a:prstGeom prst="rect">
                      <a:avLst/>
                    </a:prstGeom>
                  </pic:spPr>
                </pic:pic>
              </a:graphicData>
            </a:graphic>
          </wp:inline>
        </w:drawing>
      </w:r>
    </w:p>
    <w:p w14:paraId="42C1966B" w14:textId="77777777" w:rsidR="002561BD" w:rsidRDefault="00A772FE" w:rsidP="007414C1">
      <w:pPr>
        <w:pStyle w:val="FigureTitle"/>
      </w:pPr>
      <w:r>
        <w:t>Figure 7.</w:t>
      </w:r>
      <w:r w:rsidR="007414C1">
        <w:t xml:space="preserve"> Kaplan-Meier Estimate of time to first pulmonary exacerbation during 24</w:t>
      </w:r>
      <w:r w:rsidR="009D006E">
        <w:t xml:space="preserve"> </w:t>
      </w:r>
      <w:r w:rsidR="007414C1">
        <w:t>week treatment period in study 105 and 24 week treatment period for placebo group in studies 103/104</w:t>
      </w:r>
    </w:p>
    <w:p w14:paraId="17B471DF" w14:textId="77777777" w:rsidR="007414C1" w:rsidRDefault="008C4F4A" w:rsidP="00ED69EB">
      <w:r>
        <w:rPr>
          <w:noProof/>
          <w:lang w:eastAsia="en-AU"/>
        </w:rPr>
        <w:drawing>
          <wp:inline distT="0" distB="0" distL="0" distR="0" wp14:anchorId="18671FFC" wp14:editId="4742D260">
            <wp:extent cx="5400040" cy="2672904"/>
            <wp:effectExtent l="0" t="0" r="0" b="0"/>
            <wp:docPr id="17" name="Picture 17" descr="Figure 7. Kaplan-Meier Estimate of time to first pulmonary exacerbation during 24 week treatment period in study 105 and 24 week treatment period for placebo group in studies 10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2672904"/>
                    </a:xfrm>
                    <a:prstGeom prst="rect">
                      <a:avLst/>
                    </a:prstGeom>
                  </pic:spPr>
                </pic:pic>
              </a:graphicData>
            </a:graphic>
          </wp:inline>
        </w:drawing>
      </w:r>
    </w:p>
    <w:p w14:paraId="00813A2D" w14:textId="77777777" w:rsidR="007414C1" w:rsidRDefault="004B3FF6" w:rsidP="008C4F4A">
      <w:pPr>
        <w:pStyle w:val="TableTitle"/>
      </w:pPr>
      <w:r>
        <w:lastRenderedPageBreak/>
        <w:t>Table 28.</w:t>
      </w:r>
      <w:r w:rsidR="008C4F4A">
        <w:t xml:space="preserve"> Benefits of LUM/IVA and currently used treatment options on ppFEV1 and measures of nutritional status</w:t>
      </w:r>
    </w:p>
    <w:p w14:paraId="78A192BB" w14:textId="77777777" w:rsidR="007414C1" w:rsidRDefault="008C4F4A" w:rsidP="00ED69EB">
      <w:r>
        <w:rPr>
          <w:noProof/>
          <w:lang w:eastAsia="en-AU"/>
        </w:rPr>
        <w:drawing>
          <wp:inline distT="0" distB="0" distL="0" distR="0" wp14:anchorId="698D7FD2" wp14:editId="746D780C">
            <wp:extent cx="5400040" cy="1842129"/>
            <wp:effectExtent l="0" t="0" r="0" b="6350"/>
            <wp:docPr id="18" name="Picture 18" descr="Table 28. Benefits of LUM/IVA and currently used treatment options on ppFEV1 and measures of nutritiona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1842129"/>
                    </a:xfrm>
                    <a:prstGeom prst="rect">
                      <a:avLst/>
                    </a:prstGeom>
                  </pic:spPr>
                </pic:pic>
              </a:graphicData>
            </a:graphic>
          </wp:inline>
        </w:drawing>
      </w:r>
    </w:p>
    <w:p w14:paraId="69870D96" w14:textId="77777777" w:rsidR="007414C1" w:rsidRDefault="008C4F4A" w:rsidP="008C4F4A">
      <w:pPr>
        <w:pStyle w:val="TableDescription"/>
      </w:pPr>
      <w:r w:rsidRPr="008C4F4A">
        <w:rPr>
          <w:vertAlign w:val="superscript"/>
        </w:rPr>
        <w:t xml:space="preserve">a </w:t>
      </w:r>
      <w:r>
        <w:t xml:space="preserve">pooled </w:t>
      </w:r>
      <w:r w:rsidR="00303FCD">
        <w:t>full analysis set (</w:t>
      </w:r>
      <w:r>
        <w:t>FAS</w:t>
      </w:r>
      <w:r w:rsidR="00303FCD">
        <w:t>)</w:t>
      </w:r>
      <w:r>
        <w:t xml:space="preserve"> set for studies 103/104 included 369 patients in the LUM400q12h/IVA group</w:t>
      </w:r>
    </w:p>
    <w:p w14:paraId="7D213065" w14:textId="77777777" w:rsidR="007414C1" w:rsidRDefault="004B3FF6" w:rsidP="00983F0F">
      <w:pPr>
        <w:pStyle w:val="TableTitle"/>
      </w:pPr>
      <w:r>
        <w:t>Table 29.</w:t>
      </w:r>
      <w:r w:rsidR="00983F0F">
        <w:t xml:space="preserve"> Benefits of LUM/IVA and concurrently used maintenance treatments on pulmonary exacerbations</w:t>
      </w:r>
    </w:p>
    <w:p w14:paraId="7D4A8B06" w14:textId="77777777" w:rsidR="007414C1" w:rsidRDefault="000E6EB6" w:rsidP="00ED69EB">
      <w:r>
        <w:rPr>
          <w:noProof/>
          <w:lang w:eastAsia="en-AU"/>
        </w:rPr>
        <w:drawing>
          <wp:inline distT="0" distB="0" distL="0" distR="0" wp14:anchorId="26A35F9E" wp14:editId="64980298">
            <wp:extent cx="5400040" cy="2986176"/>
            <wp:effectExtent l="0" t="0" r="0" b="5080"/>
            <wp:docPr id="19" name="Picture 19" descr="Table 29. Benefits of LUM/IVA and concurrently used maintenance treatments on pulmonary exacerb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2986176"/>
                    </a:xfrm>
                    <a:prstGeom prst="rect">
                      <a:avLst/>
                    </a:prstGeom>
                  </pic:spPr>
                </pic:pic>
              </a:graphicData>
            </a:graphic>
          </wp:inline>
        </w:drawing>
      </w:r>
    </w:p>
    <w:p w14:paraId="2FC45A98" w14:textId="77777777" w:rsidR="000E6EB6" w:rsidRPr="000E6EB6" w:rsidRDefault="002B6692" w:rsidP="00D13D6E">
      <w:pPr>
        <w:pStyle w:val="Heading4"/>
      </w:pPr>
      <w:r>
        <w:t>Rationale for the proposed dose</w:t>
      </w:r>
    </w:p>
    <w:p w14:paraId="1AD444F9" w14:textId="0E7771F5" w:rsidR="000E6EB6" w:rsidRDefault="000E6EB6" w:rsidP="00ED69EB">
      <w:r w:rsidRPr="000E6EB6">
        <w:t xml:space="preserve">The sponsor has proposed a dose of LUM </w:t>
      </w:r>
      <w:r w:rsidR="002C7662">
        <w:t>400 mg</w:t>
      </w:r>
      <w:r w:rsidRPr="000E6EB6">
        <w:t xml:space="preserve">/IVA </w:t>
      </w:r>
      <w:r w:rsidR="002C7662">
        <w:t>250 mg</w:t>
      </w:r>
      <w:r w:rsidRPr="000E6EB6">
        <w:t xml:space="preserve"> </w:t>
      </w:r>
      <w:r w:rsidR="002C7662">
        <w:t>BD</w:t>
      </w:r>
      <w:r w:rsidRPr="000E6EB6">
        <w:t xml:space="preserve"> based on greater reduction in pulmonary exacerbations with that dose with no statistical benefits of the alternative regime on other primary or secondary endpoints, numerically greater improvements in absolute and relative ppFEV1, BMI, BMI</w:t>
      </w:r>
      <w:r w:rsidR="002B6692">
        <w:t xml:space="preserve"> </w:t>
      </w:r>
      <w:r w:rsidRPr="000E6EB6">
        <w:t>z</w:t>
      </w:r>
      <w:r w:rsidR="00C530A0">
        <w:t>-</w:t>
      </w:r>
      <w:r w:rsidRPr="000E6EB6">
        <w:t xml:space="preserve">score, weight, CFQ-R, and pulmonary exacerbations in patients treated with placebo/LUM </w:t>
      </w:r>
      <w:r w:rsidR="002C7662">
        <w:t>400 mg</w:t>
      </w:r>
      <w:r w:rsidR="002B6692">
        <w:t xml:space="preserve"> </w:t>
      </w:r>
      <w:r w:rsidR="002C7662">
        <w:t>BD</w:t>
      </w:r>
      <w:r w:rsidR="002B6692">
        <w:t xml:space="preserve"> in study 105.</w:t>
      </w:r>
    </w:p>
    <w:p w14:paraId="5C66D06F" w14:textId="77777777" w:rsidR="00D13D6E" w:rsidRPr="00D13D6E" w:rsidRDefault="00D13D6E" w:rsidP="00D13D6E">
      <w:pPr>
        <w:pStyle w:val="Heading4"/>
      </w:pPr>
      <w:r w:rsidRPr="00D13D6E">
        <w:t>Safety</w:t>
      </w:r>
    </w:p>
    <w:p w14:paraId="6F571334" w14:textId="77777777" w:rsidR="00D13D6E" w:rsidRPr="00D13D6E" w:rsidRDefault="00D13D6E" w:rsidP="00D13D6E">
      <w:r w:rsidRPr="00D13D6E">
        <w:t>Overall, 1</w:t>
      </w:r>
      <w:r w:rsidR="002B6692">
        <w:t>,</w:t>
      </w:r>
      <w:r w:rsidRPr="00D13D6E">
        <w:t>839 subjects received at least 1 dose of LUM and 1</w:t>
      </w:r>
      <w:r w:rsidR="002B6692">
        <w:t>,</w:t>
      </w:r>
      <w:r w:rsidRPr="00D13D6E">
        <w:t>615 received LUM in combination with IVA.</w:t>
      </w:r>
    </w:p>
    <w:p w14:paraId="7A88ACC5" w14:textId="77777777" w:rsidR="00D13D6E" w:rsidRPr="00D13D6E" w:rsidRDefault="00D13D6E" w:rsidP="00D13D6E">
      <w:r w:rsidRPr="00D13D6E">
        <w:t>In studies 103/104 a higher number of patients in the treatment groups discontinued (6.1%) tha</w:t>
      </w:r>
      <w:r w:rsidR="002B6692">
        <w:t>n in the placebo groups (2.4%).</w:t>
      </w:r>
    </w:p>
    <w:p w14:paraId="6858FD92" w14:textId="77777777" w:rsidR="00D13D6E" w:rsidRPr="00D13D6E" w:rsidRDefault="00D13D6E" w:rsidP="00D13D6E">
      <w:pPr>
        <w:pStyle w:val="Heading5"/>
      </w:pPr>
      <w:r w:rsidRPr="00D13D6E">
        <w:lastRenderedPageBreak/>
        <w:t>Adverse Events</w:t>
      </w:r>
    </w:p>
    <w:p w14:paraId="3904BB8E" w14:textId="77777777" w:rsidR="00D13D6E" w:rsidRPr="00D13D6E" w:rsidRDefault="00D13D6E" w:rsidP="00D13D6E">
      <w:r w:rsidRPr="00D13D6E">
        <w:t xml:space="preserve">In the pivotal studies, the incidence of AE was similar in the placebo and LUM/IVA groups. The most common AE (at least 15% incidence in any treatment group) were infective exacerbation of CF, cough, headache, increased sputum. AE with higher incidence in the LUM/IVA groups were dyspnoea (14 </w:t>
      </w:r>
      <w:r w:rsidR="002B6692">
        <w:t>versus</w:t>
      </w:r>
      <w:r w:rsidRPr="00D13D6E">
        <w:t xml:space="preserve"> 7.8%), respiratory abnormal (9.8 </w:t>
      </w:r>
      <w:r w:rsidR="002B6692">
        <w:t>versus</w:t>
      </w:r>
      <w:r w:rsidRPr="00D13D6E">
        <w:t xml:space="preserve"> 5.9%), flatulence (6 </w:t>
      </w:r>
      <w:r w:rsidR="002B6692">
        <w:t>versus</w:t>
      </w:r>
      <w:r w:rsidRPr="00D13D6E">
        <w:t xml:space="preserve"> 3%) and rash (5.6 </w:t>
      </w:r>
      <w:r w:rsidR="002B6692">
        <w:t>versus</w:t>
      </w:r>
      <w:r w:rsidRPr="00D13D6E">
        <w:t xml:space="preserve"> 1.9%), also diarrhoea, nausea, oropharyngeal pain, URTI, rhinitis, vomiting. The majority of AE were mild or moderate. The onset of AE was </w:t>
      </w:r>
      <w:r w:rsidR="002B6692">
        <w:t>generally in the first 8 weeks.</w:t>
      </w:r>
    </w:p>
    <w:p w14:paraId="059C178C" w14:textId="77777777" w:rsidR="00D13D6E" w:rsidRPr="00D13D6E" w:rsidRDefault="00D13D6E" w:rsidP="00D13D6E">
      <w:r w:rsidRPr="00D13D6E">
        <w:t xml:space="preserve">In study 105, the incidence and pattern of AE was similar to that of the pivotal studies, except that there was a lower frequency of AE in subjects who received active treatment in studies 103/104. Of note there was I patient in the LUM </w:t>
      </w:r>
      <w:r w:rsidR="002C7662">
        <w:t>600 mg</w:t>
      </w:r>
      <w:r w:rsidRPr="00D13D6E">
        <w:t xml:space="preserve"> </w:t>
      </w:r>
      <w:r w:rsidR="00390D21">
        <w:t>QD</w:t>
      </w:r>
      <w:r w:rsidRPr="00D13D6E">
        <w:t xml:space="preserve">/IVA </w:t>
      </w:r>
      <w:r w:rsidR="002C7662">
        <w:t>250 mg</w:t>
      </w:r>
      <w:r w:rsidRPr="00D13D6E">
        <w:t xml:space="preserve"> </w:t>
      </w:r>
      <w:r w:rsidR="002C7662">
        <w:t>BD</w:t>
      </w:r>
      <w:r w:rsidRPr="00D13D6E">
        <w:t xml:space="preserve"> who developed haemolytic anae</w:t>
      </w:r>
      <w:r w:rsidR="002B6692">
        <w:t>mia.</w:t>
      </w:r>
    </w:p>
    <w:p w14:paraId="50400AFC" w14:textId="77777777" w:rsidR="00D13D6E" w:rsidRPr="00D13D6E" w:rsidRDefault="00D13D6E" w:rsidP="00D13D6E">
      <w:r w:rsidRPr="00D13D6E">
        <w:t xml:space="preserve">In healthy subjects during the phase 1 studies, a similar proportion of subjects (54.9%) developed AE to the placebo group (57.9%). Diarrhoea (17.3 </w:t>
      </w:r>
      <w:r w:rsidR="002B6692">
        <w:t>versus</w:t>
      </w:r>
      <w:r w:rsidRPr="00D13D6E">
        <w:t xml:space="preserve"> 6.4%) and cough (6.9 </w:t>
      </w:r>
      <w:r w:rsidR="002B6692">
        <w:t>versus</w:t>
      </w:r>
      <w:r w:rsidRPr="00D13D6E">
        <w:t xml:space="preserve"> 0%) were mor</w:t>
      </w:r>
      <w:r w:rsidR="002B6692">
        <w:t>e common in the IVA/LUM groups.</w:t>
      </w:r>
    </w:p>
    <w:p w14:paraId="43F23712" w14:textId="77777777" w:rsidR="006E428A" w:rsidRPr="006E428A" w:rsidRDefault="006E428A" w:rsidP="006E428A">
      <w:pPr>
        <w:pStyle w:val="Heading6"/>
      </w:pPr>
      <w:r w:rsidRPr="006E428A">
        <w:t>Treatment Emergent Adverse Events</w:t>
      </w:r>
    </w:p>
    <w:p w14:paraId="3E3778FE" w14:textId="77777777" w:rsidR="006E428A" w:rsidRPr="006E428A" w:rsidRDefault="006E428A" w:rsidP="006E428A">
      <w:r w:rsidRPr="006E428A">
        <w:t>In the pivotal studies, the incidence of TEAE was higher in the LUM/IVA groups (48%) compared</w:t>
      </w:r>
      <w:r w:rsidR="002B6692">
        <w:t xml:space="preserve"> to the placebo groups (34.9%).</w:t>
      </w:r>
    </w:p>
    <w:p w14:paraId="71297EBD" w14:textId="77777777" w:rsidR="006E428A" w:rsidRPr="006E428A" w:rsidRDefault="006E428A" w:rsidP="006E428A">
      <w:pPr>
        <w:pStyle w:val="Heading6"/>
      </w:pPr>
      <w:r w:rsidRPr="006E428A">
        <w:t>Deaths and Serious Adverse Events</w:t>
      </w:r>
    </w:p>
    <w:p w14:paraId="5FF00A06" w14:textId="77777777" w:rsidR="006E428A" w:rsidRPr="006E428A" w:rsidRDefault="006E428A" w:rsidP="006E428A">
      <w:r w:rsidRPr="006E428A">
        <w:t>The</w:t>
      </w:r>
      <w:r w:rsidR="002B6692">
        <w:t>re were no deaths in any Phase III</w:t>
      </w:r>
      <w:r w:rsidRPr="006E428A">
        <w:t xml:space="preserve"> trials. The incidence of SAE was lower in the LUM/IVA treatment group (20%) compared to placebo (28.6%). Most SAE were related to CF </w:t>
      </w:r>
      <w:r w:rsidR="002B6692">
        <w:t>for example</w:t>
      </w:r>
      <w:r w:rsidRPr="006E428A">
        <w:t xml:space="preserve"> infective exacerbation, haemoptysis,</w:t>
      </w:r>
      <w:r w:rsidR="002B6692">
        <w:t xml:space="preserve"> distal intestinal obstruction.</w:t>
      </w:r>
    </w:p>
    <w:p w14:paraId="16BD81A4" w14:textId="77777777" w:rsidR="006E428A" w:rsidRPr="006E428A" w:rsidRDefault="006E428A" w:rsidP="006E428A">
      <w:r w:rsidRPr="006E428A">
        <w:t>In the long term study 105</w:t>
      </w:r>
      <w:r w:rsidR="002B6692">
        <w:t xml:space="preserve">, there was one death of a 24 year </w:t>
      </w:r>
      <w:r w:rsidR="002B6692" w:rsidRPr="00390D21">
        <w:t>old</w:t>
      </w:r>
      <w:r w:rsidRPr="00390D21">
        <w:t xml:space="preserve"> female due</w:t>
      </w:r>
      <w:r w:rsidRPr="006E428A">
        <w:t xml:space="preserve"> to respiratory failure. A total of 168 (16.4%) had at least one SAE. The incidence was similar across treatment groups. The most common SAE were infective exacerbation of CF, haemoptysis, distal intestinal obstruction, small intestinal obstruction, </w:t>
      </w:r>
      <w:r w:rsidR="002B6692">
        <w:t>pneumonia, CF related diabetes.</w:t>
      </w:r>
    </w:p>
    <w:p w14:paraId="7F2334E9" w14:textId="77777777" w:rsidR="006E428A" w:rsidRPr="006E428A" w:rsidRDefault="002B6692" w:rsidP="006E428A">
      <w:r>
        <w:t>In the P</w:t>
      </w:r>
      <w:r w:rsidR="006E428A" w:rsidRPr="006E428A">
        <w:t>has</w:t>
      </w:r>
      <w:r>
        <w:t>e I</w:t>
      </w:r>
      <w:r w:rsidR="006E428A" w:rsidRPr="006E428A">
        <w:t xml:space="preserve"> pooled studies, 1 subject in the LUM group developed rha</w:t>
      </w:r>
      <w:r>
        <w:t>bdomyolysis.</w:t>
      </w:r>
    </w:p>
    <w:p w14:paraId="04B1C1AA" w14:textId="77777777" w:rsidR="006E428A" w:rsidRPr="006E428A" w:rsidRDefault="006E428A" w:rsidP="006E428A">
      <w:pPr>
        <w:pStyle w:val="Heading6"/>
      </w:pPr>
      <w:r w:rsidRPr="006E428A">
        <w:t>Discontinuation due to adverse events</w:t>
      </w:r>
    </w:p>
    <w:p w14:paraId="325F4357" w14:textId="77777777" w:rsidR="006E428A" w:rsidRPr="006E428A" w:rsidRDefault="006E428A" w:rsidP="006E428A">
      <w:r w:rsidRPr="006E428A">
        <w:t>A higher percentage of subjects discontinued in the total LUM/IVA group (4.2%) compared to the placebo group (1.6%). The most common AE leading to treatment discontinuation wer</w:t>
      </w:r>
      <w:r w:rsidR="002B6692">
        <w:t>e haemoptysis and increased CK.</w:t>
      </w:r>
    </w:p>
    <w:p w14:paraId="0BA73D5F" w14:textId="4E601623" w:rsidR="006E428A" w:rsidRPr="006E428A" w:rsidRDefault="006E428A" w:rsidP="006E428A">
      <w:r w:rsidRPr="006E428A">
        <w:t>In the long term study 105, the most common AE leading to treatment discontinuation were dyspnoea, respiratory abnormal, infect</w:t>
      </w:r>
      <w:r w:rsidR="002B6692">
        <w:t xml:space="preserve">ive exacerbation, increased </w:t>
      </w:r>
      <w:r w:rsidR="00C530A0">
        <w:t>creatine kinase (</w:t>
      </w:r>
      <w:r w:rsidR="002B6692">
        <w:t>CK</w:t>
      </w:r>
      <w:r w:rsidR="00C530A0">
        <w:t>)</w:t>
      </w:r>
      <w:r w:rsidR="002B6692">
        <w:t>.</w:t>
      </w:r>
    </w:p>
    <w:p w14:paraId="29EA140B" w14:textId="77777777" w:rsidR="006E428A" w:rsidRPr="006E428A" w:rsidRDefault="006E428A" w:rsidP="006E428A">
      <w:pPr>
        <w:pStyle w:val="Heading6"/>
      </w:pPr>
      <w:r w:rsidRPr="006E428A">
        <w:t>Lab</w:t>
      </w:r>
      <w:r w:rsidR="002B6692">
        <w:t>oratory</w:t>
      </w:r>
      <w:r w:rsidRPr="006E428A">
        <w:t xml:space="preserve"> tests</w:t>
      </w:r>
    </w:p>
    <w:p w14:paraId="140FBC1F" w14:textId="77777777" w:rsidR="006E428A" w:rsidRPr="006E428A" w:rsidRDefault="006E428A" w:rsidP="006E428A">
      <w:r w:rsidRPr="006E428A">
        <w:t>The incidences of elevated transaminases were similar in the treatment and placebo groups. The transaminase</w:t>
      </w:r>
      <w:r w:rsidR="002B6692">
        <w:t>s improved on ceasing the drug.</w:t>
      </w:r>
    </w:p>
    <w:p w14:paraId="3AB0A7BC" w14:textId="19D77B89" w:rsidR="006E428A" w:rsidRPr="006E428A" w:rsidRDefault="006E428A" w:rsidP="006E428A">
      <w:r w:rsidRPr="006E428A">
        <w:t>The incidence of blood CK increase was similar in the LUM/IVA (5.6%) and placebo (5.45%) groups.</w:t>
      </w:r>
      <w:r w:rsidR="00A02EC9">
        <w:t xml:space="preserve"> </w:t>
      </w:r>
      <w:r w:rsidRPr="006E428A">
        <w:t xml:space="preserve">However the incidence was higher in the </w:t>
      </w:r>
      <w:r w:rsidR="002C7662">
        <w:t>400 mg</w:t>
      </w:r>
      <w:r w:rsidRPr="006E428A">
        <w:t xml:space="preserve"> </w:t>
      </w:r>
      <w:r w:rsidR="002C7662">
        <w:t>BD</w:t>
      </w:r>
      <w:r w:rsidRPr="006E428A">
        <w:t xml:space="preserve"> than </w:t>
      </w:r>
      <w:r w:rsidR="002C7662">
        <w:t>600 mg</w:t>
      </w:r>
      <w:r w:rsidRPr="006E428A">
        <w:t xml:space="preserve"> </w:t>
      </w:r>
      <w:r w:rsidR="00390D21">
        <w:t>QD</w:t>
      </w:r>
      <w:r w:rsidRPr="006E428A">
        <w:t xml:space="preserve"> groups. The incidence of myalgia, fatigue was similar in subjects who had SAE or AE leading to discontinuations and subjects with non-serious AE in the placebo and LUM/IVA groups. In study 105, there were 4 discontinuations due to CK increases. There were 11 patients who discontinued due to a high CK, the mag</w:t>
      </w:r>
      <w:r w:rsidR="002B6692">
        <w:t>nitude of which was generally &lt; </w:t>
      </w:r>
      <w:r w:rsidRPr="006E428A">
        <w:t>1000</w:t>
      </w:r>
      <w:r w:rsidR="002B6692">
        <w:t> </w:t>
      </w:r>
      <w:r w:rsidRPr="006E428A">
        <w:t xml:space="preserve">IU/L (however high values were also observed in placebo patients and treated patients who did not discontinue. In patients who discontinued LUM/IVA after a CK rise, values returned to normal in 7 and remained elevated in 4. (CPK elevation has been reported in around 2.5% of the general population). It is not clear of the treatment </w:t>
      </w:r>
      <w:r w:rsidRPr="006E428A">
        <w:lastRenderedPageBreak/>
        <w:t>discontinuations due to high CK were due to more frequent monitoring in the clinical</w:t>
      </w:r>
      <w:r w:rsidR="002B6692">
        <w:t xml:space="preserve"> trial or a true safety signal.</w:t>
      </w:r>
    </w:p>
    <w:p w14:paraId="261FB329" w14:textId="77777777" w:rsidR="006E428A" w:rsidRPr="006E428A" w:rsidRDefault="006E428A" w:rsidP="006E428A">
      <w:r w:rsidRPr="006E428A">
        <w:t xml:space="preserve">In healthy subjects, LUM monotherapy was associated with a decline in ppFEV1 of 6% which was evident 4 hours after the study dose and persisted, with subtle improvements, to </w:t>
      </w:r>
      <w:r w:rsidR="00E65C2F">
        <w:t>Day</w:t>
      </w:r>
      <w:r w:rsidRPr="006E428A">
        <w:t xml:space="preserve"> 7. As the dose of LUM increased, there was an increase in respiratory AE including throat tightness, </w:t>
      </w:r>
      <w:r w:rsidR="002B6692">
        <w:t>dyspnoea, respiratory abnormal.</w:t>
      </w:r>
    </w:p>
    <w:p w14:paraId="2928F9E6" w14:textId="47FFCCE2" w:rsidR="006E428A" w:rsidRPr="006E428A" w:rsidRDefault="00A94F32" w:rsidP="006E428A">
      <w:pPr>
        <w:pStyle w:val="Heading6"/>
      </w:pPr>
      <w:r>
        <w:t>Menstrual a</w:t>
      </w:r>
      <w:r w:rsidR="006E428A" w:rsidRPr="006E428A">
        <w:t>bnormalities</w:t>
      </w:r>
    </w:p>
    <w:p w14:paraId="2407A367" w14:textId="77777777" w:rsidR="006E428A" w:rsidRPr="006E428A" w:rsidRDefault="006E428A" w:rsidP="006E428A">
      <w:r w:rsidRPr="006E428A">
        <w:t>In</w:t>
      </w:r>
      <w:r w:rsidR="00377F0C">
        <w:t xml:space="preserve"> the pooled placebo controlled Phase III</w:t>
      </w:r>
      <w:r w:rsidRPr="006E428A">
        <w:t xml:space="preserve"> studies, the incidence of menstrual abnormalities was higher in the LUM/IVA group (9.9%) compared to the placebo group (1.7%). The association was higher in those receiving hormonal contraception (25%). In study 105, of the 503 female subjects 144 were using hormonal contraceptives. The incidence of menstrual abnormalities in female subjects was 8.3% in subjects using hormonal contraceptives and 1.7% in those not using hormonal contraceptives. The effect of LUM/IVA on the PK of hormonal contraceptive is not known. However, as LUM is a CYP3A inducer, it coul</w:t>
      </w:r>
      <w:r w:rsidR="002B6692">
        <w:t>d reduce exposure to oestrogen.</w:t>
      </w:r>
    </w:p>
    <w:p w14:paraId="54147EC2" w14:textId="607B2CCC" w:rsidR="006E428A" w:rsidRPr="006E428A" w:rsidRDefault="00A94F32" w:rsidP="006E428A">
      <w:pPr>
        <w:pStyle w:val="Heading6"/>
      </w:pPr>
      <w:r>
        <w:t>Use in p</w:t>
      </w:r>
      <w:r w:rsidR="006E428A" w:rsidRPr="006E428A">
        <w:t xml:space="preserve">regnancy and </w:t>
      </w:r>
      <w:r>
        <w:t>l</w:t>
      </w:r>
      <w:r w:rsidR="006E428A" w:rsidRPr="006E428A">
        <w:t>actation</w:t>
      </w:r>
    </w:p>
    <w:p w14:paraId="314FB83C" w14:textId="77777777" w:rsidR="000E6EB6" w:rsidRPr="00ED69EB" w:rsidRDefault="006E428A" w:rsidP="00ED69EB">
      <w:r w:rsidRPr="006E428A">
        <w:t>The effect of LUM/IVA on pregnancy in humans has not been studied. 5 pregnancies occurred during study 103/105</w:t>
      </w:r>
      <w:r w:rsidR="009D006E">
        <w:t xml:space="preserve"> </w:t>
      </w:r>
      <w:r w:rsidRPr="006E428A">
        <w:t>of these 1 was electively terminated and 4 continue. Results from embryo-foetal development reproductive toxicology studies in pregnant rats and rabbits indicat</w:t>
      </w:r>
      <w:r w:rsidR="002B6692">
        <w:t>ed that LUM is not a teratogen.</w:t>
      </w:r>
    </w:p>
    <w:p w14:paraId="5A5BB4E1" w14:textId="77777777" w:rsidR="008E7846" w:rsidRDefault="00386150" w:rsidP="007B6132">
      <w:pPr>
        <w:pStyle w:val="Heading3"/>
        <w:rPr>
          <w:lang w:eastAsia="en-AU"/>
        </w:rPr>
      </w:pPr>
      <w:bookmarkStart w:id="140" w:name="_Toc462141670"/>
      <w:r>
        <w:rPr>
          <w:lang w:eastAsia="en-AU"/>
        </w:rPr>
        <w:t>Risk m</w:t>
      </w:r>
      <w:r w:rsidR="008E7846">
        <w:rPr>
          <w:lang w:eastAsia="en-AU"/>
        </w:rPr>
        <w:t xml:space="preserve">anagement </w:t>
      </w:r>
      <w:r>
        <w:rPr>
          <w:lang w:eastAsia="en-AU"/>
        </w:rPr>
        <w:t>p</w:t>
      </w:r>
      <w:r w:rsidR="008E7846">
        <w:rPr>
          <w:lang w:eastAsia="en-AU"/>
        </w:rPr>
        <w:t>lan</w:t>
      </w:r>
      <w:bookmarkEnd w:id="138"/>
      <w:bookmarkEnd w:id="140"/>
    </w:p>
    <w:p w14:paraId="0B3708D6" w14:textId="77777777" w:rsidR="006E428A" w:rsidRPr="006E428A" w:rsidRDefault="006E428A" w:rsidP="006E428A">
      <w:r w:rsidRPr="006E428A">
        <w:t>Routine pharmacovigilance is proposed for all the safety concerns. Additional pharmacovigilance activities are proposed for all the safety concerns except missing information ‘Effect on P-gp substrates’ for which no additional pharmacovigilance is proposed. The proposed additional pharmacovigil</w:t>
      </w:r>
      <w:r w:rsidR="002B6692">
        <w:t>ance activities are as follows:</w:t>
      </w:r>
    </w:p>
    <w:p w14:paraId="595ABF33" w14:textId="77777777" w:rsidR="006E428A" w:rsidRPr="006E428A" w:rsidRDefault="0020143F" w:rsidP="006E428A">
      <w:pPr>
        <w:pStyle w:val="ListBullet"/>
      </w:pPr>
      <w:r>
        <w:t>Study 108</w:t>
      </w:r>
      <w:r w:rsidR="006E428A" w:rsidRPr="006E428A">
        <w:t xml:space="preserve"> a planned post-authorisation safety study to monitor the utilisation patterns and long-term effects of Orkambi in patient</w:t>
      </w:r>
      <w:r>
        <w:t>s with CF in the EU and the USA</w:t>
      </w:r>
    </w:p>
    <w:p w14:paraId="0965EFFB" w14:textId="77777777" w:rsidR="006E428A" w:rsidRPr="006E428A" w:rsidRDefault="006E428A" w:rsidP="006E428A">
      <w:pPr>
        <w:pStyle w:val="ListBullet"/>
      </w:pPr>
      <w:r w:rsidRPr="006E428A">
        <w:t>Study 770-115 an ongoing ocular safety study in paediatric pati</w:t>
      </w:r>
      <w:r w:rsidR="0020143F">
        <w:t>ents 11 years of age or younger</w:t>
      </w:r>
    </w:p>
    <w:p w14:paraId="26B42B9B" w14:textId="77777777" w:rsidR="006E428A" w:rsidRPr="006E428A" w:rsidRDefault="006E428A" w:rsidP="006E428A">
      <w:pPr>
        <w:pStyle w:val="ListBullet"/>
      </w:pPr>
      <w:r w:rsidRPr="006E428A">
        <w:t>Study 105 an ongoing</w:t>
      </w:r>
      <w:r w:rsidR="0020143F">
        <w:t xml:space="preserve"> P</w:t>
      </w:r>
      <w:r w:rsidRPr="006E428A">
        <w:t>hase III rollover study from previous studies to evaluate the safety and efficacy of long-term treatment in patients homozygous or heterozygou</w:t>
      </w:r>
      <w:r w:rsidR="0020143F">
        <w:t>s for the F508del-CFTR mutation</w:t>
      </w:r>
    </w:p>
    <w:p w14:paraId="68F98E5B" w14:textId="77777777" w:rsidR="006E428A" w:rsidRPr="006E428A" w:rsidRDefault="0020143F" w:rsidP="006E428A">
      <w:pPr>
        <w:pStyle w:val="ListBullet"/>
      </w:pPr>
      <w:r>
        <w:t>Study 106 an ongoing P</w:t>
      </w:r>
      <w:r w:rsidR="006E428A" w:rsidRPr="006E428A">
        <w:t>hase IIIb open</w:t>
      </w:r>
      <w:r w:rsidR="009D006E">
        <w:t xml:space="preserve"> </w:t>
      </w:r>
      <w:r w:rsidR="006E428A" w:rsidRPr="006E428A">
        <w:t>label study to evaluate the effects of Orkambi in patients 12 years and older with CF and advanced lung disease.</w:t>
      </w:r>
    </w:p>
    <w:p w14:paraId="48D729FA" w14:textId="77777777" w:rsidR="008E7846" w:rsidRDefault="006E428A" w:rsidP="006E428A">
      <w:r w:rsidRPr="006E428A">
        <w:t>From EU 180day response on major objection:</w:t>
      </w:r>
    </w:p>
    <w:p w14:paraId="01722B66" w14:textId="77777777" w:rsidR="006E428A" w:rsidRDefault="006E428A" w:rsidP="006E428A">
      <w:pPr>
        <w:ind w:left="720"/>
        <w:rPr>
          <w:i/>
        </w:rPr>
      </w:pPr>
      <w:r w:rsidRPr="006E428A">
        <w:rPr>
          <w:i/>
        </w:rPr>
        <w:t xml:space="preserve">In addition, Vertex is planning a Post </w:t>
      </w:r>
      <w:r w:rsidR="00E26C37" w:rsidRPr="006E428A">
        <w:rPr>
          <w:i/>
        </w:rPr>
        <w:t>Authorisation</w:t>
      </w:r>
      <w:r w:rsidRPr="006E428A">
        <w:rPr>
          <w:i/>
        </w:rPr>
        <w:t xml:space="preserve"> Safety Study (PASS). A 5 year observational study that includes evaluation of long term safety outcomes and long term CF diseas</w:t>
      </w:r>
      <w:r w:rsidR="00E26C37">
        <w:rPr>
          <w:i/>
        </w:rPr>
        <w:t>e progression, from data on LUM/</w:t>
      </w:r>
      <w:r w:rsidRPr="006E428A">
        <w:rPr>
          <w:i/>
        </w:rPr>
        <w:t xml:space="preserve">IVA treatment in a CF registry setting. The PASS will evaluate CF disease progression in patients who are 12 years and older, homozygous for F508del and treated with LUM/IVA, relative to disease progression in a comparator cohort of patients aged 12 years and older who are heterozygous for F508del and with a Class I/II mutation in the second allele and who have never received LUM/IVA (Orkambi) or ivacaftor monotherapy (Kalydeco). Disease progression will be measured by changes over time in ppFEV1 and other clinical parameters (body mass index </w:t>
      </w:r>
      <w:r w:rsidR="00026051">
        <w:rPr>
          <w:i/>
        </w:rPr>
        <w:t>(</w:t>
      </w:r>
      <w:r w:rsidRPr="006E428A">
        <w:rPr>
          <w:i/>
        </w:rPr>
        <w:t>BMI</w:t>
      </w:r>
      <w:r w:rsidR="00026051">
        <w:rPr>
          <w:i/>
        </w:rPr>
        <w:t>)</w:t>
      </w:r>
      <w:r w:rsidRPr="006E428A">
        <w:rPr>
          <w:i/>
        </w:rPr>
        <w:t xml:space="preserve">, CF related diabetes (CFRD) and distal intestinal obstruction syndrome (DIOS)). Please see the EU-RMP for further </w:t>
      </w:r>
      <w:r w:rsidRPr="006E428A">
        <w:rPr>
          <w:i/>
        </w:rPr>
        <w:lastRenderedPageBreak/>
        <w:t>information on the context of the PASS and Module 5.3.6 for the current clinical study protocol (VX14-809-108).</w:t>
      </w:r>
    </w:p>
    <w:p w14:paraId="13F797C9" w14:textId="77777777" w:rsidR="006E428A" w:rsidRDefault="006E428A" w:rsidP="006E428A">
      <w:r w:rsidRPr="006E428A">
        <w:t>The sponsor has proposed routine risk minimization activities for all the safety concerns in the EU-RMP. No additional risk minimization is considered necessary by the sponsor.</w:t>
      </w:r>
      <w:r w:rsidR="00377F0C">
        <w:t xml:space="preserve"> Table 30 is an updated summary of safety concerns from the EU RMP dated 24 September 2015 with ASA dated 20 October 2015.</w:t>
      </w:r>
    </w:p>
    <w:p w14:paraId="1C86C88C" w14:textId="77777777" w:rsidR="00377F0C" w:rsidRPr="006E428A" w:rsidRDefault="00377F0C" w:rsidP="00377F0C">
      <w:pPr>
        <w:pStyle w:val="TableTitle"/>
      </w:pPr>
      <w:r>
        <w:t>Table 30. Summary of safety concerns from the EU RMP dated 24 September 2015 with ASA dated 20 October 2015.</w:t>
      </w:r>
    </w:p>
    <w:tbl>
      <w:tblPr>
        <w:tblStyle w:val="TableTGAblue"/>
        <w:tblW w:w="0" w:type="auto"/>
        <w:tblLook w:val="04A0" w:firstRow="1" w:lastRow="0" w:firstColumn="1" w:lastColumn="0" w:noHBand="0" w:noVBand="1"/>
      </w:tblPr>
      <w:tblGrid>
        <w:gridCol w:w="1668"/>
        <w:gridCol w:w="7052"/>
      </w:tblGrid>
      <w:tr w:rsidR="00B849CE" w:rsidRPr="00E26C37" w14:paraId="196F1745" w14:textId="77777777" w:rsidTr="00B849CE">
        <w:trPr>
          <w:cnfStyle w:val="100000000000" w:firstRow="1" w:lastRow="0" w:firstColumn="0" w:lastColumn="0" w:oddVBand="0" w:evenVBand="0" w:oddHBand="0" w:evenHBand="0" w:firstRowFirstColumn="0" w:firstRowLastColumn="0" w:lastRowFirstColumn="0" w:lastRowLastColumn="0"/>
        </w:trPr>
        <w:tc>
          <w:tcPr>
            <w:tcW w:w="8720" w:type="dxa"/>
            <w:gridSpan w:val="2"/>
          </w:tcPr>
          <w:p w14:paraId="79C86F9F" w14:textId="77777777" w:rsidR="00B849CE" w:rsidRPr="00E26C37" w:rsidRDefault="00B849CE" w:rsidP="00E26C37">
            <w:pPr>
              <w:rPr>
                <w:sz w:val="20"/>
                <w:szCs w:val="20"/>
              </w:rPr>
            </w:pPr>
            <w:r w:rsidRPr="00E26C37">
              <w:rPr>
                <w:sz w:val="20"/>
                <w:szCs w:val="20"/>
              </w:rPr>
              <w:t>Updated Summary of safety concerns- from EU-RMP dated 24/9/2015 with ASA 2.0 dated 20 October 2015</w:t>
            </w:r>
          </w:p>
        </w:tc>
      </w:tr>
      <w:tr w:rsidR="00B849CE" w:rsidRPr="00E26C37" w14:paraId="218E88E4" w14:textId="77777777" w:rsidTr="00B849CE">
        <w:tc>
          <w:tcPr>
            <w:tcW w:w="1668" w:type="dxa"/>
          </w:tcPr>
          <w:p w14:paraId="55DC6E88" w14:textId="77777777" w:rsidR="00B849CE" w:rsidRPr="00E26C37" w:rsidRDefault="00B849CE" w:rsidP="00E26C37">
            <w:pPr>
              <w:rPr>
                <w:sz w:val="20"/>
                <w:szCs w:val="20"/>
              </w:rPr>
            </w:pPr>
            <w:r w:rsidRPr="00E26C37">
              <w:rPr>
                <w:sz w:val="20"/>
                <w:szCs w:val="20"/>
              </w:rPr>
              <w:t>Important Identified risks</w:t>
            </w:r>
          </w:p>
        </w:tc>
        <w:tc>
          <w:tcPr>
            <w:tcW w:w="7052" w:type="dxa"/>
          </w:tcPr>
          <w:p w14:paraId="048947A7" w14:textId="77777777" w:rsidR="00B849CE" w:rsidRPr="00E26C37" w:rsidRDefault="00B849CE" w:rsidP="00E26C37">
            <w:pPr>
              <w:rPr>
                <w:sz w:val="20"/>
                <w:szCs w:val="20"/>
              </w:rPr>
            </w:pPr>
            <w:r w:rsidRPr="00E26C37">
              <w:rPr>
                <w:sz w:val="20"/>
                <w:szCs w:val="20"/>
              </w:rPr>
              <w:t>Respiratory events</w:t>
            </w:r>
          </w:p>
        </w:tc>
      </w:tr>
      <w:tr w:rsidR="00B849CE" w:rsidRPr="00E26C37" w14:paraId="11A80480" w14:textId="77777777" w:rsidTr="00B849CE">
        <w:tc>
          <w:tcPr>
            <w:tcW w:w="1668" w:type="dxa"/>
          </w:tcPr>
          <w:p w14:paraId="742667A5" w14:textId="77777777" w:rsidR="00B849CE" w:rsidRPr="00E26C37" w:rsidRDefault="00B849CE" w:rsidP="00E26C37">
            <w:pPr>
              <w:rPr>
                <w:sz w:val="20"/>
                <w:szCs w:val="20"/>
              </w:rPr>
            </w:pPr>
            <w:r w:rsidRPr="00E26C37">
              <w:rPr>
                <w:sz w:val="20"/>
                <w:szCs w:val="20"/>
              </w:rPr>
              <w:t>Potential Risks</w:t>
            </w:r>
          </w:p>
        </w:tc>
        <w:tc>
          <w:tcPr>
            <w:tcW w:w="7052" w:type="dxa"/>
          </w:tcPr>
          <w:p w14:paraId="00631676" w14:textId="77777777" w:rsidR="00B849CE" w:rsidRPr="00E26C37" w:rsidRDefault="00B849CE" w:rsidP="00E26C37">
            <w:pPr>
              <w:rPr>
                <w:sz w:val="20"/>
                <w:szCs w:val="20"/>
              </w:rPr>
            </w:pPr>
            <w:r w:rsidRPr="00E26C37">
              <w:rPr>
                <w:sz w:val="20"/>
                <w:szCs w:val="20"/>
              </w:rPr>
              <w:t>Hepatobiliary events</w:t>
            </w:r>
          </w:p>
          <w:p w14:paraId="74616788" w14:textId="77777777" w:rsidR="00B849CE" w:rsidRPr="00E26C37" w:rsidRDefault="00B849CE" w:rsidP="00E26C37">
            <w:pPr>
              <w:rPr>
                <w:sz w:val="20"/>
                <w:szCs w:val="20"/>
              </w:rPr>
            </w:pPr>
            <w:r w:rsidRPr="00E26C37">
              <w:rPr>
                <w:sz w:val="20"/>
                <w:szCs w:val="20"/>
              </w:rPr>
              <w:t>Concomitant use of LUM/IVA with strong CYP3A inhibitors or inducers</w:t>
            </w:r>
          </w:p>
          <w:p w14:paraId="57CDD53A" w14:textId="77777777" w:rsidR="00B849CE" w:rsidRPr="00E26C37" w:rsidRDefault="00B849CE" w:rsidP="00E26C37">
            <w:pPr>
              <w:rPr>
                <w:sz w:val="20"/>
                <w:szCs w:val="20"/>
              </w:rPr>
            </w:pPr>
            <w:r w:rsidRPr="00E26C37">
              <w:rPr>
                <w:sz w:val="20"/>
                <w:szCs w:val="20"/>
              </w:rPr>
              <w:t>Concomitant use of LUM/IVA with sensitive CYP3A substrates and CYP3A substrates with narrow therapeutic index</w:t>
            </w:r>
          </w:p>
          <w:p w14:paraId="0E79EDDC" w14:textId="77777777" w:rsidR="00B849CE" w:rsidRPr="00E26C37" w:rsidRDefault="00B849CE" w:rsidP="00E26C37">
            <w:pPr>
              <w:rPr>
                <w:sz w:val="20"/>
                <w:szCs w:val="20"/>
              </w:rPr>
            </w:pPr>
            <w:r w:rsidRPr="00E26C37">
              <w:rPr>
                <w:sz w:val="20"/>
                <w:szCs w:val="20"/>
              </w:rPr>
              <w:t>Cataracts</w:t>
            </w:r>
          </w:p>
          <w:p w14:paraId="76A6D7F3" w14:textId="77777777" w:rsidR="00B849CE" w:rsidRPr="00E26C37" w:rsidRDefault="00B849CE" w:rsidP="00E26C37">
            <w:pPr>
              <w:rPr>
                <w:sz w:val="20"/>
                <w:szCs w:val="20"/>
              </w:rPr>
            </w:pPr>
            <w:r w:rsidRPr="00E26C37">
              <w:rPr>
                <w:sz w:val="20"/>
                <w:szCs w:val="20"/>
              </w:rPr>
              <w:t>Cardiac arrhythmias</w:t>
            </w:r>
          </w:p>
          <w:p w14:paraId="79B78CF8" w14:textId="77777777" w:rsidR="00B849CE" w:rsidRPr="00E26C37" w:rsidRDefault="00B849CE" w:rsidP="00E26C37">
            <w:pPr>
              <w:rPr>
                <w:sz w:val="20"/>
                <w:szCs w:val="20"/>
              </w:rPr>
            </w:pPr>
            <w:r w:rsidRPr="00E26C37">
              <w:rPr>
                <w:sz w:val="20"/>
                <w:szCs w:val="20"/>
              </w:rPr>
              <w:t>Off label use in children less than 12 years of age or in patients not homozygous for F508del-CFTR</w:t>
            </w:r>
          </w:p>
        </w:tc>
      </w:tr>
      <w:tr w:rsidR="00B849CE" w:rsidRPr="00E26C37" w14:paraId="2D62F91B" w14:textId="77777777" w:rsidTr="00B849CE">
        <w:tc>
          <w:tcPr>
            <w:tcW w:w="1668" w:type="dxa"/>
          </w:tcPr>
          <w:p w14:paraId="75C16675" w14:textId="77777777" w:rsidR="00B849CE" w:rsidRPr="00E26C37" w:rsidRDefault="00B849CE" w:rsidP="00E26C37">
            <w:pPr>
              <w:rPr>
                <w:sz w:val="20"/>
                <w:szCs w:val="20"/>
              </w:rPr>
            </w:pPr>
            <w:r w:rsidRPr="00E26C37">
              <w:rPr>
                <w:sz w:val="20"/>
                <w:szCs w:val="20"/>
              </w:rPr>
              <w:t>Missing Information</w:t>
            </w:r>
          </w:p>
        </w:tc>
        <w:tc>
          <w:tcPr>
            <w:tcW w:w="7052" w:type="dxa"/>
          </w:tcPr>
          <w:p w14:paraId="17848D0B" w14:textId="77777777" w:rsidR="00B849CE" w:rsidRPr="00E26C37" w:rsidRDefault="00B849CE" w:rsidP="00E26C37">
            <w:pPr>
              <w:rPr>
                <w:sz w:val="20"/>
                <w:szCs w:val="20"/>
              </w:rPr>
            </w:pPr>
            <w:r w:rsidRPr="00E26C37">
              <w:rPr>
                <w:sz w:val="20"/>
                <w:szCs w:val="20"/>
              </w:rPr>
              <w:t>Use in pregnant and lactating women</w:t>
            </w:r>
          </w:p>
          <w:p w14:paraId="5323A042" w14:textId="77777777" w:rsidR="00B849CE" w:rsidRPr="00E26C37" w:rsidRDefault="00B849CE" w:rsidP="00E26C37">
            <w:pPr>
              <w:rPr>
                <w:sz w:val="20"/>
                <w:szCs w:val="20"/>
              </w:rPr>
            </w:pPr>
            <w:r w:rsidRPr="00E26C37">
              <w:rPr>
                <w:sz w:val="20"/>
                <w:szCs w:val="20"/>
              </w:rPr>
              <w:t xml:space="preserve">Patients with </w:t>
            </w:r>
            <w:r w:rsidR="00A94F3D">
              <w:rPr>
                <w:sz w:val="20"/>
                <w:szCs w:val="20"/>
              </w:rPr>
              <w:t>ppFEV1</w:t>
            </w:r>
            <w:r w:rsidRPr="00E26C37">
              <w:rPr>
                <w:sz w:val="20"/>
                <w:szCs w:val="20"/>
              </w:rPr>
              <w:t xml:space="preserve"> &lt; 40%</w:t>
            </w:r>
          </w:p>
          <w:p w14:paraId="18C7E5D6" w14:textId="77777777" w:rsidR="00B849CE" w:rsidRPr="00E26C37" w:rsidRDefault="00B849CE" w:rsidP="00E26C37">
            <w:pPr>
              <w:rPr>
                <w:sz w:val="20"/>
                <w:szCs w:val="20"/>
              </w:rPr>
            </w:pPr>
            <w:r w:rsidRPr="00E26C37">
              <w:rPr>
                <w:sz w:val="20"/>
                <w:szCs w:val="20"/>
              </w:rPr>
              <w:t>Long term safety</w:t>
            </w:r>
          </w:p>
          <w:p w14:paraId="47C8FEC2" w14:textId="77777777" w:rsidR="00B849CE" w:rsidRPr="00E26C37" w:rsidRDefault="00B849CE" w:rsidP="00E26C37">
            <w:pPr>
              <w:rPr>
                <w:sz w:val="20"/>
                <w:szCs w:val="20"/>
              </w:rPr>
            </w:pPr>
            <w:r w:rsidRPr="00E26C37">
              <w:rPr>
                <w:sz w:val="20"/>
                <w:szCs w:val="20"/>
              </w:rPr>
              <w:t>Safety in patients with cardiac disease</w:t>
            </w:r>
          </w:p>
          <w:p w14:paraId="04E24547" w14:textId="77777777" w:rsidR="00B849CE" w:rsidRPr="00E26C37" w:rsidRDefault="00B849CE" w:rsidP="00E26C37">
            <w:pPr>
              <w:rPr>
                <w:sz w:val="20"/>
                <w:szCs w:val="20"/>
              </w:rPr>
            </w:pPr>
            <w:r w:rsidRPr="00E26C37">
              <w:rPr>
                <w:sz w:val="20"/>
                <w:szCs w:val="20"/>
              </w:rPr>
              <w:t>Use in patients following organ transplant</w:t>
            </w:r>
          </w:p>
          <w:p w14:paraId="77885E60" w14:textId="77777777" w:rsidR="00B849CE" w:rsidRPr="00E26C37" w:rsidRDefault="00B849CE" w:rsidP="00E26C37">
            <w:pPr>
              <w:rPr>
                <w:sz w:val="20"/>
                <w:szCs w:val="20"/>
              </w:rPr>
            </w:pPr>
            <w:r w:rsidRPr="00E26C37">
              <w:rPr>
                <w:sz w:val="20"/>
                <w:szCs w:val="20"/>
              </w:rPr>
              <w:t>Effect on P-gp substrates</w:t>
            </w:r>
          </w:p>
          <w:p w14:paraId="459981CF" w14:textId="77777777" w:rsidR="00B849CE" w:rsidRPr="00E26C37" w:rsidRDefault="00B849CE" w:rsidP="00E26C37">
            <w:pPr>
              <w:rPr>
                <w:sz w:val="20"/>
                <w:szCs w:val="20"/>
              </w:rPr>
            </w:pPr>
            <w:r w:rsidRPr="00E26C37">
              <w:rPr>
                <w:sz w:val="20"/>
                <w:szCs w:val="20"/>
              </w:rPr>
              <w:t>Potential off target activity of M6-ivacaftor</w:t>
            </w:r>
          </w:p>
          <w:p w14:paraId="2D15C2A2" w14:textId="77777777" w:rsidR="00B849CE" w:rsidRPr="00E26C37" w:rsidRDefault="00B849CE" w:rsidP="00E26C37">
            <w:pPr>
              <w:rPr>
                <w:sz w:val="20"/>
                <w:szCs w:val="20"/>
              </w:rPr>
            </w:pPr>
            <w:r w:rsidRPr="00E26C37">
              <w:rPr>
                <w:sz w:val="20"/>
                <w:szCs w:val="20"/>
              </w:rPr>
              <w:t>Interaction potential between transporters and LUM and/or IVA</w:t>
            </w:r>
          </w:p>
          <w:p w14:paraId="36D891ED" w14:textId="77777777" w:rsidR="00B849CE" w:rsidRPr="00E26C37" w:rsidRDefault="00B849CE" w:rsidP="00E26C37">
            <w:pPr>
              <w:rPr>
                <w:sz w:val="20"/>
                <w:szCs w:val="20"/>
              </w:rPr>
            </w:pPr>
            <w:r w:rsidRPr="00E26C37">
              <w:rPr>
                <w:sz w:val="20"/>
                <w:szCs w:val="20"/>
              </w:rPr>
              <w:t>Environmental risk</w:t>
            </w:r>
          </w:p>
        </w:tc>
      </w:tr>
    </w:tbl>
    <w:p w14:paraId="6B44E155" w14:textId="77777777" w:rsidR="008E7846" w:rsidRDefault="00AA0ED0" w:rsidP="008E7846">
      <w:pPr>
        <w:pStyle w:val="Heading3"/>
      </w:pPr>
      <w:bookmarkStart w:id="141" w:name="_Toc247691531"/>
      <w:bookmarkStart w:id="142" w:name="_Toc314842515"/>
      <w:bookmarkStart w:id="143" w:name="_Toc462141671"/>
      <w:bookmarkStart w:id="144" w:name="_Toc196046505"/>
      <w:bookmarkStart w:id="145" w:name="_Toc196046949"/>
      <w:r>
        <w:t>Risk-benefit a</w:t>
      </w:r>
      <w:r w:rsidR="008E7846">
        <w:t>nalysis</w:t>
      </w:r>
      <w:bookmarkEnd w:id="141"/>
      <w:bookmarkEnd w:id="142"/>
      <w:bookmarkEnd w:id="143"/>
    </w:p>
    <w:p w14:paraId="4C856207" w14:textId="77777777" w:rsidR="00D23139" w:rsidRDefault="00E26C37" w:rsidP="00D23139">
      <w:pPr>
        <w:pStyle w:val="Heading4"/>
      </w:pPr>
      <w:r>
        <w:t>Delegate’s considerations</w:t>
      </w:r>
    </w:p>
    <w:p w14:paraId="340E92F7" w14:textId="77777777" w:rsidR="00B849CE" w:rsidRPr="00B849CE" w:rsidRDefault="00B849CE" w:rsidP="00B849CE">
      <w:r w:rsidRPr="00B849CE">
        <w:t>The sponsor has demonstrated benefits of this FDC of IVA/LUM in patients homozygous to F508-del for the following outcomes:</w:t>
      </w:r>
    </w:p>
    <w:p w14:paraId="2E28E134" w14:textId="0AC254A5" w:rsidR="00B849CE" w:rsidRPr="00B849CE" w:rsidRDefault="00B849CE" w:rsidP="00E26C37">
      <w:pPr>
        <w:pStyle w:val="Numberbullet0"/>
        <w:numPr>
          <w:ilvl w:val="0"/>
          <w:numId w:val="27"/>
        </w:numPr>
      </w:pPr>
      <w:r w:rsidRPr="00B849CE">
        <w:t>FEV1</w:t>
      </w:r>
      <w:r w:rsidR="009D006E">
        <w:t xml:space="preserve"> </w:t>
      </w:r>
      <w:r w:rsidRPr="00B849CE">
        <w:t>an improvement of around 6% after 24 weeks which is maintained up to 2 years</w:t>
      </w:r>
      <w:r w:rsidR="00145418">
        <w:t>.</w:t>
      </w:r>
    </w:p>
    <w:p w14:paraId="715448B3" w14:textId="5C35FB9B" w:rsidR="00B849CE" w:rsidRPr="00B849CE" w:rsidRDefault="00B849CE" w:rsidP="00E26C37">
      <w:pPr>
        <w:pStyle w:val="Numberbullet0"/>
        <w:numPr>
          <w:ilvl w:val="0"/>
          <w:numId w:val="27"/>
        </w:numPr>
      </w:pPr>
      <w:r w:rsidRPr="00B849CE">
        <w:t>BMI</w:t>
      </w:r>
      <w:r w:rsidR="009D006E">
        <w:t xml:space="preserve"> </w:t>
      </w:r>
      <w:r w:rsidRPr="00B849CE">
        <w:t>an improvement of around 0.5 which increases with long term use</w:t>
      </w:r>
      <w:r w:rsidR="00145418">
        <w:t>.</w:t>
      </w:r>
    </w:p>
    <w:p w14:paraId="4975FFCD" w14:textId="77777777" w:rsidR="00B849CE" w:rsidRPr="00B849CE" w:rsidRDefault="00B849CE" w:rsidP="00E26C37">
      <w:pPr>
        <w:pStyle w:val="Numberbullet0"/>
        <w:numPr>
          <w:ilvl w:val="0"/>
          <w:numId w:val="27"/>
        </w:numPr>
      </w:pPr>
      <w:r w:rsidRPr="00B849CE">
        <w:t>Risk of pulmonary exacerbations a significant reduction</w:t>
      </w:r>
      <w:r w:rsidR="00E26C37">
        <w:t>.</w:t>
      </w:r>
    </w:p>
    <w:p w14:paraId="4EE33037" w14:textId="77777777" w:rsidR="00B849CE" w:rsidRPr="00B849CE" w:rsidRDefault="00B849CE" w:rsidP="00B849CE">
      <w:r w:rsidRPr="00B849CE">
        <w:lastRenderedPageBreak/>
        <w:t xml:space="preserve">The benefits in FEV1 and BMI are not as great as those seen with IVA for gating </w:t>
      </w:r>
      <w:r w:rsidR="00CB1352" w:rsidRPr="00B849CE">
        <w:t>mutations;</w:t>
      </w:r>
      <w:r w:rsidRPr="00B849CE">
        <w:t xml:space="preserve"> however the benefits in terms of admissions for exacerbations are similar. There was also a numerical but not statistically significant improvement in the quality of life scores. The benefits observed were the same across subgroups</w:t>
      </w:r>
      <w:r w:rsidR="00E26C37">
        <w:t xml:space="preserve"> of age, sex, disease severity.</w:t>
      </w:r>
    </w:p>
    <w:p w14:paraId="7CBD9886" w14:textId="77777777" w:rsidR="00B849CE" w:rsidRPr="00B849CE" w:rsidRDefault="00B849CE" w:rsidP="00B849CE">
      <w:r w:rsidRPr="00B849CE">
        <w:t xml:space="preserve">The tablets were generally well tolerated. The main </w:t>
      </w:r>
      <w:r w:rsidR="00CB1352">
        <w:t>AE</w:t>
      </w:r>
      <w:r w:rsidRPr="00B849CE">
        <w:t>s reported were those commonly observed in patients with CF. Of note in healthy subjects an increased risk of dyspn</w:t>
      </w:r>
      <w:r w:rsidR="00E26C37">
        <w:t>oea and diarrhoea was observed.</w:t>
      </w:r>
    </w:p>
    <w:p w14:paraId="10915820" w14:textId="77777777" w:rsidR="00B849CE" w:rsidRPr="00B849CE" w:rsidRDefault="00B849CE" w:rsidP="00B849CE">
      <w:r w:rsidRPr="00B849CE">
        <w:t>The unknown/uncertain aspects of this application include</w:t>
      </w:r>
    </w:p>
    <w:p w14:paraId="32EE7873" w14:textId="1E0255F5" w:rsidR="00B849CE" w:rsidRPr="00B849CE" w:rsidRDefault="00B849CE" w:rsidP="00E6447A">
      <w:pPr>
        <w:pStyle w:val="Numberbullet0"/>
        <w:numPr>
          <w:ilvl w:val="0"/>
          <w:numId w:val="10"/>
        </w:numPr>
      </w:pPr>
      <w:r w:rsidRPr="00B849CE">
        <w:t>Long term efficacy and safety</w:t>
      </w:r>
      <w:r w:rsidR="00145418">
        <w:t>.</w:t>
      </w:r>
    </w:p>
    <w:p w14:paraId="018FAFCB" w14:textId="5AA85A04" w:rsidR="00B849CE" w:rsidRPr="00B849CE" w:rsidRDefault="00B849CE" w:rsidP="00E6447A">
      <w:pPr>
        <w:pStyle w:val="Numberbullet0"/>
        <w:numPr>
          <w:ilvl w:val="0"/>
          <w:numId w:val="10"/>
        </w:numPr>
      </w:pPr>
      <w:r w:rsidRPr="00B849CE">
        <w:t>Impact on the multiple possible drug interactions</w:t>
      </w:r>
      <w:r w:rsidR="00145418">
        <w:t>.</w:t>
      </w:r>
    </w:p>
    <w:p w14:paraId="0057B453" w14:textId="07922645" w:rsidR="00B849CE" w:rsidRPr="00B849CE" w:rsidRDefault="00B849CE" w:rsidP="00E6447A">
      <w:pPr>
        <w:pStyle w:val="Numberbullet0"/>
        <w:numPr>
          <w:ilvl w:val="0"/>
          <w:numId w:val="10"/>
        </w:numPr>
      </w:pPr>
      <w:r w:rsidRPr="00B849CE">
        <w:t>Use in the context of organ transplantation</w:t>
      </w:r>
      <w:r w:rsidR="00145418">
        <w:t>.</w:t>
      </w:r>
    </w:p>
    <w:p w14:paraId="3FAD82C2" w14:textId="77777777" w:rsidR="00B849CE" w:rsidRPr="00B849CE" w:rsidRDefault="00B849CE" w:rsidP="00E6447A">
      <w:pPr>
        <w:pStyle w:val="Numberbullet0"/>
        <w:numPr>
          <w:ilvl w:val="0"/>
          <w:numId w:val="10"/>
        </w:numPr>
      </w:pPr>
      <w:r w:rsidRPr="00B849CE">
        <w:t>Use in pregnancy</w:t>
      </w:r>
      <w:r w:rsidR="00CB1352">
        <w:t>.</w:t>
      </w:r>
    </w:p>
    <w:p w14:paraId="7E7E3110" w14:textId="77777777" w:rsidR="00B849CE" w:rsidRDefault="00B849CE" w:rsidP="00B849CE">
      <w:r w:rsidRPr="00B849CE">
        <w:t>These issues are adequately addressed in the PI and RMP</w:t>
      </w:r>
      <w:r w:rsidR="00CB1352">
        <w:t>.</w:t>
      </w:r>
    </w:p>
    <w:p w14:paraId="4A2D2C6C" w14:textId="77777777" w:rsidR="00B849CE" w:rsidRDefault="00B849CE" w:rsidP="00B849CE">
      <w:pPr>
        <w:pStyle w:val="Heading5"/>
      </w:pPr>
      <w:r>
        <w:t>Summary of issues</w:t>
      </w:r>
    </w:p>
    <w:p w14:paraId="420DFD95" w14:textId="14DBA0B4" w:rsidR="00B849CE" w:rsidRPr="00B849CE" w:rsidRDefault="00B849CE" w:rsidP="00E26C37">
      <w:pPr>
        <w:pStyle w:val="ListBullet"/>
      </w:pPr>
      <w:r w:rsidRPr="00B849CE">
        <w:t>Patients with the F508delta mutation represent the majority of patients with CF i</w:t>
      </w:r>
      <w:r w:rsidR="00145418">
        <w:t>n Australia. Patients with the F</w:t>
      </w:r>
      <w:r w:rsidRPr="00B849CE">
        <w:t>508delta mutation have a severe phenotype. Although treatment for CF has improved with time, outcome remains poor</w:t>
      </w:r>
    </w:p>
    <w:p w14:paraId="2DC60882" w14:textId="77777777" w:rsidR="00B849CE" w:rsidRPr="00B849CE" w:rsidRDefault="00B849CE" w:rsidP="00E26C37">
      <w:pPr>
        <w:pStyle w:val="ListBullet"/>
      </w:pPr>
      <w:r w:rsidRPr="00B849CE">
        <w:t>Pivotal studies showed small improvements in the primary efficacy endpoints FEV1 in the first 15 days. These were maintained after 6 months but there</w:t>
      </w:r>
      <w:r w:rsidR="00CB1352">
        <w:t xml:space="preserve"> was no subsequent improvement</w:t>
      </w:r>
    </w:p>
    <w:p w14:paraId="214132BA" w14:textId="77777777" w:rsidR="00B849CE" w:rsidRPr="00B849CE" w:rsidRDefault="00B849CE" w:rsidP="00E26C37">
      <w:pPr>
        <w:pStyle w:val="ListBullet"/>
      </w:pPr>
      <w:r w:rsidRPr="00B849CE">
        <w:t>The most significant improvement was in the reduced rate of exacerbations. Other improvements were seen in BMI, relative change in FEV1, CFQ-R</w:t>
      </w:r>
    </w:p>
    <w:p w14:paraId="5D43D8B1" w14:textId="77777777" w:rsidR="00B849CE" w:rsidRDefault="00B849CE" w:rsidP="00E26C37">
      <w:pPr>
        <w:pStyle w:val="ListBullet"/>
      </w:pPr>
      <w:r w:rsidRPr="00B849CE">
        <w:t xml:space="preserve">There were minimal adverse effects. In healthy people respiratory symptoms and diarrhoea were more common than placebo. There was increased menstrual bleeding in women taking </w:t>
      </w:r>
      <w:r w:rsidR="00EC3FD5">
        <w:t>oral contraceptive products.</w:t>
      </w:r>
    </w:p>
    <w:p w14:paraId="0EDCF750" w14:textId="77777777" w:rsidR="00B849CE" w:rsidRPr="00B849CE" w:rsidRDefault="00B849CE" w:rsidP="00E26C37">
      <w:pPr>
        <w:pStyle w:val="ListBullet"/>
      </w:pPr>
      <w:r w:rsidRPr="00B849CE">
        <w:t>Potential for drug interactions:</w:t>
      </w:r>
    </w:p>
    <w:p w14:paraId="4E0878F3" w14:textId="77777777" w:rsidR="00B849CE" w:rsidRPr="00B849CE" w:rsidRDefault="00B849CE" w:rsidP="00E26C37">
      <w:pPr>
        <w:pStyle w:val="ListBullet2"/>
      </w:pPr>
      <w:r w:rsidRPr="00B849CE">
        <w:t>In vivo and vitro studies have demonstrated that LUM is an inducer of CYP3A whereas IVA is a weak inhibitor</w:t>
      </w:r>
    </w:p>
    <w:p w14:paraId="3614E7A8" w14:textId="77777777" w:rsidR="00B849CE" w:rsidRPr="00B849CE" w:rsidRDefault="00B849CE" w:rsidP="00E26C37">
      <w:pPr>
        <w:pStyle w:val="ListBullet2"/>
      </w:pPr>
      <w:r w:rsidRPr="00B849CE">
        <w:t>IVA is a substrate for CYP3A</w:t>
      </w:r>
    </w:p>
    <w:p w14:paraId="5B07E8A7" w14:textId="77777777" w:rsidR="00B849CE" w:rsidRPr="00B849CE" w:rsidRDefault="00B849CE" w:rsidP="00E26C37">
      <w:pPr>
        <w:pStyle w:val="ListBullet2"/>
      </w:pPr>
      <w:r w:rsidRPr="00B849CE">
        <w:t>IVA and LUM are P</w:t>
      </w:r>
      <w:r w:rsidR="00CB1352">
        <w:t>-</w:t>
      </w:r>
      <w:r w:rsidRPr="00B849CE">
        <w:t>gp inhibitors</w:t>
      </w:r>
    </w:p>
    <w:p w14:paraId="59753997" w14:textId="77777777" w:rsidR="00B849CE" w:rsidRPr="00B849CE" w:rsidRDefault="00B849CE" w:rsidP="00B849CE">
      <w:r w:rsidRPr="00B849CE">
        <w:t>Unknown:</w:t>
      </w:r>
    </w:p>
    <w:p w14:paraId="012F376B" w14:textId="77777777" w:rsidR="00B849CE" w:rsidRPr="00B849CE" w:rsidRDefault="00B849CE" w:rsidP="00E26C37">
      <w:pPr>
        <w:pStyle w:val="ListBullet"/>
      </w:pPr>
      <w:r w:rsidRPr="00B849CE">
        <w:t>Long term efficacy and safety</w:t>
      </w:r>
    </w:p>
    <w:p w14:paraId="0B6DA405" w14:textId="77777777" w:rsidR="00B849CE" w:rsidRPr="00B849CE" w:rsidRDefault="00B849CE" w:rsidP="00E26C37">
      <w:pPr>
        <w:pStyle w:val="ListBullet"/>
      </w:pPr>
      <w:r w:rsidRPr="00B849CE">
        <w:t>Impact on survival, lung transplant</w:t>
      </w:r>
    </w:p>
    <w:p w14:paraId="083A0460" w14:textId="77777777" w:rsidR="00B849CE" w:rsidRPr="00B849CE" w:rsidRDefault="00B849CE" w:rsidP="00E26C37">
      <w:pPr>
        <w:pStyle w:val="ListBullet"/>
      </w:pPr>
      <w:r w:rsidRPr="00B849CE">
        <w:t>Use in children &lt; 12 years was n</w:t>
      </w:r>
      <w:r w:rsidR="00E26C37">
        <w:t>ot addressed in this submission;</w:t>
      </w:r>
      <w:r w:rsidRPr="00B849CE">
        <w:t xml:space="preserve"> studies in this population are ongoing.</w:t>
      </w:r>
    </w:p>
    <w:p w14:paraId="34C68A77" w14:textId="77777777" w:rsidR="00D23139" w:rsidRDefault="00D23139" w:rsidP="00D23139">
      <w:pPr>
        <w:pStyle w:val="Heading4"/>
      </w:pPr>
      <w:r w:rsidRPr="00D23139">
        <w:t>Proposed action</w:t>
      </w:r>
    </w:p>
    <w:p w14:paraId="3FBAC02C" w14:textId="77777777" w:rsidR="00B849CE" w:rsidRPr="00B849CE" w:rsidRDefault="00E26C37" w:rsidP="00B849CE">
      <w:r>
        <w:t>The Delegate had</w:t>
      </w:r>
      <w:r w:rsidR="00B849CE" w:rsidRPr="00B849CE">
        <w:t xml:space="preserve"> no reason to say, at this time, that the application for </w:t>
      </w:r>
      <w:r w:rsidR="008B5A3E">
        <w:t>Orkambi</w:t>
      </w:r>
      <w:r w:rsidR="00B849CE" w:rsidRPr="00B849CE">
        <w:t xml:space="preserve"> should not be approved for registration</w:t>
      </w:r>
      <w:r>
        <w:t>.</w:t>
      </w:r>
    </w:p>
    <w:p w14:paraId="7A6B3E5F" w14:textId="77777777" w:rsidR="00D23139" w:rsidRDefault="00D23139" w:rsidP="00D23139">
      <w:pPr>
        <w:pStyle w:val="Heading4"/>
      </w:pPr>
      <w:r w:rsidRPr="00D23139">
        <w:t>Request for ACPM advice</w:t>
      </w:r>
    </w:p>
    <w:p w14:paraId="7F44B7B2" w14:textId="77777777" w:rsidR="00B849CE" w:rsidRPr="00B849CE" w:rsidRDefault="00B849CE" w:rsidP="00B849CE">
      <w:r w:rsidRPr="00B849CE">
        <w:t>The committee is requested to provide advice on the following specific issues:</w:t>
      </w:r>
    </w:p>
    <w:p w14:paraId="0A482B2B" w14:textId="77777777" w:rsidR="00B849CE" w:rsidRPr="00B849CE" w:rsidRDefault="00B849CE" w:rsidP="00E6447A">
      <w:pPr>
        <w:pStyle w:val="Numberbullet0"/>
        <w:numPr>
          <w:ilvl w:val="0"/>
          <w:numId w:val="13"/>
        </w:numPr>
      </w:pPr>
      <w:r w:rsidRPr="00B849CE">
        <w:lastRenderedPageBreak/>
        <w:t>The clinical significance of the small improvement in FEV1 as a primary endpoint, and the validity of putting greater emphasis on secondary endpoints</w:t>
      </w:r>
    </w:p>
    <w:p w14:paraId="0DACBBB5" w14:textId="77777777" w:rsidR="00B849CE" w:rsidRPr="00B849CE" w:rsidRDefault="00B849CE" w:rsidP="00E6447A">
      <w:pPr>
        <w:pStyle w:val="Numberbullet0"/>
        <w:numPr>
          <w:ilvl w:val="0"/>
          <w:numId w:val="13"/>
        </w:numPr>
      </w:pPr>
      <w:r w:rsidRPr="00B849CE">
        <w:t>The likelihood of off label use in younger children</w:t>
      </w:r>
    </w:p>
    <w:p w14:paraId="36A9D33D" w14:textId="77777777" w:rsidR="00B849CE" w:rsidRPr="00B849CE" w:rsidRDefault="00B849CE" w:rsidP="00B849CE">
      <w:r w:rsidRPr="00B849CE">
        <w:t>The committee is (also) requested to provide advice on any other issues that it thinks may be relevant to a decision on whether or not to approve this application.</w:t>
      </w:r>
    </w:p>
    <w:p w14:paraId="2C19A5C0" w14:textId="3FC3F105" w:rsidR="00D23139" w:rsidRDefault="00A94F32" w:rsidP="00D23139">
      <w:pPr>
        <w:pStyle w:val="Heading4"/>
      </w:pPr>
      <w:r>
        <w:t>Response from s</w:t>
      </w:r>
      <w:r w:rsidR="00E26C37">
        <w:t>ponsor</w:t>
      </w:r>
    </w:p>
    <w:p w14:paraId="6EF88160" w14:textId="77777777" w:rsidR="00076996" w:rsidRPr="00076996" w:rsidRDefault="00076996" w:rsidP="00076996">
      <w:r w:rsidRPr="00076996">
        <w:t>Prior to the ACPM, Vertex would like to re-emphasise the clinically significant benefit of Orkambi, based on the data from the two large pivotal Phase III clinical studies conducted in</w:t>
      </w:r>
      <w:r w:rsidR="00E26C37">
        <w:t xml:space="preserve"> patients with CF</w:t>
      </w:r>
      <w:r w:rsidRPr="00076996">
        <w:t xml:space="preserve"> aged 12 years and older who are homozygous for the F508 del mutation in the CFTR gene.</w:t>
      </w:r>
    </w:p>
    <w:p w14:paraId="4E883CC8" w14:textId="77777777" w:rsidR="00076996" w:rsidRPr="00076996" w:rsidRDefault="00076996" w:rsidP="00076996">
      <w:r w:rsidRPr="00076996">
        <w:t xml:space="preserve">The </w:t>
      </w:r>
      <w:r w:rsidR="00E26C37">
        <w:t>mechanism of action of Orkambi i</w:t>
      </w:r>
      <w:r w:rsidRPr="00076996">
        <w:t>s a key differentiation from currently used treatment options, which target one or more of the downstream consequences of CF (</w:t>
      </w:r>
      <w:r w:rsidR="001031EC">
        <w:t>for example</w:t>
      </w:r>
      <w:r w:rsidR="00CB1352">
        <w:t>, i</w:t>
      </w:r>
      <w:r w:rsidRPr="00076996">
        <w:t>nfection in the lu</w:t>
      </w:r>
      <w:r w:rsidR="00E26C37">
        <w:t>ng, thickened mucous). Orkambi d</w:t>
      </w:r>
      <w:r w:rsidRPr="00076996">
        <w:t xml:space="preserve">irectly targets </w:t>
      </w:r>
      <w:r w:rsidR="00E26C37">
        <w:t>the underlying cause of CF (by i</w:t>
      </w:r>
      <w:r w:rsidRPr="00076996">
        <w:t>ncreasing CFTR function), and thus acts at an earlier stage in the disease process and is a systemic therapy with potential for a broader array of benefits.</w:t>
      </w:r>
    </w:p>
    <w:p w14:paraId="5B9096B4" w14:textId="77777777" w:rsidR="00076996" w:rsidRPr="00076996" w:rsidRDefault="00E26C37" w:rsidP="00076996">
      <w:r>
        <w:t>The benefits of Orkambi t</w:t>
      </w:r>
      <w:r w:rsidR="00076996" w:rsidRPr="00076996">
        <w:t xml:space="preserve">reatment were in addition to any benefits patients were receiving from their standard CF medications, which they continued receiving during </w:t>
      </w:r>
      <w:r>
        <w:t xml:space="preserve">lumacaftor </w:t>
      </w:r>
      <w:r w:rsidR="00CB1352">
        <w:t>/ivacaftor (LUM/IVA) t</w:t>
      </w:r>
      <w:r w:rsidR="00076996" w:rsidRPr="00076996">
        <w:t>reatment duri</w:t>
      </w:r>
      <w:r>
        <w:t>ng the Phase III trials. Given that CF i</w:t>
      </w:r>
      <w:r w:rsidR="00076996" w:rsidRPr="00076996">
        <w:t>s a progressive, lethal disease, maximizing treatment benefits is particularly important.</w:t>
      </w:r>
    </w:p>
    <w:p w14:paraId="54F24D42" w14:textId="77777777" w:rsidR="00076996" w:rsidRPr="00076996" w:rsidRDefault="00E26C37" w:rsidP="00076996">
      <w:r>
        <w:t>No PSUR i</w:t>
      </w:r>
      <w:r w:rsidR="00076996" w:rsidRPr="00076996">
        <w:t xml:space="preserve">s yet available for this product. However, </w:t>
      </w:r>
      <w:r>
        <w:t>the sponsor</w:t>
      </w:r>
      <w:r w:rsidR="00076996" w:rsidRPr="00076996">
        <w:t xml:space="preserve"> would like to confirm that the small amount of post</w:t>
      </w:r>
      <w:r>
        <w:t>-</w:t>
      </w:r>
      <w:r w:rsidR="00076996" w:rsidRPr="00076996">
        <w:t>marketing data to this point has not revealed any new safety concerns over and above what is included in the current draft PI.</w:t>
      </w:r>
    </w:p>
    <w:p w14:paraId="6E8ABCF5" w14:textId="77777777" w:rsidR="00076996" w:rsidRPr="00076996" w:rsidRDefault="00076996" w:rsidP="00076996">
      <w:r w:rsidRPr="00076996">
        <w:t xml:space="preserve">Vertex Pharmaceuticals (Australia) Pty Ltd Has accepted the TGA’s Requirement to </w:t>
      </w:r>
      <w:r w:rsidR="003B0881">
        <w:t>use the term ‘Orkambi 200/125’ t</w:t>
      </w:r>
      <w:r w:rsidRPr="00076996">
        <w:t xml:space="preserve">hroughout the PI/CMI, However as </w:t>
      </w:r>
      <w:r w:rsidR="003B0881">
        <w:t>shown in the EU SmPC And USPI, t</w:t>
      </w:r>
      <w:r w:rsidRPr="00076996">
        <w:t>he global trade</w:t>
      </w:r>
      <w:r w:rsidR="003B0881">
        <w:t xml:space="preserve"> </w:t>
      </w:r>
      <w:r w:rsidRPr="00076996">
        <w:t xml:space="preserve">name registered by Vertex Pharmaceuticals Worldwide is simply </w:t>
      </w:r>
      <w:r w:rsidR="00A02EC9">
        <w:t>‘</w:t>
      </w:r>
      <w:r w:rsidRPr="00076996">
        <w:t>Orkambi</w:t>
      </w:r>
      <w:r w:rsidR="00A02EC9">
        <w:t>’</w:t>
      </w:r>
      <w:r w:rsidRPr="00076996">
        <w:t>.</w:t>
      </w:r>
    </w:p>
    <w:p w14:paraId="5B7FF6FE" w14:textId="77777777" w:rsidR="00076996" w:rsidRPr="00076996" w:rsidRDefault="003B0881" w:rsidP="00076996">
      <w:r>
        <w:t>Vertex notes the Delegate’s c</w:t>
      </w:r>
      <w:r w:rsidR="00076996" w:rsidRPr="00076996">
        <w:t xml:space="preserve">omment on </w:t>
      </w:r>
      <w:r>
        <w:t>that BMI i</w:t>
      </w:r>
      <w:r w:rsidR="00076996" w:rsidRPr="00076996">
        <w:t>nformatio</w:t>
      </w:r>
      <w:r>
        <w:t>n should be included in the PI f</w:t>
      </w:r>
      <w:r w:rsidR="00076996" w:rsidRPr="00076996">
        <w:t>or Trial 105.</w:t>
      </w:r>
    </w:p>
    <w:p w14:paraId="57334F01" w14:textId="3B3C97B9" w:rsidR="008E7846" w:rsidRDefault="008E7846" w:rsidP="008E7846">
      <w:pPr>
        <w:pStyle w:val="Heading4"/>
      </w:pPr>
      <w:r>
        <w:t xml:space="preserve">Advisory </w:t>
      </w:r>
      <w:r w:rsidR="00A94F32">
        <w:t>c</w:t>
      </w:r>
      <w:r>
        <w:t xml:space="preserve">ommittee </w:t>
      </w:r>
      <w:r w:rsidR="00A94F32">
        <w:t>c</w:t>
      </w:r>
      <w:r>
        <w:t>onsiderations</w:t>
      </w:r>
    </w:p>
    <w:p w14:paraId="666AC64F" w14:textId="77777777" w:rsidR="008E7846" w:rsidRPr="00406A55" w:rsidRDefault="00D23139" w:rsidP="00406A55">
      <w:r w:rsidRPr="00406A55">
        <w:t>The Advisory Committee on Prescription Medicines (ACPM), having considered the evaluations and the Delegate’s overview, as well as the sponsor’s response to these documents, advised the following:</w:t>
      </w:r>
    </w:p>
    <w:p w14:paraId="2946A296" w14:textId="77777777" w:rsidR="00406A55" w:rsidRPr="00406A55" w:rsidRDefault="00406A55" w:rsidP="00406A55">
      <w:r w:rsidRPr="00406A55">
        <w:t>The ACPM, taking into account the submitted evidence of efficacy, safet</w:t>
      </w:r>
      <w:r w:rsidR="003B0881">
        <w:t>y and quality, agreed with the D</w:t>
      </w:r>
      <w:r w:rsidRPr="00406A55">
        <w:t xml:space="preserve">elegate and considered </w:t>
      </w:r>
      <w:r w:rsidR="008B5A3E">
        <w:t>Orkambi</w:t>
      </w:r>
      <w:r w:rsidR="003B0881">
        <w:t xml:space="preserve"> 200/125 tablet containing lumacaftor 200 mg/i</w:t>
      </w:r>
      <w:r w:rsidRPr="00406A55">
        <w:t>vacaftor 125 mg to h</w:t>
      </w:r>
      <w:r w:rsidR="003B0881">
        <w:t>ave an overall positive benefit-</w:t>
      </w:r>
      <w:r w:rsidRPr="00406A55">
        <w:t>r</w:t>
      </w:r>
      <w:r w:rsidR="003B0881">
        <w:t>isk profile for the indication:</w:t>
      </w:r>
    </w:p>
    <w:p w14:paraId="15D81ED3" w14:textId="77777777" w:rsidR="00406A55" w:rsidRPr="00406A55" w:rsidRDefault="008B5A3E" w:rsidP="00406A55">
      <w:pPr>
        <w:ind w:left="720"/>
        <w:rPr>
          <w:i/>
        </w:rPr>
      </w:pPr>
      <w:r>
        <w:rPr>
          <w:i/>
        </w:rPr>
        <w:t>Orkambi</w:t>
      </w:r>
      <w:r w:rsidR="00406A55" w:rsidRPr="00406A55">
        <w:rPr>
          <w:i/>
        </w:rPr>
        <w:t xml:space="preserve"> is indicated for the treatment of cystic fibrosis (CF) in patients 12 years and older who are homozygous for the F508-del mutation in the CFTR gene.</w:t>
      </w:r>
    </w:p>
    <w:p w14:paraId="1F233F53" w14:textId="77777777" w:rsidR="00406A55" w:rsidRPr="00406A55" w:rsidRDefault="00406A55" w:rsidP="00406A55">
      <w:r w:rsidRPr="00406A55">
        <w:t>In makin</w:t>
      </w:r>
      <w:r w:rsidR="00A02EC9">
        <w:t>g this recommendation the ACPM;</w:t>
      </w:r>
    </w:p>
    <w:p w14:paraId="26410F3F" w14:textId="77777777" w:rsidR="00406A55" w:rsidRPr="00406A55" w:rsidRDefault="00406A55" w:rsidP="00406A55">
      <w:pPr>
        <w:pStyle w:val="ListBullet"/>
      </w:pPr>
      <w:r w:rsidRPr="00406A55">
        <w:t>noted neither active ingredient shows efficacy in this patient population on its own</w:t>
      </w:r>
    </w:p>
    <w:p w14:paraId="28F2B14A" w14:textId="77777777" w:rsidR="00406A55" w:rsidRPr="00406A55" w:rsidRDefault="00406A55" w:rsidP="00406A55">
      <w:pPr>
        <w:pStyle w:val="ListBullet"/>
      </w:pPr>
      <w:r w:rsidRPr="00406A55">
        <w:t>noted that the dose of ivacaftor recommended and use in the trial is higher than that recommended in other indications</w:t>
      </w:r>
    </w:p>
    <w:p w14:paraId="01882FB7" w14:textId="77777777" w:rsidR="00406A55" w:rsidRPr="00406A55" w:rsidRDefault="00406A55" w:rsidP="00406A55">
      <w:pPr>
        <w:pStyle w:val="ListBullet"/>
      </w:pPr>
      <w:r w:rsidRPr="00406A55">
        <w:t xml:space="preserve">noted that </w:t>
      </w:r>
      <w:r w:rsidR="008B5A3E">
        <w:t>Orkambi</w:t>
      </w:r>
      <w:r w:rsidRPr="00406A55">
        <w:t xml:space="preserve"> is recommended to be added to standard medications.</w:t>
      </w:r>
    </w:p>
    <w:p w14:paraId="609B2C10" w14:textId="77777777" w:rsidR="00406A55" w:rsidRPr="00406A55" w:rsidRDefault="00406A55" w:rsidP="00406A55">
      <w:pPr>
        <w:pStyle w:val="Heading5"/>
        <w:rPr>
          <w:rFonts w:eastAsia="MS Mincho"/>
        </w:rPr>
      </w:pPr>
      <w:r w:rsidRPr="00406A55">
        <w:rPr>
          <w:rFonts w:eastAsia="MS Mincho"/>
        </w:rPr>
        <w:lastRenderedPageBreak/>
        <w:t>Proposed conditions of registration</w:t>
      </w:r>
    </w:p>
    <w:p w14:paraId="3BF63E93" w14:textId="77777777" w:rsidR="00406A55" w:rsidRPr="00406A55" w:rsidRDefault="003B0881" w:rsidP="00406A55">
      <w:r>
        <w:t>The ACPM agreed with the D</w:t>
      </w:r>
      <w:r w:rsidR="00406A55" w:rsidRPr="00406A55">
        <w:t>elegate on the propo</w:t>
      </w:r>
      <w:r>
        <w:t>sed conditions of registration.</w:t>
      </w:r>
    </w:p>
    <w:p w14:paraId="70CB6DC2" w14:textId="77777777" w:rsidR="00406A55" w:rsidRPr="00406A55" w:rsidRDefault="00406A55" w:rsidP="00406A55">
      <w:pPr>
        <w:pStyle w:val="Heading5"/>
        <w:rPr>
          <w:rFonts w:eastAsia="MS Mincho"/>
        </w:rPr>
      </w:pPr>
      <w:r w:rsidRPr="00406A55">
        <w:rPr>
          <w:rFonts w:eastAsia="MS Mincho"/>
        </w:rPr>
        <w:t xml:space="preserve">Proposed </w:t>
      </w:r>
      <w:r w:rsidR="003B0881">
        <w:rPr>
          <w:rFonts w:eastAsia="MS Mincho"/>
        </w:rPr>
        <w:t>PI and</w:t>
      </w:r>
      <w:r w:rsidR="003B0881" w:rsidRPr="00406A55">
        <w:rPr>
          <w:rFonts w:eastAsia="MS Mincho"/>
        </w:rPr>
        <w:t xml:space="preserve"> </w:t>
      </w:r>
      <w:r w:rsidR="003B0881">
        <w:rPr>
          <w:rFonts w:eastAsia="MS Mincho"/>
        </w:rPr>
        <w:t>CMI</w:t>
      </w:r>
      <w:r w:rsidRPr="00406A55">
        <w:rPr>
          <w:rFonts w:eastAsia="MS Mincho"/>
        </w:rPr>
        <w:t xml:space="preserve"> amendments</w:t>
      </w:r>
    </w:p>
    <w:p w14:paraId="473E9BF2" w14:textId="77777777" w:rsidR="00406A55" w:rsidRPr="00406A55" w:rsidRDefault="003B0881" w:rsidP="00406A55">
      <w:r>
        <w:t>The ACPM agreed with the D</w:t>
      </w:r>
      <w:r w:rsidR="00406A55" w:rsidRPr="00406A55">
        <w:t>elegate to the proposed amendme</w:t>
      </w:r>
      <w:r>
        <w:t>nts to the PI</w:t>
      </w:r>
      <w:r w:rsidR="00406A55" w:rsidRPr="00406A55">
        <w:t xml:space="preserve"> and</w:t>
      </w:r>
      <w:r>
        <w:t xml:space="preserve"> CMI</w:t>
      </w:r>
      <w:r w:rsidR="00406A55" w:rsidRPr="00406A55">
        <w:t xml:space="preserve"> and specifically advised on </w:t>
      </w:r>
      <w:r>
        <w:t>the inclusion of the following:</w:t>
      </w:r>
    </w:p>
    <w:p w14:paraId="47F15F1E" w14:textId="0DEB8345" w:rsidR="00406A55" w:rsidRPr="00406A55" w:rsidRDefault="00406A55" w:rsidP="00406A55">
      <w:pPr>
        <w:pStyle w:val="ListBullet"/>
      </w:pPr>
      <w:r w:rsidRPr="00406A55">
        <w:t>the statement</w:t>
      </w:r>
      <w:r w:rsidR="00467DBD" w:rsidRPr="00467DBD">
        <w:t xml:space="preserve"> </w:t>
      </w:r>
      <w:r w:rsidR="00467DBD">
        <w:t xml:space="preserve">concerning </w:t>
      </w:r>
      <w:r w:rsidR="00467DBD" w:rsidRPr="00406A55">
        <w:t>pregnancy</w:t>
      </w:r>
      <w:r w:rsidRPr="00406A55">
        <w:t xml:space="preserve"> </w:t>
      </w:r>
      <w:r w:rsidR="00D377CE">
        <w:t>(</w:t>
      </w:r>
      <w:r w:rsidRPr="00406A55">
        <w:t>was considered inadequate</w:t>
      </w:r>
      <w:r w:rsidR="00D377CE">
        <w:t>).</w:t>
      </w:r>
      <w:r w:rsidR="00D377CE">
        <w:rPr>
          <w:rStyle w:val="FootnoteReference"/>
        </w:rPr>
        <w:footnoteReference w:id="30"/>
      </w:r>
    </w:p>
    <w:p w14:paraId="11DAD153" w14:textId="6CC1239D" w:rsidR="00406A55" w:rsidRPr="00406A55" w:rsidRDefault="00406A55" w:rsidP="00406A55">
      <w:pPr>
        <w:pStyle w:val="Heading5"/>
        <w:rPr>
          <w:rFonts w:eastAsia="MS Mincho"/>
          <w:highlight w:val="yellow"/>
        </w:rPr>
      </w:pPr>
      <w:r w:rsidRPr="00406A55">
        <w:rPr>
          <w:rFonts w:eastAsia="MS Mincho"/>
        </w:rPr>
        <w:t xml:space="preserve">Specific </w:t>
      </w:r>
      <w:r w:rsidR="00B871C0">
        <w:rPr>
          <w:rFonts w:eastAsia="MS Mincho"/>
        </w:rPr>
        <w:t>a</w:t>
      </w:r>
      <w:r w:rsidRPr="00406A55">
        <w:rPr>
          <w:rFonts w:eastAsia="MS Mincho"/>
        </w:rPr>
        <w:t>dvice</w:t>
      </w:r>
    </w:p>
    <w:p w14:paraId="129D2550" w14:textId="77777777" w:rsidR="00406A55" w:rsidRPr="00406A55" w:rsidRDefault="00406A55" w:rsidP="00406A55">
      <w:pPr>
        <w:rPr>
          <w:highlight w:val="yellow"/>
        </w:rPr>
      </w:pPr>
      <w:r w:rsidRPr="00406A55">
        <w:t>The ACPM advised th</w:t>
      </w:r>
      <w:r w:rsidR="003B0881">
        <w:t>e following in response to the D</w:t>
      </w:r>
      <w:r w:rsidRPr="00406A55">
        <w:t>elegate’s specific questions on this submission:</w:t>
      </w:r>
    </w:p>
    <w:p w14:paraId="31AD1E78" w14:textId="77777777" w:rsidR="00406A55" w:rsidRPr="00406A55" w:rsidRDefault="00406A55" w:rsidP="00E6447A">
      <w:pPr>
        <w:pStyle w:val="Numberbullet0"/>
        <w:numPr>
          <w:ilvl w:val="0"/>
          <w:numId w:val="14"/>
        </w:numPr>
        <w:rPr>
          <w:i/>
        </w:rPr>
      </w:pPr>
      <w:r w:rsidRPr="00406A55">
        <w:rPr>
          <w:i/>
        </w:rPr>
        <w:t>The clinical significance of the small improvement in FEV1 as a primary endpoint, and the validity of putting greater emphasis on secondary endpoints.</w:t>
      </w:r>
    </w:p>
    <w:p w14:paraId="5976A21B" w14:textId="77777777" w:rsidR="00406A55" w:rsidRPr="00406A55" w:rsidRDefault="00406A55" w:rsidP="00406A55">
      <w:r w:rsidRPr="00406A55">
        <w:t>The ACPM noted both pivotal studies met the primary endpoint and secondary lung function end points were also met. However, the Quality of Life (QoL) endpoint was not met and the BMI endpoint was not met in Study 103. Importantly, the exacerbation endpoint was met in both studies. The demonstrated benefit is modest at best, and given the lack of QoL improvement demonstrated, may not be clinically significant in some patients.</w:t>
      </w:r>
    </w:p>
    <w:p w14:paraId="3735CEB6" w14:textId="77777777" w:rsidR="00406A55" w:rsidRPr="00406A55" w:rsidRDefault="00406A55" w:rsidP="00406A55">
      <w:r w:rsidRPr="00406A55">
        <w:t>It is unclear if the modest benefit seen in the trials could be additive with ot</w:t>
      </w:r>
      <w:r w:rsidR="003B0881">
        <w:t>her medications.</w:t>
      </w:r>
    </w:p>
    <w:p w14:paraId="2647DAFC" w14:textId="77777777" w:rsidR="00406A55" w:rsidRPr="00406A55" w:rsidRDefault="00406A55" w:rsidP="00406A55">
      <w:pPr>
        <w:pStyle w:val="Numberbullet0"/>
        <w:rPr>
          <w:i/>
        </w:rPr>
      </w:pPr>
      <w:r w:rsidRPr="00406A55">
        <w:rPr>
          <w:i/>
        </w:rPr>
        <w:t>The likelihood of off label use in younger children.</w:t>
      </w:r>
    </w:p>
    <w:p w14:paraId="2DA8B83C" w14:textId="77777777" w:rsidR="00406A55" w:rsidRPr="00406A55" w:rsidRDefault="00406A55" w:rsidP="00406A55">
      <w:r w:rsidRPr="00406A55">
        <w:t>A principle of CF management is early intervention which</w:t>
      </w:r>
      <w:r w:rsidR="001A3CDF">
        <w:t xml:space="preserve"> was a driving factor for</w:t>
      </w:r>
      <w:r w:rsidR="00817924">
        <w:t xml:space="preserve"> newborn screening (NBS)</w:t>
      </w:r>
      <w:r w:rsidR="001A3CDF">
        <w:t xml:space="preserve">. </w:t>
      </w:r>
      <w:r w:rsidRPr="00406A55">
        <w:t>Some clinicians may believe that greater long term benefit will derive from early use before patients develop colonisation with resistant organisms and irreversible structural changes. However, with modern CF care most children have normal respiratory function at age 12 and there unlikely to be lit</w:t>
      </w:r>
      <w:r w:rsidR="00531309">
        <w:t>tle pressure for off label use.</w:t>
      </w:r>
    </w:p>
    <w:p w14:paraId="3CB0A299" w14:textId="77777777" w:rsidR="00406A55" w:rsidRPr="00406A55" w:rsidRDefault="00406A55" w:rsidP="00406A55">
      <w:r w:rsidRPr="00406A55">
        <w:t>The ACPM advised that implementation by the sponsor of the recommendations outlined above to the satisfaction of the TGA, in addition to the evidence of efficacy and safety provided would support the safe and</w:t>
      </w:r>
      <w:r w:rsidR="00531309">
        <w:t xml:space="preserve"> effective use of this product.</w:t>
      </w:r>
    </w:p>
    <w:p w14:paraId="5F5AA863" w14:textId="77777777" w:rsidR="008E7846" w:rsidRPr="002E238E" w:rsidRDefault="008E7846" w:rsidP="008E7846">
      <w:pPr>
        <w:pStyle w:val="Heading3"/>
      </w:pPr>
      <w:bookmarkStart w:id="146" w:name="_Toc247691532"/>
      <w:bookmarkStart w:id="147" w:name="_Toc314842516"/>
      <w:bookmarkStart w:id="148" w:name="_Toc462141672"/>
      <w:bookmarkEnd w:id="109"/>
      <w:bookmarkEnd w:id="144"/>
      <w:bookmarkEnd w:id="145"/>
      <w:r>
        <w:t>Outcome</w:t>
      </w:r>
      <w:bookmarkEnd w:id="146"/>
      <w:bookmarkEnd w:id="147"/>
      <w:bookmarkEnd w:id="148"/>
    </w:p>
    <w:p w14:paraId="33FAD1E1" w14:textId="77777777" w:rsidR="00D23139" w:rsidRPr="00D23139" w:rsidRDefault="00D23139" w:rsidP="00D23139">
      <w:bookmarkStart w:id="149" w:name="_Toc247691533"/>
      <w:bookmarkStart w:id="150" w:name="_Toc314842517"/>
      <w:r w:rsidRPr="00D23139">
        <w:t>Based on a review of quality, safety and efficacy, TGA approved the regi</w:t>
      </w:r>
      <w:r w:rsidR="001A3CDF">
        <w:t xml:space="preserve">stration of Orkambi 200/125 lumacaftor/ ivacaftor 200 mg/125 mg film coated </w:t>
      </w:r>
      <w:r w:rsidRPr="00D23139">
        <w:t xml:space="preserve">for </w:t>
      </w:r>
      <w:r w:rsidR="001A3CDF">
        <w:t>oral administration,</w:t>
      </w:r>
      <w:r w:rsidRPr="00D23139">
        <w:t xml:space="preserve"> indicated for:</w:t>
      </w:r>
    </w:p>
    <w:p w14:paraId="38527E81" w14:textId="77777777" w:rsidR="00D23139" w:rsidRPr="00531309" w:rsidRDefault="001A3CDF" w:rsidP="00531309">
      <w:pPr>
        <w:ind w:left="720"/>
        <w:rPr>
          <w:i/>
        </w:rPr>
      </w:pPr>
      <w:r w:rsidRPr="001A3CDF">
        <w:rPr>
          <w:i/>
        </w:rPr>
        <w:t>The treatment of cystic fibrosis (CF) in patients age 12 years and older who are homozygous for the F508del mutation in the CFTR gene</w:t>
      </w:r>
      <w:r w:rsidR="00531309">
        <w:rPr>
          <w:i/>
        </w:rPr>
        <w:t>.</w:t>
      </w:r>
    </w:p>
    <w:p w14:paraId="4FCBE591" w14:textId="77777777" w:rsidR="00D23139" w:rsidRPr="00D23139" w:rsidRDefault="00D23139" w:rsidP="00D23139">
      <w:pPr>
        <w:pStyle w:val="Heading4"/>
      </w:pPr>
      <w:r w:rsidRPr="00D23139">
        <w:t>Specific conditions of registration applying to these goods</w:t>
      </w:r>
    </w:p>
    <w:p w14:paraId="5C32C92F" w14:textId="77777777" w:rsidR="0039142C" w:rsidRDefault="0039142C" w:rsidP="0039142C">
      <w:pPr>
        <w:pStyle w:val="Numberbullet0"/>
        <w:numPr>
          <w:ilvl w:val="0"/>
          <w:numId w:val="18"/>
        </w:numPr>
      </w:pPr>
      <w:r w:rsidRPr="0039142C">
        <w:t>The Orkambi (lumacaftor/ivacaftor) EU Risk Management Plan (RMP), version 1.5,</w:t>
      </w:r>
      <w:r>
        <w:t xml:space="preserve"> </w:t>
      </w:r>
      <w:r w:rsidRPr="0039142C">
        <w:t xml:space="preserve">dated 24 September 2015 (data lock point 21 July 2014) </w:t>
      </w:r>
      <w:r>
        <w:t xml:space="preserve">with Australian Specific Annex, </w:t>
      </w:r>
      <w:r w:rsidRPr="0039142C">
        <w:t>version 2.0 dated 20 October 2015, and any subsequen</w:t>
      </w:r>
      <w:r>
        <w:t xml:space="preserve">t revisions, as agreed with the </w:t>
      </w:r>
      <w:r w:rsidRPr="0039142C">
        <w:t xml:space="preserve">TGA </w:t>
      </w:r>
      <w:r>
        <w:t>will be implemented in Australia.</w:t>
      </w:r>
    </w:p>
    <w:p w14:paraId="235D044A" w14:textId="77777777" w:rsidR="0039142C" w:rsidRPr="0039142C" w:rsidRDefault="0039142C" w:rsidP="0039142C">
      <w:pPr>
        <w:pStyle w:val="Numberbullet0"/>
      </w:pPr>
      <w:r w:rsidRPr="0039142C">
        <w:lastRenderedPageBreak/>
        <w:t>That the final results of the long term efficacy and safety trials (including 108, 105, 106</w:t>
      </w:r>
      <w:r>
        <w:t xml:space="preserve"> </w:t>
      </w:r>
      <w:r w:rsidRPr="0039142C">
        <w:t>and the PASS study)</w:t>
      </w:r>
      <w:r w:rsidR="00531309">
        <w:t>,</w:t>
      </w:r>
      <w:r w:rsidRPr="0039142C">
        <w:t xml:space="preserve"> be submi</w:t>
      </w:r>
      <w:r w:rsidR="00531309">
        <w:t>tted as a C</w:t>
      </w:r>
      <w:r w:rsidRPr="0039142C">
        <w:t>ategory 1 application.</w:t>
      </w:r>
    </w:p>
    <w:p w14:paraId="427A5A28" w14:textId="77777777" w:rsidR="008E7846" w:rsidRDefault="00A80B5B" w:rsidP="00D23139">
      <w:pPr>
        <w:pStyle w:val="Heading2"/>
      </w:pPr>
      <w:bookmarkStart w:id="151" w:name="_Toc462141673"/>
      <w:r>
        <w:t xml:space="preserve">Attachment 1. </w:t>
      </w:r>
      <w:r w:rsidR="008E7846">
        <w:t xml:space="preserve">Product </w:t>
      </w:r>
      <w:r w:rsidR="00AA0ED0">
        <w:t>I</w:t>
      </w:r>
      <w:r w:rsidR="008E7846">
        <w:t>nformation</w:t>
      </w:r>
      <w:bookmarkEnd w:id="149"/>
      <w:bookmarkEnd w:id="150"/>
      <w:bookmarkEnd w:id="151"/>
    </w:p>
    <w:p w14:paraId="6AE1911D" w14:textId="77777777" w:rsidR="00C80137" w:rsidRDefault="002B3624" w:rsidP="00C80137">
      <w:pPr>
        <w:rPr>
          <w:color w:val="000000"/>
          <w:lang w:eastAsia="en-AU"/>
        </w:rPr>
      </w:pPr>
      <w:r w:rsidRPr="002B3624">
        <w:t xml:space="preserve">The </w:t>
      </w:r>
      <w:r w:rsidR="00133A1B">
        <w:t>PI</w:t>
      </w:r>
      <w:r w:rsidRPr="002B3624">
        <w:t xml:space="preserve"> for </w:t>
      </w:r>
      <w:r w:rsidR="001A3CDF">
        <w:t xml:space="preserve">Orkambi </w:t>
      </w:r>
      <w:r w:rsidR="00531309">
        <w:t xml:space="preserve">200/125 </w:t>
      </w:r>
      <w:r w:rsidR="001A3CDF">
        <w:t xml:space="preserve">approved </w:t>
      </w:r>
      <w:r w:rsidR="0039142C">
        <w:t>with</w:t>
      </w:r>
      <w:r w:rsidR="001A3CDF">
        <w:t xml:space="preserve"> the submission which is described in this </w:t>
      </w:r>
      <w:r w:rsidRPr="002B3624">
        <w:t xml:space="preserve">AusPAR is at Attachment 1. For the most recent </w:t>
      </w:r>
      <w:r w:rsidR="00133A1B">
        <w:t>PI,</w:t>
      </w:r>
      <w:r w:rsidRPr="002B3624">
        <w:t xml:space="preserve"> please refer to the </w:t>
      </w:r>
      <w:r w:rsidR="007C6B9B" w:rsidRPr="007C6B9B">
        <w:t>TGA website at &lt;</w:t>
      </w:r>
      <w:hyperlink r:id="rId41" w:history="1">
        <w:r w:rsidR="007C6B9B" w:rsidRPr="007C6B9B">
          <w:rPr>
            <w:rStyle w:val="Hyperlink"/>
          </w:rPr>
          <w:t>https://www.tga.gov.au/product-information-pi</w:t>
        </w:r>
      </w:hyperlink>
      <w:r w:rsidR="001A3CDF">
        <w:t>&gt;.</w:t>
      </w:r>
    </w:p>
    <w:p w14:paraId="6A88E48B" w14:textId="77777777" w:rsidR="00C80137" w:rsidRDefault="00C80137" w:rsidP="00C80137">
      <w:pPr>
        <w:pStyle w:val="Heading2"/>
        <w:rPr>
          <w:lang w:eastAsia="en-AU"/>
        </w:rPr>
      </w:pPr>
      <w:bookmarkStart w:id="152" w:name="_Toc462141674"/>
      <w:r>
        <w:rPr>
          <w:lang w:eastAsia="en-AU"/>
        </w:rPr>
        <w:t>Attachment 2.</w:t>
      </w:r>
      <w:r w:rsidR="00A80B5B">
        <w:rPr>
          <w:lang w:eastAsia="en-AU"/>
        </w:rPr>
        <w:t xml:space="preserve"> </w:t>
      </w:r>
      <w:r>
        <w:rPr>
          <w:lang w:eastAsia="en-AU"/>
        </w:rPr>
        <w:t>Extract from the Clinical Evaluation Report</w:t>
      </w:r>
      <w:bookmarkEnd w:id="152"/>
    </w:p>
    <w:p w14:paraId="20B48EA0" w14:textId="77777777" w:rsidR="00291957" w:rsidRDefault="008E7846" w:rsidP="008A0D49">
      <w:pPr>
        <w:autoSpaceDE w:val="0"/>
        <w:autoSpaceDN w:val="0"/>
        <w:adjustRightInd w:val="0"/>
        <w:spacing w:after="0"/>
        <w:rPr>
          <w:lang w:eastAsia="ja-JP"/>
        </w:rPr>
      </w:pPr>
      <w:r w:rsidRPr="00C80137">
        <w:rPr>
          <w:b/>
        </w:rPr>
        <w:br w:type="page"/>
      </w:r>
    </w:p>
    <w:p w14:paraId="49D059B4" w14:textId="77777777" w:rsidR="00C80137" w:rsidRPr="001D043B" w:rsidRDefault="00C80137" w:rsidP="003A7F6C">
      <w:pPr>
        <w:pStyle w:val="TableTitle"/>
        <w:sectPr w:rsidR="00C80137" w:rsidRPr="001D043B" w:rsidSect="00B452CE">
          <w:headerReference w:type="even" r:id="rId42"/>
          <w:headerReference w:type="default" r:id="rId43"/>
          <w:headerReference w:type="first" r:id="rId44"/>
          <w:footerReference w:type="first" r:id="rId4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14C5889" w14:textId="77777777" w:rsidTr="00A05FA4">
        <w:trPr>
          <w:trHeight w:hRule="exact" w:val="704"/>
        </w:trPr>
        <w:tc>
          <w:tcPr>
            <w:tcW w:w="9175" w:type="dxa"/>
          </w:tcPr>
          <w:p w14:paraId="590E3677" w14:textId="77777777" w:rsidR="001C32CD" w:rsidRPr="00487162" w:rsidRDefault="001C32CD" w:rsidP="00A05FA4">
            <w:pPr>
              <w:pStyle w:val="TGASignoff"/>
            </w:pPr>
            <w:r w:rsidRPr="00487162">
              <w:lastRenderedPageBreak/>
              <w:t>Therapeutic Goods Administration</w:t>
            </w:r>
          </w:p>
        </w:tc>
      </w:tr>
      <w:tr w:rsidR="001C32CD" w:rsidRPr="004C239D" w14:paraId="44022FDA" w14:textId="77777777" w:rsidTr="00A05FA4">
        <w:trPr>
          <w:trHeight w:val="1221"/>
        </w:trPr>
        <w:tc>
          <w:tcPr>
            <w:tcW w:w="9175" w:type="dxa"/>
            <w:tcMar>
              <w:top w:w="28" w:type="dxa"/>
            </w:tcMar>
          </w:tcPr>
          <w:p w14:paraId="38ED496D" w14:textId="77777777" w:rsidR="001C32CD" w:rsidRPr="00487162" w:rsidRDefault="001C32CD" w:rsidP="00A05FA4">
            <w:pPr>
              <w:pStyle w:val="Address"/>
            </w:pPr>
            <w:r w:rsidRPr="00487162">
              <w:t>PO Box 100 Woden ACT 2606 Australia</w:t>
            </w:r>
          </w:p>
          <w:p w14:paraId="0226A348" w14:textId="77777777" w:rsidR="001C32CD" w:rsidRPr="00487162" w:rsidRDefault="001C32CD" w:rsidP="00A05FA4">
            <w:pPr>
              <w:pStyle w:val="Address"/>
            </w:pPr>
            <w:r w:rsidRPr="00487162">
              <w:t xml:space="preserve">Email: </w:t>
            </w:r>
            <w:hyperlink r:id="rId46" w:history="1">
              <w:r w:rsidRPr="004C239D">
                <w:rPr>
                  <w:rStyle w:val="Hyperlink"/>
                </w:rPr>
                <w:t>info@tga.gov.au</w:t>
              </w:r>
            </w:hyperlink>
            <w:r w:rsidR="00A02EC9">
              <w:t xml:space="preserve"> </w:t>
            </w:r>
            <w:r w:rsidRPr="00487162">
              <w:t>Phone: 1800 020 653</w:t>
            </w:r>
            <w:r w:rsidR="00A02EC9">
              <w:t xml:space="preserve"> </w:t>
            </w:r>
            <w:r w:rsidRPr="00487162">
              <w:t>Fax: 02 6232 8605</w:t>
            </w:r>
          </w:p>
          <w:p w14:paraId="1F52BBFA" w14:textId="77777777" w:rsidR="001C32CD" w:rsidRPr="004C239D" w:rsidRDefault="00395502" w:rsidP="00A05FA4">
            <w:pPr>
              <w:pStyle w:val="Address"/>
              <w:spacing w:line="260" w:lineRule="atLeast"/>
              <w:rPr>
                <w:b/>
                <w:color w:val="0000FF"/>
                <w:u w:val="single"/>
              </w:rPr>
            </w:pPr>
            <w:hyperlink r:id="rId47" w:history="1">
              <w:r w:rsidR="007C6B9B" w:rsidRPr="007C6B9B">
                <w:rPr>
                  <w:rStyle w:val="Hyperlink"/>
                  <w:b/>
                </w:rPr>
                <w:t>https://www.tga.gov.au</w:t>
              </w:r>
            </w:hyperlink>
          </w:p>
        </w:tc>
      </w:tr>
    </w:tbl>
    <w:p w14:paraId="22F29A5C" w14:textId="77777777" w:rsidR="00774E1D" w:rsidRPr="008A5E0B" w:rsidRDefault="00774E1D" w:rsidP="004C239D"/>
    <w:sectPr w:rsidR="00774E1D" w:rsidRPr="008A5E0B" w:rsidSect="001C32CD">
      <w:headerReference w:type="even" r:id="rId48"/>
      <w:headerReference w:type="default" r:id="rId49"/>
      <w:footerReference w:type="default" r:id="rId50"/>
      <w:headerReference w:type="first" r:id="rId51"/>
      <w:footerReference w:type="first" r:id="rId52"/>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9D6602" w15:done="0"/>
  <w15:commentEx w15:paraId="3F5F52C3" w15:done="0"/>
  <w15:commentEx w15:paraId="46F6DC3B" w15:done="0"/>
  <w15:commentEx w15:paraId="076B91AA" w15:done="0"/>
  <w15:commentEx w15:paraId="4E37A543" w15:done="0"/>
  <w15:commentEx w15:paraId="31F5ED39" w15:done="0"/>
  <w15:commentEx w15:paraId="4593B6EF" w15:done="0"/>
  <w15:commentEx w15:paraId="7E0ED6D3" w15:done="0"/>
  <w15:commentEx w15:paraId="44BFCC26" w15:done="0"/>
  <w15:commentEx w15:paraId="0D0799C9" w15:done="0"/>
  <w15:commentEx w15:paraId="77A36E89" w15:done="0"/>
  <w15:commentEx w15:paraId="53D478A7" w15:done="0"/>
  <w15:commentEx w15:paraId="192574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62189" w14:textId="77777777" w:rsidR="0013396F" w:rsidRDefault="0013396F" w:rsidP="00C40A36">
      <w:pPr>
        <w:spacing w:after="0"/>
      </w:pPr>
      <w:r>
        <w:separator/>
      </w:r>
    </w:p>
  </w:endnote>
  <w:endnote w:type="continuationSeparator" w:id="0">
    <w:p w14:paraId="056C14EE" w14:textId="77777777" w:rsidR="0013396F" w:rsidRDefault="0013396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Italic">
    <w:altName w:val="Cambria"/>
    <w:panose1 w:val="00000000000000000000"/>
    <w:charset w:val="00"/>
    <w:family w:val="roman"/>
    <w:notTrueType/>
    <w:pitch w:val="default"/>
    <w:sig w:usb0="00000003" w:usb1="00000000" w:usb2="00000000" w:usb3="00000000" w:csb0="00000001" w:csb1="00000000"/>
  </w:font>
  <w:font w:name="Cambria-Bold">
    <w:altName w:val="Cambria"/>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13396F" w:rsidRPr="00487162" w14:paraId="058EF9EF" w14:textId="77777777" w:rsidTr="00DB750B">
      <w:trPr>
        <w:trHeight w:val="269"/>
      </w:trPr>
      <w:tc>
        <w:tcPr>
          <w:tcW w:w="7371" w:type="dxa"/>
          <w:tcMar>
            <w:top w:w="142" w:type="dxa"/>
            <w:bottom w:w="0" w:type="dxa"/>
          </w:tcMar>
        </w:tcPr>
        <w:p w14:paraId="77139066" w14:textId="50FF82F5" w:rsidR="0013396F" w:rsidRPr="00487162" w:rsidRDefault="0013396F" w:rsidP="002760E1">
          <w:pPr>
            <w:pStyle w:val="Footer"/>
          </w:pPr>
          <w:r w:rsidRPr="00487162">
            <w:t>AusPA</w:t>
          </w:r>
          <w:r>
            <w:t>R Orkambi 200/125 lumacaftor/ivacaftor Vertex Pharmaceuticals Australia Pty Ltd Sponsor PM-2015-00424-1-5 FINAL 8 September 2016</w:t>
          </w:r>
        </w:p>
      </w:tc>
      <w:tc>
        <w:tcPr>
          <w:tcW w:w="1490" w:type="dxa"/>
          <w:tcMar>
            <w:top w:w="142" w:type="dxa"/>
            <w:bottom w:w="0" w:type="dxa"/>
          </w:tcMar>
        </w:tcPr>
        <w:p w14:paraId="4497907E" w14:textId="77777777" w:rsidR="0013396F" w:rsidRPr="00487162" w:rsidRDefault="0013396F" w:rsidP="00DB750B">
          <w:pPr>
            <w:pStyle w:val="Footer"/>
            <w:jc w:val="right"/>
          </w:pPr>
          <w:r w:rsidRPr="00487162">
            <w:t xml:space="preserve">Page </w:t>
          </w:r>
          <w:r>
            <w:fldChar w:fldCharType="begin"/>
          </w:r>
          <w:r>
            <w:instrText xml:space="preserve"> PAGE  \* Arabic </w:instrText>
          </w:r>
          <w:r>
            <w:fldChar w:fldCharType="separate"/>
          </w:r>
          <w:r w:rsidR="00395502">
            <w:rPr>
              <w:noProof/>
            </w:rPr>
            <w:t>91</w:t>
          </w:r>
          <w:r>
            <w:fldChar w:fldCharType="end"/>
          </w:r>
          <w:r w:rsidRPr="00487162">
            <w:t xml:space="preserve"> of </w:t>
          </w:r>
          <w:r w:rsidR="00395502">
            <w:fldChar w:fldCharType="begin"/>
          </w:r>
          <w:r w:rsidR="00395502">
            <w:instrText xml:space="preserve"> NUMPAGES  \* Arabic </w:instrText>
          </w:r>
          <w:r w:rsidR="00395502">
            <w:fldChar w:fldCharType="separate"/>
          </w:r>
          <w:r w:rsidR="00395502">
            <w:rPr>
              <w:noProof/>
            </w:rPr>
            <w:t>92</w:t>
          </w:r>
          <w:r w:rsidR="00395502">
            <w:rPr>
              <w:noProof/>
            </w:rPr>
            <w:fldChar w:fldCharType="end"/>
          </w:r>
        </w:p>
      </w:tc>
    </w:tr>
  </w:tbl>
  <w:p w14:paraId="5916F63A" w14:textId="77777777" w:rsidR="0013396F" w:rsidRDefault="0013396F"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3396F" w:rsidRPr="00487162" w14:paraId="54BDE15F" w14:textId="77777777" w:rsidTr="00E45619">
      <w:trPr>
        <w:trHeight w:val="269"/>
      </w:trPr>
      <w:tc>
        <w:tcPr>
          <w:tcW w:w="4519" w:type="dxa"/>
          <w:tcBorders>
            <w:top w:val="single" w:sz="4" w:space="0" w:color="auto"/>
          </w:tcBorders>
          <w:tcMar>
            <w:top w:w="142" w:type="dxa"/>
            <w:bottom w:w="0" w:type="dxa"/>
          </w:tcMar>
        </w:tcPr>
        <w:p w14:paraId="53C8F138" w14:textId="77777777" w:rsidR="0013396F" w:rsidRPr="00487162" w:rsidRDefault="0013396F" w:rsidP="00FE1DEE">
          <w:pPr>
            <w:pStyle w:val="Footer"/>
          </w:pPr>
          <w:r w:rsidRPr="00487162">
            <w:t>Document title, Part #, Section # - Section title</w:t>
          </w:r>
        </w:p>
        <w:p w14:paraId="5EDACCD4" w14:textId="77777777" w:rsidR="0013396F" w:rsidRPr="00487162" w:rsidRDefault="0013396F" w:rsidP="00FE1DEE">
          <w:pPr>
            <w:pStyle w:val="Footer"/>
          </w:pPr>
          <w:r w:rsidRPr="00487162">
            <w:t>V1.0 October 2010</w:t>
          </w:r>
        </w:p>
      </w:tc>
      <w:tc>
        <w:tcPr>
          <w:tcW w:w="4342" w:type="dxa"/>
          <w:tcBorders>
            <w:top w:val="single" w:sz="4" w:space="0" w:color="auto"/>
          </w:tcBorders>
          <w:tcMar>
            <w:top w:w="142" w:type="dxa"/>
            <w:bottom w:w="0" w:type="dxa"/>
          </w:tcMar>
        </w:tcPr>
        <w:p w14:paraId="0AF0D8E8" w14:textId="77777777" w:rsidR="0013396F" w:rsidRPr="00487162" w:rsidRDefault="0013396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395502">
            <w:fldChar w:fldCharType="begin"/>
          </w:r>
          <w:r w:rsidR="00395502">
            <w:instrText xml:space="preserve"> NUMPAGES  </w:instrText>
          </w:r>
          <w:r w:rsidR="00395502">
            <w:fldChar w:fldCharType="separate"/>
          </w:r>
          <w:r>
            <w:rPr>
              <w:noProof/>
            </w:rPr>
            <w:t>92</w:t>
          </w:r>
          <w:r w:rsidR="00395502">
            <w:rPr>
              <w:noProof/>
            </w:rPr>
            <w:fldChar w:fldCharType="end"/>
          </w:r>
        </w:p>
      </w:tc>
    </w:tr>
  </w:tbl>
  <w:p w14:paraId="137BCFFB" w14:textId="77777777" w:rsidR="0013396F" w:rsidRDefault="001339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00516" w14:textId="77777777" w:rsidR="0013396F" w:rsidRPr="001C32CD" w:rsidRDefault="0013396F"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3396F" w14:paraId="44463B4D" w14:textId="77777777" w:rsidTr="0010601F">
      <w:trPr>
        <w:trHeight w:val="108"/>
      </w:trPr>
      <w:tc>
        <w:tcPr>
          <w:tcW w:w="8875" w:type="dxa"/>
          <w:gridSpan w:val="2"/>
          <w:tcBorders>
            <w:bottom w:val="single" w:sz="4" w:space="0" w:color="auto"/>
          </w:tcBorders>
          <w:tcMar>
            <w:right w:w="284" w:type="dxa"/>
          </w:tcMar>
        </w:tcPr>
        <w:p w14:paraId="417BE215" w14:textId="77777777" w:rsidR="0013396F" w:rsidRDefault="0013396F" w:rsidP="006E08B3">
          <w:pPr>
            <w:pStyle w:val="Heading3"/>
          </w:pPr>
          <w:r>
            <w:t>Copyright</w:t>
          </w:r>
        </w:p>
        <w:p w14:paraId="489D1366" w14:textId="77777777" w:rsidR="0013396F" w:rsidRDefault="0013396F" w:rsidP="006E08B3">
          <w:r>
            <w:rPr>
              <w:rFonts w:cs="Arial"/>
            </w:rPr>
            <w:t>©</w:t>
          </w:r>
          <w:r>
            <w:t xml:space="preserve"> Commonwealth of Australia [add year]</w:t>
          </w:r>
        </w:p>
        <w:p w14:paraId="4CFE0CBE" w14:textId="77777777" w:rsidR="0013396F" w:rsidRDefault="0013396F" w:rsidP="006E08B3"/>
        <w:p w14:paraId="493BA2F3" w14:textId="77777777" w:rsidR="0013396F" w:rsidRDefault="0013396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FE71A86" w14:textId="77777777" w:rsidR="0013396F" w:rsidRDefault="0013396F" w:rsidP="006E08B3"/>
        <w:p w14:paraId="2FF13CC7" w14:textId="77777777" w:rsidR="0013396F" w:rsidRDefault="0013396F" w:rsidP="006E08B3">
          <w:pPr>
            <w:pStyle w:val="Heading3"/>
          </w:pPr>
          <w:r>
            <w:t>Confidentiality</w:t>
          </w:r>
        </w:p>
        <w:p w14:paraId="54B57DAD" w14:textId="77777777" w:rsidR="0013396F" w:rsidRDefault="0013396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1A33874" w14:textId="77777777" w:rsidR="0013396F" w:rsidRDefault="0013396F" w:rsidP="006E08B3"/>
        <w:p w14:paraId="7DB9957A" w14:textId="77777777" w:rsidR="0013396F" w:rsidRDefault="0013396F" w:rsidP="006E08B3">
          <w:r>
            <w:t>For submission made by individuals, all personal details, other than your name, will be removed from your submission before it is published on the TGA’s Internet site.</w:t>
          </w:r>
        </w:p>
        <w:p w14:paraId="53A85345" w14:textId="77777777" w:rsidR="0013396F" w:rsidRDefault="0013396F" w:rsidP="006E08B3"/>
        <w:p w14:paraId="7B8F51E8" w14:textId="77777777" w:rsidR="0013396F" w:rsidRDefault="0013396F" w:rsidP="006E08B3">
          <w:r>
            <w:t>In addition, a list of parties making submissions will be published. If you do not wish to be identified with your submission you must specifically request this in the space provided ib the submission coversheet.</w:t>
          </w:r>
        </w:p>
      </w:tc>
    </w:tr>
    <w:tr w:rsidR="0013396F" w14:paraId="13F26EAE" w14:textId="77777777" w:rsidTr="0010601F">
      <w:trPr>
        <w:trHeight w:val="417"/>
      </w:trPr>
      <w:tc>
        <w:tcPr>
          <w:tcW w:w="4519" w:type="dxa"/>
          <w:tcBorders>
            <w:top w:val="single" w:sz="4" w:space="0" w:color="auto"/>
          </w:tcBorders>
          <w:tcMar>
            <w:top w:w="142" w:type="dxa"/>
            <w:bottom w:w="0" w:type="dxa"/>
          </w:tcMar>
        </w:tcPr>
        <w:p w14:paraId="555DC2ED" w14:textId="77777777" w:rsidR="0013396F" w:rsidRDefault="0013396F" w:rsidP="006E08B3">
          <w:r>
            <w:t>Document title, Part #, Section # - Section title</w:t>
          </w:r>
        </w:p>
        <w:p w14:paraId="090BE2A8" w14:textId="77777777" w:rsidR="0013396F" w:rsidRDefault="0013396F" w:rsidP="006E08B3">
          <w:r>
            <w:t>V1.0 October 2010</w:t>
          </w:r>
        </w:p>
      </w:tc>
      <w:tc>
        <w:tcPr>
          <w:tcW w:w="4356" w:type="dxa"/>
          <w:tcBorders>
            <w:top w:val="single" w:sz="4" w:space="0" w:color="auto"/>
          </w:tcBorders>
          <w:tcMar>
            <w:top w:w="142" w:type="dxa"/>
            <w:bottom w:w="0" w:type="dxa"/>
          </w:tcMar>
        </w:tcPr>
        <w:p w14:paraId="2802F15E" w14:textId="77777777" w:rsidR="0013396F" w:rsidRDefault="0013396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395502">
            <w:fldChar w:fldCharType="begin"/>
          </w:r>
          <w:r w:rsidR="00395502">
            <w:instrText xml:space="preserve"> NUMPAGES  \* Arabic </w:instrText>
          </w:r>
          <w:r w:rsidR="00395502">
            <w:fldChar w:fldCharType="separate"/>
          </w:r>
          <w:r>
            <w:rPr>
              <w:noProof/>
            </w:rPr>
            <w:t>92</w:t>
          </w:r>
          <w:r w:rsidR="00395502">
            <w:rPr>
              <w:noProof/>
            </w:rPr>
            <w:fldChar w:fldCharType="end"/>
          </w:r>
          <w:r>
            <w:t xml:space="preserve"> </w:t>
          </w:r>
        </w:p>
      </w:tc>
    </w:tr>
  </w:tbl>
  <w:p w14:paraId="568CC048" w14:textId="77777777" w:rsidR="0013396F" w:rsidRDefault="001339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BED540" w14:textId="77777777" w:rsidR="0013396F" w:rsidRDefault="0013396F" w:rsidP="00C40A36">
      <w:pPr>
        <w:spacing w:after="0"/>
      </w:pPr>
      <w:r>
        <w:separator/>
      </w:r>
    </w:p>
  </w:footnote>
  <w:footnote w:type="continuationSeparator" w:id="0">
    <w:p w14:paraId="6B0A9765" w14:textId="77777777" w:rsidR="0013396F" w:rsidRDefault="0013396F" w:rsidP="00C40A36">
      <w:pPr>
        <w:spacing w:after="0"/>
      </w:pPr>
      <w:r>
        <w:continuationSeparator/>
      </w:r>
    </w:p>
  </w:footnote>
  <w:footnote w:id="1">
    <w:p w14:paraId="03473B86" w14:textId="77777777" w:rsidR="0013396F" w:rsidRPr="00026051" w:rsidRDefault="0013396F" w:rsidP="004A427B">
      <w:pPr>
        <w:spacing w:before="0" w:after="0" w:line="240" w:lineRule="auto"/>
        <w:rPr>
          <w:sz w:val="18"/>
          <w:szCs w:val="20"/>
        </w:rPr>
      </w:pPr>
      <w:r>
        <w:rPr>
          <w:rStyle w:val="FootnoteReference"/>
        </w:rPr>
        <w:footnoteRef/>
      </w:r>
      <w:r>
        <w:t xml:space="preserve"> </w:t>
      </w:r>
      <w:r>
        <w:rPr>
          <w:sz w:val="18"/>
          <w:szCs w:val="20"/>
        </w:rPr>
        <w:t>Luka</w:t>
      </w:r>
      <w:r w:rsidRPr="004A427B">
        <w:rPr>
          <w:rStyle w:val="FootnoteTextChar"/>
        </w:rPr>
        <w:t>cs G L et al. The F508 Mutation Decreases the Stability of Cystic Fibrosis Transmembrane Conductance Regulator in the Plasma Membrane. Determination of Functional Half-Lives on Transfected Cells. J Biol Chem. 1993;268: 21592-</w:t>
      </w:r>
      <w:r w:rsidRPr="00026051">
        <w:rPr>
          <w:sz w:val="18"/>
          <w:szCs w:val="20"/>
        </w:rPr>
        <w:t>21598.</w:t>
      </w:r>
    </w:p>
  </w:footnote>
  <w:footnote w:id="2">
    <w:p w14:paraId="5EC34850" w14:textId="77777777" w:rsidR="0013396F" w:rsidRPr="00253F62" w:rsidRDefault="0013396F" w:rsidP="004A427B">
      <w:pPr>
        <w:pStyle w:val="FootnoteText"/>
        <w:rPr>
          <w:lang w:val="en-US"/>
        </w:rPr>
      </w:pPr>
      <w:r>
        <w:rPr>
          <w:rStyle w:val="FootnoteReference"/>
        </w:rPr>
        <w:footnoteRef/>
      </w:r>
      <w:r>
        <w:t xml:space="preserve"> Rowe S M et al</w:t>
      </w:r>
      <w:r w:rsidRPr="00026051">
        <w:t xml:space="preserve"> Cystic fibrosis. </w:t>
      </w:r>
      <w:r w:rsidRPr="00026051">
        <w:rPr>
          <w:i/>
        </w:rPr>
        <w:t>NEJM</w:t>
      </w:r>
      <w:r w:rsidRPr="00026051">
        <w:t>. 2005;</w:t>
      </w:r>
      <w:r>
        <w:t xml:space="preserve"> </w:t>
      </w:r>
      <w:r w:rsidRPr="00026051">
        <w:t>352:</w:t>
      </w:r>
      <w:r>
        <w:t xml:space="preserve"> </w:t>
      </w:r>
      <w:r w:rsidRPr="00026051">
        <w:t>1992-2001.</w:t>
      </w:r>
    </w:p>
  </w:footnote>
  <w:footnote w:id="3">
    <w:p w14:paraId="70A8333E" w14:textId="77777777" w:rsidR="0013396F" w:rsidRDefault="0013396F" w:rsidP="007D0CDF">
      <w:pPr>
        <w:pStyle w:val="FootnoteText"/>
      </w:pPr>
      <w:r>
        <w:rPr>
          <w:rStyle w:val="FootnoteReference"/>
        </w:rPr>
        <w:footnoteRef/>
      </w:r>
      <w:r>
        <w:t xml:space="preserve"> </w:t>
      </w:r>
      <w:r w:rsidRPr="004B7CB2">
        <w:t>ICH M3 (R2)</w:t>
      </w:r>
      <w:r>
        <w:t xml:space="preserve"> Non-clinical safety studies for the conduct of human clinical trial and marketing authorisation for pharmaceuticals</w:t>
      </w:r>
    </w:p>
  </w:footnote>
  <w:footnote w:id="4">
    <w:p w14:paraId="7FC2C61C" w14:textId="77777777" w:rsidR="0013396F" w:rsidRDefault="0013396F" w:rsidP="007D0CDF">
      <w:pPr>
        <w:pStyle w:val="FootnoteText"/>
      </w:pPr>
      <w:r w:rsidRPr="00C67DCB">
        <w:rPr>
          <w:rStyle w:val="FootnoteReference"/>
        </w:rPr>
        <w:footnoteRef/>
      </w:r>
      <w:r w:rsidRPr="00C67DCB">
        <w:t xml:space="preserve"> CP</w:t>
      </w:r>
      <w:r w:rsidRPr="00B65291">
        <w:t>MP/EWP/560/95/Rev.</w:t>
      </w:r>
      <w:r>
        <w:t xml:space="preserve"> </w:t>
      </w:r>
      <w:r w:rsidRPr="00B65291">
        <w:t>1 Corr. 2</w:t>
      </w:r>
      <w:r>
        <w:t xml:space="preserve"> </w:t>
      </w:r>
      <w:r w:rsidRPr="00C67DCB">
        <w:t>EMA Guideline on the Inve</w:t>
      </w:r>
      <w:r>
        <w:t>stigation of Drug Interactions.</w:t>
      </w:r>
    </w:p>
  </w:footnote>
  <w:footnote w:id="5">
    <w:p w14:paraId="6E371249" w14:textId="77777777" w:rsidR="0013396F" w:rsidRDefault="0013396F" w:rsidP="004B7CB2">
      <w:pPr>
        <w:pStyle w:val="FootnoteText"/>
      </w:pPr>
      <w:r>
        <w:rPr>
          <w:rStyle w:val="FootnoteReference"/>
        </w:rPr>
        <w:footnoteRef/>
      </w:r>
      <w:r>
        <w:t xml:space="preserve"> CPMP/SWP/1042/99 Rev 1 Corr </w:t>
      </w:r>
      <w:r w:rsidRPr="004F27F4">
        <w:t>ICH guideline M3(R2) on non-clinical safety studies for the conduct of human clinical trials and marketing authorisation for pharmaceuticals</w:t>
      </w:r>
      <w:r>
        <w:t>; EMA guideline on repeated dose toxicity.</w:t>
      </w:r>
    </w:p>
  </w:footnote>
  <w:footnote w:id="6">
    <w:p w14:paraId="51C56CEF" w14:textId="77777777" w:rsidR="0013396F" w:rsidRPr="008A228D" w:rsidRDefault="0013396F" w:rsidP="007112C3">
      <w:pPr>
        <w:pStyle w:val="FootnoteText"/>
        <w:rPr>
          <w:rStyle w:val="FootnoteTextChar"/>
        </w:rPr>
      </w:pPr>
      <w:r>
        <w:rPr>
          <w:rStyle w:val="FootnoteReference"/>
        </w:rPr>
        <w:footnoteRef/>
      </w:r>
      <w:r>
        <w:t xml:space="preserve"> </w:t>
      </w:r>
      <w:r w:rsidRPr="008A228D">
        <w:rPr>
          <w:rStyle w:val="FootnoteTextChar"/>
        </w:rPr>
        <w:t xml:space="preserve">Field M and Semrad C E. Toxigenic diarrhoeas, congenital diarrhoeas, and cystic fibrosis:disorders of intestinal ion transport. </w:t>
      </w:r>
      <w:r w:rsidRPr="008A228D">
        <w:rPr>
          <w:rStyle w:val="FootnoteTextChar"/>
          <w:i/>
        </w:rPr>
        <w:t>Annual Rev. Physiol</w:t>
      </w:r>
      <w:r w:rsidRPr="008A228D">
        <w:rPr>
          <w:rStyle w:val="FootnoteTextChar"/>
        </w:rPr>
        <w:t>. 1993</w:t>
      </w:r>
      <w:r>
        <w:rPr>
          <w:rStyle w:val="FootnoteTextChar"/>
        </w:rPr>
        <w:t xml:space="preserve">; </w:t>
      </w:r>
      <w:r w:rsidRPr="008A228D">
        <w:rPr>
          <w:rStyle w:val="FootnoteTextChar"/>
        </w:rPr>
        <w:t>55: 631–655.</w:t>
      </w:r>
    </w:p>
  </w:footnote>
  <w:footnote w:id="7">
    <w:p w14:paraId="1DF0F4C1" w14:textId="77777777" w:rsidR="0013396F" w:rsidRPr="008A228D" w:rsidRDefault="0013396F" w:rsidP="007112C3">
      <w:pPr>
        <w:pStyle w:val="FootnoteText"/>
        <w:rPr>
          <w:rStyle w:val="FootnoteTextChar"/>
        </w:rPr>
      </w:pPr>
      <w:r>
        <w:rPr>
          <w:rStyle w:val="FootnoteReference"/>
        </w:rPr>
        <w:footnoteRef/>
      </w:r>
      <w:r>
        <w:t xml:space="preserve"> </w:t>
      </w:r>
      <w:r w:rsidRPr="008A228D">
        <w:rPr>
          <w:rStyle w:val="FootnoteTextChar"/>
        </w:rPr>
        <w:t>Hans</w:t>
      </w:r>
      <w:r>
        <w:rPr>
          <w:rStyle w:val="FootnoteTextChar"/>
        </w:rPr>
        <w:t xml:space="preserve">en M.B. and Skadhauge E. </w:t>
      </w:r>
      <w:r w:rsidRPr="008A228D">
        <w:rPr>
          <w:rStyle w:val="FootnoteTextChar"/>
        </w:rPr>
        <w:t xml:space="preserve">New aspects of the pathophysiology and treatment of secretory diarrhoea. </w:t>
      </w:r>
      <w:r w:rsidRPr="008A228D">
        <w:rPr>
          <w:rStyle w:val="FootnoteTextChar"/>
          <w:i/>
        </w:rPr>
        <w:t>Physiol. Res</w:t>
      </w:r>
      <w:r w:rsidRPr="008A228D">
        <w:rPr>
          <w:rStyle w:val="FootnoteTextChar"/>
        </w:rPr>
        <w:t xml:space="preserve">. </w:t>
      </w:r>
      <w:r>
        <w:rPr>
          <w:rStyle w:val="FootnoteTextChar"/>
        </w:rPr>
        <w:t xml:space="preserve">1995; </w:t>
      </w:r>
      <w:r w:rsidRPr="008A228D">
        <w:rPr>
          <w:rStyle w:val="FootnoteTextChar"/>
        </w:rPr>
        <w:t>44: 61–78</w:t>
      </w:r>
    </w:p>
  </w:footnote>
  <w:footnote w:id="8">
    <w:p w14:paraId="3FEA411E" w14:textId="77777777" w:rsidR="0013396F" w:rsidRPr="001031EC" w:rsidRDefault="0013396F" w:rsidP="007112C3">
      <w:pPr>
        <w:pStyle w:val="FootnoteText"/>
        <w:rPr>
          <w:lang w:val="en-US"/>
        </w:rPr>
      </w:pPr>
      <w:r>
        <w:rPr>
          <w:rStyle w:val="FootnoteReference"/>
        </w:rPr>
        <w:footnoteRef/>
      </w:r>
      <w:r>
        <w:t xml:space="preserve"> </w:t>
      </w:r>
      <w:r w:rsidRPr="00FD7BCA">
        <w:t>Moon</w:t>
      </w:r>
      <w:r>
        <w:t xml:space="preserve"> C et al. Drug-induced secretory diarrhoea: A role for CFTR. </w:t>
      </w:r>
      <w:r>
        <w:rPr>
          <w:rFonts w:ascii="Cambria-Italic" w:hAnsi="Cambria-Italic" w:cs="Cambria-Italic"/>
          <w:i/>
          <w:iCs/>
        </w:rPr>
        <w:t xml:space="preserve">Pharmacol. Res. </w:t>
      </w:r>
      <w:r w:rsidRPr="00FD7BCA">
        <w:t>2015</w:t>
      </w:r>
      <w:r w:rsidRPr="008A228D">
        <w:t xml:space="preserve">; </w:t>
      </w:r>
      <w:r w:rsidRPr="008A228D">
        <w:rPr>
          <w:rFonts w:ascii="Cambria-Bold" w:hAnsi="Cambria-Bold" w:cs="Cambria-Bold"/>
          <w:bCs/>
        </w:rPr>
        <w:t>102:</w:t>
      </w:r>
      <w:r>
        <w:rPr>
          <w:rFonts w:ascii="Cambria-Bold" w:hAnsi="Cambria-Bold" w:cs="Cambria-Bold"/>
          <w:b/>
          <w:bCs/>
        </w:rPr>
        <w:t xml:space="preserve"> </w:t>
      </w:r>
      <w:r>
        <w:t>107–112.</w:t>
      </w:r>
    </w:p>
  </w:footnote>
  <w:footnote w:id="9">
    <w:p w14:paraId="18D0EDCC" w14:textId="77777777" w:rsidR="0013396F" w:rsidRPr="005C5477" w:rsidRDefault="0013396F" w:rsidP="007112C3">
      <w:pPr>
        <w:pStyle w:val="FootnoteText"/>
        <w:rPr>
          <w:rFonts w:eastAsiaTheme="minorHAnsi" w:cs="Cambria"/>
        </w:rPr>
      </w:pPr>
      <w:r>
        <w:rPr>
          <w:rStyle w:val="FootnoteReference"/>
        </w:rPr>
        <w:footnoteRef/>
      </w:r>
      <w:r>
        <w:t xml:space="preserve"> </w:t>
      </w:r>
      <w:r w:rsidRPr="005C5477">
        <w:rPr>
          <w:rStyle w:val="FootnoteTextChar"/>
        </w:rPr>
        <w:t xml:space="preserve">Kuver R </w:t>
      </w:r>
      <w:r>
        <w:rPr>
          <w:rStyle w:val="FootnoteTextChar"/>
        </w:rPr>
        <w:t>et al.</w:t>
      </w:r>
      <w:r w:rsidRPr="005C5477">
        <w:rPr>
          <w:rStyle w:val="FootnoteTextChar"/>
        </w:rPr>
        <w:t xml:space="preserve"> Constitutive mucin secretion linked to CFTR expression</w:t>
      </w:r>
      <w:r w:rsidRPr="005C5477">
        <w:rPr>
          <w:rStyle w:val="FootnoteTextChar"/>
          <w:i/>
        </w:rPr>
        <w:t>. Biochem. Biophys. Res. Commun</w:t>
      </w:r>
      <w:r w:rsidRPr="005C5477">
        <w:rPr>
          <w:rStyle w:val="FootnoteTextChar"/>
        </w:rPr>
        <w:t>. 1994; 203: 1457–1462</w:t>
      </w:r>
    </w:p>
  </w:footnote>
  <w:footnote w:id="10">
    <w:p w14:paraId="223F730B" w14:textId="77777777" w:rsidR="0013396F" w:rsidRPr="00F20ED3" w:rsidRDefault="0013396F" w:rsidP="007112C3">
      <w:pPr>
        <w:pStyle w:val="FootnoteText"/>
      </w:pPr>
      <w:r>
        <w:rPr>
          <w:rStyle w:val="FootnoteReference"/>
        </w:rPr>
        <w:footnoteRef/>
      </w:r>
      <w:r>
        <w:t xml:space="preserve"> </w:t>
      </w:r>
      <w:r w:rsidRPr="00F20ED3">
        <w:t>CPMP/ICH/140/95 (ICH S1A); ICH Topic S 1 A</w:t>
      </w:r>
      <w:r>
        <w:t xml:space="preserve"> Step 5. Note for Guidance on the need for carcinogenicity studies of pharmaceuticals</w:t>
      </w:r>
    </w:p>
  </w:footnote>
  <w:footnote w:id="11">
    <w:p w14:paraId="772D2EDB" w14:textId="77777777" w:rsidR="0013396F" w:rsidRPr="005C5477" w:rsidRDefault="0013396F" w:rsidP="007112C3">
      <w:pPr>
        <w:pStyle w:val="FootnoteText"/>
        <w:rPr>
          <w:lang w:val="en-US"/>
        </w:rPr>
      </w:pPr>
      <w:r>
        <w:rPr>
          <w:rStyle w:val="FootnoteReference"/>
        </w:rPr>
        <w:footnoteRef/>
      </w:r>
      <w:r>
        <w:t xml:space="preserve"> </w:t>
      </w:r>
      <w:r w:rsidRPr="00FD7BCA">
        <w:t>CPMP/SWP/2877/00</w:t>
      </w:r>
      <w:r>
        <w:t xml:space="preserve"> Committee for Proprietary Medicinal Products. Note for Guidance on carcinogenic potential.</w:t>
      </w:r>
    </w:p>
  </w:footnote>
  <w:footnote w:id="12">
    <w:p w14:paraId="1B6B7ACD" w14:textId="77777777" w:rsidR="0013396F" w:rsidRDefault="0013396F" w:rsidP="007112C3">
      <w:pPr>
        <w:pStyle w:val="FootnoteText"/>
      </w:pPr>
      <w:r>
        <w:rPr>
          <w:rStyle w:val="FootnoteReference"/>
        </w:rPr>
        <w:footnoteRef/>
      </w:r>
      <w:r>
        <w:t xml:space="preserve"> Based on animal AUC</w:t>
      </w:r>
      <w:r w:rsidRPr="00F775A2">
        <w:rPr>
          <w:vertAlign w:val="subscript"/>
        </w:rPr>
        <w:t>0–24</w:t>
      </w:r>
      <w:r w:rsidRPr="00F775A2">
        <w:rPr>
          <w:w w:val="50"/>
          <w:vertAlign w:val="subscript"/>
        </w:rPr>
        <w:t xml:space="preserve"> </w:t>
      </w:r>
      <w:r w:rsidRPr="00F775A2">
        <w:rPr>
          <w:vertAlign w:val="subscript"/>
        </w:rPr>
        <w:t>h</w:t>
      </w:r>
      <w:r>
        <w:t xml:space="preserve"> values of 579 and 984 µg∙h/mL (for males and females, respectively),</w:t>
      </w:r>
      <w:r>
        <w:br/>
        <w:t xml:space="preserve">derived from Day 90 values in Study VX-809-TX-012; </w:t>
      </w:r>
      <w:r w:rsidRPr="009572C7">
        <w:rPr>
          <w:i/>
        </w:rPr>
        <w:t>cf</w:t>
      </w:r>
      <w:r w:rsidRPr="009572C7">
        <w:t>.</w:t>
      </w:r>
      <w:r>
        <w:t xml:space="preserve"> a human AUC of 33.3 µg∙h/mL</w:t>
      </w:r>
    </w:p>
  </w:footnote>
  <w:footnote w:id="13">
    <w:p w14:paraId="0552CC0A" w14:textId="77777777" w:rsidR="0013396F" w:rsidRDefault="0013396F" w:rsidP="00FD7BCA">
      <w:pPr>
        <w:pStyle w:val="FootnoteText"/>
      </w:pPr>
      <w:r>
        <w:rPr>
          <w:rStyle w:val="FootnoteReference"/>
        </w:rPr>
        <w:footnoteRef/>
      </w:r>
      <w:r>
        <w:t xml:space="preserve"> Based on an animal AUC</w:t>
      </w:r>
      <w:r w:rsidRPr="00F775A2">
        <w:rPr>
          <w:vertAlign w:val="subscript"/>
        </w:rPr>
        <w:t>0–24</w:t>
      </w:r>
      <w:r w:rsidRPr="00F775A2">
        <w:rPr>
          <w:w w:val="50"/>
          <w:vertAlign w:val="subscript"/>
        </w:rPr>
        <w:t xml:space="preserve"> </w:t>
      </w:r>
      <w:r w:rsidRPr="00F775A2">
        <w:rPr>
          <w:vertAlign w:val="subscript"/>
        </w:rPr>
        <w:t>h</w:t>
      </w:r>
      <w:r>
        <w:t xml:space="preserve"> value of 4240 µg∙h/mL in the study on GD17</w:t>
      </w:r>
    </w:p>
  </w:footnote>
  <w:footnote w:id="14">
    <w:p w14:paraId="546A4CA3" w14:textId="77777777" w:rsidR="0013396F" w:rsidRDefault="0013396F" w:rsidP="00FD7BCA">
      <w:pPr>
        <w:pStyle w:val="FootnoteText"/>
      </w:pPr>
      <w:r>
        <w:rPr>
          <w:rStyle w:val="FootnoteReference"/>
        </w:rPr>
        <w:footnoteRef/>
      </w:r>
      <w:r>
        <w:t xml:space="preserve"> Based on an animal AUC</w:t>
      </w:r>
      <w:r w:rsidRPr="00F775A2">
        <w:rPr>
          <w:vertAlign w:val="subscript"/>
        </w:rPr>
        <w:t>0–24</w:t>
      </w:r>
      <w:r w:rsidRPr="00F775A2">
        <w:rPr>
          <w:w w:val="50"/>
          <w:vertAlign w:val="subscript"/>
        </w:rPr>
        <w:t xml:space="preserve"> </w:t>
      </w:r>
      <w:r w:rsidRPr="00F775A2">
        <w:rPr>
          <w:vertAlign w:val="subscript"/>
        </w:rPr>
        <w:t>h</w:t>
      </w:r>
      <w:r>
        <w:t xml:space="preserve"> value of 3360 µg∙h/mL in the study on GD17</w:t>
      </w:r>
    </w:p>
  </w:footnote>
  <w:footnote w:id="15">
    <w:p w14:paraId="0D0ADB1D" w14:textId="77777777" w:rsidR="0013396F" w:rsidRPr="00B7687C" w:rsidRDefault="0013396F" w:rsidP="007112C3">
      <w:pPr>
        <w:pStyle w:val="FootnoteText"/>
        <w:rPr>
          <w:lang w:val="en" w:eastAsia="en-AU"/>
        </w:rPr>
      </w:pPr>
      <w:r>
        <w:rPr>
          <w:rStyle w:val="FootnoteReference"/>
        </w:rPr>
        <w:footnoteRef/>
      </w:r>
      <w:r>
        <w:t xml:space="preserve"> </w:t>
      </w:r>
      <w:r>
        <w:rPr>
          <w:lang w:val="en-US"/>
        </w:rPr>
        <w:t xml:space="preserve">Pregnancy category B3 is defined as </w:t>
      </w:r>
      <w:r w:rsidRPr="00B7687C">
        <w:rPr>
          <w:lang w:val="en" w:eastAsia="en-AU"/>
        </w:rPr>
        <w:t>Drugs which have been taken by only a limited number of pregnant women and women of childbearing age, without an increase in the frequency of malformation or other direct or indirect harmful effects on the human fetus having been observed.</w:t>
      </w:r>
      <w:r>
        <w:rPr>
          <w:lang w:val="en" w:eastAsia="en-AU"/>
        </w:rPr>
        <w:t xml:space="preserve"> </w:t>
      </w:r>
      <w:r w:rsidRPr="00B7687C">
        <w:rPr>
          <w:lang w:val="en" w:eastAsia="en-AU"/>
        </w:rPr>
        <w:t>Studies in animals have shown evidence of an increased occurrence of fetal damage, the significance of which is considered uncertain in humans.</w:t>
      </w:r>
    </w:p>
  </w:footnote>
  <w:footnote w:id="16">
    <w:p w14:paraId="7484AF77" w14:textId="77777777" w:rsidR="0013396F" w:rsidRPr="00F20ED3" w:rsidRDefault="0013396F" w:rsidP="007112C3">
      <w:pPr>
        <w:pStyle w:val="FootnoteText"/>
        <w:rPr>
          <w:rStyle w:val="FootnoteTextChar"/>
        </w:rPr>
      </w:pPr>
      <w:r>
        <w:rPr>
          <w:rStyle w:val="FootnoteReference"/>
        </w:rPr>
        <w:footnoteRef/>
      </w:r>
      <w:r>
        <w:t xml:space="preserve"> </w:t>
      </w:r>
      <w:r w:rsidRPr="00F20ED3">
        <w:rPr>
          <w:rStyle w:val="FootnoteTextChar"/>
        </w:rPr>
        <w:t>EMEA/CHMP/SWP/169215/2005. Guideline on the need for non-clinical testing in juvenile animals on human pharmaceuticals for paediatric indications.</w:t>
      </w:r>
    </w:p>
  </w:footnote>
  <w:footnote w:id="17">
    <w:p w14:paraId="214C5075" w14:textId="77777777" w:rsidR="0013396F" w:rsidRPr="00477D5B" w:rsidRDefault="0013396F" w:rsidP="0013396F">
      <w:pPr>
        <w:pStyle w:val="FootnoteText"/>
      </w:pPr>
      <w:r>
        <w:rPr>
          <w:rStyle w:val="FootnoteReference"/>
        </w:rPr>
        <w:footnoteRef/>
      </w:r>
      <w:r>
        <w:t xml:space="preserve"> Rommens JM et al.</w:t>
      </w:r>
      <w:r w:rsidRPr="00477D5B">
        <w:t xml:space="preserve"> </w:t>
      </w:r>
      <w:r>
        <w:t xml:space="preserve">Identification of the cystic fibrosis gene: chromosome walking and jumping. </w:t>
      </w:r>
      <w:r w:rsidRPr="00477D5B">
        <w:rPr>
          <w:i/>
        </w:rPr>
        <w:t>Science.</w:t>
      </w:r>
      <w:r>
        <w:t xml:space="preserve"> 1989; 245:1059-1065.</w:t>
      </w:r>
    </w:p>
  </w:footnote>
  <w:footnote w:id="18">
    <w:p w14:paraId="07B76576" w14:textId="77777777" w:rsidR="0013396F" w:rsidRPr="00477D5B" w:rsidRDefault="0013396F" w:rsidP="00477D5B">
      <w:pPr>
        <w:pStyle w:val="FootnoteText"/>
      </w:pPr>
      <w:r>
        <w:rPr>
          <w:rStyle w:val="FootnoteReference"/>
        </w:rPr>
        <w:footnoteRef/>
      </w:r>
      <w:r>
        <w:t xml:space="preserve"> Johansen, HK et al. Severity of cystic fibrosis in patients homozygous and heterozygous for delta F508 mutation</w:t>
      </w:r>
      <w:r w:rsidRPr="00477D5B">
        <w:rPr>
          <w:i/>
        </w:rPr>
        <w:t>. Lancet</w:t>
      </w:r>
      <w:r>
        <w:t>. 1991;337:631-634.</w:t>
      </w:r>
    </w:p>
  </w:footnote>
  <w:footnote w:id="19">
    <w:p w14:paraId="21BC01E3" w14:textId="77777777" w:rsidR="0013396F" w:rsidRPr="00477D5B" w:rsidRDefault="0013396F" w:rsidP="00477D5B">
      <w:pPr>
        <w:autoSpaceDE w:val="0"/>
        <w:autoSpaceDN w:val="0"/>
        <w:adjustRightInd w:val="0"/>
        <w:spacing w:before="0" w:after="0" w:line="240" w:lineRule="auto"/>
        <w:rPr>
          <w:rStyle w:val="FootnoteTextChar"/>
        </w:rPr>
      </w:pPr>
      <w:r>
        <w:rPr>
          <w:rStyle w:val="FootnoteReference"/>
        </w:rPr>
        <w:footnoteRef/>
      </w:r>
      <w:r>
        <w:t xml:space="preserve"> </w:t>
      </w:r>
      <w:r>
        <w:rPr>
          <w:rStyle w:val="FootnoteTextChar"/>
        </w:rPr>
        <w:t xml:space="preserve">Kerem, E et al. </w:t>
      </w:r>
      <w:r w:rsidRPr="00477D5B">
        <w:rPr>
          <w:rStyle w:val="FootnoteTextChar"/>
        </w:rPr>
        <w:t xml:space="preserve">The relation between genotype and phenotype in cystic fibrosis-an analysis of the most common mutation (delta F508). </w:t>
      </w:r>
      <w:r w:rsidRPr="00477D5B">
        <w:rPr>
          <w:rStyle w:val="FootnoteTextChar"/>
          <w:i/>
        </w:rPr>
        <w:t>N Engl J Med</w:t>
      </w:r>
      <w:r w:rsidRPr="00477D5B">
        <w:rPr>
          <w:rStyle w:val="FootnoteTextChar"/>
        </w:rPr>
        <w:t>. 1990; 323:1517-1522</w:t>
      </w:r>
    </w:p>
  </w:footnote>
  <w:footnote w:id="20">
    <w:p w14:paraId="44A126C6" w14:textId="77777777" w:rsidR="0013396F" w:rsidRPr="00477D5B" w:rsidRDefault="0013396F" w:rsidP="00477D5B">
      <w:pPr>
        <w:pStyle w:val="FootnoteText"/>
      </w:pPr>
      <w:r>
        <w:rPr>
          <w:rStyle w:val="FootnoteReference"/>
        </w:rPr>
        <w:footnoteRef/>
      </w:r>
      <w:r>
        <w:t xml:space="preserve"> </w:t>
      </w:r>
      <w:r w:rsidRPr="005214D9">
        <w:t>Mckone</w:t>
      </w:r>
      <w:r>
        <w:t xml:space="preserve"> EF et al.</w:t>
      </w:r>
      <w:r w:rsidRPr="005214D9">
        <w:t xml:space="preserve"> </w:t>
      </w:r>
      <w:r>
        <w:rPr>
          <w:rFonts w:ascii="Times New Roman" w:hAnsi="Times New Roman"/>
          <w:i/>
          <w:iCs/>
        </w:rPr>
        <w:t xml:space="preserve">CFTR </w:t>
      </w:r>
      <w:r>
        <w:t xml:space="preserve">genotype as a predictor of prognosis in cystic fibrosis. </w:t>
      </w:r>
      <w:r w:rsidRPr="00477D5B">
        <w:rPr>
          <w:i/>
        </w:rPr>
        <w:t>Chest</w:t>
      </w:r>
      <w:r>
        <w:t>. 2006;130:1441-1447.</w:t>
      </w:r>
    </w:p>
  </w:footnote>
  <w:footnote w:id="21">
    <w:p w14:paraId="75595471" w14:textId="77777777" w:rsidR="0013396F" w:rsidRPr="00477D5B" w:rsidRDefault="0013396F" w:rsidP="00477D5B">
      <w:pPr>
        <w:pStyle w:val="FootnoteText"/>
      </w:pPr>
      <w:r>
        <w:rPr>
          <w:rStyle w:val="FootnoteReference"/>
        </w:rPr>
        <w:footnoteRef/>
      </w:r>
      <w:r>
        <w:t xml:space="preserve"> Kerem E and</w:t>
      </w:r>
      <w:r w:rsidRPr="005214D9">
        <w:t xml:space="preserve"> </w:t>
      </w:r>
      <w:r>
        <w:t>Kerem B. Genotype-phenotype correlations in cystic fibrosis</w:t>
      </w:r>
      <w:r w:rsidRPr="00477D5B">
        <w:rPr>
          <w:i/>
        </w:rPr>
        <w:t>. Pediatr Pulmonol.</w:t>
      </w:r>
      <w:r>
        <w:t xml:space="preserve"> 1996;22:387-395.</w:t>
      </w:r>
    </w:p>
  </w:footnote>
  <w:footnote w:id="22">
    <w:p w14:paraId="7F095D12" w14:textId="77777777" w:rsidR="0013396F" w:rsidRPr="00FA4ABD" w:rsidRDefault="0013396F" w:rsidP="0013396F">
      <w:pPr>
        <w:pStyle w:val="FootnoteText"/>
        <w:rPr>
          <w:lang w:val="en-US"/>
        </w:rPr>
      </w:pPr>
      <w:r>
        <w:rPr>
          <w:rStyle w:val="FootnoteReference"/>
        </w:rPr>
        <w:footnoteRef/>
      </w:r>
      <w:r>
        <w:t xml:space="preserve"> </w:t>
      </w:r>
      <w:r w:rsidRPr="005214D9">
        <w:t>Guidance for development of COPD drugs, 2007</w:t>
      </w:r>
    </w:p>
  </w:footnote>
  <w:footnote w:id="23">
    <w:p w14:paraId="25447CA4" w14:textId="77777777" w:rsidR="0013396F" w:rsidRPr="00477D5B" w:rsidRDefault="0013396F" w:rsidP="0013396F">
      <w:pPr>
        <w:pStyle w:val="FootnoteText"/>
      </w:pPr>
      <w:r>
        <w:rPr>
          <w:rStyle w:val="FootnoteReference"/>
        </w:rPr>
        <w:footnoteRef/>
      </w:r>
      <w:r>
        <w:t xml:space="preserve"> Illeck B et al.</w:t>
      </w:r>
      <w:r w:rsidRPr="005214D9">
        <w:t xml:space="preserve"> </w:t>
      </w:r>
      <w:r>
        <w:t xml:space="preserve">Defective function of the cystic fibrosis-causing missense mutation G551D is recovered by genistein. </w:t>
      </w:r>
      <w:r w:rsidRPr="00477D5B">
        <w:rPr>
          <w:i/>
        </w:rPr>
        <w:t>Am J Physiol</w:t>
      </w:r>
      <w:r>
        <w:t>. 1999;277:C833-839.</w:t>
      </w:r>
    </w:p>
  </w:footnote>
  <w:footnote w:id="24">
    <w:p w14:paraId="4F6E7838" w14:textId="6E59EE0C" w:rsidR="0013396F" w:rsidRDefault="0013396F" w:rsidP="00507D71">
      <w:pPr>
        <w:pStyle w:val="FootnoteText"/>
      </w:pPr>
      <w:r>
        <w:rPr>
          <w:rStyle w:val="FootnoteReference"/>
        </w:rPr>
        <w:footnoteRef/>
      </w:r>
      <w:r>
        <w:t xml:space="preserve"> </w:t>
      </w:r>
      <w:r w:rsidRPr="00F52CF2">
        <w:t>Regulatory advice on the clinical development plan and the designs for Studies 103 and 104 was sought from regulatory authorities in the US and EU.</w:t>
      </w:r>
    </w:p>
  </w:footnote>
  <w:footnote w:id="25">
    <w:p w14:paraId="5C06D19C" w14:textId="7EC4DEE4" w:rsidR="0013396F" w:rsidRPr="00081B82" w:rsidRDefault="0013396F" w:rsidP="00507D71">
      <w:pPr>
        <w:pStyle w:val="FootnoteText"/>
      </w:pPr>
      <w:r>
        <w:rPr>
          <w:rStyle w:val="FootnoteReference"/>
        </w:rPr>
        <w:footnoteRef/>
      </w:r>
      <w:r>
        <w:t xml:space="preserve"> </w:t>
      </w:r>
      <w:r w:rsidRPr="00081B82">
        <w:t>The patient reporting SAE of hepatic encephalop</w:t>
      </w:r>
      <w:r>
        <w:t xml:space="preserve">athy (mentioned above) was a 25 </w:t>
      </w:r>
      <w:r w:rsidRPr="00081B82">
        <w:t>year</w:t>
      </w:r>
      <w:r>
        <w:t xml:space="preserve"> </w:t>
      </w:r>
      <w:r w:rsidRPr="00081B82">
        <w:t>old male with a CF related liver cirrhosis, portal hypertension, splenomegaly, and thrombocytopenia. After 6 days of lumacaftor plus ivacaftor combination product treatment the patient presented to ER with disorientation. Laboratory evaluation showed elevated transaminases and increased ammonia level, but bi</w:t>
      </w:r>
      <w:r>
        <w:t xml:space="preserve">lirubin level was not reported. </w:t>
      </w:r>
      <w:r w:rsidRPr="00081B82">
        <w:t>The patients improved over approximately a week on in hospital treatment. Based on the available information, causality to treatment cannot be assessed, but it is possible that the treatment could have contributed to hepatic decompensation.</w:t>
      </w:r>
    </w:p>
  </w:footnote>
  <w:footnote w:id="26">
    <w:p w14:paraId="0CA442A3" w14:textId="7A6A6E2D" w:rsidR="0013396F" w:rsidRPr="00A36893" w:rsidRDefault="0013396F">
      <w:pPr>
        <w:pStyle w:val="FootnoteText"/>
        <w:rPr>
          <w:lang w:val="en-US"/>
        </w:rPr>
      </w:pPr>
      <w:r>
        <w:rPr>
          <w:rStyle w:val="FootnoteReference"/>
        </w:rPr>
        <w:footnoteRef/>
      </w:r>
      <w:r>
        <w:t xml:space="preserve"> </w:t>
      </w:r>
      <w:r w:rsidR="00E92662">
        <w:rPr>
          <w:rFonts w:cs="Arial"/>
          <w:color w:val="333333"/>
          <w:lang w:val="en"/>
        </w:rPr>
        <w:t>FDA approves new treatment for cystic fibrosis</w:t>
      </w:r>
      <w:r w:rsidR="00E92662">
        <w:t xml:space="preserve"> &lt;</w:t>
      </w:r>
      <w:r w:rsidRPr="00A36893">
        <w:rPr>
          <w:szCs w:val="18"/>
        </w:rPr>
        <w:t>http://www.fda.gov/NewsEvents/Newsroom/PressAnnouncements/ucm453565.htm</w:t>
      </w:r>
      <w:r w:rsidR="00E92662">
        <w:rPr>
          <w:szCs w:val="18"/>
        </w:rPr>
        <w:t>&gt;</w:t>
      </w:r>
    </w:p>
  </w:footnote>
  <w:footnote w:id="27">
    <w:p w14:paraId="149D2F73" w14:textId="77777777" w:rsidR="0013396F" w:rsidRPr="00B22DD1" w:rsidRDefault="0013396F">
      <w:pPr>
        <w:pStyle w:val="FootnoteText"/>
        <w:rPr>
          <w:lang w:val="en-US"/>
        </w:rPr>
      </w:pPr>
      <w:r>
        <w:rPr>
          <w:rStyle w:val="FootnoteReference"/>
        </w:rPr>
        <w:footnoteRef/>
      </w:r>
      <w:r>
        <w:t xml:space="preserve"> </w:t>
      </w:r>
      <w:r w:rsidRPr="00E50DAF">
        <w:t>Mark</w:t>
      </w:r>
      <w:r>
        <w:t>eting Authorization Application</w:t>
      </w:r>
    </w:p>
  </w:footnote>
  <w:footnote w:id="28">
    <w:p w14:paraId="6D320626" w14:textId="6011BC44" w:rsidR="0013396F" w:rsidRPr="00A50EF6" w:rsidRDefault="0013396F" w:rsidP="00E92662">
      <w:pPr>
        <w:pStyle w:val="FootnoteText"/>
        <w:rPr>
          <w:lang w:val="en-US"/>
        </w:rPr>
      </w:pPr>
      <w:r>
        <w:rPr>
          <w:rStyle w:val="FootnoteReference"/>
        </w:rPr>
        <w:footnoteRef/>
      </w:r>
      <w:r w:rsidR="00E92662">
        <w:t xml:space="preserve"> </w:t>
      </w:r>
      <w:r>
        <w:t>MedDRA = Medical Dictionary for Regulatory Activities</w:t>
      </w:r>
    </w:p>
  </w:footnote>
  <w:footnote w:id="29">
    <w:p w14:paraId="4DF64718" w14:textId="723CB793" w:rsidR="0013396F" w:rsidRPr="002760E1" w:rsidRDefault="0013396F">
      <w:pPr>
        <w:pStyle w:val="FootnoteText"/>
        <w:rPr>
          <w:lang w:val="en-US"/>
        </w:rPr>
      </w:pPr>
      <w:r>
        <w:rPr>
          <w:rStyle w:val="FootnoteReference"/>
        </w:rPr>
        <w:footnoteRef/>
      </w:r>
      <w:r>
        <w:t xml:space="preserve"> </w:t>
      </w:r>
      <w:r w:rsidRPr="002760E1">
        <w:t>assessed as the average treatment effect at Week 16 and at Week 24</w:t>
      </w:r>
    </w:p>
  </w:footnote>
  <w:footnote w:id="30">
    <w:p w14:paraId="6A22B924" w14:textId="5BCD89A1" w:rsidR="0013396F" w:rsidRPr="00D377CE" w:rsidRDefault="0013396F">
      <w:pPr>
        <w:pStyle w:val="FootnoteText"/>
        <w:rPr>
          <w:lang w:val="en-US"/>
        </w:rPr>
      </w:pPr>
      <w:r>
        <w:rPr>
          <w:rStyle w:val="FootnoteReference"/>
        </w:rPr>
        <w:footnoteRef/>
      </w:r>
      <w:r>
        <w:t xml:space="preserve"> </w:t>
      </w:r>
      <w:r>
        <w:rPr>
          <w:lang w:val="en-US"/>
        </w:rPr>
        <w:t>The statement regarding pregnancy was revised in line with the recommendations of the nonclinical evaluator and the Delegate prior to registration.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3F83C" w14:textId="77777777" w:rsidR="0013396F" w:rsidRDefault="0013396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82DD1" w14:textId="77777777" w:rsidR="0013396F" w:rsidRDefault="0013396F">
    <w:pPr>
      <w:rPr>
        <w:noProof/>
        <w:lang w:eastAsia="en-AU"/>
      </w:rPr>
    </w:pPr>
    <w:r w:rsidRPr="00347824">
      <w:rPr>
        <w:noProof/>
        <w:lang w:eastAsia="en-AU"/>
      </w:rPr>
      <w:drawing>
        <wp:anchor distT="0" distB="0" distL="114300" distR="114300" simplePos="0" relativeHeight="251659264" behindDoc="1" locked="0" layoutInCell="1" allowOverlap="1" wp14:anchorId="5DB574D8" wp14:editId="64B01B29">
          <wp:simplePos x="0" y="0"/>
          <wp:positionH relativeFrom="column">
            <wp:posOffset>-1081405</wp:posOffset>
          </wp:positionH>
          <wp:positionV relativeFrom="paragraph">
            <wp:posOffset>-583341</wp:posOffset>
          </wp:positionV>
          <wp:extent cx="7572375" cy="10706100"/>
          <wp:effectExtent l="0" t="0" r="9525"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14:paraId="15A269CB" w14:textId="77777777" w:rsidR="0013396F" w:rsidRDefault="0013396F" w:rsidP="00593AD1">
    <w:pPr>
      <w:pStyle w:val="HeaderNoLine"/>
    </w:pPr>
    <w:r>
      <w:rPr>
        <w:noProof/>
        <w:lang w:eastAsia="en-AU"/>
      </w:rPr>
      <w:drawing>
        <wp:inline distT="0" distB="0" distL="0" distR="0" wp14:anchorId="494AD957" wp14:editId="5780CD0C">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EB1E0" w14:textId="77777777" w:rsidR="0013396F" w:rsidRDefault="0013396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707C8" w14:textId="77777777" w:rsidR="0013396F" w:rsidRDefault="0013396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95C58" w14:textId="77777777" w:rsidR="0013396F" w:rsidRDefault="0013396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C5376" w14:textId="77777777" w:rsidR="0013396F" w:rsidRDefault="0013396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F3592" w14:textId="77777777" w:rsidR="0013396F" w:rsidRDefault="0013396F"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43B20" w14:textId="77777777" w:rsidR="0013396F" w:rsidRDefault="0013396F" w:rsidP="006E08B3">
    <w:r>
      <w:t>Therapeutic Goods Administration</w:t>
    </w:r>
  </w:p>
  <w:p w14:paraId="0BCD063B" w14:textId="77777777" w:rsidR="0013396F" w:rsidRDefault="0013396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1E4B593C"/>
    <w:multiLevelType w:val="hybridMultilevel"/>
    <w:tmpl w:val="3FC6F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3B3561F"/>
    <w:multiLevelType w:val="hybridMultilevel"/>
    <w:tmpl w:val="681A3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BCF57AC"/>
    <w:multiLevelType w:val="hybridMultilevel"/>
    <w:tmpl w:val="B7CA4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C1B4A49"/>
    <w:multiLevelType w:val="multilevel"/>
    <w:tmpl w:val="3EEC3854"/>
    <w:styleLink w:val="List41"/>
    <w:lvl w:ilvl="0">
      <w:numFmt w:val="bullet"/>
      <w:lvlText w:val="•"/>
      <w:lvlJc w:val="left"/>
      <w:pPr>
        <w:tabs>
          <w:tab w:val="num" w:pos="426"/>
        </w:tabs>
        <w:ind w:left="426" w:hanging="360"/>
      </w:pPr>
      <w:rPr>
        <w:rFonts w:ascii="Cambria" w:eastAsia="Cambria" w:hAnsi="Cambria" w:cs="Cambria"/>
        <w:position w:val="0"/>
        <w:sz w:val="22"/>
        <w:szCs w:val="22"/>
        <w:rtl w:val="0"/>
      </w:rPr>
    </w:lvl>
    <w:lvl w:ilvl="1">
      <w:start w:val="1"/>
      <w:numFmt w:val="bullet"/>
      <w:lvlText w:val="o"/>
      <w:lvlJc w:val="left"/>
      <w:pPr>
        <w:tabs>
          <w:tab w:val="num" w:pos="1425"/>
        </w:tabs>
        <w:ind w:left="1425" w:hanging="345"/>
      </w:pPr>
      <w:rPr>
        <w:rFonts w:ascii="Cambria" w:eastAsia="Cambria" w:hAnsi="Cambria" w:cs="Cambria"/>
        <w:position w:val="0"/>
        <w:sz w:val="23"/>
        <w:szCs w:val="23"/>
        <w:rtl w:val="0"/>
      </w:rPr>
    </w:lvl>
    <w:lvl w:ilvl="2">
      <w:start w:val="1"/>
      <w:numFmt w:val="bullet"/>
      <w:lvlText w:val="▪"/>
      <w:lvlJc w:val="left"/>
      <w:pPr>
        <w:tabs>
          <w:tab w:val="num" w:pos="2145"/>
        </w:tabs>
        <w:ind w:left="2145" w:hanging="345"/>
      </w:pPr>
      <w:rPr>
        <w:rFonts w:ascii="Cambria" w:eastAsia="Cambria" w:hAnsi="Cambria" w:cs="Cambria"/>
        <w:position w:val="0"/>
        <w:sz w:val="23"/>
        <w:szCs w:val="23"/>
        <w:rtl w:val="0"/>
      </w:rPr>
    </w:lvl>
    <w:lvl w:ilvl="3">
      <w:start w:val="1"/>
      <w:numFmt w:val="bullet"/>
      <w:lvlText w:val="•"/>
      <w:lvlJc w:val="left"/>
      <w:pPr>
        <w:tabs>
          <w:tab w:val="num" w:pos="2865"/>
        </w:tabs>
        <w:ind w:left="2865" w:hanging="345"/>
      </w:pPr>
      <w:rPr>
        <w:rFonts w:ascii="Cambria" w:eastAsia="Cambria" w:hAnsi="Cambria" w:cs="Cambria"/>
        <w:position w:val="0"/>
        <w:sz w:val="23"/>
        <w:szCs w:val="23"/>
        <w:rtl w:val="0"/>
      </w:rPr>
    </w:lvl>
    <w:lvl w:ilvl="4">
      <w:start w:val="1"/>
      <w:numFmt w:val="bullet"/>
      <w:lvlText w:val="o"/>
      <w:lvlJc w:val="left"/>
      <w:pPr>
        <w:tabs>
          <w:tab w:val="num" w:pos="3585"/>
        </w:tabs>
        <w:ind w:left="3585" w:hanging="345"/>
      </w:pPr>
      <w:rPr>
        <w:rFonts w:ascii="Cambria" w:eastAsia="Cambria" w:hAnsi="Cambria" w:cs="Cambria"/>
        <w:position w:val="0"/>
        <w:sz w:val="23"/>
        <w:szCs w:val="23"/>
        <w:rtl w:val="0"/>
      </w:rPr>
    </w:lvl>
    <w:lvl w:ilvl="5">
      <w:start w:val="1"/>
      <w:numFmt w:val="bullet"/>
      <w:lvlText w:val="▪"/>
      <w:lvlJc w:val="left"/>
      <w:pPr>
        <w:tabs>
          <w:tab w:val="num" w:pos="4305"/>
        </w:tabs>
        <w:ind w:left="4305" w:hanging="345"/>
      </w:pPr>
      <w:rPr>
        <w:rFonts w:ascii="Cambria" w:eastAsia="Cambria" w:hAnsi="Cambria" w:cs="Cambria"/>
        <w:position w:val="0"/>
        <w:sz w:val="23"/>
        <w:szCs w:val="23"/>
        <w:rtl w:val="0"/>
      </w:rPr>
    </w:lvl>
    <w:lvl w:ilvl="6">
      <w:start w:val="1"/>
      <w:numFmt w:val="bullet"/>
      <w:lvlText w:val="•"/>
      <w:lvlJc w:val="left"/>
      <w:pPr>
        <w:tabs>
          <w:tab w:val="num" w:pos="5025"/>
        </w:tabs>
        <w:ind w:left="5025" w:hanging="345"/>
      </w:pPr>
      <w:rPr>
        <w:rFonts w:ascii="Cambria" w:eastAsia="Cambria" w:hAnsi="Cambria" w:cs="Cambria"/>
        <w:position w:val="0"/>
        <w:sz w:val="23"/>
        <w:szCs w:val="23"/>
        <w:rtl w:val="0"/>
      </w:rPr>
    </w:lvl>
    <w:lvl w:ilvl="7">
      <w:start w:val="1"/>
      <w:numFmt w:val="bullet"/>
      <w:lvlText w:val="o"/>
      <w:lvlJc w:val="left"/>
      <w:pPr>
        <w:tabs>
          <w:tab w:val="num" w:pos="5745"/>
        </w:tabs>
        <w:ind w:left="5745" w:hanging="345"/>
      </w:pPr>
      <w:rPr>
        <w:rFonts w:ascii="Cambria" w:eastAsia="Cambria" w:hAnsi="Cambria" w:cs="Cambria"/>
        <w:position w:val="0"/>
        <w:sz w:val="23"/>
        <w:szCs w:val="23"/>
        <w:rtl w:val="0"/>
      </w:rPr>
    </w:lvl>
    <w:lvl w:ilvl="8">
      <w:start w:val="1"/>
      <w:numFmt w:val="bullet"/>
      <w:lvlText w:val="▪"/>
      <w:lvlJc w:val="left"/>
      <w:pPr>
        <w:tabs>
          <w:tab w:val="num" w:pos="6465"/>
        </w:tabs>
        <w:ind w:left="6465" w:hanging="345"/>
      </w:pPr>
      <w:rPr>
        <w:rFonts w:ascii="Cambria" w:eastAsia="Cambria" w:hAnsi="Cambria" w:cs="Cambria"/>
        <w:position w:val="0"/>
        <w:sz w:val="23"/>
        <w:szCs w:val="23"/>
        <w:rtl w:val="0"/>
      </w:rPr>
    </w:lvl>
  </w:abstractNum>
  <w:abstractNum w:abstractNumId="6">
    <w:nsid w:val="2EAB1C37"/>
    <w:multiLevelType w:val="hybridMultilevel"/>
    <w:tmpl w:val="857C4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49697F5D"/>
    <w:multiLevelType w:val="hybridMultilevel"/>
    <w:tmpl w:val="B6BE278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55125B9C"/>
    <w:multiLevelType w:val="multilevel"/>
    <w:tmpl w:val="6BD8C5E6"/>
    <w:styleLink w:val="List7"/>
    <w:lvl w:ilvl="0">
      <w:start w:val="1"/>
      <w:numFmt w:val="decimal"/>
      <w:lvlText w:val="%1."/>
      <w:lvlJc w:val="left"/>
      <w:rPr>
        <w:rFonts w:ascii="Cambria" w:eastAsia="Cambria" w:hAnsi="Cambria" w:cs="Cambria"/>
        <w:position w:val="0"/>
        <w:rtl w:val="0"/>
      </w:rPr>
    </w:lvl>
    <w:lvl w:ilvl="1">
      <w:start w:val="1"/>
      <w:numFmt w:val="lowerLetter"/>
      <w:lvlText w:val="%2."/>
      <w:lvlJc w:val="left"/>
      <w:rPr>
        <w:rFonts w:ascii="Cambria" w:eastAsia="Cambria" w:hAnsi="Cambria" w:cs="Cambria"/>
        <w:position w:val="0"/>
        <w:rtl w:val="0"/>
      </w:rPr>
    </w:lvl>
    <w:lvl w:ilvl="2">
      <w:start w:val="1"/>
      <w:numFmt w:val="lowerRoman"/>
      <w:lvlText w:val="%3."/>
      <w:lvlJc w:val="left"/>
      <w:rPr>
        <w:rFonts w:ascii="Cambria" w:eastAsia="Cambria" w:hAnsi="Cambria" w:cs="Cambria"/>
        <w:position w:val="0"/>
        <w:rtl w:val="0"/>
      </w:rPr>
    </w:lvl>
    <w:lvl w:ilvl="3">
      <w:start w:val="1"/>
      <w:numFmt w:val="decimal"/>
      <w:lvlText w:val="%4."/>
      <w:lvlJc w:val="left"/>
      <w:rPr>
        <w:rFonts w:ascii="Cambria" w:eastAsia="Cambria" w:hAnsi="Cambria" w:cs="Cambria"/>
        <w:position w:val="0"/>
        <w:rtl w:val="0"/>
      </w:rPr>
    </w:lvl>
    <w:lvl w:ilvl="4">
      <w:start w:val="1"/>
      <w:numFmt w:val="lowerLetter"/>
      <w:lvlText w:val="%5."/>
      <w:lvlJc w:val="left"/>
      <w:rPr>
        <w:rFonts w:ascii="Cambria" w:eastAsia="Cambria" w:hAnsi="Cambria" w:cs="Cambria"/>
        <w:position w:val="0"/>
        <w:rtl w:val="0"/>
      </w:rPr>
    </w:lvl>
    <w:lvl w:ilvl="5">
      <w:start w:val="1"/>
      <w:numFmt w:val="lowerRoman"/>
      <w:lvlText w:val="%6."/>
      <w:lvlJc w:val="left"/>
      <w:rPr>
        <w:rFonts w:ascii="Cambria" w:eastAsia="Cambria" w:hAnsi="Cambria" w:cs="Cambria"/>
        <w:position w:val="0"/>
        <w:rtl w:val="0"/>
      </w:rPr>
    </w:lvl>
    <w:lvl w:ilvl="6">
      <w:start w:val="1"/>
      <w:numFmt w:val="decimal"/>
      <w:lvlText w:val="%7."/>
      <w:lvlJc w:val="left"/>
      <w:rPr>
        <w:rFonts w:ascii="Cambria" w:eastAsia="Cambria" w:hAnsi="Cambria" w:cs="Cambria"/>
        <w:position w:val="0"/>
        <w:rtl w:val="0"/>
      </w:rPr>
    </w:lvl>
    <w:lvl w:ilvl="7">
      <w:start w:val="1"/>
      <w:numFmt w:val="lowerLetter"/>
      <w:lvlText w:val="%8."/>
      <w:lvlJc w:val="left"/>
      <w:rPr>
        <w:rFonts w:ascii="Cambria" w:eastAsia="Cambria" w:hAnsi="Cambria" w:cs="Cambria"/>
        <w:position w:val="0"/>
        <w:rtl w:val="0"/>
      </w:rPr>
    </w:lvl>
    <w:lvl w:ilvl="8">
      <w:start w:val="1"/>
      <w:numFmt w:val="lowerRoman"/>
      <w:lvlText w:val="%9."/>
      <w:lvlJc w:val="left"/>
      <w:rPr>
        <w:rFonts w:ascii="Cambria" w:eastAsia="Cambria" w:hAnsi="Cambria" w:cs="Cambria"/>
        <w:position w:val="0"/>
        <w:rtl w:val="0"/>
      </w:rPr>
    </w:lvl>
  </w:abstractNum>
  <w:abstractNum w:abstractNumId="10">
    <w:nsid w:val="5BBA39D7"/>
    <w:multiLevelType w:val="hybridMultilevel"/>
    <w:tmpl w:val="6F2434A2"/>
    <w:lvl w:ilvl="0" w:tplc="0C090019">
      <w:start w:val="1"/>
      <w:numFmt w:val="lowerLetter"/>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11">
    <w:nsid w:val="60C07637"/>
    <w:multiLevelType w:val="multilevel"/>
    <w:tmpl w:val="EDDEF1F0"/>
    <w:styleLink w:val="List6"/>
    <w:lvl w:ilvl="0">
      <w:start w:val="1"/>
      <w:numFmt w:val="decimal"/>
      <w:lvlText w:val="%1."/>
      <w:lvlJc w:val="left"/>
      <w:rPr>
        <w:rFonts w:ascii="Cambria" w:eastAsia="Cambria" w:hAnsi="Cambria" w:cs="Cambria"/>
        <w:position w:val="0"/>
        <w:rtl w:val="0"/>
      </w:rPr>
    </w:lvl>
    <w:lvl w:ilvl="1">
      <w:start w:val="1"/>
      <w:numFmt w:val="lowerLetter"/>
      <w:lvlText w:val="%2."/>
      <w:lvlJc w:val="left"/>
      <w:rPr>
        <w:rFonts w:ascii="Cambria" w:eastAsia="Cambria" w:hAnsi="Cambria" w:cs="Cambria"/>
        <w:position w:val="0"/>
        <w:rtl w:val="0"/>
      </w:rPr>
    </w:lvl>
    <w:lvl w:ilvl="2">
      <w:start w:val="1"/>
      <w:numFmt w:val="lowerRoman"/>
      <w:lvlText w:val="%3."/>
      <w:lvlJc w:val="left"/>
      <w:rPr>
        <w:rFonts w:ascii="Cambria" w:eastAsia="Cambria" w:hAnsi="Cambria" w:cs="Cambria"/>
        <w:position w:val="0"/>
        <w:rtl w:val="0"/>
      </w:rPr>
    </w:lvl>
    <w:lvl w:ilvl="3">
      <w:start w:val="1"/>
      <w:numFmt w:val="decimal"/>
      <w:lvlText w:val="%4."/>
      <w:lvlJc w:val="left"/>
      <w:rPr>
        <w:rFonts w:ascii="Cambria" w:eastAsia="Cambria" w:hAnsi="Cambria" w:cs="Cambria"/>
        <w:position w:val="0"/>
        <w:rtl w:val="0"/>
      </w:rPr>
    </w:lvl>
    <w:lvl w:ilvl="4">
      <w:start w:val="1"/>
      <w:numFmt w:val="lowerLetter"/>
      <w:lvlText w:val="%5."/>
      <w:lvlJc w:val="left"/>
      <w:rPr>
        <w:rFonts w:ascii="Cambria" w:eastAsia="Cambria" w:hAnsi="Cambria" w:cs="Cambria"/>
        <w:position w:val="0"/>
        <w:rtl w:val="0"/>
      </w:rPr>
    </w:lvl>
    <w:lvl w:ilvl="5">
      <w:start w:val="1"/>
      <w:numFmt w:val="lowerRoman"/>
      <w:lvlText w:val="%6."/>
      <w:lvlJc w:val="left"/>
      <w:rPr>
        <w:rFonts w:ascii="Cambria" w:eastAsia="Cambria" w:hAnsi="Cambria" w:cs="Cambria"/>
        <w:position w:val="0"/>
        <w:rtl w:val="0"/>
      </w:rPr>
    </w:lvl>
    <w:lvl w:ilvl="6">
      <w:start w:val="1"/>
      <w:numFmt w:val="decimal"/>
      <w:lvlText w:val="%7."/>
      <w:lvlJc w:val="left"/>
      <w:rPr>
        <w:rFonts w:ascii="Cambria" w:eastAsia="Cambria" w:hAnsi="Cambria" w:cs="Cambria"/>
        <w:position w:val="0"/>
        <w:rtl w:val="0"/>
      </w:rPr>
    </w:lvl>
    <w:lvl w:ilvl="7">
      <w:start w:val="1"/>
      <w:numFmt w:val="lowerLetter"/>
      <w:lvlText w:val="%8."/>
      <w:lvlJc w:val="left"/>
      <w:rPr>
        <w:rFonts w:ascii="Cambria" w:eastAsia="Cambria" w:hAnsi="Cambria" w:cs="Cambria"/>
        <w:position w:val="0"/>
        <w:rtl w:val="0"/>
      </w:rPr>
    </w:lvl>
    <w:lvl w:ilvl="8">
      <w:start w:val="1"/>
      <w:numFmt w:val="lowerRoman"/>
      <w:lvlText w:val="%9."/>
      <w:lvlJc w:val="left"/>
      <w:rPr>
        <w:rFonts w:ascii="Cambria" w:eastAsia="Cambria" w:hAnsi="Cambria" w:cs="Cambria"/>
        <w:position w:val="0"/>
        <w:rtl w:val="0"/>
      </w:rPr>
    </w:lvl>
  </w:abstractNum>
  <w:abstractNum w:abstractNumId="12">
    <w:nsid w:val="70467FC7"/>
    <w:multiLevelType w:val="multilevel"/>
    <w:tmpl w:val="A4306BF2"/>
    <w:styleLink w:val="List21"/>
    <w:lvl w:ilvl="0">
      <w:start w:val="1"/>
      <w:numFmt w:val="decimal"/>
      <w:lvlText w:val="%1."/>
      <w:lvlJc w:val="left"/>
      <w:pPr>
        <w:tabs>
          <w:tab w:val="num" w:pos="304"/>
        </w:tabs>
        <w:ind w:left="304" w:hanging="271"/>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1">
      <w:start w:val="1"/>
      <w:numFmt w:val="lowerLetter"/>
      <w:lvlText w:val="%2."/>
      <w:lvlJc w:val="left"/>
      <w:pPr>
        <w:tabs>
          <w:tab w:val="num" w:pos="1395"/>
        </w:tabs>
        <w:ind w:left="139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2">
      <w:start w:val="1"/>
      <w:numFmt w:val="lowerRoman"/>
      <w:lvlText w:val="%3."/>
      <w:lvlJc w:val="left"/>
      <w:pPr>
        <w:tabs>
          <w:tab w:val="num" w:pos="2123"/>
        </w:tabs>
        <w:ind w:left="2123" w:hanging="259"/>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3">
      <w:start w:val="1"/>
      <w:numFmt w:val="decimal"/>
      <w:lvlText w:val="%4."/>
      <w:lvlJc w:val="left"/>
      <w:pPr>
        <w:tabs>
          <w:tab w:val="num" w:pos="2835"/>
        </w:tabs>
        <w:ind w:left="283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4">
      <w:start w:val="1"/>
      <w:numFmt w:val="lowerLetter"/>
      <w:lvlText w:val="%5."/>
      <w:lvlJc w:val="left"/>
      <w:pPr>
        <w:tabs>
          <w:tab w:val="num" w:pos="3555"/>
        </w:tabs>
        <w:ind w:left="355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5">
      <w:start w:val="1"/>
      <w:numFmt w:val="lowerRoman"/>
      <w:lvlText w:val="%6."/>
      <w:lvlJc w:val="left"/>
      <w:pPr>
        <w:tabs>
          <w:tab w:val="num" w:pos="4283"/>
        </w:tabs>
        <w:ind w:left="4283" w:hanging="259"/>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6">
      <w:start w:val="1"/>
      <w:numFmt w:val="decimal"/>
      <w:lvlText w:val="%7."/>
      <w:lvlJc w:val="left"/>
      <w:pPr>
        <w:tabs>
          <w:tab w:val="num" w:pos="4995"/>
        </w:tabs>
        <w:ind w:left="499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7">
      <w:start w:val="1"/>
      <w:numFmt w:val="lowerLetter"/>
      <w:lvlText w:val="%8."/>
      <w:lvlJc w:val="left"/>
      <w:pPr>
        <w:tabs>
          <w:tab w:val="num" w:pos="5715"/>
        </w:tabs>
        <w:ind w:left="571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8">
      <w:start w:val="1"/>
      <w:numFmt w:val="lowerRoman"/>
      <w:lvlText w:val="%9."/>
      <w:lvlJc w:val="left"/>
      <w:pPr>
        <w:tabs>
          <w:tab w:val="num" w:pos="6443"/>
        </w:tabs>
        <w:ind w:left="6443" w:hanging="259"/>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abstractNum>
  <w:abstractNum w:abstractNumId="13">
    <w:nsid w:val="71A523D7"/>
    <w:multiLevelType w:val="multilevel"/>
    <w:tmpl w:val="5A4C8050"/>
    <w:styleLink w:val="List31"/>
    <w:lvl w:ilvl="0">
      <w:numFmt w:val="bullet"/>
      <w:lvlText w:val="-"/>
      <w:lvlJc w:val="left"/>
      <w:pPr>
        <w:tabs>
          <w:tab w:val="num" w:pos="704"/>
        </w:tabs>
        <w:ind w:left="704" w:hanging="344"/>
      </w:pPr>
      <w:rPr>
        <w:rFonts w:ascii="Cambria" w:eastAsia="Cambria" w:hAnsi="Cambria" w:cs="Cambria"/>
        <w:caps w:val="0"/>
        <w:smallCaps w:val="0"/>
        <w:strike w:val="0"/>
        <w:dstrike w:val="0"/>
        <w:outlin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395"/>
        </w:tabs>
        <w:ind w:left="139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2">
      <w:start w:val="1"/>
      <w:numFmt w:val="bullet"/>
      <w:lvlText w:val="▪"/>
      <w:lvlJc w:val="left"/>
      <w:pPr>
        <w:tabs>
          <w:tab w:val="num" w:pos="2115"/>
        </w:tabs>
        <w:ind w:left="211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3">
      <w:start w:val="1"/>
      <w:numFmt w:val="bullet"/>
      <w:lvlText w:val="•"/>
      <w:lvlJc w:val="left"/>
      <w:pPr>
        <w:tabs>
          <w:tab w:val="num" w:pos="2835"/>
        </w:tabs>
        <w:ind w:left="283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4">
      <w:start w:val="1"/>
      <w:numFmt w:val="bullet"/>
      <w:lvlText w:val="o"/>
      <w:lvlJc w:val="left"/>
      <w:pPr>
        <w:tabs>
          <w:tab w:val="num" w:pos="3555"/>
        </w:tabs>
        <w:ind w:left="355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5">
      <w:start w:val="1"/>
      <w:numFmt w:val="bullet"/>
      <w:lvlText w:val="▪"/>
      <w:lvlJc w:val="left"/>
      <w:pPr>
        <w:tabs>
          <w:tab w:val="num" w:pos="4275"/>
        </w:tabs>
        <w:ind w:left="427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6">
      <w:start w:val="1"/>
      <w:numFmt w:val="bullet"/>
      <w:lvlText w:val="•"/>
      <w:lvlJc w:val="left"/>
      <w:pPr>
        <w:tabs>
          <w:tab w:val="num" w:pos="4995"/>
        </w:tabs>
        <w:ind w:left="499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7">
      <w:start w:val="1"/>
      <w:numFmt w:val="bullet"/>
      <w:lvlText w:val="o"/>
      <w:lvlJc w:val="left"/>
      <w:pPr>
        <w:tabs>
          <w:tab w:val="num" w:pos="5715"/>
        </w:tabs>
        <w:ind w:left="571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8">
      <w:start w:val="1"/>
      <w:numFmt w:val="bullet"/>
      <w:lvlText w:val="▪"/>
      <w:lvlJc w:val="left"/>
      <w:pPr>
        <w:tabs>
          <w:tab w:val="num" w:pos="6435"/>
        </w:tabs>
        <w:ind w:left="643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abstractNum>
  <w:abstractNum w:abstractNumId="14">
    <w:nsid w:val="7A0E3233"/>
    <w:multiLevelType w:val="hybridMultilevel"/>
    <w:tmpl w:val="9DE4CECE"/>
    <w:lvl w:ilvl="0" w:tplc="CA3A98C4">
      <w:start w:val="1"/>
      <w:numFmt w:val="decimal"/>
      <w:lvlText w:val="%1."/>
      <w:lvlJc w:val="left"/>
      <w:pPr>
        <w:ind w:left="360" w:hanging="360"/>
      </w:pPr>
      <w:rPr>
        <w:rFonts w:ascii="Cambria" w:hAnsi="Cambria"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7B1A6482"/>
    <w:multiLevelType w:val="multilevel"/>
    <w:tmpl w:val="11E4A12C"/>
    <w:styleLink w:val="List1"/>
    <w:lvl w:ilvl="0">
      <w:start w:val="1"/>
      <w:numFmt w:val="bullet"/>
      <w:lvlText w:val="-"/>
      <w:lvlJc w:val="left"/>
      <w:pPr>
        <w:tabs>
          <w:tab w:val="num" w:pos="675"/>
        </w:tabs>
        <w:ind w:left="67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1">
      <w:numFmt w:val="bullet"/>
      <w:lvlText w:val="o"/>
      <w:lvlJc w:val="left"/>
      <w:pPr>
        <w:tabs>
          <w:tab w:val="num" w:pos="1424"/>
        </w:tabs>
        <w:ind w:left="1424" w:hanging="344"/>
      </w:pPr>
      <w:rPr>
        <w:rFonts w:ascii="Cambria" w:eastAsia="Cambria" w:hAnsi="Cambria" w:cs="Cambria"/>
        <w:caps w:val="0"/>
        <w:smallCaps w:val="0"/>
        <w:strike w:val="0"/>
        <w:dstrike w:val="0"/>
        <w:outlin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15"/>
        </w:tabs>
        <w:ind w:left="211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3">
      <w:start w:val="1"/>
      <w:numFmt w:val="bullet"/>
      <w:lvlText w:val="•"/>
      <w:lvlJc w:val="left"/>
      <w:pPr>
        <w:tabs>
          <w:tab w:val="num" w:pos="2835"/>
        </w:tabs>
        <w:ind w:left="283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4">
      <w:start w:val="1"/>
      <w:numFmt w:val="bullet"/>
      <w:lvlText w:val="o"/>
      <w:lvlJc w:val="left"/>
      <w:pPr>
        <w:tabs>
          <w:tab w:val="num" w:pos="3555"/>
        </w:tabs>
        <w:ind w:left="355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5">
      <w:start w:val="1"/>
      <w:numFmt w:val="bullet"/>
      <w:lvlText w:val="▪"/>
      <w:lvlJc w:val="left"/>
      <w:pPr>
        <w:tabs>
          <w:tab w:val="num" w:pos="4275"/>
        </w:tabs>
        <w:ind w:left="427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6">
      <w:start w:val="1"/>
      <w:numFmt w:val="bullet"/>
      <w:lvlText w:val="•"/>
      <w:lvlJc w:val="left"/>
      <w:pPr>
        <w:tabs>
          <w:tab w:val="num" w:pos="4995"/>
        </w:tabs>
        <w:ind w:left="499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7">
      <w:start w:val="1"/>
      <w:numFmt w:val="bullet"/>
      <w:lvlText w:val="o"/>
      <w:lvlJc w:val="left"/>
      <w:pPr>
        <w:tabs>
          <w:tab w:val="num" w:pos="5715"/>
        </w:tabs>
        <w:ind w:left="571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lvl w:ilvl="8">
      <w:start w:val="1"/>
      <w:numFmt w:val="bullet"/>
      <w:lvlText w:val="▪"/>
      <w:lvlJc w:val="left"/>
      <w:pPr>
        <w:tabs>
          <w:tab w:val="num" w:pos="6435"/>
        </w:tabs>
        <w:ind w:left="6435" w:hanging="315"/>
      </w:pPr>
      <w:rPr>
        <w:rFonts w:ascii="Cambria" w:eastAsia="Cambria" w:hAnsi="Cambria" w:cs="Cambria"/>
        <w:caps w:val="0"/>
        <w:smallCaps w:val="0"/>
        <w:strike w:val="0"/>
        <w:dstrike w:val="0"/>
        <w:outline w:val="0"/>
        <w:color w:val="000000"/>
        <w:spacing w:val="0"/>
        <w:kern w:val="0"/>
        <w:position w:val="0"/>
        <w:sz w:val="21"/>
        <w:szCs w:val="21"/>
        <w:u w:val="none" w:color="000000"/>
        <w:vertAlign w:val="baseline"/>
        <w:rtl w:val="0"/>
        <w:lang w:val="en-US"/>
      </w:rPr>
    </w:lvl>
  </w:abstractNum>
  <w:abstractNum w:abstractNumId="16">
    <w:nsid w:val="7B703D1F"/>
    <w:multiLevelType w:val="hybridMultilevel"/>
    <w:tmpl w:val="2E7A4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3"/>
  </w:num>
  <w:num w:numId="7">
    <w:abstractNumId w:val="5"/>
  </w:num>
  <w:num w:numId="8">
    <w:abstractNumId w:val="11"/>
  </w:num>
  <w:num w:numId="9">
    <w:abstractNumId w:val="9"/>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2"/>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8"/>
  </w:num>
  <w:num w:numId="17">
    <w:abstractNumId w:val="1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6"/>
  </w:num>
  <w:num w:numId="21">
    <w:abstractNumId w:val="16"/>
  </w:num>
  <w:num w:numId="22">
    <w:abstractNumId w:val="4"/>
  </w:num>
  <w:num w:numId="23">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4">
    <w:abstractNumId w:val="14"/>
  </w:num>
  <w:num w:numId="25">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IdMacAtCleanup w:val="15"/>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salie Cull">
    <w15:presenceInfo w15:providerId="Windows Live" w15:userId="6a5148c953ccc8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3A3"/>
    <w:rsid w:val="00000FE2"/>
    <w:rsid w:val="00002031"/>
    <w:rsid w:val="00004734"/>
    <w:rsid w:val="00006B22"/>
    <w:rsid w:val="00011650"/>
    <w:rsid w:val="000119CA"/>
    <w:rsid w:val="0001276A"/>
    <w:rsid w:val="000170FB"/>
    <w:rsid w:val="000246AE"/>
    <w:rsid w:val="00025C67"/>
    <w:rsid w:val="00026051"/>
    <w:rsid w:val="00044772"/>
    <w:rsid w:val="0005559E"/>
    <w:rsid w:val="000604D6"/>
    <w:rsid w:val="000734D8"/>
    <w:rsid w:val="000755E7"/>
    <w:rsid w:val="00076996"/>
    <w:rsid w:val="00077775"/>
    <w:rsid w:val="0008663E"/>
    <w:rsid w:val="00090471"/>
    <w:rsid w:val="00096AA7"/>
    <w:rsid w:val="000A3AED"/>
    <w:rsid w:val="000B3532"/>
    <w:rsid w:val="000B3A75"/>
    <w:rsid w:val="000C00C2"/>
    <w:rsid w:val="000C690F"/>
    <w:rsid w:val="000D1295"/>
    <w:rsid w:val="000D391B"/>
    <w:rsid w:val="000D3D6D"/>
    <w:rsid w:val="000D4FC7"/>
    <w:rsid w:val="000E6196"/>
    <w:rsid w:val="000E6C79"/>
    <w:rsid w:val="000E6EB6"/>
    <w:rsid w:val="000F4869"/>
    <w:rsid w:val="000F5B42"/>
    <w:rsid w:val="000F6E6F"/>
    <w:rsid w:val="001031EC"/>
    <w:rsid w:val="0010601F"/>
    <w:rsid w:val="0010788A"/>
    <w:rsid w:val="00107A31"/>
    <w:rsid w:val="00110EA5"/>
    <w:rsid w:val="00111E67"/>
    <w:rsid w:val="00112F56"/>
    <w:rsid w:val="00125318"/>
    <w:rsid w:val="001305A2"/>
    <w:rsid w:val="00133238"/>
    <w:rsid w:val="0013396F"/>
    <w:rsid w:val="00133A1B"/>
    <w:rsid w:val="0014197B"/>
    <w:rsid w:val="001447CD"/>
    <w:rsid w:val="00145418"/>
    <w:rsid w:val="001516B1"/>
    <w:rsid w:val="00154EBB"/>
    <w:rsid w:val="00156316"/>
    <w:rsid w:val="00156ACE"/>
    <w:rsid w:val="00161181"/>
    <w:rsid w:val="00162D14"/>
    <w:rsid w:val="00162D47"/>
    <w:rsid w:val="00165389"/>
    <w:rsid w:val="00170C1A"/>
    <w:rsid w:val="0017693F"/>
    <w:rsid w:val="0018110E"/>
    <w:rsid w:val="00181684"/>
    <w:rsid w:val="001843C6"/>
    <w:rsid w:val="001850E0"/>
    <w:rsid w:val="001A2158"/>
    <w:rsid w:val="001A3CDF"/>
    <w:rsid w:val="001A525F"/>
    <w:rsid w:val="001A620A"/>
    <w:rsid w:val="001B09F9"/>
    <w:rsid w:val="001B5C90"/>
    <w:rsid w:val="001B6448"/>
    <w:rsid w:val="001C32CD"/>
    <w:rsid w:val="001C6610"/>
    <w:rsid w:val="001D0566"/>
    <w:rsid w:val="001D2984"/>
    <w:rsid w:val="001E07CF"/>
    <w:rsid w:val="001E59F1"/>
    <w:rsid w:val="001F2CEE"/>
    <w:rsid w:val="001F49EB"/>
    <w:rsid w:val="001F6CBA"/>
    <w:rsid w:val="001F7906"/>
    <w:rsid w:val="0020143F"/>
    <w:rsid w:val="00201D4E"/>
    <w:rsid w:val="002076C9"/>
    <w:rsid w:val="00220B8A"/>
    <w:rsid w:val="002257F3"/>
    <w:rsid w:val="00233456"/>
    <w:rsid w:val="002339A5"/>
    <w:rsid w:val="00251DE5"/>
    <w:rsid w:val="00253508"/>
    <w:rsid w:val="00253F62"/>
    <w:rsid w:val="002561BD"/>
    <w:rsid w:val="00257848"/>
    <w:rsid w:val="0026099D"/>
    <w:rsid w:val="00270280"/>
    <w:rsid w:val="0027084A"/>
    <w:rsid w:val="00275225"/>
    <w:rsid w:val="002760E1"/>
    <w:rsid w:val="00286434"/>
    <w:rsid w:val="00286C59"/>
    <w:rsid w:val="00291957"/>
    <w:rsid w:val="002942D1"/>
    <w:rsid w:val="0029501A"/>
    <w:rsid w:val="002A36CA"/>
    <w:rsid w:val="002A3721"/>
    <w:rsid w:val="002B1638"/>
    <w:rsid w:val="002B3624"/>
    <w:rsid w:val="002B611A"/>
    <w:rsid w:val="002B6692"/>
    <w:rsid w:val="002C7662"/>
    <w:rsid w:val="002D0952"/>
    <w:rsid w:val="002E40B3"/>
    <w:rsid w:val="002E4C9A"/>
    <w:rsid w:val="002F11F8"/>
    <w:rsid w:val="002F13B9"/>
    <w:rsid w:val="002F3F56"/>
    <w:rsid w:val="002F44B5"/>
    <w:rsid w:val="00303FCD"/>
    <w:rsid w:val="00311AC0"/>
    <w:rsid w:val="003176FC"/>
    <w:rsid w:val="0032583B"/>
    <w:rsid w:val="00327883"/>
    <w:rsid w:val="00335504"/>
    <w:rsid w:val="00340C18"/>
    <w:rsid w:val="00343630"/>
    <w:rsid w:val="003442FD"/>
    <w:rsid w:val="00347824"/>
    <w:rsid w:val="00350567"/>
    <w:rsid w:val="003521E8"/>
    <w:rsid w:val="00370CE3"/>
    <w:rsid w:val="003728F3"/>
    <w:rsid w:val="0037496E"/>
    <w:rsid w:val="00377F0C"/>
    <w:rsid w:val="00383221"/>
    <w:rsid w:val="00386150"/>
    <w:rsid w:val="003874CE"/>
    <w:rsid w:val="00390900"/>
    <w:rsid w:val="00390D21"/>
    <w:rsid w:val="0039142C"/>
    <w:rsid w:val="00395502"/>
    <w:rsid w:val="003A0E05"/>
    <w:rsid w:val="003A7F6C"/>
    <w:rsid w:val="003B0881"/>
    <w:rsid w:val="003B4D60"/>
    <w:rsid w:val="003B7E39"/>
    <w:rsid w:val="003C0CF8"/>
    <w:rsid w:val="003C58DC"/>
    <w:rsid w:val="003D1E62"/>
    <w:rsid w:val="003E0B99"/>
    <w:rsid w:val="003E2486"/>
    <w:rsid w:val="003E3011"/>
    <w:rsid w:val="003E3208"/>
    <w:rsid w:val="003F0B04"/>
    <w:rsid w:val="003F121D"/>
    <w:rsid w:val="003F4344"/>
    <w:rsid w:val="0040134E"/>
    <w:rsid w:val="0040369F"/>
    <w:rsid w:val="00406A55"/>
    <w:rsid w:val="00417385"/>
    <w:rsid w:val="004334C7"/>
    <w:rsid w:val="00440A2D"/>
    <w:rsid w:val="00441C3F"/>
    <w:rsid w:val="00451DCC"/>
    <w:rsid w:val="004564A7"/>
    <w:rsid w:val="004617BF"/>
    <w:rsid w:val="00463658"/>
    <w:rsid w:val="004637A0"/>
    <w:rsid w:val="00467DBD"/>
    <w:rsid w:val="004722CC"/>
    <w:rsid w:val="00477D5B"/>
    <w:rsid w:val="0048098A"/>
    <w:rsid w:val="004936E4"/>
    <w:rsid w:val="00494E60"/>
    <w:rsid w:val="00496BF6"/>
    <w:rsid w:val="00497487"/>
    <w:rsid w:val="004A427B"/>
    <w:rsid w:val="004A47B3"/>
    <w:rsid w:val="004A6189"/>
    <w:rsid w:val="004A7390"/>
    <w:rsid w:val="004B3FF6"/>
    <w:rsid w:val="004B7B76"/>
    <w:rsid w:val="004B7CB2"/>
    <w:rsid w:val="004C239D"/>
    <w:rsid w:val="004C2DCA"/>
    <w:rsid w:val="004C61D2"/>
    <w:rsid w:val="004D785B"/>
    <w:rsid w:val="004F0C4A"/>
    <w:rsid w:val="004F0F38"/>
    <w:rsid w:val="004F47D6"/>
    <w:rsid w:val="00501921"/>
    <w:rsid w:val="00507D71"/>
    <w:rsid w:val="005214D9"/>
    <w:rsid w:val="0052340A"/>
    <w:rsid w:val="00530354"/>
    <w:rsid w:val="00531309"/>
    <w:rsid w:val="005356BE"/>
    <w:rsid w:val="0053625B"/>
    <w:rsid w:val="005434C6"/>
    <w:rsid w:val="00543B39"/>
    <w:rsid w:val="00546154"/>
    <w:rsid w:val="00550096"/>
    <w:rsid w:val="00555280"/>
    <w:rsid w:val="00557FF9"/>
    <w:rsid w:val="00562327"/>
    <w:rsid w:val="00565ADB"/>
    <w:rsid w:val="005711D5"/>
    <w:rsid w:val="00573B69"/>
    <w:rsid w:val="00576378"/>
    <w:rsid w:val="00577130"/>
    <w:rsid w:val="00577945"/>
    <w:rsid w:val="00577E38"/>
    <w:rsid w:val="00585322"/>
    <w:rsid w:val="005857C6"/>
    <w:rsid w:val="00586F6C"/>
    <w:rsid w:val="005905AE"/>
    <w:rsid w:val="00592F6E"/>
    <w:rsid w:val="00593AD1"/>
    <w:rsid w:val="005A68B6"/>
    <w:rsid w:val="005C5477"/>
    <w:rsid w:val="005C5570"/>
    <w:rsid w:val="005C79A4"/>
    <w:rsid w:val="005D5442"/>
    <w:rsid w:val="00603F32"/>
    <w:rsid w:val="00605AD4"/>
    <w:rsid w:val="00625A6E"/>
    <w:rsid w:val="00632398"/>
    <w:rsid w:val="00640FC3"/>
    <w:rsid w:val="00642020"/>
    <w:rsid w:val="0065337B"/>
    <w:rsid w:val="0065419D"/>
    <w:rsid w:val="006604D8"/>
    <w:rsid w:val="00664A5B"/>
    <w:rsid w:val="00665596"/>
    <w:rsid w:val="0066735C"/>
    <w:rsid w:val="00671E96"/>
    <w:rsid w:val="006763D2"/>
    <w:rsid w:val="00680C08"/>
    <w:rsid w:val="00681184"/>
    <w:rsid w:val="006916A0"/>
    <w:rsid w:val="006931B1"/>
    <w:rsid w:val="00694689"/>
    <w:rsid w:val="006A15C0"/>
    <w:rsid w:val="006C3E2A"/>
    <w:rsid w:val="006C642F"/>
    <w:rsid w:val="006D03E5"/>
    <w:rsid w:val="006D5004"/>
    <w:rsid w:val="006D5D3E"/>
    <w:rsid w:val="006E08B3"/>
    <w:rsid w:val="006E428A"/>
    <w:rsid w:val="006F17AC"/>
    <w:rsid w:val="006F25B8"/>
    <w:rsid w:val="006F572E"/>
    <w:rsid w:val="00702D46"/>
    <w:rsid w:val="007046D6"/>
    <w:rsid w:val="00705DB0"/>
    <w:rsid w:val="007112C3"/>
    <w:rsid w:val="00717340"/>
    <w:rsid w:val="00722B57"/>
    <w:rsid w:val="00730F8A"/>
    <w:rsid w:val="00735A8C"/>
    <w:rsid w:val="007414C1"/>
    <w:rsid w:val="0074253D"/>
    <w:rsid w:val="00743C6F"/>
    <w:rsid w:val="0074429B"/>
    <w:rsid w:val="00752E2C"/>
    <w:rsid w:val="00761486"/>
    <w:rsid w:val="007615BC"/>
    <w:rsid w:val="0076207A"/>
    <w:rsid w:val="00762F05"/>
    <w:rsid w:val="007652FF"/>
    <w:rsid w:val="00770CAC"/>
    <w:rsid w:val="00770EF1"/>
    <w:rsid w:val="00773EF7"/>
    <w:rsid w:val="00774E1D"/>
    <w:rsid w:val="007765D8"/>
    <w:rsid w:val="0077675A"/>
    <w:rsid w:val="00780355"/>
    <w:rsid w:val="007819FD"/>
    <w:rsid w:val="00782417"/>
    <w:rsid w:val="00785717"/>
    <w:rsid w:val="00785721"/>
    <w:rsid w:val="00793A59"/>
    <w:rsid w:val="007B6132"/>
    <w:rsid w:val="007B6E9F"/>
    <w:rsid w:val="007C1216"/>
    <w:rsid w:val="007C1AF7"/>
    <w:rsid w:val="007C6B9B"/>
    <w:rsid w:val="007C6C83"/>
    <w:rsid w:val="007D0CDF"/>
    <w:rsid w:val="007F5DF3"/>
    <w:rsid w:val="008000CC"/>
    <w:rsid w:val="00805D27"/>
    <w:rsid w:val="00806DCB"/>
    <w:rsid w:val="00817924"/>
    <w:rsid w:val="00821776"/>
    <w:rsid w:val="008262B5"/>
    <w:rsid w:val="008321F5"/>
    <w:rsid w:val="00832369"/>
    <w:rsid w:val="00834660"/>
    <w:rsid w:val="00836BC2"/>
    <w:rsid w:val="00844954"/>
    <w:rsid w:val="0085156D"/>
    <w:rsid w:val="00854A79"/>
    <w:rsid w:val="0085641B"/>
    <w:rsid w:val="00857136"/>
    <w:rsid w:val="00875A6B"/>
    <w:rsid w:val="0088242F"/>
    <w:rsid w:val="00885B11"/>
    <w:rsid w:val="00886D15"/>
    <w:rsid w:val="00887DD8"/>
    <w:rsid w:val="0089106B"/>
    <w:rsid w:val="00891BA9"/>
    <w:rsid w:val="00896018"/>
    <w:rsid w:val="008960DD"/>
    <w:rsid w:val="0089635C"/>
    <w:rsid w:val="008A0D49"/>
    <w:rsid w:val="008A228D"/>
    <w:rsid w:val="008A2B9D"/>
    <w:rsid w:val="008A3D9F"/>
    <w:rsid w:val="008A580E"/>
    <w:rsid w:val="008A5E0B"/>
    <w:rsid w:val="008A6D59"/>
    <w:rsid w:val="008B3B16"/>
    <w:rsid w:val="008B4B03"/>
    <w:rsid w:val="008B596F"/>
    <w:rsid w:val="008B5A3E"/>
    <w:rsid w:val="008C159F"/>
    <w:rsid w:val="008C1623"/>
    <w:rsid w:val="008C1850"/>
    <w:rsid w:val="008C4F4A"/>
    <w:rsid w:val="008C51A9"/>
    <w:rsid w:val="008C6759"/>
    <w:rsid w:val="008E64C0"/>
    <w:rsid w:val="008E7846"/>
    <w:rsid w:val="008F02E5"/>
    <w:rsid w:val="008F1CCC"/>
    <w:rsid w:val="008F2967"/>
    <w:rsid w:val="008F6943"/>
    <w:rsid w:val="00902A21"/>
    <w:rsid w:val="00910763"/>
    <w:rsid w:val="00913299"/>
    <w:rsid w:val="00920330"/>
    <w:rsid w:val="009219D7"/>
    <w:rsid w:val="00922D53"/>
    <w:rsid w:val="00923B70"/>
    <w:rsid w:val="00924482"/>
    <w:rsid w:val="00924BDB"/>
    <w:rsid w:val="0092761B"/>
    <w:rsid w:val="00930237"/>
    <w:rsid w:val="00937C17"/>
    <w:rsid w:val="00940A89"/>
    <w:rsid w:val="00946EA5"/>
    <w:rsid w:val="009531F3"/>
    <w:rsid w:val="00963C08"/>
    <w:rsid w:val="0096487D"/>
    <w:rsid w:val="009752A5"/>
    <w:rsid w:val="00983F0F"/>
    <w:rsid w:val="0098585A"/>
    <w:rsid w:val="009A4CED"/>
    <w:rsid w:val="009A690D"/>
    <w:rsid w:val="009B151C"/>
    <w:rsid w:val="009B1D12"/>
    <w:rsid w:val="009B416B"/>
    <w:rsid w:val="009C4BD5"/>
    <w:rsid w:val="009D006E"/>
    <w:rsid w:val="009D04E4"/>
    <w:rsid w:val="009D2D39"/>
    <w:rsid w:val="009D7B77"/>
    <w:rsid w:val="009E0BB0"/>
    <w:rsid w:val="009E3FBB"/>
    <w:rsid w:val="009E6BAF"/>
    <w:rsid w:val="009F7353"/>
    <w:rsid w:val="00A02EC9"/>
    <w:rsid w:val="00A04F85"/>
    <w:rsid w:val="00A05FA4"/>
    <w:rsid w:val="00A102E4"/>
    <w:rsid w:val="00A12C42"/>
    <w:rsid w:val="00A1399A"/>
    <w:rsid w:val="00A14DF7"/>
    <w:rsid w:val="00A3246D"/>
    <w:rsid w:val="00A347E8"/>
    <w:rsid w:val="00A3667B"/>
    <w:rsid w:val="00A36893"/>
    <w:rsid w:val="00A36FA7"/>
    <w:rsid w:val="00A372B6"/>
    <w:rsid w:val="00A44DDB"/>
    <w:rsid w:val="00A475B7"/>
    <w:rsid w:val="00A47AF7"/>
    <w:rsid w:val="00A47C3E"/>
    <w:rsid w:val="00A50226"/>
    <w:rsid w:val="00A50EF6"/>
    <w:rsid w:val="00A60BAD"/>
    <w:rsid w:val="00A772FE"/>
    <w:rsid w:val="00A80B5B"/>
    <w:rsid w:val="00A84E36"/>
    <w:rsid w:val="00A94F32"/>
    <w:rsid w:val="00A94F3D"/>
    <w:rsid w:val="00A964D1"/>
    <w:rsid w:val="00AA0ED0"/>
    <w:rsid w:val="00AC2B40"/>
    <w:rsid w:val="00AC2BB2"/>
    <w:rsid w:val="00AC2C3C"/>
    <w:rsid w:val="00AC512D"/>
    <w:rsid w:val="00AD0083"/>
    <w:rsid w:val="00AD3935"/>
    <w:rsid w:val="00AE4E9E"/>
    <w:rsid w:val="00AE5AD1"/>
    <w:rsid w:val="00AE65EB"/>
    <w:rsid w:val="00AE67A7"/>
    <w:rsid w:val="00AF1D94"/>
    <w:rsid w:val="00AF4487"/>
    <w:rsid w:val="00AF60C5"/>
    <w:rsid w:val="00B009C6"/>
    <w:rsid w:val="00B01548"/>
    <w:rsid w:val="00B13EBD"/>
    <w:rsid w:val="00B21D29"/>
    <w:rsid w:val="00B22DD1"/>
    <w:rsid w:val="00B25034"/>
    <w:rsid w:val="00B33588"/>
    <w:rsid w:val="00B33863"/>
    <w:rsid w:val="00B37D17"/>
    <w:rsid w:val="00B4175E"/>
    <w:rsid w:val="00B447F1"/>
    <w:rsid w:val="00B452CE"/>
    <w:rsid w:val="00B54C25"/>
    <w:rsid w:val="00B72132"/>
    <w:rsid w:val="00B7687C"/>
    <w:rsid w:val="00B76B91"/>
    <w:rsid w:val="00B77EB1"/>
    <w:rsid w:val="00B811C6"/>
    <w:rsid w:val="00B849CE"/>
    <w:rsid w:val="00B850ED"/>
    <w:rsid w:val="00B855B0"/>
    <w:rsid w:val="00B871C0"/>
    <w:rsid w:val="00B91B63"/>
    <w:rsid w:val="00B92E08"/>
    <w:rsid w:val="00B957DB"/>
    <w:rsid w:val="00BC35EC"/>
    <w:rsid w:val="00BC622A"/>
    <w:rsid w:val="00BE0A78"/>
    <w:rsid w:val="00BE79F0"/>
    <w:rsid w:val="00BF046D"/>
    <w:rsid w:val="00BF1190"/>
    <w:rsid w:val="00BF5D04"/>
    <w:rsid w:val="00C009AA"/>
    <w:rsid w:val="00C01F38"/>
    <w:rsid w:val="00C05866"/>
    <w:rsid w:val="00C1164D"/>
    <w:rsid w:val="00C15334"/>
    <w:rsid w:val="00C16861"/>
    <w:rsid w:val="00C243A3"/>
    <w:rsid w:val="00C346AB"/>
    <w:rsid w:val="00C404A6"/>
    <w:rsid w:val="00C40A36"/>
    <w:rsid w:val="00C44419"/>
    <w:rsid w:val="00C45E7B"/>
    <w:rsid w:val="00C471B1"/>
    <w:rsid w:val="00C530A0"/>
    <w:rsid w:val="00C55DEA"/>
    <w:rsid w:val="00C6316B"/>
    <w:rsid w:val="00C634A9"/>
    <w:rsid w:val="00C639FF"/>
    <w:rsid w:val="00C64586"/>
    <w:rsid w:val="00C70D53"/>
    <w:rsid w:val="00C73D0B"/>
    <w:rsid w:val="00C76BA7"/>
    <w:rsid w:val="00C772FF"/>
    <w:rsid w:val="00C80137"/>
    <w:rsid w:val="00C801AF"/>
    <w:rsid w:val="00C80256"/>
    <w:rsid w:val="00C94CD4"/>
    <w:rsid w:val="00C9747E"/>
    <w:rsid w:val="00CA7884"/>
    <w:rsid w:val="00CB0FDB"/>
    <w:rsid w:val="00CB1352"/>
    <w:rsid w:val="00CB6BC0"/>
    <w:rsid w:val="00CC1B7C"/>
    <w:rsid w:val="00CC727F"/>
    <w:rsid w:val="00CD64AB"/>
    <w:rsid w:val="00CE4311"/>
    <w:rsid w:val="00CF15C3"/>
    <w:rsid w:val="00CF2B6F"/>
    <w:rsid w:val="00CF2F3E"/>
    <w:rsid w:val="00CF57A1"/>
    <w:rsid w:val="00CF58B6"/>
    <w:rsid w:val="00D0062D"/>
    <w:rsid w:val="00D017ED"/>
    <w:rsid w:val="00D040D3"/>
    <w:rsid w:val="00D04C65"/>
    <w:rsid w:val="00D13D6E"/>
    <w:rsid w:val="00D201D2"/>
    <w:rsid w:val="00D224FE"/>
    <w:rsid w:val="00D23139"/>
    <w:rsid w:val="00D377CE"/>
    <w:rsid w:val="00D425BB"/>
    <w:rsid w:val="00D46335"/>
    <w:rsid w:val="00D6493E"/>
    <w:rsid w:val="00D7195D"/>
    <w:rsid w:val="00D7301E"/>
    <w:rsid w:val="00D83AE1"/>
    <w:rsid w:val="00D855D4"/>
    <w:rsid w:val="00D902C9"/>
    <w:rsid w:val="00D93466"/>
    <w:rsid w:val="00DA1124"/>
    <w:rsid w:val="00DB6124"/>
    <w:rsid w:val="00DB650D"/>
    <w:rsid w:val="00DB750B"/>
    <w:rsid w:val="00DB75B7"/>
    <w:rsid w:val="00DC6E02"/>
    <w:rsid w:val="00DD28CD"/>
    <w:rsid w:val="00DE02AE"/>
    <w:rsid w:val="00DF1D7F"/>
    <w:rsid w:val="00DF23C7"/>
    <w:rsid w:val="00DF4BE4"/>
    <w:rsid w:val="00E02FB4"/>
    <w:rsid w:val="00E13FC7"/>
    <w:rsid w:val="00E20571"/>
    <w:rsid w:val="00E2205D"/>
    <w:rsid w:val="00E235F7"/>
    <w:rsid w:val="00E23659"/>
    <w:rsid w:val="00E239D4"/>
    <w:rsid w:val="00E26130"/>
    <w:rsid w:val="00E26C37"/>
    <w:rsid w:val="00E37EB9"/>
    <w:rsid w:val="00E40B22"/>
    <w:rsid w:val="00E44ED1"/>
    <w:rsid w:val="00E45619"/>
    <w:rsid w:val="00E4588F"/>
    <w:rsid w:val="00E46DA3"/>
    <w:rsid w:val="00E51BB1"/>
    <w:rsid w:val="00E54794"/>
    <w:rsid w:val="00E60BB8"/>
    <w:rsid w:val="00E624A5"/>
    <w:rsid w:val="00E6447A"/>
    <w:rsid w:val="00E64BA4"/>
    <w:rsid w:val="00E65C2F"/>
    <w:rsid w:val="00E7344E"/>
    <w:rsid w:val="00E82665"/>
    <w:rsid w:val="00E91D82"/>
    <w:rsid w:val="00E92662"/>
    <w:rsid w:val="00EB0798"/>
    <w:rsid w:val="00EB40AD"/>
    <w:rsid w:val="00EB586E"/>
    <w:rsid w:val="00EB5FC8"/>
    <w:rsid w:val="00EC1088"/>
    <w:rsid w:val="00EC3FD5"/>
    <w:rsid w:val="00EC463D"/>
    <w:rsid w:val="00EC7A85"/>
    <w:rsid w:val="00ED2922"/>
    <w:rsid w:val="00ED3CAD"/>
    <w:rsid w:val="00ED5A41"/>
    <w:rsid w:val="00ED69EB"/>
    <w:rsid w:val="00EE1DE8"/>
    <w:rsid w:val="00EE27C2"/>
    <w:rsid w:val="00EE4315"/>
    <w:rsid w:val="00EF4BAD"/>
    <w:rsid w:val="00EF59DC"/>
    <w:rsid w:val="00F00A02"/>
    <w:rsid w:val="00F033EC"/>
    <w:rsid w:val="00F03607"/>
    <w:rsid w:val="00F04F68"/>
    <w:rsid w:val="00F12670"/>
    <w:rsid w:val="00F14B27"/>
    <w:rsid w:val="00F20ED3"/>
    <w:rsid w:val="00F3148D"/>
    <w:rsid w:val="00F325C5"/>
    <w:rsid w:val="00F32FE0"/>
    <w:rsid w:val="00F35298"/>
    <w:rsid w:val="00F47333"/>
    <w:rsid w:val="00F47E37"/>
    <w:rsid w:val="00F53C07"/>
    <w:rsid w:val="00F54B65"/>
    <w:rsid w:val="00F55D98"/>
    <w:rsid w:val="00F640B6"/>
    <w:rsid w:val="00F66DF2"/>
    <w:rsid w:val="00F72253"/>
    <w:rsid w:val="00F80E40"/>
    <w:rsid w:val="00F848D9"/>
    <w:rsid w:val="00F87DDE"/>
    <w:rsid w:val="00FA2794"/>
    <w:rsid w:val="00FA4ABD"/>
    <w:rsid w:val="00FA5B82"/>
    <w:rsid w:val="00FA639E"/>
    <w:rsid w:val="00FB012D"/>
    <w:rsid w:val="00FC1FCA"/>
    <w:rsid w:val="00FC25E4"/>
    <w:rsid w:val="00FC4EF7"/>
    <w:rsid w:val="00FD0824"/>
    <w:rsid w:val="00FD119B"/>
    <w:rsid w:val="00FD1EDC"/>
    <w:rsid w:val="00FD7BCA"/>
    <w:rsid w:val="00FE1DEE"/>
    <w:rsid w:val="00FF1C47"/>
    <w:rsid w:val="00FF2126"/>
    <w:rsid w:val="00FF35A0"/>
    <w:rsid w:val="00FF4F70"/>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9A45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B012D"/>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FB012D"/>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B3B16"/>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8B3B16"/>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8B3B16"/>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8B3B16"/>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4A427B"/>
    <w:pPr>
      <w:spacing w:before="0" w:after="0" w:line="240" w:lineRule="auto"/>
    </w:pPr>
    <w:rPr>
      <w:sz w:val="18"/>
      <w:szCs w:val="20"/>
    </w:rPr>
  </w:style>
  <w:style w:type="character" w:customStyle="1" w:styleId="FootnoteTextChar">
    <w:name w:val="Footnote Text Char"/>
    <w:basedOn w:val="DefaultParagraphFont"/>
    <w:link w:val="FootnoteText"/>
    <w:uiPriority w:val="99"/>
    <w:rsid w:val="004A427B"/>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ody">
    <w:name w:val="Body"/>
    <w:rsid w:val="00343630"/>
    <w:pPr>
      <w:pBdr>
        <w:top w:val="nil"/>
        <w:left w:val="nil"/>
        <w:bottom w:val="nil"/>
        <w:right w:val="nil"/>
        <w:between w:val="nil"/>
        <w:bar w:val="nil"/>
      </w:pBdr>
      <w:spacing w:before="180" w:after="180" w:line="240" w:lineRule="atLeast"/>
    </w:pPr>
    <w:rPr>
      <w:rFonts w:ascii="Cambria" w:eastAsia="Cambria" w:hAnsi="Cambria" w:cs="Cambria"/>
      <w:color w:val="000000"/>
      <w:u w:color="000000"/>
      <w:bdr w:val="nil"/>
      <w:lang w:eastAsia="en-AU"/>
    </w:rPr>
  </w:style>
  <w:style w:type="paragraph" w:styleId="ListParagraph">
    <w:name w:val="List Paragraph"/>
    <w:uiPriority w:val="34"/>
    <w:qFormat/>
    <w:rsid w:val="00E91D82"/>
    <w:pPr>
      <w:pBdr>
        <w:top w:val="nil"/>
        <w:left w:val="nil"/>
        <w:bottom w:val="nil"/>
        <w:right w:val="nil"/>
        <w:between w:val="nil"/>
        <w:bar w:val="nil"/>
      </w:pBdr>
      <w:spacing w:before="180" w:after="180" w:line="240" w:lineRule="atLeast"/>
      <w:ind w:left="720"/>
    </w:pPr>
    <w:rPr>
      <w:rFonts w:ascii="Cambria" w:eastAsia="Cambria" w:hAnsi="Cambria" w:cs="Cambria"/>
      <w:color w:val="000000"/>
      <w:u w:color="000000"/>
      <w:bdr w:val="nil"/>
      <w:lang w:val="en-US" w:eastAsia="en-AU"/>
    </w:rPr>
  </w:style>
  <w:style w:type="numbering" w:customStyle="1" w:styleId="List31">
    <w:name w:val="List 31"/>
    <w:basedOn w:val="NoList"/>
    <w:rsid w:val="00E91D82"/>
    <w:pPr>
      <w:numPr>
        <w:numId w:val="6"/>
      </w:numPr>
    </w:pPr>
  </w:style>
  <w:style w:type="numbering" w:customStyle="1" w:styleId="List41">
    <w:name w:val="List 41"/>
    <w:basedOn w:val="NoList"/>
    <w:rsid w:val="006E428A"/>
    <w:pPr>
      <w:numPr>
        <w:numId w:val="7"/>
      </w:numPr>
    </w:pPr>
  </w:style>
  <w:style w:type="numbering" w:customStyle="1" w:styleId="List6">
    <w:name w:val="List 6"/>
    <w:basedOn w:val="NoList"/>
    <w:rsid w:val="00B849CE"/>
    <w:pPr>
      <w:numPr>
        <w:numId w:val="8"/>
      </w:numPr>
    </w:pPr>
  </w:style>
  <w:style w:type="numbering" w:customStyle="1" w:styleId="List7">
    <w:name w:val="List 7"/>
    <w:basedOn w:val="NoList"/>
    <w:rsid w:val="00B849CE"/>
    <w:pPr>
      <w:numPr>
        <w:numId w:val="9"/>
      </w:numPr>
    </w:pPr>
  </w:style>
  <w:style w:type="numbering" w:customStyle="1" w:styleId="List1">
    <w:name w:val="List 1"/>
    <w:basedOn w:val="NoList"/>
    <w:rsid w:val="00B849CE"/>
    <w:pPr>
      <w:numPr>
        <w:numId w:val="11"/>
      </w:numPr>
    </w:pPr>
  </w:style>
  <w:style w:type="numbering" w:customStyle="1" w:styleId="List21">
    <w:name w:val="List 21"/>
    <w:basedOn w:val="NoList"/>
    <w:rsid w:val="00B849CE"/>
    <w:pPr>
      <w:numPr>
        <w:numId w:val="12"/>
      </w:numPr>
    </w:pPr>
  </w:style>
  <w:style w:type="paragraph" w:customStyle="1" w:styleId="Bulletpoint">
    <w:name w:val="Bullet point"/>
    <w:basedOn w:val="Normal"/>
    <w:rsid w:val="004B7CB2"/>
    <w:pPr>
      <w:numPr>
        <w:numId w:val="1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4B7CB2"/>
    <w:pPr>
      <w:spacing w:before="0" w:after="200" w:line="252" w:lineRule="auto"/>
    </w:pPr>
    <w:rPr>
      <w:rFonts w:eastAsia="Times New Roman"/>
      <w:snapToGrid w:val="0"/>
      <w:kern w:val="16"/>
      <w:szCs w:val="24"/>
    </w:rPr>
  </w:style>
  <w:style w:type="character" w:customStyle="1" w:styleId="StandardChar">
    <w:name w:val="Standard Char"/>
    <w:basedOn w:val="DefaultParagraphFont"/>
    <w:link w:val="Standard"/>
    <w:rsid w:val="004B7CB2"/>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4B7CB2"/>
    <w:pPr>
      <w:keepNext/>
      <w:spacing w:after="110"/>
      <w:outlineLvl w:val="2"/>
    </w:pPr>
    <w:rPr>
      <w:b/>
      <w:i/>
    </w:rPr>
  </w:style>
  <w:style w:type="paragraph" w:customStyle="1" w:styleId="WhiteSpace">
    <w:name w:val="White Space"/>
    <w:basedOn w:val="Standard"/>
    <w:next w:val="Standard"/>
    <w:link w:val="WhiteSpaceChar"/>
    <w:rsid w:val="004B7CB2"/>
    <w:pPr>
      <w:spacing w:after="0"/>
    </w:pPr>
    <w:rPr>
      <w:sz w:val="16"/>
      <w:szCs w:val="16"/>
    </w:rPr>
  </w:style>
  <w:style w:type="character" w:customStyle="1" w:styleId="WhiteSpaceChar">
    <w:name w:val="White Space Char"/>
    <w:basedOn w:val="DefaultParagraphFont"/>
    <w:link w:val="WhiteSpace"/>
    <w:rsid w:val="004B7CB2"/>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4B7CB2"/>
    <w:pPr>
      <w:outlineLvl w:val="1"/>
    </w:pPr>
    <w:rPr>
      <w:i w:val="0"/>
    </w:rPr>
  </w:style>
  <w:style w:type="paragraph" w:customStyle="1" w:styleId="AssessmentSubsection2">
    <w:name w:val="Assessment Subsection 2"/>
    <w:basedOn w:val="AssessmentSubsection"/>
    <w:next w:val="Standard"/>
    <w:rsid w:val="004B7CB2"/>
    <w:pPr>
      <w:outlineLvl w:val="3"/>
    </w:pPr>
    <w:rPr>
      <w:b w:val="0"/>
    </w:rPr>
  </w:style>
  <w:style w:type="character" w:customStyle="1" w:styleId="TableTitleChar">
    <w:name w:val="Table Title Char"/>
    <w:basedOn w:val="DefaultParagraphFont"/>
    <w:link w:val="TableTitle"/>
    <w:rsid w:val="00FD7BCA"/>
    <w:rPr>
      <w:rFonts w:ascii="Cambria" w:eastAsia="Cambria" w:hAnsi="Cambria" w:cs="Times New Roman"/>
      <w:b/>
    </w:rPr>
  </w:style>
  <w:style w:type="character" w:customStyle="1" w:styleId="TabletextChar">
    <w:name w:val="Table text Char"/>
    <w:basedOn w:val="DefaultParagraphFont"/>
    <w:link w:val="Tabletext"/>
    <w:rsid w:val="00FD7BCA"/>
    <w:rPr>
      <w:rFonts w:ascii="Cambria" w:eastAsia="Cambria" w:hAnsi="Cambria" w:cs="Times New Roman"/>
      <w:sz w:val="19"/>
    </w:rPr>
  </w:style>
  <w:style w:type="paragraph" w:customStyle="1" w:styleId="TableHeader">
    <w:name w:val="Table Header"/>
    <w:basedOn w:val="Normal"/>
    <w:rsid w:val="00FD7BCA"/>
    <w:pPr>
      <w:keepNext/>
      <w:keepLines/>
      <w:widowControl w:val="0"/>
      <w:spacing w:before="60" w:after="60" w:line="200" w:lineRule="exact"/>
      <w:jc w:val="center"/>
    </w:pPr>
    <w:rPr>
      <w:rFonts w:eastAsia="Times New Roman"/>
      <w:b/>
      <w:snapToGrid w:val="0"/>
      <w:kern w:val="2"/>
      <w:sz w:val="19"/>
      <w:szCs w:val="19"/>
    </w:rPr>
  </w:style>
  <w:style w:type="paragraph" w:customStyle="1" w:styleId="TabletextPKvalues">
    <w:name w:val="Table text (PK values)"/>
    <w:basedOn w:val="Tabletext"/>
    <w:rsid w:val="00FD7BCA"/>
    <w:pPr>
      <w:spacing w:before="0" w:after="0" w:line="200" w:lineRule="atLeast"/>
      <w:jc w:val="center"/>
    </w:pPr>
    <w:rPr>
      <w:rFonts w:eastAsia="Times New Roman"/>
      <w:snapToGrid w:val="0"/>
      <w:kern w:val="16"/>
      <w:sz w:val="18"/>
      <w:szCs w:val="19"/>
    </w:rPr>
  </w:style>
  <w:style w:type="character" w:customStyle="1" w:styleId="st1">
    <w:name w:val="st1"/>
    <w:basedOn w:val="DefaultParagraphFont"/>
    <w:rsid w:val="00761486"/>
  </w:style>
  <w:style w:type="paragraph" w:customStyle="1" w:styleId="Tabletitle0">
    <w:name w:val="Table title"/>
    <w:basedOn w:val="Normal"/>
    <w:next w:val="Normal"/>
    <w:rsid w:val="00E37EB9"/>
    <w:pPr>
      <w:keepNext/>
      <w:spacing w:after="180"/>
      <w:outlineLvl w:val="4"/>
    </w:pPr>
    <w:rPr>
      <w:rFonts w:cstheme="minorBidi"/>
      <w:b/>
    </w:rPr>
  </w:style>
  <w:style w:type="paragraph" w:customStyle="1" w:styleId="Default">
    <w:name w:val="Default"/>
    <w:rsid w:val="00E60BB8"/>
    <w:pPr>
      <w:autoSpaceDE w:val="0"/>
      <w:autoSpaceDN w:val="0"/>
      <w:adjustRightInd w:val="0"/>
      <w:spacing w:after="0" w:line="240" w:lineRule="auto"/>
    </w:pPr>
    <w:rPr>
      <w:rFonts w:ascii="Cambria" w:hAnsi="Cambria" w:cs="Cambria"/>
      <w:color w:val="000000"/>
      <w:sz w:val="24"/>
      <w:szCs w:val="24"/>
    </w:rPr>
  </w:style>
  <w:style w:type="table" w:customStyle="1" w:styleId="TableTGAblue1">
    <w:name w:val="Table TGA blue1"/>
    <w:basedOn w:val="TableNormal"/>
    <w:uiPriority w:val="99"/>
    <w:qFormat/>
    <w:rsid w:val="002F13B9"/>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styleId="Emphasis">
    <w:name w:val="Emphasis"/>
    <w:basedOn w:val="DefaultParagraphFont"/>
    <w:uiPriority w:val="20"/>
    <w:qFormat/>
    <w:rsid w:val="00251DE5"/>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B012D"/>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FB012D"/>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B3B16"/>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8B3B16"/>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8B3B16"/>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8B3B16"/>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4A427B"/>
    <w:pPr>
      <w:spacing w:before="0" w:after="0" w:line="240" w:lineRule="auto"/>
    </w:pPr>
    <w:rPr>
      <w:sz w:val="18"/>
      <w:szCs w:val="20"/>
    </w:rPr>
  </w:style>
  <w:style w:type="character" w:customStyle="1" w:styleId="FootnoteTextChar">
    <w:name w:val="Footnote Text Char"/>
    <w:basedOn w:val="DefaultParagraphFont"/>
    <w:link w:val="FootnoteText"/>
    <w:uiPriority w:val="99"/>
    <w:rsid w:val="004A427B"/>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Body">
    <w:name w:val="Body"/>
    <w:rsid w:val="00343630"/>
    <w:pPr>
      <w:pBdr>
        <w:top w:val="nil"/>
        <w:left w:val="nil"/>
        <w:bottom w:val="nil"/>
        <w:right w:val="nil"/>
        <w:between w:val="nil"/>
        <w:bar w:val="nil"/>
      </w:pBdr>
      <w:spacing w:before="180" w:after="180" w:line="240" w:lineRule="atLeast"/>
    </w:pPr>
    <w:rPr>
      <w:rFonts w:ascii="Cambria" w:eastAsia="Cambria" w:hAnsi="Cambria" w:cs="Cambria"/>
      <w:color w:val="000000"/>
      <w:u w:color="000000"/>
      <w:bdr w:val="nil"/>
      <w:lang w:eastAsia="en-AU"/>
    </w:rPr>
  </w:style>
  <w:style w:type="paragraph" w:styleId="ListParagraph">
    <w:name w:val="List Paragraph"/>
    <w:uiPriority w:val="34"/>
    <w:qFormat/>
    <w:rsid w:val="00E91D82"/>
    <w:pPr>
      <w:pBdr>
        <w:top w:val="nil"/>
        <w:left w:val="nil"/>
        <w:bottom w:val="nil"/>
        <w:right w:val="nil"/>
        <w:between w:val="nil"/>
        <w:bar w:val="nil"/>
      </w:pBdr>
      <w:spacing w:before="180" w:after="180" w:line="240" w:lineRule="atLeast"/>
      <w:ind w:left="720"/>
    </w:pPr>
    <w:rPr>
      <w:rFonts w:ascii="Cambria" w:eastAsia="Cambria" w:hAnsi="Cambria" w:cs="Cambria"/>
      <w:color w:val="000000"/>
      <w:u w:color="000000"/>
      <w:bdr w:val="nil"/>
      <w:lang w:val="en-US" w:eastAsia="en-AU"/>
    </w:rPr>
  </w:style>
  <w:style w:type="numbering" w:customStyle="1" w:styleId="List31">
    <w:name w:val="List 31"/>
    <w:basedOn w:val="NoList"/>
    <w:rsid w:val="00E91D82"/>
    <w:pPr>
      <w:numPr>
        <w:numId w:val="6"/>
      </w:numPr>
    </w:pPr>
  </w:style>
  <w:style w:type="numbering" w:customStyle="1" w:styleId="List41">
    <w:name w:val="List 41"/>
    <w:basedOn w:val="NoList"/>
    <w:rsid w:val="006E428A"/>
    <w:pPr>
      <w:numPr>
        <w:numId w:val="7"/>
      </w:numPr>
    </w:pPr>
  </w:style>
  <w:style w:type="numbering" w:customStyle="1" w:styleId="List6">
    <w:name w:val="List 6"/>
    <w:basedOn w:val="NoList"/>
    <w:rsid w:val="00B849CE"/>
    <w:pPr>
      <w:numPr>
        <w:numId w:val="8"/>
      </w:numPr>
    </w:pPr>
  </w:style>
  <w:style w:type="numbering" w:customStyle="1" w:styleId="List7">
    <w:name w:val="List 7"/>
    <w:basedOn w:val="NoList"/>
    <w:rsid w:val="00B849CE"/>
    <w:pPr>
      <w:numPr>
        <w:numId w:val="9"/>
      </w:numPr>
    </w:pPr>
  </w:style>
  <w:style w:type="numbering" w:customStyle="1" w:styleId="List1">
    <w:name w:val="List 1"/>
    <w:basedOn w:val="NoList"/>
    <w:rsid w:val="00B849CE"/>
    <w:pPr>
      <w:numPr>
        <w:numId w:val="11"/>
      </w:numPr>
    </w:pPr>
  </w:style>
  <w:style w:type="numbering" w:customStyle="1" w:styleId="List21">
    <w:name w:val="List 21"/>
    <w:basedOn w:val="NoList"/>
    <w:rsid w:val="00B849CE"/>
    <w:pPr>
      <w:numPr>
        <w:numId w:val="12"/>
      </w:numPr>
    </w:pPr>
  </w:style>
  <w:style w:type="paragraph" w:customStyle="1" w:styleId="Bulletpoint">
    <w:name w:val="Bullet point"/>
    <w:basedOn w:val="Normal"/>
    <w:rsid w:val="004B7CB2"/>
    <w:pPr>
      <w:numPr>
        <w:numId w:val="15"/>
      </w:numPr>
      <w:tabs>
        <w:tab w:val="clear" w:pos="369"/>
        <w:tab w:val="left" w:pos="397"/>
        <w:tab w:val="num" w:pos="511"/>
      </w:tabs>
      <w:spacing w:before="0" w:after="180" w:line="252" w:lineRule="auto"/>
    </w:pPr>
    <w:rPr>
      <w:rFonts w:eastAsia="Times New Roman"/>
      <w:snapToGrid w:val="0"/>
      <w:kern w:val="16"/>
      <w:szCs w:val="24"/>
    </w:rPr>
  </w:style>
  <w:style w:type="paragraph" w:customStyle="1" w:styleId="Standard">
    <w:name w:val="Standard"/>
    <w:basedOn w:val="Normal"/>
    <w:link w:val="StandardChar"/>
    <w:qFormat/>
    <w:rsid w:val="004B7CB2"/>
    <w:pPr>
      <w:spacing w:before="0" w:after="200" w:line="252" w:lineRule="auto"/>
    </w:pPr>
    <w:rPr>
      <w:rFonts w:eastAsia="Times New Roman"/>
      <w:snapToGrid w:val="0"/>
      <w:kern w:val="16"/>
      <w:szCs w:val="24"/>
    </w:rPr>
  </w:style>
  <w:style w:type="character" w:customStyle="1" w:styleId="StandardChar">
    <w:name w:val="Standard Char"/>
    <w:basedOn w:val="DefaultParagraphFont"/>
    <w:link w:val="Standard"/>
    <w:rsid w:val="004B7CB2"/>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4B7CB2"/>
    <w:pPr>
      <w:keepNext/>
      <w:spacing w:after="110"/>
      <w:outlineLvl w:val="2"/>
    </w:pPr>
    <w:rPr>
      <w:b/>
      <w:i/>
    </w:rPr>
  </w:style>
  <w:style w:type="paragraph" w:customStyle="1" w:styleId="WhiteSpace">
    <w:name w:val="White Space"/>
    <w:basedOn w:val="Standard"/>
    <w:next w:val="Standard"/>
    <w:link w:val="WhiteSpaceChar"/>
    <w:rsid w:val="004B7CB2"/>
    <w:pPr>
      <w:spacing w:after="0"/>
    </w:pPr>
    <w:rPr>
      <w:sz w:val="16"/>
      <w:szCs w:val="16"/>
    </w:rPr>
  </w:style>
  <w:style w:type="character" w:customStyle="1" w:styleId="WhiteSpaceChar">
    <w:name w:val="White Space Char"/>
    <w:basedOn w:val="DefaultParagraphFont"/>
    <w:link w:val="WhiteSpace"/>
    <w:rsid w:val="004B7CB2"/>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4B7CB2"/>
    <w:pPr>
      <w:outlineLvl w:val="1"/>
    </w:pPr>
    <w:rPr>
      <w:i w:val="0"/>
    </w:rPr>
  </w:style>
  <w:style w:type="paragraph" w:customStyle="1" w:styleId="AssessmentSubsection2">
    <w:name w:val="Assessment Subsection 2"/>
    <w:basedOn w:val="AssessmentSubsection"/>
    <w:next w:val="Standard"/>
    <w:rsid w:val="004B7CB2"/>
    <w:pPr>
      <w:outlineLvl w:val="3"/>
    </w:pPr>
    <w:rPr>
      <w:b w:val="0"/>
    </w:rPr>
  </w:style>
  <w:style w:type="character" w:customStyle="1" w:styleId="TableTitleChar">
    <w:name w:val="Table Title Char"/>
    <w:basedOn w:val="DefaultParagraphFont"/>
    <w:link w:val="TableTitle"/>
    <w:rsid w:val="00FD7BCA"/>
    <w:rPr>
      <w:rFonts w:ascii="Cambria" w:eastAsia="Cambria" w:hAnsi="Cambria" w:cs="Times New Roman"/>
      <w:b/>
    </w:rPr>
  </w:style>
  <w:style w:type="character" w:customStyle="1" w:styleId="TabletextChar">
    <w:name w:val="Table text Char"/>
    <w:basedOn w:val="DefaultParagraphFont"/>
    <w:link w:val="Tabletext"/>
    <w:rsid w:val="00FD7BCA"/>
    <w:rPr>
      <w:rFonts w:ascii="Cambria" w:eastAsia="Cambria" w:hAnsi="Cambria" w:cs="Times New Roman"/>
      <w:sz w:val="19"/>
    </w:rPr>
  </w:style>
  <w:style w:type="paragraph" w:customStyle="1" w:styleId="TableHeader">
    <w:name w:val="Table Header"/>
    <w:basedOn w:val="Normal"/>
    <w:rsid w:val="00FD7BCA"/>
    <w:pPr>
      <w:keepNext/>
      <w:keepLines/>
      <w:widowControl w:val="0"/>
      <w:spacing w:before="60" w:after="60" w:line="200" w:lineRule="exact"/>
      <w:jc w:val="center"/>
    </w:pPr>
    <w:rPr>
      <w:rFonts w:eastAsia="Times New Roman"/>
      <w:b/>
      <w:snapToGrid w:val="0"/>
      <w:kern w:val="2"/>
      <w:sz w:val="19"/>
      <w:szCs w:val="19"/>
    </w:rPr>
  </w:style>
  <w:style w:type="paragraph" w:customStyle="1" w:styleId="TabletextPKvalues">
    <w:name w:val="Table text (PK values)"/>
    <w:basedOn w:val="Tabletext"/>
    <w:rsid w:val="00FD7BCA"/>
    <w:pPr>
      <w:spacing w:before="0" w:after="0" w:line="200" w:lineRule="atLeast"/>
      <w:jc w:val="center"/>
    </w:pPr>
    <w:rPr>
      <w:rFonts w:eastAsia="Times New Roman"/>
      <w:snapToGrid w:val="0"/>
      <w:kern w:val="16"/>
      <w:sz w:val="18"/>
      <w:szCs w:val="19"/>
    </w:rPr>
  </w:style>
  <w:style w:type="character" w:customStyle="1" w:styleId="st1">
    <w:name w:val="st1"/>
    <w:basedOn w:val="DefaultParagraphFont"/>
    <w:rsid w:val="00761486"/>
  </w:style>
  <w:style w:type="paragraph" w:customStyle="1" w:styleId="Tabletitle0">
    <w:name w:val="Table title"/>
    <w:basedOn w:val="Normal"/>
    <w:next w:val="Normal"/>
    <w:rsid w:val="00E37EB9"/>
    <w:pPr>
      <w:keepNext/>
      <w:spacing w:after="180"/>
      <w:outlineLvl w:val="4"/>
    </w:pPr>
    <w:rPr>
      <w:rFonts w:cstheme="minorBidi"/>
      <w:b/>
    </w:rPr>
  </w:style>
  <w:style w:type="paragraph" w:customStyle="1" w:styleId="Default">
    <w:name w:val="Default"/>
    <w:rsid w:val="00E60BB8"/>
    <w:pPr>
      <w:autoSpaceDE w:val="0"/>
      <w:autoSpaceDN w:val="0"/>
      <w:adjustRightInd w:val="0"/>
      <w:spacing w:after="0" w:line="240" w:lineRule="auto"/>
    </w:pPr>
    <w:rPr>
      <w:rFonts w:ascii="Cambria" w:hAnsi="Cambria" w:cs="Cambria"/>
      <w:color w:val="000000"/>
      <w:sz w:val="24"/>
      <w:szCs w:val="24"/>
    </w:rPr>
  </w:style>
  <w:style w:type="table" w:customStyle="1" w:styleId="TableTGAblue1">
    <w:name w:val="Table TGA blue1"/>
    <w:basedOn w:val="TableNormal"/>
    <w:uiPriority w:val="99"/>
    <w:qFormat/>
    <w:rsid w:val="002F13B9"/>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styleId="Emphasis">
    <w:name w:val="Emphasis"/>
    <w:basedOn w:val="DefaultParagraphFont"/>
    <w:uiPriority w:val="20"/>
    <w:qFormat/>
    <w:rsid w:val="00251DE5"/>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862295">
      <w:bodyDiv w:val="1"/>
      <w:marLeft w:val="0"/>
      <w:marRight w:val="0"/>
      <w:marTop w:val="0"/>
      <w:marBottom w:val="0"/>
      <w:divBdr>
        <w:top w:val="none" w:sz="0" w:space="0" w:color="auto"/>
        <w:left w:val="none" w:sz="0" w:space="0" w:color="auto"/>
        <w:bottom w:val="none" w:sz="0" w:space="0" w:color="auto"/>
        <w:right w:val="none" w:sz="0" w:space="0" w:color="auto"/>
      </w:divBdr>
    </w:div>
    <w:div w:id="800927625">
      <w:bodyDiv w:val="1"/>
      <w:marLeft w:val="0"/>
      <w:marRight w:val="0"/>
      <w:marTop w:val="0"/>
      <w:marBottom w:val="0"/>
      <w:divBdr>
        <w:top w:val="none" w:sz="0" w:space="0" w:color="auto"/>
        <w:left w:val="none" w:sz="0" w:space="0" w:color="auto"/>
        <w:bottom w:val="none" w:sz="0" w:space="0" w:color="auto"/>
        <w:right w:val="none" w:sz="0" w:space="0" w:color="auto"/>
      </w:divBdr>
    </w:div>
    <w:div w:id="1009714411">
      <w:bodyDiv w:val="1"/>
      <w:marLeft w:val="0"/>
      <w:marRight w:val="0"/>
      <w:marTop w:val="0"/>
      <w:marBottom w:val="0"/>
      <w:divBdr>
        <w:top w:val="none" w:sz="0" w:space="0" w:color="auto"/>
        <w:left w:val="none" w:sz="0" w:space="0" w:color="auto"/>
        <w:bottom w:val="none" w:sz="0" w:space="0" w:color="auto"/>
        <w:right w:val="none" w:sz="0" w:space="0" w:color="auto"/>
      </w:divBdr>
    </w:div>
    <w:div w:id="1026296231">
      <w:bodyDiv w:val="1"/>
      <w:marLeft w:val="0"/>
      <w:marRight w:val="0"/>
      <w:marTop w:val="0"/>
      <w:marBottom w:val="0"/>
      <w:divBdr>
        <w:top w:val="none" w:sz="0" w:space="0" w:color="auto"/>
        <w:left w:val="none" w:sz="0" w:space="0" w:color="auto"/>
        <w:bottom w:val="none" w:sz="0" w:space="0" w:color="auto"/>
        <w:right w:val="none" w:sz="0" w:space="0" w:color="auto"/>
      </w:divBdr>
    </w:div>
    <w:div w:id="1073967543">
      <w:bodyDiv w:val="1"/>
      <w:marLeft w:val="0"/>
      <w:marRight w:val="0"/>
      <w:marTop w:val="0"/>
      <w:marBottom w:val="0"/>
      <w:divBdr>
        <w:top w:val="none" w:sz="0" w:space="0" w:color="auto"/>
        <w:left w:val="none" w:sz="0" w:space="0" w:color="auto"/>
        <w:bottom w:val="none" w:sz="0" w:space="0" w:color="auto"/>
        <w:right w:val="none" w:sz="0" w:space="0" w:color="auto"/>
      </w:divBdr>
    </w:div>
    <w:div w:id="1667592657">
      <w:bodyDiv w:val="1"/>
      <w:marLeft w:val="0"/>
      <w:marRight w:val="0"/>
      <w:marTop w:val="0"/>
      <w:marBottom w:val="0"/>
      <w:divBdr>
        <w:top w:val="none" w:sz="0" w:space="0" w:color="auto"/>
        <w:left w:val="none" w:sz="0" w:space="0" w:color="auto"/>
        <w:bottom w:val="none" w:sz="0" w:space="0" w:color="auto"/>
        <w:right w:val="none" w:sz="0" w:space="0" w:color="auto"/>
      </w:divBdr>
      <w:divsChild>
        <w:div w:id="1533809197">
          <w:marLeft w:val="0"/>
          <w:marRight w:val="0"/>
          <w:marTop w:val="0"/>
          <w:marBottom w:val="0"/>
          <w:divBdr>
            <w:top w:val="none" w:sz="0" w:space="0" w:color="auto"/>
            <w:left w:val="none" w:sz="0" w:space="0" w:color="auto"/>
            <w:bottom w:val="none" w:sz="0" w:space="0" w:color="auto"/>
            <w:right w:val="none" w:sz="0" w:space="0" w:color="auto"/>
          </w:divBdr>
          <w:divsChild>
            <w:div w:id="1714429466">
              <w:marLeft w:val="0"/>
              <w:marRight w:val="0"/>
              <w:marTop w:val="0"/>
              <w:marBottom w:val="0"/>
              <w:divBdr>
                <w:top w:val="none" w:sz="0" w:space="0" w:color="auto"/>
                <w:left w:val="none" w:sz="0" w:space="0" w:color="auto"/>
                <w:bottom w:val="none" w:sz="0" w:space="0" w:color="auto"/>
                <w:right w:val="none" w:sz="0" w:space="0" w:color="auto"/>
              </w:divBdr>
              <w:divsChild>
                <w:div w:id="91900762">
                  <w:marLeft w:val="0"/>
                  <w:marRight w:val="0"/>
                  <w:marTop w:val="0"/>
                  <w:marBottom w:val="0"/>
                  <w:divBdr>
                    <w:top w:val="none" w:sz="0" w:space="0" w:color="auto"/>
                    <w:left w:val="none" w:sz="0" w:space="0" w:color="auto"/>
                    <w:bottom w:val="none" w:sz="0" w:space="0" w:color="auto"/>
                    <w:right w:val="none" w:sz="0" w:space="0" w:color="auto"/>
                  </w:divBdr>
                  <w:divsChild>
                    <w:div w:id="1841192580">
                      <w:marLeft w:val="0"/>
                      <w:marRight w:val="0"/>
                      <w:marTop w:val="0"/>
                      <w:marBottom w:val="0"/>
                      <w:divBdr>
                        <w:top w:val="none" w:sz="0" w:space="0" w:color="auto"/>
                        <w:left w:val="none" w:sz="0" w:space="0" w:color="auto"/>
                        <w:bottom w:val="none" w:sz="0" w:space="0" w:color="auto"/>
                        <w:right w:val="none" w:sz="0" w:space="0" w:color="auto"/>
                      </w:divBdr>
                      <w:divsChild>
                        <w:div w:id="1402632153">
                          <w:marLeft w:val="0"/>
                          <w:marRight w:val="0"/>
                          <w:marTop w:val="0"/>
                          <w:marBottom w:val="0"/>
                          <w:divBdr>
                            <w:top w:val="none" w:sz="0" w:space="0" w:color="auto"/>
                            <w:left w:val="none" w:sz="0" w:space="0" w:color="auto"/>
                            <w:bottom w:val="none" w:sz="0" w:space="0" w:color="auto"/>
                            <w:right w:val="none" w:sz="0" w:space="0" w:color="auto"/>
                          </w:divBdr>
                          <w:divsChild>
                            <w:div w:id="4807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34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microsoft.com/office/2007/relationships/hdphoto" Target="media/hdphoto1.wdp"/><Relationship Id="rId34" Type="http://schemas.openxmlformats.org/officeDocument/2006/relationships/image" Target="media/image21.png"/><Relationship Id="rId42" Type="http://schemas.openxmlformats.org/officeDocument/2006/relationships/header" Target="header3.xml"/><Relationship Id="rId47" Type="http://schemas.openxmlformats.org/officeDocument/2006/relationships/hyperlink" Target="https://www.tga.gov.au" TargetMode="Externa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mailto:info@tga.gov.au" TargetMode="External"/><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yperlink" Target="https://www.tga.gov.au/product-information-pi"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2.xml"/><Relationship Id="rId53" Type="http://schemas.openxmlformats.org/officeDocument/2006/relationships/fontTable" Target="fontTable.xml"/><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eader" Target="header5.xml"/><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4.xml"/><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eader" Target="header8.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136\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EE00D-4291-4B2D-A30C-FFCB9CAB7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79</TotalTime>
  <Pages>92</Pages>
  <Words>31020</Words>
  <Characters>176816</Characters>
  <Application>Microsoft Office Word</Application>
  <DocSecurity>0</DocSecurity>
  <Lines>1473</Lines>
  <Paragraphs>414</Paragraphs>
  <ScaleCrop>false</ScaleCrop>
  <HeadingPairs>
    <vt:vector size="2" baseType="variant">
      <vt:variant>
        <vt:lpstr>Title</vt:lpstr>
      </vt:variant>
      <vt:variant>
        <vt:i4>1</vt:i4>
      </vt:variant>
    </vt:vector>
  </HeadingPairs>
  <TitlesOfParts>
    <vt:vector size="1" baseType="lpstr">
      <vt:lpstr>Australian Public Assessment Report for lumacaftor ivacaftor</vt:lpstr>
    </vt:vector>
  </TitlesOfParts>
  <Company>Department of Health Therapeutic Goods Administration</Company>
  <LinksUpToDate>false</LinksUpToDate>
  <CharactersWithSpaces>207422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lumacaftor ivacaftor</dc:title>
  <dc:subject>Prescription medicines</dc:subject>
  <dc:creator>Therapeutic Goods Administration</dc:creator>
  <cp:keywords>AusPARS</cp:keywords>
  <cp:lastModifiedBy>Sheppard, Fran</cp:lastModifiedBy>
  <cp:revision>23</cp:revision>
  <cp:lastPrinted>2016-07-28T06:24:00Z</cp:lastPrinted>
  <dcterms:created xsi:type="dcterms:W3CDTF">2016-09-08T06:48:00Z</dcterms:created>
  <dcterms:modified xsi:type="dcterms:W3CDTF">2016-09-20T22:25:00Z</dcterms:modified>
  <cp:category>external publication</cp:category>
</cp:coreProperties>
</file>