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6B1" w:rsidRPr="00584AC5" w:rsidRDefault="00F516B1" w:rsidP="00F516B1">
      <w:pPr>
        <w:rPr>
          <w:rFonts w:ascii="Times New Roman Bold" w:eastAsia="Times New Roman Bold"/>
          <w:b/>
          <w:caps/>
          <w:sz w:val="22"/>
          <w:szCs w:val="22"/>
        </w:rPr>
      </w:pPr>
      <w:r w:rsidRPr="00584AC5">
        <w:rPr>
          <w:rFonts w:ascii="Times New Roman Bold" w:eastAsia="Times New Roman Bold"/>
          <w:b/>
          <w:caps/>
          <w:sz w:val="22"/>
          <w:szCs w:val="22"/>
        </w:rPr>
        <w:t>Product Information</w:t>
      </w:r>
    </w:p>
    <w:p w:rsidR="00F516B1" w:rsidRPr="00584AC5" w:rsidRDefault="00606C30" w:rsidP="00F516B1">
      <w:pPr>
        <w:rPr>
          <w:sz w:val="22"/>
          <w:szCs w:val="22"/>
        </w:rPr>
      </w:pPr>
      <w:r w:rsidRPr="00584AC5">
        <w:rPr>
          <w:b/>
          <w:sz w:val="22"/>
          <w:szCs w:val="22"/>
        </w:rPr>
        <w:t>ORKAMBI</w:t>
      </w:r>
      <w:r w:rsidR="009C3F30" w:rsidRPr="00584AC5">
        <w:rPr>
          <w:rFonts w:ascii="Times New Roman Bold" w:hAnsi="Times New Roman Bold"/>
          <w:b/>
          <w:position w:val="6"/>
          <w:sz w:val="16"/>
          <w:szCs w:val="22"/>
        </w:rPr>
        <w:t>™</w:t>
      </w:r>
      <w:r w:rsidR="00D0485A" w:rsidRPr="00584AC5">
        <w:rPr>
          <w:rFonts w:ascii="Times New Roman Bold" w:hAnsi="Times New Roman Bold"/>
          <w:b/>
          <w:position w:val="6"/>
          <w:sz w:val="16"/>
          <w:szCs w:val="22"/>
        </w:rPr>
        <w:t xml:space="preserve"> </w:t>
      </w:r>
      <w:r w:rsidR="00D0485A" w:rsidRPr="00584AC5">
        <w:rPr>
          <w:b/>
          <w:sz w:val="22"/>
          <w:szCs w:val="22"/>
        </w:rPr>
        <w:t>200/125</w:t>
      </w:r>
    </w:p>
    <w:p w:rsidR="00875EE7" w:rsidRPr="00584AC5" w:rsidRDefault="00875EE7" w:rsidP="00CF0B2B">
      <w:pPr>
        <w:rPr>
          <w:b/>
          <w:sz w:val="22"/>
          <w:szCs w:val="22"/>
        </w:rPr>
      </w:pPr>
      <w:r w:rsidRPr="00584AC5">
        <w:rPr>
          <w:b/>
          <w:sz w:val="22"/>
          <w:szCs w:val="22"/>
        </w:rPr>
        <w:t>(</w:t>
      </w:r>
      <w:proofErr w:type="spellStart"/>
      <w:proofErr w:type="gramStart"/>
      <w:r w:rsidR="001A509A" w:rsidRPr="00584AC5">
        <w:rPr>
          <w:b/>
          <w:sz w:val="22"/>
          <w:szCs w:val="22"/>
        </w:rPr>
        <w:t>lumacaftor</w:t>
      </w:r>
      <w:proofErr w:type="spellEnd"/>
      <w:proofErr w:type="gramEnd"/>
      <w:r w:rsidR="00822BF8" w:rsidRPr="00584AC5">
        <w:rPr>
          <w:b/>
          <w:sz w:val="22"/>
          <w:szCs w:val="22"/>
        </w:rPr>
        <w:t xml:space="preserve"> 200</w:t>
      </w:r>
      <w:r w:rsidR="00CC530D" w:rsidRPr="00584AC5">
        <w:rPr>
          <w:b/>
          <w:sz w:val="22"/>
          <w:szCs w:val="22"/>
        </w:rPr>
        <w:t> </w:t>
      </w:r>
      <w:r w:rsidR="00822BF8" w:rsidRPr="00584AC5">
        <w:rPr>
          <w:b/>
          <w:sz w:val="22"/>
          <w:szCs w:val="22"/>
        </w:rPr>
        <w:t xml:space="preserve">mg and </w:t>
      </w:r>
      <w:proofErr w:type="spellStart"/>
      <w:r w:rsidRPr="00584AC5">
        <w:rPr>
          <w:b/>
          <w:sz w:val="22"/>
          <w:szCs w:val="22"/>
        </w:rPr>
        <w:t>ivacaftor</w:t>
      </w:r>
      <w:proofErr w:type="spellEnd"/>
      <w:r w:rsidR="00822BF8" w:rsidRPr="00584AC5">
        <w:rPr>
          <w:b/>
          <w:sz w:val="22"/>
          <w:szCs w:val="22"/>
        </w:rPr>
        <w:t xml:space="preserve"> 125</w:t>
      </w:r>
      <w:r w:rsidR="00CC530D" w:rsidRPr="00584AC5">
        <w:rPr>
          <w:b/>
          <w:sz w:val="22"/>
          <w:szCs w:val="22"/>
        </w:rPr>
        <w:t> </w:t>
      </w:r>
      <w:r w:rsidR="00822BF8" w:rsidRPr="00584AC5">
        <w:rPr>
          <w:b/>
          <w:sz w:val="22"/>
          <w:szCs w:val="22"/>
        </w:rPr>
        <w:t>mg</w:t>
      </w:r>
      <w:r w:rsidRPr="00584AC5">
        <w:rPr>
          <w:b/>
          <w:sz w:val="22"/>
          <w:szCs w:val="22"/>
        </w:rPr>
        <w:t>)</w:t>
      </w:r>
    </w:p>
    <w:p w:rsidR="00875EE7" w:rsidRPr="00584AC5" w:rsidRDefault="00875EE7" w:rsidP="00EA6031">
      <w:pPr>
        <w:rPr>
          <w:sz w:val="22"/>
          <w:szCs w:val="22"/>
        </w:rPr>
      </w:pPr>
    </w:p>
    <w:p w:rsidR="00875EE7" w:rsidRPr="00584AC5" w:rsidRDefault="00875EE7" w:rsidP="00867ACE">
      <w:pPr>
        <w:rPr>
          <w:b/>
          <w:sz w:val="22"/>
          <w:szCs w:val="22"/>
        </w:rPr>
      </w:pPr>
      <w:r w:rsidRPr="00584AC5">
        <w:rPr>
          <w:b/>
          <w:sz w:val="22"/>
          <w:szCs w:val="22"/>
        </w:rPr>
        <w:t>NAME OF THE MEDICINE</w:t>
      </w:r>
    </w:p>
    <w:p w:rsidR="00875EE7" w:rsidRPr="00584AC5" w:rsidRDefault="00875EE7" w:rsidP="00867ACE">
      <w:pPr>
        <w:rPr>
          <w:sz w:val="22"/>
          <w:szCs w:val="22"/>
        </w:rPr>
      </w:pPr>
    </w:p>
    <w:p w:rsidR="00863FC8" w:rsidRPr="00584AC5" w:rsidRDefault="00A314C9" w:rsidP="00ED2C6C">
      <w:pPr>
        <w:widowControl w:val="0"/>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584AC5">
        <w:rPr>
          <w:sz w:val="22"/>
          <w:szCs w:val="22"/>
        </w:rPr>
        <w:t xml:space="preserve">The active ingredients in </w:t>
      </w:r>
      <w:r w:rsidR="00606C30" w:rsidRPr="00584AC5">
        <w:rPr>
          <w:sz w:val="22"/>
          <w:szCs w:val="22"/>
        </w:rPr>
        <w:t>ORKAMBI</w:t>
      </w:r>
      <w:r w:rsidR="002C12D4" w:rsidRPr="00584AC5">
        <w:rPr>
          <w:sz w:val="22"/>
          <w:szCs w:val="22"/>
        </w:rPr>
        <w:t> </w:t>
      </w:r>
      <w:r w:rsidR="005774A4" w:rsidRPr="00584AC5">
        <w:rPr>
          <w:sz w:val="22"/>
          <w:szCs w:val="22"/>
        </w:rPr>
        <w:t xml:space="preserve">200/125 </w:t>
      </w:r>
      <w:r w:rsidRPr="00584AC5">
        <w:rPr>
          <w:sz w:val="22"/>
          <w:szCs w:val="22"/>
        </w:rPr>
        <w:t xml:space="preserve">tablets are </w:t>
      </w:r>
      <w:proofErr w:type="spellStart"/>
      <w:r w:rsidRPr="00584AC5">
        <w:rPr>
          <w:sz w:val="22"/>
          <w:szCs w:val="22"/>
        </w:rPr>
        <w:t>lumacaftor</w:t>
      </w:r>
      <w:proofErr w:type="spellEnd"/>
      <w:r w:rsidRPr="00584AC5">
        <w:rPr>
          <w:sz w:val="22"/>
          <w:szCs w:val="22"/>
        </w:rPr>
        <w:t xml:space="preserve">, which has the following chemical name: 3-[6-({[1-(2,2-difluoro-1,3-benzodioxol-5-yl)cyclopropyl]carbonyl}amino)-3-methylpyridin-2-yl]benzoic acid, and </w:t>
      </w:r>
      <w:proofErr w:type="spellStart"/>
      <w:r w:rsidRPr="00584AC5">
        <w:rPr>
          <w:sz w:val="22"/>
          <w:szCs w:val="22"/>
        </w:rPr>
        <w:t>ivacaftor</w:t>
      </w:r>
      <w:proofErr w:type="spellEnd"/>
      <w:r w:rsidRPr="00584AC5">
        <w:rPr>
          <w:sz w:val="22"/>
          <w:szCs w:val="22"/>
        </w:rPr>
        <w:t xml:space="preserve">, which has the following chemical name: </w:t>
      </w:r>
      <w:r w:rsidRPr="00584AC5">
        <w:rPr>
          <w:i/>
          <w:sz w:val="22"/>
          <w:szCs w:val="22"/>
        </w:rPr>
        <w:t>N</w:t>
      </w:r>
      <w:r w:rsidRPr="00584AC5">
        <w:rPr>
          <w:sz w:val="22"/>
          <w:szCs w:val="22"/>
        </w:rPr>
        <w:noBreakHyphen/>
        <w:t>(2,4-di-tert-butyl</w:t>
      </w:r>
      <w:r w:rsidRPr="00584AC5">
        <w:rPr>
          <w:sz w:val="22"/>
          <w:szCs w:val="22"/>
        </w:rPr>
        <w:noBreakHyphen/>
        <w:t>5</w:t>
      </w:r>
      <w:r w:rsidRPr="00584AC5">
        <w:rPr>
          <w:sz w:val="22"/>
          <w:szCs w:val="22"/>
        </w:rPr>
        <w:noBreakHyphen/>
        <w:t>hydroxyphenyl)-1,4-dihydro</w:t>
      </w:r>
      <w:r w:rsidRPr="00584AC5">
        <w:rPr>
          <w:sz w:val="22"/>
          <w:szCs w:val="22"/>
        </w:rPr>
        <w:noBreakHyphen/>
        <w:t>4</w:t>
      </w:r>
      <w:r w:rsidRPr="00584AC5">
        <w:rPr>
          <w:sz w:val="22"/>
          <w:szCs w:val="22"/>
        </w:rPr>
        <w:noBreakHyphen/>
        <w:t>oxoquinoline</w:t>
      </w:r>
      <w:r w:rsidRPr="00584AC5">
        <w:rPr>
          <w:sz w:val="22"/>
          <w:szCs w:val="22"/>
        </w:rPr>
        <w:noBreakHyphen/>
        <w:t>3</w:t>
      </w:r>
      <w:r w:rsidRPr="00584AC5">
        <w:rPr>
          <w:sz w:val="22"/>
          <w:szCs w:val="22"/>
        </w:rPr>
        <w:noBreakHyphen/>
        <w:t>carboxamide.</w:t>
      </w:r>
      <w:r w:rsidR="00875EE7" w:rsidRPr="00584AC5">
        <w:rPr>
          <w:bCs/>
          <w:sz w:val="22"/>
          <w:szCs w:val="22"/>
        </w:rPr>
        <w:t xml:space="preserve"> The empirical formula </w:t>
      </w:r>
      <w:r w:rsidRPr="00584AC5">
        <w:rPr>
          <w:bCs/>
          <w:sz w:val="22"/>
          <w:szCs w:val="22"/>
        </w:rPr>
        <w:t xml:space="preserve">for </w:t>
      </w:r>
      <w:proofErr w:type="spellStart"/>
      <w:r w:rsidRPr="00584AC5">
        <w:rPr>
          <w:bCs/>
          <w:sz w:val="22"/>
          <w:szCs w:val="22"/>
        </w:rPr>
        <w:t>lumacaftor</w:t>
      </w:r>
      <w:proofErr w:type="spellEnd"/>
      <w:r w:rsidRPr="00584AC5">
        <w:rPr>
          <w:bCs/>
          <w:sz w:val="22"/>
          <w:szCs w:val="22"/>
        </w:rPr>
        <w:t xml:space="preserve"> is C</w:t>
      </w:r>
      <w:r w:rsidRPr="00584AC5">
        <w:rPr>
          <w:bCs/>
          <w:sz w:val="22"/>
          <w:szCs w:val="22"/>
          <w:vertAlign w:val="subscript"/>
        </w:rPr>
        <w:t>24</w:t>
      </w:r>
      <w:r w:rsidRPr="00584AC5">
        <w:rPr>
          <w:bCs/>
          <w:sz w:val="22"/>
          <w:szCs w:val="22"/>
        </w:rPr>
        <w:t>H</w:t>
      </w:r>
      <w:r w:rsidRPr="00584AC5">
        <w:rPr>
          <w:bCs/>
          <w:sz w:val="22"/>
          <w:szCs w:val="22"/>
          <w:vertAlign w:val="subscript"/>
        </w:rPr>
        <w:t>18</w:t>
      </w:r>
      <w:r w:rsidRPr="00584AC5">
        <w:rPr>
          <w:bCs/>
          <w:sz w:val="22"/>
          <w:szCs w:val="22"/>
        </w:rPr>
        <w:t>F</w:t>
      </w:r>
      <w:r w:rsidRPr="00584AC5">
        <w:rPr>
          <w:bCs/>
          <w:sz w:val="22"/>
          <w:szCs w:val="22"/>
          <w:vertAlign w:val="subscript"/>
        </w:rPr>
        <w:t>2</w:t>
      </w:r>
      <w:r w:rsidRPr="00584AC5">
        <w:rPr>
          <w:bCs/>
          <w:sz w:val="22"/>
          <w:szCs w:val="22"/>
        </w:rPr>
        <w:t>N</w:t>
      </w:r>
      <w:r w:rsidRPr="00584AC5">
        <w:rPr>
          <w:bCs/>
          <w:sz w:val="22"/>
          <w:szCs w:val="22"/>
          <w:vertAlign w:val="subscript"/>
        </w:rPr>
        <w:t>2</w:t>
      </w:r>
      <w:r w:rsidRPr="00584AC5">
        <w:rPr>
          <w:bCs/>
          <w:sz w:val="22"/>
          <w:szCs w:val="22"/>
        </w:rPr>
        <w:t>O</w:t>
      </w:r>
      <w:r w:rsidRPr="00584AC5">
        <w:rPr>
          <w:bCs/>
          <w:sz w:val="22"/>
          <w:szCs w:val="22"/>
          <w:vertAlign w:val="subscript"/>
        </w:rPr>
        <w:t>5</w:t>
      </w:r>
      <w:r w:rsidRPr="00584AC5">
        <w:rPr>
          <w:bCs/>
          <w:sz w:val="22"/>
          <w:szCs w:val="22"/>
        </w:rPr>
        <w:t xml:space="preserve"> and for </w:t>
      </w:r>
      <w:proofErr w:type="spellStart"/>
      <w:r w:rsidR="00875EE7" w:rsidRPr="00584AC5">
        <w:rPr>
          <w:bCs/>
          <w:sz w:val="22"/>
          <w:szCs w:val="22"/>
        </w:rPr>
        <w:t>ivacaftor</w:t>
      </w:r>
      <w:proofErr w:type="spellEnd"/>
      <w:r w:rsidR="00875EE7" w:rsidRPr="00584AC5">
        <w:rPr>
          <w:bCs/>
          <w:sz w:val="22"/>
          <w:szCs w:val="22"/>
        </w:rPr>
        <w:t xml:space="preserve"> is </w:t>
      </w:r>
      <w:r w:rsidR="00875EE7" w:rsidRPr="00584AC5">
        <w:rPr>
          <w:sz w:val="22"/>
          <w:szCs w:val="22"/>
        </w:rPr>
        <w:t>C</w:t>
      </w:r>
      <w:r w:rsidR="00875EE7" w:rsidRPr="00584AC5">
        <w:rPr>
          <w:sz w:val="22"/>
          <w:szCs w:val="22"/>
          <w:vertAlign w:val="subscript"/>
        </w:rPr>
        <w:t>24</w:t>
      </w:r>
      <w:r w:rsidR="00875EE7" w:rsidRPr="00584AC5">
        <w:rPr>
          <w:sz w:val="22"/>
          <w:szCs w:val="22"/>
        </w:rPr>
        <w:t>H</w:t>
      </w:r>
      <w:r w:rsidR="00875EE7" w:rsidRPr="00584AC5">
        <w:rPr>
          <w:sz w:val="22"/>
          <w:szCs w:val="22"/>
          <w:vertAlign w:val="subscript"/>
        </w:rPr>
        <w:t>28</w:t>
      </w:r>
      <w:r w:rsidR="00875EE7" w:rsidRPr="00584AC5">
        <w:rPr>
          <w:sz w:val="22"/>
          <w:szCs w:val="22"/>
        </w:rPr>
        <w:t>N</w:t>
      </w:r>
      <w:r w:rsidR="00875EE7" w:rsidRPr="00584AC5">
        <w:rPr>
          <w:sz w:val="22"/>
          <w:szCs w:val="22"/>
          <w:vertAlign w:val="subscript"/>
        </w:rPr>
        <w:t>2</w:t>
      </w:r>
      <w:r w:rsidR="00875EE7" w:rsidRPr="00584AC5">
        <w:rPr>
          <w:sz w:val="22"/>
          <w:szCs w:val="22"/>
        </w:rPr>
        <w:t>O</w:t>
      </w:r>
      <w:r w:rsidR="00875EE7" w:rsidRPr="00584AC5">
        <w:rPr>
          <w:sz w:val="22"/>
          <w:szCs w:val="22"/>
          <w:vertAlign w:val="subscript"/>
        </w:rPr>
        <w:t>3</w:t>
      </w:r>
      <w:r w:rsidR="009D56EE" w:rsidRPr="00584AC5">
        <w:rPr>
          <w:sz w:val="22"/>
          <w:szCs w:val="22"/>
        </w:rPr>
        <w:t>.T</w:t>
      </w:r>
      <w:r w:rsidRPr="00584AC5">
        <w:rPr>
          <w:sz w:val="22"/>
          <w:szCs w:val="22"/>
        </w:rPr>
        <w:t xml:space="preserve">he </w:t>
      </w:r>
      <w:r w:rsidR="00875EE7" w:rsidRPr="00584AC5">
        <w:rPr>
          <w:sz w:val="22"/>
          <w:szCs w:val="22"/>
        </w:rPr>
        <w:t>molecular weight</w:t>
      </w:r>
      <w:r w:rsidRPr="00584AC5">
        <w:rPr>
          <w:sz w:val="22"/>
          <w:szCs w:val="22"/>
        </w:rPr>
        <w:t xml:space="preserve">s for </w:t>
      </w:r>
      <w:proofErr w:type="spellStart"/>
      <w:r w:rsidRPr="00584AC5">
        <w:rPr>
          <w:sz w:val="22"/>
          <w:szCs w:val="22"/>
        </w:rPr>
        <w:t>lumacaftor</w:t>
      </w:r>
      <w:proofErr w:type="spellEnd"/>
      <w:r w:rsidRPr="00584AC5">
        <w:rPr>
          <w:sz w:val="22"/>
          <w:szCs w:val="22"/>
        </w:rPr>
        <w:t xml:space="preserve"> and </w:t>
      </w:r>
      <w:proofErr w:type="spellStart"/>
      <w:r w:rsidRPr="00584AC5">
        <w:rPr>
          <w:sz w:val="22"/>
          <w:szCs w:val="22"/>
        </w:rPr>
        <w:t>ivacaftor</w:t>
      </w:r>
      <w:proofErr w:type="spellEnd"/>
      <w:r w:rsidRPr="00584AC5">
        <w:rPr>
          <w:sz w:val="22"/>
          <w:szCs w:val="22"/>
        </w:rPr>
        <w:t xml:space="preserve"> are 452.41 and 392.49, respectively</w:t>
      </w:r>
      <w:r w:rsidR="00875EE7" w:rsidRPr="00584AC5">
        <w:rPr>
          <w:sz w:val="22"/>
          <w:szCs w:val="22"/>
        </w:rPr>
        <w:t xml:space="preserve">. </w:t>
      </w:r>
      <w:r w:rsidRPr="00584AC5">
        <w:rPr>
          <w:sz w:val="22"/>
          <w:szCs w:val="22"/>
        </w:rPr>
        <w:t xml:space="preserve">The </w:t>
      </w:r>
      <w:proofErr w:type="spellStart"/>
      <w:r w:rsidRPr="00584AC5">
        <w:rPr>
          <w:sz w:val="22"/>
          <w:szCs w:val="22"/>
        </w:rPr>
        <w:t>pKa</w:t>
      </w:r>
      <w:proofErr w:type="spellEnd"/>
      <w:r w:rsidRPr="00584AC5">
        <w:rPr>
          <w:sz w:val="22"/>
          <w:szCs w:val="22"/>
        </w:rPr>
        <w:t xml:space="preserve"> values of </w:t>
      </w:r>
      <w:proofErr w:type="spellStart"/>
      <w:r w:rsidRPr="00584AC5">
        <w:rPr>
          <w:sz w:val="22"/>
          <w:szCs w:val="22"/>
        </w:rPr>
        <w:t>lumacaftor</w:t>
      </w:r>
      <w:proofErr w:type="spellEnd"/>
      <w:r w:rsidRPr="00584AC5">
        <w:rPr>
          <w:sz w:val="22"/>
          <w:szCs w:val="22"/>
        </w:rPr>
        <w:t xml:space="preserve"> are </w:t>
      </w:r>
      <w:r w:rsidR="00C61CBD" w:rsidRPr="00584AC5">
        <w:rPr>
          <w:sz w:val="22"/>
          <w:szCs w:val="22"/>
        </w:rPr>
        <w:t>2.51</w:t>
      </w:r>
      <w:r w:rsidRPr="00584AC5">
        <w:rPr>
          <w:sz w:val="22"/>
          <w:szCs w:val="22"/>
        </w:rPr>
        <w:t xml:space="preserve"> an</w:t>
      </w:r>
      <w:r w:rsidR="00A4553C" w:rsidRPr="00584AC5">
        <w:rPr>
          <w:sz w:val="22"/>
          <w:szCs w:val="22"/>
        </w:rPr>
        <w:t>d</w:t>
      </w:r>
      <w:r w:rsidRPr="00584AC5">
        <w:rPr>
          <w:sz w:val="22"/>
          <w:szCs w:val="22"/>
        </w:rPr>
        <w:t xml:space="preserve"> </w:t>
      </w:r>
      <w:r w:rsidR="00C61CBD" w:rsidRPr="00584AC5">
        <w:rPr>
          <w:sz w:val="22"/>
          <w:szCs w:val="22"/>
        </w:rPr>
        <w:t>4.28</w:t>
      </w:r>
      <w:r w:rsidRPr="00584AC5">
        <w:rPr>
          <w:sz w:val="22"/>
          <w:szCs w:val="22"/>
        </w:rPr>
        <w:t xml:space="preserve">. </w:t>
      </w:r>
      <w:r w:rsidR="009D56EE" w:rsidRPr="00584AC5">
        <w:rPr>
          <w:sz w:val="22"/>
          <w:szCs w:val="22"/>
        </w:rPr>
        <w:t xml:space="preserve">The log D value of </w:t>
      </w:r>
      <w:proofErr w:type="spellStart"/>
      <w:r w:rsidR="009D56EE" w:rsidRPr="00584AC5">
        <w:rPr>
          <w:sz w:val="22"/>
          <w:szCs w:val="22"/>
        </w:rPr>
        <w:t>lumacaftor</w:t>
      </w:r>
      <w:proofErr w:type="spellEnd"/>
      <w:r w:rsidR="009D56EE" w:rsidRPr="00584AC5">
        <w:rPr>
          <w:sz w:val="22"/>
          <w:szCs w:val="22"/>
        </w:rPr>
        <w:t xml:space="preserve"> is </w:t>
      </w:r>
      <w:r w:rsidR="00C61CBD" w:rsidRPr="00584AC5">
        <w:rPr>
          <w:sz w:val="22"/>
          <w:szCs w:val="22"/>
        </w:rPr>
        <w:t>2.29</w:t>
      </w:r>
      <w:r w:rsidR="009D56EE" w:rsidRPr="00584AC5">
        <w:rPr>
          <w:sz w:val="22"/>
          <w:szCs w:val="22"/>
        </w:rPr>
        <w:t xml:space="preserve"> at pH=</w:t>
      </w:r>
      <w:r w:rsidR="00C61CBD" w:rsidRPr="00584AC5">
        <w:rPr>
          <w:sz w:val="22"/>
          <w:szCs w:val="22"/>
        </w:rPr>
        <w:t>7.4</w:t>
      </w:r>
      <w:r w:rsidR="009D56EE" w:rsidRPr="00584AC5">
        <w:rPr>
          <w:sz w:val="22"/>
          <w:szCs w:val="22"/>
        </w:rPr>
        <w:t xml:space="preserve"> and </w:t>
      </w:r>
      <w:r w:rsidR="00C61CBD" w:rsidRPr="00584AC5">
        <w:rPr>
          <w:sz w:val="22"/>
          <w:szCs w:val="22"/>
        </w:rPr>
        <w:t>25</w:t>
      </w:r>
      <w:r w:rsidR="009D56EE" w:rsidRPr="00584AC5">
        <w:rPr>
          <w:sz w:val="22"/>
          <w:szCs w:val="22"/>
        </w:rPr>
        <w:t xml:space="preserve">°C. </w:t>
      </w:r>
      <w:r w:rsidR="00863FC8" w:rsidRPr="00584AC5">
        <w:rPr>
          <w:sz w:val="22"/>
          <w:szCs w:val="22"/>
        </w:rPr>
        <w:t xml:space="preserve">The </w:t>
      </w:r>
      <w:proofErr w:type="spellStart"/>
      <w:r w:rsidR="00863FC8" w:rsidRPr="00584AC5">
        <w:rPr>
          <w:sz w:val="22"/>
          <w:szCs w:val="22"/>
        </w:rPr>
        <w:t>pKa</w:t>
      </w:r>
      <w:proofErr w:type="spellEnd"/>
      <w:r w:rsidR="00863FC8" w:rsidRPr="00584AC5">
        <w:rPr>
          <w:sz w:val="22"/>
          <w:szCs w:val="22"/>
        </w:rPr>
        <w:t xml:space="preserve"> values of </w:t>
      </w:r>
      <w:proofErr w:type="spellStart"/>
      <w:r w:rsidR="00863FC8" w:rsidRPr="00584AC5">
        <w:rPr>
          <w:sz w:val="22"/>
          <w:szCs w:val="22"/>
        </w:rPr>
        <w:t>ivacaftor</w:t>
      </w:r>
      <w:proofErr w:type="spellEnd"/>
      <w:r w:rsidR="00863FC8" w:rsidRPr="00584AC5">
        <w:rPr>
          <w:sz w:val="22"/>
          <w:szCs w:val="22"/>
        </w:rPr>
        <w:t xml:space="preserve"> are 9.40 and 11.60. The log D value of </w:t>
      </w:r>
      <w:proofErr w:type="spellStart"/>
      <w:r w:rsidR="00863FC8" w:rsidRPr="00584AC5">
        <w:rPr>
          <w:sz w:val="22"/>
          <w:szCs w:val="22"/>
        </w:rPr>
        <w:t>ivacaftor</w:t>
      </w:r>
      <w:proofErr w:type="spellEnd"/>
      <w:r w:rsidR="00863FC8" w:rsidRPr="00584AC5">
        <w:rPr>
          <w:sz w:val="22"/>
          <w:szCs w:val="22"/>
        </w:rPr>
        <w:t xml:space="preserve"> is 5.68 at pH=7.4 and 25°C.</w:t>
      </w:r>
    </w:p>
    <w:p w:rsidR="00863FC8" w:rsidRPr="00E96CAB" w:rsidRDefault="00863FC8" w:rsidP="00ED2C6C">
      <w:pPr>
        <w:widowControl w:val="0"/>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rsidR="00875EE7" w:rsidRPr="00E96CAB" w:rsidRDefault="00A314C9" w:rsidP="00ED2C6C">
      <w:pPr>
        <w:widowControl w:val="0"/>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E96CAB">
        <w:rPr>
          <w:sz w:val="22"/>
          <w:szCs w:val="22"/>
        </w:rPr>
        <w:t xml:space="preserve">The </w:t>
      </w:r>
      <w:r w:rsidR="00875EE7" w:rsidRPr="00E96CAB">
        <w:rPr>
          <w:sz w:val="22"/>
          <w:szCs w:val="22"/>
        </w:rPr>
        <w:t>structural formula</w:t>
      </w:r>
      <w:r w:rsidRPr="00E96CAB">
        <w:rPr>
          <w:sz w:val="22"/>
          <w:szCs w:val="22"/>
        </w:rPr>
        <w:t>s</w:t>
      </w:r>
      <w:r w:rsidR="00875EE7" w:rsidRPr="00E96CAB">
        <w:rPr>
          <w:sz w:val="22"/>
          <w:szCs w:val="22"/>
        </w:rPr>
        <w:t xml:space="preserve"> </w:t>
      </w:r>
      <w:r w:rsidRPr="00E96CAB">
        <w:rPr>
          <w:sz w:val="22"/>
          <w:szCs w:val="22"/>
        </w:rPr>
        <w:t>are</w:t>
      </w:r>
      <w:r w:rsidR="00875EE7" w:rsidRPr="00E96CAB">
        <w:rPr>
          <w:sz w:val="22"/>
          <w:szCs w:val="22"/>
        </w:rPr>
        <w:t>:</w:t>
      </w:r>
    </w:p>
    <w:p w:rsidR="00A314C9" w:rsidRPr="00E96CAB" w:rsidRDefault="00A314C9" w:rsidP="00ED2C6C">
      <w:pPr>
        <w:widowControl w:val="0"/>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rsidR="00875EE7" w:rsidRPr="00E96CAB" w:rsidRDefault="00EF18D0" w:rsidP="00A314C9">
      <w:pPr>
        <w:jc w:val="center"/>
        <w:rPr>
          <w:noProof/>
          <w:sz w:val="16"/>
          <w:szCs w:val="16"/>
        </w:rPr>
      </w:pPr>
      <w:r>
        <w:rPr>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i1025" type="#_x0000_t75" style="width:181.4pt;height:74.35pt;visibility:visible">
            <v:imagedata r:id="rId9" o:title=""/>
          </v:shape>
        </w:pict>
      </w:r>
    </w:p>
    <w:p w:rsidR="00A314C9" w:rsidRPr="00E96CAB" w:rsidRDefault="00A314C9" w:rsidP="00A314C9">
      <w:pPr>
        <w:jc w:val="center"/>
        <w:rPr>
          <w:sz w:val="22"/>
          <w:szCs w:val="22"/>
        </w:rPr>
      </w:pPr>
      <w:r w:rsidRPr="00E96CAB">
        <w:rPr>
          <w:noProof/>
          <w:sz w:val="22"/>
          <w:szCs w:val="22"/>
        </w:rPr>
        <w:t>lumacaftor</w:t>
      </w:r>
    </w:p>
    <w:p w:rsidR="00875EE7" w:rsidRPr="00E96CAB" w:rsidRDefault="00EF18D0" w:rsidP="00867ACE">
      <w:pPr>
        <w:jc w:val="center"/>
        <w:rPr>
          <w:noProof/>
          <w:sz w:val="22"/>
          <w:szCs w:val="22"/>
        </w:rPr>
      </w:pPr>
      <w:r>
        <w:rPr>
          <w:noProof/>
          <w:sz w:val="22"/>
          <w:szCs w:val="22"/>
        </w:rPr>
        <w:pict>
          <v:shape id="Picture 1" o:spid="_x0000_i1026" type="#_x0000_t75" style="width:147.25pt;height:99.1pt;visibility:visible">
            <v:imagedata r:id="rId10" o:title=""/>
          </v:shape>
        </w:pict>
      </w:r>
    </w:p>
    <w:p w:rsidR="00A314C9" w:rsidRPr="00E96CAB" w:rsidRDefault="00A314C9" w:rsidP="00867ACE">
      <w:pPr>
        <w:jc w:val="center"/>
        <w:rPr>
          <w:noProof/>
          <w:sz w:val="22"/>
          <w:szCs w:val="22"/>
        </w:rPr>
      </w:pPr>
      <w:r w:rsidRPr="00E96CAB">
        <w:rPr>
          <w:noProof/>
          <w:sz w:val="22"/>
          <w:szCs w:val="22"/>
        </w:rPr>
        <w:t>ivacaftor</w:t>
      </w:r>
    </w:p>
    <w:p w:rsidR="00A314C9" w:rsidRPr="00E96CAB" w:rsidRDefault="00A314C9" w:rsidP="00867ACE">
      <w:pPr>
        <w:jc w:val="center"/>
        <w:rPr>
          <w:sz w:val="22"/>
          <w:szCs w:val="22"/>
        </w:rPr>
      </w:pPr>
    </w:p>
    <w:p w:rsidR="009D3B76" w:rsidRPr="00E96CAB" w:rsidRDefault="009D3B76" w:rsidP="00867ACE">
      <w:pPr>
        <w:rPr>
          <w:sz w:val="22"/>
          <w:szCs w:val="22"/>
        </w:rPr>
      </w:pPr>
      <w:r w:rsidRPr="00E96CAB">
        <w:rPr>
          <w:sz w:val="22"/>
          <w:szCs w:val="22"/>
        </w:rPr>
        <w:t>CAS Number:</w:t>
      </w:r>
    </w:p>
    <w:p w:rsidR="009D3B76" w:rsidRPr="00E96CAB" w:rsidRDefault="009D3B76" w:rsidP="00867ACE">
      <w:pPr>
        <w:rPr>
          <w:sz w:val="22"/>
          <w:szCs w:val="22"/>
        </w:rPr>
      </w:pPr>
      <w:r w:rsidRPr="00E96CAB">
        <w:rPr>
          <w:sz w:val="22"/>
          <w:szCs w:val="22"/>
        </w:rPr>
        <w:t xml:space="preserve">The CAS Registry Number for </w:t>
      </w:r>
      <w:proofErr w:type="spellStart"/>
      <w:r w:rsidRPr="00E96CAB">
        <w:rPr>
          <w:sz w:val="22"/>
          <w:szCs w:val="22"/>
        </w:rPr>
        <w:t>lumacaftor</w:t>
      </w:r>
      <w:proofErr w:type="spellEnd"/>
      <w:r w:rsidRPr="00E96CAB">
        <w:rPr>
          <w:sz w:val="22"/>
          <w:szCs w:val="22"/>
        </w:rPr>
        <w:t xml:space="preserve"> is 936727-05-8 and the CAS Registry Number for </w:t>
      </w:r>
      <w:proofErr w:type="spellStart"/>
      <w:r w:rsidRPr="00E96CAB">
        <w:rPr>
          <w:sz w:val="22"/>
          <w:szCs w:val="22"/>
        </w:rPr>
        <w:t>ivacaftor</w:t>
      </w:r>
      <w:proofErr w:type="spellEnd"/>
      <w:r w:rsidRPr="00E96CAB">
        <w:rPr>
          <w:sz w:val="22"/>
          <w:szCs w:val="22"/>
        </w:rPr>
        <w:t xml:space="preserve"> is 873054-44-5.</w:t>
      </w:r>
    </w:p>
    <w:p w:rsidR="00875EE7" w:rsidRPr="00E96CAB" w:rsidRDefault="00875EE7" w:rsidP="00867ACE">
      <w:pPr>
        <w:rPr>
          <w:sz w:val="22"/>
          <w:szCs w:val="22"/>
        </w:rPr>
      </w:pPr>
    </w:p>
    <w:p w:rsidR="00875EE7" w:rsidRPr="00E96CAB" w:rsidRDefault="00875EE7" w:rsidP="00867ACE">
      <w:pPr>
        <w:rPr>
          <w:b/>
          <w:sz w:val="22"/>
          <w:szCs w:val="22"/>
        </w:rPr>
      </w:pPr>
      <w:r w:rsidRPr="00E96CAB">
        <w:rPr>
          <w:b/>
          <w:sz w:val="22"/>
          <w:szCs w:val="22"/>
        </w:rPr>
        <w:t>DESCRIPTION</w:t>
      </w:r>
    </w:p>
    <w:p w:rsidR="00875EE7" w:rsidRPr="00E96CAB" w:rsidRDefault="00875EE7" w:rsidP="00867ACE">
      <w:pPr>
        <w:rPr>
          <w:sz w:val="22"/>
          <w:szCs w:val="22"/>
        </w:rPr>
      </w:pPr>
    </w:p>
    <w:p w:rsidR="00875EE7" w:rsidRPr="00584AC5" w:rsidRDefault="00A314C9" w:rsidP="00867ACE">
      <w:pPr>
        <w:rPr>
          <w:sz w:val="22"/>
          <w:szCs w:val="22"/>
        </w:rPr>
      </w:pPr>
      <w:proofErr w:type="spellStart"/>
      <w:r w:rsidRPr="00584AC5">
        <w:rPr>
          <w:sz w:val="22"/>
          <w:szCs w:val="22"/>
        </w:rPr>
        <w:t>Lumacaftor</w:t>
      </w:r>
      <w:proofErr w:type="spellEnd"/>
      <w:r w:rsidRPr="00584AC5">
        <w:rPr>
          <w:sz w:val="22"/>
          <w:szCs w:val="22"/>
        </w:rPr>
        <w:t xml:space="preserve"> is a white to off</w:t>
      </w:r>
      <w:r w:rsidRPr="00584AC5">
        <w:rPr>
          <w:sz w:val="22"/>
          <w:szCs w:val="22"/>
        </w:rPr>
        <w:noBreakHyphen/>
        <w:t xml:space="preserve">white powder that is practically insoluble in water (0.02 mg/mL). </w:t>
      </w:r>
      <w:proofErr w:type="spellStart"/>
      <w:r w:rsidR="00875EE7" w:rsidRPr="00584AC5">
        <w:rPr>
          <w:sz w:val="22"/>
          <w:szCs w:val="22"/>
        </w:rPr>
        <w:t>Ivacaftor</w:t>
      </w:r>
      <w:proofErr w:type="spellEnd"/>
      <w:r w:rsidR="00875EE7" w:rsidRPr="00584AC5">
        <w:rPr>
          <w:sz w:val="22"/>
          <w:szCs w:val="22"/>
        </w:rPr>
        <w:t xml:space="preserve"> is a white to off</w:t>
      </w:r>
      <w:r w:rsidRPr="00584AC5">
        <w:rPr>
          <w:sz w:val="22"/>
          <w:szCs w:val="22"/>
        </w:rPr>
        <w:noBreakHyphen/>
      </w:r>
      <w:r w:rsidR="00875EE7" w:rsidRPr="00584AC5">
        <w:rPr>
          <w:sz w:val="22"/>
          <w:szCs w:val="22"/>
        </w:rPr>
        <w:t>white powder that is practically insoluble in water (&lt;0.05 microgram/mL).</w:t>
      </w:r>
    </w:p>
    <w:p w:rsidR="00875EE7" w:rsidRPr="00584AC5" w:rsidRDefault="00875EE7" w:rsidP="00867ACE">
      <w:pPr>
        <w:pStyle w:val="labeltext"/>
      </w:pPr>
    </w:p>
    <w:p w:rsidR="00875EE7" w:rsidRPr="00584AC5" w:rsidRDefault="00606C30" w:rsidP="00441080">
      <w:pPr>
        <w:pStyle w:val="MediumGrid21"/>
        <w:rPr>
          <w:rFonts w:ascii="Times New Roman" w:hAnsi="Times New Roman"/>
          <w:b/>
          <w:lang w:val="en-CA"/>
        </w:rPr>
      </w:pPr>
      <w:r w:rsidRPr="00584AC5">
        <w:rPr>
          <w:rFonts w:ascii="Times New Roman" w:hAnsi="Times New Roman"/>
        </w:rPr>
        <w:t>ORKAMBI</w:t>
      </w:r>
      <w:r w:rsidR="002C12D4" w:rsidRPr="00584AC5">
        <w:rPr>
          <w:rFonts w:ascii="Times New Roman" w:hAnsi="Times New Roman"/>
        </w:rPr>
        <w:t> </w:t>
      </w:r>
      <w:r w:rsidR="009129FE" w:rsidRPr="00584AC5">
        <w:rPr>
          <w:rFonts w:ascii="Times New Roman" w:hAnsi="Times New Roman"/>
        </w:rPr>
        <w:t>200/125</w:t>
      </w:r>
      <w:r w:rsidR="009129FE" w:rsidRPr="00584AC5">
        <w:t xml:space="preserve"> </w:t>
      </w:r>
      <w:r w:rsidR="00A314C9" w:rsidRPr="00584AC5">
        <w:rPr>
          <w:rFonts w:ascii="Times New Roman" w:hAnsi="Times New Roman"/>
        </w:rPr>
        <w:t>is available as a pink, oval</w:t>
      </w:r>
      <w:r w:rsidR="00A314C9" w:rsidRPr="00584AC5">
        <w:rPr>
          <w:rFonts w:ascii="Times New Roman" w:hAnsi="Times New Roman"/>
        </w:rPr>
        <w:noBreakHyphen/>
        <w:t>shaped, film</w:t>
      </w:r>
      <w:r w:rsidR="00A314C9" w:rsidRPr="00584AC5">
        <w:rPr>
          <w:rFonts w:ascii="Times New Roman" w:hAnsi="Times New Roman"/>
        </w:rPr>
        <w:noBreakHyphen/>
        <w:t xml:space="preserve">coated tablet for oral administration containing 200 mg of </w:t>
      </w:r>
      <w:proofErr w:type="spellStart"/>
      <w:r w:rsidR="00A314C9" w:rsidRPr="00584AC5">
        <w:rPr>
          <w:rFonts w:ascii="Times New Roman" w:hAnsi="Times New Roman"/>
        </w:rPr>
        <w:t>lumacaftor</w:t>
      </w:r>
      <w:proofErr w:type="spellEnd"/>
      <w:r w:rsidR="00A314C9" w:rsidRPr="00584AC5">
        <w:rPr>
          <w:rFonts w:ascii="Times New Roman" w:hAnsi="Times New Roman"/>
        </w:rPr>
        <w:t xml:space="preserve"> and 125 mg of </w:t>
      </w:r>
      <w:proofErr w:type="spellStart"/>
      <w:r w:rsidR="00A314C9" w:rsidRPr="00584AC5">
        <w:rPr>
          <w:rFonts w:ascii="Times New Roman" w:hAnsi="Times New Roman"/>
        </w:rPr>
        <w:t>ivacaftor</w:t>
      </w:r>
      <w:proofErr w:type="spellEnd"/>
      <w:r w:rsidR="00A314C9" w:rsidRPr="00584AC5">
        <w:rPr>
          <w:rFonts w:ascii="Times New Roman" w:hAnsi="Times New Roman"/>
        </w:rPr>
        <w:t>. Each tablet contains the following inactive ingredients: microcrystalline</w:t>
      </w:r>
      <w:r w:rsidR="007154BD" w:rsidRPr="00584AC5">
        <w:rPr>
          <w:rFonts w:ascii="Times New Roman" w:hAnsi="Times New Roman"/>
        </w:rPr>
        <w:t xml:space="preserve"> cellulose</w:t>
      </w:r>
      <w:r w:rsidR="00A314C9" w:rsidRPr="00584AC5">
        <w:rPr>
          <w:rFonts w:ascii="Times New Roman" w:hAnsi="Times New Roman"/>
        </w:rPr>
        <w:t xml:space="preserve">; </w:t>
      </w:r>
      <w:proofErr w:type="spellStart"/>
      <w:r w:rsidR="00A314C9" w:rsidRPr="00584AC5">
        <w:rPr>
          <w:rFonts w:ascii="Times New Roman" w:hAnsi="Times New Roman"/>
        </w:rPr>
        <w:t>croscarmellose</w:t>
      </w:r>
      <w:proofErr w:type="spellEnd"/>
      <w:r w:rsidR="00A314C9" w:rsidRPr="00584AC5">
        <w:rPr>
          <w:rFonts w:ascii="Times New Roman" w:hAnsi="Times New Roman"/>
        </w:rPr>
        <w:t xml:space="preserve"> sodium; </w:t>
      </w:r>
      <w:proofErr w:type="spellStart"/>
      <w:r w:rsidR="00A314C9" w:rsidRPr="00584AC5">
        <w:rPr>
          <w:rFonts w:ascii="Times New Roman" w:hAnsi="Times New Roman"/>
        </w:rPr>
        <w:t>hypromellose</w:t>
      </w:r>
      <w:proofErr w:type="spellEnd"/>
      <w:r w:rsidR="00A314C9" w:rsidRPr="00584AC5">
        <w:rPr>
          <w:rFonts w:ascii="Times New Roman" w:hAnsi="Times New Roman"/>
        </w:rPr>
        <w:t xml:space="preserve"> acetate succinate; </w:t>
      </w:r>
      <w:r w:rsidR="00441080" w:rsidRPr="00584AC5">
        <w:rPr>
          <w:rFonts w:ascii="Times New Roman" w:hAnsi="Times New Roman"/>
        </w:rPr>
        <w:t>povidone; s</w:t>
      </w:r>
      <w:r w:rsidR="00441080" w:rsidRPr="00584AC5">
        <w:rPr>
          <w:rFonts w:ascii="Times New Roman" w:eastAsia="Times New Roman" w:hAnsi="Times New Roman"/>
        </w:rPr>
        <w:t xml:space="preserve">odium </w:t>
      </w:r>
      <w:r w:rsidR="00797FB9" w:rsidRPr="00584AC5">
        <w:rPr>
          <w:rFonts w:ascii="Times New Roman" w:eastAsia="Times New Roman" w:hAnsi="Times New Roman"/>
        </w:rPr>
        <w:t xml:space="preserve">lauryl </w:t>
      </w:r>
      <w:r w:rsidR="00441080" w:rsidRPr="00584AC5">
        <w:rPr>
          <w:rFonts w:ascii="Times New Roman" w:eastAsia="Times New Roman" w:hAnsi="Times New Roman"/>
        </w:rPr>
        <w:t>sulfate</w:t>
      </w:r>
      <w:r w:rsidR="00441080" w:rsidRPr="00584AC5">
        <w:rPr>
          <w:rFonts w:ascii="Times New Roman" w:hAnsi="Times New Roman"/>
        </w:rPr>
        <w:t>; magnesium stearate</w:t>
      </w:r>
      <w:r w:rsidR="00797FB9" w:rsidRPr="00584AC5">
        <w:rPr>
          <w:rFonts w:ascii="Times New Roman" w:hAnsi="Times New Roman"/>
        </w:rPr>
        <w:t xml:space="preserve">; </w:t>
      </w:r>
      <w:proofErr w:type="spellStart"/>
      <w:r w:rsidR="00797FB9" w:rsidRPr="00584AC5">
        <w:rPr>
          <w:rFonts w:ascii="Times New Roman" w:hAnsi="Times New Roman"/>
        </w:rPr>
        <w:t>Opadry</w:t>
      </w:r>
      <w:proofErr w:type="spellEnd"/>
      <w:r w:rsidR="00797FB9" w:rsidRPr="00584AC5">
        <w:rPr>
          <w:rFonts w:ascii="Times New Roman" w:hAnsi="Times New Roman"/>
        </w:rPr>
        <w:t xml:space="preserve"> II Pink 85F140026</w:t>
      </w:r>
      <w:r w:rsidR="00BF726D" w:rsidRPr="00584AC5">
        <w:rPr>
          <w:rFonts w:ascii="Times New Roman" w:hAnsi="Times New Roman"/>
        </w:rPr>
        <w:t xml:space="preserve"> (</w:t>
      </w:r>
      <w:r w:rsidR="00D0485A" w:rsidRPr="00584AC5">
        <w:rPr>
          <w:rFonts w:ascii="Times New Roman" w:hAnsi="Times New Roman"/>
        </w:rPr>
        <w:t xml:space="preserve">PI# </w:t>
      </w:r>
      <w:r w:rsidR="00BF726D" w:rsidRPr="00584AC5">
        <w:rPr>
          <w:rFonts w:ascii="Times New Roman" w:hAnsi="Times New Roman"/>
        </w:rPr>
        <w:t>110227)</w:t>
      </w:r>
      <w:r w:rsidR="00797FB9" w:rsidRPr="00584AC5">
        <w:rPr>
          <w:rFonts w:ascii="Times New Roman" w:hAnsi="Times New Roman"/>
        </w:rPr>
        <w:t xml:space="preserve">; </w:t>
      </w:r>
      <w:proofErr w:type="spellStart"/>
      <w:r w:rsidR="00797FB9" w:rsidRPr="00584AC5">
        <w:rPr>
          <w:rFonts w:ascii="Times New Roman" w:hAnsi="Times New Roman"/>
        </w:rPr>
        <w:t>Opacode</w:t>
      </w:r>
      <w:proofErr w:type="spellEnd"/>
      <w:r w:rsidR="00797FB9" w:rsidRPr="00584AC5">
        <w:rPr>
          <w:rFonts w:ascii="Times New Roman" w:hAnsi="Times New Roman"/>
        </w:rPr>
        <w:t xml:space="preserve"> monogramming ink S-1-17823 BLACK</w:t>
      </w:r>
      <w:r w:rsidR="00BF726D" w:rsidRPr="00584AC5">
        <w:rPr>
          <w:rFonts w:ascii="Times New Roman" w:hAnsi="Times New Roman"/>
        </w:rPr>
        <w:t xml:space="preserve"> (</w:t>
      </w:r>
      <w:r w:rsidR="00D0485A" w:rsidRPr="00584AC5">
        <w:rPr>
          <w:rFonts w:ascii="Times New Roman" w:hAnsi="Times New Roman"/>
        </w:rPr>
        <w:t>PI#</w:t>
      </w:r>
      <w:r w:rsidR="003543CF" w:rsidRPr="00584AC5">
        <w:rPr>
          <w:rFonts w:ascii="Times New Roman" w:hAnsi="Times New Roman"/>
        </w:rPr>
        <w:t xml:space="preserve"> </w:t>
      </w:r>
      <w:r w:rsidR="00BF726D" w:rsidRPr="00584AC5">
        <w:rPr>
          <w:rFonts w:ascii="Times New Roman" w:hAnsi="Times New Roman"/>
        </w:rPr>
        <w:t>12108)</w:t>
      </w:r>
      <w:r w:rsidR="00A314C9" w:rsidRPr="00584AC5">
        <w:rPr>
          <w:rFonts w:ascii="Times New Roman" w:hAnsi="Times New Roman"/>
        </w:rPr>
        <w:t>.</w:t>
      </w:r>
    </w:p>
    <w:p w:rsidR="00875EE7" w:rsidRPr="00E96CAB" w:rsidRDefault="00875EE7" w:rsidP="00867ACE">
      <w:pPr>
        <w:jc w:val="both"/>
        <w:rPr>
          <w:sz w:val="22"/>
          <w:szCs w:val="22"/>
        </w:rPr>
      </w:pPr>
    </w:p>
    <w:p w:rsidR="00334F48" w:rsidRDefault="00334F48" w:rsidP="00867ACE">
      <w:pPr>
        <w:jc w:val="both"/>
        <w:rPr>
          <w:b/>
          <w:sz w:val="22"/>
          <w:szCs w:val="22"/>
        </w:rPr>
      </w:pPr>
    </w:p>
    <w:p w:rsidR="00334F48" w:rsidRDefault="00334F48" w:rsidP="00867ACE">
      <w:pPr>
        <w:jc w:val="both"/>
        <w:rPr>
          <w:b/>
          <w:sz w:val="22"/>
          <w:szCs w:val="22"/>
        </w:rPr>
      </w:pPr>
    </w:p>
    <w:p w:rsidR="00875EE7" w:rsidRPr="00E96CAB" w:rsidRDefault="00875EE7" w:rsidP="00867ACE">
      <w:pPr>
        <w:jc w:val="both"/>
        <w:rPr>
          <w:b/>
          <w:sz w:val="22"/>
          <w:szCs w:val="22"/>
        </w:rPr>
      </w:pPr>
      <w:r w:rsidRPr="00E96CAB">
        <w:rPr>
          <w:b/>
          <w:sz w:val="22"/>
          <w:szCs w:val="22"/>
        </w:rPr>
        <w:lastRenderedPageBreak/>
        <w:t>PHARMACOLOGY</w:t>
      </w:r>
    </w:p>
    <w:p w:rsidR="00875EE7" w:rsidRPr="00E96CAB" w:rsidRDefault="00875EE7" w:rsidP="00867ACE">
      <w:pPr>
        <w:jc w:val="both"/>
        <w:rPr>
          <w:sz w:val="22"/>
          <w:szCs w:val="22"/>
        </w:rPr>
      </w:pPr>
    </w:p>
    <w:p w:rsidR="00875EE7" w:rsidRPr="00E96CAB" w:rsidRDefault="00875EE7" w:rsidP="00514177">
      <w:pPr>
        <w:rPr>
          <w:b/>
          <w:sz w:val="22"/>
          <w:szCs w:val="22"/>
        </w:rPr>
      </w:pPr>
      <w:r w:rsidRPr="00E96CAB">
        <w:rPr>
          <w:b/>
          <w:sz w:val="22"/>
          <w:szCs w:val="22"/>
        </w:rPr>
        <w:t>Mechanism of Action</w:t>
      </w:r>
    </w:p>
    <w:p w:rsidR="00875EE7" w:rsidRPr="00E96CAB" w:rsidRDefault="0023240A" w:rsidP="00514177">
      <w:pPr>
        <w:rPr>
          <w:sz w:val="22"/>
          <w:szCs w:val="22"/>
        </w:rPr>
      </w:pPr>
      <w:r w:rsidRPr="00E96CAB">
        <w:rPr>
          <w:sz w:val="22"/>
          <w:szCs w:val="22"/>
        </w:rPr>
        <w:t xml:space="preserve">The CFTR protein is a chloride channel present at the surface of epithelial cells in multiple organs. The </w:t>
      </w:r>
      <w:r w:rsidRPr="00E96CAB">
        <w:rPr>
          <w:i/>
          <w:iCs/>
          <w:sz w:val="22"/>
          <w:szCs w:val="22"/>
        </w:rPr>
        <w:t>F508de</w:t>
      </w:r>
      <w:r w:rsidRPr="00E96CAB">
        <w:rPr>
          <w:i/>
          <w:sz w:val="22"/>
          <w:szCs w:val="22"/>
        </w:rPr>
        <w:t>l</w:t>
      </w:r>
      <w:r w:rsidRPr="00E96CAB">
        <w:rPr>
          <w:sz w:val="22"/>
          <w:szCs w:val="22"/>
        </w:rPr>
        <w:t xml:space="preserve"> mutation impacts the CFTR protein in multiple ways, primarily by causing a defect in cellular processing and trafficking that reduces the quantity of CFTR at the cell surface. The small amount of F508del</w:t>
      </w:r>
      <w:r w:rsidRPr="00E96CAB">
        <w:rPr>
          <w:sz w:val="22"/>
          <w:szCs w:val="22"/>
        </w:rPr>
        <w:noBreakHyphen/>
        <w:t xml:space="preserve">CFTR that reaches the cell surface has low channel open probability (defective channel gating). </w:t>
      </w:r>
      <w:proofErr w:type="spellStart"/>
      <w:r w:rsidRPr="00E96CAB">
        <w:rPr>
          <w:sz w:val="22"/>
          <w:szCs w:val="22"/>
        </w:rPr>
        <w:t>Lumacaftor</w:t>
      </w:r>
      <w:proofErr w:type="spellEnd"/>
      <w:r w:rsidRPr="00E96CAB">
        <w:rPr>
          <w:sz w:val="22"/>
          <w:szCs w:val="22"/>
        </w:rPr>
        <w:t xml:space="preserve"> is a CFTR corrector that acts directly on F508del</w:t>
      </w:r>
      <w:r w:rsidRPr="00E96CAB">
        <w:rPr>
          <w:sz w:val="22"/>
          <w:szCs w:val="22"/>
        </w:rPr>
        <w:noBreakHyphen/>
        <w:t>CFTR to improve its cellular processing and trafficking, thereby increasing the quantity of functional CFTR at the cell surface</w:t>
      </w:r>
      <w:r w:rsidRPr="00E96CAB">
        <w:rPr>
          <w:bCs/>
          <w:sz w:val="22"/>
          <w:szCs w:val="22"/>
        </w:rPr>
        <w:t xml:space="preserve">. </w:t>
      </w:r>
      <w:proofErr w:type="spellStart"/>
      <w:proofErr w:type="gramStart"/>
      <w:r w:rsidRPr="00E96CAB">
        <w:rPr>
          <w:sz w:val="22"/>
          <w:szCs w:val="22"/>
        </w:rPr>
        <w:t>Ivacaftor</w:t>
      </w:r>
      <w:proofErr w:type="spellEnd"/>
      <w:r w:rsidRPr="00E96CAB">
        <w:rPr>
          <w:sz w:val="22"/>
          <w:szCs w:val="22"/>
        </w:rPr>
        <w:t xml:space="preserve"> is a CFTR </w:t>
      </w:r>
      <w:proofErr w:type="spellStart"/>
      <w:r w:rsidRPr="00E96CAB">
        <w:rPr>
          <w:sz w:val="22"/>
          <w:szCs w:val="22"/>
        </w:rPr>
        <w:t>potentiator</w:t>
      </w:r>
      <w:proofErr w:type="spellEnd"/>
      <w:r w:rsidRPr="00E96CAB">
        <w:rPr>
          <w:sz w:val="22"/>
          <w:szCs w:val="22"/>
        </w:rPr>
        <w:t xml:space="preserve"> that facilitates increased chloride transport by potentiating the channel open probability (or gating) of the CFTR protein at the cell surface.</w:t>
      </w:r>
      <w:proofErr w:type="gramEnd"/>
      <w:r w:rsidRPr="00E96CAB">
        <w:rPr>
          <w:sz w:val="22"/>
          <w:szCs w:val="22"/>
        </w:rPr>
        <w:t xml:space="preserve"> The combined effect of </w:t>
      </w:r>
      <w:proofErr w:type="spellStart"/>
      <w:r w:rsidRPr="00E96CAB">
        <w:rPr>
          <w:sz w:val="22"/>
          <w:szCs w:val="22"/>
        </w:rPr>
        <w:t>lumacaftor</w:t>
      </w:r>
      <w:proofErr w:type="spellEnd"/>
      <w:r w:rsidRPr="00E96CAB">
        <w:rPr>
          <w:sz w:val="22"/>
          <w:szCs w:val="22"/>
        </w:rPr>
        <w:t xml:space="preserve"> and </w:t>
      </w:r>
      <w:proofErr w:type="spellStart"/>
      <w:r w:rsidRPr="00E96CAB">
        <w:rPr>
          <w:sz w:val="22"/>
          <w:szCs w:val="22"/>
        </w:rPr>
        <w:t>ivacaftor</w:t>
      </w:r>
      <w:proofErr w:type="spellEnd"/>
      <w:r w:rsidRPr="00E96CAB">
        <w:rPr>
          <w:sz w:val="22"/>
          <w:szCs w:val="22"/>
        </w:rPr>
        <w:t xml:space="preserve"> is increased quantity and function of F508del</w:t>
      </w:r>
      <w:r w:rsidRPr="00E96CAB">
        <w:rPr>
          <w:sz w:val="22"/>
          <w:szCs w:val="22"/>
        </w:rPr>
        <w:noBreakHyphen/>
        <w:t>CFTR at the cell surface, resulting in increased chloride ion transport.</w:t>
      </w:r>
    </w:p>
    <w:p w:rsidR="00875EE7" w:rsidRPr="00E96CAB" w:rsidRDefault="00875EE7" w:rsidP="00867ACE">
      <w:pPr>
        <w:jc w:val="both"/>
        <w:rPr>
          <w:sz w:val="22"/>
          <w:szCs w:val="22"/>
        </w:rPr>
      </w:pPr>
    </w:p>
    <w:p w:rsidR="00875EE7" w:rsidRPr="00E96CAB" w:rsidRDefault="00875EE7" w:rsidP="007A13C2">
      <w:pPr>
        <w:jc w:val="both"/>
        <w:rPr>
          <w:b/>
          <w:sz w:val="22"/>
          <w:szCs w:val="22"/>
        </w:rPr>
      </w:pPr>
      <w:proofErr w:type="spellStart"/>
      <w:r w:rsidRPr="00E96CAB">
        <w:rPr>
          <w:b/>
          <w:sz w:val="22"/>
          <w:szCs w:val="22"/>
        </w:rPr>
        <w:t>Pharmacodynamic</w:t>
      </w:r>
      <w:proofErr w:type="spellEnd"/>
      <w:r w:rsidR="00B95A5A" w:rsidRPr="00E96CAB">
        <w:rPr>
          <w:b/>
          <w:sz w:val="22"/>
          <w:szCs w:val="22"/>
        </w:rPr>
        <w:t xml:space="preserve"> Effect</w:t>
      </w:r>
      <w:r w:rsidRPr="00E96CAB">
        <w:rPr>
          <w:b/>
          <w:sz w:val="22"/>
          <w:szCs w:val="22"/>
        </w:rPr>
        <w:t>s</w:t>
      </w:r>
    </w:p>
    <w:p w:rsidR="00260048" w:rsidRPr="00E96CAB" w:rsidRDefault="00260048" w:rsidP="00260048">
      <w:pPr>
        <w:widowControl w:val="0"/>
        <w:contextualSpacing/>
        <w:rPr>
          <w:i/>
          <w:sz w:val="22"/>
          <w:szCs w:val="22"/>
        </w:rPr>
      </w:pPr>
      <w:r w:rsidRPr="00E96CAB">
        <w:rPr>
          <w:i/>
          <w:sz w:val="22"/>
          <w:szCs w:val="22"/>
        </w:rPr>
        <w:t>Cardiovascular Effects:</w:t>
      </w:r>
    </w:p>
    <w:p w:rsidR="00260048" w:rsidRPr="00E96CAB" w:rsidRDefault="00260048" w:rsidP="00260048">
      <w:pPr>
        <w:widowControl w:val="0"/>
        <w:contextualSpacing/>
        <w:rPr>
          <w:sz w:val="22"/>
          <w:szCs w:val="22"/>
          <w:u w:val="single"/>
        </w:rPr>
      </w:pPr>
      <w:r w:rsidRPr="00E96CAB">
        <w:rPr>
          <w:sz w:val="22"/>
          <w:szCs w:val="22"/>
          <w:u w:val="single"/>
        </w:rPr>
        <w:t>Decrease in Heart Rate</w:t>
      </w:r>
    </w:p>
    <w:p w:rsidR="00260048" w:rsidRPr="00E96CAB" w:rsidRDefault="00260048" w:rsidP="00260048">
      <w:pPr>
        <w:jc w:val="both"/>
        <w:rPr>
          <w:sz w:val="22"/>
          <w:szCs w:val="22"/>
          <w:lang w:val="en-CA"/>
        </w:rPr>
      </w:pPr>
      <w:r w:rsidRPr="00E96CAB">
        <w:rPr>
          <w:bCs/>
          <w:sz w:val="22"/>
          <w:szCs w:val="22"/>
        </w:rPr>
        <w:t>During the 24</w:t>
      </w:r>
      <w:r w:rsidRPr="00E96CAB">
        <w:rPr>
          <w:sz w:val="22"/>
          <w:szCs w:val="22"/>
        </w:rPr>
        <w:noBreakHyphen/>
      </w:r>
      <w:r w:rsidRPr="00E96CAB">
        <w:rPr>
          <w:bCs/>
          <w:sz w:val="22"/>
          <w:szCs w:val="22"/>
        </w:rPr>
        <w:t>week, placebo</w:t>
      </w:r>
      <w:r w:rsidRPr="00E96CAB">
        <w:rPr>
          <w:sz w:val="22"/>
          <w:szCs w:val="22"/>
        </w:rPr>
        <w:noBreakHyphen/>
      </w:r>
      <w:r w:rsidRPr="00E96CAB">
        <w:rPr>
          <w:bCs/>
          <w:sz w:val="22"/>
          <w:szCs w:val="22"/>
        </w:rPr>
        <w:t xml:space="preserve">controlled, Phase 3 studies, a maximum decrease in mean heart rate of 6 beats per minute (bpm) from baseline was observed on Day 1 and Day 15. After Week 4, the mean change in heart rate ranged from 1 to 2 bpm below baseline among patients treated with </w:t>
      </w:r>
      <w:proofErr w:type="spellStart"/>
      <w:r w:rsidRPr="00E96CAB">
        <w:rPr>
          <w:bCs/>
          <w:sz w:val="22"/>
          <w:szCs w:val="22"/>
        </w:rPr>
        <w:t>lumacaftor</w:t>
      </w:r>
      <w:proofErr w:type="spellEnd"/>
      <w:r w:rsidRPr="00E96CAB">
        <w:rPr>
          <w:bCs/>
          <w:sz w:val="22"/>
          <w:szCs w:val="22"/>
        </w:rPr>
        <w:t>/</w:t>
      </w:r>
      <w:proofErr w:type="spellStart"/>
      <w:r w:rsidRPr="00E96CAB">
        <w:rPr>
          <w:bCs/>
          <w:sz w:val="22"/>
          <w:szCs w:val="22"/>
        </w:rPr>
        <w:t>ivacaftor</w:t>
      </w:r>
      <w:proofErr w:type="spellEnd"/>
      <w:r w:rsidRPr="00E96CAB">
        <w:rPr>
          <w:bCs/>
          <w:sz w:val="22"/>
          <w:szCs w:val="22"/>
        </w:rPr>
        <w:t xml:space="preserve">. The percentage of </w:t>
      </w:r>
      <w:r w:rsidRPr="00E96CAB">
        <w:rPr>
          <w:sz w:val="22"/>
          <w:szCs w:val="22"/>
          <w:lang w:val="en-CA"/>
        </w:rPr>
        <w:t xml:space="preserve">patients with heart rate values &lt;50 bpm on treatment was 11% for patients who received </w:t>
      </w:r>
      <w:proofErr w:type="spellStart"/>
      <w:r w:rsidRPr="00E96CAB">
        <w:rPr>
          <w:sz w:val="22"/>
          <w:szCs w:val="22"/>
          <w:lang w:val="en-CA"/>
        </w:rPr>
        <w:t>lumacaftor</w:t>
      </w:r>
      <w:proofErr w:type="spellEnd"/>
      <w:r w:rsidRPr="00E96CAB">
        <w:rPr>
          <w:sz w:val="22"/>
          <w:szCs w:val="22"/>
          <w:lang w:val="en-CA"/>
        </w:rPr>
        <w:t>/</w:t>
      </w:r>
      <w:proofErr w:type="spellStart"/>
      <w:r w:rsidRPr="00E96CAB">
        <w:rPr>
          <w:sz w:val="22"/>
          <w:szCs w:val="22"/>
          <w:lang w:val="en-CA"/>
        </w:rPr>
        <w:t>ivacaftor</w:t>
      </w:r>
      <w:proofErr w:type="spellEnd"/>
      <w:r w:rsidRPr="00E96CAB">
        <w:rPr>
          <w:sz w:val="22"/>
          <w:szCs w:val="22"/>
          <w:lang w:val="en-CA"/>
        </w:rPr>
        <w:t>, compared to 4.9% for patients who received placebo.</w:t>
      </w:r>
    </w:p>
    <w:p w:rsidR="00260048" w:rsidRPr="00E96CAB" w:rsidRDefault="00260048" w:rsidP="00260048">
      <w:pPr>
        <w:jc w:val="both"/>
        <w:rPr>
          <w:b/>
          <w:sz w:val="22"/>
          <w:szCs w:val="22"/>
        </w:rPr>
      </w:pPr>
    </w:p>
    <w:p w:rsidR="00B95A5A" w:rsidRPr="00E96CAB" w:rsidRDefault="00B95A5A" w:rsidP="00B95A5A">
      <w:pPr>
        <w:pStyle w:val="labeltext"/>
        <w:rPr>
          <w:u w:val="single"/>
          <w:lang w:val="en-GB"/>
        </w:rPr>
      </w:pPr>
      <w:r w:rsidRPr="00E96CAB">
        <w:rPr>
          <w:u w:val="single"/>
          <w:lang w:val="en-GB"/>
        </w:rPr>
        <w:t>Clinical Study Examining QT Interval</w:t>
      </w:r>
    </w:p>
    <w:p w:rsidR="00B95A5A" w:rsidRPr="00E96CAB" w:rsidRDefault="00B95A5A" w:rsidP="00B95A5A">
      <w:pPr>
        <w:pStyle w:val="labeltext"/>
        <w:rPr>
          <w:lang w:val="en-GB"/>
        </w:rPr>
      </w:pPr>
      <w:r w:rsidRPr="00E96CAB">
        <w:rPr>
          <w:lang w:val="en-GB"/>
        </w:rPr>
        <w:t xml:space="preserve">The effect of multiple doses of </w:t>
      </w:r>
      <w:proofErr w:type="spellStart"/>
      <w:r w:rsidRPr="00E96CAB">
        <w:rPr>
          <w:lang w:val="en-GB"/>
        </w:rPr>
        <w:t>lumacaftor</w:t>
      </w:r>
      <w:proofErr w:type="spellEnd"/>
      <w:r w:rsidRPr="00E96CAB">
        <w:rPr>
          <w:lang w:val="en-GB"/>
        </w:rPr>
        <w:t xml:space="preserve"> 600 mg once daily/</w:t>
      </w:r>
      <w:proofErr w:type="spellStart"/>
      <w:r w:rsidRPr="00E96CAB">
        <w:rPr>
          <w:lang w:val="en-GB"/>
        </w:rPr>
        <w:t>ivacaftor</w:t>
      </w:r>
      <w:proofErr w:type="spellEnd"/>
      <w:r w:rsidRPr="00E96CAB">
        <w:rPr>
          <w:lang w:val="en-GB"/>
        </w:rPr>
        <w:t xml:space="preserve"> 250 mg q12h and </w:t>
      </w:r>
      <w:proofErr w:type="spellStart"/>
      <w:r w:rsidRPr="00E96CAB">
        <w:rPr>
          <w:lang w:val="en-GB"/>
        </w:rPr>
        <w:t>lumacaftor</w:t>
      </w:r>
      <w:proofErr w:type="spellEnd"/>
      <w:r w:rsidRPr="00E96CAB">
        <w:rPr>
          <w:lang w:val="en-GB"/>
        </w:rPr>
        <w:t xml:space="preserve"> 1000 mg once daily/</w:t>
      </w:r>
      <w:proofErr w:type="spellStart"/>
      <w:r w:rsidRPr="00E96CAB">
        <w:rPr>
          <w:lang w:val="en-GB"/>
        </w:rPr>
        <w:t>ivacaftor</w:t>
      </w:r>
      <w:proofErr w:type="spellEnd"/>
      <w:r w:rsidRPr="00E96CAB">
        <w:rPr>
          <w:lang w:val="en-GB"/>
        </w:rPr>
        <w:t xml:space="preserve"> 450 mg q12h on </w:t>
      </w:r>
      <w:proofErr w:type="spellStart"/>
      <w:r w:rsidRPr="00E96CAB">
        <w:rPr>
          <w:lang w:val="en-GB"/>
        </w:rPr>
        <w:t>QTc</w:t>
      </w:r>
      <w:proofErr w:type="spellEnd"/>
      <w:r w:rsidRPr="00E96CAB">
        <w:rPr>
          <w:lang w:val="en-GB"/>
        </w:rPr>
        <w:t xml:space="preserve"> interval was evaluated in a randomised, placebo- and active</w:t>
      </w:r>
      <w:r w:rsidRPr="00E96CAB">
        <w:rPr>
          <w:lang w:val="en-GB"/>
        </w:rPr>
        <w:noBreakHyphen/>
        <w:t xml:space="preserve">controlled (400 mg moxifloxacin), parallel, thorough QT study in 168 healthy subjects. No meaningful changes in </w:t>
      </w:r>
      <w:proofErr w:type="spellStart"/>
      <w:r w:rsidRPr="00E96CAB">
        <w:rPr>
          <w:lang w:val="en-GB"/>
        </w:rPr>
        <w:t>QTc</w:t>
      </w:r>
      <w:proofErr w:type="spellEnd"/>
      <w:r w:rsidRPr="00E96CAB">
        <w:rPr>
          <w:lang w:val="en-GB"/>
        </w:rPr>
        <w:t xml:space="preserve"> interval were observed with either </w:t>
      </w:r>
      <w:proofErr w:type="spellStart"/>
      <w:r w:rsidRPr="00E96CAB">
        <w:rPr>
          <w:lang w:val="en-GB"/>
        </w:rPr>
        <w:t>lumacaftor</w:t>
      </w:r>
      <w:proofErr w:type="spellEnd"/>
      <w:r w:rsidRPr="00E96CAB">
        <w:rPr>
          <w:lang w:val="en-GB"/>
        </w:rPr>
        <w:t xml:space="preserve"> 600 mg once daily/</w:t>
      </w:r>
      <w:proofErr w:type="spellStart"/>
      <w:r w:rsidRPr="00E96CAB">
        <w:rPr>
          <w:lang w:val="en-GB"/>
        </w:rPr>
        <w:t>ivacaftor</w:t>
      </w:r>
      <w:proofErr w:type="spellEnd"/>
      <w:r w:rsidRPr="00E96CAB">
        <w:rPr>
          <w:lang w:val="en-GB"/>
        </w:rPr>
        <w:t xml:space="preserve"> 250 mg q12h </w:t>
      </w:r>
      <w:r w:rsidR="00C17713" w:rsidRPr="00E96CAB">
        <w:rPr>
          <w:lang w:val="en-GB"/>
        </w:rPr>
        <w:t>or</w:t>
      </w:r>
      <w:r w:rsidRPr="00E96CAB">
        <w:rPr>
          <w:lang w:val="en-GB"/>
        </w:rPr>
        <w:t xml:space="preserve"> </w:t>
      </w:r>
      <w:proofErr w:type="spellStart"/>
      <w:r w:rsidRPr="00E96CAB">
        <w:rPr>
          <w:lang w:val="en-GB"/>
        </w:rPr>
        <w:t>lumacaftor</w:t>
      </w:r>
      <w:proofErr w:type="spellEnd"/>
      <w:r w:rsidRPr="00E96CAB">
        <w:rPr>
          <w:lang w:val="en-GB"/>
        </w:rPr>
        <w:t xml:space="preserve"> 1000 mg once daily/</w:t>
      </w:r>
      <w:proofErr w:type="spellStart"/>
      <w:r w:rsidRPr="00E96CAB">
        <w:rPr>
          <w:lang w:val="en-GB"/>
        </w:rPr>
        <w:t>ivacaftor</w:t>
      </w:r>
      <w:proofErr w:type="spellEnd"/>
      <w:r w:rsidRPr="00E96CAB">
        <w:rPr>
          <w:lang w:val="en-GB"/>
        </w:rPr>
        <w:t xml:space="preserve"> 450 mg q1</w:t>
      </w:r>
      <w:r w:rsidR="00C17713" w:rsidRPr="00E96CAB">
        <w:rPr>
          <w:lang w:val="en-GB"/>
        </w:rPr>
        <w:t>2h dose group.</w:t>
      </w:r>
    </w:p>
    <w:p w:rsidR="0082547A" w:rsidRPr="00E96CAB" w:rsidRDefault="0082547A" w:rsidP="00867ACE">
      <w:pPr>
        <w:jc w:val="both"/>
        <w:rPr>
          <w:sz w:val="22"/>
          <w:szCs w:val="22"/>
        </w:rPr>
      </w:pPr>
    </w:p>
    <w:p w:rsidR="00875EE7" w:rsidRPr="00E96CAB" w:rsidRDefault="00875EE7" w:rsidP="00867ACE">
      <w:pPr>
        <w:jc w:val="both"/>
        <w:rPr>
          <w:b/>
          <w:sz w:val="22"/>
          <w:szCs w:val="22"/>
        </w:rPr>
      </w:pPr>
      <w:r w:rsidRPr="00E96CAB">
        <w:rPr>
          <w:b/>
          <w:sz w:val="22"/>
          <w:szCs w:val="22"/>
        </w:rPr>
        <w:t>Pharmacokinetics</w:t>
      </w:r>
    </w:p>
    <w:p w:rsidR="00875EE7" w:rsidRPr="00E96CAB" w:rsidRDefault="0023240A" w:rsidP="00B013F6">
      <w:pPr>
        <w:rPr>
          <w:sz w:val="22"/>
          <w:szCs w:val="22"/>
        </w:rPr>
      </w:pPr>
      <w:r w:rsidRPr="00E96CAB">
        <w:rPr>
          <w:sz w:val="22"/>
          <w:szCs w:val="22"/>
        </w:rPr>
        <w:t xml:space="preserve">The exposure (AUC) of </w:t>
      </w:r>
      <w:proofErr w:type="spellStart"/>
      <w:r w:rsidRPr="00E96CAB">
        <w:rPr>
          <w:sz w:val="22"/>
          <w:szCs w:val="22"/>
        </w:rPr>
        <w:t>lumacaftor</w:t>
      </w:r>
      <w:proofErr w:type="spellEnd"/>
      <w:r w:rsidRPr="00E96CAB">
        <w:rPr>
          <w:sz w:val="22"/>
          <w:szCs w:val="22"/>
        </w:rPr>
        <w:t xml:space="preserve"> is approximately 2</w:t>
      </w:r>
      <w:r w:rsidRPr="00E96CAB">
        <w:rPr>
          <w:sz w:val="22"/>
          <w:szCs w:val="22"/>
        </w:rPr>
        <w:noBreakHyphen/>
        <w:t xml:space="preserve">fold higher in healthy adult volunteers compared to exposure in patients with CF. The exposure of </w:t>
      </w:r>
      <w:proofErr w:type="spellStart"/>
      <w:r w:rsidRPr="00E96CAB">
        <w:rPr>
          <w:sz w:val="22"/>
          <w:szCs w:val="22"/>
        </w:rPr>
        <w:t>ivacaftor</w:t>
      </w:r>
      <w:proofErr w:type="spellEnd"/>
      <w:r w:rsidRPr="00E96CAB">
        <w:rPr>
          <w:sz w:val="22"/>
          <w:szCs w:val="22"/>
        </w:rPr>
        <w:t xml:space="preserve"> is similar between healthy adult volunteers and patients with CF. After twice</w:t>
      </w:r>
      <w:r w:rsidRPr="00E96CAB">
        <w:rPr>
          <w:sz w:val="22"/>
          <w:szCs w:val="22"/>
        </w:rPr>
        <w:noBreakHyphen/>
        <w:t>daily dosing, steady</w:t>
      </w:r>
      <w:r w:rsidRPr="00E96CAB">
        <w:rPr>
          <w:sz w:val="22"/>
          <w:szCs w:val="22"/>
        </w:rPr>
        <w:noBreakHyphen/>
        <w:t xml:space="preserve">state plasma concentrations of </w:t>
      </w:r>
      <w:proofErr w:type="spellStart"/>
      <w:r w:rsidRPr="00E96CAB">
        <w:rPr>
          <w:sz w:val="22"/>
          <w:szCs w:val="22"/>
        </w:rPr>
        <w:t>lumacaftor</w:t>
      </w:r>
      <w:proofErr w:type="spellEnd"/>
      <w:r w:rsidRPr="00E96CAB">
        <w:rPr>
          <w:sz w:val="22"/>
          <w:szCs w:val="22"/>
        </w:rPr>
        <w:t xml:space="preserve"> and </w:t>
      </w:r>
      <w:proofErr w:type="spellStart"/>
      <w:r w:rsidRPr="00E96CAB">
        <w:rPr>
          <w:sz w:val="22"/>
          <w:szCs w:val="22"/>
        </w:rPr>
        <w:t>ivacaftor</w:t>
      </w:r>
      <w:proofErr w:type="spellEnd"/>
      <w:r w:rsidRPr="00E96CAB">
        <w:rPr>
          <w:sz w:val="22"/>
          <w:szCs w:val="22"/>
        </w:rPr>
        <w:t xml:space="preserve"> in healthy subjects were generally reached after approximately 7 days of treatment, with an accumulation ratio of approximately 1.9 for </w:t>
      </w:r>
      <w:proofErr w:type="spellStart"/>
      <w:r w:rsidRPr="00E96CAB">
        <w:rPr>
          <w:sz w:val="22"/>
          <w:szCs w:val="22"/>
        </w:rPr>
        <w:t>lumacaftor</w:t>
      </w:r>
      <w:proofErr w:type="spellEnd"/>
      <w:r w:rsidRPr="00E96CAB">
        <w:rPr>
          <w:sz w:val="22"/>
          <w:szCs w:val="22"/>
        </w:rPr>
        <w:t>. The steady</w:t>
      </w:r>
      <w:r w:rsidRPr="00E96CAB">
        <w:rPr>
          <w:sz w:val="22"/>
          <w:szCs w:val="22"/>
        </w:rPr>
        <w:noBreakHyphen/>
        <w:t xml:space="preserve">state exposure of </w:t>
      </w:r>
      <w:proofErr w:type="spellStart"/>
      <w:r w:rsidRPr="00E96CAB">
        <w:rPr>
          <w:sz w:val="22"/>
          <w:szCs w:val="22"/>
        </w:rPr>
        <w:t>ivacaftor</w:t>
      </w:r>
      <w:proofErr w:type="spellEnd"/>
      <w:r w:rsidRPr="00E96CAB">
        <w:rPr>
          <w:sz w:val="22"/>
          <w:szCs w:val="22"/>
        </w:rPr>
        <w:t xml:space="preserve"> is lower than that of </w:t>
      </w:r>
      <w:r w:rsidR="00C17713" w:rsidRPr="00E96CAB">
        <w:rPr>
          <w:sz w:val="22"/>
          <w:szCs w:val="22"/>
        </w:rPr>
        <w:t>D</w:t>
      </w:r>
      <w:r w:rsidRPr="00E96CAB">
        <w:rPr>
          <w:sz w:val="22"/>
          <w:szCs w:val="22"/>
        </w:rPr>
        <w:t xml:space="preserve">ay 1 due to the CYP3A induction effect of </w:t>
      </w:r>
      <w:proofErr w:type="spellStart"/>
      <w:r w:rsidRPr="00E96CAB">
        <w:rPr>
          <w:sz w:val="22"/>
          <w:szCs w:val="22"/>
        </w:rPr>
        <w:t>lumacaftor</w:t>
      </w:r>
      <w:proofErr w:type="spellEnd"/>
      <w:r w:rsidRPr="00E96CAB">
        <w:rPr>
          <w:sz w:val="22"/>
          <w:szCs w:val="22"/>
        </w:rPr>
        <w:t>.</w:t>
      </w:r>
    </w:p>
    <w:p w:rsidR="00875EE7" w:rsidRPr="00E96CAB" w:rsidRDefault="00875EE7" w:rsidP="007E244E">
      <w:pPr>
        <w:jc w:val="both"/>
        <w:rPr>
          <w:sz w:val="22"/>
          <w:szCs w:val="22"/>
        </w:rPr>
      </w:pPr>
    </w:p>
    <w:p w:rsidR="00875EE7" w:rsidRPr="00E96CAB" w:rsidRDefault="00875EE7" w:rsidP="00783B13">
      <w:pPr>
        <w:tabs>
          <w:tab w:val="left" w:pos="270"/>
        </w:tabs>
        <w:rPr>
          <w:b/>
          <w:i/>
          <w:sz w:val="22"/>
          <w:szCs w:val="22"/>
        </w:rPr>
      </w:pPr>
      <w:r w:rsidRPr="00E96CAB">
        <w:rPr>
          <w:b/>
          <w:i/>
          <w:sz w:val="22"/>
          <w:szCs w:val="22"/>
        </w:rPr>
        <w:t>Absorption</w:t>
      </w:r>
    </w:p>
    <w:p w:rsidR="0023240A" w:rsidRPr="00E96CAB" w:rsidRDefault="0023240A" w:rsidP="0023240A">
      <w:pPr>
        <w:pStyle w:val="Body"/>
        <w:ind w:firstLine="0"/>
        <w:jc w:val="left"/>
        <w:rPr>
          <w:rFonts w:ascii="Times New Roman" w:hAnsi="Times New Roman"/>
          <w:sz w:val="22"/>
          <w:szCs w:val="22"/>
          <w:shd w:val="clear" w:color="auto" w:fill="FFFFFF"/>
        </w:rPr>
      </w:pPr>
      <w:r w:rsidRPr="00E96CAB">
        <w:rPr>
          <w:rFonts w:ascii="Times New Roman" w:hAnsi="Times New Roman"/>
          <w:bCs/>
          <w:sz w:val="22"/>
          <w:szCs w:val="22"/>
        </w:rPr>
        <w:t xml:space="preserve">Following multiple oral doses of </w:t>
      </w:r>
      <w:proofErr w:type="spellStart"/>
      <w:r w:rsidRPr="00E96CAB">
        <w:rPr>
          <w:rFonts w:ascii="Times New Roman" w:hAnsi="Times New Roman"/>
          <w:bCs/>
          <w:sz w:val="22"/>
          <w:szCs w:val="22"/>
        </w:rPr>
        <w:t>lumacaftor</w:t>
      </w:r>
      <w:proofErr w:type="spellEnd"/>
      <w:r w:rsidRPr="00E96CAB">
        <w:rPr>
          <w:rFonts w:ascii="Times New Roman" w:hAnsi="Times New Roman"/>
          <w:bCs/>
          <w:sz w:val="22"/>
          <w:szCs w:val="22"/>
        </w:rPr>
        <w:t xml:space="preserve"> </w:t>
      </w:r>
      <w:r w:rsidR="00C308DD" w:rsidRPr="00E96CAB">
        <w:rPr>
          <w:rFonts w:ascii="Times New Roman" w:hAnsi="Times New Roman"/>
          <w:bCs/>
          <w:sz w:val="22"/>
          <w:szCs w:val="22"/>
        </w:rPr>
        <w:t xml:space="preserve">given in combination with </w:t>
      </w:r>
      <w:proofErr w:type="spellStart"/>
      <w:r w:rsidR="00C308DD" w:rsidRPr="00E96CAB">
        <w:rPr>
          <w:rFonts w:ascii="Times New Roman" w:hAnsi="Times New Roman"/>
          <w:bCs/>
          <w:sz w:val="22"/>
          <w:szCs w:val="22"/>
        </w:rPr>
        <w:t>ivacaftor</w:t>
      </w:r>
      <w:proofErr w:type="spellEnd"/>
      <w:r w:rsidR="00C308DD" w:rsidRPr="00E96CAB">
        <w:rPr>
          <w:rFonts w:ascii="Times New Roman" w:hAnsi="Times New Roman"/>
          <w:bCs/>
          <w:sz w:val="22"/>
          <w:szCs w:val="22"/>
        </w:rPr>
        <w:t xml:space="preserve">, </w:t>
      </w:r>
      <w:r w:rsidR="008B2190" w:rsidRPr="00E96CAB">
        <w:rPr>
          <w:rFonts w:ascii="Times New Roman" w:hAnsi="Times New Roman"/>
          <w:bCs/>
          <w:sz w:val="22"/>
          <w:szCs w:val="22"/>
        </w:rPr>
        <w:t xml:space="preserve">the exposure of </w:t>
      </w:r>
      <w:proofErr w:type="spellStart"/>
      <w:r w:rsidR="008B2190" w:rsidRPr="00E96CAB">
        <w:rPr>
          <w:rFonts w:ascii="Times New Roman" w:hAnsi="Times New Roman"/>
          <w:bCs/>
          <w:sz w:val="22"/>
          <w:szCs w:val="22"/>
        </w:rPr>
        <w:t>lumacaftor</w:t>
      </w:r>
      <w:proofErr w:type="spellEnd"/>
      <w:r w:rsidR="008B2190" w:rsidRPr="00E96CAB">
        <w:rPr>
          <w:rFonts w:ascii="Times New Roman" w:hAnsi="Times New Roman"/>
          <w:bCs/>
          <w:sz w:val="22"/>
          <w:szCs w:val="22"/>
        </w:rPr>
        <w:t xml:space="preserve"> </w:t>
      </w:r>
      <w:r w:rsidRPr="00E96CAB">
        <w:rPr>
          <w:rFonts w:ascii="Times New Roman" w:hAnsi="Times New Roman"/>
          <w:bCs/>
          <w:sz w:val="22"/>
          <w:szCs w:val="22"/>
        </w:rPr>
        <w:t xml:space="preserve">generally increased proportional to dose over the range of </w:t>
      </w:r>
      <w:r w:rsidR="00C308DD" w:rsidRPr="00E96CAB">
        <w:rPr>
          <w:rFonts w:ascii="Times New Roman" w:hAnsi="Times New Roman"/>
          <w:bCs/>
          <w:sz w:val="22"/>
          <w:szCs w:val="22"/>
        </w:rPr>
        <w:t>200</w:t>
      </w:r>
      <w:r w:rsidRPr="00E96CAB">
        <w:rPr>
          <w:rFonts w:ascii="Times New Roman" w:hAnsi="Times New Roman"/>
          <w:bCs/>
          <w:sz w:val="22"/>
          <w:szCs w:val="22"/>
        </w:rPr>
        <w:t xml:space="preserve"> mg to </w:t>
      </w:r>
      <w:r w:rsidR="00C308DD" w:rsidRPr="00E96CAB">
        <w:rPr>
          <w:rFonts w:ascii="Times New Roman" w:hAnsi="Times New Roman"/>
          <w:bCs/>
          <w:sz w:val="22"/>
          <w:szCs w:val="22"/>
        </w:rPr>
        <w:t>800</w:t>
      </w:r>
      <w:r w:rsidRPr="00E96CAB">
        <w:rPr>
          <w:rFonts w:ascii="Times New Roman" w:hAnsi="Times New Roman"/>
          <w:bCs/>
          <w:sz w:val="22"/>
          <w:szCs w:val="22"/>
        </w:rPr>
        <w:t xml:space="preserve"> mg every 24 hours. The exposure of </w:t>
      </w:r>
      <w:proofErr w:type="spellStart"/>
      <w:r w:rsidRPr="00E96CAB">
        <w:rPr>
          <w:rFonts w:ascii="Times New Roman" w:hAnsi="Times New Roman"/>
          <w:bCs/>
          <w:sz w:val="22"/>
          <w:szCs w:val="22"/>
        </w:rPr>
        <w:t>lumacaftor</w:t>
      </w:r>
      <w:proofErr w:type="spellEnd"/>
      <w:r w:rsidRPr="00E96CAB">
        <w:rPr>
          <w:rFonts w:ascii="Times New Roman" w:hAnsi="Times New Roman"/>
          <w:bCs/>
          <w:sz w:val="22"/>
          <w:szCs w:val="22"/>
        </w:rPr>
        <w:t xml:space="preserve"> increased approximately 2</w:t>
      </w:r>
      <w:r w:rsidRPr="00E96CAB">
        <w:rPr>
          <w:rFonts w:ascii="Times New Roman" w:hAnsi="Times New Roman"/>
          <w:sz w:val="22"/>
          <w:szCs w:val="22"/>
        </w:rPr>
        <w:noBreakHyphen/>
      </w:r>
      <w:r w:rsidRPr="00E96CAB">
        <w:rPr>
          <w:rFonts w:ascii="Times New Roman" w:hAnsi="Times New Roman"/>
          <w:bCs/>
          <w:sz w:val="22"/>
          <w:szCs w:val="22"/>
        </w:rPr>
        <w:t>fold when given with fat</w:t>
      </w:r>
      <w:r w:rsidRPr="00E96CAB">
        <w:rPr>
          <w:rFonts w:ascii="Times New Roman" w:hAnsi="Times New Roman"/>
          <w:bCs/>
          <w:sz w:val="22"/>
          <w:szCs w:val="22"/>
        </w:rPr>
        <w:noBreakHyphen/>
        <w:t xml:space="preserve">containing food relative to fasted conditions. The median (range) </w:t>
      </w:r>
      <w:proofErr w:type="spellStart"/>
      <w:r w:rsidRPr="00E96CAB">
        <w:rPr>
          <w:rFonts w:ascii="Times New Roman" w:hAnsi="Times New Roman"/>
          <w:bCs/>
          <w:sz w:val="22"/>
          <w:szCs w:val="22"/>
        </w:rPr>
        <w:t>t</w:t>
      </w:r>
      <w:r w:rsidRPr="00E96CAB">
        <w:rPr>
          <w:rFonts w:ascii="Times New Roman" w:hAnsi="Times New Roman"/>
          <w:bCs/>
          <w:sz w:val="22"/>
          <w:szCs w:val="22"/>
          <w:vertAlign w:val="subscript"/>
        </w:rPr>
        <w:t>max</w:t>
      </w:r>
      <w:proofErr w:type="spellEnd"/>
      <w:r w:rsidRPr="00E96CAB">
        <w:rPr>
          <w:rFonts w:ascii="Times New Roman" w:hAnsi="Times New Roman"/>
          <w:bCs/>
          <w:sz w:val="22"/>
          <w:szCs w:val="22"/>
        </w:rPr>
        <w:t xml:space="preserve"> of </w:t>
      </w:r>
      <w:proofErr w:type="spellStart"/>
      <w:r w:rsidRPr="00E96CAB">
        <w:rPr>
          <w:rFonts w:ascii="Times New Roman" w:hAnsi="Times New Roman"/>
          <w:bCs/>
          <w:sz w:val="22"/>
          <w:szCs w:val="22"/>
        </w:rPr>
        <w:t>lumacaftor</w:t>
      </w:r>
      <w:proofErr w:type="spellEnd"/>
      <w:r w:rsidRPr="00E96CAB">
        <w:rPr>
          <w:rFonts w:ascii="Times New Roman" w:hAnsi="Times New Roman"/>
          <w:bCs/>
          <w:sz w:val="22"/>
          <w:szCs w:val="22"/>
        </w:rPr>
        <w:t xml:space="preserve"> is approximately 4.0 hours (2.0; 9.0) in the fed state.</w:t>
      </w:r>
    </w:p>
    <w:p w:rsidR="0023240A" w:rsidRPr="00E96CAB" w:rsidRDefault="0023240A" w:rsidP="0023240A">
      <w:pPr>
        <w:pStyle w:val="Body"/>
        <w:ind w:firstLine="0"/>
        <w:jc w:val="left"/>
        <w:rPr>
          <w:rFonts w:ascii="Times New Roman" w:hAnsi="Times New Roman"/>
          <w:sz w:val="22"/>
          <w:szCs w:val="22"/>
          <w:shd w:val="clear" w:color="auto" w:fill="FFFFFF"/>
        </w:rPr>
      </w:pPr>
    </w:p>
    <w:p w:rsidR="00875EE7" w:rsidRPr="00E96CAB" w:rsidRDefault="0023240A" w:rsidP="0023240A">
      <w:pPr>
        <w:tabs>
          <w:tab w:val="left" w:pos="270"/>
        </w:tabs>
        <w:rPr>
          <w:bCs/>
          <w:sz w:val="22"/>
          <w:szCs w:val="22"/>
        </w:rPr>
      </w:pPr>
      <w:r w:rsidRPr="00E96CAB">
        <w:rPr>
          <w:sz w:val="22"/>
          <w:szCs w:val="22"/>
          <w:shd w:val="clear" w:color="auto" w:fill="FFFFFF"/>
        </w:rPr>
        <w:t xml:space="preserve">Following multiple oral dose administration of </w:t>
      </w:r>
      <w:proofErr w:type="spellStart"/>
      <w:r w:rsidRPr="00E96CAB">
        <w:rPr>
          <w:sz w:val="22"/>
          <w:szCs w:val="22"/>
          <w:shd w:val="clear" w:color="auto" w:fill="FFFFFF"/>
        </w:rPr>
        <w:t>ivacaftor</w:t>
      </w:r>
      <w:proofErr w:type="spellEnd"/>
      <w:r w:rsidRPr="00E96CAB">
        <w:rPr>
          <w:sz w:val="22"/>
          <w:szCs w:val="22"/>
          <w:shd w:val="clear" w:color="auto" w:fill="FFFFFF"/>
        </w:rPr>
        <w:t xml:space="preserve"> in combination with </w:t>
      </w:r>
      <w:proofErr w:type="spellStart"/>
      <w:r w:rsidRPr="00E96CAB">
        <w:rPr>
          <w:sz w:val="22"/>
          <w:szCs w:val="22"/>
          <w:shd w:val="clear" w:color="auto" w:fill="FFFFFF"/>
        </w:rPr>
        <w:t>lumacaftor</w:t>
      </w:r>
      <w:proofErr w:type="spellEnd"/>
      <w:r w:rsidRPr="00E96CAB">
        <w:rPr>
          <w:sz w:val="22"/>
          <w:szCs w:val="22"/>
          <w:shd w:val="clear" w:color="auto" w:fill="FFFFFF"/>
        </w:rPr>
        <w:t xml:space="preserve">, the exposure of </w:t>
      </w:r>
      <w:proofErr w:type="spellStart"/>
      <w:r w:rsidRPr="00E96CAB">
        <w:rPr>
          <w:sz w:val="22"/>
          <w:szCs w:val="22"/>
          <w:shd w:val="clear" w:color="auto" w:fill="FFFFFF"/>
        </w:rPr>
        <w:t>ivacaftor</w:t>
      </w:r>
      <w:proofErr w:type="spellEnd"/>
      <w:r w:rsidRPr="00E96CAB">
        <w:rPr>
          <w:sz w:val="22"/>
          <w:szCs w:val="22"/>
          <w:shd w:val="clear" w:color="auto" w:fill="FFFFFF"/>
        </w:rPr>
        <w:t xml:space="preserve"> generally increased with dose</w:t>
      </w:r>
      <w:r w:rsidR="0027604D" w:rsidRPr="00E96CAB">
        <w:rPr>
          <w:sz w:val="22"/>
          <w:szCs w:val="22"/>
          <w:shd w:val="clear" w:color="auto" w:fill="FFFFFF"/>
        </w:rPr>
        <w:t>s</w:t>
      </w:r>
      <w:r w:rsidRPr="00E96CAB">
        <w:rPr>
          <w:sz w:val="22"/>
          <w:szCs w:val="22"/>
          <w:shd w:val="clear" w:color="auto" w:fill="FFFFFF"/>
        </w:rPr>
        <w:t xml:space="preserve"> </w:t>
      </w:r>
      <w:r w:rsidR="001221CE" w:rsidRPr="00E96CAB">
        <w:rPr>
          <w:sz w:val="22"/>
          <w:szCs w:val="22"/>
          <w:shd w:val="clear" w:color="auto" w:fill="FFFFFF"/>
        </w:rPr>
        <w:t xml:space="preserve">from </w:t>
      </w:r>
      <w:r w:rsidRPr="00E96CAB">
        <w:rPr>
          <w:sz w:val="22"/>
          <w:szCs w:val="22"/>
          <w:shd w:val="clear" w:color="auto" w:fill="FFFFFF"/>
        </w:rPr>
        <w:t xml:space="preserve">150 mg every 12 hours to 250 mg every 12 hours. The exposure of </w:t>
      </w:r>
      <w:proofErr w:type="spellStart"/>
      <w:r w:rsidRPr="00E96CAB">
        <w:rPr>
          <w:sz w:val="22"/>
          <w:szCs w:val="22"/>
          <w:shd w:val="clear" w:color="auto" w:fill="FFFFFF"/>
        </w:rPr>
        <w:t>ivacaftor</w:t>
      </w:r>
      <w:proofErr w:type="spellEnd"/>
      <w:r w:rsidRPr="00E96CAB">
        <w:rPr>
          <w:sz w:val="22"/>
          <w:szCs w:val="22"/>
          <w:shd w:val="clear" w:color="auto" w:fill="FFFFFF"/>
        </w:rPr>
        <w:t xml:space="preserve"> when given in combination with </w:t>
      </w:r>
      <w:proofErr w:type="spellStart"/>
      <w:r w:rsidRPr="00E96CAB">
        <w:rPr>
          <w:sz w:val="22"/>
          <w:szCs w:val="22"/>
          <w:shd w:val="clear" w:color="auto" w:fill="FFFFFF"/>
        </w:rPr>
        <w:t>lumacaftor</w:t>
      </w:r>
      <w:proofErr w:type="spellEnd"/>
      <w:r w:rsidRPr="00E96CAB">
        <w:rPr>
          <w:sz w:val="22"/>
          <w:szCs w:val="22"/>
          <w:shd w:val="clear" w:color="auto" w:fill="FFFFFF"/>
        </w:rPr>
        <w:t xml:space="preserve"> increased approximately </w:t>
      </w:r>
      <w:r w:rsidRPr="00E96CAB">
        <w:rPr>
          <w:sz w:val="22"/>
          <w:szCs w:val="22"/>
        </w:rPr>
        <w:t>3</w:t>
      </w:r>
      <w:r w:rsidRPr="00E96CAB">
        <w:rPr>
          <w:sz w:val="22"/>
          <w:szCs w:val="22"/>
        </w:rPr>
        <w:noBreakHyphen/>
        <w:t xml:space="preserve">fold </w:t>
      </w:r>
      <w:r w:rsidRPr="00E96CAB">
        <w:rPr>
          <w:sz w:val="22"/>
          <w:szCs w:val="22"/>
          <w:shd w:val="clear" w:color="auto" w:fill="FFFFFF"/>
        </w:rPr>
        <w:t>when given with fat</w:t>
      </w:r>
      <w:r w:rsidRPr="00E96CAB">
        <w:rPr>
          <w:sz w:val="22"/>
          <w:szCs w:val="22"/>
          <w:shd w:val="clear" w:color="auto" w:fill="FFFFFF"/>
        </w:rPr>
        <w:noBreakHyphen/>
        <w:t xml:space="preserve">containing food. Therefore, </w:t>
      </w:r>
      <w:r w:rsidR="00606C30" w:rsidRPr="00E96CAB">
        <w:rPr>
          <w:sz w:val="22"/>
          <w:szCs w:val="22"/>
        </w:rPr>
        <w:lastRenderedPageBreak/>
        <w:t>ORKAMBI</w:t>
      </w:r>
      <w:r w:rsidR="002C12D4">
        <w:rPr>
          <w:sz w:val="22"/>
          <w:szCs w:val="22"/>
          <w:shd w:val="clear" w:color="auto" w:fill="FFFFFF"/>
        </w:rPr>
        <w:t> </w:t>
      </w:r>
      <w:r w:rsidR="00CE79E1" w:rsidRPr="001175F0">
        <w:rPr>
          <w:sz w:val="22"/>
          <w:szCs w:val="22"/>
        </w:rPr>
        <w:t>200/125</w:t>
      </w:r>
      <w:r w:rsidR="00CE79E1" w:rsidRPr="001175F0">
        <w:rPr>
          <w:sz w:val="22"/>
          <w:szCs w:val="22"/>
          <w:shd w:val="clear" w:color="auto" w:fill="FFFFFF"/>
        </w:rPr>
        <w:t xml:space="preserve"> </w:t>
      </w:r>
      <w:r w:rsidRPr="00E96CAB">
        <w:rPr>
          <w:sz w:val="22"/>
          <w:szCs w:val="22"/>
          <w:shd w:val="clear" w:color="auto" w:fill="FFFFFF"/>
        </w:rPr>
        <w:t>should be administered with fat</w:t>
      </w:r>
      <w:r w:rsidRPr="00E96CAB">
        <w:rPr>
          <w:sz w:val="22"/>
          <w:szCs w:val="22"/>
        </w:rPr>
        <w:noBreakHyphen/>
      </w:r>
      <w:r w:rsidRPr="00E96CAB">
        <w:rPr>
          <w:sz w:val="22"/>
          <w:szCs w:val="22"/>
          <w:shd w:val="clear" w:color="auto" w:fill="FFFFFF"/>
        </w:rPr>
        <w:t xml:space="preserve">containing food. The median (range) </w:t>
      </w:r>
      <w:proofErr w:type="spellStart"/>
      <w:r w:rsidRPr="00E96CAB">
        <w:rPr>
          <w:sz w:val="22"/>
          <w:szCs w:val="22"/>
          <w:shd w:val="clear" w:color="auto" w:fill="FFFFFF"/>
        </w:rPr>
        <w:t>t</w:t>
      </w:r>
      <w:r w:rsidRPr="00E96CAB">
        <w:rPr>
          <w:sz w:val="22"/>
          <w:szCs w:val="22"/>
          <w:shd w:val="clear" w:color="auto" w:fill="FFFFFF"/>
          <w:vertAlign w:val="subscript"/>
        </w:rPr>
        <w:t>max</w:t>
      </w:r>
      <w:proofErr w:type="spellEnd"/>
      <w:r w:rsidRPr="00E96CAB">
        <w:rPr>
          <w:sz w:val="22"/>
          <w:szCs w:val="22"/>
          <w:shd w:val="clear" w:color="auto" w:fill="FFFFFF"/>
        </w:rPr>
        <w:t xml:space="preserve"> of </w:t>
      </w:r>
      <w:proofErr w:type="spellStart"/>
      <w:r w:rsidRPr="00E96CAB">
        <w:rPr>
          <w:sz w:val="22"/>
          <w:szCs w:val="22"/>
          <w:shd w:val="clear" w:color="auto" w:fill="FFFFFF"/>
        </w:rPr>
        <w:t>ivacaftor</w:t>
      </w:r>
      <w:proofErr w:type="spellEnd"/>
      <w:r w:rsidRPr="00E96CAB">
        <w:rPr>
          <w:sz w:val="22"/>
          <w:szCs w:val="22"/>
          <w:shd w:val="clear" w:color="auto" w:fill="FFFFFF"/>
        </w:rPr>
        <w:t xml:space="preserve"> is approximately 4.0 hours (2.0; 6.0) in the fed state.</w:t>
      </w:r>
    </w:p>
    <w:p w:rsidR="00875EE7" w:rsidRPr="00E96CAB" w:rsidRDefault="00875EE7" w:rsidP="00783B13">
      <w:pPr>
        <w:jc w:val="both"/>
        <w:rPr>
          <w:i/>
          <w:sz w:val="22"/>
          <w:szCs w:val="22"/>
        </w:rPr>
      </w:pPr>
    </w:p>
    <w:p w:rsidR="00875EE7" w:rsidRPr="00E96CAB" w:rsidRDefault="00875EE7" w:rsidP="00A5018B">
      <w:pPr>
        <w:autoSpaceDE w:val="0"/>
        <w:autoSpaceDN w:val="0"/>
        <w:adjustRightInd w:val="0"/>
        <w:rPr>
          <w:b/>
          <w:i/>
          <w:sz w:val="22"/>
          <w:szCs w:val="22"/>
        </w:rPr>
      </w:pPr>
      <w:r w:rsidRPr="00E96CAB">
        <w:rPr>
          <w:b/>
          <w:i/>
          <w:sz w:val="22"/>
          <w:szCs w:val="22"/>
        </w:rPr>
        <w:t>Distribution</w:t>
      </w:r>
    </w:p>
    <w:p w:rsidR="0023240A" w:rsidRPr="00E96CAB" w:rsidRDefault="0023240A" w:rsidP="0023240A">
      <w:pPr>
        <w:pStyle w:val="Body"/>
        <w:ind w:firstLine="0"/>
        <w:jc w:val="left"/>
        <w:rPr>
          <w:rFonts w:ascii="Times New Roman" w:hAnsi="Times New Roman"/>
          <w:bCs/>
          <w:sz w:val="22"/>
          <w:szCs w:val="22"/>
        </w:rPr>
      </w:pPr>
      <w:proofErr w:type="spellStart"/>
      <w:r w:rsidRPr="00E96CAB">
        <w:rPr>
          <w:rFonts w:ascii="Times New Roman" w:hAnsi="Times New Roman"/>
          <w:bCs/>
          <w:sz w:val="22"/>
          <w:szCs w:val="22"/>
        </w:rPr>
        <w:t>Lumacaftor</w:t>
      </w:r>
      <w:proofErr w:type="spellEnd"/>
      <w:r w:rsidRPr="00E96CAB">
        <w:rPr>
          <w:rFonts w:ascii="Times New Roman" w:hAnsi="Times New Roman"/>
          <w:bCs/>
          <w:sz w:val="22"/>
          <w:szCs w:val="22"/>
        </w:rPr>
        <w:t xml:space="preserve"> is </w:t>
      </w:r>
      <w:r w:rsidR="005A0AC4" w:rsidRPr="001175F0">
        <w:rPr>
          <w:rFonts w:ascii="Times New Roman" w:hAnsi="Times New Roman"/>
          <w:bCs/>
          <w:sz w:val="22"/>
          <w:szCs w:val="22"/>
        </w:rPr>
        <w:t xml:space="preserve">more than </w:t>
      </w:r>
      <w:r w:rsidRPr="001175F0">
        <w:rPr>
          <w:rFonts w:ascii="Times New Roman" w:hAnsi="Times New Roman"/>
          <w:bCs/>
          <w:sz w:val="22"/>
          <w:szCs w:val="22"/>
        </w:rPr>
        <w:t>99</w:t>
      </w:r>
      <w:r w:rsidR="005A0AC4" w:rsidRPr="001175F0">
        <w:rPr>
          <w:rFonts w:ascii="Times New Roman" w:hAnsi="Times New Roman"/>
          <w:bCs/>
          <w:sz w:val="22"/>
          <w:szCs w:val="22"/>
        </w:rPr>
        <w:t>.9</w:t>
      </w:r>
      <w:r w:rsidRPr="00E96CAB">
        <w:rPr>
          <w:rFonts w:ascii="Times New Roman" w:hAnsi="Times New Roman"/>
          <w:bCs/>
          <w:sz w:val="22"/>
          <w:szCs w:val="22"/>
        </w:rPr>
        <w:t>% bound to plasma proteins, primarily to albumin. After oral administration of 400 mg every 12 hours in patients</w:t>
      </w:r>
      <w:r w:rsidR="00F45236" w:rsidRPr="00E96CAB">
        <w:rPr>
          <w:rFonts w:ascii="Times New Roman" w:hAnsi="Times New Roman"/>
          <w:bCs/>
          <w:sz w:val="22"/>
          <w:szCs w:val="22"/>
        </w:rPr>
        <w:t xml:space="preserve"> with CF</w:t>
      </w:r>
      <w:r w:rsidRPr="00E96CAB">
        <w:rPr>
          <w:rFonts w:ascii="Times New Roman" w:hAnsi="Times New Roman"/>
          <w:bCs/>
          <w:sz w:val="22"/>
          <w:szCs w:val="22"/>
        </w:rPr>
        <w:t xml:space="preserve"> in a fed state, the typical apparent volumes of distribution for the central and peripheral compartments (CV) were estimated to be 23.5 L (48.7%) and 33.3 L (30.5%), respectively.</w:t>
      </w:r>
    </w:p>
    <w:p w:rsidR="0023240A" w:rsidRPr="00E96CAB" w:rsidRDefault="0023240A" w:rsidP="0023240A">
      <w:pPr>
        <w:pStyle w:val="Body"/>
        <w:ind w:firstLine="0"/>
        <w:jc w:val="left"/>
        <w:rPr>
          <w:rFonts w:ascii="Times New Roman" w:hAnsi="Times New Roman"/>
          <w:bCs/>
          <w:sz w:val="22"/>
          <w:szCs w:val="22"/>
        </w:rPr>
      </w:pPr>
    </w:p>
    <w:p w:rsidR="00875EE7" w:rsidRPr="00E96CAB" w:rsidRDefault="0023240A" w:rsidP="0023240A">
      <w:pPr>
        <w:pStyle w:val="labeltext"/>
        <w:rPr>
          <w:bCs/>
        </w:rPr>
      </w:pPr>
      <w:proofErr w:type="spellStart"/>
      <w:r w:rsidRPr="00E96CAB">
        <w:rPr>
          <w:bCs/>
        </w:rPr>
        <w:t>Ivacaftor</w:t>
      </w:r>
      <w:proofErr w:type="spellEnd"/>
      <w:r w:rsidRPr="00E96CAB">
        <w:rPr>
          <w:bCs/>
        </w:rPr>
        <w:t xml:space="preserve"> is approximately 99% bound to plasma proteins, primarily to alpha 1</w:t>
      </w:r>
      <w:r w:rsidRPr="00E96CAB">
        <w:rPr>
          <w:bCs/>
        </w:rPr>
        <w:noBreakHyphen/>
        <w:t xml:space="preserve">acid glycoprotein and albumin. After oral administration of </w:t>
      </w:r>
      <w:proofErr w:type="spellStart"/>
      <w:r w:rsidRPr="00E96CAB">
        <w:rPr>
          <w:bCs/>
        </w:rPr>
        <w:t>ivacaftor</w:t>
      </w:r>
      <w:proofErr w:type="spellEnd"/>
      <w:r w:rsidRPr="00E96CAB">
        <w:rPr>
          <w:bCs/>
        </w:rPr>
        <w:t xml:space="preserve"> 250 mg every 12 hours in combination with </w:t>
      </w:r>
      <w:proofErr w:type="spellStart"/>
      <w:r w:rsidRPr="00E96CAB">
        <w:rPr>
          <w:bCs/>
        </w:rPr>
        <w:t>lumacaftor</w:t>
      </w:r>
      <w:proofErr w:type="spellEnd"/>
      <w:r w:rsidRPr="00E96CAB">
        <w:rPr>
          <w:bCs/>
        </w:rPr>
        <w:t>, the typical apparent volumes of distribution for the central and peripheral compartments (CV) were estimated to be 95.0 L (53.9%) and 201 L (26.6%), respectively.</w:t>
      </w:r>
    </w:p>
    <w:p w:rsidR="00875EE7" w:rsidRPr="00E96CAB" w:rsidRDefault="00875EE7" w:rsidP="007E244E">
      <w:pPr>
        <w:pStyle w:val="labeltext"/>
        <w:jc w:val="both"/>
      </w:pPr>
    </w:p>
    <w:p w:rsidR="00875EE7" w:rsidRPr="00E96CAB" w:rsidRDefault="00875EE7" w:rsidP="00036DFA">
      <w:pPr>
        <w:rPr>
          <w:b/>
          <w:i/>
          <w:sz w:val="22"/>
          <w:szCs w:val="22"/>
        </w:rPr>
      </w:pPr>
      <w:r w:rsidRPr="00E96CAB">
        <w:rPr>
          <w:b/>
          <w:i/>
          <w:sz w:val="22"/>
          <w:szCs w:val="22"/>
        </w:rPr>
        <w:t>Metabolism</w:t>
      </w:r>
    </w:p>
    <w:p w:rsidR="0023240A" w:rsidRPr="001175F0" w:rsidRDefault="0023240A" w:rsidP="00246DC2">
      <w:pPr>
        <w:autoSpaceDE w:val="0"/>
        <w:autoSpaceDN w:val="0"/>
        <w:adjustRightInd w:val="0"/>
        <w:rPr>
          <w:sz w:val="22"/>
          <w:szCs w:val="22"/>
        </w:rPr>
      </w:pPr>
      <w:proofErr w:type="spellStart"/>
      <w:r w:rsidRPr="00E96CAB">
        <w:rPr>
          <w:sz w:val="22"/>
          <w:szCs w:val="22"/>
        </w:rPr>
        <w:t>Lumacaftor</w:t>
      </w:r>
      <w:proofErr w:type="spellEnd"/>
      <w:r w:rsidRPr="00E96CAB">
        <w:rPr>
          <w:sz w:val="22"/>
          <w:szCs w:val="22"/>
        </w:rPr>
        <w:t xml:space="preserve"> is not extensively </w:t>
      </w:r>
      <w:proofErr w:type="spellStart"/>
      <w:r w:rsidRPr="00E96CAB">
        <w:rPr>
          <w:sz w:val="22"/>
          <w:szCs w:val="22"/>
        </w:rPr>
        <w:t>metabolised</w:t>
      </w:r>
      <w:proofErr w:type="spellEnd"/>
      <w:r w:rsidRPr="00E96CAB">
        <w:rPr>
          <w:sz w:val="22"/>
          <w:szCs w:val="22"/>
        </w:rPr>
        <w:t xml:space="preserve"> in humans with the majority of </w:t>
      </w:r>
      <w:proofErr w:type="spellStart"/>
      <w:r w:rsidRPr="00E96CAB">
        <w:rPr>
          <w:sz w:val="22"/>
          <w:szCs w:val="22"/>
        </w:rPr>
        <w:t>lumacaftor</w:t>
      </w:r>
      <w:proofErr w:type="spellEnd"/>
      <w:r w:rsidRPr="00E96CAB">
        <w:rPr>
          <w:sz w:val="22"/>
          <w:szCs w:val="22"/>
        </w:rPr>
        <w:t xml:space="preserve"> excreted unchanged in the </w:t>
      </w:r>
      <w:proofErr w:type="spellStart"/>
      <w:r w:rsidRPr="00E96CAB">
        <w:rPr>
          <w:sz w:val="22"/>
          <w:szCs w:val="22"/>
        </w:rPr>
        <w:t>faeces</w:t>
      </w:r>
      <w:proofErr w:type="spellEnd"/>
      <w:r w:rsidRPr="00E96CAB">
        <w:rPr>
          <w:sz w:val="22"/>
          <w:szCs w:val="22"/>
        </w:rPr>
        <w:t xml:space="preserve">. </w:t>
      </w:r>
      <w:r w:rsidRPr="00E96CAB">
        <w:rPr>
          <w:i/>
          <w:sz w:val="22"/>
          <w:szCs w:val="22"/>
        </w:rPr>
        <w:t>In vitro</w:t>
      </w:r>
      <w:r w:rsidRPr="00E96CAB">
        <w:rPr>
          <w:sz w:val="22"/>
          <w:szCs w:val="22"/>
        </w:rPr>
        <w:t xml:space="preserve"> and </w:t>
      </w:r>
      <w:r w:rsidRPr="00E96CAB">
        <w:rPr>
          <w:i/>
          <w:sz w:val="22"/>
          <w:szCs w:val="22"/>
        </w:rPr>
        <w:t>in vivo</w:t>
      </w:r>
      <w:r w:rsidRPr="00E96CAB">
        <w:rPr>
          <w:sz w:val="22"/>
          <w:szCs w:val="22"/>
        </w:rPr>
        <w:t xml:space="preserve"> data indicate that </w:t>
      </w:r>
      <w:proofErr w:type="spellStart"/>
      <w:r w:rsidRPr="00E96CAB">
        <w:rPr>
          <w:sz w:val="22"/>
          <w:szCs w:val="22"/>
        </w:rPr>
        <w:t>lumacaftor</w:t>
      </w:r>
      <w:proofErr w:type="spellEnd"/>
      <w:r w:rsidRPr="00E96CAB">
        <w:rPr>
          <w:sz w:val="22"/>
          <w:szCs w:val="22"/>
        </w:rPr>
        <w:t xml:space="preserve"> is mainly </w:t>
      </w:r>
      <w:proofErr w:type="spellStart"/>
      <w:r w:rsidRPr="00E96CAB">
        <w:rPr>
          <w:sz w:val="22"/>
          <w:szCs w:val="22"/>
        </w:rPr>
        <w:t>metabolised</w:t>
      </w:r>
      <w:proofErr w:type="spellEnd"/>
      <w:r w:rsidRPr="00E96CAB">
        <w:rPr>
          <w:sz w:val="22"/>
          <w:szCs w:val="22"/>
        </w:rPr>
        <w:t xml:space="preserve"> via oxidation and </w:t>
      </w:r>
      <w:proofErr w:type="spellStart"/>
      <w:r w:rsidRPr="00246DC2">
        <w:rPr>
          <w:sz w:val="22"/>
          <w:szCs w:val="22"/>
        </w:rPr>
        <w:t>glucuronidation</w:t>
      </w:r>
      <w:proofErr w:type="spellEnd"/>
      <w:r w:rsidR="00246DC2" w:rsidRPr="001175F0">
        <w:rPr>
          <w:sz w:val="22"/>
          <w:szCs w:val="22"/>
        </w:rPr>
        <w:t>, with CYP3A4 and CYP2C8 involved. The main metabolite formed, M28, is not pharmacologically active</w:t>
      </w:r>
      <w:r w:rsidRPr="001175F0">
        <w:rPr>
          <w:sz w:val="22"/>
          <w:szCs w:val="22"/>
        </w:rPr>
        <w:t>.</w:t>
      </w:r>
    </w:p>
    <w:p w:rsidR="0023240A" w:rsidRPr="001175F0" w:rsidRDefault="0023240A" w:rsidP="0023240A">
      <w:pPr>
        <w:pStyle w:val="Body"/>
        <w:ind w:firstLine="0"/>
        <w:jc w:val="left"/>
        <w:rPr>
          <w:rFonts w:ascii="Times New Roman" w:hAnsi="Times New Roman"/>
          <w:sz w:val="22"/>
          <w:szCs w:val="22"/>
        </w:rPr>
      </w:pPr>
    </w:p>
    <w:p w:rsidR="00875EE7" w:rsidRPr="00E96CAB" w:rsidRDefault="0023240A" w:rsidP="0023240A">
      <w:pPr>
        <w:rPr>
          <w:i/>
          <w:sz w:val="22"/>
          <w:szCs w:val="22"/>
        </w:rPr>
      </w:pPr>
      <w:proofErr w:type="spellStart"/>
      <w:r w:rsidRPr="00E96CAB">
        <w:rPr>
          <w:sz w:val="22"/>
          <w:szCs w:val="22"/>
        </w:rPr>
        <w:t>Ivacaftor</w:t>
      </w:r>
      <w:proofErr w:type="spellEnd"/>
      <w:r w:rsidRPr="00E96CAB">
        <w:rPr>
          <w:sz w:val="22"/>
          <w:szCs w:val="22"/>
        </w:rPr>
        <w:t xml:space="preserve"> is extensively </w:t>
      </w:r>
      <w:proofErr w:type="spellStart"/>
      <w:r w:rsidRPr="00E96CAB">
        <w:rPr>
          <w:sz w:val="22"/>
          <w:szCs w:val="22"/>
        </w:rPr>
        <w:t>metabolised</w:t>
      </w:r>
      <w:proofErr w:type="spellEnd"/>
      <w:r w:rsidRPr="00E96CAB">
        <w:rPr>
          <w:sz w:val="22"/>
          <w:szCs w:val="22"/>
        </w:rPr>
        <w:t xml:space="preserve"> in humans. </w:t>
      </w:r>
      <w:r w:rsidRPr="00E96CAB">
        <w:rPr>
          <w:i/>
          <w:sz w:val="22"/>
          <w:szCs w:val="22"/>
        </w:rPr>
        <w:t>In vitro</w:t>
      </w:r>
      <w:r w:rsidRPr="00E96CAB">
        <w:rPr>
          <w:sz w:val="22"/>
          <w:szCs w:val="22"/>
        </w:rPr>
        <w:t xml:space="preserve"> and </w:t>
      </w:r>
      <w:r w:rsidRPr="00E96CAB">
        <w:rPr>
          <w:i/>
          <w:sz w:val="22"/>
          <w:szCs w:val="22"/>
        </w:rPr>
        <w:t>in vivo</w:t>
      </w:r>
      <w:r w:rsidRPr="00E96CAB">
        <w:rPr>
          <w:sz w:val="22"/>
          <w:szCs w:val="22"/>
        </w:rPr>
        <w:t xml:space="preserve"> data indicate that </w:t>
      </w:r>
      <w:proofErr w:type="spellStart"/>
      <w:r w:rsidRPr="00E96CAB">
        <w:rPr>
          <w:sz w:val="22"/>
          <w:szCs w:val="22"/>
        </w:rPr>
        <w:t>ivacaftor</w:t>
      </w:r>
      <w:proofErr w:type="spellEnd"/>
      <w:r w:rsidRPr="00E96CAB">
        <w:rPr>
          <w:sz w:val="22"/>
          <w:szCs w:val="22"/>
        </w:rPr>
        <w:t xml:space="preserve"> is primarily </w:t>
      </w:r>
      <w:proofErr w:type="spellStart"/>
      <w:r w:rsidRPr="00E96CAB">
        <w:rPr>
          <w:sz w:val="22"/>
          <w:szCs w:val="22"/>
        </w:rPr>
        <w:t>metabolised</w:t>
      </w:r>
      <w:proofErr w:type="spellEnd"/>
      <w:r w:rsidRPr="00E96CAB">
        <w:rPr>
          <w:sz w:val="22"/>
          <w:szCs w:val="22"/>
        </w:rPr>
        <w:t xml:space="preserve"> by CYP3A. M1 and M6 are the two major metabolites of </w:t>
      </w:r>
      <w:proofErr w:type="spellStart"/>
      <w:r w:rsidRPr="00E96CAB">
        <w:rPr>
          <w:sz w:val="22"/>
          <w:szCs w:val="22"/>
        </w:rPr>
        <w:t>ivacaftor</w:t>
      </w:r>
      <w:proofErr w:type="spellEnd"/>
      <w:r w:rsidRPr="00E96CAB">
        <w:rPr>
          <w:sz w:val="22"/>
          <w:szCs w:val="22"/>
        </w:rPr>
        <w:t xml:space="preserve"> in humans. M1 has approximately one</w:t>
      </w:r>
      <w:r w:rsidRPr="00E96CAB">
        <w:rPr>
          <w:sz w:val="22"/>
          <w:szCs w:val="22"/>
        </w:rPr>
        <w:noBreakHyphen/>
        <w:t xml:space="preserve">sixth the potency of </w:t>
      </w:r>
      <w:proofErr w:type="spellStart"/>
      <w:r w:rsidRPr="00E96CAB">
        <w:rPr>
          <w:sz w:val="22"/>
          <w:szCs w:val="22"/>
        </w:rPr>
        <w:t>ivacaftor</w:t>
      </w:r>
      <w:proofErr w:type="spellEnd"/>
      <w:r w:rsidRPr="00E96CAB">
        <w:rPr>
          <w:sz w:val="22"/>
          <w:szCs w:val="22"/>
        </w:rPr>
        <w:t xml:space="preserve"> and is considered pharmacologically active. M6 has less than one</w:t>
      </w:r>
      <w:r w:rsidRPr="00E96CAB">
        <w:rPr>
          <w:sz w:val="22"/>
          <w:szCs w:val="22"/>
        </w:rPr>
        <w:noBreakHyphen/>
        <w:t xml:space="preserve">fiftieth the potency of </w:t>
      </w:r>
      <w:proofErr w:type="spellStart"/>
      <w:r w:rsidRPr="00E96CAB">
        <w:rPr>
          <w:sz w:val="22"/>
          <w:szCs w:val="22"/>
        </w:rPr>
        <w:t>ivacaftor</w:t>
      </w:r>
      <w:proofErr w:type="spellEnd"/>
      <w:r w:rsidRPr="00E96CAB">
        <w:rPr>
          <w:sz w:val="22"/>
          <w:szCs w:val="22"/>
        </w:rPr>
        <w:t xml:space="preserve"> and is not considered pharmacologically active.</w:t>
      </w:r>
    </w:p>
    <w:p w:rsidR="00875EE7" w:rsidRPr="00E96CAB" w:rsidRDefault="00875EE7" w:rsidP="007E244E">
      <w:pPr>
        <w:rPr>
          <w:i/>
          <w:sz w:val="22"/>
          <w:szCs w:val="22"/>
        </w:rPr>
      </w:pPr>
    </w:p>
    <w:p w:rsidR="00875EE7" w:rsidRPr="00E96CAB" w:rsidRDefault="00875EE7" w:rsidP="00696BD9">
      <w:pPr>
        <w:rPr>
          <w:b/>
          <w:i/>
          <w:sz w:val="22"/>
          <w:szCs w:val="22"/>
        </w:rPr>
      </w:pPr>
      <w:r w:rsidRPr="00E96CAB">
        <w:rPr>
          <w:b/>
          <w:i/>
          <w:sz w:val="22"/>
          <w:szCs w:val="22"/>
        </w:rPr>
        <w:t>Excretion</w:t>
      </w:r>
    </w:p>
    <w:p w:rsidR="00D70B7F" w:rsidRPr="00E96CAB" w:rsidRDefault="0023240A" w:rsidP="00D70B7F">
      <w:pPr>
        <w:pStyle w:val="Body"/>
        <w:ind w:firstLine="0"/>
        <w:jc w:val="left"/>
        <w:rPr>
          <w:rFonts w:ascii="Times New Roman" w:hAnsi="Times New Roman"/>
          <w:sz w:val="22"/>
          <w:szCs w:val="22"/>
        </w:rPr>
      </w:pPr>
      <w:r w:rsidRPr="00E96CAB">
        <w:rPr>
          <w:rFonts w:ascii="Times New Roman" w:hAnsi="Times New Roman"/>
          <w:sz w:val="22"/>
          <w:szCs w:val="22"/>
        </w:rPr>
        <w:t xml:space="preserve">Following oral administration of </w:t>
      </w:r>
      <w:proofErr w:type="spellStart"/>
      <w:r w:rsidRPr="00E96CAB">
        <w:rPr>
          <w:rFonts w:ascii="Times New Roman" w:hAnsi="Times New Roman"/>
          <w:sz w:val="22"/>
          <w:szCs w:val="22"/>
        </w:rPr>
        <w:t>lumacaftor</w:t>
      </w:r>
      <w:proofErr w:type="spellEnd"/>
      <w:r w:rsidRPr="00E96CAB">
        <w:rPr>
          <w:rFonts w:ascii="Times New Roman" w:hAnsi="Times New Roman"/>
          <w:sz w:val="22"/>
          <w:szCs w:val="22"/>
        </w:rPr>
        <w:t xml:space="preserve">, the majority of </w:t>
      </w:r>
      <w:proofErr w:type="spellStart"/>
      <w:r w:rsidRPr="00E96CAB">
        <w:rPr>
          <w:rFonts w:ascii="Times New Roman" w:hAnsi="Times New Roman"/>
          <w:sz w:val="22"/>
          <w:szCs w:val="22"/>
        </w:rPr>
        <w:t>lumacaftor</w:t>
      </w:r>
      <w:proofErr w:type="spellEnd"/>
      <w:r w:rsidRPr="00E96CAB">
        <w:rPr>
          <w:rFonts w:ascii="Times New Roman" w:hAnsi="Times New Roman"/>
          <w:sz w:val="22"/>
          <w:szCs w:val="22"/>
        </w:rPr>
        <w:t xml:space="preserve"> (51%) is excreted unchanged in the </w:t>
      </w:r>
      <w:proofErr w:type="spellStart"/>
      <w:r w:rsidRPr="00E96CAB">
        <w:rPr>
          <w:rFonts w:ascii="Times New Roman" w:hAnsi="Times New Roman"/>
          <w:sz w:val="22"/>
          <w:szCs w:val="22"/>
        </w:rPr>
        <w:t>faeces</w:t>
      </w:r>
      <w:proofErr w:type="spellEnd"/>
      <w:r w:rsidRPr="00E96CAB">
        <w:rPr>
          <w:rFonts w:ascii="Times New Roman" w:hAnsi="Times New Roman"/>
          <w:sz w:val="22"/>
          <w:szCs w:val="22"/>
        </w:rPr>
        <w:t xml:space="preserve">. There was negligible urinary excretion of </w:t>
      </w:r>
      <w:proofErr w:type="spellStart"/>
      <w:r w:rsidR="0097473F" w:rsidRPr="00E96CAB">
        <w:rPr>
          <w:rFonts w:ascii="Times New Roman" w:hAnsi="Times New Roman"/>
          <w:sz w:val="22"/>
          <w:szCs w:val="22"/>
        </w:rPr>
        <w:t>lumacaftor</w:t>
      </w:r>
      <w:proofErr w:type="spellEnd"/>
      <w:r w:rsidR="0097473F" w:rsidRPr="00E96CAB">
        <w:rPr>
          <w:rFonts w:ascii="Times New Roman" w:hAnsi="Times New Roman"/>
          <w:sz w:val="22"/>
          <w:szCs w:val="22"/>
        </w:rPr>
        <w:t xml:space="preserve"> as unchanged </w:t>
      </w:r>
      <w:r w:rsidR="00D70B7F" w:rsidRPr="00E96CAB">
        <w:rPr>
          <w:rFonts w:ascii="Times New Roman" w:hAnsi="Times New Roman"/>
          <w:sz w:val="22"/>
          <w:szCs w:val="22"/>
        </w:rPr>
        <w:t>drug</w:t>
      </w:r>
      <w:r w:rsidR="0097473F" w:rsidRPr="00E96CAB">
        <w:rPr>
          <w:rFonts w:ascii="Times New Roman" w:hAnsi="Times New Roman"/>
          <w:sz w:val="22"/>
          <w:szCs w:val="22"/>
        </w:rPr>
        <w:t>.</w:t>
      </w:r>
      <w:r w:rsidR="00D70B7F" w:rsidRPr="00E96CAB">
        <w:rPr>
          <w:rFonts w:ascii="Times New Roman" w:hAnsi="Times New Roman"/>
          <w:sz w:val="22"/>
          <w:szCs w:val="22"/>
        </w:rPr>
        <w:t xml:space="preserve"> The apparent terminal half</w:t>
      </w:r>
      <w:r w:rsidR="00D70B7F" w:rsidRPr="00E96CAB">
        <w:rPr>
          <w:rFonts w:ascii="Times New Roman" w:hAnsi="Times New Roman"/>
          <w:sz w:val="22"/>
          <w:szCs w:val="22"/>
        </w:rPr>
        <w:noBreakHyphen/>
        <w:t>life is approximately 26</w:t>
      </w:r>
      <w:r w:rsidR="00662832" w:rsidRPr="00E96CAB">
        <w:rPr>
          <w:rFonts w:ascii="Times New Roman" w:hAnsi="Times New Roman"/>
          <w:sz w:val="22"/>
          <w:szCs w:val="22"/>
        </w:rPr>
        <w:t> </w:t>
      </w:r>
      <w:r w:rsidR="00D70B7F" w:rsidRPr="00E96CAB">
        <w:rPr>
          <w:rFonts w:ascii="Times New Roman" w:hAnsi="Times New Roman"/>
          <w:sz w:val="22"/>
          <w:szCs w:val="22"/>
        </w:rPr>
        <w:t xml:space="preserve">hours. The typical apparent clearance, CL/F (CV), of </w:t>
      </w:r>
      <w:proofErr w:type="spellStart"/>
      <w:r w:rsidR="00D70B7F" w:rsidRPr="00E96CAB">
        <w:rPr>
          <w:rFonts w:ascii="Times New Roman" w:hAnsi="Times New Roman"/>
          <w:sz w:val="22"/>
          <w:szCs w:val="22"/>
        </w:rPr>
        <w:t>lumacaftor</w:t>
      </w:r>
      <w:proofErr w:type="spellEnd"/>
      <w:r w:rsidR="00D70B7F" w:rsidRPr="00E96CAB">
        <w:rPr>
          <w:rFonts w:ascii="Times New Roman" w:hAnsi="Times New Roman"/>
          <w:sz w:val="22"/>
          <w:szCs w:val="22"/>
        </w:rPr>
        <w:t xml:space="preserve"> was estimated to be 2.38 L/</w:t>
      </w:r>
      <w:proofErr w:type="spellStart"/>
      <w:r w:rsidR="00D70B7F" w:rsidRPr="00E96CAB">
        <w:rPr>
          <w:rFonts w:ascii="Times New Roman" w:hAnsi="Times New Roman"/>
          <w:sz w:val="22"/>
          <w:szCs w:val="22"/>
        </w:rPr>
        <w:t>hr</w:t>
      </w:r>
      <w:proofErr w:type="spellEnd"/>
      <w:r w:rsidR="00D70B7F" w:rsidRPr="00E96CAB">
        <w:rPr>
          <w:rFonts w:ascii="Times New Roman" w:hAnsi="Times New Roman"/>
          <w:sz w:val="22"/>
          <w:szCs w:val="22"/>
        </w:rPr>
        <w:t xml:space="preserve"> (29.4%) for patients with CF.</w:t>
      </w:r>
    </w:p>
    <w:p w:rsidR="0023240A" w:rsidRPr="00E96CAB" w:rsidRDefault="0023240A" w:rsidP="0023240A">
      <w:pPr>
        <w:pStyle w:val="Body"/>
        <w:ind w:firstLine="0"/>
        <w:jc w:val="left"/>
        <w:rPr>
          <w:rFonts w:ascii="Times New Roman" w:hAnsi="Times New Roman"/>
          <w:sz w:val="22"/>
          <w:szCs w:val="22"/>
        </w:rPr>
      </w:pPr>
    </w:p>
    <w:p w:rsidR="00D70B7F" w:rsidRPr="00E96CAB" w:rsidRDefault="0023240A" w:rsidP="00D70B7F">
      <w:pPr>
        <w:rPr>
          <w:bCs/>
          <w:sz w:val="22"/>
          <w:szCs w:val="22"/>
        </w:rPr>
      </w:pPr>
      <w:r w:rsidRPr="00E96CAB">
        <w:rPr>
          <w:bCs/>
          <w:sz w:val="22"/>
          <w:szCs w:val="22"/>
        </w:rPr>
        <w:t xml:space="preserve">Following oral administration of </w:t>
      </w:r>
      <w:proofErr w:type="spellStart"/>
      <w:r w:rsidRPr="00E96CAB">
        <w:rPr>
          <w:bCs/>
          <w:sz w:val="22"/>
          <w:szCs w:val="22"/>
        </w:rPr>
        <w:t>ivacaftor</w:t>
      </w:r>
      <w:proofErr w:type="spellEnd"/>
      <w:r w:rsidRPr="00E96CAB">
        <w:rPr>
          <w:bCs/>
          <w:sz w:val="22"/>
          <w:szCs w:val="22"/>
        </w:rPr>
        <w:t xml:space="preserve"> alone, the majority of </w:t>
      </w:r>
      <w:proofErr w:type="spellStart"/>
      <w:r w:rsidRPr="00E96CAB">
        <w:rPr>
          <w:bCs/>
          <w:sz w:val="22"/>
          <w:szCs w:val="22"/>
        </w:rPr>
        <w:t>ivacaftor</w:t>
      </w:r>
      <w:proofErr w:type="spellEnd"/>
      <w:r w:rsidRPr="00E96CAB">
        <w:rPr>
          <w:bCs/>
          <w:sz w:val="22"/>
          <w:szCs w:val="22"/>
        </w:rPr>
        <w:t xml:space="preserve"> (87.8%) is eliminated in the </w:t>
      </w:r>
      <w:proofErr w:type="spellStart"/>
      <w:r w:rsidRPr="00E96CAB">
        <w:rPr>
          <w:bCs/>
          <w:sz w:val="22"/>
          <w:szCs w:val="22"/>
        </w:rPr>
        <w:t>faeces</w:t>
      </w:r>
      <w:proofErr w:type="spellEnd"/>
      <w:r w:rsidRPr="00E96CAB">
        <w:rPr>
          <w:bCs/>
          <w:sz w:val="22"/>
          <w:szCs w:val="22"/>
        </w:rPr>
        <w:t xml:space="preserve"> after metabolic conversion. There was negligible urinary excretion of </w:t>
      </w:r>
      <w:proofErr w:type="spellStart"/>
      <w:r w:rsidRPr="00E96CAB">
        <w:rPr>
          <w:bCs/>
          <w:sz w:val="22"/>
          <w:szCs w:val="22"/>
        </w:rPr>
        <w:t>ivacaftor</w:t>
      </w:r>
      <w:proofErr w:type="spellEnd"/>
      <w:r w:rsidRPr="00E96CAB">
        <w:rPr>
          <w:bCs/>
          <w:sz w:val="22"/>
          <w:szCs w:val="22"/>
        </w:rPr>
        <w:t xml:space="preserve"> as unchanged </w:t>
      </w:r>
      <w:r w:rsidR="00D70B7F" w:rsidRPr="00E96CAB">
        <w:rPr>
          <w:bCs/>
          <w:sz w:val="22"/>
          <w:szCs w:val="22"/>
        </w:rPr>
        <w:t>drug</w:t>
      </w:r>
      <w:r w:rsidRPr="00E96CAB">
        <w:rPr>
          <w:bCs/>
          <w:sz w:val="22"/>
          <w:szCs w:val="22"/>
        </w:rPr>
        <w:t>.</w:t>
      </w:r>
      <w:r w:rsidR="00D70B7F" w:rsidRPr="00E96CAB">
        <w:rPr>
          <w:bCs/>
          <w:sz w:val="22"/>
          <w:szCs w:val="22"/>
        </w:rPr>
        <w:t xml:space="preserve"> In healthy subjects, the half</w:t>
      </w:r>
      <w:r w:rsidR="00D70B7F" w:rsidRPr="00E96CAB">
        <w:rPr>
          <w:bCs/>
          <w:sz w:val="22"/>
          <w:szCs w:val="22"/>
        </w:rPr>
        <w:noBreakHyphen/>
        <w:t xml:space="preserve">life of </w:t>
      </w:r>
      <w:proofErr w:type="spellStart"/>
      <w:r w:rsidR="00D70B7F" w:rsidRPr="00E96CAB">
        <w:rPr>
          <w:bCs/>
          <w:sz w:val="22"/>
          <w:szCs w:val="22"/>
        </w:rPr>
        <w:t>ivacaftor</w:t>
      </w:r>
      <w:proofErr w:type="spellEnd"/>
      <w:r w:rsidR="00D70B7F" w:rsidRPr="00E96CAB">
        <w:rPr>
          <w:bCs/>
          <w:sz w:val="22"/>
          <w:szCs w:val="22"/>
        </w:rPr>
        <w:t xml:space="preserve"> when given with </w:t>
      </w:r>
      <w:proofErr w:type="spellStart"/>
      <w:r w:rsidR="00D70B7F" w:rsidRPr="00E96CAB">
        <w:rPr>
          <w:bCs/>
          <w:sz w:val="22"/>
          <w:szCs w:val="22"/>
        </w:rPr>
        <w:t>lumacaftor</w:t>
      </w:r>
      <w:proofErr w:type="spellEnd"/>
      <w:r w:rsidR="00D70B7F" w:rsidRPr="00E96CAB">
        <w:rPr>
          <w:bCs/>
          <w:sz w:val="22"/>
          <w:szCs w:val="22"/>
        </w:rPr>
        <w:t xml:space="preserve"> is approximately 9</w:t>
      </w:r>
      <w:r w:rsidR="00662832" w:rsidRPr="00E96CAB">
        <w:rPr>
          <w:bCs/>
          <w:sz w:val="22"/>
          <w:szCs w:val="22"/>
        </w:rPr>
        <w:t> </w:t>
      </w:r>
      <w:r w:rsidR="00D70B7F" w:rsidRPr="00E96CAB">
        <w:rPr>
          <w:bCs/>
          <w:sz w:val="22"/>
          <w:szCs w:val="22"/>
        </w:rPr>
        <w:t xml:space="preserve">hours. The typical CL/F (CV) of </w:t>
      </w:r>
      <w:proofErr w:type="spellStart"/>
      <w:r w:rsidR="00D70B7F" w:rsidRPr="00E96CAB">
        <w:rPr>
          <w:bCs/>
          <w:sz w:val="22"/>
          <w:szCs w:val="22"/>
        </w:rPr>
        <w:t>ivacaftor</w:t>
      </w:r>
      <w:proofErr w:type="spellEnd"/>
      <w:r w:rsidR="00D70B7F" w:rsidRPr="00E96CAB">
        <w:rPr>
          <w:bCs/>
          <w:sz w:val="22"/>
          <w:szCs w:val="22"/>
        </w:rPr>
        <w:t xml:space="preserve"> when given in combination with </w:t>
      </w:r>
      <w:proofErr w:type="spellStart"/>
      <w:r w:rsidR="00D70B7F" w:rsidRPr="00E96CAB">
        <w:rPr>
          <w:bCs/>
          <w:sz w:val="22"/>
          <w:szCs w:val="22"/>
        </w:rPr>
        <w:t>lumacaftor</w:t>
      </w:r>
      <w:proofErr w:type="spellEnd"/>
      <w:r w:rsidR="00D70B7F" w:rsidRPr="00E96CAB">
        <w:rPr>
          <w:bCs/>
          <w:sz w:val="22"/>
          <w:szCs w:val="22"/>
        </w:rPr>
        <w:t xml:space="preserve"> was estimated to be 25.1 L/</w:t>
      </w:r>
      <w:proofErr w:type="spellStart"/>
      <w:r w:rsidR="00D70B7F" w:rsidRPr="00E96CAB">
        <w:rPr>
          <w:bCs/>
          <w:sz w:val="22"/>
          <w:szCs w:val="22"/>
        </w:rPr>
        <w:t>hr</w:t>
      </w:r>
      <w:proofErr w:type="spellEnd"/>
      <w:r w:rsidR="00D70B7F" w:rsidRPr="00E96CAB">
        <w:rPr>
          <w:bCs/>
          <w:sz w:val="22"/>
          <w:szCs w:val="22"/>
        </w:rPr>
        <w:t xml:space="preserve"> (40.5%) for patients with CF.</w:t>
      </w:r>
    </w:p>
    <w:p w:rsidR="00875EE7" w:rsidRPr="00E96CAB" w:rsidRDefault="00875EE7" w:rsidP="00F00326">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sz w:val="22"/>
          <w:szCs w:val="22"/>
        </w:rPr>
      </w:pPr>
    </w:p>
    <w:p w:rsidR="00875EE7" w:rsidRPr="00E96CAB" w:rsidRDefault="00875EE7" w:rsidP="00F00326">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b/>
          <w:i/>
          <w:sz w:val="22"/>
          <w:szCs w:val="22"/>
        </w:rPr>
      </w:pPr>
      <w:r w:rsidRPr="00E96CAB">
        <w:rPr>
          <w:b/>
          <w:i/>
          <w:sz w:val="22"/>
          <w:szCs w:val="22"/>
        </w:rPr>
        <w:t>Special Populations</w:t>
      </w:r>
    </w:p>
    <w:p w:rsidR="00865A17" w:rsidRPr="00E96CAB" w:rsidRDefault="00865A17" w:rsidP="00865A17">
      <w:pPr>
        <w:pStyle w:val="labeltext"/>
        <w:rPr>
          <w:i/>
        </w:rPr>
      </w:pPr>
      <w:r w:rsidRPr="00E96CAB">
        <w:rPr>
          <w:i/>
        </w:rPr>
        <w:t>Pediatric patients 12 to less than 18 years of age</w:t>
      </w:r>
    </w:p>
    <w:p w:rsidR="0037559A" w:rsidRPr="00E96CAB" w:rsidRDefault="00865A17" w:rsidP="00865A17">
      <w:pPr>
        <w:pStyle w:val="labeltext"/>
      </w:pPr>
      <w:r w:rsidRPr="00E96CAB">
        <w:t xml:space="preserve">Based on population PK analysis, the mean </w:t>
      </w:r>
      <w:proofErr w:type="spellStart"/>
      <w:r w:rsidRPr="00E96CAB">
        <w:t>lumacaftor</w:t>
      </w:r>
      <w:proofErr w:type="spellEnd"/>
      <w:r w:rsidRPr="00E96CAB">
        <w:t xml:space="preserve"> (±SD) </w:t>
      </w:r>
      <w:proofErr w:type="spellStart"/>
      <w:r w:rsidRPr="00E96CAB">
        <w:t>AUC</w:t>
      </w:r>
      <w:r w:rsidRPr="00E96CAB">
        <w:rPr>
          <w:vertAlign w:val="subscript"/>
        </w:rPr>
        <w:t>ss</w:t>
      </w:r>
      <w:proofErr w:type="spellEnd"/>
      <w:r w:rsidRPr="00E96CAB">
        <w:t xml:space="preserve"> following oral administration of ORKAMBI</w:t>
      </w:r>
      <w:r w:rsidR="002C12D4">
        <w:t> </w:t>
      </w:r>
      <w:r w:rsidR="00CE79E1" w:rsidRPr="00CB5A1C">
        <w:t>200/125</w:t>
      </w:r>
      <w:r w:rsidR="00CB5A1C">
        <w:t xml:space="preserve"> </w:t>
      </w:r>
      <w:r w:rsidRPr="00E96CAB">
        <w:t xml:space="preserve">tablets, </w:t>
      </w:r>
      <w:proofErr w:type="spellStart"/>
      <w:r w:rsidRPr="00E96CAB">
        <w:t>lumacaftor</w:t>
      </w:r>
      <w:proofErr w:type="spellEnd"/>
      <w:r w:rsidRPr="00E96CAB">
        <w:t xml:space="preserve"> 400 mg/</w:t>
      </w:r>
      <w:proofErr w:type="spellStart"/>
      <w:r w:rsidRPr="00E96CAB">
        <w:t>ivacaftor</w:t>
      </w:r>
      <w:proofErr w:type="spellEnd"/>
      <w:r w:rsidRPr="00E96CAB">
        <w:t xml:space="preserve"> 250 mg every 12 hours, was 253 (68.6) </w:t>
      </w:r>
      <w:proofErr w:type="spellStart"/>
      <w:r w:rsidRPr="00E96CAB">
        <w:t>μg</w:t>
      </w:r>
      <w:proofErr w:type="spellEnd"/>
      <w:r w:rsidRPr="00E96CAB">
        <w:t xml:space="preserve">/mL*h and is similar to the mean </w:t>
      </w:r>
      <w:proofErr w:type="spellStart"/>
      <w:r w:rsidRPr="00E96CAB">
        <w:t>AUC</w:t>
      </w:r>
      <w:r w:rsidRPr="00E96CAB">
        <w:rPr>
          <w:vertAlign w:val="subscript"/>
        </w:rPr>
        <w:t>ss</w:t>
      </w:r>
      <w:proofErr w:type="spellEnd"/>
      <w:r w:rsidRPr="00E96CAB">
        <w:t xml:space="preserve"> in adult patients administered ORKAMBI</w:t>
      </w:r>
      <w:r w:rsidR="002C12D4">
        <w:t> </w:t>
      </w:r>
      <w:r w:rsidR="00CE79E1" w:rsidRPr="00CB5A1C">
        <w:t>200/125</w:t>
      </w:r>
      <w:r w:rsidR="00CB5A1C">
        <w:t xml:space="preserve"> </w:t>
      </w:r>
      <w:r w:rsidRPr="00E96CAB">
        <w:t xml:space="preserve">tablets, </w:t>
      </w:r>
      <w:proofErr w:type="spellStart"/>
      <w:r w:rsidRPr="00E96CAB">
        <w:t>lumacaftor</w:t>
      </w:r>
      <w:proofErr w:type="spellEnd"/>
      <w:r w:rsidRPr="00E96CAB">
        <w:t xml:space="preserve"> 400 mg/</w:t>
      </w:r>
      <w:proofErr w:type="spellStart"/>
      <w:r w:rsidRPr="00E96CAB">
        <w:t>ivacaftor</w:t>
      </w:r>
      <w:proofErr w:type="spellEnd"/>
      <w:r w:rsidRPr="00E96CAB">
        <w:t xml:space="preserve"> 250 mg every 12 hours. The mean </w:t>
      </w:r>
      <w:proofErr w:type="spellStart"/>
      <w:r w:rsidRPr="00E96CAB">
        <w:t>ivacaftor</w:t>
      </w:r>
      <w:proofErr w:type="spellEnd"/>
      <w:r w:rsidRPr="00E96CAB">
        <w:t xml:space="preserve"> (±SD) </w:t>
      </w:r>
      <w:proofErr w:type="spellStart"/>
      <w:r w:rsidRPr="00E96CAB">
        <w:t>AUC</w:t>
      </w:r>
      <w:r w:rsidRPr="00E96CAB">
        <w:rPr>
          <w:vertAlign w:val="subscript"/>
        </w:rPr>
        <w:t>ss</w:t>
      </w:r>
      <w:proofErr w:type="spellEnd"/>
      <w:r w:rsidRPr="00E96CAB">
        <w:t xml:space="preserve"> was 3.84 (1.54) </w:t>
      </w:r>
      <w:proofErr w:type="spellStart"/>
      <w:r w:rsidRPr="00E96CAB">
        <w:t>μg</w:t>
      </w:r>
      <w:proofErr w:type="spellEnd"/>
      <w:r w:rsidRPr="00E96CAB">
        <w:t xml:space="preserve">/mL*h and is similar to the mean </w:t>
      </w:r>
      <w:proofErr w:type="spellStart"/>
      <w:r w:rsidRPr="00E96CAB">
        <w:t>AUC</w:t>
      </w:r>
      <w:r w:rsidRPr="00E96CAB">
        <w:rPr>
          <w:vertAlign w:val="subscript"/>
        </w:rPr>
        <w:t>ss</w:t>
      </w:r>
      <w:proofErr w:type="spellEnd"/>
      <w:r w:rsidRPr="00E96CAB">
        <w:t xml:space="preserve"> in adult patients administered ORKAMBI</w:t>
      </w:r>
      <w:r w:rsidR="002C12D4">
        <w:t> </w:t>
      </w:r>
      <w:r w:rsidR="00CE79E1" w:rsidRPr="00CB5A1C">
        <w:t xml:space="preserve">200/125 </w:t>
      </w:r>
      <w:r w:rsidRPr="00CB5A1C">
        <w:t>tablets</w:t>
      </w:r>
      <w:r w:rsidRPr="00E96CAB">
        <w:t xml:space="preserve">, </w:t>
      </w:r>
      <w:proofErr w:type="spellStart"/>
      <w:r w:rsidRPr="00E96CAB">
        <w:t>lumacaftor</w:t>
      </w:r>
      <w:proofErr w:type="spellEnd"/>
      <w:r w:rsidRPr="00E96CAB">
        <w:t xml:space="preserve"> 400 mg/</w:t>
      </w:r>
      <w:proofErr w:type="spellStart"/>
      <w:r w:rsidRPr="00E96CAB">
        <w:t>ivacaftor</w:t>
      </w:r>
      <w:proofErr w:type="spellEnd"/>
      <w:r w:rsidRPr="00E96CAB">
        <w:t xml:space="preserve"> 250 mg every 12 hours.</w:t>
      </w:r>
    </w:p>
    <w:p w:rsidR="00600D58" w:rsidRPr="00E96CAB" w:rsidRDefault="00600D58" w:rsidP="00B82C8B">
      <w:pPr>
        <w:pStyle w:val="labeltext"/>
        <w:rPr>
          <w:i/>
        </w:rPr>
      </w:pPr>
    </w:p>
    <w:p w:rsidR="00B82C8B" w:rsidRPr="00E96CAB" w:rsidRDefault="00B82C8B" w:rsidP="00B82C8B">
      <w:pPr>
        <w:pStyle w:val="labeltext"/>
        <w:rPr>
          <w:i/>
        </w:rPr>
      </w:pPr>
      <w:r w:rsidRPr="00E96CAB">
        <w:rPr>
          <w:i/>
        </w:rPr>
        <w:t>Hepatic Impairment</w:t>
      </w:r>
    </w:p>
    <w:p w:rsidR="00B82C8B" w:rsidRPr="00E96CAB" w:rsidRDefault="00B82C8B" w:rsidP="00B82C8B">
      <w:pPr>
        <w:pStyle w:val="labeltext"/>
      </w:pPr>
      <w:r w:rsidRPr="00E96CAB">
        <w:t xml:space="preserve">Following multiple doses of </w:t>
      </w:r>
      <w:proofErr w:type="spellStart"/>
      <w:r w:rsidRPr="00E96CAB">
        <w:t>lumacaftor</w:t>
      </w:r>
      <w:proofErr w:type="spellEnd"/>
      <w:r w:rsidRPr="00E96CAB">
        <w:t>/</w:t>
      </w:r>
      <w:proofErr w:type="spellStart"/>
      <w:r w:rsidRPr="00E96CAB">
        <w:t>ivacaftor</w:t>
      </w:r>
      <w:proofErr w:type="spellEnd"/>
      <w:r w:rsidRPr="00E96CAB">
        <w:t xml:space="preserve"> for 10 days, subjects with moderately impaired hepatic function (Child</w:t>
      </w:r>
      <w:r w:rsidRPr="00E96CAB">
        <w:noBreakHyphen/>
        <w:t>Pugh Class B, score 7 to 9) had higher exposures (AUC</w:t>
      </w:r>
      <w:r w:rsidRPr="00E96CAB">
        <w:rPr>
          <w:vertAlign w:val="subscript"/>
        </w:rPr>
        <w:t>0</w:t>
      </w:r>
      <w:r w:rsidRPr="00E96CAB">
        <w:rPr>
          <w:vertAlign w:val="subscript"/>
        </w:rPr>
        <w:noBreakHyphen/>
        <w:t>12hr</w:t>
      </w:r>
      <w:r w:rsidRPr="00E96CAB">
        <w:t xml:space="preserve"> </w:t>
      </w:r>
      <w:r w:rsidRPr="00E96CAB">
        <w:lastRenderedPageBreak/>
        <w:t xml:space="preserve">by approximately 50% and </w:t>
      </w:r>
      <w:proofErr w:type="spellStart"/>
      <w:r w:rsidRPr="00E96CAB">
        <w:t>C</w:t>
      </w:r>
      <w:r w:rsidRPr="00E96CAB">
        <w:rPr>
          <w:vertAlign w:val="subscript"/>
        </w:rPr>
        <w:t>max</w:t>
      </w:r>
      <w:proofErr w:type="spellEnd"/>
      <w:r w:rsidRPr="00E96CAB">
        <w:t xml:space="preserve"> by approximately 30%) compared with healthy subjects matched for demographics. Therefore, the ORKAMBI</w:t>
      </w:r>
      <w:r w:rsidR="002C12D4">
        <w:t> </w:t>
      </w:r>
      <w:r w:rsidR="00CE79E1" w:rsidRPr="00CB5A1C">
        <w:t xml:space="preserve">200/125 </w:t>
      </w:r>
      <w:r w:rsidRPr="00E96CAB">
        <w:t>dose should be reduced to 2 tablets in the morning and 1 tablet in the evening (</w:t>
      </w:r>
      <w:proofErr w:type="spellStart"/>
      <w:r w:rsidRPr="00E96CAB">
        <w:t>lumacaftor</w:t>
      </w:r>
      <w:proofErr w:type="spellEnd"/>
      <w:r w:rsidRPr="00E96CAB">
        <w:t xml:space="preserve"> 600 mg/</w:t>
      </w:r>
      <w:proofErr w:type="spellStart"/>
      <w:r w:rsidRPr="00E96CAB">
        <w:t>ivacaftor</w:t>
      </w:r>
      <w:proofErr w:type="spellEnd"/>
      <w:r w:rsidRPr="00E96CAB">
        <w:t xml:space="preserve"> 375 mg total daily dose) for patients with moderate hepatic impairment (Child</w:t>
      </w:r>
      <w:r w:rsidRPr="00E96CAB">
        <w:noBreakHyphen/>
        <w:t>Pugh Class B). The impact of mild hepatic impairment (Child</w:t>
      </w:r>
      <w:r w:rsidRPr="00E96CAB">
        <w:noBreakHyphen/>
        <w:t xml:space="preserve">Pugh Class A, score 5 to 6) on pharmacokinetics of </w:t>
      </w:r>
      <w:proofErr w:type="spellStart"/>
      <w:r w:rsidRPr="00E96CAB">
        <w:t>lumacaftor</w:t>
      </w:r>
      <w:proofErr w:type="spellEnd"/>
      <w:r w:rsidRPr="00E96CAB">
        <w:t xml:space="preserve"> given in combination with </w:t>
      </w:r>
      <w:proofErr w:type="spellStart"/>
      <w:r w:rsidRPr="00E96CAB">
        <w:t>ivacaftor</w:t>
      </w:r>
      <w:proofErr w:type="spellEnd"/>
      <w:r w:rsidRPr="00E96CAB">
        <w:t xml:space="preserve"> has not been studied, but the increase in exposure is expected to be less than 50%. Therefore, no dose adjustment is necessary for patients with mild hepatic impairment.</w:t>
      </w:r>
    </w:p>
    <w:p w:rsidR="00B82C8B" w:rsidRPr="00E96CAB" w:rsidRDefault="00B82C8B" w:rsidP="00B82C8B">
      <w:pPr>
        <w:pStyle w:val="labeltext"/>
      </w:pPr>
    </w:p>
    <w:p w:rsidR="00B82C8B" w:rsidRPr="00E96CAB" w:rsidRDefault="00B82C8B" w:rsidP="00B82C8B">
      <w:pPr>
        <w:pStyle w:val="labeltext"/>
      </w:pPr>
      <w:r w:rsidRPr="00E96CAB">
        <w:t>Studies have not been conducted in patients with severe hepatic impairment (Child</w:t>
      </w:r>
      <w:r w:rsidRPr="00E96CAB">
        <w:noBreakHyphen/>
        <w:t>Pugh Class C, score 10 to 15), but exposure is expected to be higher than in patients with moderate hepatic impairment. Therefore, use with caution at a maximum dose of 1 tablet in the morning and 1 tablet in the evening (</w:t>
      </w:r>
      <w:proofErr w:type="spellStart"/>
      <w:r w:rsidRPr="00E96CAB">
        <w:t>lumacaftor</w:t>
      </w:r>
      <w:proofErr w:type="spellEnd"/>
      <w:r w:rsidRPr="00E96CAB">
        <w:t xml:space="preserve"> 400 mg/</w:t>
      </w:r>
      <w:proofErr w:type="spellStart"/>
      <w:r w:rsidRPr="00E96CAB">
        <w:t>ivacaftor</w:t>
      </w:r>
      <w:proofErr w:type="spellEnd"/>
      <w:r w:rsidRPr="00E96CAB">
        <w:t xml:space="preserve"> 250 mg total daily dose), or less, in patients with severe hepatic impairment after weighing the risks and benefits of treatment (see PRECAUTIONS,</w:t>
      </w:r>
      <w:r w:rsidR="00C27946" w:rsidRPr="00E96CAB">
        <w:t xml:space="preserve"> ADVERSE EFFECTS, and</w:t>
      </w:r>
      <w:r w:rsidRPr="00E96CAB">
        <w:t xml:space="preserve"> DOSAGE AND ADMINISTRATION).</w:t>
      </w:r>
    </w:p>
    <w:p w:rsidR="00B82C8B" w:rsidRPr="00E96CAB" w:rsidRDefault="00B82C8B" w:rsidP="00B82C8B">
      <w:pPr>
        <w:pStyle w:val="labeltext"/>
      </w:pPr>
    </w:p>
    <w:p w:rsidR="00B82C8B" w:rsidRPr="00E96CAB" w:rsidRDefault="00B82C8B" w:rsidP="00B82C8B">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i/>
          <w:sz w:val="22"/>
          <w:szCs w:val="22"/>
        </w:rPr>
      </w:pPr>
      <w:r w:rsidRPr="00E96CAB">
        <w:rPr>
          <w:i/>
          <w:sz w:val="22"/>
          <w:szCs w:val="22"/>
        </w:rPr>
        <w:t>Renal Impairment</w:t>
      </w:r>
    </w:p>
    <w:p w:rsidR="00B82C8B" w:rsidRPr="00E96CAB" w:rsidRDefault="00B82C8B" w:rsidP="00B82C8B">
      <w:pPr>
        <w:pStyle w:val="labeltext"/>
      </w:pPr>
      <w:r w:rsidRPr="00E96CAB">
        <w:t>Pharmacokinetic studies have not been performed with ORKAMBI</w:t>
      </w:r>
      <w:r w:rsidR="002C12D4">
        <w:t> </w:t>
      </w:r>
      <w:r w:rsidR="00CE79E1" w:rsidRPr="00CB5A1C">
        <w:t xml:space="preserve">200/125 </w:t>
      </w:r>
      <w:r w:rsidRPr="00CB5A1C">
        <w:t>in</w:t>
      </w:r>
      <w:r w:rsidRPr="00E96CAB">
        <w:t xml:space="preserve"> patients with renal impairment. In a human pharmacokinetic study with </w:t>
      </w:r>
      <w:proofErr w:type="spellStart"/>
      <w:r w:rsidRPr="00E96CAB">
        <w:t>lumacaftor</w:t>
      </w:r>
      <w:proofErr w:type="spellEnd"/>
      <w:r w:rsidRPr="00E96CAB">
        <w:t xml:space="preserve"> alone, there was minimal elimination of </w:t>
      </w:r>
      <w:proofErr w:type="spellStart"/>
      <w:r w:rsidRPr="00E96CAB">
        <w:t>lumacaftor</w:t>
      </w:r>
      <w:proofErr w:type="spellEnd"/>
      <w:r w:rsidRPr="00E96CAB">
        <w:t xml:space="preserve"> and its metabolites in urine (only 8.6% of total radioactivity was recovered in the urine with 0.18% as unchanged parent). In a human pharmacokinetic study with </w:t>
      </w:r>
      <w:proofErr w:type="spellStart"/>
      <w:r w:rsidRPr="00E96CAB">
        <w:t>ivacaftor</w:t>
      </w:r>
      <w:proofErr w:type="spellEnd"/>
      <w:r w:rsidRPr="00E96CAB">
        <w:t xml:space="preserve"> alone, there was minimal elimination of </w:t>
      </w:r>
      <w:proofErr w:type="spellStart"/>
      <w:r w:rsidRPr="00E96CAB">
        <w:t>ivacaftor</w:t>
      </w:r>
      <w:proofErr w:type="spellEnd"/>
      <w:r w:rsidRPr="00E96CAB">
        <w:t xml:space="preserve"> and its metabolites in urine (only 6.6% of total radioactivity was recovered in the urine). Therefore, no dose adjustments for ORKAM</w:t>
      </w:r>
      <w:r w:rsidRPr="00CB5A1C">
        <w:t>BI</w:t>
      </w:r>
      <w:r w:rsidR="002C12D4" w:rsidRPr="00CB5A1C">
        <w:t> </w:t>
      </w:r>
      <w:r w:rsidR="00CE79E1" w:rsidRPr="00CB5A1C">
        <w:t xml:space="preserve">200/125 </w:t>
      </w:r>
      <w:r w:rsidRPr="00E96CAB">
        <w:t>are recommended for mild and moderate renal impairment. However, caution is recommended when administering ORKAMBI</w:t>
      </w:r>
      <w:r w:rsidR="002C12D4">
        <w:rPr>
          <w:shd w:val="clear" w:color="auto" w:fill="FFFFFF"/>
        </w:rPr>
        <w:t> </w:t>
      </w:r>
      <w:r w:rsidR="00CE79E1" w:rsidRPr="00BE6D62">
        <w:t xml:space="preserve">200/125 </w:t>
      </w:r>
      <w:r w:rsidRPr="00E96CAB">
        <w:t>to patients with severe renal impairment (creatinine clearance less than or equal to 30 mL/min) or end</w:t>
      </w:r>
      <w:r w:rsidRPr="00E96CAB">
        <w:noBreakHyphen/>
        <w:t>stage renal disease.</w:t>
      </w:r>
    </w:p>
    <w:p w:rsidR="00B82C8B" w:rsidRPr="00E96CAB" w:rsidRDefault="00B82C8B" w:rsidP="00F00326">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i/>
          <w:sz w:val="22"/>
          <w:szCs w:val="22"/>
        </w:rPr>
      </w:pPr>
    </w:p>
    <w:p w:rsidR="00875EE7" w:rsidRPr="00E96CAB" w:rsidRDefault="00875EE7" w:rsidP="00F00326">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i/>
          <w:sz w:val="22"/>
          <w:szCs w:val="22"/>
        </w:rPr>
      </w:pPr>
      <w:r w:rsidRPr="00E96CAB">
        <w:rPr>
          <w:i/>
          <w:sz w:val="22"/>
          <w:szCs w:val="22"/>
        </w:rPr>
        <w:t>Gender</w:t>
      </w:r>
    </w:p>
    <w:p w:rsidR="00875EE7" w:rsidRPr="00E96CAB" w:rsidRDefault="0023240A" w:rsidP="00B166EF">
      <w:pPr>
        <w:pStyle w:val="labeltext"/>
      </w:pPr>
      <w:r w:rsidRPr="00E96CAB">
        <w:rPr>
          <w:bCs/>
        </w:rPr>
        <w:t xml:space="preserve">The effect of gender was evaluated using a population pharmacokinetics analysis of data from clinical studies of </w:t>
      </w:r>
      <w:proofErr w:type="spellStart"/>
      <w:r w:rsidRPr="00E96CAB">
        <w:rPr>
          <w:bCs/>
        </w:rPr>
        <w:t>lumacaftor</w:t>
      </w:r>
      <w:proofErr w:type="spellEnd"/>
      <w:r w:rsidRPr="00E96CAB">
        <w:rPr>
          <w:bCs/>
        </w:rPr>
        <w:t xml:space="preserve"> given in combination with </w:t>
      </w:r>
      <w:proofErr w:type="spellStart"/>
      <w:r w:rsidRPr="00E96CAB">
        <w:rPr>
          <w:bCs/>
        </w:rPr>
        <w:t>ivacaftor</w:t>
      </w:r>
      <w:proofErr w:type="spellEnd"/>
      <w:r w:rsidRPr="00E96CAB">
        <w:rPr>
          <w:bCs/>
        </w:rPr>
        <w:t xml:space="preserve">. Results indicate no clinically relevant difference in pharmacokinetic parameters for </w:t>
      </w:r>
      <w:proofErr w:type="spellStart"/>
      <w:r w:rsidRPr="00E96CAB">
        <w:rPr>
          <w:bCs/>
        </w:rPr>
        <w:t>lumacaftor</w:t>
      </w:r>
      <w:proofErr w:type="spellEnd"/>
      <w:r w:rsidRPr="00E96CAB">
        <w:rPr>
          <w:bCs/>
        </w:rPr>
        <w:t xml:space="preserve"> and </w:t>
      </w:r>
      <w:proofErr w:type="spellStart"/>
      <w:r w:rsidRPr="00E96CAB">
        <w:rPr>
          <w:bCs/>
        </w:rPr>
        <w:t>ivacaftor</w:t>
      </w:r>
      <w:proofErr w:type="spellEnd"/>
      <w:r w:rsidRPr="00E96CAB">
        <w:rPr>
          <w:bCs/>
        </w:rPr>
        <w:t xml:space="preserve"> between males and females. No dose adjustments of </w:t>
      </w:r>
      <w:r w:rsidR="00606C30" w:rsidRPr="00E96CAB">
        <w:t>ORKAMBI</w:t>
      </w:r>
      <w:r w:rsidR="002C12D4">
        <w:rPr>
          <w:bCs/>
        </w:rPr>
        <w:t> </w:t>
      </w:r>
      <w:r w:rsidR="00CE79E1" w:rsidRPr="00BE6D62">
        <w:t xml:space="preserve">200/125 </w:t>
      </w:r>
      <w:r w:rsidRPr="00E96CAB">
        <w:rPr>
          <w:bCs/>
        </w:rPr>
        <w:t>are necessary based on gender.</w:t>
      </w:r>
    </w:p>
    <w:p w:rsidR="00875EE7" w:rsidRPr="00E96CAB" w:rsidRDefault="00875EE7" w:rsidP="00CE0AB5">
      <w:pPr>
        <w:pStyle w:val="labeltext"/>
        <w:rPr>
          <w:i/>
        </w:rPr>
      </w:pPr>
    </w:p>
    <w:p w:rsidR="00875EE7" w:rsidRPr="00E96CAB" w:rsidRDefault="00875EE7" w:rsidP="004028A1">
      <w:pPr>
        <w:pStyle w:val="labeltext"/>
      </w:pPr>
    </w:p>
    <w:p w:rsidR="00875EE7" w:rsidRPr="00E96CAB" w:rsidRDefault="00875EE7">
      <w:pPr>
        <w:rPr>
          <w:b/>
          <w:sz w:val="22"/>
          <w:szCs w:val="22"/>
        </w:rPr>
      </w:pPr>
      <w:r w:rsidRPr="00CD16AB">
        <w:rPr>
          <w:b/>
          <w:sz w:val="22"/>
          <w:szCs w:val="22"/>
        </w:rPr>
        <w:t>CLINICAL TRIALS</w:t>
      </w:r>
    </w:p>
    <w:p w:rsidR="00AE2CD4" w:rsidRPr="00E96CAB" w:rsidRDefault="00AE2CD4" w:rsidP="00A378A6">
      <w:pPr>
        <w:rPr>
          <w:rFonts w:eastAsia="MS Mincho"/>
          <w:sz w:val="22"/>
          <w:szCs w:val="22"/>
          <w:lang w:eastAsia="ja-JP"/>
        </w:rPr>
      </w:pPr>
    </w:p>
    <w:p w:rsidR="00980222" w:rsidRPr="00E96CAB" w:rsidRDefault="00980222" w:rsidP="00980222">
      <w:pPr>
        <w:rPr>
          <w:i/>
          <w:sz w:val="22"/>
          <w:szCs w:val="22"/>
        </w:rPr>
      </w:pPr>
      <w:r w:rsidRPr="00E96CAB">
        <w:rPr>
          <w:i/>
          <w:sz w:val="22"/>
          <w:szCs w:val="22"/>
        </w:rPr>
        <w:t>Trials</w:t>
      </w:r>
      <w:r w:rsidR="00C62589" w:rsidRPr="00E96CAB">
        <w:rPr>
          <w:i/>
          <w:sz w:val="22"/>
          <w:szCs w:val="22"/>
        </w:rPr>
        <w:t> 1 and 2</w:t>
      </w:r>
      <w:r w:rsidRPr="00E96CAB">
        <w:rPr>
          <w:i/>
          <w:sz w:val="22"/>
          <w:szCs w:val="22"/>
        </w:rPr>
        <w:t xml:space="preserve"> in Patients </w:t>
      </w:r>
      <w:proofErr w:type="gramStart"/>
      <w:r w:rsidR="00FE5836" w:rsidRPr="00E96CAB">
        <w:rPr>
          <w:i/>
          <w:sz w:val="22"/>
          <w:szCs w:val="22"/>
        </w:rPr>
        <w:t>W</w:t>
      </w:r>
      <w:r w:rsidRPr="00E96CAB">
        <w:rPr>
          <w:i/>
          <w:sz w:val="22"/>
          <w:szCs w:val="22"/>
        </w:rPr>
        <w:t>ith</w:t>
      </w:r>
      <w:proofErr w:type="gramEnd"/>
      <w:r w:rsidRPr="00E96CAB">
        <w:rPr>
          <w:i/>
          <w:sz w:val="22"/>
          <w:szCs w:val="22"/>
        </w:rPr>
        <w:t xml:space="preserve"> CF </w:t>
      </w:r>
      <w:r w:rsidR="00FE5836" w:rsidRPr="00E96CAB">
        <w:rPr>
          <w:i/>
          <w:sz w:val="22"/>
          <w:szCs w:val="22"/>
        </w:rPr>
        <w:t>W</w:t>
      </w:r>
      <w:r w:rsidRPr="00E96CAB">
        <w:rPr>
          <w:i/>
          <w:sz w:val="22"/>
          <w:szCs w:val="22"/>
        </w:rPr>
        <w:t xml:space="preserve">ho are Homozygous for the </w:t>
      </w:r>
      <w:r w:rsidRPr="00E96CAB">
        <w:rPr>
          <w:sz w:val="22"/>
          <w:szCs w:val="22"/>
        </w:rPr>
        <w:t>F508del</w:t>
      </w:r>
      <w:r w:rsidRPr="00E96CAB">
        <w:rPr>
          <w:i/>
          <w:sz w:val="22"/>
          <w:szCs w:val="22"/>
        </w:rPr>
        <w:t xml:space="preserve"> Mutation in the </w:t>
      </w:r>
      <w:r w:rsidRPr="00E96CAB">
        <w:rPr>
          <w:sz w:val="22"/>
          <w:szCs w:val="22"/>
        </w:rPr>
        <w:t>CFTR</w:t>
      </w:r>
      <w:r w:rsidRPr="00E96CAB">
        <w:rPr>
          <w:i/>
          <w:sz w:val="22"/>
          <w:szCs w:val="22"/>
        </w:rPr>
        <w:t xml:space="preserve"> Gene</w:t>
      </w:r>
    </w:p>
    <w:p w:rsidR="00980222" w:rsidRPr="00E96CAB" w:rsidRDefault="00980222" w:rsidP="00606C30">
      <w:pPr>
        <w:pStyle w:val="labeltext"/>
      </w:pPr>
      <w:r w:rsidRPr="00E96CAB">
        <w:t xml:space="preserve">The efficacy of </w:t>
      </w:r>
      <w:r w:rsidR="00606C30" w:rsidRPr="00E96CAB">
        <w:t>ORKAMBI</w:t>
      </w:r>
      <w:r w:rsidR="002C12D4">
        <w:t> </w:t>
      </w:r>
      <w:r w:rsidR="00CE79E1" w:rsidRPr="00FF0104">
        <w:t xml:space="preserve">200/125 </w:t>
      </w:r>
      <w:r w:rsidRPr="00FF0104">
        <w:t>in</w:t>
      </w:r>
      <w:r w:rsidRPr="00E96CAB">
        <w:t xml:space="preserve"> patients with CF who are homozygous for the </w:t>
      </w:r>
      <w:r w:rsidRPr="00E96CAB">
        <w:rPr>
          <w:i/>
        </w:rPr>
        <w:t>F508del</w:t>
      </w:r>
      <w:r w:rsidRPr="00E96CAB">
        <w:t xml:space="preserve"> mutation in the </w:t>
      </w:r>
      <w:r w:rsidRPr="00E96CAB">
        <w:rPr>
          <w:i/>
        </w:rPr>
        <w:t>CFTR</w:t>
      </w:r>
      <w:r w:rsidRPr="00E96CAB">
        <w:t xml:space="preserve"> gene was evaluated in two </w:t>
      </w:r>
      <w:proofErr w:type="spellStart"/>
      <w:r w:rsidRPr="00E96CAB">
        <w:t>randomised</w:t>
      </w:r>
      <w:proofErr w:type="spellEnd"/>
      <w:r w:rsidRPr="00E96CAB">
        <w:t>, double</w:t>
      </w:r>
      <w:r w:rsidRPr="00E96CAB">
        <w:noBreakHyphen/>
        <w:t>blind, placebo</w:t>
      </w:r>
      <w:r w:rsidRPr="00E96CAB">
        <w:noBreakHyphen/>
        <w:t xml:space="preserve">controlled clinical trials of 1108 clinically stable patients with CF, in which 737 patients were </w:t>
      </w:r>
      <w:proofErr w:type="spellStart"/>
      <w:r w:rsidRPr="00E96CAB">
        <w:t>randomised</w:t>
      </w:r>
      <w:proofErr w:type="spellEnd"/>
      <w:r w:rsidRPr="00E96CAB">
        <w:t xml:space="preserve"> to and dosed with </w:t>
      </w:r>
      <w:proofErr w:type="spellStart"/>
      <w:r w:rsidR="00ED79B6" w:rsidRPr="00FF0104">
        <w:t>lumacaftor</w:t>
      </w:r>
      <w:proofErr w:type="spellEnd"/>
      <w:r w:rsidR="00ED79B6" w:rsidRPr="00FF0104">
        <w:t>/</w:t>
      </w:r>
      <w:proofErr w:type="spellStart"/>
      <w:r w:rsidR="00ED79B6" w:rsidRPr="00FF0104">
        <w:t>ivacaftor</w:t>
      </w:r>
      <w:proofErr w:type="spellEnd"/>
      <w:r w:rsidRPr="00FF0104">
        <w:t xml:space="preserve">. </w:t>
      </w:r>
      <w:r w:rsidRPr="00FF0104">
        <w:rPr>
          <w:bCs/>
        </w:rPr>
        <w:t>Patients</w:t>
      </w:r>
      <w:r w:rsidRPr="00E96CAB">
        <w:rPr>
          <w:bCs/>
        </w:rPr>
        <w:t xml:space="preserve"> in both trials were </w:t>
      </w:r>
      <w:proofErr w:type="spellStart"/>
      <w:r w:rsidRPr="00E96CAB">
        <w:rPr>
          <w:bCs/>
        </w:rPr>
        <w:t>randomised</w:t>
      </w:r>
      <w:proofErr w:type="spellEnd"/>
      <w:r w:rsidRPr="00E96CAB">
        <w:rPr>
          <w:bCs/>
        </w:rPr>
        <w:t xml:space="preserve"> 1:1:1 to receive </w:t>
      </w:r>
      <w:proofErr w:type="spellStart"/>
      <w:r w:rsidRPr="00E96CAB">
        <w:rPr>
          <w:bCs/>
        </w:rPr>
        <w:t>lumacaftor</w:t>
      </w:r>
      <w:proofErr w:type="spellEnd"/>
      <w:r w:rsidRPr="00E96CAB">
        <w:rPr>
          <w:bCs/>
        </w:rPr>
        <w:t xml:space="preserve"> 600 mg once daily/</w:t>
      </w:r>
      <w:proofErr w:type="spellStart"/>
      <w:r w:rsidRPr="00E96CAB">
        <w:rPr>
          <w:bCs/>
        </w:rPr>
        <w:t>ivacaftor</w:t>
      </w:r>
      <w:proofErr w:type="spellEnd"/>
      <w:r w:rsidRPr="00E96CAB">
        <w:rPr>
          <w:bCs/>
        </w:rPr>
        <w:t xml:space="preserve"> 250 mg q12h; </w:t>
      </w:r>
      <w:proofErr w:type="spellStart"/>
      <w:r w:rsidRPr="00E96CAB">
        <w:rPr>
          <w:bCs/>
        </w:rPr>
        <w:t>lumacaftor</w:t>
      </w:r>
      <w:proofErr w:type="spellEnd"/>
      <w:r w:rsidRPr="00E96CAB">
        <w:rPr>
          <w:bCs/>
        </w:rPr>
        <w:t xml:space="preserve"> 400 mg q12h/</w:t>
      </w:r>
      <w:proofErr w:type="spellStart"/>
      <w:r w:rsidRPr="00E96CAB">
        <w:rPr>
          <w:bCs/>
        </w:rPr>
        <w:t>ivacaftor</w:t>
      </w:r>
      <w:proofErr w:type="spellEnd"/>
      <w:r w:rsidRPr="00E96CAB">
        <w:rPr>
          <w:bCs/>
        </w:rPr>
        <w:t xml:space="preserve"> 250 mg q12h; or placebo. Patients took the study drug with fat</w:t>
      </w:r>
      <w:r w:rsidRPr="00E96CAB">
        <w:rPr>
          <w:bCs/>
        </w:rPr>
        <w:noBreakHyphen/>
        <w:t xml:space="preserve">containing food for 24 weeks in addition to their prescribed CF therapies (e.g., bronchodilators, inhaled antibiotics, </w:t>
      </w:r>
      <w:proofErr w:type="spellStart"/>
      <w:r w:rsidRPr="00E96CAB">
        <w:rPr>
          <w:bCs/>
        </w:rPr>
        <w:t>dornase</w:t>
      </w:r>
      <w:proofErr w:type="spellEnd"/>
      <w:r w:rsidRPr="00E96CAB">
        <w:rPr>
          <w:bCs/>
        </w:rPr>
        <w:t xml:space="preserve"> alfa, and hypertonic saline). </w:t>
      </w:r>
      <w:r w:rsidRPr="00E96CAB">
        <w:t>Patients from these trials were eligible to roll over into a blinded extension study.</w:t>
      </w:r>
    </w:p>
    <w:p w:rsidR="00980222" w:rsidRPr="00E96CAB" w:rsidRDefault="00980222" w:rsidP="00980222">
      <w:pPr>
        <w:pStyle w:val="Body"/>
        <w:ind w:firstLine="0"/>
        <w:jc w:val="left"/>
        <w:rPr>
          <w:rFonts w:ascii="Times New Roman" w:hAnsi="Times New Roman"/>
          <w:bCs/>
          <w:sz w:val="22"/>
          <w:szCs w:val="22"/>
        </w:rPr>
      </w:pPr>
    </w:p>
    <w:p w:rsidR="00980222" w:rsidRPr="00E96CAB" w:rsidRDefault="00980222" w:rsidP="00980222">
      <w:pPr>
        <w:pStyle w:val="Body"/>
        <w:ind w:firstLine="0"/>
        <w:jc w:val="left"/>
        <w:rPr>
          <w:rFonts w:ascii="Times New Roman" w:hAnsi="Times New Roman"/>
          <w:sz w:val="22"/>
          <w:szCs w:val="22"/>
        </w:rPr>
      </w:pPr>
      <w:r w:rsidRPr="00E96CAB">
        <w:rPr>
          <w:rFonts w:ascii="Times New Roman" w:hAnsi="Times New Roman"/>
          <w:bCs/>
          <w:sz w:val="22"/>
          <w:szCs w:val="22"/>
        </w:rPr>
        <w:t>Trial 1 evaluated 549 patients with CF who were aged 12 years and older (mean age 25.1 years) with percent predicted FEV</w:t>
      </w:r>
      <w:r w:rsidRPr="00E96CAB">
        <w:rPr>
          <w:rFonts w:ascii="Times New Roman" w:hAnsi="Times New Roman"/>
          <w:bCs/>
          <w:sz w:val="22"/>
          <w:szCs w:val="22"/>
          <w:vertAlign w:val="subscript"/>
        </w:rPr>
        <w:t>1</w:t>
      </w:r>
      <w:r w:rsidRPr="00E96CAB">
        <w:rPr>
          <w:rFonts w:ascii="Times New Roman" w:hAnsi="Times New Roman"/>
          <w:bCs/>
          <w:sz w:val="22"/>
          <w:szCs w:val="22"/>
        </w:rPr>
        <w:t xml:space="preserve"> (ppFEV</w:t>
      </w:r>
      <w:r w:rsidRPr="00E96CAB">
        <w:rPr>
          <w:rFonts w:ascii="Times New Roman" w:hAnsi="Times New Roman"/>
          <w:bCs/>
          <w:sz w:val="22"/>
          <w:szCs w:val="22"/>
          <w:vertAlign w:val="subscript"/>
        </w:rPr>
        <w:t>1</w:t>
      </w:r>
      <w:r w:rsidRPr="00E96CAB">
        <w:rPr>
          <w:rFonts w:ascii="Times New Roman" w:hAnsi="Times New Roman"/>
          <w:bCs/>
          <w:sz w:val="22"/>
          <w:szCs w:val="22"/>
        </w:rPr>
        <w:t>) at screening between 40</w:t>
      </w:r>
      <w:r w:rsidRPr="00E96CAB">
        <w:rPr>
          <w:rFonts w:ascii="Times New Roman" w:hAnsi="Times New Roman"/>
          <w:bCs/>
          <w:sz w:val="22"/>
          <w:szCs w:val="22"/>
        </w:rPr>
        <w:noBreakHyphen/>
        <w:t>90 [mean ppFEV</w:t>
      </w:r>
      <w:r w:rsidRPr="00E96CAB">
        <w:rPr>
          <w:rFonts w:ascii="Times New Roman" w:hAnsi="Times New Roman"/>
          <w:bCs/>
          <w:sz w:val="22"/>
          <w:szCs w:val="22"/>
          <w:vertAlign w:val="subscript"/>
        </w:rPr>
        <w:t>1</w:t>
      </w:r>
      <w:r w:rsidRPr="00E96CAB">
        <w:rPr>
          <w:rFonts w:ascii="Times New Roman" w:hAnsi="Times New Roman"/>
          <w:bCs/>
          <w:sz w:val="22"/>
          <w:szCs w:val="22"/>
        </w:rPr>
        <w:t xml:space="preserve"> 60.7 at baseline (range: 31.1 to 94.0)]. Trial 2 evaluated 559 patients aged 12 years and older </w:t>
      </w:r>
      <w:r w:rsidRPr="00E96CAB">
        <w:rPr>
          <w:rFonts w:ascii="Times New Roman" w:hAnsi="Times New Roman"/>
          <w:bCs/>
          <w:sz w:val="22"/>
          <w:szCs w:val="22"/>
        </w:rPr>
        <w:lastRenderedPageBreak/>
        <w:t>(mean age 25.0 years) with ppFEV</w:t>
      </w:r>
      <w:r w:rsidRPr="00E96CAB">
        <w:rPr>
          <w:rFonts w:ascii="Times New Roman" w:hAnsi="Times New Roman"/>
          <w:bCs/>
          <w:sz w:val="22"/>
          <w:szCs w:val="22"/>
          <w:vertAlign w:val="subscript"/>
        </w:rPr>
        <w:t>1</w:t>
      </w:r>
      <w:r w:rsidRPr="00E96CAB">
        <w:rPr>
          <w:rFonts w:ascii="Times New Roman" w:hAnsi="Times New Roman"/>
          <w:bCs/>
          <w:sz w:val="22"/>
          <w:szCs w:val="22"/>
        </w:rPr>
        <w:t xml:space="preserve"> at screening between 40</w:t>
      </w:r>
      <w:r w:rsidRPr="00E96CAB">
        <w:rPr>
          <w:rFonts w:ascii="Times New Roman" w:hAnsi="Times New Roman"/>
          <w:bCs/>
          <w:sz w:val="22"/>
          <w:szCs w:val="22"/>
        </w:rPr>
        <w:noBreakHyphen/>
        <w:t>90 [mean ppFEV</w:t>
      </w:r>
      <w:r w:rsidRPr="00E96CAB">
        <w:rPr>
          <w:rFonts w:ascii="Times New Roman" w:hAnsi="Times New Roman"/>
          <w:bCs/>
          <w:sz w:val="22"/>
          <w:szCs w:val="22"/>
          <w:vertAlign w:val="subscript"/>
        </w:rPr>
        <w:t>1</w:t>
      </w:r>
      <w:r w:rsidRPr="00E96CAB">
        <w:rPr>
          <w:rFonts w:ascii="Times New Roman" w:hAnsi="Times New Roman"/>
          <w:bCs/>
          <w:sz w:val="22"/>
          <w:szCs w:val="22"/>
        </w:rPr>
        <w:t xml:space="preserve"> 60.5 at baseline (range: 31.3 to 99.8)]. Patients with a history of </w:t>
      </w:r>
      <w:proofErr w:type="spellStart"/>
      <w:r w:rsidRPr="00E96CAB">
        <w:rPr>
          <w:rFonts w:ascii="Times New Roman" w:hAnsi="Times New Roman"/>
          <w:bCs/>
          <w:sz w:val="22"/>
          <w:szCs w:val="22"/>
        </w:rPr>
        <w:t>colonisation</w:t>
      </w:r>
      <w:proofErr w:type="spellEnd"/>
      <w:r w:rsidRPr="00E96CAB">
        <w:rPr>
          <w:rFonts w:ascii="Times New Roman" w:hAnsi="Times New Roman"/>
          <w:bCs/>
          <w:sz w:val="22"/>
          <w:szCs w:val="22"/>
        </w:rPr>
        <w:t xml:space="preserve"> with organisms</w:t>
      </w:r>
      <w:r w:rsidR="00830C55" w:rsidRPr="00E96CAB">
        <w:rPr>
          <w:rFonts w:ascii="Times New Roman" w:hAnsi="Times New Roman"/>
          <w:bCs/>
          <w:sz w:val="22"/>
          <w:szCs w:val="22"/>
        </w:rPr>
        <w:t xml:space="preserve"> associated with a more rapid decline in pulmonary status</w:t>
      </w:r>
      <w:r w:rsidRPr="00E96CAB">
        <w:rPr>
          <w:rFonts w:ascii="Times New Roman" w:hAnsi="Times New Roman"/>
          <w:bCs/>
          <w:sz w:val="22"/>
          <w:szCs w:val="22"/>
        </w:rPr>
        <w:t xml:space="preserve"> such as </w:t>
      </w:r>
      <w:proofErr w:type="spellStart"/>
      <w:r w:rsidRPr="00E96CAB">
        <w:rPr>
          <w:rFonts w:ascii="Times New Roman" w:hAnsi="Times New Roman"/>
          <w:bCs/>
          <w:i/>
          <w:sz w:val="22"/>
          <w:szCs w:val="22"/>
        </w:rPr>
        <w:t>Burkholderia</w:t>
      </w:r>
      <w:proofErr w:type="spellEnd"/>
      <w:r w:rsidRPr="00E96CAB">
        <w:rPr>
          <w:rFonts w:ascii="Times New Roman" w:hAnsi="Times New Roman"/>
          <w:bCs/>
          <w:i/>
          <w:sz w:val="22"/>
          <w:szCs w:val="22"/>
        </w:rPr>
        <w:t xml:space="preserve"> </w:t>
      </w:r>
      <w:proofErr w:type="spellStart"/>
      <w:r w:rsidRPr="00E96CAB">
        <w:rPr>
          <w:rFonts w:ascii="Times New Roman" w:hAnsi="Times New Roman"/>
          <w:bCs/>
          <w:i/>
          <w:sz w:val="22"/>
          <w:szCs w:val="22"/>
        </w:rPr>
        <w:t>cenocepacia</w:t>
      </w:r>
      <w:proofErr w:type="spellEnd"/>
      <w:r w:rsidRPr="00E96CAB">
        <w:rPr>
          <w:rFonts w:ascii="Times New Roman" w:hAnsi="Times New Roman"/>
          <w:bCs/>
          <w:sz w:val="22"/>
          <w:szCs w:val="22"/>
        </w:rPr>
        <w:t xml:space="preserve">, </w:t>
      </w:r>
      <w:proofErr w:type="spellStart"/>
      <w:r w:rsidRPr="00E96CAB">
        <w:rPr>
          <w:rFonts w:ascii="Times New Roman" w:hAnsi="Times New Roman"/>
          <w:bCs/>
          <w:i/>
          <w:sz w:val="22"/>
          <w:szCs w:val="22"/>
        </w:rPr>
        <w:t>Burkholderia</w:t>
      </w:r>
      <w:proofErr w:type="spellEnd"/>
      <w:r w:rsidRPr="00E96CAB">
        <w:rPr>
          <w:rFonts w:ascii="Times New Roman" w:hAnsi="Times New Roman"/>
          <w:bCs/>
          <w:i/>
          <w:sz w:val="22"/>
          <w:szCs w:val="22"/>
        </w:rPr>
        <w:t xml:space="preserve"> </w:t>
      </w:r>
      <w:proofErr w:type="spellStart"/>
      <w:r w:rsidRPr="00E96CAB">
        <w:rPr>
          <w:rFonts w:ascii="Times New Roman" w:hAnsi="Times New Roman"/>
          <w:bCs/>
          <w:i/>
          <w:sz w:val="22"/>
          <w:szCs w:val="22"/>
        </w:rPr>
        <w:t>dolosa</w:t>
      </w:r>
      <w:proofErr w:type="spellEnd"/>
      <w:r w:rsidRPr="00E96CAB">
        <w:rPr>
          <w:rFonts w:ascii="Times New Roman" w:hAnsi="Times New Roman"/>
          <w:bCs/>
          <w:sz w:val="22"/>
          <w:szCs w:val="22"/>
        </w:rPr>
        <w:t xml:space="preserve">, or </w:t>
      </w:r>
      <w:r w:rsidRPr="00E96CAB">
        <w:rPr>
          <w:rFonts w:ascii="Times New Roman" w:hAnsi="Times New Roman"/>
          <w:bCs/>
          <w:i/>
          <w:sz w:val="22"/>
          <w:szCs w:val="22"/>
        </w:rPr>
        <w:t xml:space="preserve">Mycobacterium </w:t>
      </w:r>
      <w:proofErr w:type="spellStart"/>
      <w:r w:rsidRPr="00E96CAB">
        <w:rPr>
          <w:rFonts w:ascii="Times New Roman" w:hAnsi="Times New Roman"/>
          <w:bCs/>
          <w:i/>
          <w:sz w:val="22"/>
          <w:szCs w:val="22"/>
        </w:rPr>
        <w:t>abscessus</w:t>
      </w:r>
      <w:proofErr w:type="spellEnd"/>
      <w:r w:rsidRPr="00E96CAB">
        <w:rPr>
          <w:rFonts w:ascii="Times New Roman" w:hAnsi="Times New Roman"/>
          <w:bCs/>
          <w:sz w:val="22"/>
          <w:szCs w:val="22"/>
        </w:rPr>
        <w:t>, or who had 3 or more abnormal liver function tests</w:t>
      </w:r>
      <w:r w:rsidR="0089783E" w:rsidRPr="00E96CAB">
        <w:rPr>
          <w:rFonts w:ascii="Times New Roman" w:hAnsi="Times New Roman"/>
          <w:bCs/>
          <w:sz w:val="22"/>
          <w:szCs w:val="22"/>
        </w:rPr>
        <w:t xml:space="preserve"> at screening</w:t>
      </w:r>
      <w:r w:rsidRPr="00E96CAB">
        <w:rPr>
          <w:rFonts w:ascii="Times New Roman" w:hAnsi="Times New Roman"/>
          <w:bCs/>
          <w:sz w:val="22"/>
          <w:szCs w:val="22"/>
        </w:rPr>
        <w:t xml:space="preserve"> (ALT, AST, AP, GGT ≥3 times the ULN or total bilirubin ≥2 times the ULN) were excluded.</w:t>
      </w:r>
    </w:p>
    <w:p w:rsidR="00980222" w:rsidRPr="00E96CAB" w:rsidRDefault="00980222" w:rsidP="00980222">
      <w:pPr>
        <w:pStyle w:val="Body"/>
        <w:ind w:firstLine="0"/>
        <w:jc w:val="left"/>
        <w:rPr>
          <w:rFonts w:ascii="Times New Roman" w:hAnsi="Times New Roman"/>
          <w:sz w:val="22"/>
          <w:szCs w:val="22"/>
        </w:rPr>
      </w:pPr>
    </w:p>
    <w:p w:rsidR="00980222" w:rsidRPr="00E96CAB" w:rsidRDefault="00980222" w:rsidP="00980222">
      <w:pPr>
        <w:pStyle w:val="Body"/>
        <w:ind w:firstLine="0"/>
        <w:jc w:val="left"/>
        <w:rPr>
          <w:rFonts w:ascii="Times New Roman" w:hAnsi="Times New Roman"/>
          <w:sz w:val="22"/>
          <w:szCs w:val="22"/>
        </w:rPr>
      </w:pPr>
      <w:r w:rsidRPr="00E96CAB">
        <w:rPr>
          <w:rFonts w:ascii="Times New Roman" w:hAnsi="Times New Roman"/>
          <w:bCs/>
          <w:sz w:val="22"/>
          <w:szCs w:val="22"/>
        </w:rPr>
        <w:t>The primary efficacy endpoint in both studies was the absolute change from baseline in ppFEV</w:t>
      </w:r>
      <w:r w:rsidRPr="00E96CAB">
        <w:rPr>
          <w:rFonts w:ascii="Times New Roman" w:hAnsi="Times New Roman"/>
          <w:bCs/>
          <w:sz w:val="22"/>
          <w:szCs w:val="22"/>
          <w:vertAlign w:val="subscript"/>
        </w:rPr>
        <w:t>1</w:t>
      </w:r>
      <w:r w:rsidRPr="00E96CAB">
        <w:rPr>
          <w:rFonts w:ascii="Times New Roman" w:hAnsi="Times New Roman"/>
          <w:bCs/>
          <w:sz w:val="22"/>
          <w:szCs w:val="22"/>
        </w:rPr>
        <w:t xml:space="preserve"> at Week 24, assessed as the average of the treatment effects at Week 16 and at Week 24. Other efficacy variables included relative change from baseline in ppFEV</w:t>
      </w:r>
      <w:r w:rsidRPr="00E96CAB">
        <w:rPr>
          <w:rFonts w:ascii="Times New Roman" w:hAnsi="Times New Roman"/>
          <w:bCs/>
          <w:sz w:val="22"/>
          <w:szCs w:val="22"/>
          <w:vertAlign w:val="subscript"/>
        </w:rPr>
        <w:t>1</w:t>
      </w:r>
      <w:r w:rsidRPr="00E96CAB">
        <w:rPr>
          <w:rFonts w:ascii="Times New Roman" w:hAnsi="Times New Roman"/>
          <w:bCs/>
          <w:sz w:val="22"/>
          <w:szCs w:val="22"/>
        </w:rPr>
        <w:t xml:space="preserve"> at Week 24, assessed as the average of the treatment effects at Week 16 and at Week 24; absolute change from baseline in BMI at Week 24; absolute change from baseline in CFQ</w:t>
      </w:r>
      <w:r w:rsidRPr="00E96CAB">
        <w:rPr>
          <w:rFonts w:ascii="Times New Roman" w:hAnsi="Times New Roman"/>
          <w:bCs/>
          <w:sz w:val="22"/>
          <w:szCs w:val="22"/>
        </w:rPr>
        <w:noBreakHyphen/>
        <w:t>R Respiratory Domain at Week 24; the proportion of patients achieving ≥5% relative change from baseline in ppFEV</w:t>
      </w:r>
      <w:r w:rsidRPr="00E96CAB">
        <w:rPr>
          <w:rFonts w:ascii="Times New Roman" w:hAnsi="Times New Roman"/>
          <w:bCs/>
          <w:sz w:val="22"/>
          <w:szCs w:val="22"/>
          <w:vertAlign w:val="subscript"/>
        </w:rPr>
        <w:t>1</w:t>
      </w:r>
      <w:r w:rsidRPr="00E96CAB">
        <w:rPr>
          <w:rFonts w:ascii="Times New Roman" w:hAnsi="Times New Roman"/>
          <w:bCs/>
          <w:sz w:val="22"/>
          <w:szCs w:val="22"/>
        </w:rPr>
        <w:t xml:space="preserve"> using the average of Week 16 and Week 24; and number of pulmonary exacerbations (including those requiring </w:t>
      </w:r>
      <w:r w:rsidRPr="00E96CAB">
        <w:rPr>
          <w:rFonts w:ascii="Times New Roman" w:hAnsi="Times New Roman"/>
          <w:bCs/>
          <w:sz w:val="22"/>
          <w:szCs w:val="22"/>
          <w:lang w:val="en-GB"/>
        </w:rPr>
        <w:t>hospitalisation</w:t>
      </w:r>
      <w:r w:rsidRPr="00E96CAB">
        <w:rPr>
          <w:rFonts w:ascii="Times New Roman" w:hAnsi="Times New Roman"/>
          <w:bCs/>
          <w:sz w:val="22"/>
          <w:szCs w:val="22"/>
        </w:rPr>
        <w:t xml:space="preserve"> or IV antibiotic therapy) through Week 24.</w:t>
      </w:r>
    </w:p>
    <w:p w:rsidR="00980222" w:rsidRPr="00E96CAB" w:rsidRDefault="00980222" w:rsidP="00980222">
      <w:pPr>
        <w:pStyle w:val="Body"/>
        <w:ind w:firstLine="0"/>
        <w:jc w:val="left"/>
        <w:rPr>
          <w:rFonts w:ascii="Times New Roman" w:hAnsi="Times New Roman"/>
          <w:sz w:val="22"/>
          <w:szCs w:val="22"/>
        </w:rPr>
      </w:pPr>
    </w:p>
    <w:p w:rsidR="00980222" w:rsidRPr="00E96CAB" w:rsidRDefault="00980222" w:rsidP="005A0268">
      <w:pPr>
        <w:pStyle w:val="CommentText"/>
        <w:rPr>
          <w:bCs/>
          <w:sz w:val="22"/>
          <w:szCs w:val="22"/>
        </w:rPr>
      </w:pPr>
      <w:r w:rsidRPr="00E96CAB">
        <w:rPr>
          <w:bCs/>
          <w:sz w:val="22"/>
          <w:szCs w:val="22"/>
        </w:rPr>
        <w:t xml:space="preserve">In both studies, treatment with </w:t>
      </w:r>
      <w:r w:rsidR="00606C30" w:rsidRPr="00FF0104">
        <w:rPr>
          <w:sz w:val="22"/>
          <w:szCs w:val="22"/>
        </w:rPr>
        <w:t>ORKAMBI</w:t>
      </w:r>
      <w:r w:rsidR="002C12D4" w:rsidRPr="00FF0104">
        <w:rPr>
          <w:sz w:val="22"/>
          <w:szCs w:val="22"/>
          <w:shd w:val="clear" w:color="auto" w:fill="FFFFFF"/>
        </w:rPr>
        <w:t> </w:t>
      </w:r>
      <w:r w:rsidR="00CE79E1" w:rsidRPr="00FF0104">
        <w:rPr>
          <w:sz w:val="22"/>
          <w:szCs w:val="22"/>
        </w:rPr>
        <w:t xml:space="preserve">200/125 </w:t>
      </w:r>
      <w:r w:rsidRPr="00FF0104">
        <w:rPr>
          <w:bCs/>
          <w:sz w:val="22"/>
          <w:szCs w:val="22"/>
        </w:rPr>
        <w:t>resulted in a statistically significant improvement in ppFEV</w:t>
      </w:r>
      <w:r w:rsidRPr="00FF0104">
        <w:rPr>
          <w:bCs/>
          <w:sz w:val="22"/>
          <w:szCs w:val="22"/>
          <w:vertAlign w:val="subscript"/>
        </w:rPr>
        <w:t>1</w:t>
      </w:r>
      <w:r w:rsidRPr="00FF0104">
        <w:rPr>
          <w:bCs/>
          <w:sz w:val="22"/>
          <w:szCs w:val="22"/>
        </w:rPr>
        <w:t xml:space="preserve"> (Table</w:t>
      </w:r>
      <w:r w:rsidR="00B86DE7" w:rsidRPr="00FF0104">
        <w:rPr>
          <w:bCs/>
          <w:sz w:val="22"/>
          <w:szCs w:val="22"/>
        </w:rPr>
        <w:t xml:space="preserve"> 1</w:t>
      </w:r>
      <w:r w:rsidRPr="00FF0104">
        <w:rPr>
          <w:bCs/>
          <w:sz w:val="22"/>
          <w:szCs w:val="22"/>
        </w:rPr>
        <w:t xml:space="preserve">). The treatment difference between </w:t>
      </w:r>
      <w:proofErr w:type="spellStart"/>
      <w:r w:rsidR="00ED79B6" w:rsidRPr="00FF0104">
        <w:rPr>
          <w:bCs/>
          <w:sz w:val="22"/>
          <w:szCs w:val="22"/>
        </w:rPr>
        <w:t>lumacaftor</w:t>
      </w:r>
      <w:proofErr w:type="spellEnd"/>
      <w:r w:rsidR="00ED79B6" w:rsidRPr="00FF0104">
        <w:rPr>
          <w:bCs/>
          <w:sz w:val="22"/>
          <w:szCs w:val="22"/>
        </w:rPr>
        <w:t>/</w:t>
      </w:r>
      <w:proofErr w:type="spellStart"/>
      <w:r w:rsidR="00ED79B6" w:rsidRPr="00FF0104">
        <w:rPr>
          <w:bCs/>
          <w:sz w:val="22"/>
          <w:szCs w:val="22"/>
        </w:rPr>
        <w:t>ivacaftor</w:t>
      </w:r>
      <w:proofErr w:type="spellEnd"/>
      <w:r w:rsidR="00ED79B6" w:rsidRPr="00FF0104">
        <w:rPr>
          <w:bCs/>
          <w:sz w:val="22"/>
          <w:szCs w:val="22"/>
        </w:rPr>
        <w:t xml:space="preserve"> </w:t>
      </w:r>
      <w:r w:rsidRPr="00FF0104">
        <w:rPr>
          <w:bCs/>
          <w:sz w:val="22"/>
          <w:szCs w:val="22"/>
        </w:rPr>
        <w:t>400 mg/250 mg q12h and placebo for the mean absolute change (95% CI) in ppFEV</w:t>
      </w:r>
      <w:r w:rsidRPr="00FF0104">
        <w:rPr>
          <w:bCs/>
          <w:sz w:val="22"/>
          <w:szCs w:val="22"/>
          <w:vertAlign w:val="subscript"/>
        </w:rPr>
        <w:t>1</w:t>
      </w:r>
      <w:r w:rsidRPr="00FF0104">
        <w:rPr>
          <w:bCs/>
          <w:sz w:val="22"/>
          <w:szCs w:val="22"/>
        </w:rPr>
        <w:t xml:space="preserve"> from baseline at Week 24 (assessed as the average of the treatment effects at Week 16 and at Week 24) was 2.6 percentage points (1.2, 4.0) in Trial 1 (</w:t>
      </w:r>
      <w:r w:rsidRPr="00FF0104">
        <w:rPr>
          <w:bCs/>
          <w:i/>
          <w:sz w:val="22"/>
          <w:szCs w:val="22"/>
        </w:rPr>
        <w:t>P</w:t>
      </w:r>
      <w:r w:rsidRPr="00FF0104">
        <w:rPr>
          <w:bCs/>
          <w:sz w:val="22"/>
          <w:szCs w:val="22"/>
        </w:rPr>
        <w:t>=0.0003) and 3.0 percentage points (1.6, 4.4) in Trial 2 (</w:t>
      </w:r>
      <w:r w:rsidRPr="00FF0104">
        <w:rPr>
          <w:bCs/>
          <w:i/>
          <w:sz w:val="22"/>
          <w:szCs w:val="22"/>
        </w:rPr>
        <w:t>P</w:t>
      </w:r>
      <w:r w:rsidRPr="00FF0104">
        <w:rPr>
          <w:bCs/>
          <w:sz w:val="22"/>
          <w:szCs w:val="22"/>
        </w:rPr>
        <w:t>&lt;0.0001). Mean improvement in ppFEV</w:t>
      </w:r>
      <w:r w:rsidRPr="00FF0104">
        <w:rPr>
          <w:bCs/>
          <w:sz w:val="22"/>
          <w:szCs w:val="22"/>
          <w:vertAlign w:val="subscript"/>
        </w:rPr>
        <w:t>1</w:t>
      </w:r>
      <w:r w:rsidRPr="00FF0104">
        <w:rPr>
          <w:bCs/>
          <w:sz w:val="22"/>
          <w:szCs w:val="22"/>
        </w:rPr>
        <w:t xml:space="preserve"> was rapid in onset (Day 15) and sustained throughout the 24</w:t>
      </w:r>
      <w:r w:rsidRPr="00FF0104">
        <w:rPr>
          <w:sz w:val="22"/>
          <w:szCs w:val="22"/>
        </w:rPr>
        <w:noBreakHyphen/>
      </w:r>
      <w:r w:rsidRPr="00FF0104">
        <w:rPr>
          <w:bCs/>
          <w:sz w:val="22"/>
          <w:szCs w:val="22"/>
        </w:rPr>
        <w:t>week treatment period (Figure 1). Improvements in ppFEV</w:t>
      </w:r>
      <w:r w:rsidRPr="00FF0104">
        <w:rPr>
          <w:bCs/>
          <w:sz w:val="22"/>
          <w:szCs w:val="22"/>
          <w:vertAlign w:val="subscript"/>
        </w:rPr>
        <w:t>1</w:t>
      </w:r>
      <w:r w:rsidRPr="00FF0104">
        <w:rPr>
          <w:bCs/>
          <w:sz w:val="22"/>
          <w:szCs w:val="22"/>
        </w:rPr>
        <w:t xml:space="preserve"> were observed regardless of age, disease severity, sex, and geographic region. </w:t>
      </w:r>
      <w:r w:rsidRPr="00FF0104">
        <w:rPr>
          <w:sz w:val="22"/>
          <w:szCs w:val="22"/>
        </w:rPr>
        <w:t xml:space="preserve">The Phase 3 trials of </w:t>
      </w:r>
      <w:proofErr w:type="spellStart"/>
      <w:r w:rsidR="00ED79B6" w:rsidRPr="00FF0104">
        <w:rPr>
          <w:sz w:val="22"/>
          <w:szCs w:val="22"/>
          <w:shd w:val="clear" w:color="auto" w:fill="FFFFFF"/>
        </w:rPr>
        <w:t>lumacaftor</w:t>
      </w:r>
      <w:proofErr w:type="spellEnd"/>
      <w:r w:rsidR="00ED79B6" w:rsidRPr="00FF0104">
        <w:rPr>
          <w:sz w:val="22"/>
          <w:szCs w:val="22"/>
          <w:shd w:val="clear" w:color="auto" w:fill="FFFFFF"/>
        </w:rPr>
        <w:t>/</w:t>
      </w:r>
      <w:proofErr w:type="spellStart"/>
      <w:r w:rsidR="00ED79B6" w:rsidRPr="00FF0104">
        <w:rPr>
          <w:sz w:val="22"/>
          <w:szCs w:val="22"/>
          <w:shd w:val="clear" w:color="auto" w:fill="FFFFFF"/>
        </w:rPr>
        <w:t>ivacaftor</w:t>
      </w:r>
      <w:proofErr w:type="spellEnd"/>
      <w:r w:rsidR="00ED79B6" w:rsidRPr="00FF0104">
        <w:rPr>
          <w:sz w:val="22"/>
          <w:szCs w:val="22"/>
          <w:shd w:val="clear" w:color="auto" w:fill="FFFFFF"/>
        </w:rPr>
        <w:t xml:space="preserve"> </w:t>
      </w:r>
      <w:r w:rsidRPr="00FF0104">
        <w:rPr>
          <w:sz w:val="22"/>
          <w:szCs w:val="22"/>
        </w:rPr>
        <w:t>included 81 patients with</w:t>
      </w:r>
      <w:r w:rsidRPr="00E96CAB">
        <w:rPr>
          <w:sz w:val="22"/>
          <w:szCs w:val="22"/>
        </w:rPr>
        <w:t xml:space="preserve"> ppFEV</w:t>
      </w:r>
      <w:r w:rsidRPr="00E96CAB">
        <w:rPr>
          <w:sz w:val="22"/>
          <w:szCs w:val="22"/>
          <w:vertAlign w:val="subscript"/>
        </w:rPr>
        <w:t>1</w:t>
      </w:r>
      <w:r w:rsidRPr="00E96CAB">
        <w:rPr>
          <w:sz w:val="22"/>
          <w:szCs w:val="22"/>
        </w:rPr>
        <w:t xml:space="preserve"> &lt;40 at baseline</w:t>
      </w:r>
      <w:r w:rsidR="005A0268" w:rsidRPr="00E96CAB">
        <w:rPr>
          <w:sz w:val="22"/>
          <w:szCs w:val="22"/>
        </w:rPr>
        <w:t xml:space="preserve"> (including 29 who received </w:t>
      </w:r>
      <w:proofErr w:type="spellStart"/>
      <w:r w:rsidR="005A0268" w:rsidRPr="00E96CAB">
        <w:rPr>
          <w:sz w:val="22"/>
          <w:szCs w:val="22"/>
        </w:rPr>
        <w:t>lumacaftor</w:t>
      </w:r>
      <w:proofErr w:type="spellEnd"/>
      <w:r w:rsidR="005A0268" w:rsidRPr="00E96CAB">
        <w:rPr>
          <w:sz w:val="22"/>
          <w:szCs w:val="22"/>
        </w:rPr>
        <w:t xml:space="preserve"> 400</w:t>
      </w:r>
      <w:r w:rsidR="00284093" w:rsidRPr="00E96CAB">
        <w:rPr>
          <w:sz w:val="22"/>
          <w:szCs w:val="22"/>
        </w:rPr>
        <w:t> </w:t>
      </w:r>
      <w:r w:rsidR="005A0268" w:rsidRPr="00E96CAB">
        <w:rPr>
          <w:sz w:val="22"/>
          <w:szCs w:val="22"/>
        </w:rPr>
        <w:t>mg/</w:t>
      </w:r>
      <w:proofErr w:type="spellStart"/>
      <w:r w:rsidR="005A0268" w:rsidRPr="00E96CAB">
        <w:rPr>
          <w:sz w:val="22"/>
          <w:szCs w:val="22"/>
        </w:rPr>
        <w:t>ivacaftor</w:t>
      </w:r>
      <w:proofErr w:type="spellEnd"/>
      <w:r w:rsidR="005A0268" w:rsidRPr="00E96CAB">
        <w:rPr>
          <w:sz w:val="22"/>
          <w:szCs w:val="22"/>
        </w:rPr>
        <w:t xml:space="preserve"> 250</w:t>
      </w:r>
      <w:r w:rsidR="00284093" w:rsidRPr="00E96CAB">
        <w:rPr>
          <w:sz w:val="22"/>
          <w:szCs w:val="22"/>
        </w:rPr>
        <w:t> </w:t>
      </w:r>
      <w:r w:rsidR="005A0268" w:rsidRPr="00E96CAB">
        <w:rPr>
          <w:sz w:val="22"/>
          <w:szCs w:val="22"/>
        </w:rPr>
        <w:t>mg q12h)</w:t>
      </w:r>
      <w:r w:rsidRPr="00E96CAB">
        <w:rPr>
          <w:sz w:val="22"/>
          <w:szCs w:val="22"/>
        </w:rPr>
        <w:t>. The treatment difference in this subgroup was comparable to that observed in patients with ppFEV</w:t>
      </w:r>
      <w:r w:rsidRPr="00E96CAB">
        <w:rPr>
          <w:sz w:val="22"/>
          <w:szCs w:val="22"/>
          <w:vertAlign w:val="subscript"/>
        </w:rPr>
        <w:t>1</w:t>
      </w:r>
      <w:r w:rsidRPr="00E96CAB">
        <w:rPr>
          <w:sz w:val="22"/>
          <w:szCs w:val="22"/>
        </w:rPr>
        <w:t xml:space="preserve"> ≥40.</w:t>
      </w:r>
      <w:r w:rsidR="0089783E" w:rsidRPr="00E96CAB">
        <w:rPr>
          <w:sz w:val="22"/>
          <w:szCs w:val="22"/>
        </w:rPr>
        <w:t xml:space="preserve"> See Table</w:t>
      </w:r>
      <w:r w:rsidR="0089783E" w:rsidRPr="00E96CAB">
        <w:rPr>
          <w:bCs/>
          <w:sz w:val="22"/>
          <w:szCs w:val="22"/>
        </w:rPr>
        <w:t> </w:t>
      </w:r>
      <w:r w:rsidR="0089783E" w:rsidRPr="00E96CAB">
        <w:rPr>
          <w:sz w:val="22"/>
          <w:szCs w:val="22"/>
        </w:rPr>
        <w:t xml:space="preserve">1 for a summary of primary and key secondary outcomes in </w:t>
      </w:r>
      <w:r w:rsidR="00953C6A" w:rsidRPr="00E96CAB">
        <w:rPr>
          <w:sz w:val="22"/>
          <w:szCs w:val="22"/>
        </w:rPr>
        <w:t>Trial</w:t>
      </w:r>
      <w:r w:rsidR="0089783E" w:rsidRPr="00E96CAB">
        <w:rPr>
          <w:sz w:val="22"/>
          <w:szCs w:val="22"/>
        </w:rPr>
        <w:t>s 1 and 2.</w:t>
      </w:r>
    </w:p>
    <w:p w:rsidR="00980222" w:rsidRPr="00E96CAB" w:rsidRDefault="00980222" w:rsidP="00980222">
      <w:pPr>
        <w:pStyle w:val="Body"/>
        <w:ind w:firstLine="0"/>
        <w:jc w:val="left"/>
        <w:rPr>
          <w:rFonts w:ascii="Times New Roman" w:hAnsi="Times New Roman"/>
          <w:sz w:val="22"/>
          <w:szCs w:val="22"/>
        </w:rPr>
      </w:pPr>
    </w:p>
    <w:p w:rsidR="00980222" w:rsidRPr="00E96CAB" w:rsidRDefault="00980222" w:rsidP="00110BBA">
      <w:pPr>
        <w:rPr>
          <w:b/>
          <w:bCs/>
          <w:sz w:val="22"/>
          <w:szCs w:val="22"/>
        </w:rPr>
      </w:pPr>
      <w:proofErr w:type="gramStart"/>
      <w:r w:rsidRPr="00E96CAB">
        <w:rPr>
          <w:b/>
          <w:bCs/>
          <w:sz w:val="22"/>
          <w:szCs w:val="22"/>
        </w:rPr>
        <w:t>Figure 1.</w:t>
      </w:r>
      <w:proofErr w:type="gramEnd"/>
      <w:r w:rsidRPr="00E96CAB">
        <w:rPr>
          <w:b/>
          <w:bCs/>
          <w:sz w:val="22"/>
          <w:szCs w:val="22"/>
        </w:rPr>
        <w:t xml:space="preserve"> Absolute Change </w:t>
      </w:r>
      <w:proofErr w:type="gramStart"/>
      <w:r w:rsidRPr="00E96CAB">
        <w:rPr>
          <w:b/>
          <w:bCs/>
          <w:sz w:val="22"/>
          <w:szCs w:val="22"/>
        </w:rPr>
        <w:t>From</w:t>
      </w:r>
      <w:proofErr w:type="gramEnd"/>
      <w:r w:rsidRPr="00E96CAB">
        <w:rPr>
          <w:b/>
          <w:bCs/>
          <w:sz w:val="22"/>
          <w:szCs w:val="22"/>
        </w:rPr>
        <w:t xml:space="preserve"> Baseline at Each Visit in Percent Predicted FEV</w:t>
      </w:r>
      <w:r w:rsidRPr="00E96CAB">
        <w:rPr>
          <w:b/>
          <w:bCs/>
          <w:sz w:val="22"/>
          <w:szCs w:val="22"/>
          <w:vertAlign w:val="subscript"/>
        </w:rPr>
        <w:t>1</w:t>
      </w:r>
      <w:r w:rsidRPr="00E96CAB">
        <w:rPr>
          <w:b/>
          <w:bCs/>
          <w:sz w:val="22"/>
          <w:szCs w:val="22"/>
        </w:rPr>
        <w:t xml:space="preserve"> in Trial 1</w:t>
      </w:r>
      <w:r w:rsidR="0089783E" w:rsidRPr="00E96CAB">
        <w:rPr>
          <w:b/>
          <w:bCs/>
          <w:sz w:val="22"/>
          <w:szCs w:val="22"/>
        </w:rPr>
        <w:t xml:space="preserve">, </w:t>
      </w:r>
      <w:r w:rsidRPr="00E96CAB">
        <w:rPr>
          <w:b/>
          <w:bCs/>
          <w:sz w:val="22"/>
          <w:szCs w:val="22"/>
        </w:rPr>
        <w:t>Trial 2</w:t>
      </w:r>
      <w:r w:rsidR="0089783E" w:rsidRPr="00E96CAB">
        <w:rPr>
          <w:b/>
          <w:bCs/>
          <w:sz w:val="22"/>
          <w:szCs w:val="22"/>
        </w:rPr>
        <w:t>, and Pooled Data for Trials 1 and 2</w:t>
      </w:r>
    </w:p>
    <w:p w:rsidR="00AA75E6" w:rsidRPr="00E96CAB" w:rsidRDefault="00AA75E6" w:rsidP="00AA75E6">
      <w:pPr>
        <w:pStyle w:val="MediumGrid21"/>
        <w:tabs>
          <w:tab w:val="left" w:pos="1117"/>
        </w:tabs>
        <w:rPr>
          <w:rFonts w:ascii="Times New Roman" w:hAnsi="Times New Roman"/>
        </w:rPr>
      </w:pPr>
    </w:p>
    <w:p w:rsidR="00AA75E6" w:rsidRPr="00E96CAB" w:rsidRDefault="00334F48" w:rsidP="00AA75E6">
      <w:pPr>
        <w:pStyle w:val="MediumGrid21"/>
        <w:ind w:left="720"/>
        <w:rPr>
          <w:rFonts w:ascii="Times New Roman" w:hAnsi="Times New Roman"/>
          <w:noProof/>
          <w:sz w:val="24"/>
          <w:szCs w:val="24"/>
        </w:rPr>
      </w:pPr>
      <w:r>
        <w:rPr>
          <w:noProof/>
        </w:rPr>
        <w:pict>
          <v:shape id="_x0000_i1027" type="#_x0000_t75" style="width:180.45pt;height:129.5pt;visibility:visible">
            <v:imagedata r:id="rId11" o:title=""/>
          </v:shape>
        </w:pict>
      </w:r>
      <w:r w:rsidR="00AA75E6" w:rsidRPr="00E96CAB">
        <w:rPr>
          <w:noProof/>
        </w:rPr>
        <w:t xml:space="preserve">        </w:t>
      </w:r>
      <w:r>
        <w:rPr>
          <w:noProof/>
        </w:rPr>
        <w:pict>
          <v:shape id="Picture 2" o:spid="_x0000_i1028" type="#_x0000_t75" style="width:179.05pt;height:127.15pt;visibility:visible">
            <v:imagedata r:id="rId12" o:title=""/>
          </v:shape>
        </w:pict>
      </w:r>
    </w:p>
    <w:p w:rsidR="00AA75E6" w:rsidRPr="00E96CAB" w:rsidRDefault="00AA75E6" w:rsidP="00AA75E6">
      <w:pPr>
        <w:pStyle w:val="MediumGrid21"/>
        <w:ind w:left="720"/>
        <w:jc w:val="center"/>
        <w:rPr>
          <w:rFonts w:ascii="Times New Roman" w:hAnsi="Times New Roman"/>
          <w:noProof/>
          <w:sz w:val="24"/>
          <w:szCs w:val="24"/>
        </w:rPr>
      </w:pPr>
    </w:p>
    <w:p w:rsidR="0089783E" w:rsidRPr="00E96CAB" w:rsidRDefault="00334F48" w:rsidP="00AA75E6">
      <w:pPr>
        <w:pStyle w:val="MediumGrid21"/>
        <w:ind w:left="720"/>
        <w:jc w:val="center"/>
        <w:rPr>
          <w:noProof/>
        </w:rPr>
      </w:pPr>
      <w:r>
        <w:rPr>
          <w:noProof/>
        </w:rPr>
        <w:lastRenderedPageBreak/>
        <w:pict>
          <v:shape id="Picture 6" o:spid="_x0000_i1029" type="#_x0000_t75" style="width:186.55pt;height:152.9pt;visibility:visible">
            <v:imagedata r:id="rId13" o:title=""/>
          </v:shape>
        </w:pict>
      </w:r>
    </w:p>
    <w:p w:rsidR="0089783E" w:rsidRPr="00E96CAB" w:rsidRDefault="0089783E" w:rsidP="00AA75E6">
      <w:pPr>
        <w:pStyle w:val="MediumGrid21"/>
        <w:ind w:left="720"/>
        <w:jc w:val="center"/>
        <w:rPr>
          <w:rFonts w:ascii="Times New Roman" w:hAnsi="Times New Roman"/>
          <w:noProof/>
          <w:sz w:val="24"/>
          <w:szCs w:val="24"/>
        </w:rPr>
      </w:pPr>
    </w:p>
    <w:p w:rsidR="00980222" w:rsidRPr="00E96CAB" w:rsidRDefault="00980222" w:rsidP="00110BBA">
      <w:pPr>
        <w:pStyle w:val="MediumGrid21"/>
        <w:rPr>
          <w:rFonts w:ascii="Times New Roman" w:hAnsi="Times New Roman"/>
          <w:sz w:val="16"/>
          <w:szCs w:val="16"/>
        </w:rPr>
      </w:pPr>
      <w:proofErr w:type="gramStart"/>
      <w:r w:rsidRPr="00E96CAB">
        <w:rPr>
          <w:rFonts w:ascii="Times New Roman" w:hAnsi="Times New Roman"/>
          <w:sz w:val="16"/>
          <w:szCs w:val="16"/>
        </w:rPr>
        <w:t>LS, least squares; q12h, every 12 hours.</w:t>
      </w:r>
      <w:proofErr w:type="gramEnd"/>
    </w:p>
    <w:p w:rsidR="00980222" w:rsidRPr="00E96CAB" w:rsidRDefault="00980222" w:rsidP="00110BBA">
      <w:pPr>
        <w:pStyle w:val="MediumGrid21"/>
        <w:rPr>
          <w:rFonts w:ascii="Times New Roman" w:hAnsi="Times New Roman"/>
        </w:rPr>
      </w:pPr>
    </w:p>
    <w:p w:rsidR="00980222" w:rsidRDefault="00980222" w:rsidP="00AA75E6">
      <w:pPr>
        <w:rPr>
          <w:szCs w:val="22"/>
        </w:rPr>
      </w:pPr>
    </w:p>
    <w:p w:rsidR="006D0BB4" w:rsidRPr="00E96CAB" w:rsidRDefault="006D0BB4" w:rsidP="00AA75E6">
      <w:pPr>
        <w:rPr>
          <w:szCs w:val="22"/>
        </w:rPr>
      </w:pPr>
    </w:p>
    <w:tbl>
      <w:tblPr>
        <w:tblW w:w="9675" w:type="dxa"/>
        <w:jc w:val="center"/>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8"/>
        <w:gridCol w:w="1170"/>
        <w:gridCol w:w="902"/>
        <w:gridCol w:w="1496"/>
        <w:gridCol w:w="909"/>
        <w:gridCol w:w="1444"/>
        <w:gridCol w:w="896"/>
        <w:gridCol w:w="1460"/>
      </w:tblGrid>
      <w:tr w:rsidR="00B54052" w:rsidRPr="00E96CAB" w:rsidTr="00A54FC2">
        <w:trPr>
          <w:trHeight w:val="170"/>
          <w:jc w:val="center"/>
        </w:trPr>
        <w:tc>
          <w:tcPr>
            <w:tcW w:w="9675" w:type="dxa"/>
            <w:gridSpan w:val="8"/>
            <w:shd w:val="clear" w:color="auto" w:fill="auto"/>
          </w:tcPr>
          <w:p w:rsidR="00B54052" w:rsidRPr="00E96CAB" w:rsidRDefault="00B54052" w:rsidP="00B54052">
            <w:pPr>
              <w:spacing w:line="289" w:lineRule="atLeast"/>
              <w:rPr>
                <w:rFonts w:eastAsia="MS PGothic"/>
                <w:b/>
                <w:bCs/>
                <w:kern w:val="24"/>
                <w:sz w:val="16"/>
                <w:szCs w:val="16"/>
              </w:rPr>
            </w:pPr>
            <w:r w:rsidRPr="00E96CAB">
              <w:rPr>
                <w:b/>
                <w:sz w:val="22"/>
                <w:szCs w:val="22"/>
              </w:rPr>
              <w:t>Table 1: Summary of Primary and Key Secondary Outcomes in Trial 1 and Trial 2*</w:t>
            </w:r>
          </w:p>
        </w:tc>
      </w:tr>
      <w:tr w:rsidR="00980222" w:rsidRPr="00E96CAB" w:rsidTr="00B46F4E">
        <w:trPr>
          <w:trHeight w:val="170"/>
          <w:jc w:val="center"/>
        </w:trPr>
        <w:tc>
          <w:tcPr>
            <w:tcW w:w="2568" w:type="dxa"/>
            <w:gridSpan w:val="2"/>
            <w:vMerge w:val="restart"/>
            <w:shd w:val="clear" w:color="auto" w:fill="auto"/>
            <w:hideMark/>
          </w:tcPr>
          <w:p w:rsidR="00980222" w:rsidRPr="00E96CAB" w:rsidRDefault="00980222" w:rsidP="00B46F4E">
            <w:pPr>
              <w:pStyle w:val="Body"/>
              <w:ind w:left="720" w:firstLine="0"/>
              <w:jc w:val="left"/>
              <w:rPr>
                <w:sz w:val="16"/>
                <w:szCs w:val="16"/>
              </w:rPr>
            </w:pPr>
          </w:p>
        </w:tc>
        <w:tc>
          <w:tcPr>
            <w:tcW w:w="2398" w:type="dxa"/>
            <w:gridSpan w:val="2"/>
            <w:shd w:val="clear" w:color="auto" w:fill="auto"/>
            <w:hideMark/>
          </w:tcPr>
          <w:p w:rsidR="00980222" w:rsidRPr="00E96CAB" w:rsidRDefault="00980222" w:rsidP="00B46F4E">
            <w:pPr>
              <w:spacing w:line="289" w:lineRule="atLeast"/>
              <w:jc w:val="center"/>
              <w:rPr>
                <w:sz w:val="16"/>
                <w:szCs w:val="16"/>
              </w:rPr>
            </w:pPr>
            <w:r w:rsidRPr="00E96CAB">
              <w:rPr>
                <w:rFonts w:eastAsia="MS PGothic"/>
                <w:b/>
                <w:bCs/>
                <w:kern w:val="24"/>
                <w:sz w:val="16"/>
                <w:szCs w:val="16"/>
              </w:rPr>
              <w:t>Trial 1</w:t>
            </w:r>
          </w:p>
        </w:tc>
        <w:tc>
          <w:tcPr>
            <w:tcW w:w="2353" w:type="dxa"/>
            <w:gridSpan w:val="2"/>
            <w:shd w:val="clear" w:color="auto" w:fill="auto"/>
          </w:tcPr>
          <w:p w:rsidR="00980222" w:rsidRPr="00E96CAB" w:rsidRDefault="00980222" w:rsidP="00B46F4E">
            <w:pPr>
              <w:spacing w:line="289" w:lineRule="atLeast"/>
              <w:jc w:val="center"/>
              <w:rPr>
                <w:sz w:val="16"/>
                <w:szCs w:val="16"/>
              </w:rPr>
            </w:pPr>
            <w:r w:rsidRPr="00E96CAB">
              <w:rPr>
                <w:rFonts w:eastAsia="MS PGothic"/>
                <w:b/>
                <w:bCs/>
                <w:kern w:val="24"/>
                <w:sz w:val="16"/>
                <w:szCs w:val="16"/>
              </w:rPr>
              <w:t>Trial 2</w:t>
            </w:r>
          </w:p>
        </w:tc>
        <w:tc>
          <w:tcPr>
            <w:tcW w:w="2356" w:type="dxa"/>
            <w:gridSpan w:val="2"/>
            <w:shd w:val="clear" w:color="auto" w:fill="auto"/>
          </w:tcPr>
          <w:p w:rsidR="00980222" w:rsidRPr="00E96CAB" w:rsidRDefault="00980222" w:rsidP="00B46F4E">
            <w:pPr>
              <w:spacing w:line="289" w:lineRule="atLeast"/>
              <w:jc w:val="center"/>
              <w:rPr>
                <w:sz w:val="16"/>
                <w:szCs w:val="16"/>
              </w:rPr>
            </w:pPr>
            <w:r w:rsidRPr="00E96CAB">
              <w:rPr>
                <w:rFonts w:eastAsia="MS PGothic"/>
                <w:b/>
                <w:bCs/>
                <w:kern w:val="24"/>
                <w:sz w:val="16"/>
                <w:szCs w:val="16"/>
              </w:rPr>
              <w:t>Pooled (Trial 1 and Trial 2)</w:t>
            </w:r>
          </w:p>
        </w:tc>
      </w:tr>
      <w:tr w:rsidR="00980222" w:rsidRPr="00E96CAB" w:rsidTr="00B46F4E">
        <w:trPr>
          <w:trHeight w:val="773"/>
          <w:jc w:val="center"/>
        </w:trPr>
        <w:tc>
          <w:tcPr>
            <w:tcW w:w="2568" w:type="dxa"/>
            <w:gridSpan w:val="2"/>
            <w:vMerge/>
            <w:shd w:val="clear" w:color="auto" w:fill="auto"/>
            <w:hideMark/>
          </w:tcPr>
          <w:p w:rsidR="00980222" w:rsidRPr="00E96CAB" w:rsidRDefault="00980222" w:rsidP="00B46F4E">
            <w:pPr>
              <w:ind w:left="720"/>
              <w:rPr>
                <w:sz w:val="16"/>
                <w:szCs w:val="16"/>
              </w:rPr>
            </w:pPr>
          </w:p>
        </w:tc>
        <w:tc>
          <w:tcPr>
            <w:tcW w:w="902" w:type="dxa"/>
            <w:shd w:val="clear" w:color="auto" w:fill="auto"/>
            <w:vAlign w:val="center"/>
            <w:hideMark/>
          </w:tcPr>
          <w:p w:rsidR="00980222" w:rsidRPr="00E96CAB" w:rsidRDefault="00980222" w:rsidP="00B46F4E">
            <w:pPr>
              <w:ind w:left="-106"/>
              <w:jc w:val="center"/>
              <w:rPr>
                <w:rFonts w:eastAsia="MS PGothic"/>
                <w:b/>
                <w:bCs/>
                <w:kern w:val="24"/>
                <w:sz w:val="16"/>
                <w:szCs w:val="16"/>
              </w:rPr>
            </w:pPr>
            <w:r w:rsidRPr="00E96CAB">
              <w:rPr>
                <w:rFonts w:eastAsia="MS PGothic"/>
                <w:b/>
                <w:bCs/>
                <w:kern w:val="24"/>
                <w:sz w:val="16"/>
                <w:szCs w:val="16"/>
              </w:rPr>
              <w:t>Placebo</w:t>
            </w:r>
          </w:p>
          <w:p w:rsidR="00980222" w:rsidRPr="00E96CAB" w:rsidRDefault="00980222" w:rsidP="00B46F4E">
            <w:pPr>
              <w:ind w:left="-106"/>
              <w:jc w:val="center"/>
              <w:rPr>
                <w:rFonts w:eastAsia="MS PGothic"/>
                <w:b/>
                <w:bCs/>
                <w:kern w:val="24"/>
                <w:sz w:val="16"/>
                <w:szCs w:val="16"/>
              </w:rPr>
            </w:pPr>
            <w:r w:rsidRPr="00E96CAB">
              <w:rPr>
                <w:rFonts w:eastAsia="MS PGothic"/>
                <w:b/>
                <w:bCs/>
                <w:kern w:val="24"/>
                <w:sz w:val="16"/>
                <w:szCs w:val="16"/>
              </w:rPr>
              <w:t>(n=184)</w:t>
            </w:r>
          </w:p>
        </w:tc>
        <w:tc>
          <w:tcPr>
            <w:tcW w:w="1496" w:type="dxa"/>
            <w:shd w:val="clear" w:color="auto" w:fill="auto"/>
            <w:vAlign w:val="center"/>
            <w:hideMark/>
          </w:tcPr>
          <w:p w:rsidR="00980222" w:rsidRPr="00E96CAB" w:rsidRDefault="00980222" w:rsidP="00B46F4E">
            <w:pPr>
              <w:ind w:left="-106"/>
              <w:jc w:val="center"/>
              <w:rPr>
                <w:sz w:val="16"/>
                <w:szCs w:val="16"/>
              </w:rPr>
            </w:pPr>
            <w:r w:rsidRPr="00E96CAB">
              <w:rPr>
                <w:rFonts w:eastAsia="MS PGothic"/>
                <w:b/>
                <w:bCs/>
                <w:kern w:val="24"/>
                <w:sz w:val="16"/>
                <w:szCs w:val="16"/>
              </w:rPr>
              <w:t>LUM 400 mg/IVA 250 mg q12h</w:t>
            </w:r>
          </w:p>
          <w:p w:rsidR="00980222" w:rsidRPr="00E96CAB" w:rsidRDefault="00980222" w:rsidP="00B46F4E">
            <w:pPr>
              <w:ind w:left="-125"/>
              <w:jc w:val="center"/>
              <w:rPr>
                <w:sz w:val="16"/>
                <w:szCs w:val="16"/>
              </w:rPr>
            </w:pPr>
            <w:r w:rsidRPr="00E96CAB">
              <w:rPr>
                <w:rFonts w:eastAsia="MS PGothic"/>
                <w:b/>
                <w:bCs/>
                <w:kern w:val="24"/>
                <w:sz w:val="16"/>
                <w:szCs w:val="16"/>
              </w:rPr>
              <w:t>(n=182)</w:t>
            </w:r>
          </w:p>
        </w:tc>
        <w:tc>
          <w:tcPr>
            <w:tcW w:w="909" w:type="dxa"/>
            <w:shd w:val="clear" w:color="auto" w:fill="auto"/>
            <w:vAlign w:val="center"/>
            <w:hideMark/>
          </w:tcPr>
          <w:p w:rsidR="00980222" w:rsidRPr="00E96CAB" w:rsidRDefault="00980222" w:rsidP="00B46F4E">
            <w:pPr>
              <w:ind w:left="-103"/>
              <w:jc w:val="center"/>
              <w:rPr>
                <w:rFonts w:eastAsia="MS PGothic"/>
                <w:b/>
                <w:bCs/>
                <w:kern w:val="24"/>
                <w:sz w:val="16"/>
                <w:szCs w:val="16"/>
              </w:rPr>
            </w:pPr>
            <w:r w:rsidRPr="00E96CAB">
              <w:rPr>
                <w:rFonts w:eastAsia="MS PGothic"/>
                <w:b/>
                <w:bCs/>
                <w:kern w:val="24"/>
                <w:sz w:val="16"/>
                <w:szCs w:val="16"/>
              </w:rPr>
              <w:t>Placebo</w:t>
            </w:r>
          </w:p>
          <w:p w:rsidR="00980222" w:rsidRPr="00E96CAB" w:rsidRDefault="00980222" w:rsidP="00B46F4E">
            <w:pPr>
              <w:ind w:left="-103"/>
              <w:jc w:val="center"/>
              <w:rPr>
                <w:rFonts w:eastAsia="MS PGothic"/>
                <w:b/>
                <w:bCs/>
                <w:kern w:val="24"/>
                <w:sz w:val="16"/>
                <w:szCs w:val="16"/>
              </w:rPr>
            </w:pPr>
            <w:r w:rsidRPr="00E96CAB">
              <w:rPr>
                <w:rFonts w:eastAsia="MS PGothic"/>
                <w:b/>
                <w:bCs/>
                <w:kern w:val="24"/>
                <w:sz w:val="16"/>
                <w:szCs w:val="16"/>
              </w:rPr>
              <w:t>(n=187)</w:t>
            </w:r>
          </w:p>
        </w:tc>
        <w:tc>
          <w:tcPr>
            <w:tcW w:w="1444" w:type="dxa"/>
            <w:shd w:val="clear" w:color="auto" w:fill="auto"/>
            <w:vAlign w:val="center"/>
            <w:hideMark/>
          </w:tcPr>
          <w:p w:rsidR="00980222" w:rsidRPr="00E96CAB" w:rsidRDefault="00980222" w:rsidP="00B46F4E">
            <w:pPr>
              <w:ind w:left="-78"/>
              <w:jc w:val="center"/>
              <w:rPr>
                <w:rFonts w:eastAsia="MS PGothic"/>
                <w:b/>
                <w:bCs/>
                <w:kern w:val="24"/>
                <w:sz w:val="16"/>
                <w:szCs w:val="16"/>
              </w:rPr>
            </w:pPr>
            <w:r w:rsidRPr="00E96CAB">
              <w:rPr>
                <w:rFonts w:eastAsia="MS PGothic"/>
                <w:b/>
                <w:bCs/>
                <w:kern w:val="24"/>
                <w:sz w:val="16"/>
                <w:szCs w:val="16"/>
              </w:rPr>
              <w:t>LUM 400 mg/IVA 250 mg q12h</w:t>
            </w:r>
          </w:p>
          <w:p w:rsidR="00980222" w:rsidRPr="00E96CAB" w:rsidRDefault="00980222" w:rsidP="00B46F4E">
            <w:pPr>
              <w:ind w:left="-106"/>
              <w:jc w:val="center"/>
              <w:rPr>
                <w:sz w:val="16"/>
                <w:szCs w:val="16"/>
              </w:rPr>
            </w:pPr>
            <w:r w:rsidRPr="00E96CAB">
              <w:rPr>
                <w:rFonts w:eastAsia="MS PGothic"/>
                <w:b/>
                <w:bCs/>
                <w:kern w:val="24"/>
                <w:sz w:val="16"/>
                <w:szCs w:val="16"/>
              </w:rPr>
              <w:t>(n=187)</w:t>
            </w:r>
          </w:p>
        </w:tc>
        <w:tc>
          <w:tcPr>
            <w:tcW w:w="896" w:type="dxa"/>
            <w:shd w:val="clear" w:color="auto" w:fill="auto"/>
            <w:vAlign w:val="center"/>
            <w:hideMark/>
          </w:tcPr>
          <w:p w:rsidR="00980222" w:rsidRPr="00E96CAB" w:rsidRDefault="00980222" w:rsidP="00B46F4E">
            <w:pPr>
              <w:ind w:left="-103"/>
              <w:jc w:val="center"/>
              <w:rPr>
                <w:rFonts w:eastAsia="MS PGothic"/>
                <w:b/>
                <w:bCs/>
                <w:kern w:val="24"/>
                <w:sz w:val="16"/>
                <w:szCs w:val="16"/>
              </w:rPr>
            </w:pPr>
            <w:r w:rsidRPr="00E96CAB">
              <w:rPr>
                <w:rFonts w:eastAsia="MS PGothic"/>
                <w:b/>
                <w:bCs/>
                <w:kern w:val="24"/>
                <w:sz w:val="16"/>
                <w:szCs w:val="16"/>
              </w:rPr>
              <w:t>Placebo</w:t>
            </w:r>
          </w:p>
          <w:p w:rsidR="00980222" w:rsidRPr="00E96CAB" w:rsidRDefault="00980222" w:rsidP="00B46F4E">
            <w:pPr>
              <w:ind w:left="-103"/>
              <w:jc w:val="center"/>
              <w:rPr>
                <w:sz w:val="16"/>
                <w:szCs w:val="16"/>
              </w:rPr>
            </w:pPr>
            <w:r w:rsidRPr="00E96CAB">
              <w:rPr>
                <w:rFonts w:eastAsia="MS PGothic"/>
                <w:b/>
                <w:bCs/>
                <w:kern w:val="24"/>
                <w:sz w:val="16"/>
                <w:szCs w:val="16"/>
              </w:rPr>
              <w:t>(n=371)</w:t>
            </w:r>
          </w:p>
        </w:tc>
        <w:tc>
          <w:tcPr>
            <w:tcW w:w="1460" w:type="dxa"/>
            <w:shd w:val="clear" w:color="auto" w:fill="auto"/>
            <w:vAlign w:val="center"/>
            <w:hideMark/>
          </w:tcPr>
          <w:p w:rsidR="00980222" w:rsidRPr="00E96CAB" w:rsidRDefault="00980222" w:rsidP="00B46F4E">
            <w:pPr>
              <w:ind w:left="-78"/>
              <w:jc w:val="center"/>
              <w:rPr>
                <w:rFonts w:eastAsia="MS PGothic"/>
                <w:b/>
                <w:bCs/>
                <w:kern w:val="24"/>
                <w:sz w:val="16"/>
                <w:szCs w:val="16"/>
              </w:rPr>
            </w:pPr>
            <w:r w:rsidRPr="00E96CAB">
              <w:rPr>
                <w:rFonts w:eastAsia="MS PGothic"/>
                <w:b/>
                <w:bCs/>
                <w:kern w:val="24"/>
                <w:sz w:val="16"/>
                <w:szCs w:val="16"/>
              </w:rPr>
              <w:t>LUM 400 mg/IVA 250 mg q12h</w:t>
            </w:r>
          </w:p>
          <w:p w:rsidR="00980222" w:rsidRPr="00E96CAB" w:rsidRDefault="00980222" w:rsidP="00B46F4E">
            <w:pPr>
              <w:ind w:left="-78"/>
              <w:jc w:val="center"/>
              <w:rPr>
                <w:sz w:val="16"/>
                <w:szCs w:val="16"/>
              </w:rPr>
            </w:pPr>
            <w:r w:rsidRPr="00E96CAB">
              <w:rPr>
                <w:rFonts w:eastAsia="MS PGothic"/>
                <w:b/>
                <w:bCs/>
                <w:kern w:val="24"/>
                <w:sz w:val="16"/>
                <w:szCs w:val="16"/>
              </w:rPr>
              <w:t>(n=369)</w:t>
            </w:r>
          </w:p>
        </w:tc>
      </w:tr>
      <w:tr w:rsidR="00980222" w:rsidRPr="00E96CAB" w:rsidTr="00B46F4E">
        <w:trPr>
          <w:trHeight w:val="620"/>
          <w:jc w:val="center"/>
        </w:trPr>
        <w:tc>
          <w:tcPr>
            <w:tcW w:w="1398" w:type="dxa"/>
            <w:vMerge w:val="restart"/>
            <w:shd w:val="clear" w:color="auto" w:fill="auto"/>
            <w:vAlign w:val="center"/>
            <w:hideMark/>
          </w:tcPr>
          <w:p w:rsidR="00980222" w:rsidRPr="00E96CAB" w:rsidRDefault="00980222" w:rsidP="00B46F4E">
            <w:pPr>
              <w:ind w:left="-40"/>
              <w:rPr>
                <w:sz w:val="16"/>
                <w:szCs w:val="16"/>
              </w:rPr>
            </w:pPr>
            <w:r w:rsidRPr="00E96CAB">
              <w:rPr>
                <w:b/>
                <w:bCs/>
                <w:sz w:val="16"/>
                <w:szCs w:val="16"/>
              </w:rPr>
              <w:t>Absolute change in ppFEV</w:t>
            </w:r>
            <w:r w:rsidRPr="00E96CAB">
              <w:rPr>
                <w:b/>
                <w:bCs/>
                <w:sz w:val="16"/>
                <w:szCs w:val="16"/>
                <w:vertAlign w:val="subscript"/>
              </w:rPr>
              <w:t>1</w:t>
            </w:r>
            <w:r w:rsidRPr="00E96CAB">
              <w:rPr>
                <w:b/>
                <w:bCs/>
                <w:sz w:val="16"/>
                <w:szCs w:val="16"/>
              </w:rPr>
              <w:t xml:space="preserve"> at Week 24</w:t>
            </w:r>
            <w:r w:rsidRPr="00E96CAB">
              <w:rPr>
                <w:bCs/>
                <w:sz w:val="16"/>
                <w:szCs w:val="16"/>
                <w:vertAlign w:val="superscript"/>
              </w:rPr>
              <w:t>†</w:t>
            </w:r>
            <w:r w:rsidRPr="00E96CAB">
              <w:rPr>
                <w:b/>
                <w:bCs/>
                <w:sz w:val="16"/>
                <w:szCs w:val="16"/>
              </w:rPr>
              <w:t xml:space="preserve"> (percentage points)</w:t>
            </w:r>
          </w:p>
        </w:tc>
        <w:tc>
          <w:tcPr>
            <w:tcW w:w="1170" w:type="dxa"/>
            <w:shd w:val="clear" w:color="auto" w:fill="auto"/>
            <w:vAlign w:val="center"/>
            <w:hideMark/>
          </w:tcPr>
          <w:p w:rsidR="00980222" w:rsidRPr="00E96CAB" w:rsidRDefault="00980222" w:rsidP="00B46F4E">
            <w:pPr>
              <w:jc w:val="center"/>
              <w:rPr>
                <w:sz w:val="16"/>
                <w:szCs w:val="16"/>
              </w:rPr>
            </w:pPr>
            <w:r w:rsidRPr="00E96CAB">
              <w:rPr>
                <w:rFonts w:eastAsia="MS PGothic"/>
                <w:kern w:val="24"/>
                <w:sz w:val="16"/>
                <w:szCs w:val="16"/>
              </w:rPr>
              <w:t>Treatment difference</w:t>
            </w:r>
          </w:p>
        </w:tc>
        <w:tc>
          <w:tcPr>
            <w:tcW w:w="902"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w:t>
            </w:r>
          </w:p>
        </w:tc>
        <w:tc>
          <w:tcPr>
            <w:tcW w:w="1496" w:type="dxa"/>
            <w:shd w:val="clear" w:color="auto" w:fill="auto"/>
            <w:vAlign w:val="center"/>
            <w:hideMark/>
          </w:tcPr>
          <w:p w:rsidR="00980222" w:rsidRPr="00E96CAB" w:rsidRDefault="00980222" w:rsidP="00B46F4E">
            <w:pPr>
              <w:ind w:left="26"/>
              <w:jc w:val="center"/>
              <w:rPr>
                <w:sz w:val="16"/>
                <w:szCs w:val="16"/>
              </w:rPr>
            </w:pPr>
            <w:r w:rsidRPr="00E96CAB">
              <w:rPr>
                <w:rFonts w:eastAsia="MS PGothic"/>
                <w:kern w:val="24"/>
                <w:sz w:val="16"/>
                <w:szCs w:val="16"/>
              </w:rPr>
              <w:t>2.6</w:t>
            </w:r>
          </w:p>
          <w:p w:rsidR="00980222" w:rsidRPr="00E96CAB" w:rsidRDefault="00980222" w:rsidP="00B46F4E">
            <w:pPr>
              <w:ind w:left="26"/>
              <w:jc w:val="center"/>
              <w:rPr>
                <w:sz w:val="16"/>
                <w:szCs w:val="16"/>
              </w:rPr>
            </w:pPr>
            <w:r w:rsidRPr="00E96CAB">
              <w:rPr>
                <w:rFonts w:eastAsia="MS PGothic"/>
                <w:kern w:val="24"/>
                <w:sz w:val="16"/>
                <w:szCs w:val="16"/>
              </w:rPr>
              <w:t>(</w:t>
            </w:r>
            <w:r w:rsidRPr="00E96CAB">
              <w:rPr>
                <w:rFonts w:eastAsia="MS PGothic"/>
                <w:bCs/>
                <w:i/>
                <w:kern w:val="24"/>
                <w:sz w:val="16"/>
                <w:szCs w:val="16"/>
              </w:rPr>
              <w:t>P</w:t>
            </w:r>
            <w:r w:rsidRPr="00E96CAB">
              <w:rPr>
                <w:rFonts w:eastAsia="MS PGothic"/>
                <w:kern w:val="24"/>
                <w:sz w:val="16"/>
                <w:szCs w:val="16"/>
              </w:rPr>
              <w:t>=0.0003)</w:t>
            </w:r>
            <w:r w:rsidRPr="00E96CAB">
              <w:rPr>
                <w:bCs/>
                <w:sz w:val="16"/>
                <w:szCs w:val="16"/>
                <w:vertAlign w:val="superscript"/>
              </w:rPr>
              <w:t>‡</w:t>
            </w:r>
          </w:p>
        </w:tc>
        <w:tc>
          <w:tcPr>
            <w:tcW w:w="909" w:type="dxa"/>
            <w:shd w:val="clear" w:color="auto" w:fill="auto"/>
            <w:vAlign w:val="center"/>
            <w:hideMark/>
          </w:tcPr>
          <w:p w:rsidR="00980222" w:rsidRPr="00E96CAB" w:rsidRDefault="00980222" w:rsidP="00B46F4E">
            <w:pPr>
              <w:ind w:left="-67" w:firstLine="9"/>
              <w:jc w:val="center"/>
              <w:rPr>
                <w:sz w:val="16"/>
                <w:szCs w:val="16"/>
              </w:rPr>
            </w:pPr>
            <w:r w:rsidRPr="00E96CAB">
              <w:rPr>
                <w:rFonts w:eastAsia="MS PGothic"/>
                <w:bCs/>
                <w:kern w:val="24"/>
                <w:sz w:val="16"/>
                <w:szCs w:val="16"/>
              </w:rPr>
              <w:t>–</w:t>
            </w:r>
          </w:p>
        </w:tc>
        <w:tc>
          <w:tcPr>
            <w:tcW w:w="1444" w:type="dxa"/>
            <w:shd w:val="clear" w:color="auto" w:fill="auto"/>
            <w:vAlign w:val="center"/>
            <w:hideMark/>
          </w:tcPr>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3.0</w:t>
            </w:r>
          </w:p>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w:t>
            </w:r>
            <w:r w:rsidRPr="00E96CAB">
              <w:rPr>
                <w:rFonts w:eastAsia="MS PGothic"/>
                <w:bCs/>
                <w:i/>
                <w:kern w:val="24"/>
                <w:sz w:val="16"/>
                <w:szCs w:val="16"/>
              </w:rPr>
              <w:t>P</w:t>
            </w:r>
            <w:r w:rsidRPr="00E96CAB">
              <w:rPr>
                <w:rFonts w:eastAsia="MS PGothic"/>
                <w:kern w:val="24"/>
                <w:sz w:val="16"/>
                <w:szCs w:val="16"/>
              </w:rPr>
              <w:t>&lt;0.0001)</w:t>
            </w:r>
            <w:r w:rsidRPr="00E96CAB">
              <w:rPr>
                <w:rFonts w:eastAsia="MS PGothic"/>
                <w:kern w:val="24"/>
                <w:sz w:val="16"/>
                <w:szCs w:val="16"/>
                <w:vertAlign w:val="superscript"/>
              </w:rPr>
              <w:t>‡</w:t>
            </w:r>
          </w:p>
        </w:tc>
        <w:tc>
          <w:tcPr>
            <w:tcW w:w="896" w:type="dxa"/>
            <w:shd w:val="clear" w:color="auto" w:fill="auto"/>
            <w:vAlign w:val="center"/>
            <w:hideMark/>
          </w:tcPr>
          <w:p w:rsidR="00980222" w:rsidRPr="00E96CAB" w:rsidRDefault="00980222" w:rsidP="00B46F4E">
            <w:pPr>
              <w:ind w:left="-67" w:firstLine="9"/>
              <w:jc w:val="center"/>
              <w:rPr>
                <w:sz w:val="16"/>
                <w:szCs w:val="16"/>
              </w:rPr>
            </w:pPr>
            <w:r w:rsidRPr="00E96CAB">
              <w:rPr>
                <w:rFonts w:eastAsia="MS PGothic"/>
                <w:bCs/>
                <w:kern w:val="24"/>
                <w:sz w:val="16"/>
                <w:szCs w:val="16"/>
              </w:rPr>
              <w:t>–</w:t>
            </w:r>
          </w:p>
        </w:tc>
        <w:tc>
          <w:tcPr>
            <w:tcW w:w="1460" w:type="dxa"/>
            <w:shd w:val="clear" w:color="auto" w:fill="auto"/>
            <w:vAlign w:val="center"/>
            <w:hideMark/>
          </w:tcPr>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2.8</w:t>
            </w:r>
          </w:p>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w:t>
            </w:r>
            <w:r w:rsidRPr="00E96CAB">
              <w:rPr>
                <w:rFonts w:eastAsia="MS PGothic"/>
                <w:bCs/>
                <w:i/>
                <w:kern w:val="24"/>
                <w:sz w:val="16"/>
                <w:szCs w:val="16"/>
              </w:rPr>
              <w:t>P</w:t>
            </w:r>
            <w:r w:rsidRPr="00E96CAB">
              <w:rPr>
                <w:rFonts w:eastAsia="MS PGothic"/>
                <w:kern w:val="24"/>
                <w:sz w:val="16"/>
                <w:szCs w:val="16"/>
              </w:rPr>
              <w:t>&lt;0.0001)</w:t>
            </w:r>
          </w:p>
        </w:tc>
      </w:tr>
      <w:tr w:rsidR="00980222" w:rsidRPr="00E96CAB" w:rsidTr="00B46F4E">
        <w:trPr>
          <w:trHeight w:val="440"/>
          <w:jc w:val="center"/>
        </w:trPr>
        <w:tc>
          <w:tcPr>
            <w:tcW w:w="1398" w:type="dxa"/>
            <w:vMerge/>
            <w:shd w:val="clear" w:color="auto" w:fill="auto"/>
            <w:vAlign w:val="center"/>
            <w:hideMark/>
          </w:tcPr>
          <w:p w:rsidR="00980222" w:rsidRPr="00E96CAB" w:rsidRDefault="00980222" w:rsidP="00B46F4E">
            <w:pPr>
              <w:ind w:left="720"/>
              <w:rPr>
                <w:sz w:val="16"/>
                <w:szCs w:val="16"/>
              </w:rPr>
            </w:pPr>
          </w:p>
        </w:tc>
        <w:tc>
          <w:tcPr>
            <w:tcW w:w="1170" w:type="dxa"/>
            <w:shd w:val="clear" w:color="auto" w:fill="auto"/>
            <w:vAlign w:val="center"/>
            <w:hideMark/>
          </w:tcPr>
          <w:p w:rsidR="00980222" w:rsidRPr="00E96CAB" w:rsidRDefault="00980222" w:rsidP="00B46F4E">
            <w:pPr>
              <w:jc w:val="center"/>
              <w:rPr>
                <w:sz w:val="16"/>
                <w:szCs w:val="16"/>
              </w:rPr>
            </w:pPr>
            <w:r w:rsidRPr="00E96CAB">
              <w:rPr>
                <w:bCs/>
                <w:sz w:val="16"/>
                <w:szCs w:val="16"/>
              </w:rPr>
              <w:t>Within</w:t>
            </w:r>
            <w:r w:rsidRPr="00E96CAB">
              <w:rPr>
                <w:bCs/>
                <w:sz w:val="16"/>
                <w:szCs w:val="16"/>
              </w:rPr>
              <w:noBreakHyphen/>
              <w:t>group change</w:t>
            </w:r>
          </w:p>
        </w:tc>
        <w:tc>
          <w:tcPr>
            <w:tcW w:w="902"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-0.44</w:t>
            </w:r>
          </w:p>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w:t>
            </w:r>
            <w:r w:rsidRPr="00E96CAB">
              <w:rPr>
                <w:rFonts w:eastAsia="MS PGothic"/>
                <w:bCs/>
                <w:i/>
                <w:kern w:val="24"/>
                <w:sz w:val="16"/>
                <w:szCs w:val="16"/>
              </w:rPr>
              <w:t>P</w:t>
            </w:r>
            <w:r w:rsidRPr="00E96CAB">
              <w:rPr>
                <w:rFonts w:eastAsia="MS PGothic"/>
                <w:bCs/>
                <w:kern w:val="24"/>
                <w:sz w:val="16"/>
                <w:szCs w:val="16"/>
              </w:rPr>
              <w:t>=0.4002)</w:t>
            </w:r>
          </w:p>
        </w:tc>
        <w:tc>
          <w:tcPr>
            <w:tcW w:w="1496" w:type="dxa"/>
            <w:shd w:val="clear" w:color="auto" w:fill="auto"/>
            <w:vAlign w:val="center"/>
            <w:hideMark/>
          </w:tcPr>
          <w:p w:rsidR="00980222" w:rsidRPr="00E96CAB" w:rsidRDefault="00980222" w:rsidP="00B46F4E">
            <w:pPr>
              <w:ind w:left="26"/>
              <w:jc w:val="center"/>
              <w:rPr>
                <w:sz w:val="16"/>
                <w:szCs w:val="16"/>
              </w:rPr>
            </w:pPr>
            <w:r w:rsidRPr="00E96CAB">
              <w:rPr>
                <w:rFonts w:eastAsia="MS PGothic"/>
                <w:kern w:val="24"/>
                <w:sz w:val="16"/>
                <w:szCs w:val="16"/>
              </w:rPr>
              <w:t>2.2</w:t>
            </w:r>
          </w:p>
          <w:p w:rsidR="00980222" w:rsidRPr="00E96CAB" w:rsidRDefault="00980222" w:rsidP="00B46F4E">
            <w:pPr>
              <w:ind w:left="26"/>
              <w:jc w:val="center"/>
              <w:rPr>
                <w:sz w:val="16"/>
                <w:szCs w:val="16"/>
              </w:rPr>
            </w:pPr>
            <w:r w:rsidRPr="00E96CAB">
              <w:rPr>
                <w:rFonts w:eastAsia="MS PGothic"/>
                <w:kern w:val="24"/>
                <w:sz w:val="16"/>
                <w:szCs w:val="16"/>
              </w:rPr>
              <w:t>(</w:t>
            </w:r>
            <w:r w:rsidRPr="00E96CAB">
              <w:rPr>
                <w:rFonts w:eastAsia="MS PGothic"/>
                <w:bCs/>
                <w:i/>
                <w:kern w:val="24"/>
                <w:sz w:val="16"/>
                <w:szCs w:val="16"/>
              </w:rPr>
              <w:t>P</w:t>
            </w:r>
            <w:r w:rsidRPr="00E96CAB">
              <w:rPr>
                <w:rFonts w:eastAsia="MS PGothic"/>
                <w:kern w:val="24"/>
                <w:sz w:val="16"/>
                <w:szCs w:val="16"/>
              </w:rPr>
              <w:t>&lt;0.0001)</w:t>
            </w:r>
          </w:p>
        </w:tc>
        <w:tc>
          <w:tcPr>
            <w:tcW w:w="909"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-0.15</w:t>
            </w:r>
          </w:p>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w:t>
            </w:r>
            <w:r w:rsidRPr="00E96CAB">
              <w:rPr>
                <w:rFonts w:eastAsia="MS PGothic"/>
                <w:bCs/>
                <w:i/>
                <w:kern w:val="24"/>
                <w:sz w:val="16"/>
                <w:szCs w:val="16"/>
              </w:rPr>
              <w:t>P</w:t>
            </w:r>
            <w:r w:rsidRPr="00E96CAB">
              <w:rPr>
                <w:rFonts w:eastAsia="MS PGothic"/>
                <w:bCs/>
                <w:kern w:val="24"/>
                <w:sz w:val="16"/>
                <w:szCs w:val="16"/>
              </w:rPr>
              <w:t>=0.7744)</w:t>
            </w:r>
          </w:p>
        </w:tc>
        <w:tc>
          <w:tcPr>
            <w:tcW w:w="1444" w:type="dxa"/>
            <w:shd w:val="clear" w:color="auto" w:fill="auto"/>
            <w:vAlign w:val="center"/>
            <w:hideMark/>
          </w:tcPr>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2.9</w:t>
            </w:r>
          </w:p>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w:t>
            </w:r>
            <w:r w:rsidRPr="00E96CAB">
              <w:rPr>
                <w:rFonts w:eastAsia="MS PGothic"/>
                <w:bCs/>
                <w:i/>
                <w:kern w:val="24"/>
                <w:sz w:val="16"/>
                <w:szCs w:val="16"/>
              </w:rPr>
              <w:t>P</w:t>
            </w:r>
            <w:r w:rsidRPr="00E96CAB">
              <w:rPr>
                <w:rFonts w:eastAsia="MS PGothic"/>
                <w:kern w:val="24"/>
                <w:sz w:val="16"/>
                <w:szCs w:val="16"/>
              </w:rPr>
              <w:t>&lt;0.0001)</w:t>
            </w:r>
          </w:p>
        </w:tc>
        <w:tc>
          <w:tcPr>
            <w:tcW w:w="896"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-0.32</w:t>
            </w:r>
          </w:p>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w:t>
            </w:r>
            <w:r w:rsidRPr="00E96CAB">
              <w:rPr>
                <w:rFonts w:eastAsia="MS PGothic"/>
                <w:bCs/>
                <w:i/>
                <w:kern w:val="24"/>
                <w:sz w:val="16"/>
                <w:szCs w:val="16"/>
              </w:rPr>
              <w:t>P</w:t>
            </w:r>
            <w:r w:rsidRPr="00E96CAB">
              <w:rPr>
                <w:rFonts w:eastAsia="MS PGothic"/>
                <w:bCs/>
                <w:kern w:val="24"/>
                <w:sz w:val="16"/>
                <w:szCs w:val="16"/>
              </w:rPr>
              <w:t>&lt;0.3983)</w:t>
            </w:r>
          </w:p>
        </w:tc>
        <w:tc>
          <w:tcPr>
            <w:tcW w:w="1460" w:type="dxa"/>
            <w:shd w:val="clear" w:color="auto" w:fill="auto"/>
            <w:vAlign w:val="center"/>
            <w:hideMark/>
          </w:tcPr>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2.5</w:t>
            </w:r>
          </w:p>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w:t>
            </w:r>
            <w:r w:rsidRPr="00E96CAB">
              <w:rPr>
                <w:rFonts w:eastAsia="MS PGothic"/>
                <w:bCs/>
                <w:i/>
                <w:kern w:val="24"/>
                <w:sz w:val="16"/>
                <w:szCs w:val="16"/>
              </w:rPr>
              <w:t>P</w:t>
            </w:r>
            <w:r w:rsidRPr="00E96CAB">
              <w:rPr>
                <w:rFonts w:eastAsia="MS PGothic"/>
                <w:kern w:val="24"/>
                <w:sz w:val="16"/>
                <w:szCs w:val="16"/>
              </w:rPr>
              <w:t>&lt;0.0001)</w:t>
            </w:r>
          </w:p>
        </w:tc>
      </w:tr>
      <w:tr w:rsidR="00980222" w:rsidRPr="00E96CAB" w:rsidTr="00B46F4E">
        <w:trPr>
          <w:trHeight w:val="440"/>
          <w:jc w:val="center"/>
        </w:trPr>
        <w:tc>
          <w:tcPr>
            <w:tcW w:w="1398" w:type="dxa"/>
            <w:vMerge w:val="restart"/>
            <w:shd w:val="clear" w:color="auto" w:fill="auto"/>
            <w:vAlign w:val="center"/>
            <w:hideMark/>
          </w:tcPr>
          <w:p w:rsidR="00980222" w:rsidRPr="00E96CAB" w:rsidRDefault="00980222" w:rsidP="00B46F4E">
            <w:pPr>
              <w:ind w:left="-40"/>
              <w:rPr>
                <w:b/>
                <w:bCs/>
                <w:sz w:val="16"/>
                <w:szCs w:val="16"/>
              </w:rPr>
            </w:pPr>
            <w:r w:rsidRPr="00E96CAB">
              <w:rPr>
                <w:b/>
                <w:bCs/>
                <w:sz w:val="16"/>
                <w:szCs w:val="16"/>
              </w:rPr>
              <w:t>Relative change in ppFEV</w:t>
            </w:r>
            <w:r w:rsidRPr="00E96CAB">
              <w:rPr>
                <w:b/>
                <w:bCs/>
                <w:sz w:val="16"/>
                <w:szCs w:val="16"/>
                <w:vertAlign w:val="subscript"/>
              </w:rPr>
              <w:t>1</w:t>
            </w:r>
            <w:r w:rsidRPr="00E96CAB">
              <w:rPr>
                <w:b/>
                <w:bCs/>
                <w:sz w:val="16"/>
                <w:szCs w:val="16"/>
              </w:rPr>
              <w:t xml:space="preserve"> at Week 24</w:t>
            </w:r>
            <w:r w:rsidRPr="00E96CAB">
              <w:rPr>
                <w:bCs/>
                <w:sz w:val="16"/>
                <w:szCs w:val="16"/>
                <w:vertAlign w:val="superscript"/>
              </w:rPr>
              <w:t>†</w:t>
            </w:r>
            <w:r w:rsidRPr="00E96CAB">
              <w:rPr>
                <w:b/>
                <w:bCs/>
                <w:sz w:val="16"/>
                <w:szCs w:val="16"/>
              </w:rPr>
              <w:t xml:space="preserve"> (%)</w:t>
            </w:r>
          </w:p>
        </w:tc>
        <w:tc>
          <w:tcPr>
            <w:tcW w:w="1170" w:type="dxa"/>
            <w:shd w:val="clear" w:color="auto" w:fill="auto"/>
            <w:vAlign w:val="center"/>
            <w:hideMark/>
          </w:tcPr>
          <w:p w:rsidR="00980222" w:rsidRPr="00E96CAB" w:rsidRDefault="00980222" w:rsidP="00B46F4E">
            <w:pPr>
              <w:jc w:val="center"/>
              <w:rPr>
                <w:sz w:val="16"/>
                <w:szCs w:val="16"/>
              </w:rPr>
            </w:pPr>
            <w:r w:rsidRPr="00E96CAB">
              <w:rPr>
                <w:bCs/>
                <w:sz w:val="16"/>
                <w:szCs w:val="16"/>
              </w:rPr>
              <w:t>Treatment difference</w:t>
            </w:r>
          </w:p>
        </w:tc>
        <w:tc>
          <w:tcPr>
            <w:tcW w:w="902"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w:t>
            </w:r>
          </w:p>
        </w:tc>
        <w:tc>
          <w:tcPr>
            <w:tcW w:w="1496" w:type="dxa"/>
            <w:shd w:val="clear" w:color="auto" w:fill="auto"/>
            <w:vAlign w:val="center"/>
            <w:hideMark/>
          </w:tcPr>
          <w:p w:rsidR="00980222" w:rsidRPr="00E96CAB" w:rsidRDefault="00980222" w:rsidP="00B46F4E">
            <w:pPr>
              <w:ind w:left="26"/>
              <w:jc w:val="center"/>
              <w:rPr>
                <w:sz w:val="16"/>
                <w:szCs w:val="16"/>
              </w:rPr>
            </w:pPr>
            <w:r w:rsidRPr="00E96CAB">
              <w:rPr>
                <w:rFonts w:eastAsia="MS PGothic"/>
                <w:kern w:val="24"/>
                <w:sz w:val="16"/>
                <w:szCs w:val="16"/>
              </w:rPr>
              <w:t>4.3</w:t>
            </w:r>
          </w:p>
          <w:p w:rsidR="00980222" w:rsidRPr="00E96CAB" w:rsidRDefault="00980222" w:rsidP="00B46F4E">
            <w:pPr>
              <w:ind w:left="26"/>
              <w:jc w:val="center"/>
              <w:rPr>
                <w:sz w:val="16"/>
                <w:szCs w:val="16"/>
              </w:rPr>
            </w:pPr>
            <w:r w:rsidRPr="00E96CAB">
              <w:rPr>
                <w:rFonts w:eastAsia="MS PGothic"/>
                <w:kern w:val="24"/>
                <w:sz w:val="16"/>
                <w:szCs w:val="16"/>
              </w:rPr>
              <w:t>(</w:t>
            </w:r>
            <w:r w:rsidRPr="00E96CAB">
              <w:rPr>
                <w:rFonts w:eastAsia="MS PGothic"/>
                <w:bCs/>
                <w:i/>
                <w:kern w:val="24"/>
                <w:sz w:val="16"/>
                <w:szCs w:val="16"/>
              </w:rPr>
              <w:t>P</w:t>
            </w:r>
            <w:r w:rsidRPr="00E96CAB">
              <w:rPr>
                <w:rFonts w:eastAsia="MS PGothic"/>
                <w:kern w:val="24"/>
                <w:sz w:val="16"/>
                <w:szCs w:val="16"/>
              </w:rPr>
              <w:t>=0.0006)</w:t>
            </w:r>
            <w:r w:rsidRPr="00E96CAB">
              <w:rPr>
                <w:bCs/>
                <w:sz w:val="16"/>
                <w:szCs w:val="16"/>
                <w:vertAlign w:val="superscript"/>
              </w:rPr>
              <w:t>‡</w:t>
            </w:r>
          </w:p>
        </w:tc>
        <w:tc>
          <w:tcPr>
            <w:tcW w:w="909"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w:t>
            </w:r>
          </w:p>
        </w:tc>
        <w:tc>
          <w:tcPr>
            <w:tcW w:w="1444" w:type="dxa"/>
            <w:shd w:val="clear" w:color="auto" w:fill="auto"/>
            <w:vAlign w:val="center"/>
            <w:hideMark/>
          </w:tcPr>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5.3</w:t>
            </w:r>
          </w:p>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w:t>
            </w:r>
            <w:r w:rsidRPr="00E96CAB">
              <w:rPr>
                <w:rFonts w:eastAsia="MS PGothic"/>
                <w:bCs/>
                <w:i/>
                <w:kern w:val="24"/>
                <w:sz w:val="16"/>
                <w:szCs w:val="16"/>
              </w:rPr>
              <w:t>P</w:t>
            </w:r>
            <w:r w:rsidRPr="00E96CAB">
              <w:rPr>
                <w:rFonts w:eastAsia="MS PGothic"/>
                <w:kern w:val="24"/>
                <w:sz w:val="16"/>
                <w:szCs w:val="16"/>
              </w:rPr>
              <w:t>&lt;0.0001)</w:t>
            </w:r>
            <w:r w:rsidRPr="00E96CAB">
              <w:rPr>
                <w:rFonts w:eastAsia="MS PGothic"/>
                <w:kern w:val="24"/>
                <w:sz w:val="16"/>
                <w:szCs w:val="16"/>
                <w:vertAlign w:val="superscript"/>
              </w:rPr>
              <w:t>‡</w:t>
            </w:r>
          </w:p>
        </w:tc>
        <w:tc>
          <w:tcPr>
            <w:tcW w:w="896"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w:t>
            </w:r>
          </w:p>
        </w:tc>
        <w:tc>
          <w:tcPr>
            <w:tcW w:w="1460" w:type="dxa"/>
            <w:shd w:val="clear" w:color="auto" w:fill="auto"/>
            <w:vAlign w:val="center"/>
            <w:hideMark/>
          </w:tcPr>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4.8</w:t>
            </w:r>
          </w:p>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w:t>
            </w:r>
            <w:r w:rsidRPr="00E96CAB">
              <w:rPr>
                <w:rFonts w:eastAsia="MS PGothic"/>
                <w:i/>
                <w:kern w:val="24"/>
                <w:sz w:val="16"/>
                <w:szCs w:val="16"/>
              </w:rPr>
              <w:t>P</w:t>
            </w:r>
            <w:r w:rsidRPr="00E96CAB">
              <w:rPr>
                <w:rFonts w:eastAsia="MS PGothic"/>
                <w:kern w:val="24"/>
                <w:sz w:val="16"/>
                <w:szCs w:val="16"/>
              </w:rPr>
              <w:t>&lt;0.0001)</w:t>
            </w:r>
          </w:p>
        </w:tc>
      </w:tr>
      <w:tr w:rsidR="00980222" w:rsidRPr="00E96CAB" w:rsidTr="00B46F4E">
        <w:trPr>
          <w:trHeight w:val="440"/>
          <w:jc w:val="center"/>
        </w:trPr>
        <w:tc>
          <w:tcPr>
            <w:tcW w:w="1398" w:type="dxa"/>
            <w:vMerge/>
            <w:shd w:val="clear" w:color="auto" w:fill="auto"/>
            <w:vAlign w:val="center"/>
            <w:hideMark/>
          </w:tcPr>
          <w:p w:rsidR="00980222" w:rsidRPr="00E96CAB" w:rsidRDefault="00980222" w:rsidP="00B46F4E">
            <w:pPr>
              <w:ind w:left="-40"/>
              <w:rPr>
                <w:b/>
                <w:bCs/>
                <w:sz w:val="16"/>
                <w:szCs w:val="16"/>
              </w:rPr>
            </w:pPr>
          </w:p>
        </w:tc>
        <w:tc>
          <w:tcPr>
            <w:tcW w:w="1170" w:type="dxa"/>
            <w:shd w:val="clear" w:color="auto" w:fill="auto"/>
            <w:vAlign w:val="center"/>
            <w:hideMark/>
          </w:tcPr>
          <w:p w:rsidR="00980222" w:rsidRPr="00E96CAB" w:rsidRDefault="00980222" w:rsidP="00B46F4E">
            <w:pPr>
              <w:jc w:val="center"/>
              <w:rPr>
                <w:sz w:val="16"/>
                <w:szCs w:val="16"/>
              </w:rPr>
            </w:pPr>
            <w:r w:rsidRPr="00E96CAB">
              <w:rPr>
                <w:bCs/>
                <w:sz w:val="16"/>
                <w:szCs w:val="16"/>
              </w:rPr>
              <w:t>Within</w:t>
            </w:r>
            <w:r w:rsidRPr="00E96CAB">
              <w:rPr>
                <w:bCs/>
                <w:sz w:val="16"/>
                <w:szCs w:val="16"/>
              </w:rPr>
              <w:noBreakHyphen/>
              <w:t>group change</w:t>
            </w:r>
          </w:p>
        </w:tc>
        <w:tc>
          <w:tcPr>
            <w:tcW w:w="902"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-0.34</w:t>
            </w:r>
          </w:p>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w:t>
            </w:r>
            <w:r w:rsidRPr="00E96CAB">
              <w:rPr>
                <w:rFonts w:eastAsia="MS PGothic"/>
                <w:bCs/>
                <w:i/>
                <w:kern w:val="24"/>
                <w:sz w:val="16"/>
                <w:szCs w:val="16"/>
              </w:rPr>
              <w:t>P</w:t>
            </w:r>
            <w:r w:rsidRPr="00E96CAB">
              <w:rPr>
                <w:rFonts w:eastAsia="MS PGothic"/>
                <w:bCs/>
                <w:kern w:val="24"/>
                <w:sz w:val="16"/>
                <w:szCs w:val="16"/>
              </w:rPr>
              <w:t>=0.7113)</w:t>
            </w:r>
          </w:p>
        </w:tc>
        <w:tc>
          <w:tcPr>
            <w:tcW w:w="1496" w:type="dxa"/>
            <w:shd w:val="clear" w:color="auto" w:fill="auto"/>
            <w:vAlign w:val="center"/>
            <w:hideMark/>
          </w:tcPr>
          <w:p w:rsidR="00980222" w:rsidRPr="00E96CAB" w:rsidRDefault="00980222" w:rsidP="00B46F4E">
            <w:pPr>
              <w:ind w:left="26"/>
              <w:jc w:val="center"/>
              <w:rPr>
                <w:sz w:val="16"/>
                <w:szCs w:val="16"/>
              </w:rPr>
            </w:pPr>
            <w:r w:rsidRPr="00E96CAB">
              <w:rPr>
                <w:rFonts w:eastAsia="MS PGothic"/>
                <w:kern w:val="24"/>
                <w:sz w:val="16"/>
                <w:szCs w:val="16"/>
              </w:rPr>
              <w:t>4.0</w:t>
            </w:r>
          </w:p>
          <w:p w:rsidR="00980222" w:rsidRPr="00E96CAB" w:rsidRDefault="00980222" w:rsidP="00B46F4E">
            <w:pPr>
              <w:ind w:left="26"/>
              <w:jc w:val="center"/>
              <w:rPr>
                <w:sz w:val="16"/>
                <w:szCs w:val="16"/>
              </w:rPr>
            </w:pPr>
            <w:r w:rsidRPr="00E96CAB">
              <w:rPr>
                <w:rFonts w:eastAsia="MS PGothic"/>
                <w:kern w:val="24"/>
                <w:sz w:val="16"/>
                <w:szCs w:val="16"/>
              </w:rPr>
              <w:t>(</w:t>
            </w:r>
            <w:r w:rsidRPr="00E96CAB">
              <w:rPr>
                <w:rFonts w:eastAsia="MS PGothic"/>
                <w:bCs/>
                <w:i/>
                <w:kern w:val="24"/>
                <w:sz w:val="16"/>
                <w:szCs w:val="16"/>
              </w:rPr>
              <w:t>P</w:t>
            </w:r>
            <w:r w:rsidRPr="00E96CAB">
              <w:rPr>
                <w:rFonts w:eastAsia="MS PGothic"/>
                <w:kern w:val="24"/>
                <w:sz w:val="16"/>
                <w:szCs w:val="16"/>
              </w:rPr>
              <w:t>&lt;0.0001)</w:t>
            </w:r>
          </w:p>
        </w:tc>
        <w:tc>
          <w:tcPr>
            <w:tcW w:w="909"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0</w:t>
            </w:r>
          </w:p>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w:t>
            </w:r>
            <w:r w:rsidRPr="00E96CAB">
              <w:rPr>
                <w:rFonts w:eastAsia="MS PGothic"/>
                <w:bCs/>
                <w:i/>
                <w:kern w:val="24"/>
                <w:sz w:val="16"/>
                <w:szCs w:val="16"/>
              </w:rPr>
              <w:t>P</w:t>
            </w:r>
            <w:r w:rsidRPr="00E96CAB">
              <w:rPr>
                <w:rFonts w:eastAsia="MS PGothic"/>
                <w:bCs/>
                <w:kern w:val="24"/>
                <w:sz w:val="16"/>
                <w:szCs w:val="16"/>
              </w:rPr>
              <w:t>=0.9983)</w:t>
            </w:r>
          </w:p>
        </w:tc>
        <w:tc>
          <w:tcPr>
            <w:tcW w:w="1444" w:type="dxa"/>
            <w:shd w:val="clear" w:color="auto" w:fill="auto"/>
            <w:vAlign w:val="center"/>
            <w:hideMark/>
          </w:tcPr>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5.3</w:t>
            </w:r>
          </w:p>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w:t>
            </w:r>
            <w:r w:rsidRPr="00E96CAB">
              <w:rPr>
                <w:rFonts w:eastAsia="MS PGothic"/>
                <w:bCs/>
                <w:i/>
                <w:kern w:val="24"/>
                <w:sz w:val="16"/>
                <w:szCs w:val="16"/>
              </w:rPr>
              <w:t>P</w:t>
            </w:r>
            <w:r w:rsidRPr="00E96CAB">
              <w:rPr>
                <w:rFonts w:eastAsia="MS PGothic"/>
                <w:kern w:val="24"/>
                <w:sz w:val="16"/>
                <w:szCs w:val="16"/>
              </w:rPr>
              <w:t>&lt;0.0001)</w:t>
            </w:r>
          </w:p>
        </w:tc>
        <w:tc>
          <w:tcPr>
            <w:tcW w:w="896"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-0.17</w:t>
            </w:r>
          </w:p>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w:t>
            </w:r>
            <w:r w:rsidRPr="00E96CAB">
              <w:rPr>
                <w:rFonts w:eastAsia="MS PGothic"/>
                <w:bCs/>
                <w:i/>
                <w:kern w:val="24"/>
                <w:sz w:val="16"/>
                <w:szCs w:val="16"/>
              </w:rPr>
              <w:t>P</w:t>
            </w:r>
            <w:r w:rsidRPr="00E96CAB">
              <w:rPr>
                <w:rFonts w:eastAsia="MS PGothic"/>
                <w:bCs/>
                <w:kern w:val="24"/>
                <w:sz w:val="16"/>
                <w:szCs w:val="16"/>
              </w:rPr>
              <w:t>=0.8030)</w:t>
            </w:r>
          </w:p>
        </w:tc>
        <w:tc>
          <w:tcPr>
            <w:tcW w:w="1460" w:type="dxa"/>
            <w:shd w:val="clear" w:color="auto" w:fill="auto"/>
            <w:vAlign w:val="center"/>
            <w:hideMark/>
          </w:tcPr>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4.6</w:t>
            </w:r>
          </w:p>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w:t>
            </w:r>
            <w:r w:rsidRPr="00E96CAB">
              <w:rPr>
                <w:rFonts w:eastAsia="MS PGothic"/>
                <w:bCs/>
                <w:i/>
                <w:kern w:val="24"/>
                <w:sz w:val="16"/>
                <w:szCs w:val="16"/>
              </w:rPr>
              <w:t>P</w:t>
            </w:r>
            <w:r w:rsidRPr="00E96CAB">
              <w:rPr>
                <w:rFonts w:eastAsia="MS PGothic"/>
                <w:kern w:val="24"/>
                <w:sz w:val="16"/>
                <w:szCs w:val="16"/>
              </w:rPr>
              <w:t>&lt;0.0001)</w:t>
            </w:r>
          </w:p>
        </w:tc>
      </w:tr>
      <w:tr w:rsidR="00980222" w:rsidRPr="00E96CAB" w:rsidTr="00B46F4E">
        <w:trPr>
          <w:trHeight w:val="530"/>
          <w:jc w:val="center"/>
        </w:trPr>
        <w:tc>
          <w:tcPr>
            <w:tcW w:w="1398" w:type="dxa"/>
            <w:vMerge w:val="restart"/>
            <w:shd w:val="clear" w:color="auto" w:fill="auto"/>
            <w:vAlign w:val="center"/>
            <w:hideMark/>
          </w:tcPr>
          <w:p w:rsidR="00980222" w:rsidRPr="00E96CAB" w:rsidRDefault="00980222" w:rsidP="00B46F4E">
            <w:pPr>
              <w:ind w:left="-40"/>
              <w:rPr>
                <w:b/>
                <w:bCs/>
                <w:sz w:val="16"/>
                <w:szCs w:val="16"/>
              </w:rPr>
            </w:pPr>
            <w:r w:rsidRPr="00E96CAB">
              <w:rPr>
                <w:b/>
                <w:bCs/>
                <w:sz w:val="16"/>
                <w:szCs w:val="16"/>
              </w:rPr>
              <w:t>Absolute change in BMI at Week 24 (kg/m</w:t>
            </w:r>
            <w:r w:rsidRPr="00E96CAB">
              <w:rPr>
                <w:b/>
                <w:bCs/>
                <w:sz w:val="16"/>
                <w:szCs w:val="16"/>
                <w:vertAlign w:val="superscript"/>
              </w:rPr>
              <w:t>2</w:t>
            </w:r>
            <w:r w:rsidRPr="00E96CAB">
              <w:rPr>
                <w:b/>
                <w:bCs/>
                <w:sz w:val="16"/>
                <w:szCs w:val="16"/>
              </w:rPr>
              <w:t>)</w:t>
            </w:r>
          </w:p>
        </w:tc>
        <w:tc>
          <w:tcPr>
            <w:tcW w:w="1170" w:type="dxa"/>
            <w:shd w:val="clear" w:color="auto" w:fill="auto"/>
            <w:vAlign w:val="center"/>
            <w:hideMark/>
          </w:tcPr>
          <w:p w:rsidR="00980222" w:rsidRPr="00E96CAB" w:rsidRDefault="00980222" w:rsidP="00B46F4E">
            <w:pPr>
              <w:jc w:val="center"/>
              <w:rPr>
                <w:sz w:val="16"/>
                <w:szCs w:val="16"/>
              </w:rPr>
            </w:pPr>
            <w:r w:rsidRPr="00E96CAB">
              <w:rPr>
                <w:rFonts w:eastAsia="MS PGothic"/>
                <w:kern w:val="24"/>
                <w:sz w:val="16"/>
                <w:szCs w:val="16"/>
              </w:rPr>
              <w:t>Treatment difference</w:t>
            </w:r>
          </w:p>
        </w:tc>
        <w:tc>
          <w:tcPr>
            <w:tcW w:w="902"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w:t>
            </w:r>
          </w:p>
        </w:tc>
        <w:tc>
          <w:tcPr>
            <w:tcW w:w="1496" w:type="dxa"/>
            <w:shd w:val="clear" w:color="auto" w:fill="auto"/>
            <w:vAlign w:val="center"/>
            <w:hideMark/>
          </w:tcPr>
          <w:p w:rsidR="00980222" w:rsidRPr="00E96CAB" w:rsidRDefault="00980222" w:rsidP="00B46F4E">
            <w:pPr>
              <w:ind w:left="26"/>
              <w:jc w:val="center"/>
              <w:rPr>
                <w:sz w:val="16"/>
                <w:szCs w:val="16"/>
              </w:rPr>
            </w:pPr>
            <w:r w:rsidRPr="00E96CAB">
              <w:rPr>
                <w:rFonts w:eastAsia="MS PGothic"/>
                <w:kern w:val="24"/>
                <w:sz w:val="16"/>
                <w:szCs w:val="16"/>
              </w:rPr>
              <w:t>0.13</w:t>
            </w:r>
          </w:p>
          <w:p w:rsidR="00980222" w:rsidRPr="00E96CAB" w:rsidRDefault="00980222" w:rsidP="00B46F4E">
            <w:pPr>
              <w:ind w:left="26"/>
              <w:jc w:val="center"/>
              <w:rPr>
                <w:sz w:val="16"/>
                <w:szCs w:val="16"/>
              </w:rPr>
            </w:pPr>
            <w:r w:rsidRPr="00E96CAB">
              <w:rPr>
                <w:rFonts w:eastAsia="MS PGothic"/>
                <w:kern w:val="24"/>
                <w:sz w:val="16"/>
                <w:szCs w:val="16"/>
              </w:rPr>
              <w:t>(</w:t>
            </w:r>
            <w:r w:rsidRPr="00E96CAB">
              <w:rPr>
                <w:rFonts w:eastAsia="MS PGothic"/>
                <w:bCs/>
                <w:i/>
                <w:kern w:val="24"/>
                <w:sz w:val="16"/>
                <w:szCs w:val="16"/>
              </w:rPr>
              <w:t>P</w:t>
            </w:r>
            <w:r w:rsidRPr="00E96CAB">
              <w:rPr>
                <w:rFonts w:eastAsia="MS PGothic"/>
                <w:kern w:val="24"/>
                <w:sz w:val="16"/>
                <w:szCs w:val="16"/>
              </w:rPr>
              <w:t>=0.1938)</w:t>
            </w:r>
          </w:p>
        </w:tc>
        <w:tc>
          <w:tcPr>
            <w:tcW w:w="909"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w:t>
            </w:r>
          </w:p>
        </w:tc>
        <w:tc>
          <w:tcPr>
            <w:tcW w:w="1444" w:type="dxa"/>
            <w:shd w:val="clear" w:color="auto" w:fill="auto"/>
            <w:vAlign w:val="center"/>
            <w:hideMark/>
          </w:tcPr>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0.36</w:t>
            </w:r>
          </w:p>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w:t>
            </w:r>
            <w:r w:rsidRPr="00E96CAB">
              <w:rPr>
                <w:rFonts w:eastAsia="MS PGothic"/>
                <w:bCs/>
                <w:i/>
                <w:kern w:val="24"/>
                <w:sz w:val="16"/>
                <w:szCs w:val="16"/>
              </w:rPr>
              <w:t>P</w:t>
            </w:r>
            <w:r w:rsidRPr="00E96CAB">
              <w:rPr>
                <w:rFonts w:eastAsia="MS PGothic"/>
                <w:kern w:val="24"/>
                <w:sz w:val="16"/>
                <w:szCs w:val="16"/>
              </w:rPr>
              <w:t>&lt;0.0001)</w:t>
            </w:r>
            <w:r w:rsidRPr="00E96CAB">
              <w:rPr>
                <w:rFonts w:eastAsia="MS PGothic"/>
                <w:kern w:val="24"/>
                <w:sz w:val="16"/>
                <w:szCs w:val="16"/>
                <w:vertAlign w:val="superscript"/>
              </w:rPr>
              <w:t>‡</w:t>
            </w:r>
          </w:p>
        </w:tc>
        <w:tc>
          <w:tcPr>
            <w:tcW w:w="896"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w:t>
            </w:r>
          </w:p>
        </w:tc>
        <w:tc>
          <w:tcPr>
            <w:tcW w:w="1460" w:type="dxa"/>
            <w:shd w:val="clear" w:color="auto" w:fill="auto"/>
            <w:vAlign w:val="center"/>
            <w:hideMark/>
          </w:tcPr>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0.24</w:t>
            </w:r>
          </w:p>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w:t>
            </w:r>
            <w:r w:rsidRPr="00E96CAB">
              <w:rPr>
                <w:rFonts w:eastAsia="MS PGothic"/>
                <w:bCs/>
                <w:i/>
                <w:kern w:val="24"/>
                <w:sz w:val="16"/>
                <w:szCs w:val="16"/>
              </w:rPr>
              <w:t>P</w:t>
            </w:r>
            <w:r w:rsidRPr="00E96CAB">
              <w:rPr>
                <w:rFonts w:eastAsia="MS PGothic"/>
                <w:kern w:val="24"/>
                <w:sz w:val="16"/>
                <w:szCs w:val="16"/>
              </w:rPr>
              <w:t>=0.0004)</w:t>
            </w:r>
          </w:p>
        </w:tc>
      </w:tr>
      <w:tr w:rsidR="00980222" w:rsidRPr="00E96CAB" w:rsidTr="00B46F4E">
        <w:trPr>
          <w:trHeight w:val="440"/>
          <w:jc w:val="center"/>
        </w:trPr>
        <w:tc>
          <w:tcPr>
            <w:tcW w:w="1398" w:type="dxa"/>
            <w:vMerge/>
            <w:shd w:val="clear" w:color="auto" w:fill="auto"/>
            <w:vAlign w:val="center"/>
            <w:hideMark/>
          </w:tcPr>
          <w:p w:rsidR="00980222" w:rsidRPr="00E96CAB" w:rsidRDefault="00980222" w:rsidP="00B46F4E">
            <w:pPr>
              <w:ind w:left="-40"/>
              <w:rPr>
                <w:b/>
                <w:bCs/>
                <w:sz w:val="16"/>
                <w:szCs w:val="16"/>
              </w:rPr>
            </w:pPr>
          </w:p>
        </w:tc>
        <w:tc>
          <w:tcPr>
            <w:tcW w:w="1170" w:type="dxa"/>
            <w:shd w:val="clear" w:color="auto" w:fill="auto"/>
            <w:vAlign w:val="center"/>
            <w:hideMark/>
          </w:tcPr>
          <w:p w:rsidR="00980222" w:rsidRPr="00E96CAB" w:rsidRDefault="00980222" w:rsidP="00B46F4E">
            <w:pPr>
              <w:jc w:val="center"/>
              <w:rPr>
                <w:sz w:val="16"/>
                <w:szCs w:val="16"/>
              </w:rPr>
            </w:pPr>
            <w:r w:rsidRPr="00E96CAB">
              <w:rPr>
                <w:bCs/>
                <w:sz w:val="16"/>
                <w:szCs w:val="16"/>
              </w:rPr>
              <w:t>Within</w:t>
            </w:r>
            <w:r w:rsidRPr="00E96CAB">
              <w:rPr>
                <w:bCs/>
                <w:sz w:val="16"/>
                <w:szCs w:val="16"/>
              </w:rPr>
              <w:noBreakHyphen/>
              <w:t>group change</w:t>
            </w:r>
          </w:p>
        </w:tc>
        <w:tc>
          <w:tcPr>
            <w:tcW w:w="902"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0.19</w:t>
            </w:r>
          </w:p>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w:t>
            </w:r>
            <w:r w:rsidRPr="00E96CAB">
              <w:rPr>
                <w:rFonts w:eastAsia="MS PGothic"/>
                <w:bCs/>
                <w:i/>
                <w:kern w:val="24"/>
                <w:sz w:val="16"/>
                <w:szCs w:val="16"/>
              </w:rPr>
              <w:t>P</w:t>
            </w:r>
            <w:r w:rsidRPr="00E96CAB">
              <w:rPr>
                <w:rFonts w:eastAsia="MS PGothic"/>
                <w:bCs/>
                <w:kern w:val="24"/>
                <w:sz w:val="16"/>
                <w:szCs w:val="16"/>
              </w:rPr>
              <w:t>=0.0065)</w:t>
            </w:r>
          </w:p>
        </w:tc>
        <w:tc>
          <w:tcPr>
            <w:tcW w:w="1496" w:type="dxa"/>
            <w:shd w:val="clear" w:color="auto" w:fill="auto"/>
            <w:vAlign w:val="center"/>
            <w:hideMark/>
          </w:tcPr>
          <w:p w:rsidR="00980222" w:rsidRPr="00E96CAB" w:rsidRDefault="00980222" w:rsidP="00B46F4E">
            <w:pPr>
              <w:ind w:left="26"/>
              <w:jc w:val="center"/>
              <w:rPr>
                <w:sz w:val="16"/>
                <w:szCs w:val="16"/>
              </w:rPr>
            </w:pPr>
            <w:r w:rsidRPr="00E96CAB">
              <w:rPr>
                <w:rFonts w:eastAsia="MS PGothic"/>
                <w:kern w:val="24"/>
                <w:sz w:val="16"/>
                <w:szCs w:val="16"/>
              </w:rPr>
              <w:t>0.32</w:t>
            </w:r>
          </w:p>
          <w:p w:rsidR="00980222" w:rsidRPr="00E96CAB" w:rsidRDefault="00980222" w:rsidP="00B46F4E">
            <w:pPr>
              <w:ind w:left="26"/>
              <w:jc w:val="center"/>
              <w:rPr>
                <w:sz w:val="16"/>
                <w:szCs w:val="16"/>
              </w:rPr>
            </w:pPr>
            <w:r w:rsidRPr="00E96CAB">
              <w:rPr>
                <w:rFonts w:eastAsia="MS PGothic"/>
                <w:kern w:val="24"/>
                <w:sz w:val="16"/>
                <w:szCs w:val="16"/>
              </w:rPr>
              <w:t>(</w:t>
            </w:r>
            <w:r w:rsidRPr="00E96CAB">
              <w:rPr>
                <w:rFonts w:eastAsia="MS PGothic"/>
                <w:bCs/>
                <w:i/>
                <w:kern w:val="24"/>
                <w:sz w:val="16"/>
                <w:szCs w:val="16"/>
              </w:rPr>
              <w:t>P</w:t>
            </w:r>
            <w:r w:rsidRPr="00E96CAB">
              <w:rPr>
                <w:rFonts w:eastAsia="MS PGothic"/>
                <w:kern w:val="24"/>
                <w:sz w:val="16"/>
                <w:szCs w:val="16"/>
              </w:rPr>
              <w:t>&lt;0.0001)</w:t>
            </w:r>
          </w:p>
        </w:tc>
        <w:tc>
          <w:tcPr>
            <w:tcW w:w="909"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0.07</w:t>
            </w:r>
          </w:p>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w:t>
            </w:r>
            <w:r w:rsidRPr="00E96CAB">
              <w:rPr>
                <w:rFonts w:eastAsia="MS PGothic"/>
                <w:bCs/>
                <w:i/>
                <w:kern w:val="24"/>
                <w:sz w:val="16"/>
                <w:szCs w:val="16"/>
              </w:rPr>
              <w:t>P</w:t>
            </w:r>
            <w:r w:rsidRPr="00E96CAB">
              <w:rPr>
                <w:rFonts w:eastAsia="MS PGothic"/>
                <w:bCs/>
                <w:kern w:val="24"/>
                <w:sz w:val="16"/>
                <w:szCs w:val="16"/>
              </w:rPr>
              <w:t>=0.2892)</w:t>
            </w:r>
          </w:p>
        </w:tc>
        <w:tc>
          <w:tcPr>
            <w:tcW w:w="1444" w:type="dxa"/>
            <w:shd w:val="clear" w:color="auto" w:fill="auto"/>
            <w:vAlign w:val="center"/>
            <w:hideMark/>
          </w:tcPr>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0.43</w:t>
            </w:r>
          </w:p>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w:t>
            </w:r>
            <w:r w:rsidRPr="00E96CAB">
              <w:rPr>
                <w:rFonts w:eastAsia="MS PGothic"/>
                <w:bCs/>
                <w:i/>
                <w:kern w:val="24"/>
                <w:sz w:val="16"/>
                <w:szCs w:val="16"/>
              </w:rPr>
              <w:t>P</w:t>
            </w:r>
            <w:r w:rsidRPr="00E96CAB">
              <w:rPr>
                <w:rFonts w:eastAsia="MS PGothic"/>
                <w:kern w:val="24"/>
                <w:sz w:val="16"/>
                <w:szCs w:val="16"/>
              </w:rPr>
              <w:t>&lt;0.0001)</w:t>
            </w:r>
          </w:p>
        </w:tc>
        <w:tc>
          <w:tcPr>
            <w:tcW w:w="896"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0.13</w:t>
            </w:r>
          </w:p>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w:t>
            </w:r>
            <w:r w:rsidRPr="00E96CAB">
              <w:rPr>
                <w:rFonts w:eastAsia="MS PGothic"/>
                <w:bCs/>
                <w:i/>
                <w:kern w:val="24"/>
                <w:sz w:val="16"/>
                <w:szCs w:val="16"/>
              </w:rPr>
              <w:t>P</w:t>
            </w:r>
            <w:r w:rsidRPr="00E96CAB">
              <w:rPr>
                <w:rFonts w:eastAsia="MS PGothic"/>
                <w:bCs/>
                <w:kern w:val="24"/>
                <w:sz w:val="16"/>
                <w:szCs w:val="16"/>
              </w:rPr>
              <w:t>=0.0066)</w:t>
            </w:r>
          </w:p>
        </w:tc>
        <w:tc>
          <w:tcPr>
            <w:tcW w:w="1460" w:type="dxa"/>
            <w:shd w:val="clear" w:color="auto" w:fill="auto"/>
            <w:vAlign w:val="center"/>
            <w:hideMark/>
          </w:tcPr>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0.37</w:t>
            </w:r>
          </w:p>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w:t>
            </w:r>
            <w:r w:rsidRPr="00E96CAB">
              <w:rPr>
                <w:rFonts w:eastAsia="MS PGothic"/>
                <w:bCs/>
                <w:i/>
                <w:kern w:val="24"/>
                <w:sz w:val="16"/>
                <w:szCs w:val="16"/>
              </w:rPr>
              <w:t>P</w:t>
            </w:r>
            <w:r w:rsidRPr="00E96CAB">
              <w:rPr>
                <w:rFonts w:eastAsia="MS PGothic"/>
                <w:kern w:val="24"/>
                <w:sz w:val="16"/>
                <w:szCs w:val="16"/>
              </w:rPr>
              <w:t>&lt;0.0001)</w:t>
            </w:r>
          </w:p>
        </w:tc>
      </w:tr>
      <w:tr w:rsidR="00980222" w:rsidRPr="00E96CAB" w:rsidTr="00B46F4E">
        <w:trPr>
          <w:trHeight w:val="530"/>
          <w:jc w:val="center"/>
        </w:trPr>
        <w:tc>
          <w:tcPr>
            <w:tcW w:w="1398" w:type="dxa"/>
            <w:vMerge w:val="restart"/>
            <w:shd w:val="clear" w:color="auto" w:fill="auto"/>
            <w:vAlign w:val="center"/>
            <w:hideMark/>
          </w:tcPr>
          <w:p w:rsidR="00980222" w:rsidRPr="00E96CAB" w:rsidRDefault="00980222" w:rsidP="00B46F4E">
            <w:pPr>
              <w:ind w:left="-40"/>
              <w:rPr>
                <w:b/>
                <w:bCs/>
                <w:sz w:val="16"/>
                <w:szCs w:val="16"/>
              </w:rPr>
            </w:pPr>
            <w:r w:rsidRPr="00E96CAB">
              <w:rPr>
                <w:b/>
                <w:bCs/>
                <w:sz w:val="16"/>
                <w:szCs w:val="16"/>
              </w:rPr>
              <w:t>Absolute change in CFQ</w:t>
            </w:r>
            <w:r w:rsidRPr="00E96CAB">
              <w:rPr>
                <w:b/>
                <w:bCs/>
                <w:sz w:val="16"/>
                <w:szCs w:val="16"/>
              </w:rPr>
              <w:noBreakHyphen/>
              <w:t>R Respiratory Domain Score at Week 24 (points)</w:t>
            </w:r>
          </w:p>
        </w:tc>
        <w:tc>
          <w:tcPr>
            <w:tcW w:w="1170" w:type="dxa"/>
            <w:shd w:val="clear" w:color="auto" w:fill="auto"/>
            <w:vAlign w:val="center"/>
            <w:hideMark/>
          </w:tcPr>
          <w:p w:rsidR="00980222" w:rsidRPr="00E96CAB" w:rsidRDefault="00980222" w:rsidP="00B46F4E">
            <w:pPr>
              <w:jc w:val="center"/>
              <w:rPr>
                <w:sz w:val="16"/>
                <w:szCs w:val="16"/>
              </w:rPr>
            </w:pPr>
            <w:r w:rsidRPr="00E96CAB">
              <w:rPr>
                <w:rFonts w:eastAsia="MS PGothic"/>
                <w:kern w:val="24"/>
                <w:sz w:val="16"/>
                <w:szCs w:val="16"/>
              </w:rPr>
              <w:t>Treatment difference</w:t>
            </w:r>
          </w:p>
        </w:tc>
        <w:tc>
          <w:tcPr>
            <w:tcW w:w="902"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w:t>
            </w:r>
          </w:p>
        </w:tc>
        <w:tc>
          <w:tcPr>
            <w:tcW w:w="1496" w:type="dxa"/>
            <w:shd w:val="clear" w:color="auto" w:fill="auto"/>
            <w:vAlign w:val="center"/>
            <w:hideMark/>
          </w:tcPr>
          <w:p w:rsidR="00980222" w:rsidRPr="00E96CAB" w:rsidRDefault="00980222" w:rsidP="00B46F4E">
            <w:pPr>
              <w:ind w:left="26"/>
              <w:jc w:val="center"/>
              <w:rPr>
                <w:sz w:val="16"/>
                <w:szCs w:val="16"/>
              </w:rPr>
            </w:pPr>
            <w:r w:rsidRPr="00E96CAB">
              <w:rPr>
                <w:rFonts w:eastAsia="MS PGothic"/>
                <w:kern w:val="24"/>
                <w:sz w:val="16"/>
                <w:szCs w:val="16"/>
              </w:rPr>
              <w:t>1.5</w:t>
            </w:r>
          </w:p>
          <w:p w:rsidR="00980222" w:rsidRPr="00E96CAB" w:rsidRDefault="00980222" w:rsidP="00B46F4E">
            <w:pPr>
              <w:ind w:left="26"/>
              <w:jc w:val="center"/>
              <w:rPr>
                <w:sz w:val="16"/>
                <w:szCs w:val="16"/>
              </w:rPr>
            </w:pPr>
            <w:r w:rsidRPr="00E96CAB">
              <w:rPr>
                <w:rFonts w:eastAsia="MS PGothic"/>
                <w:kern w:val="24"/>
                <w:sz w:val="16"/>
                <w:szCs w:val="16"/>
              </w:rPr>
              <w:t>(</w:t>
            </w:r>
            <w:r w:rsidRPr="00E96CAB">
              <w:rPr>
                <w:rFonts w:eastAsia="MS PGothic"/>
                <w:bCs/>
                <w:i/>
                <w:kern w:val="24"/>
                <w:sz w:val="16"/>
                <w:szCs w:val="16"/>
              </w:rPr>
              <w:t>P</w:t>
            </w:r>
            <w:r w:rsidRPr="00E96CAB">
              <w:rPr>
                <w:rFonts w:eastAsia="MS PGothic"/>
                <w:kern w:val="24"/>
                <w:sz w:val="16"/>
                <w:szCs w:val="16"/>
              </w:rPr>
              <w:t>=0.3569)</w:t>
            </w:r>
          </w:p>
        </w:tc>
        <w:tc>
          <w:tcPr>
            <w:tcW w:w="909"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w:t>
            </w:r>
          </w:p>
        </w:tc>
        <w:tc>
          <w:tcPr>
            <w:tcW w:w="1444" w:type="dxa"/>
            <w:shd w:val="clear" w:color="auto" w:fill="auto"/>
            <w:vAlign w:val="center"/>
            <w:hideMark/>
          </w:tcPr>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2.9</w:t>
            </w:r>
          </w:p>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w:t>
            </w:r>
            <w:r w:rsidRPr="00E96CAB">
              <w:rPr>
                <w:rFonts w:eastAsia="MS PGothic"/>
                <w:bCs/>
                <w:i/>
                <w:kern w:val="24"/>
                <w:sz w:val="16"/>
                <w:szCs w:val="16"/>
              </w:rPr>
              <w:t>P</w:t>
            </w:r>
            <w:r w:rsidRPr="00E96CAB">
              <w:rPr>
                <w:rFonts w:eastAsia="MS PGothic"/>
                <w:kern w:val="24"/>
                <w:sz w:val="16"/>
                <w:szCs w:val="16"/>
              </w:rPr>
              <w:t>=0.0736)</w:t>
            </w:r>
          </w:p>
        </w:tc>
        <w:tc>
          <w:tcPr>
            <w:tcW w:w="896"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w:t>
            </w:r>
          </w:p>
        </w:tc>
        <w:tc>
          <w:tcPr>
            <w:tcW w:w="1460" w:type="dxa"/>
            <w:shd w:val="clear" w:color="auto" w:fill="auto"/>
            <w:vAlign w:val="center"/>
            <w:hideMark/>
          </w:tcPr>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2.2</w:t>
            </w:r>
          </w:p>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w:t>
            </w:r>
            <w:r w:rsidRPr="00E96CAB">
              <w:rPr>
                <w:rFonts w:eastAsia="MS PGothic"/>
                <w:bCs/>
                <w:i/>
                <w:kern w:val="24"/>
                <w:sz w:val="16"/>
                <w:szCs w:val="16"/>
              </w:rPr>
              <w:t>P</w:t>
            </w:r>
            <w:r w:rsidRPr="00E96CAB">
              <w:rPr>
                <w:rFonts w:eastAsia="MS PGothic"/>
                <w:kern w:val="24"/>
                <w:sz w:val="16"/>
                <w:szCs w:val="16"/>
              </w:rPr>
              <w:t>=0.0512)</w:t>
            </w:r>
          </w:p>
        </w:tc>
      </w:tr>
      <w:tr w:rsidR="00980222" w:rsidRPr="00E96CAB" w:rsidTr="00B46F4E">
        <w:trPr>
          <w:trHeight w:val="467"/>
          <w:jc w:val="center"/>
        </w:trPr>
        <w:tc>
          <w:tcPr>
            <w:tcW w:w="1398" w:type="dxa"/>
            <w:vMerge/>
            <w:shd w:val="clear" w:color="auto" w:fill="auto"/>
            <w:vAlign w:val="center"/>
            <w:hideMark/>
          </w:tcPr>
          <w:p w:rsidR="00980222" w:rsidRPr="00E96CAB" w:rsidRDefault="00980222" w:rsidP="00B46F4E">
            <w:pPr>
              <w:ind w:left="-40"/>
              <w:rPr>
                <w:b/>
                <w:bCs/>
                <w:sz w:val="16"/>
                <w:szCs w:val="16"/>
              </w:rPr>
            </w:pPr>
          </w:p>
        </w:tc>
        <w:tc>
          <w:tcPr>
            <w:tcW w:w="1170" w:type="dxa"/>
            <w:shd w:val="clear" w:color="auto" w:fill="auto"/>
            <w:vAlign w:val="center"/>
            <w:hideMark/>
          </w:tcPr>
          <w:p w:rsidR="00980222" w:rsidRPr="00E96CAB" w:rsidRDefault="00980222" w:rsidP="00B46F4E">
            <w:pPr>
              <w:jc w:val="center"/>
              <w:rPr>
                <w:sz w:val="16"/>
                <w:szCs w:val="16"/>
              </w:rPr>
            </w:pPr>
            <w:r w:rsidRPr="00E96CAB">
              <w:rPr>
                <w:bCs/>
                <w:sz w:val="16"/>
                <w:szCs w:val="16"/>
              </w:rPr>
              <w:t>Within</w:t>
            </w:r>
            <w:r w:rsidRPr="00E96CAB">
              <w:rPr>
                <w:bCs/>
                <w:sz w:val="16"/>
                <w:szCs w:val="16"/>
              </w:rPr>
              <w:noBreakHyphen/>
              <w:t>group change</w:t>
            </w:r>
          </w:p>
        </w:tc>
        <w:tc>
          <w:tcPr>
            <w:tcW w:w="902"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1.1</w:t>
            </w:r>
          </w:p>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w:t>
            </w:r>
            <w:r w:rsidRPr="00E96CAB">
              <w:rPr>
                <w:rFonts w:eastAsia="MS PGothic"/>
                <w:bCs/>
                <w:i/>
                <w:kern w:val="24"/>
                <w:sz w:val="16"/>
                <w:szCs w:val="16"/>
              </w:rPr>
              <w:t>P</w:t>
            </w:r>
            <w:r w:rsidRPr="00E96CAB">
              <w:rPr>
                <w:rFonts w:eastAsia="MS PGothic"/>
                <w:bCs/>
                <w:kern w:val="24"/>
                <w:sz w:val="16"/>
                <w:szCs w:val="16"/>
              </w:rPr>
              <w:t>=0.3423)</w:t>
            </w:r>
          </w:p>
        </w:tc>
        <w:tc>
          <w:tcPr>
            <w:tcW w:w="1496" w:type="dxa"/>
            <w:shd w:val="clear" w:color="auto" w:fill="auto"/>
            <w:vAlign w:val="center"/>
            <w:hideMark/>
          </w:tcPr>
          <w:p w:rsidR="00980222" w:rsidRPr="00E96CAB" w:rsidRDefault="00980222" w:rsidP="00B46F4E">
            <w:pPr>
              <w:jc w:val="center"/>
              <w:rPr>
                <w:sz w:val="16"/>
                <w:szCs w:val="16"/>
              </w:rPr>
            </w:pPr>
            <w:r w:rsidRPr="00E96CAB">
              <w:rPr>
                <w:rFonts w:eastAsia="MS PGothic"/>
                <w:kern w:val="24"/>
                <w:sz w:val="16"/>
                <w:szCs w:val="16"/>
              </w:rPr>
              <w:t>2.6</w:t>
            </w:r>
          </w:p>
          <w:p w:rsidR="00980222" w:rsidRPr="00E96CAB" w:rsidRDefault="00980222" w:rsidP="00B46F4E">
            <w:pPr>
              <w:jc w:val="center"/>
              <w:rPr>
                <w:sz w:val="16"/>
                <w:szCs w:val="16"/>
              </w:rPr>
            </w:pPr>
            <w:r w:rsidRPr="00E96CAB">
              <w:rPr>
                <w:rFonts w:eastAsia="MS PGothic"/>
                <w:kern w:val="24"/>
                <w:sz w:val="16"/>
                <w:szCs w:val="16"/>
              </w:rPr>
              <w:t>(</w:t>
            </w:r>
            <w:r w:rsidRPr="00E96CAB">
              <w:rPr>
                <w:rFonts w:eastAsia="MS PGothic"/>
                <w:bCs/>
                <w:i/>
                <w:kern w:val="24"/>
                <w:sz w:val="16"/>
                <w:szCs w:val="16"/>
              </w:rPr>
              <w:t>P</w:t>
            </w:r>
            <w:r w:rsidRPr="00E96CAB">
              <w:rPr>
                <w:rFonts w:eastAsia="MS PGothic"/>
                <w:kern w:val="24"/>
                <w:sz w:val="16"/>
                <w:szCs w:val="16"/>
              </w:rPr>
              <w:t>=0.0295)</w:t>
            </w:r>
          </w:p>
        </w:tc>
        <w:tc>
          <w:tcPr>
            <w:tcW w:w="909"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2.8</w:t>
            </w:r>
          </w:p>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w:t>
            </w:r>
            <w:r w:rsidRPr="00E96CAB">
              <w:rPr>
                <w:rFonts w:eastAsia="MS PGothic"/>
                <w:bCs/>
                <w:i/>
                <w:kern w:val="24"/>
                <w:sz w:val="16"/>
                <w:szCs w:val="16"/>
              </w:rPr>
              <w:t>P</w:t>
            </w:r>
            <w:r w:rsidRPr="00E96CAB">
              <w:rPr>
                <w:rFonts w:eastAsia="MS PGothic"/>
                <w:bCs/>
                <w:kern w:val="24"/>
                <w:sz w:val="16"/>
                <w:szCs w:val="16"/>
              </w:rPr>
              <w:t>=0.0152)</w:t>
            </w:r>
          </w:p>
        </w:tc>
        <w:tc>
          <w:tcPr>
            <w:tcW w:w="1444" w:type="dxa"/>
            <w:shd w:val="clear" w:color="auto" w:fill="auto"/>
            <w:vAlign w:val="center"/>
            <w:hideMark/>
          </w:tcPr>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5.7</w:t>
            </w:r>
          </w:p>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w:t>
            </w:r>
            <w:r w:rsidRPr="00E96CAB">
              <w:rPr>
                <w:rFonts w:eastAsia="MS PGothic"/>
                <w:bCs/>
                <w:i/>
                <w:kern w:val="24"/>
                <w:sz w:val="16"/>
                <w:szCs w:val="16"/>
              </w:rPr>
              <w:t>P</w:t>
            </w:r>
            <w:r w:rsidRPr="00E96CAB">
              <w:rPr>
                <w:rFonts w:eastAsia="MS PGothic"/>
                <w:kern w:val="24"/>
                <w:sz w:val="16"/>
                <w:szCs w:val="16"/>
              </w:rPr>
              <w:t>&lt;0.0001)</w:t>
            </w:r>
          </w:p>
        </w:tc>
        <w:tc>
          <w:tcPr>
            <w:tcW w:w="896"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1.9</w:t>
            </w:r>
          </w:p>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w:t>
            </w:r>
            <w:r w:rsidRPr="00E96CAB">
              <w:rPr>
                <w:rFonts w:eastAsia="MS PGothic"/>
                <w:bCs/>
                <w:i/>
                <w:kern w:val="24"/>
                <w:sz w:val="16"/>
                <w:szCs w:val="16"/>
              </w:rPr>
              <w:t>P</w:t>
            </w:r>
            <w:r w:rsidRPr="00E96CAB">
              <w:rPr>
                <w:rFonts w:eastAsia="MS PGothic"/>
                <w:bCs/>
                <w:kern w:val="24"/>
                <w:sz w:val="16"/>
                <w:szCs w:val="16"/>
              </w:rPr>
              <w:t>=0.0213)</w:t>
            </w:r>
          </w:p>
        </w:tc>
        <w:tc>
          <w:tcPr>
            <w:tcW w:w="1460" w:type="dxa"/>
            <w:shd w:val="clear" w:color="auto" w:fill="auto"/>
            <w:vAlign w:val="center"/>
            <w:hideMark/>
          </w:tcPr>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4.1</w:t>
            </w:r>
          </w:p>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w:t>
            </w:r>
            <w:r w:rsidRPr="00E96CAB">
              <w:rPr>
                <w:rFonts w:eastAsia="MS PGothic"/>
                <w:bCs/>
                <w:i/>
                <w:kern w:val="24"/>
                <w:sz w:val="16"/>
                <w:szCs w:val="16"/>
              </w:rPr>
              <w:t>P</w:t>
            </w:r>
            <w:r w:rsidRPr="00E96CAB">
              <w:rPr>
                <w:rFonts w:eastAsia="MS PGothic"/>
                <w:kern w:val="24"/>
                <w:sz w:val="16"/>
                <w:szCs w:val="16"/>
              </w:rPr>
              <w:t>&lt;0.0001)</w:t>
            </w:r>
          </w:p>
        </w:tc>
      </w:tr>
      <w:tr w:rsidR="00980222" w:rsidRPr="00E96CAB" w:rsidTr="00B46F4E">
        <w:trPr>
          <w:trHeight w:val="436"/>
          <w:jc w:val="center"/>
        </w:trPr>
        <w:tc>
          <w:tcPr>
            <w:tcW w:w="1398" w:type="dxa"/>
            <w:vMerge w:val="restart"/>
            <w:shd w:val="clear" w:color="auto" w:fill="auto"/>
            <w:vAlign w:val="center"/>
            <w:hideMark/>
          </w:tcPr>
          <w:p w:rsidR="00980222" w:rsidRPr="00E96CAB" w:rsidRDefault="00980222" w:rsidP="00B46F4E">
            <w:pPr>
              <w:ind w:left="-40"/>
              <w:rPr>
                <w:b/>
                <w:bCs/>
                <w:sz w:val="16"/>
                <w:szCs w:val="16"/>
              </w:rPr>
            </w:pPr>
            <w:r w:rsidRPr="00E96CAB">
              <w:rPr>
                <w:b/>
                <w:bCs/>
                <w:sz w:val="16"/>
                <w:szCs w:val="16"/>
              </w:rPr>
              <w:t>Proportion of patients with ≥5% relative change in ppFEV</w:t>
            </w:r>
            <w:r w:rsidRPr="00E96CAB">
              <w:rPr>
                <w:b/>
                <w:bCs/>
                <w:sz w:val="16"/>
                <w:szCs w:val="16"/>
                <w:vertAlign w:val="subscript"/>
              </w:rPr>
              <w:t>1</w:t>
            </w:r>
            <w:r w:rsidRPr="00E96CAB">
              <w:rPr>
                <w:b/>
                <w:bCs/>
                <w:sz w:val="16"/>
                <w:szCs w:val="16"/>
              </w:rPr>
              <w:t xml:space="preserve"> using the average of Week 16 and Week 24</w:t>
            </w:r>
          </w:p>
        </w:tc>
        <w:tc>
          <w:tcPr>
            <w:tcW w:w="1170" w:type="dxa"/>
            <w:shd w:val="clear" w:color="auto" w:fill="auto"/>
            <w:vAlign w:val="center"/>
            <w:hideMark/>
          </w:tcPr>
          <w:p w:rsidR="00980222" w:rsidRPr="00E96CAB" w:rsidRDefault="00980222" w:rsidP="00B46F4E">
            <w:pPr>
              <w:jc w:val="center"/>
              <w:rPr>
                <w:bCs/>
                <w:sz w:val="16"/>
                <w:szCs w:val="16"/>
              </w:rPr>
            </w:pPr>
            <w:r w:rsidRPr="00E96CAB">
              <w:rPr>
                <w:bCs/>
                <w:sz w:val="16"/>
                <w:szCs w:val="16"/>
              </w:rPr>
              <w:t>%</w:t>
            </w:r>
          </w:p>
        </w:tc>
        <w:tc>
          <w:tcPr>
            <w:tcW w:w="902"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22%</w:t>
            </w:r>
          </w:p>
        </w:tc>
        <w:tc>
          <w:tcPr>
            <w:tcW w:w="1496" w:type="dxa"/>
            <w:shd w:val="clear" w:color="auto" w:fill="auto"/>
            <w:vAlign w:val="center"/>
            <w:hideMark/>
          </w:tcPr>
          <w:p w:rsidR="00980222" w:rsidRPr="00E96CAB" w:rsidRDefault="00980222" w:rsidP="00B46F4E">
            <w:pPr>
              <w:jc w:val="center"/>
              <w:rPr>
                <w:sz w:val="16"/>
                <w:szCs w:val="16"/>
              </w:rPr>
            </w:pPr>
            <w:r w:rsidRPr="00E96CAB">
              <w:rPr>
                <w:rFonts w:eastAsia="MS PGothic"/>
                <w:kern w:val="24"/>
                <w:sz w:val="16"/>
                <w:szCs w:val="16"/>
              </w:rPr>
              <w:t>37%</w:t>
            </w:r>
          </w:p>
        </w:tc>
        <w:tc>
          <w:tcPr>
            <w:tcW w:w="909"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23%</w:t>
            </w:r>
          </w:p>
        </w:tc>
        <w:tc>
          <w:tcPr>
            <w:tcW w:w="1444" w:type="dxa"/>
            <w:shd w:val="clear" w:color="auto" w:fill="auto"/>
            <w:vAlign w:val="center"/>
            <w:hideMark/>
          </w:tcPr>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41%</w:t>
            </w:r>
          </w:p>
        </w:tc>
        <w:tc>
          <w:tcPr>
            <w:tcW w:w="896"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22%</w:t>
            </w:r>
          </w:p>
        </w:tc>
        <w:tc>
          <w:tcPr>
            <w:tcW w:w="1460" w:type="dxa"/>
            <w:shd w:val="clear" w:color="auto" w:fill="auto"/>
            <w:vAlign w:val="center"/>
            <w:hideMark/>
          </w:tcPr>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39%</w:t>
            </w:r>
          </w:p>
        </w:tc>
      </w:tr>
      <w:tr w:rsidR="00980222" w:rsidRPr="00E96CAB" w:rsidTr="00B46F4E">
        <w:trPr>
          <w:trHeight w:val="719"/>
          <w:jc w:val="center"/>
        </w:trPr>
        <w:tc>
          <w:tcPr>
            <w:tcW w:w="1398" w:type="dxa"/>
            <w:vMerge/>
            <w:shd w:val="clear" w:color="auto" w:fill="auto"/>
            <w:vAlign w:val="center"/>
            <w:hideMark/>
          </w:tcPr>
          <w:p w:rsidR="00980222" w:rsidRPr="00E96CAB" w:rsidRDefault="00980222" w:rsidP="00B46F4E">
            <w:pPr>
              <w:ind w:left="-40"/>
              <w:rPr>
                <w:b/>
                <w:bCs/>
                <w:sz w:val="16"/>
                <w:szCs w:val="16"/>
              </w:rPr>
            </w:pPr>
          </w:p>
        </w:tc>
        <w:tc>
          <w:tcPr>
            <w:tcW w:w="1170" w:type="dxa"/>
            <w:shd w:val="clear" w:color="auto" w:fill="auto"/>
            <w:vAlign w:val="center"/>
            <w:hideMark/>
          </w:tcPr>
          <w:p w:rsidR="00980222" w:rsidRPr="00E96CAB" w:rsidRDefault="00980222" w:rsidP="00B46F4E">
            <w:pPr>
              <w:jc w:val="center"/>
              <w:rPr>
                <w:sz w:val="16"/>
                <w:szCs w:val="16"/>
              </w:rPr>
            </w:pPr>
            <w:r w:rsidRPr="00E96CAB">
              <w:rPr>
                <w:rFonts w:eastAsia="MS PGothic"/>
                <w:kern w:val="24"/>
                <w:sz w:val="16"/>
                <w:szCs w:val="16"/>
              </w:rPr>
              <w:t>Odds ratio</w:t>
            </w:r>
          </w:p>
        </w:tc>
        <w:tc>
          <w:tcPr>
            <w:tcW w:w="902"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w:t>
            </w:r>
          </w:p>
        </w:tc>
        <w:tc>
          <w:tcPr>
            <w:tcW w:w="1496" w:type="dxa"/>
            <w:shd w:val="clear" w:color="auto" w:fill="auto"/>
            <w:vAlign w:val="center"/>
            <w:hideMark/>
          </w:tcPr>
          <w:p w:rsidR="00980222" w:rsidRPr="00E96CAB" w:rsidRDefault="00980222" w:rsidP="00B46F4E">
            <w:pPr>
              <w:jc w:val="center"/>
              <w:rPr>
                <w:sz w:val="16"/>
                <w:szCs w:val="16"/>
              </w:rPr>
            </w:pPr>
            <w:r w:rsidRPr="00E96CAB">
              <w:rPr>
                <w:rFonts w:eastAsia="MS PGothic"/>
                <w:kern w:val="24"/>
                <w:sz w:val="16"/>
                <w:szCs w:val="16"/>
              </w:rPr>
              <w:t>2.06</w:t>
            </w:r>
          </w:p>
          <w:p w:rsidR="00980222" w:rsidRPr="00E96CAB" w:rsidRDefault="00980222" w:rsidP="00B46F4E">
            <w:pPr>
              <w:jc w:val="center"/>
              <w:rPr>
                <w:sz w:val="16"/>
                <w:szCs w:val="16"/>
              </w:rPr>
            </w:pPr>
            <w:r w:rsidRPr="00E96CAB">
              <w:rPr>
                <w:rFonts w:eastAsia="MS PGothic"/>
                <w:kern w:val="24"/>
                <w:sz w:val="16"/>
                <w:szCs w:val="16"/>
              </w:rPr>
              <w:t>(</w:t>
            </w:r>
            <w:r w:rsidRPr="00E96CAB">
              <w:rPr>
                <w:rFonts w:eastAsia="MS PGothic"/>
                <w:bCs/>
                <w:i/>
                <w:kern w:val="24"/>
                <w:sz w:val="16"/>
                <w:szCs w:val="16"/>
              </w:rPr>
              <w:t>P</w:t>
            </w:r>
            <w:r w:rsidRPr="00E96CAB">
              <w:rPr>
                <w:rFonts w:eastAsia="MS PGothic"/>
                <w:kern w:val="24"/>
                <w:sz w:val="16"/>
                <w:szCs w:val="16"/>
              </w:rPr>
              <w:t>=0.0023)</w:t>
            </w:r>
          </w:p>
        </w:tc>
        <w:tc>
          <w:tcPr>
            <w:tcW w:w="909"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w:t>
            </w:r>
          </w:p>
        </w:tc>
        <w:tc>
          <w:tcPr>
            <w:tcW w:w="1444" w:type="dxa"/>
            <w:shd w:val="clear" w:color="auto" w:fill="auto"/>
            <w:vAlign w:val="center"/>
            <w:hideMark/>
          </w:tcPr>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2.38</w:t>
            </w:r>
          </w:p>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w:t>
            </w:r>
            <w:r w:rsidRPr="00E96CAB">
              <w:rPr>
                <w:rFonts w:eastAsia="MS PGothic"/>
                <w:bCs/>
                <w:i/>
                <w:kern w:val="24"/>
                <w:sz w:val="16"/>
                <w:szCs w:val="16"/>
              </w:rPr>
              <w:t>P</w:t>
            </w:r>
            <w:r w:rsidRPr="00E96CAB">
              <w:rPr>
                <w:rFonts w:eastAsia="MS PGothic"/>
                <w:kern w:val="24"/>
                <w:sz w:val="16"/>
                <w:szCs w:val="16"/>
              </w:rPr>
              <w:t>=0.0001)</w:t>
            </w:r>
          </w:p>
        </w:tc>
        <w:tc>
          <w:tcPr>
            <w:tcW w:w="896"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w:t>
            </w:r>
          </w:p>
        </w:tc>
        <w:tc>
          <w:tcPr>
            <w:tcW w:w="1460" w:type="dxa"/>
            <w:shd w:val="clear" w:color="auto" w:fill="auto"/>
            <w:vAlign w:val="center"/>
            <w:hideMark/>
          </w:tcPr>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2.22</w:t>
            </w:r>
          </w:p>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w:t>
            </w:r>
            <w:r w:rsidRPr="00E96CAB">
              <w:rPr>
                <w:rFonts w:eastAsia="MS PGothic"/>
                <w:i/>
                <w:kern w:val="24"/>
                <w:sz w:val="16"/>
                <w:szCs w:val="16"/>
              </w:rPr>
              <w:t>P</w:t>
            </w:r>
            <w:r w:rsidRPr="00E96CAB">
              <w:rPr>
                <w:rFonts w:eastAsia="MS PGothic"/>
                <w:kern w:val="24"/>
                <w:sz w:val="16"/>
                <w:szCs w:val="16"/>
              </w:rPr>
              <w:t>&lt;0.0001)</w:t>
            </w:r>
          </w:p>
        </w:tc>
      </w:tr>
      <w:tr w:rsidR="00980222" w:rsidRPr="00E96CAB" w:rsidTr="00B46F4E">
        <w:trPr>
          <w:trHeight w:val="585"/>
          <w:jc w:val="center"/>
        </w:trPr>
        <w:tc>
          <w:tcPr>
            <w:tcW w:w="1398" w:type="dxa"/>
            <w:vMerge w:val="restart"/>
            <w:shd w:val="clear" w:color="auto" w:fill="auto"/>
            <w:vAlign w:val="center"/>
            <w:hideMark/>
          </w:tcPr>
          <w:p w:rsidR="00980222" w:rsidRPr="00E96CAB" w:rsidRDefault="00980222" w:rsidP="00B46F4E">
            <w:pPr>
              <w:ind w:left="-40"/>
              <w:rPr>
                <w:b/>
                <w:bCs/>
                <w:sz w:val="16"/>
                <w:szCs w:val="16"/>
              </w:rPr>
            </w:pPr>
            <w:r w:rsidRPr="00E96CAB">
              <w:rPr>
                <w:b/>
                <w:bCs/>
                <w:sz w:val="16"/>
                <w:szCs w:val="16"/>
              </w:rPr>
              <w:t>Number of pulmonary exacerbations through Week 24</w:t>
            </w:r>
          </w:p>
        </w:tc>
        <w:tc>
          <w:tcPr>
            <w:tcW w:w="1170" w:type="dxa"/>
            <w:shd w:val="clear" w:color="auto" w:fill="auto"/>
            <w:vAlign w:val="center"/>
            <w:hideMark/>
          </w:tcPr>
          <w:p w:rsidR="00980222" w:rsidRPr="00E96CAB" w:rsidRDefault="00980222" w:rsidP="00B46F4E">
            <w:pPr>
              <w:jc w:val="center"/>
              <w:rPr>
                <w:sz w:val="16"/>
                <w:szCs w:val="16"/>
              </w:rPr>
            </w:pPr>
            <w:r w:rsidRPr="00E96CAB">
              <w:rPr>
                <w:rFonts w:eastAsia="MS PGothic"/>
                <w:kern w:val="24"/>
                <w:sz w:val="16"/>
                <w:szCs w:val="16"/>
              </w:rPr>
              <w:t xml:space="preserve"># of events (rate per 48 </w:t>
            </w:r>
            <w:proofErr w:type="spellStart"/>
            <w:r w:rsidRPr="00E96CAB">
              <w:rPr>
                <w:rFonts w:eastAsia="MS PGothic"/>
                <w:kern w:val="24"/>
                <w:sz w:val="16"/>
                <w:szCs w:val="16"/>
              </w:rPr>
              <w:t>wks</w:t>
            </w:r>
            <w:proofErr w:type="spellEnd"/>
            <w:r w:rsidRPr="00E96CAB">
              <w:rPr>
                <w:rFonts w:eastAsia="MS PGothic"/>
                <w:kern w:val="24"/>
                <w:sz w:val="16"/>
                <w:szCs w:val="16"/>
              </w:rPr>
              <w:t>)</w:t>
            </w:r>
          </w:p>
        </w:tc>
        <w:tc>
          <w:tcPr>
            <w:tcW w:w="902"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112 (1.07)</w:t>
            </w:r>
          </w:p>
        </w:tc>
        <w:tc>
          <w:tcPr>
            <w:tcW w:w="1496" w:type="dxa"/>
            <w:shd w:val="clear" w:color="auto" w:fill="auto"/>
            <w:vAlign w:val="center"/>
            <w:hideMark/>
          </w:tcPr>
          <w:p w:rsidR="00980222" w:rsidRPr="00E96CAB" w:rsidRDefault="00980222" w:rsidP="00B46F4E">
            <w:pPr>
              <w:jc w:val="center"/>
              <w:rPr>
                <w:sz w:val="16"/>
                <w:szCs w:val="16"/>
              </w:rPr>
            </w:pPr>
            <w:r w:rsidRPr="00E96CAB">
              <w:rPr>
                <w:rFonts w:eastAsia="MS PGothic"/>
                <w:kern w:val="24"/>
                <w:sz w:val="16"/>
                <w:szCs w:val="16"/>
              </w:rPr>
              <w:t>73 (0.71)</w:t>
            </w:r>
          </w:p>
        </w:tc>
        <w:tc>
          <w:tcPr>
            <w:tcW w:w="909"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139 (1.18)</w:t>
            </w:r>
          </w:p>
        </w:tc>
        <w:tc>
          <w:tcPr>
            <w:tcW w:w="1444" w:type="dxa"/>
            <w:shd w:val="clear" w:color="auto" w:fill="auto"/>
            <w:vAlign w:val="center"/>
            <w:hideMark/>
          </w:tcPr>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79 (0.67)</w:t>
            </w:r>
          </w:p>
        </w:tc>
        <w:tc>
          <w:tcPr>
            <w:tcW w:w="896" w:type="dxa"/>
            <w:shd w:val="clear" w:color="auto" w:fill="auto"/>
            <w:vAlign w:val="center"/>
            <w:hideMark/>
          </w:tcPr>
          <w:p w:rsidR="00980222" w:rsidRPr="00E96CAB" w:rsidRDefault="00980222" w:rsidP="00B46F4E">
            <w:pPr>
              <w:ind w:left="-67" w:firstLine="9"/>
              <w:jc w:val="center"/>
              <w:rPr>
                <w:sz w:val="16"/>
                <w:szCs w:val="16"/>
              </w:rPr>
            </w:pPr>
            <w:r w:rsidRPr="00E96CAB">
              <w:rPr>
                <w:rFonts w:eastAsia="MS PGothic"/>
                <w:kern w:val="24"/>
                <w:sz w:val="16"/>
                <w:szCs w:val="16"/>
              </w:rPr>
              <w:t>251 (1.14)</w:t>
            </w:r>
          </w:p>
        </w:tc>
        <w:tc>
          <w:tcPr>
            <w:tcW w:w="1460" w:type="dxa"/>
            <w:shd w:val="clear" w:color="auto" w:fill="auto"/>
            <w:vAlign w:val="center"/>
            <w:hideMark/>
          </w:tcPr>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152 (0.70)</w:t>
            </w:r>
          </w:p>
        </w:tc>
      </w:tr>
      <w:tr w:rsidR="00980222" w:rsidRPr="00E96CAB" w:rsidTr="00B46F4E">
        <w:trPr>
          <w:trHeight w:val="395"/>
          <w:jc w:val="center"/>
        </w:trPr>
        <w:tc>
          <w:tcPr>
            <w:tcW w:w="1398" w:type="dxa"/>
            <w:vMerge/>
            <w:shd w:val="clear" w:color="auto" w:fill="auto"/>
            <w:hideMark/>
          </w:tcPr>
          <w:p w:rsidR="00980222" w:rsidRPr="00E96CAB" w:rsidRDefault="00980222" w:rsidP="00B46F4E">
            <w:pPr>
              <w:ind w:left="720"/>
              <w:rPr>
                <w:sz w:val="16"/>
                <w:szCs w:val="16"/>
              </w:rPr>
            </w:pPr>
          </w:p>
        </w:tc>
        <w:tc>
          <w:tcPr>
            <w:tcW w:w="1170" w:type="dxa"/>
            <w:shd w:val="clear" w:color="auto" w:fill="auto"/>
            <w:vAlign w:val="center"/>
            <w:hideMark/>
          </w:tcPr>
          <w:p w:rsidR="00980222" w:rsidRPr="00E96CAB" w:rsidRDefault="00980222" w:rsidP="00B46F4E">
            <w:pPr>
              <w:jc w:val="center"/>
              <w:rPr>
                <w:sz w:val="16"/>
                <w:szCs w:val="16"/>
              </w:rPr>
            </w:pPr>
            <w:r w:rsidRPr="00E96CAB">
              <w:rPr>
                <w:rFonts w:eastAsia="MS PGothic"/>
                <w:kern w:val="24"/>
                <w:sz w:val="16"/>
                <w:szCs w:val="16"/>
              </w:rPr>
              <w:t>Rate ratio</w:t>
            </w:r>
          </w:p>
        </w:tc>
        <w:tc>
          <w:tcPr>
            <w:tcW w:w="902"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w:t>
            </w:r>
          </w:p>
        </w:tc>
        <w:tc>
          <w:tcPr>
            <w:tcW w:w="1496" w:type="dxa"/>
            <w:shd w:val="clear" w:color="auto" w:fill="auto"/>
            <w:vAlign w:val="center"/>
            <w:hideMark/>
          </w:tcPr>
          <w:p w:rsidR="00980222" w:rsidRPr="00E96CAB" w:rsidRDefault="00980222" w:rsidP="00B46F4E">
            <w:pPr>
              <w:jc w:val="center"/>
              <w:rPr>
                <w:sz w:val="16"/>
                <w:szCs w:val="16"/>
              </w:rPr>
            </w:pPr>
            <w:r w:rsidRPr="00E96CAB">
              <w:rPr>
                <w:rFonts w:eastAsia="MS PGothic"/>
                <w:kern w:val="24"/>
                <w:sz w:val="16"/>
                <w:szCs w:val="16"/>
              </w:rPr>
              <w:t>0.66</w:t>
            </w:r>
          </w:p>
          <w:p w:rsidR="00980222" w:rsidRPr="00E96CAB" w:rsidRDefault="00980222" w:rsidP="00B46F4E">
            <w:pPr>
              <w:jc w:val="center"/>
              <w:rPr>
                <w:sz w:val="16"/>
                <w:szCs w:val="16"/>
              </w:rPr>
            </w:pPr>
            <w:r w:rsidRPr="00E96CAB">
              <w:rPr>
                <w:rFonts w:eastAsia="MS PGothic"/>
                <w:kern w:val="24"/>
                <w:sz w:val="16"/>
                <w:szCs w:val="16"/>
              </w:rPr>
              <w:t>(</w:t>
            </w:r>
            <w:r w:rsidRPr="00E96CAB">
              <w:rPr>
                <w:rFonts w:eastAsia="MS PGothic"/>
                <w:bCs/>
                <w:i/>
                <w:kern w:val="24"/>
                <w:sz w:val="16"/>
                <w:szCs w:val="16"/>
              </w:rPr>
              <w:t>P</w:t>
            </w:r>
            <w:r w:rsidRPr="00E96CAB">
              <w:rPr>
                <w:rFonts w:eastAsia="MS PGothic"/>
                <w:kern w:val="24"/>
                <w:sz w:val="16"/>
                <w:szCs w:val="16"/>
              </w:rPr>
              <w:t>=0.0169)</w:t>
            </w:r>
          </w:p>
        </w:tc>
        <w:tc>
          <w:tcPr>
            <w:tcW w:w="909" w:type="dxa"/>
            <w:shd w:val="clear" w:color="auto" w:fill="auto"/>
            <w:vAlign w:val="center"/>
            <w:hideMark/>
          </w:tcPr>
          <w:p w:rsidR="00980222" w:rsidRPr="00E96CAB" w:rsidRDefault="00980222" w:rsidP="00B46F4E">
            <w:pPr>
              <w:ind w:left="-67" w:firstLine="9"/>
              <w:jc w:val="center"/>
              <w:rPr>
                <w:rFonts w:eastAsia="MS PGothic"/>
                <w:bCs/>
                <w:kern w:val="24"/>
                <w:sz w:val="16"/>
                <w:szCs w:val="16"/>
              </w:rPr>
            </w:pPr>
            <w:r w:rsidRPr="00E96CAB">
              <w:rPr>
                <w:rFonts w:eastAsia="MS PGothic"/>
                <w:bCs/>
                <w:kern w:val="24"/>
                <w:sz w:val="16"/>
                <w:szCs w:val="16"/>
              </w:rPr>
              <w:t>–</w:t>
            </w:r>
          </w:p>
        </w:tc>
        <w:tc>
          <w:tcPr>
            <w:tcW w:w="1444" w:type="dxa"/>
            <w:shd w:val="clear" w:color="auto" w:fill="auto"/>
            <w:vAlign w:val="center"/>
            <w:hideMark/>
          </w:tcPr>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0.57</w:t>
            </w:r>
          </w:p>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w:t>
            </w:r>
            <w:r w:rsidRPr="00E96CAB">
              <w:rPr>
                <w:rFonts w:eastAsia="MS PGothic"/>
                <w:bCs/>
                <w:i/>
                <w:kern w:val="24"/>
                <w:sz w:val="16"/>
                <w:szCs w:val="16"/>
              </w:rPr>
              <w:t>P</w:t>
            </w:r>
            <w:r w:rsidRPr="00E96CAB">
              <w:rPr>
                <w:rFonts w:eastAsia="MS PGothic"/>
                <w:kern w:val="24"/>
                <w:sz w:val="16"/>
                <w:szCs w:val="16"/>
              </w:rPr>
              <w:t>=0.0002)</w:t>
            </w:r>
          </w:p>
        </w:tc>
        <w:tc>
          <w:tcPr>
            <w:tcW w:w="896" w:type="dxa"/>
            <w:shd w:val="clear" w:color="auto" w:fill="auto"/>
            <w:vAlign w:val="center"/>
            <w:hideMark/>
          </w:tcPr>
          <w:p w:rsidR="00980222" w:rsidRPr="00E96CAB" w:rsidRDefault="00980222" w:rsidP="00B46F4E">
            <w:pPr>
              <w:ind w:left="-67" w:firstLine="9"/>
              <w:jc w:val="center"/>
              <w:rPr>
                <w:rFonts w:eastAsia="MS PGothic"/>
                <w:kern w:val="24"/>
                <w:sz w:val="16"/>
                <w:szCs w:val="16"/>
              </w:rPr>
            </w:pPr>
            <w:r w:rsidRPr="00E96CAB">
              <w:rPr>
                <w:rFonts w:eastAsia="MS PGothic"/>
                <w:kern w:val="24"/>
                <w:sz w:val="16"/>
                <w:szCs w:val="16"/>
              </w:rPr>
              <w:t>–</w:t>
            </w:r>
          </w:p>
        </w:tc>
        <w:tc>
          <w:tcPr>
            <w:tcW w:w="1460" w:type="dxa"/>
            <w:shd w:val="clear" w:color="auto" w:fill="auto"/>
            <w:vAlign w:val="center"/>
            <w:hideMark/>
          </w:tcPr>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0.61</w:t>
            </w:r>
          </w:p>
          <w:p w:rsidR="00980222" w:rsidRPr="00E96CAB" w:rsidRDefault="00980222" w:rsidP="00B46F4E">
            <w:pPr>
              <w:ind w:left="26"/>
              <w:jc w:val="center"/>
              <w:rPr>
                <w:rFonts w:eastAsia="MS PGothic"/>
                <w:kern w:val="24"/>
                <w:sz w:val="16"/>
                <w:szCs w:val="16"/>
              </w:rPr>
            </w:pPr>
            <w:r w:rsidRPr="00E96CAB">
              <w:rPr>
                <w:rFonts w:eastAsia="MS PGothic"/>
                <w:kern w:val="24"/>
                <w:sz w:val="16"/>
                <w:szCs w:val="16"/>
              </w:rPr>
              <w:t>(</w:t>
            </w:r>
            <w:r w:rsidRPr="00E96CAB">
              <w:rPr>
                <w:rFonts w:eastAsia="MS PGothic"/>
                <w:bCs/>
                <w:i/>
                <w:kern w:val="24"/>
                <w:sz w:val="16"/>
                <w:szCs w:val="16"/>
              </w:rPr>
              <w:t>P</w:t>
            </w:r>
            <w:r w:rsidRPr="00E96CAB">
              <w:rPr>
                <w:rFonts w:eastAsia="MS PGothic"/>
                <w:kern w:val="24"/>
                <w:sz w:val="16"/>
                <w:szCs w:val="16"/>
              </w:rPr>
              <w:t>&lt;0.0001)</w:t>
            </w:r>
          </w:p>
        </w:tc>
      </w:tr>
      <w:tr w:rsidR="00B54052" w:rsidRPr="00E96CAB" w:rsidTr="00A54FC2">
        <w:trPr>
          <w:trHeight w:val="395"/>
          <w:jc w:val="center"/>
        </w:trPr>
        <w:tc>
          <w:tcPr>
            <w:tcW w:w="9675" w:type="dxa"/>
            <w:gridSpan w:val="8"/>
            <w:shd w:val="clear" w:color="auto" w:fill="auto"/>
          </w:tcPr>
          <w:p w:rsidR="00B54052" w:rsidRPr="00E96CAB" w:rsidRDefault="00B54052" w:rsidP="00B54052">
            <w:pPr>
              <w:pStyle w:val="MediumGrid21"/>
              <w:ind w:left="-54"/>
              <w:rPr>
                <w:rFonts w:ascii="Times New Roman" w:hAnsi="Times New Roman"/>
                <w:bCs/>
                <w:sz w:val="16"/>
                <w:szCs w:val="16"/>
              </w:rPr>
            </w:pPr>
            <w:r w:rsidRPr="00E96CAB">
              <w:rPr>
                <w:rFonts w:ascii="Times New Roman" w:hAnsi="Times New Roman"/>
                <w:bCs/>
                <w:sz w:val="16"/>
                <w:szCs w:val="16"/>
              </w:rPr>
              <w:t>* In each study, a hierarchical testing procedure was performed within each active treatment arm for primary and secondary endpoints vs</w:t>
            </w:r>
            <w:r w:rsidR="00DB76B1" w:rsidRPr="00E96CAB">
              <w:rPr>
                <w:rFonts w:ascii="Times New Roman" w:hAnsi="Times New Roman"/>
                <w:bCs/>
                <w:sz w:val="16"/>
                <w:szCs w:val="16"/>
              </w:rPr>
              <w:t>.</w:t>
            </w:r>
            <w:r w:rsidRPr="00E96CAB">
              <w:rPr>
                <w:rFonts w:ascii="Times New Roman" w:hAnsi="Times New Roman"/>
                <w:bCs/>
                <w:sz w:val="16"/>
                <w:szCs w:val="16"/>
              </w:rPr>
              <w:t xml:space="preserve"> placebo; at each step, </w:t>
            </w:r>
            <w:r w:rsidRPr="00E96CAB">
              <w:rPr>
                <w:rFonts w:ascii="Times New Roman" w:eastAsia="MS PGothic" w:hAnsi="Times New Roman"/>
                <w:bCs/>
                <w:i/>
                <w:kern w:val="24"/>
                <w:sz w:val="16"/>
                <w:szCs w:val="16"/>
              </w:rPr>
              <w:t>P</w:t>
            </w:r>
            <w:r w:rsidRPr="00E96CAB">
              <w:rPr>
                <w:rFonts w:ascii="Times New Roman" w:hAnsi="Times New Roman"/>
                <w:bCs/>
                <w:sz w:val="16"/>
                <w:szCs w:val="16"/>
              </w:rPr>
              <w:t xml:space="preserve">≤0.0250 and all previous tests also meeting this level of significance </w:t>
            </w:r>
            <w:r w:rsidR="003711C5" w:rsidRPr="00E96CAB">
              <w:rPr>
                <w:rFonts w:ascii="Times New Roman" w:hAnsi="Times New Roman"/>
                <w:bCs/>
                <w:sz w:val="16"/>
                <w:szCs w:val="16"/>
              </w:rPr>
              <w:t>were</w:t>
            </w:r>
            <w:r w:rsidRPr="00E96CAB">
              <w:rPr>
                <w:rFonts w:ascii="Times New Roman" w:hAnsi="Times New Roman"/>
                <w:bCs/>
                <w:sz w:val="16"/>
                <w:szCs w:val="16"/>
              </w:rPr>
              <w:t xml:space="preserve"> required for statistical significance.</w:t>
            </w:r>
          </w:p>
          <w:p w:rsidR="00B54052" w:rsidRPr="00E96CAB" w:rsidRDefault="00B54052" w:rsidP="00B54052">
            <w:pPr>
              <w:pStyle w:val="MediumGrid21"/>
              <w:ind w:left="-54"/>
              <w:rPr>
                <w:rFonts w:ascii="Times New Roman" w:hAnsi="Times New Roman"/>
                <w:bCs/>
                <w:sz w:val="16"/>
                <w:szCs w:val="16"/>
              </w:rPr>
            </w:pPr>
            <w:r w:rsidRPr="00E96CAB">
              <w:rPr>
                <w:rFonts w:ascii="Times New Roman" w:hAnsi="Times New Roman"/>
                <w:bCs/>
                <w:sz w:val="16"/>
                <w:szCs w:val="16"/>
                <w:vertAlign w:val="superscript"/>
              </w:rPr>
              <w:t>†</w:t>
            </w:r>
            <w:r w:rsidRPr="00E96CAB">
              <w:rPr>
                <w:rFonts w:ascii="Times New Roman" w:hAnsi="Times New Roman"/>
                <w:bCs/>
                <w:sz w:val="16"/>
                <w:szCs w:val="16"/>
              </w:rPr>
              <w:t xml:space="preserve"> As assessed as the average of the treatment effects at Week 16 and Week 24.</w:t>
            </w:r>
          </w:p>
          <w:p w:rsidR="00B54052" w:rsidRPr="00E96CAB" w:rsidRDefault="00B54052" w:rsidP="00B54052">
            <w:pPr>
              <w:pStyle w:val="MediumGrid21"/>
              <w:ind w:left="-54"/>
              <w:rPr>
                <w:rFonts w:eastAsia="MS PGothic"/>
                <w:kern w:val="24"/>
                <w:sz w:val="16"/>
                <w:szCs w:val="16"/>
              </w:rPr>
            </w:pPr>
            <w:r w:rsidRPr="00E96CAB">
              <w:rPr>
                <w:rFonts w:ascii="Times New Roman" w:hAnsi="Times New Roman"/>
                <w:bCs/>
                <w:sz w:val="16"/>
                <w:szCs w:val="16"/>
                <w:vertAlign w:val="superscript"/>
              </w:rPr>
              <w:t>‡</w:t>
            </w:r>
            <w:r w:rsidRPr="00E96CAB">
              <w:rPr>
                <w:rFonts w:ascii="Times New Roman" w:hAnsi="Times New Roman"/>
                <w:bCs/>
                <w:sz w:val="16"/>
                <w:szCs w:val="16"/>
              </w:rPr>
              <w:t xml:space="preserve"> Indicates statistical significance confirmed in the hierarchical testing procedure.</w:t>
            </w:r>
          </w:p>
        </w:tc>
      </w:tr>
    </w:tbl>
    <w:p w:rsidR="00980222" w:rsidRPr="00E96CAB" w:rsidRDefault="00980222" w:rsidP="00980222">
      <w:pPr>
        <w:pStyle w:val="MediumGrid21"/>
        <w:rPr>
          <w:rFonts w:ascii="Times New Roman" w:hAnsi="Times New Roman"/>
        </w:rPr>
      </w:pPr>
    </w:p>
    <w:p w:rsidR="00980222" w:rsidRPr="00E96CAB" w:rsidRDefault="00980222" w:rsidP="00980222">
      <w:pPr>
        <w:pStyle w:val="MediumGrid21"/>
        <w:rPr>
          <w:rFonts w:ascii="Times New Roman" w:hAnsi="Times New Roman"/>
        </w:rPr>
      </w:pPr>
    </w:p>
    <w:p w:rsidR="00980222" w:rsidRPr="00E96CAB" w:rsidRDefault="00980222" w:rsidP="00980222">
      <w:pPr>
        <w:pStyle w:val="Body"/>
        <w:ind w:firstLine="0"/>
        <w:jc w:val="left"/>
        <w:rPr>
          <w:rFonts w:ascii="Times New Roman" w:eastAsia="Calibri" w:hAnsi="Times New Roman"/>
          <w:sz w:val="22"/>
          <w:szCs w:val="22"/>
        </w:rPr>
      </w:pPr>
      <w:r w:rsidRPr="00E96CAB">
        <w:rPr>
          <w:rFonts w:ascii="Times New Roman" w:hAnsi="Times New Roman"/>
          <w:bCs/>
          <w:sz w:val="22"/>
          <w:szCs w:val="22"/>
        </w:rPr>
        <w:lastRenderedPageBreak/>
        <w:t xml:space="preserve">At Week 24, the proportion of patients who </w:t>
      </w:r>
      <w:r w:rsidRPr="00CE79E1">
        <w:rPr>
          <w:rFonts w:ascii="Times New Roman" w:hAnsi="Times New Roman"/>
          <w:bCs/>
          <w:sz w:val="22"/>
          <w:szCs w:val="22"/>
        </w:rPr>
        <w:t xml:space="preserve">remained free from pulmonary exacerbations was significantly higher for patients treated with </w:t>
      </w:r>
      <w:r w:rsidR="00606C30" w:rsidRPr="00FF0104">
        <w:rPr>
          <w:rFonts w:ascii="Times New Roman" w:hAnsi="Times New Roman"/>
          <w:bCs/>
          <w:sz w:val="22"/>
          <w:szCs w:val="22"/>
        </w:rPr>
        <w:t>ORKAMBI</w:t>
      </w:r>
      <w:r w:rsidR="002C12D4" w:rsidRPr="00FF0104">
        <w:rPr>
          <w:rFonts w:ascii="Times New Roman" w:hAnsi="Times New Roman"/>
          <w:bCs/>
          <w:sz w:val="22"/>
          <w:szCs w:val="22"/>
        </w:rPr>
        <w:t> </w:t>
      </w:r>
      <w:r w:rsidR="00CE79E1" w:rsidRPr="00FF0104">
        <w:rPr>
          <w:rFonts w:ascii="Times New Roman" w:hAnsi="Times New Roman"/>
          <w:sz w:val="22"/>
          <w:szCs w:val="22"/>
        </w:rPr>
        <w:t xml:space="preserve">200/125 </w:t>
      </w:r>
      <w:r w:rsidRPr="00FF0104">
        <w:rPr>
          <w:rFonts w:ascii="Times New Roman" w:hAnsi="Times New Roman"/>
          <w:bCs/>
          <w:sz w:val="22"/>
          <w:szCs w:val="22"/>
        </w:rPr>
        <w:t xml:space="preserve">compared with placebo. In the pooled analysis, the rate ratio of exacerbations through Week 24 in subjects treated with </w:t>
      </w:r>
      <w:r w:rsidR="00606C30" w:rsidRPr="00FF0104">
        <w:rPr>
          <w:rFonts w:ascii="Times New Roman" w:hAnsi="Times New Roman"/>
          <w:bCs/>
          <w:sz w:val="22"/>
          <w:szCs w:val="22"/>
        </w:rPr>
        <w:t>ORKAMBI</w:t>
      </w:r>
      <w:r w:rsidR="002C12D4" w:rsidRPr="00FF0104">
        <w:rPr>
          <w:rFonts w:ascii="Times New Roman" w:hAnsi="Times New Roman"/>
          <w:bCs/>
          <w:sz w:val="22"/>
          <w:szCs w:val="22"/>
        </w:rPr>
        <w:t> </w:t>
      </w:r>
      <w:r w:rsidR="00CE79E1" w:rsidRPr="00FF0104">
        <w:rPr>
          <w:rFonts w:ascii="Times New Roman" w:hAnsi="Times New Roman"/>
          <w:sz w:val="22"/>
          <w:szCs w:val="22"/>
        </w:rPr>
        <w:t xml:space="preserve">200/125 </w:t>
      </w:r>
      <w:r w:rsidRPr="00FF0104">
        <w:rPr>
          <w:rFonts w:ascii="Times New Roman" w:hAnsi="Times New Roman"/>
          <w:bCs/>
          <w:sz w:val="22"/>
          <w:szCs w:val="22"/>
        </w:rPr>
        <w:t>(</w:t>
      </w:r>
      <w:proofErr w:type="spellStart"/>
      <w:r w:rsidRPr="00FF0104">
        <w:rPr>
          <w:rFonts w:ascii="Times New Roman" w:hAnsi="Times New Roman"/>
          <w:bCs/>
          <w:sz w:val="22"/>
          <w:szCs w:val="22"/>
        </w:rPr>
        <w:t>lumacaftor</w:t>
      </w:r>
      <w:proofErr w:type="spellEnd"/>
      <w:r w:rsidRPr="00FF0104">
        <w:rPr>
          <w:rFonts w:ascii="Times New Roman" w:hAnsi="Times New Roman"/>
          <w:bCs/>
          <w:sz w:val="22"/>
          <w:szCs w:val="22"/>
        </w:rPr>
        <w:t xml:space="preserve"> 400</w:t>
      </w:r>
      <w:r w:rsidRPr="00FF0104">
        <w:rPr>
          <w:rFonts w:ascii="Times New Roman" w:hAnsi="Times New Roman"/>
          <w:sz w:val="22"/>
          <w:szCs w:val="22"/>
        </w:rPr>
        <w:t> </w:t>
      </w:r>
      <w:r w:rsidRPr="00FF0104">
        <w:rPr>
          <w:rFonts w:ascii="Times New Roman" w:hAnsi="Times New Roman"/>
          <w:bCs/>
          <w:sz w:val="22"/>
          <w:szCs w:val="22"/>
        </w:rPr>
        <w:t>mg/</w:t>
      </w:r>
      <w:proofErr w:type="spellStart"/>
      <w:r w:rsidRPr="00FF0104">
        <w:rPr>
          <w:rFonts w:ascii="Times New Roman" w:hAnsi="Times New Roman"/>
          <w:bCs/>
          <w:sz w:val="22"/>
          <w:szCs w:val="22"/>
        </w:rPr>
        <w:t>ivacaftor</w:t>
      </w:r>
      <w:proofErr w:type="spellEnd"/>
      <w:r w:rsidRPr="00FF0104">
        <w:rPr>
          <w:rFonts w:ascii="Times New Roman" w:hAnsi="Times New Roman"/>
          <w:bCs/>
          <w:sz w:val="22"/>
          <w:szCs w:val="22"/>
        </w:rPr>
        <w:t xml:space="preserve"> 250</w:t>
      </w:r>
      <w:r w:rsidRPr="00FF0104">
        <w:rPr>
          <w:rFonts w:ascii="Times New Roman" w:hAnsi="Times New Roman"/>
          <w:sz w:val="22"/>
          <w:szCs w:val="22"/>
        </w:rPr>
        <w:t> </w:t>
      </w:r>
      <w:r w:rsidRPr="00FF0104">
        <w:rPr>
          <w:rFonts w:ascii="Times New Roman" w:hAnsi="Times New Roman"/>
          <w:bCs/>
          <w:sz w:val="22"/>
          <w:szCs w:val="22"/>
        </w:rPr>
        <w:t>mg q12h; n = 369) was 0.61 (</w:t>
      </w:r>
      <w:r w:rsidRPr="00FF0104">
        <w:rPr>
          <w:rFonts w:ascii="Times New Roman" w:hAnsi="Times New Roman"/>
          <w:bCs/>
          <w:i/>
          <w:sz w:val="22"/>
          <w:szCs w:val="22"/>
        </w:rPr>
        <w:t>P</w:t>
      </w:r>
      <w:r w:rsidRPr="00FF0104">
        <w:rPr>
          <w:rFonts w:ascii="Times New Roman" w:hAnsi="Times New Roman"/>
          <w:bCs/>
          <w:sz w:val="22"/>
          <w:szCs w:val="22"/>
        </w:rPr>
        <w:t xml:space="preserve">&lt;0.0001), representing a reduction relative to placebo of 39%. Treatment with </w:t>
      </w:r>
      <w:r w:rsidR="00606C30" w:rsidRPr="00FF0104">
        <w:rPr>
          <w:rFonts w:ascii="Times New Roman" w:hAnsi="Times New Roman"/>
          <w:bCs/>
          <w:sz w:val="22"/>
          <w:szCs w:val="22"/>
        </w:rPr>
        <w:t>ORKAMBI</w:t>
      </w:r>
      <w:r w:rsidR="002C12D4" w:rsidRPr="00FF0104">
        <w:rPr>
          <w:rFonts w:ascii="Times New Roman" w:hAnsi="Times New Roman"/>
          <w:bCs/>
          <w:sz w:val="22"/>
          <w:szCs w:val="22"/>
        </w:rPr>
        <w:t> </w:t>
      </w:r>
      <w:r w:rsidR="00CE79E1" w:rsidRPr="00FF0104">
        <w:rPr>
          <w:rFonts w:ascii="Times New Roman" w:hAnsi="Times New Roman"/>
          <w:sz w:val="22"/>
          <w:szCs w:val="22"/>
        </w:rPr>
        <w:t xml:space="preserve">200/125 </w:t>
      </w:r>
      <w:r w:rsidRPr="00FF0104">
        <w:rPr>
          <w:rFonts w:ascii="Times New Roman" w:hAnsi="Times New Roman"/>
          <w:bCs/>
          <w:sz w:val="22"/>
          <w:szCs w:val="22"/>
        </w:rPr>
        <w:t>significantly decreased the risk for</w:t>
      </w:r>
      <w:r w:rsidRPr="00E96CAB">
        <w:rPr>
          <w:rFonts w:ascii="Times New Roman" w:hAnsi="Times New Roman"/>
          <w:bCs/>
          <w:sz w:val="22"/>
          <w:szCs w:val="22"/>
        </w:rPr>
        <w:t xml:space="preserve"> exacerbations requiring </w:t>
      </w:r>
      <w:proofErr w:type="spellStart"/>
      <w:r w:rsidRPr="00E96CAB">
        <w:rPr>
          <w:rFonts w:ascii="Times New Roman" w:hAnsi="Times New Roman"/>
          <w:bCs/>
          <w:sz w:val="22"/>
          <w:szCs w:val="22"/>
        </w:rPr>
        <w:t>hospitalisation</w:t>
      </w:r>
      <w:proofErr w:type="spellEnd"/>
      <w:r w:rsidRPr="00E96CAB">
        <w:rPr>
          <w:rFonts w:ascii="Times New Roman" w:hAnsi="Times New Roman"/>
          <w:bCs/>
          <w:sz w:val="22"/>
          <w:szCs w:val="22"/>
        </w:rPr>
        <w:t xml:space="preserve"> vs. placebo by 61% (rate ratio=0.39, </w:t>
      </w:r>
      <w:r w:rsidRPr="00E96CAB">
        <w:rPr>
          <w:rFonts w:ascii="Times New Roman" w:hAnsi="Times New Roman"/>
          <w:bCs/>
          <w:i/>
          <w:sz w:val="22"/>
          <w:szCs w:val="22"/>
        </w:rPr>
        <w:t>P</w:t>
      </w:r>
      <w:r w:rsidRPr="00E96CAB">
        <w:rPr>
          <w:rFonts w:ascii="Times New Roman" w:hAnsi="Times New Roman"/>
          <w:bCs/>
          <w:sz w:val="22"/>
          <w:szCs w:val="22"/>
        </w:rPr>
        <w:t xml:space="preserve">&lt;0.0001) and reduced exacerbations requiring treatment with intravenous antibiotics by 56% (rate ratio=0.44, </w:t>
      </w:r>
      <w:r w:rsidRPr="00E96CAB">
        <w:rPr>
          <w:rFonts w:ascii="Times New Roman" w:hAnsi="Times New Roman"/>
          <w:bCs/>
          <w:i/>
          <w:sz w:val="22"/>
          <w:szCs w:val="22"/>
        </w:rPr>
        <w:t>P</w:t>
      </w:r>
      <w:r w:rsidRPr="00E96CAB">
        <w:rPr>
          <w:rFonts w:ascii="Times New Roman" w:hAnsi="Times New Roman"/>
          <w:bCs/>
          <w:sz w:val="22"/>
          <w:szCs w:val="22"/>
        </w:rPr>
        <w:t>&lt;0.0001).</w:t>
      </w:r>
    </w:p>
    <w:p w:rsidR="00980222" w:rsidRPr="00E96CAB" w:rsidRDefault="00980222" w:rsidP="00980222">
      <w:pPr>
        <w:pStyle w:val="MediumGrid21"/>
        <w:rPr>
          <w:rFonts w:ascii="Times New Roman" w:hAnsi="Times New Roman"/>
        </w:rPr>
      </w:pPr>
    </w:p>
    <w:p w:rsidR="00953C6A" w:rsidRPr="00E96CAB" w:rsidRDefault="00953C6A" w:rsidP="00B953B7">
      <w:pPr>
        <w:pStyle w:val="Body"/>
        <w:keepNext/>
        <w:ind w:firstLine="0"/>
        <w:jc w:val="left"/>
        <w:rPr>
          <w:rFonts w:ascii="Times New Roman" w:hAnsi="Times New Roman"/>
          <w:b/>
          <w:sz w:val="22"/>
          <w:szCs w:val="22"/>
        </w:rPr>
      </w:pPr>
      <w:proofErr w:type="gramStart"/>
      <w:r w:rsidRPr="00E96CAB">
        <w:rPr>
          <w:rFonts w:ascii="Times New Roman" w:hAnsi="Times New Roman"/>
          <w:b/>
          <w:sz w:val="22"/>
          <w:szCs w:val="22"/>
        </w:rPr>
        <w:t>Figure 2.</w:t>
      </w:r>
      <w:proofErr w:type="gramEnd"/>
      <w:r w:rsidRPr="00E96CAB">
        <w:rPr>
          <w:rFonts w:ascii="Times New Roman" w:hAnsi="Times New Roman"/>
          <w:b/>
          <w:sz w:val="22"/>
          <w:szCs w:val="22"/>
        </w:rPr>
        <w:t xml:space="preserve"> Pulmonary Exacerbations </w:t>
      </w:r>
      <w:proofErr w:type="gramStart"/>
      <w:r w:rsidRPr="00E96CAB">
        <w:rPr>
          <w:rFonts w:ascii="Times New Roman" w:hAnsi="Times New Roman"/>
          <w:b/>
          <w:sz w:val="22"/>
          <w:szCs w:val="22"/>
        </w:rPr>
        <w:t>Through</w:t>
      </w:r>
      <w:proofErr w:type="gramEnd"/>
      <w:r w:rsidRPr="00E96CAB">
        <w:rPr>
          <w:rFonts w:ascii="Times New Roman" w:hAnsi="Times New Roman"/>
          <w:b/>
          <w:sz w:val="22"/>
          <w:szCs w:val="22"/>
        </w:rPr>
        <w:t xml:space="preserve"> Week 24</w:t>
      </w:r>
    </w:p>
    <w:p w:rsidR="00953C6A" w:rsidRPr="00E96CAB" w:rsidRDefault="00953C6A" w:rsidP="00B953B7">
      <w:pPr>
        <w:pStyle w:val="Body"/>
        <w:keepNext/>
        <w:ind w:firstLine="0"/>
        <w:jc w:val="left"/>
        <w:rPr>
          <w:rFonts w:ascii="Times New Roman" w:hAnsi="Times New Roman"/>
          <w:bCs/>
          <w:sz w:val="22"/>
          <w:szCs w:val="22"/>
        </w:rPr>
      </w:pPr>
    </w:p>
    <w:p w:rsidR="00953C6A" w:rsidRPr="00E96CAB" w:rsidRDefault="00334F48" w:rsidP="00953C6A">
      <w:pPr>
        <w:pStyle w:val="Body"/>
        <w:ind w:firstLine="0"/>
        <w:jc w:val="center"/>
        <w:rPr>
          <w:rFonts w:ascii="Times New Roman" w:eastAsia="Calibri" w:hAnsi="Times New Roman"/>
          <w:sz w:val="24"/>
          <w:szCs w:val="24"/>
        </w:rPr>
      </w:pPr>
      <w:r>
        <w:rPr>
          <w:noProof/>
        </w:rPr>
        <w:pict>
          <v:shape id="_x0000_i1030" type="#_x0000_t75" style="width:270.25pt;height:191.2pt;visibility:visible">
            <v:imagedata r:id="rId14" o:title=""/>
          </v:shape>
        </w:pict>
      </w:r>
    </w:p>
    <w:p w:rsidR="00953C6A" w:rsidRPr="00E96CAB" w:rsidRDefault="00953C6A" w:rsidP="00980222">
      <w:pPr>
        <w:pStyle w:val="MediumGrid21"/>
        <w:rPr>
          <w:rFonts w:ascii="Times New Roman" w:hAnsi="Times New Roman"/>
        </w:rPr>
      </w:pPr>
    </w:p>
    <w:p w:rsidR="00953C6A" w:rsidRPr="00E96CAB" w:rsidRDefault="00953C6A" w:rsidP="00980222">
      <w:pPr>
        <w:pStyle w:val="MediumGrid21"/>
        <w:rPr>
          <w:rFonts w:ascii="Times New Roman" w:hAnsi="Times New Roman"/>
        </w:rPr>
      </w:pPr>
    </w:p>
    <w:p w:rsidR="00980222" w:rsidRPr="00E96CAB" w:rsidRDefault="00980222" w:rsidP="00980222">
      <w:pPr>
        <w:pStyle w:val="MediumGrid21"/>
        <w:rPr>
          <w:rFonts w:ascii="Times New Roman" w:hAnsi="Times New Roman"/>
          <w:i/>
        </w:rPr>
      </w:pPr>
      <w:r w:rsidRPr="00E96CAB">
        <w:rPr>
          <w:rFonts w:ascii="Times New Roman" w:hAnsi="Times New Roman"/>
          <w:i/>
        </w:rPr>
        <w:t xml:space="preserve">Trial in Patients </w:t>
      </w:r>
      <w:proofErr w:type="gramStart"/>
      <w:r w:rsidR="003711C5" w:rsidRPr="00E96CAB">
        <w:rPr>
          <w:rFonts w:ascii="Times New Roman" w:hAnsi="Times New Roman"/>
          <w:i/>
        </w:rPr>
        <w:t>W</w:t>
      </w:r>
      <w:r w:rsidRPr="00E96CAB">
        <w:rPr>
          <w:rFonts w:ascii="Times New Roman" w:hAnsi="Times New Roman"/>
          <w:i/>
        </w:rPr>
        <w:t>ith</w:t>
      </w:r>
      <w:proofErr w:type="gramEnd"/>
      <w:r w:rsidRPr="00E96CAB">
        <w:rPr>
          <w:rFonts w:ascii="Times New Roman" w:hAnsi="Times New Roman"/>
          <w:i/>
        </w:rPr>
        <w:t xml:space="preserve"> CF </w:t>
      </w:r>
      <w:r w:rsidR="003711C5" w:rsidRPr="00E96CAB">
        <w:rPr>
          <w:rFonts w:ascii="Times New Roman" w:hAnsi="Times New Roman"/>
          <w:i/>
        </w:rPr>
        <w:t>W</w:t>
      </w:r>
      <w:r w:rsidRPr="00E96CAB">
        <w:rPr>
          <w:rFonts w:ascii="Times New Roman" w:hAnsi="Times New Roman"/>
          <w:i/>
        </w:rPr>
        <w:t xml:space="preserve">ho are Heterozygous for the </w:t>
      </w:r>
      <w:r w:rsidRPr="00E96CAB">
        <w:rPr>
          <w:rFonts w:ascii="Times New Roman" w:hAnsi="Times New Roman"/>
        </w:rPr>
        <w:t>F508del</w:t>
      </w:r>
      <w:r w:rsidRPr="00E96CAB">
        <w:rPr>
          <w:rFonts w:ascii="Times New Roman" w:hAnsi="Times New Roman"/>
          <w:i/>
        </w:rPr>
        <w:t xml:space="preserve"> Mutation in the </w:t>
      </w:r>
      <w:r w:rsidRPr="00E96CAB">
        <w:rPr>
          <w:rFonts w:ascii="Times New Roman" w:hAnsi="Times New Roman"/>
        </w:rPr>
        <w:t>CFTR</w:t>
      </w:r>
      <w:r w:rsidRPr="00E96CAB">
        <w:rPr>
          <w:rFonts w:ascii="Times New Roman" w:hAnsi="Times New Roman"/>
          <w:i/>
        </w:rPr>
        <w:t xml:space="preserve"> Gene</w:t>
      </w:r>
    </w:p>
    <w:p w:rsidR="00980222" w:rsidRPr="00E96CAB" w:rsidRDefault="00980222" w:rsidP="00980222">
      <w:pPr>
        <w:pStyle w:val="Body"/>
        <w:ind w:firstLine="0"/>
        <w:jc w:val="left"/>
        <w:rPr>
          <w:rFonts w:ascii="Times New Roman" w:hAnsi="Times New Roman"/>
          <w:sz w:val="22"/>
          <w:szCs w:val="22"/>
        </w:rPr>
      </w:pPr>
      <w:r w:rsidRPr="00E96CAB">
        <w:rPr>
          <w:rFonts w:ascii="Times New Roman" w:hAnsi="Times New Roman"/>
          <w:bCs/>
          <w:sz w:val="22"/>
          <w:szCs w:val="22"/>
        </w:rPr>
        <w:t xml:space="preserve">Trial 3 was a multicenter, double–blind, </w:t>
      </w:r>
      <w:proofErr w:type="spellStart"/>
      <w:r w:rsidRPr="00E96CAB">
        <w:rPr>
          <w:rFonts w:ascii="Times New Roman" w:hAnsi="Times New Roman"/>
          <w:bCs/>
          <w:sz w:val="22"/>
          <w:szCs w:val="22"/>
        </w:rPr>
        <w:t>randomised</w:t>
      </w:r>
      <w:proofErr w:type="spellEnd"/>
      <w:r w:rsidRPr="00E96CAB">
        <w:rPr>
          <w:rFonts w:ascii="Times New Roman" w:hAnsi="Times New Roman"/>
          <w:bCs/>
          <w:sz w:val="22"/>
          <w:szCs w:val="22"/>
        </w:rPr>
        <w:t>, placebo–controlled, Phase 2 trial in 125 patients with CF aged 18 years and older who had a ppFEV</w:t>
      </w:r>
      <w:r w:rsidRPr="00E96CAB">
        <w:rPr>
          <w:rFonts w:ascii="Times New Roman" w:hAnsi="Times New Roman"/>
          <w:bCs/>
          <w:sz w:val="22"/>
          <w:szCs w:val="22"/>
          <w:vertAlign w:val="subscript"/>
        </w:rPr>
        <w:t>1</w:t>
      </w:r>
      <w:r w:rsidRPr="00E96CAB">
        <w:rPr>
          <w:rFonts w:ascii="Times New Roman" w:hAnsi="Times New Roman"/>
          <w:bCs/>
          <w:sz w:val="22"/>
          <w:szCs w:val="22"/>
        </w:rPr>
        <w:t xml:space="preserve"> of 40 to 90, inclusive. All patients were tested for the CF genotype at screening; eligible patients had the </w:t>
      </w:r>
      <w:r w:rsidRPr="00E96CAB">
        <w:rPr>
          <w:rFonts w:ascii="Times New Roman" w:hAnsi="Times New Roman"/>
          <w:bCs/>
          <w:i/>
          <w:sz w:val="22"/>
          <w:szCs w:val="22"/>
        </w:rPr>
        <w:t>F508del</w:t>
      </w:r>
      <w:r w:rsidRPr="00E96CAB">
        <w:rPr>
          <w:rFonts w:ascii="Times New Roman" w:hAnsi="Times New Roman"/>
          <w:bCs/>
          <w:sz w:val="22"/>
          <w:szCs w:val="22"/>
        </w:rPr>
        <w:t xml:space="preserve"> mutation on one allele plus a second allele with a mutation predicted to result in the lack of CFTR production or a CFTR that is not responsive to </w:t>
      </w:r>
      <w:proofErr w:type="spellStart"/>
      <w:r w:rsidRPr="00E96CAB">
        <w:rPr>
          <w:rFonts w:ascii="Times New Roman" w:hAnsi="Times New Roman"/>
          <w:bCs/>
          <w:sz w:val="22"/>
          <w:szCs w:val="22"/>
        </w:rPr>
        <w:t>ivacaftor</w:t>
      </w:r>
      <w:proofErr w:type="spellEnd"/>
      <w:r w:rsidRPr="00E96CAB">
        <w:rPr>
          <w:rFonts w:ascii="Times New Roman" w:hAnsi="Times New Roman"/>
          <w:bCs/>
          <w:sz w:val="22"/>
          <w:szCs w:val="22"/>
        </w:rPr>
        <w:t xml:space="preserve"> </w:t>
      </w:r>
      <w:r w:rsidRPr="00E96CAB">
        <w:rPr>
          <w:rFonts w:ascii="Times New Roman" w:hAnsi="Times New Roman"/>
          <w:bCs/>
          <w:i/>
          <w:sz w:val="22"/>
          <w:szCs w:val="22"/>
        </w:rPr>
        <w:t>in vitro</w:t>
      </w:r>
      <w:r w:rsidRPr="00E96CAB">
        <w:rPr>
          <w:rFonts w:ascii="Times New Roman" w:hAnsi="Times New Roman"/>
          <w:bCs/>
          <w:sz w:val="22"/>
          <w:szCs w:val="22"/>
        </w:rPr>
        <w:t>.</w:t>
      </w:r>
    </w:p>
    <w:p w:rsidR="00980222" w:rsidRPr="00E96CAB" w:rsidRDefault="00980222" w:rsidP="00980222">
      <w:pPr>
        <w:pStyle w:val="Body"/>
        <w:ind w:firstLine="0"/>
        <w:jc w:val="left"/>
        <w:rPr>
          <w:rFonts w:ascii="Times New Roman" w:hAnsi="Times New Roman"/>
          <w:bCs/>
          <w:sz w:val="22"/>
          <w:szCs w:val="22"/>
        </w:rPr>
      </w:pPr>
    </w:p>
    <w:p w:rsidR="00980222" w:rsidRPr="00E96CAB" w:rsidRDefault="00980222" w:rsidP="00980222">
      <w:pPr>
        <w:pStyle w:val="Body"/>
        <w:ind w:firstLine="0"/>
        <w:jc w:val="left"/>
        <w:rPr>
          <w:rFonts w:ascii="Times New Roman" w:hAnsi="Times New Roman"/>
          <w:sz w:val="22"/>
          <w:szCs w:val="22"/>
        </w:rPr>
      </w:pPr>
      <w:r w:rsidRPr="00E96CAB">
        <w:rPr>
          <w:rFonts w:ascii="Times New Roman" w:hAnsi="Times New Roman"/>
          <w:bCs/>
          <w:sz w:val="22"/>
          <w:szCs w:val="22"/>
        </w:rPr>
        <w:t xml:space="preserve">Patients received either </w:t>
      </w:r>
      <w:r w:rsidR="00606C30" w:rsidRPr="002C12D4">
        <w:rPr>
          <w:rFonts w:ascii="Times New Roman" w:hAnsi="Times New Roman"/>
          <w:bCs/>
          <w:sz w:val="22"/>
          <w:szCs w:val="22"/>
        </w:rPr>
        <w:t>ORKAMBI</w:t>
      </w:r>
      <w:r w:rsidR="002C12D4" w:rsidRPr="002C12D4">
        <w:rPr>
          <w:rFonts w:ascii="Times New Roman" w:hAnsi="Times New Roman"/>
          <w:bCs/>
          <w:sz w:val="22"/>
          <w:szCs w:val="22"/>
        </w:rPr>
        <w:t> </w:t>
      </w:r>
      <w:r w:rsidR="002C12D4" w:rsidRPr="005D1BF8">
        <w:rPr>
          <w:rFonts w:ascii="Times New Roman" w:hAnsi="Times New Roman"/>
          <w:sz w:val="22"/>
          <w:szCs w:val="22"/>
        </w:rPr>
        <w:t xml:space="preserve">200/125 </w:t>
      </w:r>
      <w:r w:rsidRPr="005D1BF8">
        <w:rPr>
          <w:rFonts w:ascii="Times New Roman" w:hAnsi="Times New Roman"/>
          <w:bCs/>
          <w:sz w:val="22"/>
          <w:szCs w:val="22"/>
        </w:rPr>
        <w:t>(</w:t>
      </w:r>
      <w:r w:rsidRPr="002C12D4">
        <w:rPr>
          <w:rFonts w:ascii="Times New Roman" w:hAnsi="Times New Roman"/>
          <w:bCs/>
          <w:sz w:val="22"/>
          <w:szCs w:val="22"/>
        </w:rPr>
        <w:t>n=</w:t>
      </w:r>
      <w:r w:rsidRPr="00E96CAB">
        <w:rPr>
          <w:rFonts w:ascii="Times New Roman" w:hAnsi="Times New Roman"/>
          <w:bCs/>
          <w:sz w:val="22"/>
          <w:szCs w:val="22"/>
        </w:rPr>
        <w:t>62) or placebo (n=63)</w:t>
      </w:r>
      <w:r w:rsidR="0089783E" w:rsidRPr="00E96CAB">
        <w:rPr>
          <w:rFonts w:ascii="Times New Roman" w:hAnsi="Times New Roman"/>
          <w:bCs/>
          <w:sz w:val="22"/>
          <w:szCs w:val="22"/>
        </w:rPr>
        <w:t xml:space="preserve"> q12h</w:t>
      </w:r>
      <w:r w:rsidRPr="00E96CAB">
        <w:rPr>
          <w:rFonts w:ascii="Times New Roman" w:hAnsi="Times New Roman"/>
          <w:bCs/>
          <w:sz w:val="22"/>
          <w:szCs w:val="22"/>
        </w:rPr>
        <w:t xml:space="preserve"> in addition to their prescribed CF therapies. The median age of patients enrolled was 28 years and the mean baseline ppFEV</w:t>
      </w:r>
      <w:r w:rsidRPr="00E96CAB">
        <w:rPr>
          <w:rFonts w:ascii="Times New Roman" w:hAnsi="Times New Roman"/>
          <w:bCs/>
          <w:sz w:val="22"/>
          <w:szCs w:val="22"/>
          <w:vertAlign w:val="subscript"/>
        </w:rPr>
        <w:t>1</w:t>
      </w:r>
      <w:r w:rsidRPr="00E96CAB">
        <w:rPr>
          <w:rFonts w:ascii="Times New Roman" w:hAnsi="Times New Roman"/>
          <w:bCs/>
          <w:sz w:val="22"/>
          <w:szCs w:val="22"/>
        </w:rPr>
        <w:t xml:space="preserve"> was 61.47. Patients with a history of </w:t>
      </w:r>
      <w:proofErr w:type="spellStart"/>
      <w:r w:rsidRPr="00E96CAB">
        <w:rPr>
          <w:rFonts w:ascii="Times New Roman" w:hAnsi="Times New Roman"/>
          <w:bCs/>
          <w:sz w:val="22"/>
          <w:szCs w:val="22"/>
        </w:rPr>
        <w:t>colonisation</w:t>
      </w:r>
      <w:proofErr w:type="spellEnd"/>
      <w:r w:rsidRPr="00E96CAB">
        <w:rPr>
          <w:rFonts w:ascii="Times New Roman" w:hAnsi="Times New Roman"/>
          <w:bCs/>
          <w:sz w:val="22"/>
          <w:szCs w:val="22"/>
        </w:rPr>
        <w:t xml:space="preserve"> with organisms such as </w:t>
      </w:r>
      <w:proofErr w:type="spellStart"/>
      <w:r w:rsidRPr="00E96CAB">
        <w:rPr>
          <w:rFonts w:ascii="Times New Roman" w:hAnsi="Times New Roman"/>
          <w:bCs/>
          <w:i/>
          <w:sz w:val="22"/>
          <w:szCs w:val="22"/>
        </w:rPr>
        <w:t>Burkholderia</w:t>
      </w:r>
      <w:proofErr w:type="spellEnd"/>
      <w:r w:rsidRPr="00E96CAB">
        <w:rPr>
          <w:rFonts w:ascii="Times New Roman" w:hAnsi="Times New Roman"/>
          <w:bCs/>
          <w:i/>
          <w:sz w:val="22"/>
          <w:szCs w:val="22"/>
        </w:rPr>
        <w:t xml:space="preserve"> </w:t>
      </w:r>
      <w:proofErr w:type="spellStart"/>
      <w:r w:rsidRPr="00E96CAB">
        <w:rPr>
          <w:rFonts w:ascii="Times New Roman" w:hAnsi="Times New Roman"/>
          <w:bCs/>
          <w:i/>
          <w:sz w:val="22"/>
          <w:szCs w:val="22"/>
        </w:rPr>
        <w:t>cenocepacia</w:t>
      </w:r>
      <w:proofErr w:type="spellEnd"/>
      <w:r w:rsidRPr="00E96CAB">
        <w:rPr>
          <w:rFonts w:ascii="Times New Roman" w:hAnsi="Times New Roman"/>
          <w:bCs/>
          <w:sz w:val="22"/>
          <w:szCs w:val="22"/>
        </w:rPr>
        <w:t xml:space="preserve">, </w:t>
      </w:r>
      <w:proofErr w:type="spellStart"/>
      <w:r w:rsidRPr="00E96CAB">
        <w:rPr>
          <w:rFonts w:ascii="Times New Roman" w:hAnsi="Times New Roman"/>
          <w:bCs/>
          <w:i/>
          <w:sz w:val="22"/>
          <w:szCs w:val="22"/>
        </w:rPr>
        <w:t>Burkholderia</w:t>
      </w:r>
      <w:proofErr w:type="spellEnd"/>
      <w:r w:rsidRPr="00E96CAB">
        <w:rPr>
          <w:rFonts w:ascii="Times New Roman" w:hAnsi="Times New Roman"/>
          <w:bCs/>
          <w:i/>
          <w:sz w:val="22"/>
          <w:szCs w:val="22"/>
        </w:rPr>
        <w:t xml:space="preserve"> </w:t>
      </w:r>
      <w:proofErr w:type="spellStart"/>
      <w:r w:rsidRPr="00E96CAB">
        <w:rPr>
          <w:rFonts w:ascii="Times New Roman" w:hAnsi="Times New Roman"/>
          <w:bCs/>
          <w:i/>
          <w:sz w:val="22"/>
          <w:szCs w:val="22"/>
        </w:rPr>
        <w:t>dolosa</w:t>
      </w:r>
      <w:proofErr w:type="spellEnd"/>
      <w:r w:rsidRPr="00E96CAB">
        <w:rPr>
          <w:rFonts w:ascii="Times New Roman" w:hAnsi="Times New Roman"/>
          <w:bCs/>
          <w:sz w:val="22"/>
          <w:szCs w:val="22"/>
        </w:rPr>
        <w:t xml:space="preserve">, or </w:t>
      </w:r>
      <w:r w:rsidRPr="00E96CAB">
        <w:rPr>
          <w:rFonts w:ascii="Times New Roman" w:hAnsi="Times New Roman"/>
          <w:bCs/>
          <w:i/>
          <w:sz w:val="22"/>
          <w:szCs w:val="22"/>
        </w:rPr>
        <w:t xml:space="preserve">Mycobacterium </w:t>
      </w:r>
      <w:proofErr w:type="spellStart"/>
      <w:r w:rsidRPr="00E96CAB">
        <w:rPr>
          <w:rFonts w:ascii="Times New Roman" w:hAnsi="Times New Roman"/>
          <w:bCs/>
          <w:i/>
          <w:sz w:val="22"/>
          <w:szCs w:val="22"/>
        </w:rPr>
        <w:t>abscessus</w:t>
      </w:r>
      <w:proofErr w:type="spellEnd"/>
      <w:r w:rsidRPr="00E96CAB">
        <w:rPr>
          <w:rFonts w:ascii="Times New Roman" w:hAnsi="Times New Roman"/>
          <w:bCs/>
          <w:sz w:val="22"/>
          <w:szCs w:val="22"/>
        </w:rPr>
        <w:t>, or who had 3 or more abnormal liver function tests (ALT, AST, AP, GGT ≥3 times the ULN or total bilirubin ≥2 times the ULN) were excluded.</w:t>
      </w:r>
    </w:p>
    <w:p w:rsidR="00980222" w:rsidRPr="00E96CAB" w:rsidRDefault="00980222" w:rsidP="00980222">
      <w:pPr>
        <w:pStyle w:val="Body"/>
        <w:ind w:firstLine="0"/>
        <w:jc w:val="left"/>
        <w:rPr>
          <w:rFonts w:ascii="Times New Roman" w:hAnsi="Times New Roman"/>
          <w:bCs/>
          <w:sz w:val="22"/>
          <w:szCs w:val="22"/>
        </w:rPr>
      </w:pPr>
    </w:p>
    <w:p w:rsidR="00980222" w:rsidRPr="00E96CAB" w:rsidRDefault="00980222" w:rsidP="00980222">
      <w:pPr>
        <w:pStyle w:val="Body"/>
        <w:ind w:firstLine="0"/>
        <w:jc w:val="left"/>
        <w:rPr>
          <w:rFonts w:ascii="Times New Roman" w:hAnsi="Times New Roman"/>
          <w:bCs/>
          <w:sz w:val="22"/>
          <w:szCs w:val="22"/>
        </w:rPr>
      </w:pPr>
      <w:r w:rsidRPr="00E96CAB">
        <w:rPr>
          <w:rFonts w:ascii="Times New Roman" w:hAnsi="Times New Roman"/>
          <w:bCs/>
          <w:sz w:val="22"/>
          <w:szCs w:val="22"/>
        </w:rPr>
        <w:t xml:space="preserve">The primary endpoint was improvement in lung function as </w:t>
      </w:r>
      <w:r w:rsidRPr="005D1BF8">
        <w:rPr>
          <w:rFonts w:ascii="Times New Roman" w:hAnsi="Times New Roman"/>
          <w:bCs/>
          <w:sz w:val="22"/>
          <w:szCs w:val="22"/>
        </w:rPr>
        <w:t>determined by the mean absolute change from baseline at Day 56 in ppFEV</w:t>
      </w:r>
      <w:r w:rsidRPr="005D1BF8">
        <w:rPr>
          <w:rFonts w:ascii="Times New Roman" w:hAnsi="Times New Roman"/>
          <w:bCs/>
          <w:sz w:val="22"/>
          <w:szCs w:val="22"/>
          <w:vertAlign w:val="subscript"/>
        </w:rPr>
        <w:t>1</w:t>
      </w:r>
      <w:r w:rsidRPr="005D1BF8">
        <w:rPr>
          <w:rFonts w:ascii="Times New Roman" w:hAnsi="Times New Roman"/>
          <w:bCs/>
          <w:sz w:val="22"/>
          <w:szCs w:val="22"/>
        </w:rPr>
        <w:t xml:space="preserve">. Treatment with </w:t>
      </w:r>
      <w:r w:rsidR="00606C30" w:rsidRPr="005D1BF8">
        <w:rPr>
          <w:rFonts w:ascii="Times New Roman" w:hAnsi="Times New Roman"/>
          <w:bCs/>
          <w:sz w:val="22"/>
          <w:szCs w:val="22"/>
        </w:rPr>
        <w:t>ORKAMBI</w:t>
      </w:r>
      <w:r w:rsidR="002C12D4" w:rsidRPr="005D1BF8">
        <w:rPr>
          <w:rFonts w:ascii="Times New Roman" w:hAnsi="Times New Roman"/>
          <w:bCs/>
          <w:sz w:val="22"/>
          <w:szCs w:val="22"/>
        </w:rPr>
        <w:t> </w:t>
      </w:r>
      <w:r w:rsidR="002C12D4" w:rsidRPr="005D1BF8">
        <w:rPr>
          <w:rFonts w:ascii="Times New Roman" w:hAnsi="Times New Roman"/>
          <w:sz w:val="22"/>
          <w:szCs w:val="22"/>
        </w:rPr>
        <w:t xml:space="preserve">200/125 </w:t>
      </w:r>
      <w:r w:rsidRPr="005D1BF8">
        <w:rPr>
          <w:rFonts w:ascii="Times New Roman" w:hAnsi="Times New Roman"/>
          <w:bCs/>
          <w:sz w:val="22"/>
          <w:szCs w:val="22"/>
        </w:rPr>
        <w:t>resulted in no significant improvement in ppFEV</w:t>
      </w:r>
      <w:r w:rsidRPr="005D1BF8">
        <w:rPr>
          <w:rFonts w:ascii="Times New Roman" w:hAnsi="Times New Roman"/>
          <w:bCs/>
          <w:sz w:val="22"/>
          <w:szCs w:val="22"/>
          <w:vertAlign w:val="subscript"/>
        </w:rPr>
        <w:t>1</w:t>
      </w:r>
      <w:r w:rsidRPr="005D1BF8">
        <w:rPr>
          <w:rFonts w:ascii="Times New Roman" w:hAnsi="Times New Roman"/>
          <w:bCs/>
          <w:sz w:val="22"/>
          <w:szCs w:val="22"/>
        </w:rPr>
        <w:t xml:space="preserve"> relative to placebo in patients with CF heterozygous for the </w:t>
      </w:r>
      <w:r w:rsidRPr="005D1BF8">
        <w:rPr>
          <w:rFonts w:ascii="Times New Roman" w:hAnsi="Times New Roman"/>
          <w:bCs/>
          <w:i/>
          <w:sz w:val="22"/>
          <w:szCs w:val="22"/>
        </w:rPr>
        <w:t>F508del</w:t>
      </w:r>
      <w:r w:rsidRPr="005D1BF8">
        <w:rPr>
          <w:rFonts w:ascii="Times New Roman" w:hAnsi="Times New Roman"/>
          <w:bCs/>
          <w:sz w:val="22"/>
          <w:szCs w:val="22"/>
        </w:rPr>
        <w:t xml:space="preserve"> mutation in the </w:t>
      </w:r>
      <w:r w:rsidRPr="005D1BF8">
        <w:rPr>
          <w:rFonts w:ascii="Times New Roman" w:hAnsi="Times New Roman"/>
          <w:bCs/>
          <w:i/>
          <w:sz w:val="22"/>
          <w:szCs w:val="22"/>
        </w:rPr>
        <w:t>CFTR</w:t>
      </w:r>
      <w:r w:rsidRPr="005D1BF8">
        <w:rPr>
          <w:rFonts w:ascii="Times New Roman" w:hAnsi="Times New Roman"/>
          <w:bCs/>
          <w:sz w:val="22"/>
          <w:szCs w:val="22"/>
        </w:rPr>
        <w:t xml:space="preserve"> gene [treatment difference 0.60 (</w:t>
      </w:r>
      <w:r w:rsidRPr="005D1BF8">
        <w:rPr>
          <w:rFonts w:ascii="Times New Roman" w:hAnsi="Times New Roman"/>
          <w:bCs/>
          <w:i/>
          <w:sz w:val="22"/>
          <w:szCs w:val="22"/>
        </w:rPr>
        <w:t>P</w:t>
      </w:r>
      <w:r w:rsidRPr="005D1BF8">
        <w:rPr>
          <w:rFonts w:ascii="Times New Roman" w:hAnsi="Times New Roman"/>
          <w:bCs/>
          <w:sz w:val="22"/>
          <w:szCs w:val="22"/>
        </w:rPr>
        <w:t xml:space="preserve">=0.5978)]. There were no meaningful differences between patients treated with </w:t>
      </w:r>
      <w:r w:rsidR="00606C30" w:rsidRPr="005D1BF8">
        <w:rPr>
          <w:rFonts w:ascii="Times New Roman" w:hAnsi="Times New Roman"/>
          <w:bCs/>
          <w:sz w:val="22"/>
          <w:szCs w:val="22"/>
        </w:rPr>
        <w:t>ORKAMBI</w:t>
      </w:r>
      <w:r w:rsidR="002C12D4" w:rsidRPr="005D1BF8">
        <w:rPr>
          <w:rFonts w:ascii="Times New Roman" w:hAnsi="Times New Roman"/>
          <w:bCs/>
          <w:sz w:val="22"/>
          <w:szCs w:val="22"/>
        </w:rPr>
        <w:t> </w:t>
      </w:r>
      <w:r w:rsidR="002C12D4" w:rsidRPr="005D1BF8">
        <w:rPr>
          <w:rFonts w:ascii="Times New Roman" w:hAnsi="Times New Roman"/>
          <w:sz w:val="22"/>
          <w:szCs w:val="22"/>
        </w:rPr>
        <w:t>200/125</w:t>
      </w:r>
      <w:r w:rsidRPr="00E96CAB">
        <w:rPr>
          <w:rFonts w:ascii="Times New Roman" w:hAnsi="Times New Roman"/>
          <w:bCs/>
          <w:sz w:val="22"/>
          <w:szCs w:val="22"/>
        </w:rPr>
        <w:t xml:space="preserve"> compared to placebo for the following secondary endpoints: relative change in </w:t>
      </w:r>
      <w:r w:rsidR="003711C5" w:rsidRPr="00E96CAB">
        <w:rPr>
          <w:rFonts w:ascii="Times New Roman" w:hAnsi="Times New Roman"/>
          <w:bCs/>
          <w:sz w:val="22"/>
          <w:szCs w:val="22"/>
        </w:rPr>
        <w:t>pp</w:t>
      </w:r>
      <w:r w:rsidRPr="00E96CAB">
        <w:rPr>
          <w:rFonts w:ascii="Times New Roman" w:hAnsi="Times New Roman"/>
          <w:bCs/>
          <w:sz w:val="22"/>
          <w:szCs w:val="22"/>
        </w:rPr>
        <w:t>FEV</w:t>
      </w:r>
      <w:r w:rsidRPr="00E96CAB">
        <w:rPr>
          <w:rFonts w:ascii="Times New Roman" w:hAnsi="Times New Roman"/>
          <w:bCs/>
          <w:sz w:val="22"/>
          <w:szCs w:val="22"/>
          <w:vertAlign w:val="subscript"/>
        </w:rPr>
        <w:t>1</w:t>
      </w:r>
      <w:r w:rsidRPr="00E96CAB">
        <w:rPr>
          <w:rFonts w:ascii="Times New Roman" w:hAnsi="Times New Roman"/>
          <w:bCs/>
          <w:sz w:val="22"/>
          <w:szCs w:val="22"/>
        </w:rPr>
        <w:t>, BMI, and weight; however, there was a nominally statistically significant change in the CF respiratory symptom score.</w:t>
      </w:r>
    </w:p>
    <w:p w:rsidR="00980222" w:rsidRDefault="00980222" w:rsidP="00980222">
      <w:pPr>
        <w:autoSpaceDE w:val="0"/>
        <w:autoSpaceDN w:val="0"/>
        <w:adjustRightInd w:val="0"/>
        <w:rPr>
          <w:szCs w:val="22"/>
        </w:rPr>
      </w:pPr>
    </w:p>
    <w:p w:rsidR="00206564" w:rsidRDefault="00206564" w:rsidP="00980222">
      <w:pPr>
        <w:autoSpaceDE w:val="0"/>
        <w:autoSpaceDN w:val="0"/>
        <w:adjustRightInd w:val="0"/>
        <w:rPr>
          <w:szCs w:val="22"/>
        </w:rPr>
      </w:pPr>
    </w:p>
    <w:p w:rsidR="00206564" w:rsidRPr="00E96CAB" w:rsidRDefault="00206564" w:rsidP="00980222">
      <w:pPr>
        <w:autoSpaceDE w:val="0"/>
        <w:autoSpaceDN w:val="0"/>
        <w:adjustRightInd w:val="0"/>
        <w:rPr>
          <w:szCs w:val="22"/>
        </w:rPr>
      </w:pPr>
    </w:p>
    <w:p w:rsidR="00980222" w:rsidRPr="00E96CAB" w:rsidRDefault="00980222" w:rsidP="00980222">
      <w:pPr>
        <w:pStyle w:val="MediumGrid21"/>
        <w:rPr>
          <w:rFonts w:ascii="Times New Roman" w:hAnsi="Times New Roman"/>
          <w:i/>
        </w:rPr>
      </w:pPr>
      <w:r w:rsidRPr="00E96CAB">
        <w:rPr>
          <w:rFonts w:ascii="Times New Roman" w:hAnsi="Times New Roman"/>
          <w:i/>
        </w:rPr>
        <w:lastRenderedPageBreak/>
        <w:t>Long</w:t>
      </w:r>
      <w:r w:rsidRPr="00E96CAB">
        <w:rPr>
          <w:rFonts w:ascii="Times New Roman" w:hAnsi="Times New Roman"/>
          <w:i/>
        </w:rPr>
        <w:noBreakHyphen/>
        <w:t>term Safety and Efficacy Rollover Trial</w:t>
      </w:r>
    </w:p>
    <w:p w:rsidR="003D249C" w:rsidRDefault="00980222" w:rsidP="00455C95">
      <w:pPr>
        <w:pStyle w:val="ListParagraph"/>
        <w:spacing w:after="0" w:line="240" w:lineRule="auto"/>
        <w:ind w:left="0"/>
        <w:contextualSpacing w:val="0"/>
        <w:rPr>
          <w:rFonts w:ascii="Times New Roman" w:hAnsi="Times New Roman"/>
          <w:bCs/>
        </w:rPr>
      </w:pPr>
      <w:r w:rsidRPr="00E96CAB">
        <w:rPr>
          <w:rFonts w:ascii="Times New Roman" w:hAnsi="Times New Roman"/>
          <w:bCs/>
        </w:rPr>
        <w:t>Trial 4 is a Phase 3, parallel</w:t>
      </w:r>
      <w:r w:rsidRPr="00E96CAB">
        <w:rPr>
          <w:rFonts w:ascii="Times New Roman" w:hAnsi="Times New Roman"/>
          <w:bCs/>
        </w:rPr>
        <w:noBreakHyphen/>
        <w:t xml:space="preserve">group, multicentre, rollover study in patients with </w:t>
      </w:r>
      <w:proofErr w:type="gramStart"/>
      <w:r w:rsidRPr="00E96CAB">
        <w:rPr>
          <w:rFonts w:ascii="Times New Roman" w:hAnsi="Times New Roman"/>
          <w:bCs/>
        </w:rPr>
        <w:t xml:space="preserve">CF, </w:t>
      </w:r>
      <w:r w:rsidR="009105B7" w:rsidRPr="00E96CAB">
        <w:rPr>
          <w:rFonts w:ascii="Times New Roman" w:hAnsi="Times New Roman"/>
          <w:bCs/>
        </w:rPr>
        <w:t>that</w:t>
      </w:r>
      <w:proofErr w:type="gramEnd"/>
      <w:r w:rsidR="009105B7" w:rsidRPr="00BF4243">
        <w:rPr>
          <w:rFonts w:ascii="Times New Roman" w:hAnsi="Times New Roman"/>
          <w:bCs/>
        </w:rPr>
        <w:t xml:space="preserve"> </w:t>
      </w:r>
      <w:r w:rsidRPr="00E96CAB">
        <w:rPr>
          <w:rFonts w:ascii="Times New Roman" w:hAnsi="Times New Roman"/>
          <w:bCs/>
        </w:rPr>
        <w:t xml:space="preserve">includes patients from Trial 1 and Trial 2. Of the 1108 patients who received any treatment in Trial 1 or Trial 2, </w:t>
      </w:r>
      <w:r w:rsidR="009105B7" w:rsidRPr="00E96CAB">
        <w:rPr>
          <w:rFonts w:ascii="Times New Roman" w:hAnsi="Times New Roman"/>
          <w:bCs/>
        </w:rPr>
        <w:t xml:space="preserve">1029 </w:t>
      </w:r>
      <w:r w:rsidRPr="00E96CAB">
        <w:rPr>
          <w:rFonts w:ascii="Times New Roman" w:hAnsi="Times New Roman"/>
          <w:bCs/>
        </w:rPr>
        <w:t>(93%) enrolled and received active treatment in Trial 4. This 96</w:t>
      </w:r>
      <w:r w:rsidRPr="00E96CAB">
        <w:rPr>
          <w:rFonts w:ascii="Times New Roman" w:hAnsi="Times New Roman"/>
          <w:bCs/>
        </w:rPr>
        <w:noBreakHyphen/>
        <w:t>week trial is designed to evaluate the safety and efficacy of long</w:t>
      </w:r>
      <w:r w:rsidRPr="00E96CAB">
        <w:rPr>
          <w:rFonts w:ascii="Times New Roman" w:hAnsi="Times New Roman"/>
          <w:bCs/>
        </w:rPr>
        <w:noBreakHyphen/>
        <w:t xml:space="preserve">term treatment of </w:t>
      </w:r>
      <w:r w:rsidR="00606C30" w:rsidRPr="00E96CAB">
        <w:rPr>
          <w:rFonts w:ascii="Times New Roman" w:hAnsi="Times New Roman"/>
          <w:bCs/>
        </w:rPr>
        <w:t>ORKAMBI</w:t>
      </w:r>
      <w:r w:rsidR="002C12D4">
        <w:rPr>
          <w:rFonts w:ascii="Times New Roman" w:hAnsi="Times New Roman"/>
          <w:bCs/>
        </w:rPr>
        <w:t> </w:t>
      </w:r>
      <w:r w:rsidR="002C12D4" w:rsidRPr="005D1BF8">
        <w:rPr>
          <w:rFonts w:ascii="Times New Roman" w:hAnsi="Times New Roman"/>
        </w:rPr>
        <w:t xml:space="preserve">200/125 </w:t>
      </w:r>
      <w:r w:rsidRPr="005D1BF8">
        <w:rPr>
          <w:rFonts w:ascii="Times New Roman" w:hAnsi="Times New Roman"/>
          <w:bCs/>
        </w:rPr>
        <w:t>and is ongoing.</w:t>
      </w:r>
    </w:p>
    <w:p w:rsidR="00980222" w:rsidRPr="005D1BF8" w:rsidRDefault="00980222" w:rsidP="00980222">
      <w:pPr>
        <w:pStyle w:val="Body"/>
        <w:ind w:firstLine="0"/>
        <w:jc w:val="left"/>
        <w:rPr>
          <w:rFonts w:ascii="Times New Roman" w:hAnsi="Times New Roman"/>
          <w:bCs/>
          <w:sz w:val="22"/>
          <w:szCs w:val="22"/>
        </w:rPr>
      </w:pPr>
    </w:p>
    <w:p w:rsidR="007878BE" w:rsidRPr="00E96CAB" w:rsidRDefault="00980222" w:rsidP="007878BE">
      <w:pPr>
        <w:pStyle w:val="Body"/>
        <w:ind w:firstLine="0"/>
        <w:jc w:val="left"/>
        <w:rPr>
          <w:rFonts w:ascii="Times New Roman" w:hAnsi="Times New Roman"/>
          <w:bCs/>
          <w:sz w:val="22"/>
          <w:szCs w:val="22"/>
          <w:lang w:val="en-GB"/>
        </w:rPr>
      </w:pPr>
      <w:r w:rsidRPr="005D1BF8">
        <w:rPr>
          <w:rFonts w:ascii="Times New Roman" w:hAnsi="Times New Roman"/>
          <w:bCs/>
          <w:sz w:val="22"/>
          <w:szCs w:val="22"/>
        </w:rPr>
        <w:t xml:space="preserve">An </w:t>
      </w:r>
      <w:r w:rsidR="00DD441B" w:rsidRPr="005D1BF8">
        <w:rPr>
          <w:rFonts w:ascii="Times New Roman" w:hAnsi="Times New Roman"/>
          <w:bCs/>
          <w:sz w:val="22"/>
          <w:szCs w:val="22"/>
        </w:rPr>
        <w:t>interim</w:t>
      </w:r>
      <w:r w:rsidRPr="005D1BF8">
        <w:rPr>
          <w:rFonts w:ascii="Times New Roman" w:hAnsi="Times New Roman"/>
          <w:bCs/>
          <w:sz w:val="22"/>
          <w:szCs w:val="22"/>
        </w:rPr>
        <w:t xml:space="preserve"> efficacy analysis was performed after </w:t>
      </w:r>
      <w:r w:rsidR="009105B7" w:rsidRPr="005D1BF8">
        <w:rPr>
          <w:rFonts w:ascii="Times New Roman" w:hAnsi="Times New Roman"/>
          <w:bCs/>
          <w:sz w:val="22"/>
          <w:szCs w:val="22"/>
        </w:rPr>
        <w:t>all</w:t>
      </w:r>
      <w:r w:rsidRPr="005D1BF8">
        <w:rPr>
          <w:rFonts w:ascii="Times New Roman" w:hAnsi="Times New Roman"/>
          <w:bCs/>
          <w:sz w:val="22"/>
          <w:szCs w:val="22"/>
        </w:rPr>
        <w:t xml:space="preserve"> patients who </w:t>
      </w:r>
      <w:r w:rsidR="009105B7" w:rsidRPr="005D1BF8">
        <w:rPr>
          <w:rFonts w:ascii="Times New Roman" w:hAnsi="Times New Roman"/>
          <w:bCs/>
          <w:sz w:val="22"/>
          <w:szCs w:val="22"/>
        </w:rPr>
        <w:t xml:space="preserve">remained in Trial 4 </w:t>
      </w:r>
      <w:r w:rsidRPr="005D1BF8">
        <w:rPr>
          <w:rFonts w:ascii="Times New Roman" w:hAnsi="Times New Roman"/>
          <w:bCs/>
          <w:sz w:val="22"/>
          <w:szCs w:val="22"/>
        </w:rPr>
        <w:t>had completed the Week 24 Visit in Trial 4 (up to 48 weeks of treatment). The improvements in ppFEV</w:t>
      </w:r>
      <w:r w:rsidRPr="005D1BF8">
        <w:rPr>
          <w:rFonts w:ascii="Times New Roman" w:hAnsi="Times New Roman"/>
          <w:bCs/>
          <w:sz w:val="22"/>
          <w:szCs w:val="22"/>
          <w:vertAlign w:val="subscript"/>
        </w:rPr>
        <w:t>1</w:t>
      </w:r>
      <w:r w:rsidRPr="005D1BF8">
        <w:rPr>
          <w:rFonts w:ascii="Times New Roman" w:hAnsi="Times New Roman"/>
          <w:bCs/>
          <w:sz w:val="22"/>
          <w:szCs w:val="22"/>
        </w:rPr>
        <w:t xml:space="preserve"> observed in patients treated with </w:t>
      </w:r>
      <w:r w:rsidR="00606C30" w:rsidRPr="005D1BF8">
        <w:rPr>
          <w:rFonts w:ascii="Times New Roman" w:hAnsi="Times New Roman"/>
          <w:bCs/>
          <w:sz w:val="22"/>
          <w:szCs w:val="22"/>
        </w:rPr>
        <w:t>ORKAMBI</w:t>
      </w:r>
      <w:r w:rsidR="00C63417" w:rsidRPr="005D1BF8">
        <w:rPr>
          <w:rFonts w:ascii="Times New Roman" w:hAnsi="Times New Roman"/>
          <w:bCs/>
          <w:sz w:val="22"/>
          <w:szCs w:val="22"/>
        </w:rPr>
        <w:t> </w:t>
      </w:r>
      <w:r w:rsidR="00C63417" w:rsidRPr="005D1BF8">
        <w:rPr>
          <w:rFonts w:ascii="Times New Roman" w:hAnsi="Times New Roman"/>
          <w:sz w:val="22"/>
          <w:szCs w:val="22"/>
        </w:rPr>
        <w:t xml:space="preserve">200/125 </w:t>
      </w:r>
      <w:r w:rsidRPr="00E96CAB">
        <w:rPr>
          <w:rFonts w:ascii="Times New Roman" w:hAnsi="Times New Roman"/>
          <w:bCs/>
          <w:sz w:val="22"/>
          <w:szCs w:val="22"/>
        </w:rPr>
        <w:t xml:space="preserve">in Trial 1 or Trial 2 were sustained in Trial 4 (Figure </w:t>
      </w:r>
      <w:r w:rsidR="003711C5" w:rsidRPr="00E96CAB">
        <w:rPr>
          <w:rFonts w:ascii="Times New Roman" w:hAnsi="Times New Roman"/>
          <w:bCs/>
          <w:sz w:val="22"/>
          <w:szCs w:val="22"/>
        </w:rPr>
        <w:t>3</w:t>
      </w:r>
      <w:r w:rsidRPr="00E96CAB">
        <w:rPr>
          <w:rFonts w:ascii="Times New Roman" w:hAnsi="Times New Roman"/>
          <w:bCs/>
          <w:sz w:val="22"/>
          <w:szCs w:val="22"/>
        </w:rPr>
        <w:t>). At Week 24 in Trial 4, improvements in ppFEV</w:t>
      </w:r>
      <w:r w:rsidRPr="00E96CAB">
        <w:rPr>
          <w:rFonts w:ascii="Times New Roman" w:hAnsi="Times New Roman"/>
          <w:bCs/>
          <w:sz w:val="22"/>
          <w:szCs w:val="22"/>
          <w:vertAlign w:val="subscript"/>
        </w:rPr>
        <w:t>1</w:t>
      </w:r>
      <w:r w:rsidRPr="00E96CAB">
        <w:rPr>
          <w:rFonts w:ascii="Times New Roman" w:hAnsi="Times New Roman"/>
          <w:bCs/>
          <w:sz w:val="22"/>
          <w:szCs w:val="22"/>
        </w:rPr>
        <w:t xml:space="preserve"> were 2.6 percentage points </w:t>
      </w:r>
      <w:r w:rsidR="0097556C" w:rsidRPr="00E96CAB">
        <w:rPr>
          <w:rFonts w:ascii="Times New Roman" w:hAnsi="Times New Roman"/>
          <w:bCs/>
          <w:sz w:val="22"/>
          <w:szCs w:val="22"/>
        </w:rPr>
        <w:t>(</w:t>
      </w:r>
      <w:r w:rsidR="0097556C" w:rsidRPr="00E96CAB">
        <w:rPr>
          <w:rFonts w:ascii="Times New Roman" w:hAnsi="Times New Roman"/>
          <w:bCs/>
          <w:i/>
          <w:sz w:val="22"/>
          <w:szCs w:val="22"/>
        </w:rPr>
        <w:t>P</w:t>
      </w:r>
      <w:r w:rsidR="0097556C" w:rsidRPr="00E96CAB">
        <w:rPr>
          <w:rFonts w:ascii="Times New Roman" w:hAnsi="Times New Roman"/>
          <w:bCs/>
          <w:sz w:val="22"/>
          <w:szCs w:val="22"/>
        </w:rPr>
        <w:t xml:space="preserve">&lt;0.0001) </w:t>
      </w:r>
      <w:r w:rsidRPr="00E96CAB">
        <w:rPr>
          <w:rFonts w:ascii="Times New Roman" w:hAnsi="Times New Roman"/>
          <w:bCs/>
          <w:sz w:val="22"/>
          <w:szCs w:val="22"/>
        </w:rPr>
        <w:t>absolute and 4.</w:t>
      </w:r>
      <w:r w:rsidR="007878BE" w:rsidRPr="00E96CAB">
        <w:rPr>
          <w:rFonts w:ascii="Times New Roman" w:hAnsi="Times New Roman"/>
          <w:bCs/>
          <w:sz w:val="22"/>
          <w:szCs w:val="22"/>
        </w:rPr>
        <w:t>7</w:t>
      </w:r>
      <w:r w:rsidRPr="00E96CAB">
        <w:rPr>
          <w:rFonts w:ascii="Times New Roman" w:hAnsi="Times New Roman"/>
          <w:bCs/>
          <w:sz w:val="22"/>
          <w:szCs w:val="22"/>
        </w:rPr>
        <w:t>%</w:t>
      </w:r>
      <w:r w:rsidR="0097556C" w:rsidRPr="00E96CAB">
        <w:rPr>
          <w:rFonts w:ascii="Times New Roman" w:hAnsi="Times New Roman"/>
          <w:bCs/>
          <w:sz w:val="22"/>
          <w:szCs w:val="22"/>
        </w:rPr>
        <w:t xml:space="preserve"> (</w:t>
      </w:r>
      <w:r w:rsidR="0097556C" w:rsidRPr="00E96CAB">
        <w:rPr>
          <w:rFonts w:ascii="Times New Roman" w:hAnsi="Times New Roman"/>
          <w:bCs/>
          <w:i/>
          <w:sz w:val="22"/>
          <w:szCs w:val="22"/>
        </w:rPr>
        <w:t>P</w:t>
      </w:r>
      <w:r w:rsidR="0097556C" w:rsidRPr="00E96CAB">
        <w:rPr>
          <w:rFonts w:ascii="Times New Roman" w:hAnsi="Times New Roman"/>
          <w:bCs/>
          <w:sz w:val="22"/>
          <w:szCs w:val="22"/>
        </w:rPr>
        <w:t xml:space="preserve">&lt;0.0001) </w:t>
      </w:r>
      <w:r w:rsidRPr="00E96CAB">
        <w:rPr>
          <w:rFonts w:ascii="Times New Roman" w:hAnsi="Times New Roman"/>
          <w:bCs/>
          <w:sz w:val="22"/>
          <w:szCs w:val="22"/>
        </w:rPr>
        <w:t xml:space="preserve">relative change compared to baseline in Trial 1 or Trial 2. Patients treated with </w:t>
      </w:r>
      <w:r w:rsidR="00606C30" w:rsidRPr="00E96CAB">
        <w:rPr>
          <w:rFonts w:ascii="Times New Roman" w:hAnsi="Times New Roman"/>
          <w:bCs/>
          <w:sz w:val="22"/>
          <w:szCs w:val="22"/>
        </w:rPr>
        <w:t>ORKAMBI</w:t>
      </w:r>
      <w:r w:rsidR="00C63417">
        <w:rPr>
          <w:rFonts w:ascii="Times New Roman" w:hAnsi="Times New Roman"/>
          <w:bCs/>
          <w:sz w:val="22"/>
          <w:szCs w:val="22"/>
        </w:rPr>
        <w:t> </w:t>
      </w:r>
      <w:r w:rsidR="00C63417" w:rsidRPr="005D1BF8">
        <w:rPr>
          <w:rFonts w:ascii="Times New Roman" w:hAnsi="Times New Roman"/>
          <w:sz w:val="22"/>
          <w:szCs w:val="22"/>
        </w:rPr>
        <w:t xml:space="preserve">200/125 </w:t>
      </w:r>
      <w:r w:rsidRPr="005D1BF8">
        <w:rPr>
          <w:rFonts w:ascii="Times New Roman" w:hAnsi="Times New Roman"/>
          <w:bCs/>
          <w:sz w:val="22"/>
          <w:szCs w:val="22"/>
        </w:rPr>
        <w:t>for</w:t>
      </w:r>
      <w:r w:rsidRPr="00E96CAB">
        <w:rPr>
          <w:rFonts w:ascii="Times New Roman" w:hAnsi="Times New Roman"/>
          <w:bCs/>
          <w:sz w:val="22"/>
          <w:szCs w:val="22"/>
        </w:rPr>
        <w:t xml:space="preserve"> 24 weeks in Trial 1 or Trial 2 continued to show improvements in BMI after an additional 24 weeks.</w:t>
      </w:r>
      <w:r w:rsidR="007878BE" w:rsidRPr="00E96CAB">
        <w:rPr>
          <w:bCs/>
          <w:sz w:val="22"/>
          <w:szCs w:val="22"/>
        </w:rPr>
        <w:t xml:space="preserve"> </w:t>
      </w:r>
      <w:r w:rsidR="007878BE" w:rsidRPr="00E96CAB">
        <w:rPr>
          <w:rFonts w:ascii="Times New Roman" w:hAnsi="Times New Roman"/>
          <w:bCs/>
          <w:sz w:val="22"/>
          <w:szCs w:val="22"/>
        </w:rPr>
        <w:t xml:space="preserve">The mean absolute change in BMI from baseline in </w:t>
      </w:r>
      <w:r w:rsidR="00816F5E" w:rsidRPr="00E96CAB">
        <w:rPr>
          <w:rFonts w:ascii="Times New Roman" w:hAnsi="Times New Roman"/>
          <w:bCs/>
          <w:sz w:val="22"/>
          <w:szCs w:val="22"/>
        </w:rPr>
        <w:t>Trial</w:t>
      </w:r>
      <w:r w:rsidR="007878BE" w:rsidRPr="00E96CAB">
        <w:rPr>
          <w:rFonts w:ascii="Times New Roman" w:hAnsi="Times New Roman"/>
          <w:bCs/>
          <w:sz w:val="22"/>
          <w:szCs w:val="22"/>
        </w:rPr>
        <w:t xml:space="preserve"> 1 or </w:t>
      </w:r>
      <w:r w:rsidR="00816F5E" w:rsidRPr="00E96CAB">
        <w:rPr>
          <w:rFonts w:ascii="Times New Roman" w:hAnsi="Times New Roman"/>
          <w:bCs/>
          <w:sz w:val="22"/>
          <w:szCs w:val="22"/>
        </w:rPr>
        <w:t>Trial</w:t>
      </w:r>
      <w:r w:rsidR="007878BE" w:rsidRPr="00E96CAB">
        <w:rPr>
          <w:rFonts w:ascii="Times New Roman" w:hAnsi="Times New Roman"/>
          <w:bCs/>
          <w:sz w:val="22"/>
          <w:szCs w:val="22"/>
        </w:rPr>
        <w:t xml:space="preserve"> 2 at </w:t>
      </w:r>
      <w:r w:rsidR="00AD4354" w:rsidRPr="00E96CAB">
        <w:rPr>
          <w:rFonts w:ascii="Times New Roman" w:hAnsi="Times New Roman"/>
          <w:bCs/>
          <w:sz w:val="22"/>
          <w:szCs w:val="22"/>
        </w:rPr>
        <w:t>W</w:t>
      </w:r>
      <w:r w:rsidR="007878BE" w:rsidRPr="00E96CAB">
        <w:rPr>
          <w:rFonts w:ascii="Times New Roman" w:hAnsi="Times New Roman"/>
          <w:bCs/>
          <w:sz w:val="22"/>
          <w:szCs w:val="22"/>
        </w:rPr>
        <w:t xml:space="preserve">eek 24 in </w:t>
      </w:r>
      <w:r w:rsidR="00816F5E" w:rsidRPr="00E96CAB">
        <w:rPr>
          <w:rFonts w:ascii="Times New Roman" w:hAnsi="Times New Roman"/>
          <w:bCs/>
          <w:sz w:val="22"/>
          <w:szCs w:val="22"/>
        </w:rPr>
        <w:t>Trial</w:t>
      </w:r>
      <w:r w:rsidR="007878BE" w:rsidRPr="00E96CAB">
        <w:rPr>
          <w:rFonts w:ascii="Times New Roman" w:hAnsi="Times New Roman"/>
          <w:bCs/>
          <w:sz w:val="22"/>
          <w:szCs w:val="22"/>
        </w:rPr>
        <w:t xml:space="preserve"> 4 was 0.56 kg/m</w:t>
      </w:r>
      <w:r w:rsidR="007878BE" w:rsidRPr="00E96CAB">
        <w:rPr>
          <w:rFonts w:ascii="Times New Roman" w:hAnsi="Times New Roman"/>
          <w:bCs/>
          <w:sz w:val="22"/>
          <w:szCs w:val="22"/>
          <w:vertAlign w:val="superscript"/>
        </w:rPr>
        <w:t>2</w:t>
      </w:r>
      <w:r w:rsidR="007878BE" w:rsidRPr="00E96CAB">
        <w:rPr>
          <w:rFonts w:ascii="Times New Roman" w:hAnsi="Times New Roman"/>
          <w:bCs/>
          <w:sz w:val="22"/>
          <w:szCs w:val="22"/>
        </w:rPr>
        <w:t xml:space="preserve"> (</w:t>
      </w:r>
      <w:r w:rsidR="007878BE" w:rsidRPr="00E96CAB">
        <w:rPr>
          <w:rFonts w:ascii="Times New Roman" w:hAnsi="Times New Roman"/>
          <w:bCs/>
          <w:i/>
          <w:sz w:val="22"/>
          <w:szCs w:val="22"/>
        </w:rPr>
        <w:t>P</w:t>
      </w:r>
      <w:r w:rsidR="007878BE" w:rsidRPr="00E96CAB">
        <w:rPr>
          <w:rFonts w:ascii="Times New Roman" w:hAnsi="Times New Roman"/>
          <w:bCs/>
          <w:sz w:val="22"/>
          <w:szCs w:val="22"/>
        </w:rPr>
        <w:t>&lt;0.0001).</w:t>
      </w:r>
    </w:p>
    <w:p w:rsidR="00980222" w:rsidRPr="00E96CAB" w:rsidRDefault="00980222" w:rsidP="00980222">
      <w:pPr>
        <w:pStyle w:val="Body"/>
        <w:ind w:firstLine="0"/>
        <w:jc w:val="left"/>
        <w:rPr>
          <w:rFonts w:ascii="Times New Roman" w:hAnsi="Times New Roman"/>
          <w:bCs/>
          <w:sz w:val="22"/>
          <w:szCs w:val="22"/>
        </w:rPr>
      </w:pPr>
    </w:p>
    <w:p w:rsidR="008A0007" w:rsidRPr="00E96CAB" w:rsidRDefault="00980222" w:rsidP="008A0007">
      <w:pPr>
        <w:pStyle w:val="Body"/>
        <w:ind w:firstLine="0"/>
        <w:contextualSpacing/>
        <w:jc w:val="left"/>
        <w:rPr>
          <w:rFonts w:ascii="Times New Roman" w:hAnsi="Times New Roman"/>
          <w:bCs/>
          <w:sz w:val="22"/>
          <w:szCs w:val="22"/>
        </w:rPr>
      </w:pPr>
      <w:r w:rsidRPr="00E96CAB">
        <w:rPr>
          <w:rFonts w:ascii="Times New Roman" w:hAnsi="Times New Roman"/>
          <w:bCs/>
          <w:sz w:val="22"/>
          <w:szCs w:val="22"/>
        </w:rPr>
        <w:t>In addition, for patients treated with placebo for 24 weeks in Trial 1 or Trial 2, the magnitude of improvement in ppFEV</w:t>
      </w:r>
      <w:r w:rsidRPr="00E96CAB">
        <w:rPr>
          <w:rFonts w:ascii="Times New Roman" w:hAnsi="Times New Roman"/>
          <w:bCs/>
          <w:sz w:val="22"/>
          <w:szCs w:val="22"/>
          <w:vertAlign w:val="subscript"/>
        </w:rPr>
        <w:t>1</w:t>
      </w:r>
      <w:r w:rsidRPr="00E96CAB">
        <w:rPr>
          <w:rFonts w:ascii="Times New Roman" w:hAnsi="Times New Roman"/>
          <w:bCs/>
          <w:sz w:val="22"/>
          <w:szCs w:val="22"/>
        </w:rPr>
        <w:t xml:space="preserve"> at Day 15 of </w:t>
      </w:r>
      <w:r w:rsidR="00606C30" w:rsidRPr="00E96CAB">
        <w:rPr>
          <w:rFonts w:ascii="Times New Roman" w:hAnsi="Times New Roman"/>
          <w:bCs/>
          <w:sz w:val="22"/>
          <w:szCs w:val="22"/>
        </w:rPr>
        <w:t>ORKAMBI</w:t>
      </w:r>
      <w:r w:rsidR="00C63417">
        <w:rPr>
          <w:rFonts w:ascii="Times New Roman" w:hAnsi="Times New Roman"/>
          <w:bCs/>
          <w:sz w:val="22"/>
          <w:szCs w:val="22"/>
        </w:rPr>
        <w:t> </w:t>
      </w:r>
      <w:r w:rsidR="00C63417" w:rsidRPr="005D1BF8">
        <w:rPr>
          <w:rFonts w:ascii="Times New Roman" w:hAnsi="Times New Roman"/>
          <w:sz w:val="22"/>
          <w:szCs w:val="22"/>
        </w:rPr>
        <w:t xml:space="preserve">200/125 </w:t>
      </w:r>
      <w:r w:rsidR="00517E80" w:rsidRPr="005D1BF8">
        <w:rPr>
          <w:rFonts w:ascii="Times New Roman" w:hAnsi="Times New Roman"/>
          <w:bCs/>
          <w:sz w:val="22"/>
          <w:szCs w:val="22"/>
        </w:rPr>
        <w:t>(</w:t>
      </w:r>
      <w:proofErr w:type="spellStart"/>
      <w:r w:rsidR="00517E80" w:rsidRPr="005D1BF8">
        <w:rPr>
          <w:rFonts w:ascii="Times New Roman" w:hAnsi="Times New Roman"/>
          <w:bCs/>
          <w:sz w:val="22"/>
          <w:szCs w:val="22"/>
        </w:rPr>
        <w:t>lumacaftor</w:t>
      </w:r>
      <w:proofErr w:type="spellEnd"/>
      <w:r w:rsidR="00517E80" w:rsidRPr="00E96CAB">
        <w:rPr>
          <w:rFonts w:ascii="Times New Roman" w:hAnsi="Times New Roman"/>
          <w:bCs/>
          <w:sz w:val="22"/>
          <w:szCs w:val="22"/>
        </w:rPr>
        <w:t xml:space="preserve"> 400 mg/</w:t>
      </w:r>
      <w:proofErr w:type="spellStart"/>
      <w:r w:rsidR="00517E80" w:rsidRPr="00E96CAB">
        <w:rPr>
          <w:rFonts w:ascii="Times New Roman" w:hAnsi="Times New Roman"/>
          <w:bCs/>
          <w:sz w:val="22"/>
          <w:szCs w:val="22"/>
        </w:rPr>
        <w:t>ivacaftor</w:t>
      </w:r>
      <w:proofErr w:type="spellEnd"/>
      <w:r w:rsidR="00517E80" w:rsidRPr="00E96CAB">
        <w:rPr>
          <w:rFonts w:ascii="Times New Roman" w:hAnsi="Times New Roman"/>
          <w:bCs/>
          <w:sz w:val="22"/>
          <w:szCs w:val="22"/>
        </w:rPr>
        <w:t xml:space="preserve"> 250 mg q12h) </w:t>
      </w:r>
      <w:r w:rsidRPr="00E96CAB">
        <w:rPr>
          <w:rFonts w:ascii="Times New Roman" w:hAnsi="Times New Roman"/>
          <w:bCs/>
          <w:sz w:val="22"/>
          <w:szCs w:val="22"/>
        </w:rPr>
        <w:t xml:space="preserve">treatment in Trial 4 (Figure </w:t>
      </w:r>
      <w:r w:rsidR="003711C5" w:rsidRPr="00E96CAB">
        <w:rPr>
          <w:rFonts w:ascii="Times New Roman" w:hAnsi="Times New Roman"/>
          <w:bCs/>
          <w:sz w:val="22"/>
          <w:szCs w:val="22"/>
        </w:rPr>
        <w:t>3</w:t>
      </w:r>
      <w:r w:rsidRPr="00E96CAB">
        <w:rPr>
          <w:rFonts w:ascii="Times New Roman" w:hAnsi="Times New Roman"/>
          <w:bCs/>
          <w:sz w:val="22"/>
          <w:szCs w:val="22"/>
        </w:rPr>
        <w:t xml:space="preserve">), </w:t>
      </w:r>
      <w:r w:rsidR="00517E80" w:rsidRPr="00E96CAB">
        <w:rPr>
          <w:rFonts w:ascii="Times New Roman" w:hAnsi="Times New Roman"/>
          <w:bCs/>
          <w:sz w:val="22"/>
          <w:szCs w:val="22"/>
        </w:rPr>
        <w:t xml:space="preserve">3.0 </w:t>
      </w:r>
      <w:r w:rsidRPr="00E96CAB">
        <w:rPr>
          <w:rFonts w:ascii="Times New Roman" w:hAnsi="Times New Roman"/>
          <w:bCs/>
          <w:sz w:val="22"/>
          <w:szCs w:val="22"/>
        </w:rPr>
        <w:t xml:space="preserve">percentage points </w:t>
      </w:r>
      <w:r w:rsidR="0097556C" w:rsidRPr="00E96CAB">
        <w:rPr>
          <w:rFonts w:ascii="Times New Roman" w:hAnsi="Times New Roman"/>
          <w:bCs/>
          <w:sz w:val="22"/>
          <w:szCs w:val="22"/>
        </w:rPr>
        <w:t>(</w:t>
      </w:r>
      <w:r w:rsidR="0097556C" w:rsidRPr="00E96CAB">
        <w:rPr>
          <w:rFonts w:ascii="Times New Roman" w:hAnsi="Times New Roman"/>
          <w:bCs/>
          <w:i/>
          <w:sz w:val="22"/>
          <w:szCs w:val="22"/>
        </w:rPr>
        <w:t>P</w:t>
      </w:r>
      <w:r w:rsidR="0097556C" w:rsidRPr="00E96CAB">
        <w:rPr>
          <w:rFonts w:ascii="Times New Roman" w:hAnsi="Times New Roman"/>
          <w:bCs/>
          <w:sz w:val="22"/>
          <w:szCs w:val="22"/>
        </w:rPr>
        <w:t xml:space="preserve">&lt;0.0001) </w:t>
      </w:r>
      <w:r w:rsidRPr="00E96CAB">
        <w:rPr>
          <w:rFonts w:ascii="Times New Roman" w:hAnsi="Times New Roman"/>
          <w:bCs/>
          <w:sz w:val="22"/>
          <w:szCs w:val="22"/>
        </w:rPr>
        <w:t>absolute and 4.</w:t>
      </w:r>
      <w:r w:rsidR="00517E80" w:rsidRPr="00E96CAB">
        <w:rPr>
          <w:rFonts w:ascii="Times New Roman" w:hAnsi="Times New Roman"/>
          <w:bCs/>
          <w:sz w:val="22"/>
          <w:szCs w:val="22"/>
        </w:rPr>
        <w:t>8</w:t>
      </w:r>
      <w:r w:rsidRPr="00E96CAB">
        <w:rPr>
          <w:rFonts w:ascii="Times New Roman" w:hAnsi="Times New Roman"/>
          <w:bCs/>
          <w:sz w:val="22"/>
          <w:szCs w:val="22"/>
        </w:rPr>
        <w:t xml:space="preserve">% </w:t>
      </w:r>
      <w:r w:rsidR="0097556C" w:rsidRPr="00E96CAB">
        <w:rPr>
          <w:rFonts w:ascii="Times New Roman" w:hAnsi="Times New Roman"/>
          <w:bCs/>
          <w:sz w:val="22"/>
          <w:szCs w:val="22"/>
        </w:rPr>
        <w:t>(</w:t>
      </w:r>
      <w:r w:rsidR="0097556C" w:rsidRPr="00E96CAB">
        <w:rPr>
          <w:rFonts w:ascii="Times New Roman" w:hAnsi="Times New Roman"/>
          <w:bCs/>
          <w:i/>
          <w:sz w:val="22"/>
          <w:szCs w:val="22"/>
        </w:rPr>
        <w:t>P</w:t>
      </w:r>
      <w:r w:rsidR="0097556C" w:rsidRPr="00E96CAB">
        <w:rPr>
          <w:rFonts w:ascii="Times New Roman" w:hAnsi="Times New Roman"/>
          <w:bCs/>
          <w:sz w:val="22"/>
          <w:szCs w:val="22"/>
        </w:rPr>
        <w:t xml:space="preserve">&lt;0.0001) </w:t>
      </w:r>
      <w:r w:rsidRPr="00E96CAB">
        <w:rPr>
          <w:rFonts w:ascii="Times New Roman" w:hAnsi="Times New Roman"/>
          <w:bCs/>
          <w:sz w:val="22"/>
          <w:szCs w:val="22"/>
        </w:rPr>
        <w:t>relative change from Trial 4 baseline, was similar to the improvement observed in the active treatment groups in Trial 1 and Trial 2.</w:t>
      </w:r>
      <w:r w:rsidR="008A0007" w:rsidRPr="00E96CAB">
        <w:rPr>
          <w:rFonts w:ascii="Times New Roman" w:hAnsi="Times New Roman"/>
          <w:bCs/>
          <w:sz w:val="22"/>
          <w:szCs w:val="22"/>
        </w:rPr>
        <w:t xml:space="preserve"> The mean absolute change in BMI from baseline in Trial 1 or Trial 2 at week 24 in Trial 4 for patients initially treated with placebo then followed by </w:t>
      </w:r>
      <w:proofErr w:type="spellStart"/>
      <w:r w:rsidR="008A0007" w:rsidRPr="00E96CAB">
        <w:rPr>
          <w:rFonts w:ascii="Times New Roman" w:hAnsi="Times New Roman"/>
          <w:bCs/>
          <w:sz w:val="22"/>
          <w:szCs w:val="22"/>
        </w:rPr>
        <w:t>lumacaftor</w:t>
      </w:r>
      <w:proofErr w:type="spellEnd"/>
      <w:r w:rsidR="008A0007" w:rsidRPr="00E96CAB">
        <w:rPr>
          <w:rFonts w:ascii="Times New Roman" w:hAnsi="Times New Roman"/>
          <w:bCs/>
          <w:sz w:val="22"/>
          <w:szCs w:val="22"/>
        </w:rPr>
        <w:t>/</w:t>
      </w:r>
      <w:proofErr w:type="spellStart"/>
      <w:r w:rsidR="008A0007" w:rsidRPr="00E96CAB">
        <w:rPr>
          <w:rFonts w:ascii="Times New Roman" w:hAnsi="Times New Roman"/>
          <w:bCs/>
          <w:sz w:val="22"/>
          <w:szCs w:val="22"/>
        </w:rPr>
        <w:t>ivacaftor</w:t>
      </w:r>
      <w:proofErr w:type="spellEnd"/>
      <w:r w:rsidR="008A0007" w:rsidRPr="00E96CAB">
        <w:rPr>
          <w:rFonts w:ascii="Times New Roman" w:hAnsi="Times New Roman"/>
          <w:bCs/>
          <w:sz w:val="22"/>
          <w:szCs w:val="22"/>
        </w:rPr>
        <w:t xml:space="preserve"> (</w:t>
      </w:r>
      <w:proofErr w:type="spellStart"/>
      <w:r w:rsidR="008A0007" w:rsidRPr="00E96CAB">
        <w:rPr>
          <w:rFonts w:ascii="Times New Roman" w:hAnsi="Times New Roman"/>
          <w:bCs/>
          <w:sz w:val="22"/>
          <w:szCs w:val="22"/>
        </w:rPr>
        <w:t>lumacaftor</w:t>
      </w:r>
      <w:proofErr w:type="spellEnd"/>
      <w:r w:rsidR="008A0007" w:rsidRPr="00E96CAB">
        <w:rPr>
          <w:rFonts w:ascii="Times New Roman" w:hAnsi="Times New Roman"/>
          <w:bCs/>
          <w:sz w:val="22"/>
          <w:szCs w:val="22"/>
        </w:rPr>
        <w:t xml:space="preserve"> 400 mg/</w:t>
      </w:r>
      <w:proofErr w:type="spellStart"/>
      <w:r w:rsidR="008A0007" w:rsidRPr="00E96CAB">
        <w:rPr>
          <w:rFonts w:ascii="Times New Roman" w:hAnsi="Times New Roman"/>
          <w:bCs/>
          <w:sz w:val="22"/>
          <w:szCs w:val="22"/>
        </w:rPr>
        <w:t>ivacaftor</w:t>
      </w:r>
      <w:proofErr w:type="spellEnd"/>
      <w:r w:rsidR="008A0007" w:rsidRPr="00E96CAB">
        <w:rPr>
          <w:rFonts w:ascii="Times New Roman" w:hAnsi="Times New Roman"/>
          <w:bCs/>
          <w:sz w:val="22"/>
          <w:szCs w:val="22"/>
        </w:rPr>
        <w:t xml:space="preserve"> 250 mg q12h) was 0.34 kg/m</w:t>
      </w:r>
      <w:r w:rsidR="008A0007" w:rsidRPr="00E96CAB">
        <w:rPr>
          <w:rFonts w:ascii="Times New Roman" w:hAnsi="Times New Roman"/>
          <w:bCs/>
          <w:sz w:val="22"/>
          <w:szCs w:val="22"/>
          <w:vertAlign w:val="superscript"/>
        </w:rPr>
        <w:t>2</w:t>
      </w:r>
      <w:r w:rsidR="008A0007" w:rsidRPr="00E96CAB">
        <w:rPr>
          <w:rFonts w:ascii="Times New Roman" w:hAnsi="Times New Roman"/>
          <w:bCs/>
          <w:sz w:val="22"/>
          <w:szCs w:val="22"/>
        </w:rPr>
        <w:t xml:space="preserve"> (</w:t>
      </w:r>
      <w:r w:rsidR="008A0007" w:rsidRPr="00E96CAB">
        <w:rPr>
          <w:rFonts w:ascii="Times New Roman" w:hAnsi="Times New Roman"/>
          <w:bCs/>
          <w:i/>
          <w:sz w:val="22"/>
          <w:szCs w:val="22"/>
        </w:rPr>
        <w:t>P</w:t>
      </w:r>
      <w:r w:rsidR="008A0007" w:rsidRPr="00E96CAB">
        <w:rPr>
          <w:rFonts w:ascii="Times New Roman" w:hAnsi="Times New Roman"/>
          <w:bCs/>
          <w:sz w:val="22"/>
          <w:szCs w:val="22"/>
        </w:rPr>
        <w:t>&lt;0.0001).</w:t>
      </w:r>
    </w:p>
    <w:p w:rsidR="00980222" w:rsidRPr="00E96CAB" w:rsidRDefault="00980222" w:rsidP="00980222">
      <w:pPr>
        <w:autoSpaceDE w:val="0"/>
        <w:autoSpaceDN w:val="0"/>
        <w:adjustRightInd w:val="0"/>
        <w:rPr>
          <w:szCs w:val="22"/>
        </w:rPr>
      </w:pPr>
    </w:p>
    <w:p w:rsidR="00980222" w:rsidRPr="00E96CAB" w:rsidRDefault="00980222" w:rsidP="00980222">
      <w:pPr>
        <w:autoSpaceDE w:val="0"/>
        <w:autoSpaceDN w:val="0"/>
        <w:adjustRightInd w:val="0"/>
        <w:rPr>
          <w:sz w:val="22"/>
          <w:szCs w:val="22"/>
        </w:rPr>
      </w:pPr>
      <w:proofErr w:type="gramStart"/>
      <w:r w:rsidRPr="00E96CAB">
        <w:rPr>
          <w:b/>
          <w:sz w:val="22"/>
          <w:szCs w:val="22"/>
        </w:rPr>
        <w:t xml:space="preserve">Figure </w:t>
      </w:r>
      <w:r w:rsidR="003711C5" w:rsidRPr="00E96CAB">
        <w:rPr>
          <w:b/>
          <w:sz w:val="22"/>
          <w:szCs w:val="22"/>
        </w:rPr>
        <w:t>3</w:t>
      </w:r>
      <w:r w:rsidRPr="00E96CAB">
        <w:rPr>
          <w:b/>
          <w:sz w:val="22"/>
          <w:szCs w:val="22"/>
        </w:rPr>
        <w:t>.</w:t>
      </w:r>
      <w:proofErr w:type="gramEnd"/>
      <w:r w:rsidRPr="00E96CAB">
        <w:rPr>
          <w:b/>
          <w:sz w:val="22"/>
          <w:szCs w:val="22"/>
        </w:rPr>
        <w:t xml:space="preserve"> Absolute Change </w:t>
      </w:r>
      <w:proofErr w:type="gramStart"/>
      <w:r w:rsidRPr="00E96CAB">
        <w:rPr>
          <w:b/>
          <w:sz w:val="22"/>
          <w:szCs w:val="22"/>
        </w:rPr>
        <w:t>From</w:t>
      </w:r>
      <w:proofErr w:type="gramEnd"/>
      <w:r w:rsidRPr="00E96CAB">
        <w:rPr>
          <w:b/>
          <w:sz w:val="22"/>
          <w:szCs w:val="22"/>
        </w:rPr>
        <w:t xml:space="preserve"> Baseline in Percent Predicted FEV</w:t>
      </w:r>
      <w:r w:rsidRPr="00E96CAB">
        <w:rPr>
          <w:b/>
          <w:sz w:val="22"/>
          <w:szCs w:val="22"/>
          <w:vertAlign w:val="subscript"/>
        </w:rPr>
        <w:t>1</w:t>
      </w:r>
      <w:r w:rsidRPr="00E96CAB">
        <w:rPr>
          <w:b/>
          <w:sz w:val="22"/>
          <w:szCs w:val="22"/>
        </w:rPr>
        <w:t xml:space="preserve"> at Each Visit in Trial 4</w:t>
      </w:r>
    </w:p>
    <w:p w:rsidR="00980222" w:rsidRPr="00E96CAB" w:rsidRDefault="00980222" w:rsidP="00980222">
      <w:pPr>
        <w:autoSpaceDE w:val="0"/>
        <w:autoSpaceDN w:val="0"/>
        <w:adjustRightInd w:val="0"/>
        <w:rPr>
          <w:szCs w:val="22"/>
        </w:rPr>
      </w:pPr>
    </w:p>
    <w:p w:rsidR="00907FCD" w:rsidRPr="00BF4243" w:rsidRDefault="00334F48" w:rsidP="00907FCD">
      <w:pPr>
        <w:autoSpaceDE w:val="0"/>
        <w:autoSpaceDN w:val="0"/>
        <w:adjustRightInd w:val="0"/>
        <w:jc w:val="center"/>
        <w:rPr>
          <w:sz w:val="22"/>
          <w:szCs w:val="22"/>
        </w:rPr>
      </w:pPr>
      <w:r>
        <w:rPr>
          <w:noProof/>
        </w:rPr>
        <w:pict>
          <v:shape id="_x0000_i1031" type="#_x0000_t75" style="width:326.35pt;height:174.85pt;visibility:visible">
            <v:imagedata r:id="rId15" o:title="F-A3-SP-ABS-PPFEV-LSMEANS_400_aligned"/>
          </v:shape>
        </w:pict>
      </w:r>
    </w:p>
    <w:p w:rsidR="00907FCD" w:rsidRPr="00E96CAB" w:rsidRDefault="00907FCD" w:rsidP="007B0C98">
      <w:pPr>
        <w:autoSpaceDE w:val="0"/>
        <w:autoSpaceDN w:val="0"/>
        <w:adjustRightInd w:val="0"/>
        <w:rPr>
          <w:sz w:val="22"/>
          <w:szCs w:val="22"/>
        </w:rPr>
      </w:pPr>
    </w:p>
    <w:p w:rsidR="007B0C98" w:rsidRPr="00E96CAB" w:rsidRDefault="007B0C98" w:rsidP="007B0C98">
      <w:pPr>
        <w:autoSpaceDE w:val="0"/>
        <w:autoSpaceDN w:val="0"/>
        <w:adjustRightInd w:val="0"/>
        <w:rPr>
          <w:sz w:val="22"/>
          <w:szCs w:val="22"/>
        </w:rPr>
      </w:pPr>
      <w:r w:rsidRPr="00E96CAB">
        <w:rPr>
          <w:sz w:val="22"/>
          <w:szCs w:val="22"/>
        </w:rPr>
        <w:t>Long</w:t>
      </w:r>
      <w:r w:rsidRPr="00E96CAB">
        <w:rPr>
          <w:sz w:val="22"/>
          <w:szCs w:val="22"/>
        </w:rPr>
        <w:noBreakHyphen/>
        <w:t>term data also show</w:t>
      </w:r>
      <w:r w:rsidR="007B5F97" w:rsidRPr="00E96CAB">
        <w:rPr>
          <w:sz w:val="22"/>
          <w:szCs w:val="22"/>
        </w:rPr>
        <w:t>ed</w:t>
      </w:r>
      <w:r w:rsidRPr="00E96CAB">
        <w:rPr>
          <w:sz w:val="22"/>
          <w:szCs w:val="22"/>
        </w:rPr>
        <w:t xml:space="preserve"> that earlier initiation of </w:t>
      </w:r>
      <w:proofErr w:type="spellStart"/>
      <w:r w:rsidRPr="00E96CAB">
        <w:rPr>
          <w:sz w:val="22"/>
          <w:szCs w:val="22"/>
        </w:rPr>
        <w:t>lumacaftor</w:t>
      </w:r>
      <w:proofErr w:type="spellEnd"/>
      <w:r w:rsidRPr="00E96CAB">
        <w:rPr>
          <w:sz w:val="22"/>
          <w:szCs w:val="22"/>
        </w:rPr>
        <w:t>/</w:t>
      </w:r>
      <w:proofErr w:type="spellStart"/>
      <w:r w:rsidRPr="00E96CAB">
        <w:rPr>
          <w:sz w:val="22"/>
          <w:szCs w:val="22"/>
        </w:rPr>
        <w:t>ivacaftor</w:t>
      </w:r>
      <w:proofErr w:type="spellEnd"/>
      <w:r w:rsidRPr="00E96CAB">
        <w:rPr>
          <w:sz w:val="22"/>
          <w:szCs w:val="22"/>
        </w:rPr>
        <w:t xml:space="preserve"> (</w:t>
      </w:r>
      <w:proofErr w:type="spellStart"/>
      <w:r w:rsidRPr="00E96CAB">
        <w:rPr>
          <w:sz w:val="22"/>
          <w:szCs w:val="22"/>
        </w:rPr>
        <w:t>lumacaftor</w:t>
      </w:r>
      <w:proofErr w:type="spellEnd"/>
      <w:r w:rsidRPr="00E96CAB">
        <w:rPr>
          <w:sz w:val="22"/>
          <w:szCs w:val="22"/>
        </w:rPr>
        <w:t xml:space="preserve"> 400 mg/</w:t>
      </w:r>
      <w:proofErr w:type="spellStart"/>
      <w:r w:rsidRPr="00E96CAB">
        <w:rPr>
          <w:sz w:val="22"/>
          <w:szCs w:val="22"/>
        </w:rPr>
        <w:t>ivacaftor</w:t>
      </w:r>
      <w:proofErr w:type="spellEnd"/>
      <w:r w:rsidRPr="00E96CAB">
        <w:rPr>
          <w:sz w:val="22"/>
          <w:szCs w:val="22"/>
        </w:rPr>
        <w:t xml:space="preserve"> 250 mg q12h) reduce</w:t>
      </w:r>
      <w:r w:rsidR="007B5F97" w:rsidRPr="00E96CAB">
        <w:rPr>
          <w:sz w:val="22"/>
          <w:szCs w:val="22"/>
        </w:rPr>
        <w:t>d</w:t>
      </w:r>
      <w:r w:rsidRPr="00E96CAB">
        <w:rPr>
          <w:sz w:val="22"/>
          <w:szCs w:val="22"/>
        </w:rPr>
        <w:t xml:space="preserve"> the rate of pulmonary exacerbations. For patients treated for up to 48 weeks with </w:t>
      </w:r>
      <w:proofErr w:type="spellStart"/>
      <w:r w:rsidRPr="00E96CAB">
        <w:rPr>
          <w:sz w:val="22"/>
          <w:szCs w:val="22"/>
        </w:rPr>
        <w:t>lumacaftor</w:t>
      </w:r>
      <w:proofErr w:type="spellEnd"/>
      <w:r w:rsidRPr="00E96CAB">
        <w:rPr>
          <w:sz w:val="22"/>
          <w:szCs w:val="22"/>
        </w:rPr>
        <w:t>/</w:t>
      </w:r>
      <w:proofErr w:type="spellStart"/>
      <w:r w:rsidRPr="00E96CAB">
        <w:rPr>
          <w:sz w:val="22"/>
          <w:szCs w:val="22"/>
        </w:rPr>
        <w:t>ivacaftor</w:t>
      </w:r>
      <w:proofErr w:type="spellEnd"/>
      <w:r w:rsidRPr="00E96CAB">
        <w:rPr>
          <w:sz w:val="22"/>
          <w:szCs w:val="22"/>
        </w:rPr>
        <w:t>, the event rate per year of pulmonary exacerbations (0.64; 95% CI: 0.55, 0.76</w:t>
      </w:r>
      <w:r w:rsidR="0097556C" w:rsidRPr="00E96CAB">
        <w:rPr>
          <w:sz w:val="22"/>
          <w:szCs w:val="22"/>
        </w:rPr>
        <w:t>, estimated using 48 weeks data</w:t>
      </w:r>
      <w:r w:rsidRPr="00E96CAB">
        <w:rPr>
          <w:sz w:val="22"/>
          <w:szCs w:val="22"/>
        </w:rPr>
        <w:t xml:space="preserve">) was lower than that in patients who received 24 weeks of placebo in Trial 1 or Trial 2 followed by up to 24 weeks of </w:t>
      </w:r>
      <w:proofErr w:type="spellStart"/>
      <w:r w:rsidRPr="00E96CAB">
        <w:rPr>
          <w:sz w:val="22"/>
          <w:szCs w:val="22"/>
        </w:rPr>
        <w:t>lumacaftor</w:t>
      </w:r>
      <w:proofErr w:type="spellEnd"/>
      <w:r w:rsidRPr="00E96CAB">
        <w:rPr>
          <w:sz w:val="22"/>
          <w:szCs w:val="22"/>
        </w:rPr>
        <w:t>/</w:t>
      </w:r>
      <w:proofErr w:type="spellStart"/>
      <w:r w:rsidRPr="00E96CAB">
        <w:rPr>
          <w:sz w:val="22"/>
          <w:szCs w:val="22"/>
        </w:rPr>
        <w:t>ivacaftor</w:t>
      </w:r>
      <w:proofErr w:type="spellEnd"/>
      <w:r w:rsidRPr="00E96CAB">
        <w:rPr>
          <w:sz w:val="22"/>
          <w:szCs w:val="22"/>
        </w:rPr>
        <w:t xml:space="preserve"> in Trial 4 (0.96; 95% CI: 0.79, 1.17</w:t>
      </w:r>
      <w:r w:rsidR="0097556C" w:rsidRPr="00E96CAB">
        <w:rPr>
          <w:sz w:val="22"/>
          <w:szCs w:val="22"/>
        </w:rPr>
        <w:t>, estimated using 48 weeks data</w:t>
      </w:r>
      <w:r w:rsidRPr="00E96CAB">
        <w:rPr>
          <w:sz w:val="22"/>
          <w:szCs w:val="22"/>
        </w:rPr>
        <w:t>).</w:t>
      </w:r>
    </w:p>
    <w:p w:rsidR="003D249C" w:rsidRPr="00C26614" w:rsidRDefault="003D249C" w:rsidP="00A378A6">
      <w:pPr>
        <w:rPr>
          <w:rFonts w:eastAsia="MS Mincho"/>
          <w:sz w:val="22"/>
          <w:szCs w:val="22"/>
          <w:lang w:eastAsia="ja-JP"/>
        </w:rPr>
      </w:pPr>
    </w:p>
    <w:p w:rsidR="003D249C" w:rsidRPr="00C26614" w:rsidRDefault="003D249C" w:rsidP="003D249C">
      <w:pPr>
        <w:pStyle w:val="ListParagraph"/>
        <w:spacing w:after="0" w:line="240" w:lineRule="auto"/>
        <w:ind w:left="0"/>
        <w:contextualSpacing w:val="0"/>
        <w:rPr>
          <w:rFonts w:ascii="Times New Roman" w:hAnsi="Times New Roman"/>
          <w:bCs/>
          <w:iCs/>
        </w:rPr>
      </w:pPr>
      <w:r w:rsidRPr="00C26614">
        <w:rPr>
          <w:rFonts w:ascii="Times New Roman" w:hAnsi="Times New Roman"/>
          <w:bCs/>
        </w:rPr>
        <w:t xml:space="preserve">The </w:t>
      </w:r>
      <w:r w:rsidRPr="00C26614">
        <w:rPr>
          <w:rFonts w:ascii="Times New Roman" w:hAnsi="Times New Roman"/>
          <w:bCs/>
          <w:iCs/>
        </w:rPr>
        <w:t>impact of long</w:t>
      </w:r>
      <w:r w:rsidRPr="00C26614">
        <w:rPr>
          <w:rFonts w:ascii="Times New Roman" w:hAnsi="Times New Roman"/>
          <w:bCs/>
          <w:iCs/>
        </w:rPr>
        <w:noBreakHyphen/>
        <w:t>term treatment</w:t>
      </w:r>
      <w:r w:rsidR="005049DD" w:rsidRPr="00C26614">
        <w:rPr>
          <w:rFonts w:ascii="Times New Roman" w:hAnsi="Times New Roman"/>
          <w:bCs/>
          <w:iCs/>
        </w:rPr>
        <w:t xml:space="preserve"> (</w:t>
      </w:r>
      <w:r w:rsidRPr="00C26614">
        <w:rPr>
          <w:rFonts w:ascii="Times New Roman" w:hAnsi="Times New Roman"/>
          <w:bCs/>
          <w:iCs/>
        </w:rPr>
        <w:t>beyond 48</w:t>
      </w:r>
      <w:r w:rsidRPr="00C26614">
        <w:rPr>
          <w:rFonts w:ascii="Times New Roman" w:hAnsi="Times New Roman"/>
          <w:bCs/>
        </w:rPr>
        <w:t> </w:t>
      </w:r>
      <w:r w:rsidRPr="00C26614">
        <w:rPr>
          <w:rFonts w:ascii="Times New Roman" w:hAnsi="Times New Roman"/>
          <w:bCs/>
          <w:iCs/>
        </w:rPr>
        <w:t>weeks</w:t>
      </w:r>
      <w:r w:rsidR="005049DD" w:rsidRPr="00C26614">
        <w:rPr>
          <w:rFonts w:ascii="Times New Roman" w:hAnsi="Times New Roman"/>
          <w:bCs/>
          <w:iCs/>
        </w:rPr>
        <w:t>)</w:t>
      </w:r>
      <w:r w:rsidRPr="00C26614">
        <w:rPr>
          <w:rFonts w:ascii="Times New Roman" w:hAnsi="Times New Roman"/>
          <w:bCs/>
          <w:iCs/>
        </w:rPr>
        <w:t xml:space="preserve"> with </w:t>
      </w:r>
      <w:r w:rsidRPr="00C26614">
        <w:rPr>
          <w:rFonts w:ascii="Times New Roman" w:hAnsi="Times New Roman"/>
          <w:bCs/>
        </w:rPr>
        <w:t>ORKAMBI </w:t>
      </w:r>
      <w:r w:rsidRPr="00C26614">
        <w:rPr>
          <w:rFonts w:ascii="Times New Roman" w:hAnsi="Times New Roman"/>
        </w:rPr>
        <w:t>200/125</w:t>
      </w:r>
      <w:r w:rsidRPr="00C26614">
        <w:rPr>
          <w:rFonts w:ascii="Times New Roman" w:hAnsi="Times New Roman"/>
          <w:bCs/>
          <w:iCs/>
        </w:rPr>
        <w:t xml:space="preserve"> is unknown, but is being investigated in clinical trials and post</w:t>
      </w:r>
      <w:r w:rsidRPr="00C26614">
        <w:rPr>
          <w:rFonts w:ascii="Times New Roman" w:hAnsi="Times New Roman"/>
          <w:bCs/>
          <w:iCs/>
        </w:rPr>
        <w:noBreakHyphen/>
        <w:t>market studies.</w:t>
      </w:r>
    </w:p>
    <w:p w:rsidR="00875EE7" w:rsidRPr="00E96CAB" w:rsidRDefault="00875EE7" w:rsidP="00D75505">
      <w:pPr>
        <w:rPr>
          <w:b/>
          <w:sz w:val="22"/>
          <w:szCs w:val="22"/>
        </w:rPr>
      </w:pPr>
      <w:r w:rsidRPr="00E96CAB">
        <w:rPr>
          <w:b/>
          <w:sz w:val="22"/>
          <w:szCs w:val="22"/>
        </w:rPr>
        <w:lastRenderedPageBreak/>
        <w:t>INDICATIONS</w:t>
      </w:r>
    </w:p>
    <w:p w:rsidR="00875EE7" w:rsidRPr="00E96CAB" w:rsidRDefault="00875EE7" w:rsidP="00D75505">
      <w:pPr>
        <w:rPr>
          <w:sz w:val="22"/>
          <w:szCs w:val="22"/>
        </w:rPr>
      </w:pPr>
    </w:p>
    <w:p w:rsidR="003B5038" w:rsidRPr="00E96CAB" w:rsidRDefault="00606C30" w:rsidP="00F473AE">
      <w:pPr>
        <w:tabs>
          <w:tab w:val="left" w:pos="270"/>
        </w:tabs>
        <w:rPr>
          <w:bCs/>
          <w:sz w:val="22"/>
          <w:szCs w:val="22"/>
        </w:rPr>
      </w:pPr>
      <w:r w:rsidRPr="00E96CAB">
        <w:rPr>
          <w:sz w:val="22"/>
          <w:szCs w:val="22"/>
        </w:rPr>
        <w:t>ORKAMBI</w:t>
      </w:r>
      <w:r w:rsidR="00C63417">
        <w:rPr>
          <w:sz w:val="22"/>
          <w:szCs w:val="22"/>
        </w:rPr>
        <w:t> </w:t>
      </w:r>
      <w:r w:rsidR="00C63417" w:rsidRPr="005D1BF8">
        <w:rPr>
          <w:sz w:val="22"/>
          <w:szCs w:val="22"/>
        </w:rPr>
        <w:t xml:space="preserve">200/125 </w:t>
      </w:r>
      <w:r w:rsidR="00980222" w:rsidRPr="005D1BF8">
        <w:rPr>
          <w:sz w:val="22"/>
          <w:szCs w:val="22"/>
        </w:rPr>
        <w:t>is</w:t>
      </w:r>
      <w:r w:rsidR="00980222" w:rsidRPr="00E96CAB">
        <w:rPr>
          <w:sz w:val="22"/>
          <w:szCs w:val="22"/>
        </w:rPr>
        <w:t xml:space="preserve"> indicated for the treatment of cystic fibrosis (CF) in patients age 12</w:t>
      </w:r>
      <w:r w:rsidR="005049DD">
        <w:rPr>
          <w:sz w:val="22"/>
          <w:szCs w:val="22"/>
        </w:rPr>
        <w:t> </w:t>
      </w:r>
      <w:r w:rsidR="00980222" w:rsidRPr="00E96CAB">
        <w:rPr>
          <w:sz w:val="22"/>
          <w:szCs w:val="22"/>
        </w:rPr>
        <w:t xml:space="preserve">years and older who are homozygous for the </w:t>
      </w:r>
      <w:r w:rsidR="00980222" w:rsidRPr="00E96CAB">
        <w:rPr>
          <w:i/>
          <w:sz w:val="22"/>
          <w:szCs w:val="22"/>
        </w:rPr>
        <w:t>F508del</w:t>
      </w:r>
      <w:r w:rsidR="00980222" w:rsidRPr="00E96CAB">
        <w:rPr>
          <w:sz w:val="22"/>
          <w:szCs w:val="22"/>
        </w:rPr>
        <w:t xml:space="preserve"> mutation in the </w:t>
      </w:r>
      <w:r w:rsidR="00980222" w:rsidRPr="00E96CAB">
        <w:rPr>
          <w:i/>
          <w:sz w:val="22"/>
          <w:szCs w:val="22"/>
        </w:rPr>
        <w:t>CFTR</w:t>
      </w:r>
      <w:r w:rsidR="00980222" w:rsidRPr="00E96CAB">
        <w:rPr>
          <w:sz w:val="22"/>
          <w:szCs w:val="22"/>
        </w:rPr>
        <w:t xml:space="preserve"> gene</w:t>
      </w:r>
      <w:r w:rsidR="00875EE7" w:rsidRPr="00E96CAB">
        <w:rPr>
          <w:bCs/>
          <w:sz w:val="22"/>
          <w:szCs w:val="22"/>
        </w:rPr>
        <w:t>.</w:t>
      </w:r>
    </w:p>
    <w:p w:rsidR="00875EE7" w:rsidRPr="00E96CAB" w:rsidRDefault="00875EE7" w:rsidP="003B0232">
      <w:pPr>
        <w:tabs>
          <w:tab w:val="left" w:pos="270"/>
        </w:tabs>
        <w:rPr>
          <w:sz w:val="22"/>
          <w:szCs w:val="22"/>
        </w:rPr>
      </w:pPr>
    </w:p>
    <w:p w:rsidR="00875EE7" w:rsidRPr="00E96CAB" w:rsidRDefault="00875EE7" w:rsidP="003B0232">
      <w:pPr>
        <w:tabs>
          <w:tab w:val="left" w:pos="270"/>
        </w:tabs>
        <w:rPr>
          <w:b/>
          <w:sz w:val="22"/>
          <w:szCs w:val="22"/>
        </w:rPr>
      </w:pPr>
      <w:r w:rsidRPr="00E96CAB">
        <w:rPr>
          <w:b/>
          <w:sz w:val="22"/>
          <w:szCs w:val="22"/>
        </w:rPr>
        <w:t>CONTRAINDICATIONS</w:t>
      </w:r>
    </w:p>
    <w:p w:rsidR="00875EE7" w:rsidRPr="00E96CAB" w:rsidRDefault="00875EE7" w:rsidP="003B0232">
      <w:pPr>
        <w:tabs>
          <w:tab w:val="left" w:pos="270"/>
        </w:tabs>
        <w:rPr>
          <w:sz w:val="22"/>
          <w:szCs w:val="22"/>
        </w:rPr>
      </w:pPr>
    </w:p>
    <w:p w:rsidR="00875EE7" w:rsidRPr="00E96CAB" w:rsidRDefault="00875EE7" w:rsidP="00243FAD">
      <w:pPr>
        <w:autoSpaceDE w:val="0"/>
        <w:autoSpaceDN w:val="0"/>
        <w:adjustRightInd w:val="0"/>
        <w:rPr>
          <w:b/>
          <w:sz w:val="22"/>
          <w:szCs w:val="22"/>
        </w:rPr>
      </w:pPr>
      <w:r w:rsidRPr="00E96CAB">
        <w:rPr>
          <w:sz w:val="22"/>
          <w:szCs w:val="22"/>
        </w:rPr>
        <w:t xml:space="preserve">In cases of </w:t>
      </w:r>
      <w:r w:rsidRPr="00E96CAB">
        <w:rPr>
          <w:sz w:val="22"/>
          <w:szCs w:val="22"/>
          <w:lang w:val="en-CA"/>
        </w:rPr>
        <w:t>hypersensitivity to the active substance or to any component of this medication, patients should not be treated with this medicine.</w:t>
      </w:r>
    </w:p>
    <w:p w:rsidR="00875EE7" w:rsidRPr="00E96CAB" w:rsidRDefault="00875EE7" w:rsidP="00243FAD">
      <w:pPr>
        <w:autoSpaceDE w:val="0"/>
        <w:autoSpaceDN w:val="0"/>
        <w:adjustRightInd w:val="0"/>
        <w:rPr>
          <w:sz w:val="22"/>
          <w:szCs w:val="22"/>
        </w:rPr>
      </w:pPr>
    </w:p>
    <w:p w:rsidR="00ED04E9" w:rsidRDefault="00ED04E9" w:rsidP="00243FAD">
      <w:pPr>
        <w:autoSpaceDE w:val="0"/>
        <w:autoSpaceDN w:val="0"/>
        <w:adjustRightInd w:val="0"/>
        <w:rPr>
          <w:sz w:val="22"/>
          <w:szCs w:val="22"/>
        </w:rPr>
      </w:pPr>
    </w:p>
    <w:p w:rsidR="00875EE7" w:rsidRPr="00E96CAB" w:rsidRDefault="00875EE7" w:rsidP="00791E14">
      <w:pPr>
        <w:tabs>
          <w:tab w:val="left" w:pos="270"/>
        </w:tabs>
        <w:rPr>
          <w:b/>
          <w:sz w:val="22"/>
          <w:szCs w:val="22"/>
        </w:rPr>
      </w:pPr>
      <w:r w:rsidRPr="00E96CAB">
        <w:rPr>
          <w:b/>
          <w:sz w:val="22"/>
          <w:szCs w:val="22"/>
        </w:rPr>
        <w:t>PRECAUTIONS</w:t>
      </w:r>
    </w:p>
    <w:p w:rsidR="00875EE7" w:rsidRPr="00E96CAB" w:rsidRDefault="00875EE7" w:rsidP="00243FAD">
      <w:pPr>
        <w:autoSpaceDE w:val="0"/>
        <w:autoSpaceDN w:val="0"/>
        <w:adjustRightInd w:val="0"/>
        <w:rPr>
          <w:sz w:val="22"/>
          <w:szCs w:val="22"/>
        </w:rPr>
      </w:pPr>
    </w:p>
    <w:p w:rsidR="00F03706" w:rsidRPr="00E96CAB" w:rsidRDefault="00F03706" w:rsidP="00F03706">
      <w:pPr>
        <w:rPr>
          <w:b/>
          <w:sz w:val="22"/>
          <w:szCs w:val="22"/>
        </w:rPr>
      </w:pPr>
      <w:r w:rsidRPr="00E96CAB">
        <w:rPr>
          <w:b/>
          <w:sz w:val="22"/>
          <w:szCs w:val="22"/>
        </w:rPr>
        <w:t xml:space="preserve">Patients </w:t>
      </w:r>
      <w:proofErr w:type="gramStart"/>
      <w:r w:rsidRPr="00E96CAB">
        <w:rPr>
          <w:b/>
          <w:sz w:val="22"/>
          <w:szCs w:val="22"/>
        </w:rPr>
        <w:t>With</w:t>
      </w:r>
      <w:proofErr w:type="gramEnd"/>
      <w:r w:rsidRPr="00E96CAB">
        <w:rPr>
          <w:b/>
          <w:sz w:val="22"/>
          <w:szCs w:val="22"/>
        </w:rPr>
        <w:t xml:space="preserve"> CF Who Are Heterozygous for the </w:t>
      </w:r>
      <w:r w:rsidRPr="00E96CAB">
        <w:rPr>
          <w:b/>
          <w:i/>
          <w:sz w:val="22"/>
          <w:szCs w:val="22"/>
        </w:rPr>
        <w:t>F508del</w:t>
      </w:r>
      <w:r w:rsidRPr="00E96CAB">
        <w:rPr>
          <w:b/>
          <w:sz w:val="22"/>
          <w:szCs w:val="22"/>
        </w:rPr>
        <w:t xml:space="preserve"> Mutation in the </w:t>
      </w:r>
      <w:r w:rsidRPr="00E96CAB">
        <w:rPr>
          <w:b/>
          <w:i/>
          <w:sz w:val="22"/>
          <w:szCs w:val="22"/>
        </w:rPr>
        <w:t>CFTR</w:t>
      </w:r>
      <w:r w:rsidRPr="00E96CAB">
        <w:rPr>
          <w:b/>
          <w:sz w:val="22"/>
          <w:szCs w:val="22"/>
        </w:rPr>
        <w:t xml:space="preserve"> Gene</w:t>
      </w:r>
    </w:p>
    <w:p w:rsidR="00F03706" w:rsidRPr="00E96CAB" w:rsidRDefault="00F03706" w:rsidP="00F03706">
      <w:pPr>
        <w:rPr>
          <w:sz w:val="22"/>
          <w:szCs w:val="22"/>
        </w:rPr>
      </w:pPr>
      <w:r w:rsidRPr="00E96CAB">
        <w:rPr>
          <w:sz w:val="22"/>
          <w:szCs w:val="22"/>
        </w:rPr>
        <w:t>ORKAMBI</w:t>
      </w:r>
      <w:r w:rsidR="00C63417">
        <w:rPr>
          <w:sz w:val="22"/>
          <w:szCs w:val="22"/>
        </w:rPr>
        <w:t> </w:t>
      </w:r>
      <w:r w:rsidR="00C63417" w:rsidRPr="005D1BF8">
        <w:rPr>
          <w:sz w:val="22"/>
          <w:szCs w:val="22"/>
        </w:rPr>
        <w:t xml:space="preserve">200/125 </w:t>
      </w:r>
      <w:r w:rsidR="006940FA" w:rsidRPr="00E96CAB">
        <w:rPr>
          <w:sz w:val="22"/>
          <w:szCs w:val="22"/>
        </w:rPr>
        <w:t xml:space="preserve">is not effective in patients with CF who have the </w:t>
      </w:r>
      <w:r w:rsidR="006940FA" w:rsidRPr="00E96CAB">
        <w:rPr>
          <w:i/>
          <w:sz w:val="22"/>
          <w:szCs w:val="22"/>
        </w:rPr>
        <w:t>F508del</w:t>
      </w:r>
      <w:r w:rsidR="006940FA" w:rsidRPr="00E96CAB">
        <w:rPr>
          <w:sz w:val="22"/>
          <w:szCs w:val="22"/>
        </w:rPr>
        <w:t xml:space="preserve"> mutation on one allele plus a second allele with a mutation predicted to result in the lack of CFTR production or that is not responsive to </w:t>
      </w:r>
      <w:proofErr w:type="spellStart"/>
      <w:r w:rsidR="006940FA" w:rsidRPr="00E96CAB">
        <w:rPr>
          <w:sz w:val="22"/>
          <w:szCs w:val="22"/>
        </w:rPr>
        <w:t>ivacaftor</w:t>
      </w:r>
      <w:proofErr w:type="spellEnd"/>
      <w:r w:rsidR="006940FA" w:rsidRPr="00E96CAB">
        <w:rPr>
          <w:sz w:val="22"/>
          <w:szCs w:val="22"/>
        </w:rPr>
        <w:t xml:space="preserve"> </w:t>
      </w:r>
      <w:r w:rsidR="006940FA" w:rsidRPr="00E96CAB">
        <w:rPr>
          <w:i/>
          <w:sz w:val="22"/>
          <w:szCs w:val="22"/>
        </w:rPr>
        <w:t>in vitro</w:t>
      </w:r>
      <w:r w:rsidR="006940FA" w:rsidRPr="00E96CAB">
        <w:rPr>
          <w:sz w:val="22"/>
          <w:szCs w:val="22"/>
        </w:rPr>
        <w:t>.</w:t>
      </w:r>
    </w:p>
    <w:p w:rsidR="00F03706" w:rsidRPr="00E96CAB" w:rsidRDefault="00F03706" w:rsidP="00F03706">
      <w:pPr>
        <w:rPr>
          <w:sz w:val="22"/>
          <w:szCs w:val="22"/>
        </w:rPr>
      </w:pPr>
    </w:p>
    <w:p w:rsidR="00F03706" w:rsidRPr="00E96CAB" w:rsidRDefault="00F03706" w:rsidP="00F03706">
      <w:pPr>
        <w:rPr>
          <w:b/>
          <w:sz w:val="22"/>
          <w:szCs w:val="22"/>
        </w:rPr>
      </w:pPr>
      <w:r w:rsidRPr="00E96CAB">
        <w:rPr>
          <w:b/>
          <w:sz w:val="22"/>
          <w:szCs w:val="22"/>
        </w:rPr>
        <w:t xml:space="preserve">Patients </w:t>
      </w:r>
      <w:proofErr w:type="gramStart"/>
      <w:r w:rsidRPr="00E96CAB">
        <w:rPr>
          <w:b/>
          <w:sz w:val="22"/>
          <w:szCs w:val="22"/>
        </w:rPr>
        <w:t>With</w:t>
      </w:r>
      <w:proofErr w:type="gramEnd"/>
      <w:r w:rsidRPr="00E96CAB">
        <w:rPr>
          <w:b/>
          <w:sz w:val="22"/>
          <w:szCs w:val="22"/>
        </w:rPr>
        <w:t xml:space="preserve"> CF Who Have a Gating (Class III) Mutation in the </w:t>
      </w:r>
      <w:r w:rsidRPr="00E96CAB">
        <w:rPr>
          <w:b/>
          <w:i/>
          <w:sz w:val="22"/>
          <w:szCs w:val="22"/>
        </w:rPr>
        <w:t>CFTR</w:t>
      </w:r>
      <w:r w:rsidRPr="00E96CAB">
        <w:rPr>
          <w:b/>
          <w:sz w:val="22"/>
          <w:szCs w:val="22"/>
        </w:rPr>
        <w:t xml:space="preserve"> Gene</w:t>
      </w:r>
    </w:p>
    <w:p w:rsidR="00F03706" w:rsidRPr="00E96CAB" w:rsidRDefault="00C63417" w:rsidP="00F03706">
      <w:pPr>
        <w:rPr>
          <w:sz w:val="22"/>
          <w:szCs w:val="22"/>
        </w:rPr>
      </w:pPr>
      <w:r>
        <w:rPr>
          <w:sz w:val="22"/>
          <w:szCs w:val="22"/>
        </w:rPr>
        <w:t>ORKAMBI </w:t>
      </w:r>
      <w:r w:rsidRPr="005D1BF8">
        <w:rPr>
          <w:sz w:val="22"/>
          <w:szCs w:val="22"/>
        </w:rPr>
        <w:t xml:space="preserve">200/125 </w:t>
      </w:r>
      <w:r w:rsidR="00F03706" w:rsidRPr="00E96CAB">
        <w:rPr>
          <w:sz w:val="22"/>
          <w:szCs w:val="22"/>
        </w:rPr>
        <w:t xml:space="preserve">is not recommended for use in patients with CF who are heterozygous for the </w:t>
      </w:r>
      <w:r w:rsidR="00F03706" w:rsidRPr="00E96CAB">
        <w:rPr>
          <w:i/>
          <w:sz w:val="22"/>
          <w:szCs w:val="22"/>
        </w:rPr>
        <w:t>F508del</w:t>
      </w:r>
      <w:r w:rsidR="00F03706" w:rsidRPr="00E96CAB">
        <w:rPr>
          <w:sz w:val="22"/>
          <w:szCs w:val="22"/>
        </w:rPr>
        <w:t xml:space="preserve"> mutation on one allele, with an </w:t>
      </w:r>
      <w:proofErr w:type="spellStart"/>
      <w:r w:rsidR="00F03706" w:rsidRPr="00E96CAB">
        <w:rPr>
          <w:sz w:val="22"/>
          <w:szCs w:val="22"/>
        </w:rPr>
        <w:t>ivacaftor</w:t>
      </w:r>
      <w:proofErr w:type="spellEnd"/>
      <w:r w:rsidR="00F03706" w:rsidRPr="00E96CAB">
        <w:rPr>
          <w:sz w:val="22"/>
          <w:szCs w:val="22"/>
        </w:rPr>
        <w:noBreakHyphen/>
        <w:t xml:space="preserve">responsive mutation on the second allele, since the exposure of </w:t>
      </w:r>
      <w:proofErr w:type="spellStart"/>
      <w:r w:rsidR="00F03706" w:rsidRPr="00E96CAB">
        <w:rPr>
          <w:sz w:val="22"/>
          <w:szCs w:val="22"/>
        </w:rPr>
        <w:t>ivacaftor</w:t>
      </w:r>
      <w:proofErr w:type="spellEnd"/>
      <w:r w:rsidR="00F03706" w:rsidRPr="00E96CAB">
        <w:rPr>
          <w:sz w:val="22"/>
          <w:szCs w:val="22"/>
        </w:rPr>
        <w:t xml:space="preserve"> is very significantly reduced when dosed in combination with </w:t>
      </w:r>
      <w:proofErr w:type="spellStart"/>
      <w:r w:rsidR="00F03706" w:rsidRPr="00E96CAB">
        <w:rPr>
          <w:sz w:val="22"/>
          <w:szCs w:val="22"/>
        </w:rPr>
        <w:t>lumacaftor</w:t>
      </w:r>
      <w:proofErr w:type="spellEnd"/>
      <w:r w:rsidR="00F03706" w:rsidRPr="00E96CAB">
        <w:rPr>
          <w:sz w:val="22"/>
          <w:szCs w:val="22"/>
        </w:rPr>
        <w:t xml:space="preserve"> (see INTERACTIONS WITH OTHER MEDICINES).</w:t>
      </w:r>
    </w:p>
    <w:p w:rsidR="00F03706" w:rsidRPr="00E96CAB" w:rsidRDefault="00F03706" w:rsidP="00110BBA">
      <w:pPr>
        <w:rPr>
          <w:sz w:val="22"/>
          <w:szCs w:val="22"/>
        </w:rPr>
      </w:pPr>
    </w:p>
    <w:p w:rsidR="00875EE7" w:rsidRPr="00E96CAB" w:rsidRDefault="00875EE7" w:rsidP="00110BBA">
      <w:pPr>
        <w:rPr>
          <w:b/>
          <w:sz w:val="22"/>
          <w:szCs w:val="22"/>
        </w:rPr>
      </w:pPr>
      <w:r w:rsidRPr="00E96CAB">
        <w:rPr>
          <w:b/>
          <w:sz w:val="22"/>
          <w:szCs w:val="22"/>
        </w:rPr>
        <w:t>Effects on Fertility</w:t>
      </w:r>
    </w:p>
    <w:p w:rsidR="00980222" w:rsidRPr="00E96CAB" w:rsidRDefault="00980222" w:rsidP="00980222">
      <w:pPr>
        <w:pStyle w:val="MediumGrid21"/>
        <w:rPr>
          <w:rFonts w:ascii="Times New Roman" w:hAnsi="Times New Roman"/>
        </w:rPr>
      </w:pPr>
      <w:proofErr w:type="spellStart"/>
      <w:r w:rsidRPr="00E96CAB">
        <w:rPr>
          <w:rFonts w:ascii="Times New Roman" w:hAnsi="Times New Roman"/>
        </w:rPr>
        <w:t>Lumacaftor</w:t>
      </w:r>
      <w:proofErr w:type="spellEnd"/>
      <w:r w:rsidRPr="00E96CAB">
        <w:rPr>
          <w:rFonts w:ascii="Times New Roman" w:hAnsi="Times New Roman"/>
        </w:rPr>
        <w:t xml:space="preserve"> had no effects on fertility and reproductive performance indices in male and female rats at </w:t>
      </w:r>
      <w:r w:rsidR="008403E4" w:rsidRPr="003D6C19">
        <w:rPr>
          <w:rFonts w:ascii="Times New Roman" w:hAnsi="Times New Roman"/>
        </w:rPr>
        <w:t xml:space="preserve">an oral dose of </w:t>
      </w:r>
      <w:r w:rsidRPr="003D6C19">
        <w:rPr>
          <w:rFonts w:ascii="Times New Roman" w:hAnsi="Times New Roman"/>
        </w:rPr>
        <w:t xml:space="preserve">1000 mg/kg/day [approximately 3 and 8 times, respectively, the maximum recommended human dose (MRHD) of the </w:t>
      </w:r>
      <w:proofErr w:type="spellStart"/>
      <w:r w:rsidRPr="003D6C19">
        <w:rPr>
          <w:rFonts w:ascii="Times New Roman" w:hAnsi="Times New Roman"/>
        </w:rPr>
        <w:t>lumacaftor</w:t>
      </w:r>
      <w:proofErr w:type="spellEnd"/>
      <w:r w:rsidRPr="003D6C19">
        <w:rPr>
          <w:rFonts w:ascii="Times New Roman" w:hAnsi="Times New Roman"/>
        </w:rPr>
        <w:t xml:space="preserve"> component of </w:t>
      </w:r>
      <w:r w:rsidR="00606C30" w:rsidRPr="003D6C19">
        <w:rPr>
          <w:rFonts w:ascii="Times New Roman" w:hAnsi="Times New Roman"/>
        </w:rPr>
        <w:t>ORKAMBI</w:t>
      </w:r>
      <w:r w:rsidR="00C63417" w:rsidRPr="003D6C19">
        <w:rPr>
          <w:rFonts w:ascii="Times New Roman" w:hAnsi="Times New Roman"/>
        </w:rPr>
        <w:t xml:space="preserve"> 200/125 </w:t>
      </w:r>
      <w:r w:rsidRPr="003D6C19">
        <w:rPr>
          <w:rFonts w:ascii="Times New Roman" w:hAnsi="Times New Roman"/>
        </w:rPr>
        <w:t>on</w:t>
      </w:r>
      <w:r w:rsidRPr="00E96CAB">
        <w:rPr>
          <w:rFonts w:ascii="Times New Roman" w:hAnsi="Times New Roman"/>
        </w:rPr>
        <w:t xml:space="preserve"> an AUC basis].</w:t>
      </w:r>
    </w:p>
    <w:p w:rsidR="00980222" w:rsidRPr="00E96CAB" w:rsidRDefault="00980222" w:rsidP="00980222">
      <w:pPr>
        <w:pStyle w:val="MediumGrid21"/>
        <w:rPr>
          <w:rFonts w:ascii="Times New Roman" w:hAnsi="Times New Roman"/>
        </w:rPr>
      </w:pPr>
    </w:p>
    <w:p w:rsidR="00875EE7" w:rsidRPr="003D6C19" w:rsidRDefault="00980222" w:rsidP="0027180B">
      <w:pPr>
        <w:autoSpaceDE w:val="0"/>
        <w:autoSpaceDN w:val="0"/>
        <w:adjustRightInd w:val="0"/>
        <w:rPr>
          <w:rFonts w:eastAsia="MS Mincho"/>
          <w:sz w:val="22"/>
          <w:szCs w:val="22"/>
          <w:lang w:eastAsia="ja-JP"/>
        </w:rPr>
      </w:pPr>
      <w:proofErr w:type="spellStart"/>
      <w:r w:rsidRPr="003D6C19">
        <w:rPr>
          <w:sz w:val="22"/>
          <w:szCs w:val="22"/>
        </w:rPr>
        <w:t>Ivacaftor</w:t>
      </w:r>
      <w:proofErr w:type="spellEnd"/>
      <w:r w:rsidRPr="003D6C19">
        <w:rPr>
          <w:sz w:val="22"/>
          <w:szCs w:val="22"/>
        </w:rPr>
        <w:t xml:space="preserve"> impaired fertility and reproductive performance indices in male and female rats at </w:t>
      </w:r>
      <w:r w:rsidR="005100FD" w:rsidRPr="003D6C19">
        <w:rPr>
          <w:sz w:val="22"/>
          <w:szCs w:val="22"/>
        </w:rPr>
        <w:t xml:space="preserve">an oral dose of </w:t>
      </w:r>
      <w:r w:rsidRPr="003D6C19">
        <w:rPr>
          <w:sz w:val="22"/>
          <w:szCs w:val="22"/>
        </w:rPr>
        <w:t>200 mg/kg/day (</w:t>
      </w:r>
      <w:r w:rsidR="005100FD" w:rsidRPr="003D6C19">
        <w:rPr>
          <w:sz w:val="22"/>
          <w:szCs w:val="22"/>
        </w:rPr>
        <w:t xml:space="preserve">yielding </w:t>
      </w:r>
      <w:r w:rsidRPr="003D6C19">
        <w:rPr>
          <w:sz w:val="22"/>
          <w:szCs w:val="22"/>
        </w:rPr>
        <w:t xml:space="preserve">approximately 11 and </w:t>
      </w:r>
      <w:r w:rsidR="005100FD" w:rsidRPr="003D6C19">
        <w:rPr>
          <w:sz w:val="22"/>
          <w:szCs w:val="22"/>
        </w:rPr>
        <w:t>7</w:t>
      </w:r>
      <w:r w:rsidRPr="003D6C19">
        <w:rPr>
          <w:sz w:val="22"/>
          <w:szCs w:val="22"/>
        </w:rPr>
        <w:t xml:space="preserve"> times, respectively, the </w:t>
      </w:r>
      <w:r w:rsidR="005100FD" w:rsidRPr="003D6C19">
        <w:rPr>
          <w:sz w:val="22"/>
          <w:szCs w:val="22"/>
        </w:rPr>
        <w:t>systemic exposure anticipated in patients at the maximum recommended human dose (</w:t>
      </w:r>
      <w:r w:rsidRPr="003D6C19">
        <w:rPr>
          <w:sz w:val="22"/>
          <w:szCs w:val="22"/>
        </w:rPr>
        <w:t>MRHD</w:t>
      </w:r>
      <w:r w:rsidR="005100FD" w:rsidRPr="003D6C19">
        <w:rPr>
          <w:sz w:val="22"/>
          <w:szCs w:val="22"/>
        </w:rPr>
        <w:t>)</w:t>
      </w:r>
      <w:r w:rsidRPr="003D6C19">
        <w:rPr>
          <w:sz w:val="22"/>
          <w:szCs w:val="22"/>
        </w:rPr>
        <w:t xml:space="preserve"> of the </w:t>
      </w:r>
      <w:proofErr w:type="spellStart"/>
      <w:r w:rsidRPr="003D6C19">
        <w:rPr>
          <w:sz w:val="22"/>
          <w:szCs w:val="22"/>
        </w:rPr>
        <w:t>ivacaftor</w:t>
      </w:r>
      <w:proofErr w:type="spellEnd"/>
      <w:r w:rsidRPr="003D6C19">
        <w:rPr>
          <w:sz w:val="22"/>
          <w:szCs w:val="22"/>
        </w:rPr>
        <w:t xml:space="preserve"> component of </w:t>
      </w:r>
      <w:r w:rsidR="00606C30" w:rsidRPr="003D6C19">
        <w:rPr>
          <w:sz w:val="22"/>
          <w:szCs w:val="22"/>
        </w:rPr>
        <w:t>ORKAMBI</w:t>
      </w:r>
      <w:r w:rsidR="00C63417" w:rsidRPr="003D6C19">
        <w:rPr>
          <w:sz w:val="22"/>
          <w:szCs w:val="22"/>
        </w:rPr>
        <w:t xml:space="preserve"> 200/125 </w:t>
      </w:r>
      <w:r w:rsidRPr="003D6C19">
        <w:rPr>
          <w:sz w:val="22"/>
          <w:szCs w:val="22"/>
        </w:rPr>
        <w:t xml:space="preserve">based on summed AUCs of </w:t>
      </w:r>
      <w:proofErr w:type="spellStart"/>
      <w:r w:rsidRPr="003D6C19">
        <w:rPr>
          <w:sz w:val="22"/>
          <w:szCs w:val="22"/>
        </w:rPr>
        <w:t>ivacaftor</w:t>
      </w:r>
      <w:proofErr w:type="spellEnd"/>
      <w:r w:rsidRPr="003D6C19">
        <w:rPr>
          <w:sz w:val="22"/>
          <w:szCs w:val="22"/>
        </w:rPr>
        <w:t xml:space="preserve"> and its </w:t>
      </w:r>
      <w:r w:rsidR="0027180B" w:rsidRPr="003D6C19">
        <w:rPr>
          <w:sz w:val="22"/>
          <w:szCs w:val="22"/>
        </w:rPr>
        <w:t xml:space="preserve">major </w:t>
      </w:r>
      <w:r w:rsidRPr="003D6C19">
        <w:rPr>
          <w:sz w:val="22"/>
          <w:szCs w:val="22"/>
        </w:rPr>
        <w:t>metabolites) when dams were dosed prio</w:t>
      </w:r>
      <w:r w:rsidR="00B67333" w:rsidRPr="003D6C19">
        <w:rPr>
          <w:sz w:val="22"/>
          <w:szCs w:val="22"/>
        </w:rPr>
        <w:t>r to and during early pregnancy</w:t>
      </w:r>
      <w:r w:rsidRPr="003D6C19">
        <w:rPr>
          <w:sz w:val="22"/>
          <w:szCs w:val="22"/>
        </w:rPr>
        <w:t xml:space="preserve">. </w:t>
      </w:r>
      <w:r w:rsidR="0027180B" w:rsidRPr="003D6C19">
        <w:rPr>
          <w:sz w:val="22"/>
          <w:szCs w:val="22"/>
        </w:rPr>
        <w:t xml:space="preserve">The pregnancy rate was decreased, </w:t>
      </w:r>
      <w:proofErr w:type="spellStart"/>
      <w:r w:rsidR="0027180B" w:rsidRPr="003D6C19">
        <w:rPr>
          <w:sz w:val="22"/>
          <w:szCs w:val="22"/>
        </w:rPr>
        <w:t>oestrus</w:t>
      </w:r>
      <w:proofErr w:type="spellEnd"/>
      <w:r w:rsidR="0027180B" w:rsidRPr="003D6C19">
        <w:rPr>
          <w:sz w:val="22"/>
          <w:szCs w:val="22"/>
        </w:rPr>
        <w:t xml:space="preserve"> cycling was disrupted and pre</w:t>
      </w:r>
      <w:r w:rsidR="0027180B" w:rsidRPr="003D6C19">
        <w:rPr>
          <w:sz w:val="22"/>
          <w:szCs w:val="22"/>
        </w:rPr>
        <w:noBreakHyphen/>
        <w:t>implantation loss was increased. These effects occurred in the presence of significant maternal toxicity.</w:t>
      </w:r>
      <w:r w:rsidR="0027180B" w:rsidRPr="003D6C19">
        <w:t xml:space="preserve"> </w:t>
      </w:r>
      <w:r w:rsidRPr="003D6C19">
        <w:rPr>
          <w:sz w:val="22"/>
          <w:szCs w:val="22"/>
        </w:rPr>
        <w:t>No effects on male or female fertility and reproductive performance indices were observed at ≤100 mg/kg/day (</w:t>
      </w:r>
      <w:r w:rsidR="0027180B" w:rsidRPr="003D6C19">
        <w:rPr>
          <w:sz w:val="22"/>
          <w:szCs w:val="22"/>
        </w:rPr>
        <w:t xml:space="preserve">yielding </w:t>
      </w:r>
      <w:r w:rsidRPr="003D6C19">
        <w:rPr>
          <w:sz w:val="22"/>
          <w:szCs w:val="22"/>
        </w:rPr>
        <w:t xml:space="preserve">approximately 8 </w:t>
      </w:r>
      <w:r w:rsidR="0027180B" w:rsidRPr="003D6C19">
        <w:rPr>
          <w:sz w:val="22"/>
          <w:szCs w:val="22"/>
        </w:rPr>
        <w:t>and</w:t>
      </w:r>
      <w:r w:rsidR="00E32412" w:rsidRPr="003D6C19">
        <w:rPr>
          <w:sz w:val="22"/>
          <w:szCs w:val="22"/>
        </w:rPr>
        <w:t xml:space="preserve"> </w:t>
      </w:r>
      <w:r w:rsidR="005A0668" w:rsidRPr="003D6C19">
        <w:rPr>
          <w:sz w:val="22"/>
          <w:szCs w:val="22"/>
        </w:rPr>
        <w:t xml:space="preserve">5 </w:t>
      </w:r>
      <w:r w:rsidRPr="003D6C19">
        <w:rPr>
          <w:sz w:val="22"/>
          <w:szCs w:val="22"/>
        </w:rPr>
        <w:t>times</w:t>
      </w:r>
      <w:r w:rsidR="0027180B" w:rsidRPr="003D6C19">
        <w:rPr>
          <w:sz w:val="22"/>
          <w:szCs w:val="22"/>
        </w:rPr>
        <w:t>, respectively,</w:t>
      </w:r>
      <w:r w:rsidR="0063138B" w:rsidRPr="003D6C19">
        <w:rPr>
          <w:sz w:val="22"/>
          <w:szCs w:val="22"/>
        </w:rPr>
        <w:t xml:space="preserve"> the exposure at</w:t>
      </w:r>
      <w:r w:rsidRPr="003D6C19">
        <w:rPr>
          <w:sz w:val="22"/>
          <w:szCs w:val="22"/>
        </w:rPr>
        <w:t xml:space="preserve"> the MRHD of the </w:t>
      </w:r>
      <w:proofErr w:type="spellStart"/>
      <w:r w:rsidRPr="003D6C19">
        <w:rPr>
          <w:sz w:val="22"/>
          <w:szCs w:val="22"/>
        </w:rPr>
        <w:t>ivacaftor</w:t>
      </w:r>
      <w:proofErr w:type="spellEnd"/>
      <w:r w:rsidRPr="003D6C19">
        <w:rPr>
          <w:sz w:val="22"/>
          <w:szCs w:val="22"/>
        </w:rPr>
        <w:t xml:space="preserve"> component of </w:t>
      </w:r>
      <w:r w:rsidR="00606C30" w:rsidRPr="003D6C19">
        <w:rPr>
          <w:sz w:val="22"/>
          <w:szCs w:val="22"/>
        </w:rPr>
        <w:t>ORKAMBI</w:t>
      </w:r>
      <w:r w:rsidR="00C63417" w:rsidRPr="003D6C19">
        <w:rPr>
          <w:sz w:val="22"/>
          <w:szCs w:val="22"/>
        </w:rPr>
        <w:t xml:space="preserve"> 200/125 </w:t>
      </w:r>
      <w:r w:rsidRPr="003D6C19">
        <w:rPr>
          <w:sz w:val="22"/>
          <w:szCs w:val="22"/>
        </w:rPr>
        <w:t xml:space="preserve">based on summed AUCs of </w:t>
      </w:r>
      <w:proofErr w:type="spellStart"/>
      <w:r w:rsidRPr="003D6C19">
        <w:rPr>
          <w:sz w:val="22"/>
          <w:szCs w:val="22"/>
        </w:rPr>
        <w:t>ivacaftor</w:t>
      </w:r>
      <w:proofErr w:type="spellEnd"/>
      <w:r w:rsidRPr="003D6C19">
        <w:rPr>
          <w:sz w:val="22"/>
          <w:szCs w:val="22"/>
        </w:rPr>
        <w:t xml:space="preserve"> and its metabolites).</w:t>
      </w:r>
    </w:p>
    <w:p w:rsidR="00875EE7" w:rsidRPr="00E96CAB" w:rsidRDefault="00875EE7" w:rsidP="00110BBA">
      <w:pPr>
        <w:pStyle w:val="labeltext"/>
      </w:pPr>
    </w:p>
    <w:p w:rsidR="00875EE7" w:rsidRPr="00E96CAB" w:rsidRDefault="00875EE7" w:rsidP="00110BBA">
      <w:pPr>
        <w:rPr>
          <w:b/>
          <w:bCs/>
          <w:sz w:val="22"/>
          <w:szCs w:val="22"/>
        </w:rPr>
      </w:pPr>
      <w:r w:rsidRPr="00E96CAB">
        <w:rPr>
          <w:b/>
          <w:bCs/>
          <w:sz w:val="22"/>
          <w:szCs w:val="22"/>
        </w:rPr>
        <w:t>Use in Pregnancy</w:t>
      </w:r>
    </w:p>
    <w:p w:rsidR="00875EE7" w:rsidRPr="00E96CAB" w:rsidRDefault="00D87C2B" w:rsidP="00110BBA">
      <w:pPr>
        <w:rPr>
          <w:bCs/>
          <w:sz w:val="22"/>
          <w:szCs w:val="22"/>
        </w:rPr>
      </w:pPr>
      <w:r w:rsidRPr="003D6C19">
        <w:rPr>
          <w:bCs/>
          <w:sz w:val="22"/>
          <w:szCs w:val="22"/>
        </w:rPr>
        <w:t xml:space="preserve">Pregnancy </w:t>
      </w:r>
      <w:r w:rsidR="00875EE7" w:rsidRPr="00E96CAB">
        <w:rPr>
          <w:bCs/>
          <w:sz w:val="22"/>
          <w:szCs w:val="22"/>
        </w:rPr>
        <w:t xml:space="preserve">Category </w:t>
      </w:r>
      <w:r w:rsidR="0091047C" w:rsidRPr="00E96CAB">
        <w:rPr>
          <w:bCs/>
          <w:sz w:val="22"/>
          <w:szCs w:val="22"/>
        </w:rPr>
        <w:t>B3</w:t>
      </w:r>
    </w:p>
    <w:p w:rsidR="00875EE7" w:rsidRPr="00C26614" w:rsidRDefault="00875EE7" w:rsidP="00110BBA">
      <w:pPr>
        <w:pStyle w:val="NormalWeb"/>
        <w:spacing w:before="0" w:beforeAutospacing="0" w:after="0" w:afterAutospacing="0"/>
        <w:rPr>
          <w:sz w:val="22"/>
          <w:szCs w:val="22"/>
        </w:rPr>
      </w:pPr>
      <w:r w:rsidRPr="0086269B">
        <w:rPr>
          <w:bCs/>
          <w:sz w:val="22"/>
          <w:szCs w:val="22"/>
        </w:rPr>
        <w:t xml:space="preserve">Category </w:t>
      </w:r>
      <w:r w:rsidR="001A253E" w:rsidRPr="0086269B">
        <w:rPr>
          <w:bCs/>
          <w:sz w:val="22"/>
          <w:szCs w:val="22"/>
        </w:rPr>
        <w:t xml:space="preserve">B3 </w:t>
      </w:r>
      <w:r w:rsidR="0091047C" w:rsidRPr="0086269B">
        <w:rPr>
          <w:bCs/>
          <w:sz w:val="22"/>
          <w:szCs w:val="22"/>
        </w:rPr>
        <w:t>drugs</w:t>
      </w:r>
      <w:r w:rsidR="0091047C" w:rsidRPr="0086269B">
        <w:rPr>
          <w:sz w:val="22"/>
          <w:szCs w:val="22"/>
        </w:rPr>
        <w:t xml:space="preserve"> </w:t>
      </w:r>
      <w:r w:rsidRPr="0086269B">
        <w:rPr>
          <w:sz w:val="22"/>
          <w:szCs w:val="22"/>
        </w:rPr>
        <w:t xml:space="preserve">have been taken by only a limited number of pregnant women and women of childbearing age, without an increase in the frequency of malformation or other direct or </w:t>
      </w:r>
      <w:r w:rsidRPr="00C26614">
        <w:rPr>
          <w:sz w:val="22"/>
          <w:szCs w:val="22"/>
        </w:rPr>
        <w:t>indirect harmful effects on the human fetus having been observed. Studies in animals have shown evidence of an increased occurrence of fetal damage</w:t>
      </w:r>
      <w:r w:rsidR="0091047C" w:rsidRPr="00C26614">
        <w:rPr>
          <w:sz w:val="22"/>
          <w:szCs w:val="22"/>
        </w:rPr>
        <w:t>, the significance of which is considered uncertain in humans</w:t>
      </w:r>
      <w:r w:rsidRPr="00C26614">
        <w:rPr>
          <w:sz w:val="22"/>
          <w:szCs w:val="22"/>
        </w:rPr>
        <w:t>.</w:t>
      </w:r>
    </w:p>
    <w:p w:rsidR="00110BBA" w:rsidRPr="00C26614" w:rsidRDefault="00110BBA" w:rsidP="00110BBA">
      <w:pPr>
        <w:pStyle w:val="NormalWeb"/>
        <w:spacing w:before="0" w:beforeAutospacing="0" w:after="0" w:afterAutospacing="0"/>
        <w:rPr>
          <w:sz w:val="22"/>
          <w:szCs w:val="22"/>
        </w:rPr>
      </w:pPr>
    </w:p>
    <w:p w:rsidR="0086269B" w:rsidRPr="00C26614" w:rsidRDefault="00980222" w:rsidP="00C26614">
      <w:pPr>
        <w:rPr>
          <w:rFonts w:eastAsia="Calibri"/>
          <w:sz w:val="22"/>
          <w:szCs w:val="22"/>
        </w:rPr>
      </w:pPr>
      <w:r w:rsidRPr="00C26614">
        <w:rPr>
          <w:sz w:val="22"/>
          <w:szCs w:val="22"/>
        </w:rPr>
        <w:t>No adequate and well</w:t>
      </w:r>
      <w:r w:rsidRPr="00C26614">
        <w:rPr>
          <w:sz w:val="22"/>
          <w:szCs w:val="22"/>
        </w:rPr>
        <w:noBreakHyphen/>
        <w:t xml:space="preserve">controlled studies of </w:t>
      </w:r>
      <w:r w:rsidR="00606C30" w:rsidRPr="00C26614">
        <w:rPr>
          <w:sz w:val="22"/>
          <w:szCs w:val="22"/>
        </w:rPr>
        <w:t>ORKAMBI</w:t>
      </w:r>
      <w:r w:rsidR="00C63417" w:rsidRPr="00C26614">
        <w:rPr>
          <w:sz w:val="22"/>
          <w:szCs w:val="22"/>
        </w:rPr>
        <w:t xml:space="preserve"> 200/125 </w:t>
      </w:r>
      <w:r w:rsidRPr="00C26614">
        <w:rPr>
          <w:sz w:val="22"/>
          <w:szCs w:val="22"/>
        </w:rPr>
        <w:t>in pregnant women have been conducted.</w:t>
      </w:r>
      <w:r w:rsidR="00C26614" w:rsidRPr="00C26614">
        <w:rPr>
          <w:sz w:val="22"/>
          <w:szCs w:val="22"/>
        </w:rPr>
        <w:t xml:space="preserve"> </w:t>
      </w:r>
      <w:r w:rsidR="0086269B" w:rsidRPr="00C26614">
        <w:rPr>
          <w:rFonts w:eastAsia="Calibri"/>
          <w:sz w:val="22"/>
          <w:szCs w:val="22"/>
        </w:rPr>
        <w:t>Adverse effect</w:t>
      </w:r>
      <w:r w:rsidR="001A7A83" w:rsidRPr="00C26614">
        <w:rPr>
          <w:rFonts w:eastAsia="Calibri"/>
          <w:sz w:val="22"/>
          <w:szCs w:val="22"/>
        </w:rPr>
        <w:t>s</w:t>
      </w:r>
      <w:r w:rsidR="0086269B" w:rsidRPr="00C26614">
        <w:rPr>
          <w:rFonts w:eastAsia="Calibri"/>
          <w:sz w:val="22"/>
          <w:szCs w:val="22"/>
        </w:rPr>
        <w:t xml:space="preserve"> on </w:t>
      </w:r>
      <w:proofErr w:type="spellStart"/>
      <w:r w:rsidR="0086269B" w:rsidRPr="00C26614">
        <w:rPr>
          <w:rFonts w:eastAsia="Calibri"/>
          <w:sz w:val="22"/>
          <w:szCs w:val="22"/>
        </w:rPr>
        <w:t>embryofetal</w:t>
      </w:r>
      <w:proofErr w:type="spellEnd"/>
      <w:r w:rsidR="0086269B" w:rsidRPr="00C26614">
        <w:rPr>
          <w:rFonts w:eastAsia="Calibri"/>
          <w:sz w:val="22"/>
          <w:szCs w:val="22"/>
        </w:rPr>
        <w:t xml:space="preserve"> development have been observed in studies </w:t>
      </w:r>
      <w:r w:rsidR="0086269B" w:rsidRPr="00C26614">
        <w:rPr>
          <w:rFonts w:eastAsia="Calibri"/>
          <w:sz w:val="22"/>
          <w:szCs w:val="22"/>
        </w:rPr>
        <w:lastRenderedPageBreak/>
        <w:t xml:space="preserve">in animals, conducted with the individual active components. </w:t>
      </w:r>
      <w:proofErr w:type="spellStart"/>
      <w:r w:rsidR="0086269B" w:rsidRPr="00C26614">
        <w:rPr>
          <w:rFonts w:eastAsia="Calibri"/>
          <w:sz w:val="22"/>
          <w:szCs w:val="22"/>
        </w:rPr>
        <w:t>Lumacaftor</w:t>
      </w:r>
      <w:proofErr w:type="spellEnd"/>
      <w:r w:rsidR="0086269B" w:rsidRPr="00C26614">
        <w:rPr>
          <w:rFonts w:eastAsia="Calibri"/>
          <w:sz w:val="22"/>
          <w:szCs w:val="22"/>
        </w:rPr>
        <w:t xml:space="preserve">, </w:t>
      </w:r>
      <w:proofErr w:type="spellStart"/>
      <w:r w:rsidR="0086269B" w:rsidRPr="00C26614">
        <w:rPr>
          <w:rFonts w:eastAsia="Calibri"/>
          <w:sz w:val="22"/>
          <w:szCs w:val="22"/>
        </w:rPr>
        <w:t>ivacaftor</w:t>
      </w:r>
      <w:proofErr w:type="spellEnd"/>
      <w:r w:rsidR="001A7A83" w:rsidRPr="00C26614">
        <w:rPr>
          <w:rFonts w:eastAsia="Calibri"/>
          <w:sz w:val="22"/>
          <w:szCs w:val="22"/>
        </w:rPr>
        <w:t>,</w:t>
      </w:r>
      <w:r w:rsidR="0086269B" w:rsidRPr="00C26614">
        <w:rPr>
          <w:rFonts w:eastAsia="Calibri"/>
          <w:sz w:val="22"/>
          <w:szCs w:val="22"/>
        </w:rPr>
        <w:t xml:space="preserve"> and/or their metabolites were shown to cross the placenta in rats and rabbits.</w:t>
      </w:r>
    </w:p>
    <w:p w:rsidR="0086269B" w:rsidRPr="00C26614" w:rsidRDefault="0086269B" w:rsidP="00C26614">
      <w:pPr>
        <w:rPr>
          <w:rFonts w:eastAsia="Calibri"/>
          <w:sz w:val="22"/>
          <w:szCs w:val="22"/>
        </w:rPr>
      </w:pPr>
    </w:p>
    <w:p w:rsidR="0086269B" w:rsidRPr="00C26614" w:rsidRDefault="0086269B" w:rsidP="00C26614">
      <w:pPr>
        <w:rPr>
          <w:rFonts w:eastAsia="Calibri"/>
          <w:sz w:val="22"/>
          <w:szCs w:val="22"/>
        </w:rPr>
      </w:pPr>
      <w:proofErr w:type="spellStart"/>
      <w:r w:rsidRPr="00C26614">
        <w:rPr>
          <w:rFonts w:eastAsia="Calibri"/>
          <w:sz w:val="22"/>
          <w:szCs w:val="22"/>
        </w:rPr>
        <w:t>Lumacaftor</w:t>
      </w:r>
      <w:proofErr w:type="spellEnd"/>
      <w:r w:rsidRPr="00C26614">
        <w:rPr>
          <w:rFonts w:eastAsia="Calibri"/>
          <w:sz w:val="22"/>
          <w:szCs w:val="22"/>
        </w:rPr>
        <w:t xml:space="preserve"> produced no teratogenicity or other adverse effects on </w:t>
      </w:r>
      <w:proofErr w:type="spellStart"/>
      <w:r w:rsidRPr="00C26614">
        <w:rPr>
          <w:rFonts w:eastAsia="Calibri"/>
          <w:sz w:val="22"/>
          <w:szCs w:val="22"/>
        </w:rPr>
        <w:t>embryofetal</w:t>
      </w:r>
      <w:proofErr w:type="spellEnd"/>
      <w:r w:rsidRPr="00C26614">
        <w:rPr>
          <w:rFonts w:eastAsia="Calibri"/>
          <w:sz w:val="22"/>
          <w:szCs w:val="22"/>
        </w:rPr>
        <w:t xml:space="preserve"> development in rats receiving oral doses up to 2000</w:t>
      </w:r>
      <w:r w:rsidR="001A7A83" w:rsidRPr="00C26614">
        <w:rPr>
          <w:rFonts w:eastAsia="Calibri"/>
          <w:sz w:val="22"/>
          <w:szCs w:val="22"/>
        </w:rPr>
        <w:t> </w:t>
      </w:r>
      <w:r w:rsidRPr="00C26614">
        <w:rPr>
          <w:rFonts w:eastAsia="Calibri"/>
          <w:sz w:val="22"/>
          <w:szCs w:val="22"/>
        </w:rPr>
        <w:t>mg/kg/day (yielding 8</w:t>
      </w:r>
      <w:r w:rsidR="001A7A83" w:rsidRPr="00C26614">
        <w:rPr>
          <w:rFonts w:eastAsia="Calibri"/>
          <w:sz w:val="22"/>
          <w:szCs w:val="22"/>
        </w:rPr>
        <w:t> </w:t>
      </w:r>
      <w:r w:rsidRPr="00C26614">
        <w:rPr>
          <w:rFonts w:eastAsia="Calibri"/>
          <w:sz w:val="22"/>
          <w:szCs w:val="22"/>
        </w:rPr>
        <w:t xml:space="preserve">times the plasma AUC for </w:t>
      </w:r>
      <w:proofErr w:type="spellStart"/>
      <w:r w:rsidRPr="00C26614">
        <w:rPr>
          <w:rFonts w:eastAsia="Calibri"/>
          <w:sz w:val="22"/>
          <w:szCs w:val="22"/>
        </w:rPr>
        <w:t>lumacaftor</w:t>
      </w:r>
      <w:proofErr w:type="spellEnd"/>
      <w:r w:rsidRPr="00C26614">
        <w:rPr>
          <w:rFonts w:eastAsia="Calibri"/>
          <w:sz w:val="22"/>
          <w:szCs w:val="22"/>
        </w:rPr>
        <w:t xml:space="preserve"> in patients at the maximum recommended dose) or in rabbits at up to 100</w:t>
      </w:r>
      <w:r w:rsidR="001A7A83" w:rsidRPr="00C26614">
        <w:rPr>
          <w:rFonts w:eastAsia="Calibri"/>
          <w:sz w:val="22"/>
          <w:szCs w:val="22"/>
        </w:rPr>
        <w:t> </w:t>
      </w:r>
      <w:r w:rsidRPr="00C26614">
        <w:rPr>
          <w:rFonts w:eastAsia="Calibri"/>
          <w:sz w:val="22"/>
          <w:szCs w:val="22"/>
        </w:rPr>
        <w:t>mg/kg/day (relative exposure based on AUC, 3). At 200</w:t>
      </w:r>
      <w:r w:rsidR="001A7A83" w:rsidRPr="00C26614">
        <w:rPr>
          <w:rFonts w:eastAsia="Calibri"/>
          <w:sz w:val="22"/>
          <w:szCs w:val="22"/>
        </w:rPr>
        <w:t> </w:t>
      </w:r>
      <w:r w:rsidRPr="00C26614">
        <w:rPr>
          <w:rFonts w:eastAsia="Calibri"/>
          <w:sz w:val="22"/>
          <w:szCs w:val="22"/>
        </w:rPr>
        <w:t xml:space="preserve">mg/kg/day, treatment with </w:t>
      </w:r>
      <w:proofErr w:type="spellStart"/>
      <w:r w:rsidRPr="00C26614">
        <w:rPr>
          <w:rFonts w:eastAsia="Calibri"/>
          <w:sz w:val="22"/>
          <w:szCs w:val="22"/>
        </w:rPr>
        <w:t>lumacaftor</w:t>
      </w:r>
      <w:proofErr w:type="spellEnd"/>
      <w:r w:rsidRPr="00C26614">
        <w:rPr>
          <w:rFonts w:eastAsia="Calibri"/>
          <w:sz w:val="22"/>
          <w:szCs w:val="22"/>
        </w:rPr>
        <w:t xml:space="preserve"> was associated with abortions and a slight increase in the incidence of minor skeletal abnormalities in rabbits (relative exposure based on AUC, 5). This occurred in conjunction with significant maternal toxicity, and the findings are not considered to reflect a direct effect of </w:t>
      </w:r>
      <w:proofErr w:type="spellStart"/>
      <w:r w:rsidRPr="00C26614">
        <w:rPr>
          <w:rFonts w:eastAsia="Calibri"/>
          <w:sz w:val="22"/>
          <w:szCs w:val="22"/>
        </w:rPr>
        <w:t>lumacaftor</w:t>
      </w:r>
      <w:proofErr w:type="spellEnd"/>
      <w:r w:rsidRPr="00C26614">
        <w:rPr>
          <w:rFonts w:eastAsia="Calibri"/>
          <w:sz w:val="22"/>
          <w:szCs w:val="22"/>
        </w:rPr>
        <w:t xml:space="preserve"> on the developing fetus.</w:t>
      </w:r>
    </w:p>
    <w:p w:rsidR="0086269B" w:rsidRPr="00C26614" w:rsidRDefault="0086269B" w:rsidP="00C26614">
      <w:pPr>
        <w:rPr>
          <w:rFonts w:eastAsia="Calibri"/>
          <w:sz w:val="22"/>
          <w:szCs w:val="22"/>
        </w:rPr>
      </w:pPr>
    </w:p>
    <w:p w:rsidR="0086269B" w:rsidRPr="00C26614" w:rsidRDefault="0086269B" w:rsidP="00C26614">
      <w:pPr>
        <w:rPr>
          <w:rFonts w:eastAsia="Calibri"/>
          <w:sz w:val="22"/>
          <w:szCs w:val="22"/>
        </w:rPr>
      </w:pPr>
      <w:r w:rsidRPr="00C26614">
        <w:rPr>
          <w:rFonts w:eastAsia="Calibri"/>
          <w:sz w:val="22"/>
          <w:szCs w:val="22"/>
        </w:rPr>
        <w:t xml:space="preserve">Developmental toxicity studies with </w:t>
      </w:r>
      <w:proofErr w:type="spellStart"/>
      <w:r w:rsidRPr="00C26614">
        <w:rPr>
          <w:rFonts w:eastAsia="Calibri"/>
          <w:sz w:val="22"/>
          <w:szCs w:val="22"/>
        </w:rPr>
        <w:t>ivacaftor</w:t>
      </w:r>
      <w:proofErr w:type="spellEnd"/>
      <w:r w:rsidRPr="00C26614">
        <w:rPr>
          <w:rFonts w:eastAsia="Calibri"/>
          <w:sz w:val="22"/>
          <w:szCs w:val="22"/>
        </w:rPr>
        <w:t xml:space="preserve"> revealed no teratogenicity in rats at oral doses up to 200</w:t>
      </w:r>
      <w:r w:rsidR="001A7A83" w:rsidRPr="00C26614">
        <w:rPr>
          <w:rFonts w:eastAsia="Calibri"/>
          <w:sz w:val="22"/>
          <w:szCs w:val="22"/>
        </w:rPr>
        <w:t> </w:t>
      </w:r>
      <w:r w:rsidRPr="00C26614">
        <w:rPr>
          <w:rFonts w:eastAsia="Calibri"/>
          <w:sz w:val="22"/>
          <w:szCs w:val="22"/>
        </w:rPr>
        <w:t xml:space="preserve">mg/kg/day (yielding 7 times the summed AUC for </w:t>
      </w:r>
      <w:proofErr w:type="spellStart"/>
      <w:r w:rsidRPr="00C26614">
        <w:rPr>
          <w:rFonts w:eastAsia="Calibri"/>
          <w:sz w:val="22"/>
          <w:szCs w:val="22"/>
        </w:rPr>
        <w:t>ivacaftor</w:t>
      </w:r>
      <w:proofErr w:type="spellEnd"/>
      <w:r w:rsidRPr="00C26614">
        <w:rPr>
          <w:rFonts w:eastAsia="Calibri"/>
          <w:sz w:val="22"/>
          <w:szCs w:val="22"/>
        </w:rPr>
        <w:t xml:space="preserve"> and its major metabolites anticipated in patients) or in rabbits at up to 100</w:t>
      </w:r>
      <w:r w:rsidR="001A7A83" w:rsidRPr="00C26614">
        <w:rPr>
          <w:rFonts w:eastAsia="Calibri"/>
          <w:sz w:val="22"/>
          <w:szCs w:val="22"/>
        </w:rPr>
        <w:t> </w:t>
      </w:r>
      <w:r w:rsidRPr="00C26614">
        <w:rPr>
          <w:rFonts w:eastAsia="Calibri"/>
          <w:sz w:val="22"/>
          <w:szCs w:val="22"/>
        </w:rPr>
        <w:t>mg/kg/day (relative exposure based on summed AUCs, ≥4). Fetal weight was decreased and the incidence of minor fetal skeletal abnormalities was increased in rats treated at 200</w:t>
      </w:r>
      <w:r w:rsidR="001A7A83" w:rsidRPr="00C26614">
        <w:rPr>
          <w:rFonts w:eastAsia="Calibri"/>
          <w:sz w:val="22"/>
          <w:szCs w:val="22"/>
        </w:rPr>
        <w:t> </w:t>
      </w:r>
      <w:r w:rsidRPr="00C26614">
        <w:rPr>
          <w:rFonts w:eastAsia="Calibri"/>
          <w:sz w:val="22"/>
          <w:szCs w:val="22"/>
        </w:rPr>
        <w:t>mg/kg/day; these effects were observed in conjunction with maternal toxicity.</w:t>
      </w:r>
    </w:p>
    <w:p w:rsidR="0086269B" w:rsidRPr="00C26614" w:rsidRDefault="0086269B" w:rsidP="00C26614">
      <w:pPr>
        <w:rPr>
          <w:rFonts w:eastAsia="Calibri"/>
          <w:sz w:val="22"/>
          <w:szCs w:val="22"/>
        </w:rPr>
      </w:pPr>
    </w:p>
    <w:p w:rsidR="005A2EE3" w:rsidRPr="005A2EE3" w:rsidRDefault="005A2EE3" w:rsidP="005A2EE3">
      <w:pPr>
        <w:autoSpaceDE w:val="0"/>
        <w:autoSpaceDN w:val="0"/>
        <w:adjustRightInd w:val="0"/>
        <w:ind w:left="40" w:right="-20"/>
        <w:rPr>
          <w:bCs/>
          <w:sz w:val="22"/>
          <w:szCs w:val="22"/>
        </w:rPr>
      </w:pPr>
      <w:r w:rsidRPr="005A2EE3">
        <w:rPr>
          <w:bCs/>
          <w:sz w:val="22"/>
          <w:szCs w:val="22"/>
        </w:rPr>
        <w:t>Because animal reproduction studies are not always predictive of human response, and given the limited experience with ORKAMBI 200/125 in pregnancy, ORKAMBI 200/125 should only be used during pregnancy if the expected benefits justify the potential risks to the fetus.</w:t>
      </w:r>
    </w:p>
    <w:p w:rsidR="0086269B" w:rsidRPr="00113039" w:rsidRDefault="0086269B" w:rsidP="00914E9B">
      <w:pPr>
        <w:rPr>
          <w:sz w:val="22"/>
          <w:szCs w:val="22"/>
        </w:rPr>
      </w:pPr>
    </w:p>
    <w:p w:rsidR="00875EE7" w:rsidRPr="00E96CAB" w:rsidRDefault="00875EE7" w:rsidP="00DD338D">
      <w:pPr>
        <w:tabs>
          <w:tab w:val="left" w:pos="270"/>
        </w:tabs>
        <w:rPr>
          <w:b/>
          <w:sz w:val="22"/>
          <w:szCs w:val="22"/>
        </w:rPr>
      </w:pPr>
      <w:r w:rsidRPr="00E96CAB">
        <w:rPr>
          <w:b/>
          <w:sz w:val="22"/>
          <w:szCs w:val="22"/>
        </w:rPr>
        <w:t>Use in Lactation</w:t>
      </w:r>
    </w:p>
    <w:p w:rsidR="00875EE7" w:rsidRPr="00E96CAB" w:rsidRDefault="00875EE7" w:rsidP="00076112">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bCs/>
          <w:sz w:val="22"/>
          <w:szCs w:val="22"/>
        </w:rPr>
      </w:pPr>
      <w:r w:rsidRPr="00E96CAB">
        <w:rPr>
          <w:bCs/>
          <w:sz w:val="22"/>
          <w:szCs w:val="22"/>
        </w:rPr>
        <w:t xml:space="preserve">It is unknown whether </w:t>
      </w:r>
      <w:proofErr w:type="spellStart"/>
      <w:r w:rsidR="00980222" w:rsidRPr="00E96CAB">
        <w:rPr>
          <w:bCs/>
          <w:sz w:val="22"/>
          <w:szCs w:val="22"/>
        </w:rPr>
        <w:t>lumacaftor</w:t>
      </w:r>
      <w:proofErr w:type="spellEnd"/>
      <w:r w:rsidR="00980222" w:rsidRPr="00E96CAB">
        <w:rPr>
          <w:bCs/>
          <w:sz w:val="22"/>
          <w:szCs w:val="22"/>
        </w:rPr>
        <w:t xml:space="preserve"> and/or </w:t>
      </w:r>
      <w:proofErr w:type="spellStart"/>
      <w:r w:rsidRPr="00E96CAB">
        <w:rPr>
          <w:bCs/>
          <w:sz w:val="22"/>
          <w:szCs w:val="22"/>
        </w:rPr>
        <w:t>ivacaftor</w:t>
      </w:r>
      <w:proofErr w:type="spellEnd"/>
      <w:r w:rsidRPr="00E96CAB">
        <w:rPr>
          <w:bCs/>
          <w:sz w:val="22"/>
          <w:szCs w:val="22"/>
        </w:rPr>
        <w:t xml:space="preserve"> and metabolites are excreted in human milk. </w:t>
      </w:r>
      <w:r w:rsidR="00441330" w:rsidRPr="00E96CAB">
        <w:rPr>
          <w:sz w:val="22"/>
          <w:szCs w:val="22"/>
        </w:rPr>
        <w:t xml:space="preserve">Available pharmacokinetic data in animals have shown excretion of both </w:t>
      </w:r>
      <w:proofErr w:type="spellStart"/>
      <w:r w:rsidR="00441330" w:rsidRPr="00E96CAB">
        <w:rPr>
          <w:sz w:val="22"/>
          <w:szCs w:val="22"/>
        </w:rPr>
        <w:t>lumacaftor</w:t>
      </w:r>
      <w:proofErr w:type="spellEnd"/>
      <w:r w:rsidR="00441330" w:rsidRPr="00E96CAB">
        <w:rPr>
          <w:sz w:val="22"/>
          <w:szCs w:val="22"/>
        </w:rPr>
        <w:t xml:space="preserve"> and </w:t>
      </w:r>
      <w:proofErr w:type="spellStart"/>
      <w:r w:rsidR="00441330" w:rsidRPr="00E96CAB">
        <w:rPr>
          <w:sz w:val="22"/>
          <w:szCs w:val="22"/>
        </w:rPr>
        <w:t>ivacaftor</w:t>
      </w:r>
      <w:proofErr w:type="spellEnd"/>
      <w:r w:rsidR="00441330" w:rsidRPr="00E96CAB">
        <w:rPr>
          <w:sz w:val="22"/>
          <w:szCs w:val="22"/>
        </w:rPr>
        <w:t xml:space="preserve"> into the milk of lactating female rats. As such, risks to the suckling child cannot be excluded. A decision must be made whether to discontinue breast</w:t>
      </w:r>
      <w:r w:rsidR="00441330" w:rsidRPr="00E96CAB">
        <w:rPr>
          <w:sz w:val="22"/>
          <w:szCs w:val="22"/>
        </w:rPr>
        <w:noBreakHyphen/>
        <w:t xml:space="preserve">feeding or to discontinue/abstain from </w:t>
      </w:r>
      <w:proofErr w:type="spellStart"/>
      <w:r w:rsidR="00441330" w:rsidRPr="00E96CAB">
        <w:rPr>
          <w:sz w:val="22"/>
          <w:szCs w:val="22"/>
        </w:rPr>
        <w:t>lumacaftor</w:t>
      </w:r>
      <w:proofErr w:type="spellEnd"/>
      <w:r w:rsidR="00441330" w:rsidRPr="00E96CAB">
        <w:rPr>
          <w:sz w:val="22"/>
          <w:szCs w:val="22"/>
        </w:rPr>
        <w:t>/</w:t>
      </w:r>
      <w:proofErr w:type="spellStart"/>
      <w:r w:rsidR="00441330" w:rsidRPr="00E96CAB">
        <w:rPr>
          <w:sz w:val="22"/>
          <w:szCs w:val="22"/>
        </w:rPr>
        <w:t>ivacaftor</w:t>
      </w:r>
      <w:proofErr w:type="spellEnd"/>
      <w:r w:rsidR="00441330" w:rsidRPr="00E96CAB">
        <w:rPr>
          <w:sz w:val="22"/>
          <w:szCs w:val="22"/>
        </w:rPr>
        <w:t xml:space="preserve"> therapy taking into account the benefit of breast</w:t>
      </w:r>
      <w:r w:rsidR="00441330" w:rsidRPr="00E96CAB">
        <w:rPr>
          <w:sz w:val="22"/>
          <w:szCs w:val="22"/>
        </w:rPr>
        <w:noBreakHyphen/>
        <w:t>feeding for the child and the benefit of therapy for the mother.</w:t>
      </w:r>
    </w:p>
    <w:p w:rsidR="00875EE7" w:rsidRPr="00E96CAB" w:rsidRDefault="00875EE7" w:rsidP="00A42BBC">
      <w:pPr>
        <w:tabs>
          <w:tab w:val="left" w:pos="3641"/>
        </w:tabs>
        <w:rPr>
          <w:sz w:val="22"/>
          <w:szCs w:val="22"/>
        </w:rPr>
      </w:pPr>
    </w:p>
    <w:p w:rsidR="00875EE7" w:rsidRPr="00E96CAB" w:rsidRDefault="00875EE7" w:rsidP="00115643">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b/>
          <w:sz w:val="22"/>
          <w:szCs w:val="22"/>
        </w:rPr>
      </w:pPr>
      <w:proofErr w:type="spellStart"/>
      <w:r w:rsidRPr="00E96CAB">
        <w:rPr>
          <w:b/>
          <w:sz w:val="22"/>
          <w:szCs w:val="22"/>
        </w:rPr>
        <w:t>Paediatric</w:t>
      </w:r>
      <w:proofErr w:type="spellEnd"/>
      <w:r w:rsidRPr="00E96CAB">
        <w:rPr>
          <w:b/>
          <w:sz w:val="22"/>
          <w:szCs w:val="22"/>
        </w:rPr>
        <w:t xml:space="preserve"> Use</w:t>
      </w:r>
    </w:p>
    <w:p w:rsidR="00875EE7" w:rsidRPr="00E96CAB" w:rsidRDefault="00875EE7" w:rsidP="009926D8">
      <w:pPr>
        <w:autoSpaceDE w:val="0"/>
        <w:autoSpaceDN w:val="0"/>
        <w:adjustRightInd w:val="0"/>
        <w:rPr>
          <w:sz w:val="22"/>
          <w:szCs w:val="22"/>
        </w:rPr>
      </w:pPr>
      <w:r w:rsidRPr="00E96CAB">
        <w:rPr>
          <w:sz w:val="22"/>
          <w:szCs w:val="22"/>
        </w:rPr>
        <w:t xml:space="preserve">The safety and </w:t>
      </w:r>
      <w:r w:rsidRPr="000E14B3">
        <w:rPr>
          <w:sz w:val="22"/>
          <w:szCs w:val="22"/>
        </w:rPr>
        <w:t xml:space="preserve">efficacy of </w:t>
      </w:r>
      <w:r w:rsidR="00C63417" w:rsidRPr="000E14B3">
        <w:rPr>
          <w:sz w:val="22"/>
          <w:szCs w:val="22"/>
        </w:rPr>
        <w:t xml:space="preserve">ORKAMBI 200/125 </w:t>
      </w:r>
      <w:r w:rsidRPr="000E14B3">
        <w:rPr>
          <w:sz w:val="22"/>
          <w:szCs w:val="22"/>
        </w:rPr>
        <w:t xml:space="preserve">in children aged less than </w:t>
      </w:r>
      <w:r w:rsidR="00076112" w:rsidRPr="000E14B3">
        <w:rPr>
          <w:sz w:val="22"/>
          <w:szCs w:val="22"/>
        </w:rPr>
        <w:t>12</w:t>
      </w:r>
      <w:r w:rsidR="00151EF7" w:rsidRPr="000E14B3">
        <w:rPr>
          <w:sz w:val="22"/>
          <w:szCs w:val="22"/>
        </w:rPr>
        <w:t> </w:t>
      </w:r>
      <w:r w:rsidRPr="000E14B3">
        <w:rPr>
          <w:sz w:val="22"/>
          <w:szCs w:val="22"/>
        </w:rPr>
        <w:t xml:space="preserve">years have not been established. </w:t>
      </w:r>
      <w:r w:rsidR="00E65C4A" w:rsidRPr="000E14B3">
        <w:rPr>
          <w:sz w:val="22"/>
          <w:szCs w:val="22"/>
          <w:lang w:val="en-GB"/>
        </w:rPr>
        <w:t>Cataracts were seen</w:t>
      </w:r>
      <w:r w:rsidR="00BD7E64" w:rsidRPr="000E14B3">
        <w:rPr>
          <w:sz w:val="22"/>
          <w:szCs w:val="22"/>
          <w:lang w:val="en-GB"/>
        </w:rPr>
        <w:t xml:space="preserve"> in juvenile rats </w:t>
      </w:r>
      <w:r w:rsidR="00E65C4A" w:rsidRPr="000E14B3">
        <w:rPr>
          <w:sz w:val="22"/>
          <w:szCs w:val="22"/>
          <w:lang w:val="en-GB"/>
        </w:rPr>
        <w:t xml:space="preserve">treated with </w:t>
      </w:r>
      <w:proofErr w:type="spellStart"/>
      <w:r w:rsidR="00E65C4A" w:rsidRPr="000E14B3">
        <w:rPr>
          <w:sz w:val="22"/>
          <w:szCs w:val="22"/>
          <w:lang w:val="en-GB"/>
        </w:rPr>
        <w:t>ivacaftor</w:t>
      </w:r>
      <w:proofErr w:type="spellEnd"/>
      <w:r w:rsidR="00BD7E64" w:rsidRPr="000E14B3">
        <w:rPr>
          <w:sz w:val="22"/>
          <w:szCs w:val="22"/>
          <w:lang w:val="en-GB"/>
        </w:rPr>
        <w:t xml:space="preserve"> from postnatal </w:t>
      </w:r>
      <w:r w:rsidR="00DE3425" w:rsidRPr="000E14B3">
        <w:rPr>
          <w:sz w:val="22"/>
          <w:szCs w:val="22"/>
          <w:lang w:val="en-GB"/>
        </w:rPr>
        <w:t>D</w:t>
      </w:r>
      <w:r w:rsidR="00BD7E64" w:rsidRPr="000E14B3">
        <w:rPr>
          <w:sz w:val="22"/>
          <w:szCs w:val="22"/>
          <w:lang w:val="en-GB"/>
        </w:rPr>
        <w:t>ay</w:t>
      </w:r>
      <w:r w:rsidR="00151EF7" w:rsidRPr="000E14B3">
        <w:rPr>
          <w:sz w:val="22"/>
          <w:szCs w:val="22"/>
          <w:lang w:val="en-GB"/>
        </w:rPr>
        <w:t> </w:t>
      </w:r>
      <w:r w:rsidR="00BD7E64" w:rsidRPr="000E14B3">
        <w:rPr>
          <w:sz w:val="22"/>
          <w:szCs w:val="22"/>
          <w:lang w:val="en-GB"/>
        </w:rPr>
        <w:t xml:space="preserve">7 through 35 </w:t>
      </w:r>
      <w:r w:rsidR="009926D8" w:rsidRPr="000E14B3">
        <w:rPr>
          <w:sz w:val="22"/>
          <w:szCs w:val="22"/>
          <w:lang w:val="en-GB"/>
        </w:rPr>
        <w:t>at oral</w:t>
      </w:r>
      <w:r w:rsidR="0097473F" w:rsidRPr="000E14B3">
        <w:rPr>
          <w:sz w:val="22"/>
          <w:szCs w:val="22"/>
          <w:lang w:val="en-GB"/>
        </w:rPr>
        <w:t xml:space="preserve"> </w:t>
      </w:r>
      <w:r w:rsidR="00BD7E64" w:rsidRPr="000E14B3">
        <w:rPr>
          <w:sz w:val="22"/>
          <w:szCs w:val="22"/>
          <w:lang w:val="en-GB"/>
        </w:rPr>
        <w:t>dose levels of 10 mg/kg/day and higher</w:t>
      </w:r>
      <w:r w:rsidR="009926D8" w:rsidRPr="000E14B3">
        <w:rPr>
          <w:sz w:val="22"/>
          <w:szCs w:val="22"/>
          <w:lang w:val="en-GB"/>
        </w:rPr>
        <w:t xml:space="preserve">, </w:t>
      </w:r>
      <w:r w:rsidR="009926D8" w:rsidRPr="000E14B3">
        <w:rPr>
          <w:sz w:val="22"/>
          <w:szCs w:val="22"/>
        </w:rPr>
        <w:t xml:space="preserve">yielding exposure to </w:t>
      </w:r>
      <w:proofErr w:type="spellStart"/>
      <w:r w:rsidR="009926D8" w:rsidRPr="000E14B3">
        <w:rPr>
          <w:sz w:val="22"/>
          <w:szCs w:val="22"/>
        </w:rPr>
        <w:t>ivacaftor</w:t>
      </w:r>
      <w:proofErr w:type="spellEnd"/>
      <w:r w:rsidR="009926D8" w:rsidRPr="000E14B3">
        <w:rPr>
          <w:sz w:val="22"/>
          <w:szCs w:val="22"/>
        </w:rPr>
        <w:t xml:space="preserve"> and its major metabolites approximately 2.5–4 times lower than in patients at</w:t>
      </w:r>
      <w:r w:rsidR="009926D8" w:rsidRPr="000E14B3">
        <w:rPr>
          <w:rFonts w:ascii="Cambria" w:hAnsi="Cambria" w:cs="Cambria"/>
          <w:sz w:val="22"/>
          <w:szCs w:val="22"/>
        </w:rPr>
        <w:t xml:space="preserve"> </w:t>
      </w:r>
      <w:r w:rsidR="00BD7E64" w:rsidRPr="000E14B3">
        <w:rPr>
          <w:sz w:val="22"/>
          <w:szCs w:val="22"/>
          <w:lang w:val="en-GB"/>
        </w:rPr>
        <w:t xml:space="preserve">the maximum recommended human dose </w:t>
      </w:r>
      <w:r w:rsidR="009926D8" w:rsidRPr="000E14B3">
        <w:rPr>
          <w:sz w:val="22"/>
          <w:szCs w:val="22"/>
          <w:lang w:val="en-GB"/>
        </w:rPr>
        <w:t>with ORKAMBI 200/125 (</w:t>
      </w:r>
      <w:r w:rsidR="00BD7E64" w:rsidRPr="000E14B3">
        <w:rPr>
          <w:sz w:val="22"/>
          <w:szCs w:val="22"/>
          <w:lang w:val="en-GB"/>
        </w:rPr>
        <w:t xml:space="preserve">based on </w:t>
      </w:r>
      <w:r w:rsidR="009926D8" w:rsidRPr="000E14B3">
        <w:rPr>
          <w:sz w:val="22"/>
          <w:szCs w:val="22"/>
          <w:lang w:val="en-GB"/>
        </w:rPr>
        <w:t>summed AUCs</w:t>
      </w:r>
      <w:r w:rsidR="00CC6D1B" w:rsidRPr="000E14B3">
        <w:rPr>
          <w:sz w:val="22"/>
          <w:szCs w:val="22"/>
          <w:lang w:val="en-GB"/>
        </w:rPr>
        <w:t>).</w:t>
      </w:r>
      <w:r w:rsidR="00BD7E64" w:rsidRPr="000E14B3">
        <w:rPr>
          <w:sz w:val="22"/>
          <w:szCs w:val="22"/>
          <w:lang w:val="en-GB"/>
        </w:rPr>
        <w:t xml:space="preserve"> This finding has not been observed in </w:t>
      </w:r>
      <w:r w:rsidR="00151EF7" w:rsidRPr="000E14B3">
        <w:rPr>
          <w:sz w:val="22"/>
          <w:szCs w:val="22"/>
          <w:lang w:val="en-GB"/>
        </w:rPr>
        <w:t>older animals</w:t>
      </w:r>
      <w:r w:rsidR="00BD7E64" w:rsidRPr="000E14B3">
        <w:rPr>
          <w:sz w:val="22"/>
          <w:szCs w:val="22"/>
          <w:lang w:val="en-GB"/>
        </w:rPr>
        <w:t xml:space="preserve">. </w:t>
      </w:r>
      <w:r w:rsidR="00810F66" w:rsidRPr="000E14B3">
        <w:rPr>
          <w:sz w:val="22"/>
          <w:szCs w:val="22"/>
        </w:rPr>
        <w:t>The potential</w:t>
      </w:r>
      <w:r w:rsidR="00810F66" w:rsidRPr="00E96CAB">
        <w:rPr>
          <w:sz w:val="22"/>
          <w:szCs w:val="22"/>
        </w:rPr>
        <w:t xml:space="preserve"> relevance of these findings in humans is unknown.</w:t>
      </w:r>
    </w:p>
    <w:p w:rsidR="00875EE7" w:rsidRPr="00E96CAB" w:rsidRDefault="00875EE7" w:rsidP="00115643">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b/>
          <w:sz w:val="22"/>
          <w:szCs w:val="22"/>
        </w:rPr>
      </w:pPr>
    </w:p>
    <w:p w:rsidR="00875EE7" w:rsidRPr="00E96CAB" w:rsidRDefault="00875EE7" w:rsidP="00115643">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b/>
          <w:sz w:val="22"/>
          <w:szCs w:val="22"/>
        </w:rPr>
      </w:pPr>
      <w:r w:rsidRPr="00E96CAB">
        <w:rPr>
          <w:b/>
          <w:sz w:val="22"/>
          <w:szCs w:val="22"/>
        </w:rPr>
        <w:t>Use in the Elderly</w:t>
      </w:r>
    </w:p>
    <w:p w:rsidR="00875EE7" w:rsidRPr="00E96CAB" w:rsidRDefault="00875EE7" w:rsidP="00115643">
      <w:pPr>
        <w:pStyle w:val="labeltext"/>
      </w:pPr>
      <w:r w:rsidRPr="00E96CAB">
        <w:t xml:space="preserve">Clinical studies of </w:t>
      </w:r>
      <w:r w:rsidR="00C63417">
        <w:t>ORKAMBI </w:t>
      </w:r>
      <w:r w:rsidR="00C63417" w:rsidRPr="000E14B3">
        <w:t xml:space="preserve">200/125 </w:t>
      </w:r>
      <w:r w:rsidRPr="000E14B3">
        <w:t xml:space="preserve">did not include patients age 65 years and older. Thus, the efficacy and safety of </w:t>
      </w:r>
      <w:r w:rsidR="00C63417" w:rsidRPr="000E14B3">
        <w:t xml:space="preserve">ORKAMBI 200/125 </w:t>
      </w:r>
      <w:r w:rsidRPr="000E14B3">
        <w:t>in elderly pa</w:t>
      </w:r>
      <w:r w:rsidR="00583D24" w:rsidRPr="000E14B3">
        <w:t>tients</w:t>
      </w:r>
      <w:r w:rsidR="00583D24" w:rsidRPr="00E96CAB">
        <w:t xml:space="preserve"> have not been evaluated.</w:t>
      </w:r>
    </w:p>
    <w:p w:rsidR="00875EE7" w:rsidRPr="00E96CAB" w:rsidRDefault="00875EE7" w:rsidP="004A6DF5">
      <w:pPr>
        <w:pStyle w:val="labeltext"/>
        <w:rPr>
          <w:b/>
        </w:rPr>
      </w:pPr>
    </w:p>
    <w:p w:rsidR="0042059D" w:rsidRPr="00E96CAB" w:rsidRDefault="0042059D" w:rsidP="0042059D">
      <w:pPr>
        <w:tabs>
          <w:tab w:val="left" w:pos="3641"/>
        </w:tabs>
        <w:rPr>
          <w:b/>
          <w:sz w:val="22"/>
          <w:szCs w:val="22"/>
        </w:rPr>
      </w:pPr>
      <w:r w:rsidRPr="00E96CAB">
        <w:rPr>
          <w:b/>
          <w:sz w:val="22"/>
          <w:szCs w:val="22"/>
        </w:rPr>
        <w:t>Genotoxicity</w:t>
      </w:r>
    </w:p>
    <w:p w:rsidR="0042059D" w:rsidRPr="00E96CAB" w:rsidRDefault="0042059D" w:rsidP="0042059D">
      <w:pPr>
        <w:pStyle w:val="labeltext"/>
        <w:rPr>
          <w:b/>
        </w:rPr>
      </w:pPr>
      <w:r w:rsidRPr="00E96CAB">
        <w:t xml:space="preserve">Both </w:t>
      </w:r>
      <w:proofErr w:type="spellStart"/>
      <w:r w:rsidRPr="00E96CAB">
        <w:t>lumacaftor</w:t>
      </w:r>
      <w:proofErr w:type="spellEnd"/>
      <w:r w:rsidRPr="00E96CAB">
        <w:t xml:space="preserve"> and </w:t>
      </w:r>
      <w:proofErr w:type="spellStart"/>
      <w:r w:rsidRPr="00E96CAB">
        <w:t>ivacaftor</w:t>
      </w:r>
      <w:proofErr w:type="spellEnd"/>
      <w:r w:rsidRPr="00E96CAB">
        <w:t xml:space="preserve"> were negative for genotoxicity in the following assays: Ames test for bacterial gene mutation, </w:t>
      </w:r>
      <w:r w:rsidRPr="00E96CAB">
        <w:rPr>
          <w:i/>
        </w:rPr>
        <w:t>in vitro</w:t>
      </w:r>
      <w:r w:rsidRPr="00E96CAB">
        <w:t xml:space="preserve"> chromosomal aberration assay in Chinese hamster ovary cells, and </w:t>
      </w:r>
      <w:r w:rsidRPr="00E96CAB">
        <w:rPr>
          <w:i/>
        </w:rPr>
        <w:t>in vivo</w:t>
      </w:r>
      <w:r w:rsidRPr="00E96CAB">
        <w:t xml:space="preserve"> mouse micronucleus test.</w:t>
      </w:r>
    </w:p>
    <w:p w:rsidR="0042059D" w:rsidRPr="00E96CAB" w:rsidRDefault="0042059D" w:rsidP="0042059D">
      <w:pPr>
        <w:tabs>
          <w:tab w:val="left" w:pos="3641"/>
        </w:tabs>
        <w:rPr>
          <w:sz w:val="22"/>
          <w:szCs w:val="22"/>
        </w:rPr>
      </w:pPr>
    </w:p>
    <w:p w:rsidR="0042059D" w:rsidRPr="00E96CAB" w:rsidRDefault="0042059D" w:rsidP="0042059D">
      <w:pPr>
        <w:tabs>
          <w:tab w:val="left" w:pos="270"/>
        </w:tabs>
        <w:rPr>
          <w:b/>
          <w:sz w:val="22"/>
          <w:szCs w:val="22"/>
        </w:rPr>
      </w:pPr>
      <w:r w:rsidRPr="00E96CAB">
        <w:rPr>
          <w:b/>
          <w:sz w:val="22"/>
          <w:szCs w:val="22"/>
        </w:rPr>
        <w:t>Carcinogenicity</w:t>
      </w:r>
    </w:p>
    <w:p w:rsidR="0042059D" w:rsidRPr="00E96CAB" w:rsidRDefault="0042059D" w:rsidP="0042059D">
      <w:pPr>
        <w:pStyle w:val="MediumGrid21"/>
        <w:rPr>
          <w:rFonts w:ascii="Times New Roman" w:hAnsi="Times New Roman"/>
        </w:rPr>
      </w:pPr>
      <w:r w:rsidRPr="00E96CAB">
        <w:rPr>
          <w:rFonts w:ascii="Times New Roman" w:hAnsi="Times New Roman"/>
        </w:rPr>
        <w:t xml:space="preserve">A </w:t>
      </w:r>
      <w:r w:rsidR="00A56156" w:rsidRPr="00E96CAB">
        <w:rPr>
          <w:rFonts w:ascii="Times New Roman" w:hAnsi="Times New Roman"/>
        </w:rPr>
        <w:t>two</w:t>
      </w:r>
      <w:r w:rsidR="00A56156" w:rsidRPr="00E96CAB">
        <w:rPr>
          <w:rFonts w:ascii="Times New Roman" w:hAnsi="Times New Roman"/>
        </w:rPr>
        <w:noBreakHyphen/>
        <w:t>year study in Sprague</w:t>
      </w:r>
      <w:r w:rsidR="00A56156" w:rsidRPr="00E96CAB">
        <w:rPr>
          <w:rFonts w:ascii="Times New Roman" w:hAnsi="Times New Roman"/>
        </w:rPr>
        <w:noBreakHyphen/>
        <w:t xml:space="preserve">Dawley rats and a </w:t>
      </w:r>
      <w:r w:rsidRPr="00E96CAB">
        <w:rPr>
          <w:rFonts w:ascii="Times New Roman" w:hAnsi="Times New Roman"/>
        </w:rPr>
        <w:t>26</w:t>
      </w:r>
      <w:r w:rsidRPr="00E96CAB">
        <w:rPr>
          <w:rFonts w:ascii="Times New Roman" w:hAnsi="Times New Roman"/>
        </w:rPr>
        <w:noBreakHyphen/>
        <w:t xml:space="preserve">week study in transgenic Tg.rasH2 mice </w:t>
      </w:r>
      <w:r w:rsidR="00A56156" w:rsidRPr="00E96CAB">
        <w:rPr>
          <w:rFonts w:ascii="Times New Roman" w:hAnsi="Times New Roman"/>
        </w:rPr>
        <w:t xml:space="preserve">were </w:t>
      </w:r>
      <w:r w:rsidR="00A56156" w:rsidRPr="000E14B3">
        <w:rPr>
          <w:rFonts w:ascii="Times New Roman" w:hAnsi="Times New Roman"/>
        </w:rPr>
        <w:t xml:space="preserve">conducted to assess </w:t>
      </w:r>
      <w:r w:rsidR="00865810" w:rsidRPr="000E14B3">
        <w:rPr>
          <w:rFonts w:ascii="Times New Roman" w:hAnsi="Times New Roman"/>
        </w:rPr>
        <w:t xml:space="preserve">the </w:t>
      </w:r>
      <w:r w:rsidR="00A56156" w:rsidRPr="000E14B3">
        <w:rPr>
          <w:rFonts w:ascii="Times New Roman" w:hAnsi="Times New Roman"/>
        </w:rPr>
        <w:t xml:space="preserve">carcinogenic potential of </w:t>
      </w:r>
      <w:proofErr w:type="spellStart"/>
      <w:r w:rsidR="00A56156" w:rsidRPr="000E14B3">
        <w:rPr>
          <w:rFonts w:ascii="Times New Roman" w:hAnsi="Times New Roman"/>
        </w:rPr>
        <w:t>lumacaftor</w:t>
      </w:r>
      <w:proofErr w:type="spellEnd"/>
      <w:r w:rsidR="00A56156" w:rsidRPr="000E14B3">
        <w:rPr>
          <w:rFonts w:ascii="Times New Roman" w:hAnsi="Times New Roman"/>
        </w:rPr>
        <w:t xml:space="preserve">. No evidence of </w:t>
      </w:r>
      <w:proofErr w:type="spellStart"/>
      <w:r w:rsidR="00A56156" w:rsidRPr="000E14B3">
        <w:rPr>
          <w:rFonts w:ascii="Times New Roman" w:hAnsi="Times New Roman"/>
        </w:rPr>
        <w:t>tumo</w:t>
      </w:r>
      <w:r w:rsidR="00865810" w:rsidRPr="000E14B3">
        <w:rPr>
          <w:rFonts w:ascii="Times New Roman" w:hAnsi="Times New Roman"/>
        </w:rPr>
        <w:t>u</w:t>
      </w:r>
      <w:r w:rsidR="00A56156" w:rsidRPr="000E14B3">
        <w:rPr>
          <w:rFonts w:ascii="Times New Roman" w:hAnsi="Times New Roman"/>
        </w:rPr>
        <w:t>rigenicity</w:t>
      </w:r>
      <w:proofErr w:type="spellEnd"/>
      <w:r w:rsidR="00A56156" w:rsidRPr="000E14B3">
        <w:rPr>
          <w:rFonts w:ascii="Times New Roman" w:hAnsi="Times New Roman"/>
        </w:rPr>
        <w:t xml:space="preserve"> </w:t>
      </w:r>
      <w:r w:rsidR="00865810" w:rsidRPr="000E14B3">
        <w:rPr>
          <w:rFonts w:ascii="Times New Roman" w:hAnsi="Times New Roman"/>
        </w:rPr>
        <w:t xml:space="preserve">by </w:t>
      </w:r>
      <w:proofErr w:type="spellStart"/>
      <w:r w:rsidR="00865810" w:rsidRPr="000E14B3">
        <w:rPr>
          <w:rFonts w:ascii="Times New Roman" w:hAnsi="Times New Roman"/>
        </w:rPr>
        <w:t>lumacaftor</w:t>
      </w:r>
      <w:proofErr w:type="spellEnd"/>
      <w:r w:rsidR="00865810" w:rsidRPr="000E14B3">
        <w:rPr>
          <w:rFonts w:ascii="Times New Roman" w:hAnsi="Times New Roman"/>
        </w:rPr>
        <w:t xml:space="preserve"> </w:t>
      </w:r>
      <w:r w:rsidR="00A56156" w:rsidRPr="000E14B3">
        <w:rPr>
          <w:rFonts w:ascii="Times New Roman" w:hAnsi="Times New Roman"/>
        </w:rPr>
        <w:t xml:space="preserve">was observed in rats at oral doses up to 1000 mg/kg/day </w:t>
      </w:r>
      <w:r w:rsidR="00A56156" w:rsidRPr="000E14B3">
        <w:rPr>
          <w:rFonts w:ascii="Times New Roman" w:hAnsi="Times New Roman"/>
        </w:rPr>
        <w:lastRenderedPageBreak/>
        <w:t>(</w:t>
      </w:r>
      <w:r w:rsidR="00865810" w:rsidRPr="000E14B3">
        <w:rPr>
          <w:rFonts w:ascii="Times New Roman" w:hAnsi="Times New Roman"/>
        </w:rPr>
        <w:t xml:space="preserve">yielding </w:t>
      </w:r>
      <w:r w:rsidR="00A56156" w:rsidRPr="000E14B3">
        <w:rPr>
          <w:rFonts w:ascii="Times New Roman" w:hAnsi="Times New Roman"/>
        </w:rPr>
        <w:t xml:space="preserve">approximately 5 and </w:t>
      </w:r>
      <w:r w:rsidR="0037092C" w:rsidRPr="000E14B3">
        <w:rPr>
          <w:rFonts w:ascii="Times New Roman" w:hAnsi="Times New Roman"/>
        </w:rPr>
        <w:t>13</w:t>
      </w:r>
      <w:r w:rsidR="00E13456" w:rsidRPr="000E14B3">
        <w:rPr>
          <w:rFonts w:ascii="Times New Roman" w:hAnsi="Times New Roman"/>
        </w:rPr>
        <w:t> </w:t>
      </w:r>
      <w:r w:rsidR="00A56156" w:rsidRPr="000E14B3">
        <w:rPr>
          <w:rFonts w:ascii="Times New Roman" w:hAnsi="Times New Roman"/>
        </w:rPr>
        <w:t xml:space="preserve">times the </w:t>
      </w:r>
      <w:r w:rsidR="00865810" w:rsidRPr="000E14B3">
        <w:rPr>
          <w:rFonts w:ascii="Times New Roman" w:hAnsi="Times New Roman"/>
        </w:rPr>
        <w:t xml:space="preserve">plasma AUC for </w:t>
      </w:r>
      <w:proofErr w:type="spellStart"/>
      <w:r w:rsidR="00865810" w:rsidRPr="000E14B3">
        <w:rPr>
          <w:rFonts w:ascii="Times New Roman" w:hAnsi="Times New Roman"/>
        </w:rPr>
        <w:t>lumacaftor</w:t>
      </w:r>
      <w:proofErr w:type="spellEnd"/>
      <w:r w:rsidR="00865810" w:rsidRPr="000E14B3">
        <w:rPr>
          <w:rFonts w:ascii="Times New Roman" w:hAnsi="Times New Roman"/>
        </w:rPr>
        <w:t xml:space="preserve"> in patients at the </w:t>
      </w:r>
      <w:r w:rsidR="00A56156" w:rsidRPr="000E14B3">
        <w:rPr>
          <w:rFonts w:ascii="Times New Roman" w:hAnsi="Times New Roman"/>
        </w:rPr>
        <w:t xml:space="preserve">MRHD in males and females, respectively). No evidence of </w:t>
      </w:r>
      <w:proofErr w:type="spellStart"/>
      <w:r w:rsidR="00A56156" w:rsidRPr="000E14B3">
        <w:rPr>
          <w:rFonts w:ascii="Times New Roman" w:hAnsi="Times New Roman"/>
        </w:rPr>
        <w:t>tumo</w:t>
      </w:r>
      <w:r w:rsidR="00865810" w:rsidRPr="000E14B3">
        <w:rPr>
          <w:rFonts w:ascii="Times New Roman" w:hAnsi="Times New Roman"/>
        </w:rPr>
        <w:t>u</w:t>
      </w:r>
      <w:r w:rsidR="00A56156" w:rsidRPr="000E14B3">
        <w:rPr>
          <w:rFonts w:ascii="Times New Roman" w:hAnsi="Times New Roman"/>
        </w:rPr>
        <w:t>rigenicity</w:t>
      </w:r>
      <w:proofErr w:type="spellEnd"/>
      <w:r w:rsidR="00A56156" w:rsidRPr="000E14B3">
        <w:rPr>
          <w:rFonts w:ascii="Times New Roman" w:hAnsi="Times New Roman"/>
        </w:rPr>
        <w:t xml:space="preserve"> was observed in Tg.rasH2 mice at </w:t>
      </w:r>
      <w:proofErr w:type="spellStart"/>
      <w:r w:rsidR="00A56156" w:rsidRPr="000E14B3">
        <w:rPr>
          <w:rFonts w:ascii="Times New Roman" w:hAnsi="Times New Roman"/>
        </w:rPr>
        <w:t>lumacaftor</w:t>
      </w:r>
      <w:proofErr w:type="spellEnd"/>
      <w:r w:rsidR="00A56156" w:rsidRPr="000E14B3">
        <w:rPr>
          <w:rFonts w:ascii="Times New Roman" w:hAnsi="Times New Roman"/>
        </w:rPr>
        <w:t xml:space="preserve"> oral doses up to 1500 and 2000 mg/kg/day in female and male mice, respectively. Plasma exposures to </w:t>
      </w:r>
      <w:proofErr w:type="spellStart"/>
      <w:r w:rsidR="00A56156" w:rsidRPr="000E14B3">
        <w:rPr>
          <w:rFonts w:ascii="Times New Roman" w:hAnsi="Times New Roman"/>
        </w:rPr>
        <w:t>lumacaftor</w:t>
      </w:r>
      <w:proofErr w:type="spellEnd"/>
      <w:r w:rsidR="00A56156" w:rsidRPr="000E14B3">
        <w:rPr>
          <w:rFonts w:ascii="Times New Roman" w:hAnsi="Times New Roman"/>
        </w:rPr>
        <w:t xml:space="preserve"> in mice at </w:t>
      </w:r>
      <w:r w:rsidR="00865810" w:rsidRPr="000E14B3">
        <w:rPr>
          <w:rFonts w:ascii="Times New Roman" w:hAnsi="Times New Roman"/>
        </w:rPr>
        <w:t>these doses</w:t>
      </w:r>
      <w:r w:rsidR="00A56156" w:rsidRPr="000E14B3">
        <w:rPr>
          <w:rFonts w:ascii="Times New Roman" w:hAnsi="Times New Roman"/>
        </w:rPr>
        <w:t xml:space="preserve"> were approximately 5</w:t>
      </w:r>
      <w:r w:rsidR="00A56156" w:rsidRPr="000E14B3">
        <w:rPr>
          <w:rFonts w:ascii="Times New Roman" w:hAnsi="Times New Roman"/>
        </w:rPr>
        <w:noBreakHyphen/>
        <w:t xml:space="preserve"> </w:t>
      </w:r>
      <w:r w:rsidR="0036650C" w:rsidRPr="000E14B3">
        <w:rPr>
          <w:rFonts w:ascii="Times New Roman" w:hAnsi="Times New Roman"/>
        </w:rPr>
        <w:t>and 3.5</w:t>
      </w:r>
      <w:r w:rsidR="00A56156" w:rsidRPr="000E14B3">
        <w:rPr>
          <w:rFonts w:ascii="Times New Roman" w:hAnsi="Times New Roman"/>
        </w:rPr>
        <w:noBreakHyphen/>
        <w:t xml:space="preserve">fold higher than the plasma levels of </w:t>
      </w:r>
      <w:proofErr w:type="spellStart"/>
      <w:r w:rsidR="00A56156" w:rsidRPr="000E14B3">
        <w:rPr>
          <w:rFonts w:ascii="Times New Roman" w:hAnsi="Times New Roman"/>
        </w:rPr>
        <w:t>lumacaftor</w:t>
      </w:r>
      <w:proofErr w:type="spellEnd"/>
      <w:r w:rsidR="00A56156" w:rsidRPr="000E14B3">
        <w:rPr>
          <w:rFonts w:ascii="Times New Roman" w:hAnsi="Times New Roman"/>
        </w:rPr>
        <w:t xml:space="preserve"> measured in humans following </w:t>
      </w:r>
      <w:proofErr w:type="spellStart"/>
      <w:r w:rsidR="00A56156" w:rsidRPr="000E14B3">
        <w:rPr>
          <w:rFonts w:ascii="Times New Roman" w:hAnsi="Times New Roman"/>
        </w:rPr>
        <w:t>lumacaftor</w:t>
      </w:r>
      <w:proofErr w:type="spellEnd"/>
      <w:r w:rsidR="00A56156" w:rsidRPr="000E14B3">
        <w:rPr>
          <w:rFonts w:ascii="Times New Roman" w:hAnsi="Times New Roman"/>
        </w:rPr>
        <w:t>/</w:t>
      </w:r>
      <w:proofErr w:type="spellStart"/>
      <w:r w:rsidR="00A56156" w:rsidRPr="00E96CAB">
        <w:rPr>
          <w:rFonts w:ascii="Times New Roman" w:hAnsi="Times New Roman"/>
        </w:rPr>
        <w:t>ivacaftor</w:t>
      </w:r>
      <w:proofErr w:type="spellEnd"/>
      <w:r w:rsidR="00A56156" w:rsidRPr="00E96CAB">
        <w:rPr>
          <w:rFonts w:ascii="Times New Roman" w:hAnsi="Times New Roman"/>
        </w:rPr>
        <w:t xml:space="preserve"> therapy.</w:t>
      </w:r>
    </w:p>
    <w:p w:rsidR="0042059D" w:rsidRPr="00E96CAB" w:rsidRDefault="0042059D" w:rsidP="0042059D">
      <w:pPr>
        <w:rPr>
          <w:sz w:val="22"/>
          <w:szCs w:val="22"/>
          <w:lang w:val="en-GB"/>
        </w:rPr>
      </w:pPr>
    </w:p>
    <w:p w:rsidR="0042059D" w:rsidRDefault="0042059D" w:rsidP="0036650C">
      <w:pPr>
        <w:autoSpaceDE w:val="0"/>
        <w:autoSpaceDN w:val="0"/>
        <w:adjustRightInd w:val="0"/>
        <w:rPr>
          <w:sz w:val="22"/>
          <w:szCs w:val="22"/>
          <w:lang w:val="en-GB"/>
        </w:rPr>
      </w:pPr>
      <w:r w:rsidRPr="00E96CAB">
        <w:rPr>
          <w:sz w:val="22"/>
          <w:szCs w:val="22"/>
          <w:lang w:val="en-GB"/>
        </w:rPr>
        <w:t>Two</w:t>
      </w:r>
      <w:r w:rsidRPr="00E96CAB">
        <w:rPr>
          <w:sz w:val="22"/>
          <w:szCs w:val="22"/>
          <w:lang w:val="en-GB"/>
        </w:rPr>
        <w:noBreakHyphen/>
        <w:t xml:space="preserve">year studies in mice and rats to assess carcinogenic potential of </w:t>
      </w:r>
      <w:proofErr w:type="spellStart"/>
      <w:r w:rsidRPr="00E96CAB">
        <w:rPr>
          <w:sz w:val="22"/>
          <w:szCs w:val="22"/>
          <w:lang w:val="en-GB"/>
        </w:rPr>
        <w:t>ivacaftor</w:t>
      </w:r>
      <w:proofErr w:type="spellEnd"/>
      <w:r w:rsidRPr="00E96CAB">
        <w:rPr>
          <w:sz w:val="22"/>
          <w:szCs w:val="22"/>
          <w:lang w:val="en-GB"/>
        </w:rPr>
        <w:t xml:space="preserve"> demonstrated that </w:t>
      </w:r>
      <w:proofErr w:type="spellStart"/>
      <w:r w:rsidRPr="00E96CAB">
        <w:rPr>
          <w:sz w:val="22"/>
          <w:szCs w:val="22"/>
          <w:lang w:val="en-GB"/>
        </w:rPr>
        <w:t>ivacaftor</w:t>
      </w:r>
      <w:proofErr w:type="spellEnd"/>
      <w:r w:rsidRPr="00E96CAB">
        <w:rPr>
          <w:sz w:val="22"/>
          <w:szCs w:val="22"/>
          <w:lang w:val="en-GB"/>
        </w:rPr>
        <w:t xml:space="preserve"> was not carcinogenic in either species. Plasma exposures to </w:t>
      </w:r>
      <w:proofErr w:type="spellStart"/>
      <w:r w:rsidRPr="00E96CAB">
        <w:rPr>
          <w:sz w:val="22"/>
          <w:szCs w:val="22"/>
          <w:lang w:val="en-GB"/>
        </w:rPr>
        <w:t>ivacaftor</w:t>
      </w:r>
      <w:proofErr w:type="spellEnd"/>
      <w:r w:rsidRPr="00E96CAB">
        <w:rPr>
          <w:sz w:val="22"/>
          <w:szCs w:val="22"/>
          <w:lang w:val="en-GB"/>
        </w:rPr>
        <w:t xml:space="preserve"> in mice at the non</w:t>
      </w:r>
      <w:r w:rsidRPr="00E96CAB">
        <w:rPr>
          <w:sz w:val="22"/>
          <w:szCs w:val="22"/>
          <w:lang w:val="en-GB"/>
        </w:rPr>
        <w:noBreakHyphen/>
        <w:t xml:space="preserve">carcinogenic dose (200 mg/kg/day, the highest </w:t>
      </w:r>
      <w:r w:rsidRPr="000E14B3">
        <w:rPr>
          <w:sz w:val="22"/>
          <w:szCs w:val="22"/>
          <w:lang w:val="en-GB"/>
        </w:rPr>
        <w:t xml:space="preserve">dose tested) were approximately </w:t>
      </w:r>
      <w:r w:rsidR="0036650C" w:rsidRPr="000E14B3">
        <w:rPr>
          <w:sz w:val="22"/>
          <w:szCs w:val="22"/>
        </w:rPr>
        <w:t>15</w:t>
      </w:r>
      <w:r w:rsidR="0036650C" w:rsidRPr="000E14B3">
        <w:rPr>
          <w:sz w:val="22"/>
          <w:szCs w:val="22"/>
        </w:rPr>
        <w:noBreakHyphen/>
        <w:t xml:space="preserve"> to 28</w:t>
      </w:r>
      <w:r w:rsidR="0036650C" w:rsidRPr="000E14B3">
        <w:rPr>
          <w:sz w:val="22"/>
          <w:szCs w:val="22"/>
        </w:rPr>
        <w:noBreakHyphen/>
        <w:t xml:space="preserve">fold higher than the plasma levels measured in humans following </w:t>
      </w:r>
      <w:r w:rsidR="00C865DE" w:rsidRPr="000E14B3">
        <w:rPr>
          <w:sz w:val="22"/>
          <w:szCs w:val="22"/>
          <w:lang w:val="en-GB"/>
        </w:rPr>
        <w:t>ORKAMBI 200/125</w:t>
      </w:r>
      <w:r w:rsidR="00C865DE" w:rsidRPr="000E14B3">
        <w:rPr>
          <w:sz w:val="22"/>
          <w:szCs w:val="22"/>
        </w:rPr>
        <w:t xml:space="preserve"> </w:t>
      </w:r>
      <w:r w:rsidR="0036650C" w:rsidRPr="000E14B3">
        <w:rPr>
          <w:sz w:val="22"/>
          <w:szCs w:val="22"/>
        </w:rPr>
        <w:t xml:space="preserve">therapy, and at least </w:t>
      </w:r>
      <w:r w:rsidRPr="000E14B3">
        <w:rPr>
          <w:sz w:val="22"/>
          <w:szCs w:val="22"/>
          <w:lang w:val="en-GB"/>
        </w:rPr>
        <w:t>1.7</w:t>
      </w:r>
      <w:r w:rsidR="0036650C" w:rsidRPr="000E14B3">
        <w:rPr>
          <w:sz w:val="22"/>
          <w:szCs w:val="22"/>
          <w:lang w:val="en-GB"/>
        </w:rPr>
        <w:noBreakHyphen/>
      </w:r>
      <w:r w:rsidRPr="000E14B3">
        <w:rPr>
          <w:sz w:val="22"/>
          <w:szCs w:val="22"/>
          <w:lang w:val="en-GB"/>
        </w:rPr>
        <w:t xml:space="preserve"> to 3.4</w:t>
      </w:r>
      <w:r w:rsidRPr="000E14B3">
        <w:rPr>
          <w:sz w:val="22"/>
          <w:szCs w:val="22"/>
          <w:lang w:val="en-GB"/>
        </w:rPr>
        <w:noBreakHyphen/>
        <w:t xml:space="preserve">fold higher </w:t>
      </w:r>
      <w:r w:rsidR="0036650C" w:rsidRPr="000E14B3">
        <w:rPr>
          <w:sz w:val="22"/>
          <w:szCs w:val="22"/>
          <w:lang w:val="en-GB"/>
        </w:rPr>
        <w:t>with respect to the summed AUC</w:t>
      </w:r>
      <w:r w:rsidR="00E213A0" w:rsidRPr="000E14B3">
        <w:rPr>
          <w:sz w:val="22"/>
          <w:szCs w:val="22"/>
          <w:lang w:val="en-GB"/>
        </w:rPr>
        <w:t>s</w:t>
      </w:r>
      <w:r w:rsidR="0036650C" w:rsidRPr="000E14B3">
        <w:rPr>
          <w:sz w:val="22"/>
          <w:szCs w:val="22"/>
          <w:lang w:val="en-GB"/>
        </w:rPr>
        <w:t xml:space="preserve"> for </w:t>
      </w:r>
      <w:proofErr w:type="spellStart"/>
      <w:r w:rsidRPr="000E14B3">
        <w:rPr>
          <w:sz w:val="22"/>
          <w:szCs w:val="22"/>
          <w:lang w:val="en-GB"/>
        </w:rPr>
        <w:t>ivacaftor</w:t>
      </w:r>
      <w:proofErr w:type="spellEnd"/>
      <w:r w:rsidRPr="000E14B3">
        <w:rPr>
          <w:sz w:val="22"/>
          <w:szCs w:val="22"/>
          <w:lang w:val="en-GB"/>
        </w:rPr>
        <w:t xml:space="preserve"> and its </w:t>
      </w:r>
      <w:r w:rsidR="0036650C" w:rsidRPr="000E14B3">
        <w:rPr>
          <w:sz w:val="22"/>
          <w:szCs w:val="22"/>
          <w:lang w:val="en-GB"/>
        </w:rPr>
        <w:t xml:space="preserve">major </w:t>
      </w:r>
      <w:r w:rsidRPr="000E14B3">
        <w:rPr>
          <w:sz w:val="22"/>
          <w:szCs w:val="22"/>
          <w:lang w:val="en-GB"/>
        </w:rPr>
        <w:t>metabolites</w:t>
      </w:r>
      <w:r w:rsidR="00A855BA" w:rsidRPr="000E14B3">
        <w:rPr>
          <w:sz w:val="22"/>
          <w:szCs w:val="22"/>
          <w:lang w:val="en-GB"/>
        </w:rPr>
        <w:t>.</w:t>
      </w:r>
      <w:r w:rsidRPr="000E14B3">
        <w:rPr>
          <w:sz w:val="22"/>
          <w:szCs w:val="22"/>
          <w:lang w:val="en-GB"/>
        </w:rPr>
        <w:t xml:space="preserve"> Plasma exposures to </w:t>
      </w:r>
      <w:proofErr w:type="spellStart"/>
      <w:r w:rsidRPr="000E14B3">
        <w:rPr>
          <w:sz w:val="22"/>
          <w:szCs w:val="22"/>
          <w:lang w:val="en-GB"/>
        </w:rPr>
        <w:t>ivacaftor</w:t>
      </w:r>
      <w:proofErr w:type="spellEnd"/>
      <w:r w:rsidRPr="000E14B3">
        <w:rPr>
          <w:sz w:val="22"/>
          <w:szCs w:val="22"/>
          <w:lang w:val="en-GB"/>
        </w:rPr>
        <w:t xml:space="preserve"> in rats at the non</w:t>
      </w:r>
      <w:r w:rsidRPr="000E14B3">
        <w:rPr>
          <w:sz w:val="22"/>
          <w:szCs w:val="22"/>
          <w:lang w:val="en-GB"/>
        </w:rPr>
        <w:noBreakHyphen/>
        <w:t xml:space="preserve">carcinogenic dose (50 mg/kg/day, the highest dose tested) were approximately </w:t>
      </w:r>
      <w:r w:rsidR="00C865DE" w:rsidRPr="000E14B3">
        <w:rPr>
          <w:sz w:val="22"/>
          <w:szCs w:val="22"/>
        </w:rPr>
        <w:t>64</w:t>
      </w:r>
      <w:r w:rsidR="00C865DE" w:rsidRPr="000E14B3">
        <w:rPr>
          <w:sz w:val="22"/>
          <w:szCs w:val="22"/>
        </w:rPr>
        <w:noBreakHyphen/>
        <w:t xml:space="preserve"> to 117</w:t>
      </w:r>
      <w:r w:rsidR="00C865DE" w:rsidRPr="000E14B3">
        <w:rPr>
          <w:sz w:val="22"/>
          <w:szCs w:val="22"/>
        </w:rPr>
        <w:noBreakHyphen/>
        <w:t xml:space="preserve">fold higher than the plasma levels measured in humans following </w:t>
      </w:r>
      <w:r w:rsidR="00C865DE" w:rsidRPr="000E14B3">
        <w:rPr>
          <w:sz w:val="22"/>
          <w:szCs w:val="22"/>
          <w:lang w:val="en-GB"/>
        </w:rPr>
        <w:t>ORKAMBI 200/125</w:t>
      </w:r>
      <w:r w:rsidR="00C865DE" w:rsidRPr="000E14B3">
        <w:rPr>
          <w:sz w:val="22"/>
          <w:szCs w:val="22"/>
        </w:rPr>
        <w:t xml:space="preserve"> therapy, and </w:t>
      </w:r>
      <w:r w:rsidR="00C865DE" w:rsidRPr="000E14B3">
        <w:rPr>
          <w:sz w:val="22"/>
          <w:szCs w:val="22"/>
          <w:lang w:val="en-GB"/>
        </w:rPr>
        <w:t>9</w:t>
      </w:r>
      <w:r w:rsidR="00C865DE" w:rsidRPr="000E14B3">
        <w:rPr>
          <w:sz w:val="22"/>
          <w:szCs w:val="22"/>
          <w:lang w:val="en-GB"/>
        </w:rPr>
        <w:noBreakHyphen/>
        <w:t xml:space="preserve"> to 13</w:t>
      </w:r>
      <w:r w:rsidRPr="000E14B3">
        <w:rPr>
          <w:sz w:val="22"/>
          <w:szCs w:val="22"/>
          <w:lang w:val="en-GB"/>
        </w:rPr>
        <w:noBreakHyphen/>
        <w:t xml:space="preserve">fold higher </w:t>
      </w:r>
      <w:r w:rsidR="00C865DE" w:rsidRPr="000E14B3">
        <w:rPr>
          <w:sz w:val="22"/>
          <w:szCs w:val="22"/>
        </w:rPr>
        <w:t>with respect to the summed AUC</w:t>
      </w:r>
      <w:r w:rsidR="00E213A0" w:rsidRPr="000E14B3">
        <w:rPr>
          <w:sz w:val="22"/>
          <w:szCs w:val="22"/>
        </w:rPr>
        <w:t>s</w:t>
      </w:r>
      <w:r w:rsidR="00C865DE" w:rsidRPr="000E14B3">
        <w:rPr>
          <w:sz w:val="22"/>
          <w:szCs w:val="22"/>
        </w:rPr>
        <w:t xml:space="preserve"> for </w:t>
      </w:r>
      <w:proofErr w:type="spellStart"/>
      <w:r w:rsidR="00C865DE" w:rsidRPr="000E14B3">
        <w:rPr>
          <w:sz w:val="22"/>
          <w:szCs w:val="22"/>
        </w:rPr>
        <w:t>ivacaftor</w:t>
      </w:r>
      <w:proofErr w:type="spellEnd"/>
      <w:r w:rsidR="00C865DE" w:rsidRPr="000E14B3">
        <w:rPr>
          <w:sz w:val="22"/>
          <w:szCs w:val="22"/>
        </w:rPr>
        <w:t xml:space="preserve"> and its major metabolites</w:t>
      </w:r>
      <w:r w:rsidRPr="000E14B3">
        <w:rPr>
          <w:sz w:val="22"/>
          <w:szCs w:val="22"/>
          <w:lang w:val="en-GB"/>
        </w:rPr>
        <w:t>.</w:t>
      </w:r>
    </w:p>
    <w:p w:rsidR="00EF18D0" w:rsidRPr="000E14B3" w:rsidRDefault="00EF18D0" w:rsidP="0036650C">
      <w:pPr>
        <w:autoSpaceDE w:val="0"/>
        <w:autoSpaceDN w:val="0"/>
        <w:adjustRightInd w:val="0"/>
        <w:rPr>
          <w:rFonts w:eastAsia="MS Mincho"/>
          <w:sz w:val="22"/>
          <w:szCs w:val="22"/>
          <w:lang w:eastAsia="ja-JP"/>
        </w:rPr>
      </w:pPr>
    </w:p>
    <w:p w:rsidR="003242C6" w:rsidRPr="00E96CAB" w:rsidRDefault="00875EE7" w:rsidP="003242C6">
      <w:pPr>
        <w:pStyle w:val="labeltext"/>
        <w:rPr>
          <w:b/>
        </w:rPr>
      </w:pPr>
      <w:r w:rsidRPr="00E96CAB">
        <w:rPr>
          <w:b/>
        </w:rPr>
        <w:t>Hepatic Impairment</w:t>
      </w:r>
    </w:p>
    <w:p w:rsidR="0042059D" w:rsidRPr="00E96CAB" w:rsidRDefault="0042059D" w:rsidP="003242C6">
      <w:pPr>
        <w:pStyle w:val="labeltext"/>
        <w:rPr>
          <w:i/>
        </w:rPr>
      </w:pPr>
      <w:r w:rsidRPr="00E96CAB">
        <w:rPr>
          <w:i/>
        </w:rPr>
        <w:t xml:space="preserve">Patients </w:t>
      </w:r>
      <w:proofErr w:type="gramStart"/>
      <w:r w:rsidR="00DE3425" w:rsidRPr="00E96CAB">
        <w:rPr>
          <w:i/>
        </w:rPr>
        <w:t>W</w:t>
      </w:r>
      <w:r w:rsidRPr="00E96CAB">
        <w:rPr>
          <w:i/>
        </w:rPr>
        <w:t>ith</w:t>
      </w:r>
      <w:proofErr w:type="gramEnd"/>
      <w:r w:rsidRPr="00E96CAB">
        <w:rPr>
          <w:i/>
        </w:rPr>
        <w:t xml:space="preserve"> Advanced Liver Disease</w:t>
      </w:r>
    </w:p>
    <w:p w:rsidR="00875EE7" w:rsidRPr="00E96CAB" w:rsidRDefault="003242C6" w:rsidP="0042059D">
      <w:pPr>
        <w:pStyle w:val="Body"/>
        <w:ind w:firstLine="0"/>
        <w:jc w:val="left"/>
        <w:rPr>
          <w:rFonts w:ascii="Times New Roman" w:hAnsi="Times New Roman"/>
          <w:bCs/>
          <w:sz w:val="22"/>
          <w:szCs w:val="22"/>
        </w:rPr>
      </w:pPr>
      <w:r w:rsidRPr="00E96CAB">
        <w:rPr>
          <w:rFonts w:ascii="Times New Roman" w:hAnsi="Times New Roman"/>
          <w:bCs/>
          <w:sz w:val="22"/>
          <w:szCs w:val="22"/>
        </w:rPr>
        <w:t xml:space="preserve">Abnormalities in liver function, including advanced liver disease, can be present in patients with CF. Worsening of liver function in patients with advanced liver disease has been reported in some patients with CF receiving </w:t>
      </w:r>
      <w:r w:rsidRPr="000E14B3">
        <w:rPr>
          <w:rFonts w:ascii="Times New Roman" w:hAnsi="Times New Roman"/>
          <w:bCs/>
          <w:sz w:val="22"/>
          <w:szCs w:val="22"/>
        </w:rPr>
        <w:t>ORKAMBI</w:t>
      </w:r>
      <w:r w:rsidR="00C63417" w:rsidRPr="000E14B3">
        <w:rPr>
          <w:rFonts w:ascii="Times New Roman" w:hAnsi="Times New Roman"/>
          <w:bCs/>
          <w:sz w:val="22"/>
          <w:szCs w:val="22"/>
        </w:rPr>
        <w:t> </w:t>
      </w:r>
      <w:r w:rsidR="00C63417" w:rsidRPr="000E14B3">
        <w:rPr>
          <w:rFonts w:ascii="Times New Roman" w:hAnsi="Times New Roman"/>
          <w:sz w:val="22"/>
          <w:szCs w:val="22"/>
        </w:rPr>
        <w:t>200/125</w:t>
      </w:r>
      <w:r w:rsidRPr="000E14B3">
        <w:rPr>
          <w:rFonts w:ascii="Times New Roman" w:hAnsi="Times New Roman"/>
          <w:bCs/>
          <w:sz w:val="22"/>
          <w:szCs w:val="22"/>
        </w:rPr>
        <w:t>. Use ORKAMBI</w:t>
      </w:r>
      <w:r w:rsidR="00C63417" w:rsidRPr="000E14B3">
        <w:rPr>
          <w:rFonts w:ascii="Times New Roman" w:hAnsi="Times New Roman"/>
          <w:bCs/>
          <w:sz w:val="22"/>
          <w:szCs w:val="22"/>
        </w:rPr>
        <w:t> </w:t>
      </w:r>
      <w:r w:rsidR="00C63417" w:rsidRPr="000E14B3">
        <w:rPr>
          <w:rFonts w:ascii="Times New Roman" w:hAnsi="Times New Roman"/>
          <w:sz w:val="22"/>
          <w:szCs w:val="22"/>
        </w:rPr>
        <w:t xml:space="preserve">200/125 </w:t>
      </w:r>
      <w:r w:rsidRPr="000E14B3">
        <w:rPr>
          <w:rFonts w:ascii="Times New Roman" w:hAnsi="Times New Roman"/>
          <w:bCs/>
          <w:sz w:val="22"/>
          <w:szCs w:val="22"/>
        </w:rPr>
        <w:t>with caution in patients with advanced liver disease and only if the benefits are expected to</w:t>
      </w:r>
      <w:r w:rsidR="00C63417" w:rsidRPr="000E14B3">
        <w:rPr>
          <w:rFonts w:ascii="Times New Roman" w:hAnsi="Times New Roman"/>
          <w:bCs/>
          <w:sz w:val="22"/>
          <w:szCs w:val="22"/>
        </w:rPr>
        <w:t xml:space="preserve"> outweigh the risks. If ORKAMBI </w:t>
      </w:r>
      <w:r w:rsidR="00C63417" w:rsidRPr="000E14B3">
        <w:rPr>
          <w:rFonts w:ascii="Times New Roman" w:hAnsi="Times New Roman"/>
          <w:sz w:val="22"/>
          <w:szCs w:val="22"/>
        </w:rPr>
        <w:t xml:space="preserve">200/125 </w:t>
      </w:r>
      <w:r w:rsidRPr="000E14B3">
        <w:rPr>
          <w:rFonts w:ascii="Times New Roman" w:hAnsi="Times New Roman"/>
          <w:bCs/>
          <w:sz w:val="22"/>
          <w:szCs w:val="22"/>
        </w:rPr>
        <w:t>is used in these patients, they should be closely monitored after the initiation of treatment and the dose should</w:t>
      </w:r>
      <w:r w:rsidRPr="00E96CAB">
        <w:rPr>
          <w:rFonts w:ascii="Times New Roman" w:hAnsi="Times New Roman"/>
          <w:bCs/>
          <w:sz w:val="22"/>
          <w:szCs w:val="22"/>
        </w:rPr>
        <w:t xml:space="preserve"> be reduced (see PHARMACOLOGY, ADVERSE EFFECTS, and DOSAGE AND ADMINISTRATION).</w:t>
      </w:r>
    </w:p>
    <w:p w:rsidR="0042059D" w:rsidRPr="00E96CAB" w:rsidRDefault="0042059D" w:rsidP="0042059D">
      <w:pPr>
        <w:pStyle w:val="Body"/>
        <w:ind w:firstLine="0"/>
        <w:jc w:val="left"/>
        <w:rPr>
          <w:rFonts w:ascii="Times New Roman" w:hAnsi="Times New Roman"/>
          <w:bCs/>
          <w:sz w:val="22"/>
          <w:szCs w:val="22"/>
        </w:rPr>
      </w:pPr>
    </w:p>
    <w:p w:rsidR="0042059D" w:rsidRPr="00E96CAB" w:rsidRDefault="0042059D" w:rsidP="0042059D">
      <w:pPr>
        <w:pStyle w:val="MediumGrid21"/>
        <w:rPr>
          <w:rFonts w:ascii="Times New Roman" w:hAnsi="Times New Roman"/>
          <w:b/>
        </w:rPr>
      </w:pPr>
      <w:r w:rsidRPr="00E96CAB">
        <w:rPr>
          <w:rFonts w:ascii="Times New Roman" w:hAnsi="Times New Roman"/>
          <w:b/>
        </w:rPr>
        <w:t xml:space="preserve">Hepatobiliary </w:t>
      </w:r>
      <w:r w:rsidR="00A2497B" w:rsidRPr="00E96CAB">
        <w:rPr>
          <w:rFonts w:ascii="Times New Roman" w:hAnsi="Times New Roman"/>
          <w:b/>
        </w:rPr>
        <w:t>Events</w:t>
      </w:r>
    </w:p>
    <w:p w:rsidR="0042059D" w:rsidRPr="00E96CAB" w:rsidRDefault="0042059D" w:rsidP="0042059D">
      <w:pPr>
        <w:pStyle w:val="Body"/>
        <w:ind w:firstLine="0"/>
        <w:jc w:val="left"/>
        <w:rPr>
          <w:rFonts w:ascii="Times New Roman" w:hAnsi="Times New Roman"/>
          <w:bCs/>
          <w:sz w:val="22"/>
          <w:szCs w:val="22"/>
        </w:rPr>
      </w:pPr>
      <w:r w:rsidRPr="00E96CAB">
        <w:rPr>
          <w:rFonts w:ascii="Times New Roman" w:hAnsi="Times New Roman"/>
          <w:bCs/>
          <w:sz w:val="22"/>
          <w:szCs w:val="22"/>
        </w:rPr>
        <w:t xml:space="preserve">Elevated transaminases have been reported in patients with CF, including some receiving </w:t>
      </w:r>
      <w:r w:rsidRPr="000E14B3">
        <w:rPr>
          <w:rFonts w:ascii="Times New Roman" w:hAnsi="Times New Roman"/>
          <w:bCs/>
          <w:sz w:val="22"/>
          <w:szCs w:val="22"/>
        </w:rPr>
        <w:t>ORKAMBI</w:t>
      </w:r>
      <w:r w:rsidR="00CB0570" w:rsidRPr="000E14B3">
        <w:rPr>
          <w:rFonts w:ascii="Times New Roman" w:hAnsi="Times New Roman"/>
          <w:bCs/>
          <w:sz w:val="22"/>
          <w:szCs w:val="22"/>
        </w:rPr>
        <w:t> </w:t>
      </w:r>
      <w:r w:rsidR="00CB0570" w:rsidRPr="000E14B3">
        <w:rPr>
          <w:rFonts w:ascii="Times New Roman" w:hAnsi="Times New Roman"/>
          <w:sz w:val="22"/>
          <w:szCs w:val="22"/>
        </w:rPr>
        <w:t>200/125</w:t>
      </w:r>
      <w:r w:rsidRPr="00E96CAB">
        <w:rPr>
          <w:rFonts w:ascii="Times New Roman" w:hAnsi="Times New Roman"/>
          <w:bCs/>
          <w:sz w:val="22"/>
          <w:szCs w:val="22"/>
        </w:rPr>
        <w:t>. In some instances, these elevations have been associated with concomitant elevations in total serum bilirubin</w:t>
      </w:r>
      <w:r w:rsidR="00B615A9" w:rsidRPr="00E96CAB">
        <w:rPr>
          <w:rFonts w:ascii="Times New Roman" w:hAnsi="Times New Roman"/>
          <w:bCs/>
          <w:sz w:val="22"/>
          <w:szCs w:val="22"/>
        </w:rPr>
        <w:t xml:space="preserve"> (see ADVERSE EFFECTS)</w:t>
      </w:r>
      <w:r w:rsidRPr="00E96CAB">
        <w:rPr>
          <w:rFonts w:ascii="Times New Roman" w:hAnsi="Times New Roman"/>
          <w:bCs/>
          <w:sz w:val="22"/>
          <w:szCs w:val="22"/>
        </w:rPr>
        <w:t>.</w:t>
      </w:r>
    </w:p>
    <w:p w:rsidR="0042059D" w:rsidRPr="00E96CAB" w:rsidRDefault="0042059D" w:rsidP="0042059D">
      <w:pPr>
        <w:pStyle w:val="Body"/>
        <w:ind w:firstLine="0"/>
        <w:jc w:val="left"/>
        <w:rPr>
          <w:rFonts w:ascii="Times New Roman" w:hAnsi="Times New Roman"/>
          <w:bCs/>
          <w:sz w:val="22"/>
          <w:szCs w:val="22"/>
        </w:rPr>
      </w:pPr>
    </w:p>
    <w:p w:rsidR="00093F1F" w:rsidRPr="00BC3E60" w:rsidRDefault="0042059D" w:rsidP="00093F1F">
      <w:pPr>
        <w:pStyle w:val="Body"/>
        <w:ind w:firstLine="0"/>
        <w:jc w:val="left"/>
        <w:rPr>
          <w:rFonts w:ascii="Times New Roman" w:hAnsi="Times New Roman"/>
          <w:sz w:val="22"/>
        </w:rPr>
      </w:pPr>
      <w:r w:rsidRPr="00E96CAB">
        <w:rPr>
          <w:rFonts w:ascii="Times New Roman" w:hAnsi="Times New Roman"/>
          <w:bCs/>
          <w:sz w:val="22"/>
          <w:szCs w:val="22"/>
        </w:rPr>
        <w:t xml:space="preserve">Because an association with liver injury cannot be excluded, assessments of liver function tests (ALT, AST and bilirubin) are recommended before initiating </w:t>
      </w:r>
      <w:r w:rsidRPr="00BC3E60">
        <w:rPr>
          <w:rFonts w:ascii="Times New Roman" w:hAnsi="Times New Roman"/>
          <w:bCs/>
          <w:sz w:val="22"/>
          <w:szCs w:val="22"/>
        </w:rPr>
        <w:t>ORKAMBI</w:t>
      </w:r>
      <w:r w:rsidR="00CB0570" w:rsidRPr="00BC3E60">
        <w:rPr>
          <w:rFonts w:ascii="Times New Roman" w:hAnsi="Times New Roman"/>
          <w:bCs/>
          <w:sz w:val="22"/>
          <w:szCs w:val="22"/>
        </w:rPr>
        <w:t> </w:t>
      </w:r>
      <w:r w:rsidR="00CB0570" w:rsidRPr="00BC3E60">
        <w:rPr>
          <w:rFonts w:ascii="Times New Roman" w:hAnsi="Times New Roman"/>
          <w:sz w:val="22"/>
          <w:szCs w:val="22"/>
        </w:rPr>
        <w:t xml:space="preserve">200/125 </w:t>
      </w:r>
      <w:r w:rsidR="008E7A9E" w:rsidRPr="00BC3E60">
        <w:rPr>
          <w:rFonts w:ascii="Times New Roman" w:hAnsi="Times New Roman"/>
          <w:bCs/>
          <w:sz w:val="22"/>
          <w:szCs w:val="22"/>
        </w:rPr>
        <w:t>every 3</w:t>
      </w:r>
      <w:r w:rsidRPr="00BC3E60">
        <w:rPr>
          <w:rFonts w:ascii="Times New Roman" w:hAnsi="Times New Roman"/>
          <w:bCs/>
          <w:sz w:val="22"/>
          <w:szCs w:val="22"/>
        </w:rPr>
        <w:t xml:space="preserve"> months during the first year of treatment, and annually thereafter.</w:t>
      </w:r>
      <w:r w:rsidR="00093F1F" w:rsidRPr="00BC3E60">
        <w:rPr>
          <w:rFonts w:ascii="Times New Roman" w:hAnsi="Times New Roman"/>
          <w:bCs/>
          <w:sz w:val="22"/>
          <w:szCs w:val="22"/>
        </w:rPr>
        <w:t xml:space="preserve"> </w:t>
      </w:r>
      <w:r w:rsidR="00093F1F" w:rsidRPr="00BC3E60">
        <w:rPr>
          <w:rFonts w:ascii="Times New Roman" w:hAnsi="Times New Roman"/>
          <w:sz w:val="22"/>
        </w:rPr>
        <w:t>For patients with a history of ALT, AST, or bilirubin elevations, more frequent monitoring should be considered.</w:t>
      </w:r>
    </w:p>
    <w:p w:rsidR="0042059D" w:rsidRPr="00BC3E60" w:rsidRDefault="0042059D" w:rsidP="0042059D">
      <w:pPr>
        <w:pStyle w:val="Body"/>
        <w:ind w:firstLine="0"/>
        <w:jc w:val="left"/>
        <w:rPr>
          <w:rFonts w:ascii="Times New Roman" w:hAnsi="Times New Roman"/>
          <w:sz w:val="22"/>
          <w:szCs w:val="22"/>
        </w:rPr>
      </w:pPr>
    </w:p>
    <w:p w:rsidR="0042059D" w:rsidRPr="00BC3E60" w:rsidRDefault="0042059D" w:rsidP="0042059D">
      <w:pPr>
        <w:pStyle w:val="MediumGrid21"/>
        <w:rPr>
          <w:rFonts w:ascii="Times New Roman" w:hAnsi="Times New Roman"/>
          <w:lang w:eastAsia="es-ES"/>
        </w:rPr>
      </w:pPr>
      <w:r w:rsidRPr="00BC3E60">
        <w:rPr>
          <w:rFonts w:ascii="Times New Roman" w:hAnsi="Times New Roman"/>
          <w:bCs/>
        </w:rPr>
        <w:t>In the event of significant elevation of ALT or AST, with or without elevated bilirubin [either ALT or AST &gt;5 x the upper limit of normal (ULN), or ALT or AST &gt;3 x ULN with bilirubin</w:t>
      </w:r>
      <w:r w:rsidR="00CB0570" w:rsidRPr="00BC3E60">
        <w:rPr>
          <w:rFonts w:ascii="Times New Roman" w:hAnsi="Times New Roman"/>
          <w:bCs/>
        </w:rPr>
        <w:t xml:space="preserve"> &gt;2 x ULN], dosing with ORKAMBI </w:t>
      </w:r>
      <w:r w:rsidR="00CB0570" w:rsidRPr="00BC3E60">
        <w:rPr>
          <w:rFonts w:ascii="Times New Roman" w:hAnsi="Times New Roman"/>
        </w:rPr>
        <w:t xml:space="preserve">200/125 </w:t>
      </w:r>
      <w:r w:rsidRPr="00BC3E60">
        <w:rPr>
          <w:rFonts w:ascii="Times New Roman" w:hAnsi="Times New Roman"/>
          <w:bCs/>
        </w:rPr>
        <w:t>should be discontinued and laboratory tests closely followed until the abnormalities resolve. Following resolution of transaminase elevations, consider the benefits and risks of resuming dosing (see PHARMACOLOGY, ADVERSE EFFECTS, and DOSAGE AND ADMINISTRATION)</w:t>
      </w:r>
      <w:r w:rsidRPr="00BC3E60">
        <w:rPr>
          <w:rFonts w:ascii="Times New Roman" w:hAnsi="Times New Roman"/>
        </w:rPr>
        <w:t>.</w:t>
      </w:r>
    </w:p>
    <w:p w:rsidR="0042059D" w:rsidRPr="00BC3E60" w:rsidRDefault="0042059D" w:rsidP="0042059D">
      <w:pPr>
        <w:pStyle w:val="Body"/>
        <w:ind w:firstLine="0"/>
        <w:jc w:val="left"/>
        <w:rPr>
          <w:rFonts w:ascii="Times New Roman" w:hAnsi="Times New Roman"/>
          <w:bCs/>
          <w:sz w:val="22"/>
          <w:szCs w:val="22"/>
        </w:rPr>
      </w:pPr>
    </w:p>
    <w:p w:rsidR="008E7A9E" w:rsidRPr="00BC3E60" w:rsidRDefault="008E7A9E" w:rsidP="008E7A9E">
      <w:pPr>
        <w:pStyle w:val="MediumGrid21"/>
        <w:rPr>
          <w:rFonts w:ascii="Times New Roman" w:hAnsi="Times New Roman"/>
          <w:b/>
        </w:rPr>
      </w:pPr>
      <w:r w:rsidRPr="00BC3E60">
        <w:rPr>
          <w:rFonts w:ascii="Times New Roman" w:hAnsi="Times New Roman"/>
          <w:b/>
        </w:rPr>
        <w:t>Respiratory Events</w:t>
      </w:r>
    </w:p>
    <w:p w:rsidR="008E7A9E" w:rsidRPr="00E96CAB" w:rsidRDefault="008E7A9E" w:rsidP="008E7A9E">
      <w:pPr>
        <w:pStyle w:val="MediumGrid21"/>
        <w:rPr>
          <w:rFonts w:ascii="Times New Roman" w:hAnsi="Times New Roman"/>
        </w:rPr>
      </w:pPr>
      <w:r w:rsidRPr="00BC3E60">
        <w:rPr>
          <w:rFonts w:ascii="Times New Roman" w:hAnsi="Times New Roman"/>
        </w:rPr>
        <w:t>Respiratory events (e.g., chest discomfort, dyspnea, and respiration abnormal) were observed more commonly in patien</w:t>
      </w:r>
      <w:r w:rsidR="00CB0570" w:rsidRPr="00BC3E60">
        <w:rPr>
          <w:rFonts w:ascii="Times New Roman" w:hAnsi="Times New Roman"/>
        </w:rPr>
        <w:t xml:space="preserve">ts during initiation of ORKAMBI 200/125 </w:t>
      </w:r>
      <w:r w:rsidRPr="00BC3E60">
        <w:rPr>
          <w:rFonts w:ascii="Times New Roman" w:hAnsi="Times New Roman"/>
        </w:rPr>
        <w:t>c</w:t>
      </w:r>
      <w:r w:rsidRPr="00E96CAB">
        <w:rPr>
          <w:rFonts w:ascii="Times New Roman" w:hAnsi="Times New Roman"/>
        </w:rPr>
        <w:t>ompared to those who received placebo. Clinical experience in patients with percent predicted FEV</w:t>
      </w:r>
      <w:r w:rsidRPr="00E96CAB">
        <w:rPr>
          <w:rFonts w:ascii="Times New Roman" w:hAnsi="Times New Roman"/>
          <w:vertAlign w:val="subscript"/>
        </w:rPr>
        <w:t>1</w:t>
      </w:r>
      <w:r w:rsidRPr="00E96CAB">
        <w:rPr>
          <w:rFonts w:ascii="Times New Roman" w:hAnsi="Times New Roman"/>
        </w:rPr>
        <w:t xml:space="preserve"> (ppFEV</w:t>
      </w:r>
      <w:r w:rsidRPr="00E96CAB">
        <w:rPr>
          <w:rFonts w:ascii="Times New Roman" w:hAnsi="Times New Roman"/>
          <w:vertAlign w:val="subscript"/>
        </w:rPr>
        <w:t>1</w:t>
      </w:r>
      <w:r w:rsidRPr="00E96CAB">
        <w:rPr>
          <w:rFonts w:ascii="Times New Roman" w:hAnsi="Times New Roman"/>
        </w:rPr>
        <w:t>) &lt;40 is limited, and additional monitoring of these patients is recommended during initiation of therapy (see ADVERSE EFFECTS</w:t>
      </w:r>
      <w:r w:rsidR="009F6E35" w:rsidRPr="00E96CAB">
        <w:rPr>
          <w:rFonts w:ascii="Times New Roman" w:hAnsi="Times New Roman"/>
        </w:rPr>
        <w:t xml:space="preserve"> and CLINICAL </w:t>
      </w:r>
      <w:r w:rsidR="00A22188" w:rsidRPr="00E96CAB">
        <w:rPr>
          <w:rFonts w:ascii="Times New Roman" w:hAnsi="Times New Roman"/>
        </w:rPr>
        <w:t>TRIALS</w:t>
      </w:r>
      <w:r w:rsidRPr="00E96CAB">
        <w:rPr>
          <w:rFonts w:ascii="Times New Roman" w:hAnsi="Times New Roman"/>
        </w:rPr>
        <w:t>)</w:t>
      </w:r>
      <w:r w:rsidR="007D6322" w:rsidRPr="00E96CAB">
        <w:rPr>
          <w:rFonts w:ascii="Times New Roman" w:hAnsi="Times New Roman"/>
        </w:rPr>
        <w:t>.</w:t>
      </w:r>
    </w:p>
    <w:p w:rsidR="00260048" w:rsidRDefault="00260048" w:rsidP="008E7A9E">
      <w:pPr>
        <w:pStyle w:val="MediumGrid21"/>
        <w:rPr>
          <w:rFonts w:ascii="Times New Roman" w:hAnsi="Times New Roman"/>
        </w:rPr>
      </w:pPr>
    </w:p>
    <w:p w:rsidR="00766736" w:rsidRDefault="00766736" w:rsidP="008E7A9E">
      <w:pPr>
        <w:pStyle w:val="MediumGrid21"/>
        <w:rPr>
          <w:rFonts w:ascii="Times New Roman" w:hAnsi="Times New Roman"/>
        </w:rPr>
      </w:pPr>
      <w:bookmarkStart w:id="0" w:name="_GoBack"/>
      <w:bookmarkEnd w:id="0"/>
    </w:p>
    <w:p w:rsidR="00766736" w:rsidRPr="00E96CAB" w:rsidRDefault="00766736" w:rsidP="008E7A9E">
      <w:pPr>
        <w:pStyle w:val="MediumGrid21"/>
        <w:rPr>
          <w:rFonts w:ascii="Times New Roman" w:hAnsi="Times New Roman"/>
        </w:rPr>
      </w:pPr>
    </w:p>
    <w:p w:rsidR="00260048" w:rsidRPr="00E96CAB" w:rsidRDefault="00260048" w:rsidP="00260048">
      <w:pPr>
        <w:pStyle w:val="MediumGrid21"/>
        <w:contextualSpacing/>
        <w:rPr>
          <w:rFonts w:ascii="Times New Roman" w:hAnsi="Times New Roman"/>
          <w:b/>
        </w:rPr>
      </w:pPr>
      <w:r w:rsidRPr="00E96CAB">
        <w:rPr>
          <w:rFonts w:ascii="Times New Roman" w:hAnsi="Times New Roman"/>
          <w:b/>
        </w:rPr>
        <w:lastRenderedPageBreak/>
        <w:t>Effect on Blood Pressure</w:t>
      </w:r>
    </w:p>
    <w:p w:rsidR="00260048" w:rsidRPr="00E96CAB" w:rsidRDefault="00260048" w:rsidP="00260048">
      <w:pPr>
        <w:pStyle w:val="MediumGrid21"/>
        <w:rPr>
          <w:rFonts w:ascii="Times New Roman" w:hAnsi="Times New Roman"/>
        </w:rPr>
      </w:pPr>
      <w:r w:rsidRPr="00E96CAB">
        <w:rPr>
          <w:rFonts w:ascii="Times New Roman" w:hAnsi="Times New Roman"/>
        </w:rPr>
        <w:t xml:space="preserve">Increased blood pressure has been observed in some patients treated with </w:t>
      </w:r>
      <w:r w:rsidR="00C80B3C" w:rsidRPr="00BC3E60">
        <w:rPr>
          <w:rFonts w:ascii="Times New Roman" w:hAnsi="Times New Roman"/>
        </w:rPr>
        <w:t>ORKAMBI</w:t>
      </w:r>
      <w:r w:rsidR="00CB0570" w:rsidRPr="00BC3E60">
        <w:rPr>
          <w:rFonts w:ascii="Times New Roman" w:hAnsi="Times New Roman"/>
        </w:rPr>
        <w:t> 200/125</w:t>
      </w:r>
      <w:r w:rsidRPr="00E96CAB">
        <w:rPr>
          <w:rFonts w:ascii="Times New Roman" w:hAnsi="Times New Roman"/>
        </w:rPr>
        <w:t>. Blood pressure should be monitored periodically in all patients during treatment (see ADVERSE EFFECTS).</w:t>
      </w:r>
    </w:p>
    <w:p w:rsidR="008E7A9E" w:rsidRPr="00E96CAB" w:rsidRDefault="008E7A9E" w:rsidP="008E7A9E">
      <w:pPr>
        <w:pStyle w:val="MediumGrid21"/>
        <w:rPr>
          <w:rFonts w:ascii="Times New Roman" w:hAnsi="Times New Roman"/>
          <w:b/>
        </w:rPr>
      </w:pPr>
    </w:p>
    <w:p w:rsidR="0025391A" w:rsidRPr="00E96CAB" w:rsidRDefault="0025391A" w:rsidP="0025391A">
      <w:pPr>
        <w:rPr>
          <w:b/>
          <w:sz w:val="22"/>
          <w:szCs w:val="22"/>
        </w:rPr>
      </w:pPr>
      <w:r w:rsidRPr="00E96CAB">
        <w:rPr>
          <w:b/>
          <w:sz w:val="22"/>
          <w:szCs w:val="22"/>
        </w:rPr>
        <w:t xml:space="preserve">Interactions </w:t>
      </w:r>
      <w:proofErr w:type="gramStart"/>
      <w:r w:rsidR="00397C8E" w:rsidRPr="00E96CAB">
        <w:rPr>
          <w:b/>
          <w:sz w:val="22"/>
          <w:szCs w:val="22"/>
        </w:rPr>
        <w:t>W</w:t>
      </w:r>
      <w:r w:rsidRPr="00E96CAB">
        <w:rPr>
          <w:b/>
          <w:sz w:val="22"/>
          <w:szCs w:val="22"/>
        </w:rPr>
        <w:t>ith</w:t>
      </w:r>
      <w:proofErr w:type="gramEnd"/>
      <w:r w:rsidRPr="00E96CAB">
        <w:rPr>
          <w:b/>
          <w:sz w:val="22"/>
          <w:szCs w:val="22"/>
        </w:rPr>
        <w:t xml:space="preserve"> Medicinal Products</w:t>
      </w:r>
    </w:p>
    <w:p w:rsidR="0025391A" w:rsidRPr="00E96CAB" w:rsidRDefault="0025391A" w:rsidP="0025391A">
      <w:pPr>
        <w:pStyle w:val="Body"/>
        <w:ind w:firstLine="0"/>
        <w:jc w:val="left"/>
        <w:rPr>
          <w:rFonts w:ascii="Times New Roman" w:hAnsi="Times New Roman"/>
          <w:i/>
          <w:sz w:val="22"/>
          <w:szCs w:val="22"/>
        </w:rPr>
      </w:pPr>
      <w:r w:rsidRPr="00E96CAB">
        <w:rPr>
          <w:rFonts w:ascii="Times New Roman" w:hAnsi="Times New Roman"/>
          <w:i/>
          <w:sz w:val="22"/>
          <w:szCs w:val="22"/>
        </w:rPr>
        <w:t>Substrates of CYP3A</w:t>
      </w:r>
    </w:p>
    <w:p w:rsidR="0025391A" w:rsidRPr="00E96CAB" w:rsidRDefault="0025391A" w:rsidP="0025391A">
      <w:pPr>
        <w:pStyle w:val="Body"/>
        <w:ind w:firstLine="0"/>
        <w:jc w:val="left"/>
        <w:rPr>
          <w:rFonts w:ascii="Times New Roman" w:hAnsi="Times New Roman"/>
          <w:sz w:val="22"/>
          <w:szCs w:val="22"/>
        </w:rPr>
      </w:pPr>
      <w:proofErr w:type="spellStart"/>
      <w:r w:rsidRPr="00E96CAB">
        <w:rPr>
          <w:rFonts w:ascii="Times New Roman" w:hAnsi="Times New Roman"/>
          <w:bCs/>
          <w:sz w:val="22"/>
          <w:szCs w:val="22"/>
        </w:rPr>
        <w:t>Lumacaftor</w:t>
      </w:r>
      <w:proofErr w:type="spellEnd"/>
      <w:r w:rsidRPr="00E96CAB">
        <w:rPr>
          <w:rFonts w:ascii="Times New Roman" w:hAnsi="Times New Roman"/>
          <w:bCs/>
          <w:sz w:val="22"/>
          <w:szCs w:val="22"/>
        </w:rPr>
        <w:t xml:space="preserve"> is a strong inducer of C</w:t>
      </w:r>
      <w:r w:rsidR="00CB0570">
        <w:rPr>
          <w:rFonts w:ascii="Times New Roman" w:hAnsi="Times New Roman"/>
          <w:bCs/>
          <w:sz w:val="22"/>
          <w:szCs w:val="22"/>
        </w:rPr>
        <w:t>YP3A. Administration of ORKAMBI </w:t>
      </w:r>
      <w:r w:rsidR="00CB0570" w:rsidRPr="00BC3E60">
        <w:rPr>
          <w:rFonts w:ascii="Times New Roman" w:hAnsi="Times New Roman"/>
          <w:sz w:val="22"/>
          <w:szCs w:val="22"/>
        </w:rPr>
        <w:t xml:space="preserve">200/125 </w:t>
      </w:r>
      <w:r w:rsidRPr="00BC3E60">
        <w:rPr>
          <w:rFonts w:ascii="Times New Roman" w:hAnsi="Times New Roman"/>
          <w:bCs/>
          <w:sz w:val="22"/>
          <w:szCs w:val="22"/>
        </w:rPr>
        <w:t>may</w:t>
      </w:r>
      <w:r w:rsidRPr="00E96CAB">
        <w:rPr>
          <w:rFonts w:ascii="Times New Roman" w:hAnsi="Times New Roman"/>
          <w:bCs/>
          <w:sz w:val="22"/>
          <w:szCs w:val="22"/>
        </w:rPr>
        <w:t xml:space="preserve"> decrease systemic exposure of medicinal products </w:t>
      </w:r>
      <w:r w:rsidR="004D1E82" w:rsidRPr="00E96CAB">
        <w:rPr>
          <w:rFonts w:ascii="Times New Roman" w:hAnsi="Times New Roman"/>
          <w:bCs/>
          <w:sz w:val="22"/>
          <w:szCs w:val="22"/>
        </w:rPr>
        <w:t xml:space="preserve">which </w:t>
      </w:r>
      <w:r w:rsidRPr="00E96CAB">
        <w:rPr>
          <w:rFonts w:ascii="Times New Roman" w:hAnsi="Times New Roman"/>
          <w:bCs/>
          <w:sz w:val="22"/>
          <w:szCs w:val="22"/>
        </w:rPr>
        <w:t xml:space="preserve">are substrates of CYP3A, which may decrease </w:t>
      </w:r>
      <w:r w:rsidR="005D7859" w:rsidRPr="00E96CAB">
        <w:rPr>
          <w:rFonts w:ascii="Times New Roman" w:hAnsi="Times New Roman"/>
          <w:bCs/>
          <w:sz w:val="22"/>
          <w:szCs w:val="22"/>
        </w:rPr>
        <w:t xml:space="preserve">their </w:t>
      </w:r>
      <w:r w:rsidRPr="00E96CAB">
        <w:rPr>
          <w:rFonts w:ascii="Times New Roman" w:hAnsi="Times New Roman"/>
          <w:bCs/>
          <w:sz w:val="22"/>
          <w:szCs w:val="22"/>
        </w:rPr>
        <w:t>therapeutic effect. Co</w:t>
      </w:r>
      <w:r w:rsidRPr="00E96CAB">
        <w:rPr>
          <w:rFonts w:ascii="Times New Roman" w:hAnsi="Times New Roman"/>
          <w:bCs/>
          <w:sz w:val="22"/>
          <w:szCs w:val="22"/>
        </w:rPr>
        <w:noBreakHyphen/>
        <w:t>administration with sensitive CYP3A substrates or CYP3A substrates with a narrow therapeutic index is not recommended</w:t>
      </w:r>
      <w:r w:rsidR="00BC7912" w:rsidRPr="00E96CAB">
        <w:rPr>
          <w:rFonts w:ascii="Times New Roman" w:hAnsi="Times New Roman"/>
          <w:bCs/>
          <w:sz w:val="22"/>
          <w:szCs w:val="22"/>
        </w:rPr>
        <w:t xml:space="preserve"> (see INTERACTIONS WITH OTHER MEDICINES)</w:t>
      </w:r>
      <w:r w:rsidRPr="00E96CAB">
        <w:rPr>
          <w:rFonts w:ascii="Times New Roman" w:hAnsi="Times New Roman"/>
          <w:bCs/>
          <w:sz w:val="22"/>
          <w:szCs w:val="22"/>
        </w:rPr>
        <w:t>.</w:t>
      </w:r>
    </w:p>
    <w:p w:rsidR="0025391A" w:rsidRPr="00BC3E60" w:rsidRDefault="0025391A" w:rsidP="0025391A">
      <w:pPr>
        <w:pStyle w:val="Body"/>
        <w:ind w:firstLine="0"/>
        <w:jc w:val="left"/>
        <w:rPr>
          <w:rFonts w:ascii="Times New Roman" w:hAnsi="Times New Roman"/>
          <w:sz w:val="22"/>
          <w:szCs w:val="22"/>
        </w:rPr>
      </w:pPr>
    </w:p>
    <w:p w:rsidR="0025391A" w:rsidRPr="00E96CAB" w:rsidRDefault="00CB0570" w:rsidP="0025391A">
      <w:pPr>
        <w:pStyle w:val="Body"/>
        <w:ind w:firstLine="0"/>
        <w:jc w:val="left"/>
        <w:rPr>
          <w:rFonts w:ascii="Times New Roman" w:hAnsi="Times New Roman"/>
          <w:sz w:val="22"/>
          <w:szCs w:val="22"/>
        </w:rPr>
      </w:pPr>
      <w:r w:rsidRPr="00BC3E60">
        <w:rPr>
          <w:rFonts w:ascii="Times New Roman" w:hAnsi="Times New Roman"/>
          <w:sz w:val="22"/>
          <w:szCs w:val="22"/>
        </w:rPr>
        <w:t xml:space="preserve">ORKAMBI 200/125 </w:t>
      </w:r>
      <w:r w:rsidR="0025391A" w:rsidRPr="00BC3E60">
        <w:rPr>
          <w:rFonts w:ascii="Times New Roman" w:hAnsi="Times New Roman"/>
          <w:sz w:val="22"/>
          <w:szCs w:val="22"/>
        </w:rPr>
        <w:t>may substantially decrease hormonal contraceptive exposure, reducing effectiveness. Hormonal contraceptives, including oral, injectable, transdermal, and implantable, should not be relied upon as an effective method of contraception wh</w:t>
      </w:r>
      <w:r w:rsidRPr="00BC3E60">
        <w:rPr>
          <w:rFonts w:ascii="Times New Roman" w:hAnsi="Times New Roman"/>
          <w:sz w:val="22"/>
          <w:szCs w:val="22"/>
        </w:rPr>
        <w:t>en co</w:t>
      </w:r>
      <w:r w:rsidRPr="00BC3E60">
        <w:rPr>
          <w:rFonts w:ascii="Times New Roman" w:hAnsi="Times New Roman"/>
          <w:sz w:val="22"/>
          <w:szCs w:val="22"/>
        </w:rPr>
        <w:noBreakHyphen/>
        <w:t xml:space="preserve">administered with ORKAMBI 200/125 </w:t>
      </w:r>
      <w:r w:rsidR="0025391A" w:rsidRPr="00BC3E60">
        <w:rPr>
          <w:rFonts w:ascii="Times New Roman" w:hAnsi="Times New Roman"/>
          <w:bCs/>
          <w:sz w:val="22"/>
          <w:szCs w:val="22"/>
        </w:rPr>
        <w:t xml:space="preserve">(see INTERACTIONS </w:t>
      </w:r>
      <w:r w:rsidR="0025391A" w:rsidRPr="00E96CAB">
        <w:rPr>
          <w:rFonts w:ascii="Times New Roman" w:hAnsi="Times New Roman"/>
          <w:bCs/>
          <w:sz w:val="22"/>
          <w:szCs w:val="22"/>
        </w:rPr>
        <w:t>WITH OTHER MEDICINES).</w:t>
      </w:r>
    </w:p>
    <w:p w:rsidR="0025391A" w:rsidRDefault="0025391A" w:rsidP="0025391A">
      <w:pPr>
        <w:pStyle w:val="labeltext"/>
      </w:pPr>
    </w:p>
    <w:p w:rsidR="0025391A" w:rsidRPr="00E96CAB" w:rsidRDefault="0025391A" w:rsidP="0025391A">
      <w:pPr>
        <w:pStyle w:val="labeltext"/>
        <w:rPr>
          <w:i/>
        </w:rPr>
      </w:pPr>
      <w:r w:rsidRPr="00E96CAB">
        <w:rPr>
          <w:i/>
        </w:rPr>
        <w:t>Strong CYP3A Inducers</w:t>
      </w:r>
    </w:p>
    <w:p w:rsidR="0025391A" w:rsidRPr="00BC3E60" w:rsidRDefault="0025391A" w:rsidP="0025391A">
      <w:pPr>
        <w:pStyle w:val="labeltext"/>
      </w:pPr>
      <w:proofErr w:type="spellStart"/>
      <w:r w:rsidRPr="00E96CAB">
        <w:t>Ivacaftor</w:t>
      </w:r>
      <w:proofErr w:type="spellEnd"/>
      <w:r w:rsidRPr="00E96CAB">
        <w:t xml:space="preserve"> is a substrate of CYP3A4 and CY</w:t>
      </w:r>
      <w:r w:rsidR="00CB0570">
        <w:t xml:space="preserve">P3A5 isoenzymes. Use of </w:t>
      </w:r>
      <w:r w:rsidR="00CB0570" w:rsidRPr="00BC3E60">
        <w:t xml:space="preserve">ORKAMBI 200/125 </w:t>
      </w:r>
      <w:r w:rsidRPr="00BC3E60">
        <w:t xml:space="preserve">with strong CYP3A inducers, such as rifampicin, significantly reduces </w:t>
      </w:r>
      <w:proofErr w:type="spellStart"/>
      <w:r w:rsidRPr="00BC3E60">
        <w:t>ivacaftor</w:t>
      </w:r>
      <w:proofErr w:type="spellEnd"/>
      <w:r w:rsidRPr="00BC3E60">
        <w:t xml:space="preserve"> exposure, which may reduce the therapeutic effectiveness of ORKAMBI</w:t>
      </w:r>
      <w:r w:rsidR="00CB0570" w:rsidRPr="00BC3E60">
        <w:t> 200/125</w:t>
      </w:r>
      <w:r w:rsidRPr="00BC3E60">
        <w:t>. Therefore, co</w:t>
      </w:r>
      <w:r w:rsidRPr="00BC3E60">
        <w:noBreakHyphen/>
        <w:t>administration with strong CYP3A inducers (e.g., rifampicin, St. John’s wort</w:t>
      </w:r>
      <w:r w:rsidR="004D1E82" w:rsidRPr="00BC3E60">
        <w:t xml:space="preserve"> </w:t>
      </w:r>
      <w:r w:rsidR="004D1E82" w:rsidRPr="00BC3E60">
        <w:rPr>
          <w:rFonts w:cs="Calibri"/>
          <w:bCs/>
        </w:rPr>
        <w:t>[</w:t>
      </w:r>
      <w:proofErr w:type="spellStart"/>
      <w:r w:rsidR="004D1E82" w:rsidRPr="00BC3E60">
        <w:rPr>
          <w:bCs/>
          <w:i/>
        </w:rPr>
        <w:t>Hypericum</w:t>
      </w:r>
      <w:proofErr w:type="spellEnd"/>
      <w:r w:rsidR="004D1E82" w:rsidRPr="00BC3E60">
        <w:rPr>
          <w:bCs/>
          <w:i/>
        </w:rPr>
        <w:t xml:space="preserve"> </w:t>
      </w:r>
      <w:proofErr w:type="spellStart"/>
      <w:r w:rsidR="004D1E82" w:rsidRPr="00BC3E60">
        <w:rPr>
          <w:bCs/>
          <w:i/>
        </w:rPr>
        <w:t>perforatum</w:t>
      </w:r>
      <w:proofErr w:type="spellEnd"/>
      <w:r w:rsidR="004D1E82" w:rsidRPr="00BC3E60">
        <w:rPr>
          <w:bCs/>
        </w:rPr>
        <w:t>]</w:t>
      </w:r>
      <w:r w:rsidRPr="00BC3E60">
        <w:t xml:space="preserve">) is not recommended </w:t>
      </w:r>
      <w:r w:rsidRPr="00BC3E60">
        <w:rPr>
          <w:bCs/>
        </w:rPr>
        <w:t>(see IN</w:t>
      </w:r>
      <w:r w:rsidR="00600D58" w:rsidRPr="00BC3E60">
        <w:rPr>
          <w:bCs/>
        </w:rPr>
        <w:t>TERACTIONS WITH OTHER MEDICINES</w:t>
      </w:r>
      <w:r w:rsidRPr="00BC3E60">
        <w:rPr>
          <w:bCs/>
        </w:rPr>
        <w:t>)</w:t>
      </w:r>
      <w:r w:rsidRPr="00BC3E60">
        <w:t>.</w:t>
      </w:r>
    </w:p>
    <w:p w:rsidR="0025391A" w:rsidRPr="00BC3E60" w:rsidRDefault="0025391A" w:rsidP="0042059D">
      <w:pPr>
        <w:pStyle w:val="Body"/>
        <w:ind w:firstLine="0"/>
        <w:jc w:val="left"/>
        <w:rPr>
          <w:rFonts w:ascii="Times New Roman" w:hAnsi="Times New Roman"/>
          <w:bCs/>
          <w:sz w:val="22"/>
          <w:szCs w:val="22"/>
        </w:rPr>
      </w:pPr>
    </w:p>
    <w:p w:rsidR="00606C30" w:rsidRPr="00BC3E60" w:rsidRDefault="00606C30" w:rsidP="00606C30">
      <w:pPr>
        <w:pStyle w:val="labeltext"/>
        <w:rPr>
          <w:b/>
        </w:rPr>
      </w:pPr>
      <w:r w:rsidRPr="00BC3E60">
        <w:rPr>
          <w:b/>
        </w:rPr>
        <w:t>Cataracts</w:t>
      </w:r>
    </w:p>
    <w:p w:rsidR="00401E01" w:rsidRPr="00BC3E60" w:rsidRDefault="00F365F0" w:rsidP="00511E9F">
      <w:pPr>
        <w:rPr>
          <w:sz w:val="22"/>
          <w:szCs w:val="22"/>
        </w:rPr>
      </w:pPr>
      <w:r w:rsidRPr="00BC3E60">
        <w:rPr>
          <w:sz w:val="22"/>
          <w:szCs w:val="22"/>
        </w:rPr>
        <w:t>Cases of non</w:t>
      </w:r>
      <w:r w:rsidRPr="00BC3E60">
        <w:rPr>
          <w:sz w:val="22"/>
          <w:szCs w:val="22"/>
        </w:rPr>
        <w:noBreakHyphen/>
        <w:t xml:space="preserve">congenital lens opacities without impact on vision have been reported in </w:t>
      </w:r>
      <w:proofErr w:type="spellStart"/>
      <w:r w:rsidRPr="00BC3E60">
        <w:rPr>
          <w:sz w:val="22"/>
          <w:szCs w:val="22"/>
        </w:rPr>
        <w:t>paediatric</w:t>
      </w:r>
      <w:proofErr w:type="spellEnd"/>
      <w:r w:rsidRPr="00BC3E60">
        <w:rPr>
          <w:sz w:val="22"/>
          <w:szCs w:val="22"/>
        </w:rPr>
        <w:t xml:space="preserve"> patients</w:t>
      </w:r>
      <w:r w:rsidR="00C92717" w:rsidRPr="00BC3E60">
        <w:rPr>
          <w:sz w:val="22"/>
          <w:szCs w:val="22"/>
        </w:rPr>
        <w:t xml:space="preserve"> </w:t>
      </w:r>
      <w:r w:rsidRPr="00BC3E60">
        <w:rPr>
          <w:sz w:val="22"/>
          <w:szCs w:val="22"/>
        </w:rPr>
        <w:t xml:space="preserve">treated with </w:t>
      </w:r>
      <w:proofErr w:type="spellStart"/>
      <w:r w:rsidRPr="00BC3E60">
        <w:rPr>
          <w:sz w:val="22"/>
          <w:szCs w:val="22"/>
        </w:rPr>
        <w:t>ivacaftor</w:t>
      </w:r>
      <w:proofErr w:type="spellEnd"/>
      <w:r w:rsidR="00FE1525" w:rsidRPr="00BC3E60">
        <w:rPr>
          <w:sz w:val="22"/>
          <w:szCs w:val="22"/>
        </w:rPr>
        <w:t xml:space="preserve"> monotherapy</w:t>
      </w:r>
      <w:r w:rsidRPr="00BC3E60">
        <w:rPr>
          <w:sz w:val="22"/>
          <w:szCs w:val="22"/>
        </w:rPr>
        <w:t xml:space="preserve">. </w:t>
      </w:r>
      <w:proofErr w:type="gramStart"/>
      <w:r w:rsidRPr="00BC3E60">
        <w:rPr>
          <w:sz w:val="22"/>
          <w:szCs w:val="22"/>
        </w:rPr>
        <w:t>Although other risk factors were present in some cases (such as corticosteroid use</w:t>
      </w:r>
      <w:r w:rsidR="009F2446" w:rsidRPr="00BC3E60">
        <w:rPr>
          <w:sz w:val="22"/>
          <w:szCs w:val="22"/>
        </w:rPr>
        <w:t xml:space="preserve"> and</w:t>
      </w:r>
      <w:r w:rsidRPr="00BC3E60">
        <w:rPr>
          <w:sz w:val="22"/>
          <w:szCs w:val="22"/>
        </w:rPr>
        <w:t xml:space="preserve"> exposure to radiation), a possible risk attributable to </w:t>
      </w:r>
      <w:proofErr w:type="spellStart"/>
      <w:r w:rsidRPr="00BC3E60">
        <w:rPr>
          <w:sz w:val="22"/>
          <w:szCs w:val="22"/>
        </w:rPr>
        <w:t>ivacaftor</w:t>
      </w:r>
      <w:proofErr w:type="spellEnd"/>
      <w:r w:rsidRPr="00BC3E60">
        <w:rPr>
          <w:sz w:val="22"/>
          <w:szCs w:val="22"/>
        </w:rPr>
        <w:t xml:space="preserve"> cannot be excluded.</w:t>
      </w:r>
      <w:proofErr w:type="gramEnd"/>
      <w:r w:rsidR="00837D14" w:rsidRPr="00BC3E60">
        <w:rPr>
          <w:sz w:val="22"/>
          <w:szCs w:val="22"/>
        </w:rPr>
        <w:t xml:space="preserve"> Baseline </w:t>
      </w:r>
      <w:r w:rsidR="00D94B09" w:rsidRPr="00BC3E60">
        <w:rPr>
          <w:sz w:val="22"/>
          <w:szCs w:val="22"/>
        </w:rPr>
        <w:t xml:space="preserve">and </w:t>
      </w:r>
      <w:r w:rsidR="00837D14" w:rsidRPr="00BC3E60">
        <w:rPr>
          <w:sz w:val="22"/>
          <w:szCs w:val="22"/>
        </w:rPr>
        <w:t>follow</w:t>
      </w:r>
      <w:r w:rsidR="00837D14" w:rsidRPr="00BC3E60">
        <w:rPr>
          <w:sz w:val="22"/>
          <w:szCs w:val="22"/>
        </w:rPr>
        <w:noBreakHyphen/>
        <w:t xml:space="preserve">up ophthalmological examinations are recommended in </w:t>
      </w:r>
      <w:proofErr w:type="spellStart"/>
      <w:r w:rsidR="00837D14" w:rsidRPr="00BC3E60">
        <w:rPr>
          <w:sz w:val="22"/>
          <w:szCs w:val="22"/>
        </w:rPr>
        <w:t>paediatric</w:t>
      </w:r>
      <w:proofErr w:type="spellEnd"/>
      <w:r w:rsidR="00837D14" w:rsidRPr="00BC3E60">
        <w:rPr>
          <w:sz w:val="22"/>
          <w:szCs w:val="22"/>
        </w:rPr>
        <w:t xml:space="preserve"> patients initiating treatment with ORKAMBI</w:t>
      </w:r>
      <w:r w:rsidR="00CB0570" w:rsidRPr="00BC3E60">
        <w:rPr>
          <w:sz w:val="22"/>
          <w:szCs w:val="22"/>
        </w:rPr>
        <w:t> 200/125</w:t>
      </w:r>
      <w:r w:rsidR="00837D14" w:rsidRPr="00BC3E60">
        <w:rPr>
          <w:sz w:val="22"/>
          <w:szCs w:val="22"/>
        </w:rPr>
        <w:t>.</w:t>
      </w:r>
    </w:p>
    <w:p w:rsidR="003B5038" w:rsidRPr="00E96CAB" w:rsidRDefault="003B5038" w:rsidP="00606C30">
      <w:pPr>
        <w:rPr>
          <w:sz w:val="22"/>
          <w:szCs w:val="22"/>
        </w:rPr>
      </w:pPr>
    </w:p>
    <w:p w:rsidR="00875EE7" w:rsidRPr="00E96CAB" w:rsidRDefault="00875EE7" w:rsidP="00606C30">
      <w:pPr>
        <w:rPr>
          <w:b/>
          <w:sz w:val="22"/>
          <w:szCs w:val="22"/>
        </w:rPr>
      </w:pPr>
      <w:r w:rsidRPr="00E96CAB">
        <w:rPr>
          <w:b/>
          <w:sz w:val="22"/>
          <w:szCs w:val="22"/>
        </w:rPr>
        <w:t xml:space="preserve">Patients </w:t>
      </w:r>
      <w:proofErr w:type="gramStart"/>
      <w:r w:rsidR="003B5038" w:rsidRPr="00E96CAB">
        <w:rPr>
          <w:b/>
          <w:sz w:val="22"/>
          <w:szCs w:val="22"/>
        </w:rPr>
        <w:t>After</w:t>
      </w:r>
      <w:proofErr w:type="gramEnd"/>
      <w:r w:rsidR="003B5038" w:rsidRPr="00E96CAB">
        <w:rPr>
          <w:b/>
          <w:sz w:val="22"/>
          <w:szCs w:val="22"/>
        </w:rPr>
        <w:t xml:space="preserve"> </w:t>
      </w:r>
      <w:r w:rsidRPr="00E96CAB">
        <w:rPr>
          <w:b/>
          <w:sz w:val="22"/>
          <w:szCs w:val="22"/>
        </w:rPr>
        <w:t>Organ Transplantation</w:t>
      </w:r>
    </w:p>
    <w:p w:rsidR="00875EE7" w:rsidRPr="00BC3E60" w:rsidRDefault="00606C30" w:rsidP="004A6DF5">
      <w:pPr>
        <w:tabs>
          <w:tab w:val="left" w:pos="3641"/>
        </w:tabs>
        <w:rPr>
          <w:sz w:val="22"/>
          <w:szCs w:val="22"/>
        </w:rPr>
      </w:pPr>
      <w:r w:rsidRPr="00BC3E60">
        <w:rPr>
          <w:sz w:val="22"/>
          <w:szCs w:val="22"/>
        </w:rPr>
        <w:t>ORKAMBI</w:t>
      </w:r>
      <w:r w:rsidR="00CB0570" w:rsidRPr="00BC3E60">
        <w:rPr>
          <w:sz w:val="22"/>
          <w:szCs w:val="22"/>
        </w:rPr>
        <w:t xml:space="preserve"> 200/125 </w:t>
      </w:r>
      <w:r w:rsidR="00875EE7" w:rsidRPr="00BC3E60">
        <w:rPr>
          <w:sz w:val="22"/>
          <w:szCs w:val="22"/>
        </w:rPr>
        <w:t xml:space="preserve">has not been studied in patients with CF who have undergone organ transplantation. Therefore, use in transplanted patients is not recommended. See INTERACTIONS WITH OTHER MEDICINES for interactions with </w:t>
      </w:r>
      <w:proofErr w:type="spellStart"/>
      <w:r w:rsidR="003420A7" w:rsidRPr="00BC3E60">
        <w:rPr>
          <w:sz w:val="22"/>
          <w:szCs w:val="22"/>
        </w:rPr>
        <w:t>ciclosporin</w:t>
      </w:r>
      <w:proofErr w:type="spellEnd"/>
      <w:r w:rsidR="003420A7" w:rsidRPr="00BC3E60">
        <w:rPr>
          <w:sz w:val="22"/>
          <w:szCs w:val="22"/>
        </w:rPr>
        <w:t xml:space="preserve"> </w:t>
      </w:r>
      <w:r w:rsidR="009149D0" w:rsidRPr="00BC3E60">
        <w:rPr>
          <w:sz w:val="22"/>
          <w:szCs w:val="22"/>
        </w:rPr>
        <w:t>or tacrolimus</w:t>
      </w:r>
      <w:r w:rsidR="00875EE7" w:rsidRPr="00BC3E60">
        <w:rPr>
          <w:sz w:val="22"/>
          <w:szCs w:val="22"/>
        </w:rPr>
        <w:t>.</w:t>
      </w:r>
    </w:p>
    <w:p w:rsidR="00875EE7" w:rsidRPr="00BC3E60" w:rsidRDefault="00875EE7" w:rsidP="004A6DF5">
      <w:pPr>
        <w:tabs>
          <w:tab w:val="left" w:pos="3641"/>
        </w:tabs>
        <w:rPr>
          <w:sz w:val="22"/>
          <w:szCs w:val="22"/>
        </w:rPr>
      </w:pPr>
    </w:p>
    <w:p w:rsidR="00875EE7" w:rsidRPr="00BC3E60" w:rsidRDefault="00875EE7" w:rsidP="00110BBA">
      <w:pPr>
        <w:tabs>
          <w:tab w:val="left" w:pos="270"/>
        </w:tabs>
        <w:rPr>
          <w:b/>
          <w:sz w:val="22"/>
          <w:szCs w:val="22"/>
        </w:rPr>
      </w:pPr>
      <w:r w:rsidRPr="00BC3E60">
        <w:rPr>
          <w:b/>
          <w:sz w:val="22"/>
          <w:szCs w:val="22"/>
        </w:rPr>
        <w:t>Driving and Operating Machinery</w:t>
      </w:r>
    </w:p>
    <w:p w:rsidR="00875EE7" w:rsidRPr="00E96CAB" w:rsidRDefault="00CB0570" w:rsidP="00110BBA">
      <w:pPr>
        <w:tabs>
          <w:tab w:val="left" w:pos="270"/>
        </w:tabs>
        <w:rPr>
          <w:rFonts w:eastAsia="MS Mincho"/>
          <w:sz w:val="22"/>
          <w:szCs w:val="22"/>
          <w:lang w:eastAsia="ja-JP"/>
        </w:rPr>
      </w:pPr>
      <w:r w:rsidRPr="00BC3E60">
        <w:rPr>
          <w:rFonts w:eastAsia="MS Mincho"/>
          <w:sz w:val="22"/>
          <w:szCs w:val="22"/>
          <w:lang w:val="en-GB" w:eastAsia="ja-JP"/>
        </w:rPr>
        <w:t>ORKAMBI </w:t>
      </w:r>
      <w:r w:rsidRPr="00BC3E60">
        <w:rPr>
          <w:sz w:val="22"/>
          <w:szCs w:val="22"/>
        </w:rPr>
        <w:t xml:space="preserve">200/125 </w:t>
      </w:r>
      <w:r w:rsidR="00B95A5A" w:rsidRPr="00BC3E60">
        <w:rPr>
          <w:rFonts w:eastAsia="MS Mincho"/>
          <w:sz w:val="22"/>
          <w:szCs w:val="22"/>
          <w:lang w:val="en-GB" w:eastAsia="ja-JP"/>
        </w:rPr>
        <w:t>is</w:t>
      </w:r>
      <w:r w:rsidR="00B95A5A" w:rsidRPr="00E96CAB">
        <w:rPr>
          <w:rFonts w:eastAsia="MS Mincho"/>
          <w:sz w:val="22"/>
          <w:szCs w:val="22"/>
          <w:lang w:val="en-GB" w:eastAsia="ja-JP"/>
        </w:rPr>
        <w:t xml:space="preserve"> not expected to have a</w:t>
      </w:r>
      <w:r w:rsidR="001A253E" w:rsidRPr="00E96CAB">
        <w:rPr>
          <w:rFonts w:eastAsia="MS Mincho"/>
          <w:sz w:val="22"/>
          <w:szCs w:val="22"/>
          <w:lang w:val="en-GB" w:eastAsia="ja-JP"/>
        </w:rPr>
        <w:t>n</w:t>
      </w:r>
      <w:r w:rsidR="00B95A5A" w:rsidRPr="00E96CAB">
        <w:rPr>
          <w:rFonts w:eastAsia="MS Mincho"/>
          <w:sz w:val="22"/>
          <w:szCs w:val="22"/>
          <w:lang w:val="en-GB" w:eastAsia="ja-JP"/>
        </w:rPr>
        <w:t xml:space="preserve"> impact on the ability to drive and use machines.</w:t>
      </w:r>
    </w:p>
    <w:p w:rsidR="00875EE7" w:rsidRPr="00E96CAB" w:rsidRDefault="00875EE7" w:rsidP="00110BBA">
      <w:pPr>
        <w:tabs>
          <w:tab w:val="left" w:pos="270"/>
        </w:tabs>
        <w:rPr>
          <w:sz w:val="22"/>
          <w:szCs w:val="22"/>
        </w:rPr>
      </w:pPr>
    </w:p>
    <w:p w:rsidR="00875EE7" w:rsidRPr="00E96CAB" w:rsidRDefault="00875EE7" w:rsidP="00110BBA">
      <w:pPr>
        <w:tabs>
          <w:tab w:val="left" w:pos="270"/>
        </w:tabs>
        <w:rPr>
          <w:rFonts w:ascii="Times New Roman Bold" w:eastAsia="Times New Roman Bold"/>
          <w:b/>
          <w:caps/>
          <w:sz w:val="22"/>
          <w:szCs w:val="22"/>
        </w:rPr>
      </w:pPr>
      <w:r w:rsidRPr="00E96CAB">
        <w:rPr>
          <w:rFonts w:ascii="Times New Roman Bold" w:eastAsia="Times New Roman Bold"/>
          <w:b/>
          <w:caps/>
          <w:sz w:val="22"/>
          <w:szCs w:val="22"/>
        </w:rPr>
        <w:t>Interactions with Other Medicines</w:t>
      </w:r>
    </w:p>
    <w:p w:rsidR="00875EE7" w:rsidRPr="00E96CAB" w:rsidRDefault="00875EE7" w:rsidP="00110BBA">
      <w:pPr>
        <w:rPr>
          <w:bCs/>
          <w:iCs/>
          <w:sz w:val="22"/>
          <w:szCs w:val="22"/>
        </w:rPr>
      </w:pPr>
    </w:p>
    <w:p w:rsidR="00B95A5A" w:rsidRPr="00E96CAB" w:rsidRDefault="00B95A5A" w:rsidP="00110BBA">
      <w:pPr>
        <w:rPr>
          <w:bCs/>
          <w:sz w:val="22"/>
          <w:szCs w:val="22"/>
          <w:lang w:val="en-GB"/>
        </w:rPr>
      </w:pPr>
      <w:proofErr w:type="spellStart"/>
      <w:r w:rsidRPr="00E96CAB">
        <w:rPr>
          <w:bCs/>
          <w:sz w:val="22"/>
          <w:szCs w:val="22"/>
          <w:lang w:val="en-GB"/>
        </w:rPr>
        <w:t>Lumacaftor</w:t>
      </w:r>
      <w:proofErr w:type="spellEnd"/>
      <w:r w:rsidRPr="00E96CAB">
        <w:rPr>
          <w:bCs/>
          <w:sz w:val="22"/>
          <w:szCs w:val="22"/>
          <w:lang w:val="en-GB"/>
        </w:rPr>
        <w:t xml:space="preserve"> is a strong inducer of CYP3A. </w:t>
      </w:r>
      <w:proofErr w:type="spellStart"/>
      <w:r w:rsidRPr="00E96CAB">
        <w:rPr>
          <w:bCs/>
          <w:sz w:val="22"/>
          <w:szCs w:val="22"/>
          <w:lang w:val="en-GB"/>
        </w:rPr>
        <w:t>Ivacaftor</w:t>
      </w:r>
      <w:proofErr w:type="spellEnd"/>
      <w:r w:rsidRPr="00E96CAB">
        <w:rPr>
          <w:bCs/>
          <w:sz w:val="22"/>
          <w:szCs w:val="22"/>
          <w:lang w:val="en-GB"/>
        </w:rPr>
        <w:t xml:space="preserve"> is a weak inhibitor of CYP3A when given as monotherapy. The net effect of </w:t>
      </w:r>
      <w:proofErr w:type="spellStart"/>
      <w:r w:rsidRPr="00E96CAB">
        <w:rPr>
          <w:bCs/>
          <w:sz w:val="22"/>
          <w:szCs w:val="22"/>
          <w:lang w:val="en-GB"/>
        </w:rPr>
        <w:t>lumacaftor</w:t>
      </w:r>
      <w:proofErr w:type="spellEnd"/>
      <w:r w:rsidRPr="00E96CAB">
        <w:rPr>
          <w:bCs/>
          <w:sz w:val="22"/>
          <w:szCs w:val="22"/>
          <w:lang w:val="en-GB"/>
        </w:rPr>
        <w:t>/</w:t>
      </w:r>
      <w:proofErr w:type="spellStart"/>
      <w:r w:rsidRPr="00E96CAB">
        <w:rPr>
          <w:bCs/>
          <w:sz w:val="22"/>
          <w:szCs w:val="22"/>
          <w:lang w:val="en-GB"/>
        </w:rPr>
        <w:t>ivacaftor</w:t>
      </w:r>
      <w:proofErr w:type="spellEnd"/>
      <w:r w:rsidRPr="00E96CAB">
        <w:rPr>
          <w:bCs/>
          <w:sz w:val="22"/>
          <w:szCs w:val="22"/>
          <w:lang w:val="en-GB"/>
        </w:rPr>
        <w:t xml:space="preserve"> therapy is expected to be strong CYP3A induction.</w:t>
      </w:r>
    </w:p>
    <w:p w:rsidR="00B95A5A" w:rsidRPr="00E96CAB" w:rsidRDefault="00B95A5A" w:rsidP="00B95A5A">
      <w:pPr>
        <w:rPr>
          <w:bCs/>
          <w:sz w:val="22"/>
          <w:szCs w:val="22"/>
          <w:lang w:val="en-GB"/>
        </w:rPr>
      </w:pPr>
    </w:p>
    <w:p w:rsidR="00B95A5A" w:rsidRPr="00E96CAB" w:rsidRDefault="00B95A5A" w:rsidP="00B95A5A">
      <w:pPr>
        <w:rPr>
          <w:bCs/>
          <w:sz w:val="22"/>
          <w:szCs w:val="22"/>
          <w:lang w:val="en-GB"/>
        </w:rPr>
      </w:pPr>
      <w:r w:rsidRPr="00E96CAB">
        <w:rPr>
          <w:bCs/>
          <w:sz w:val="22"/>
          <w:szCs w:val="22"/>
          <w:lang w:val="en-GB"/>
        </w:rPr>
        <w:t xml:space="preserve">Drug interaction studies were performed in adults with </w:t>
      </w:r>
      <w:proofErr w:type="spellStart"/>
      <w:r w:rsidRPr="00E96CAB">
        <w:rPr>
          <w:bCs/>
          <w:sz w:val="22"/>
          <w:szCs w:val="22"/>
          <w:lang w:val="en-GB"/>
        </w:rPr>
        <w:t>lumacaftor</w:t>
      </w:r>
      <w:proofErr w:type="spellEnd"/>
      <w:r w:rsidRPr="00E96CAB">
        <w:rPr>
          <w:bCs/>
          <w:sz w:val="22"/>
          <w:szCs w:val="22"/>
          <w:lang w:val="en-GB"/>
        </w:rPr>
        <w:t>/</w:t>
      </w:r>
      <w:proofErr w:type="spellStart"/>
      <w:r w:rsidRPr="00E96CAB">
        <w:rPr>
          <w:bCs/>
          <w:sz w:val="22"/>
          <w:szCs w:val="22"/>
          <w:lang w:val="en-GB"/>
        </w:rPr>
        <w:t>ivacaftor</w:t>
      </w:r>
      <w:proofErr w:type="spellEnd"/>
      <w:r w:rsidRPr="00E96CAB">
        <w:rPr>
          <w:bCs/>
          <w:sz w:val="22"/>
          <w:szCs w:val="22"/>
          <w:lang w:val="en-GB"/>
        </w:rPr>
        <w:t xml:space="preserve"> and other drugs likely to be co</w:t>
      </w:r>
      <w:r w:rsidRPr="00E96CAB">
        <w:rPr>
          <w:bCs/>
          <w:sz w:val="22"/>
          <w:szCs w:val="22"/>
          <w:lang w:val="en-GB"/>
        </w:rPr>
        <w:noBreakHyphen/>
        <w:t>administered or drugs commonly used as probes for pharmacokinetic interaction studies.</w:t>
      </w:r>
    </w:p>
    <w:p w:rsidR="00875EE7" w:rsidRPr="00E96CAB" w:rsidRDefault="00875EE7" w:rsidP="00417D6A">
      <w:pPr>
        <w:rPr>
          <w:bCs/>
          <w:sz w:val="22"/>
          <w:szCs w:val="22"/>
        </w:rPr>
      </w:pPr>
    </w:p>
    <w:p w:rsidR="00875EE7" w:rsidRPr="00E96CAB" w:rsidRDefault="00875EE7" w:rsidP="00417D6A">
      <w:pPr>
        <w:rPr>
          <w:b/>
          <w:bCs/>
          <w:sz w:val="22"/>
          <w:szCs w:val="22"/>
        </w:rPr>
      </w:pPr>
      <w:r w:rsidRPr="00E96CAB">
        <w:rPr>
          <w:b/>
          <w:bCs/>
          <w:sz w:val="22"/>
          <w:szCs w:val="22"/>
        </w:rPr>
        <w:t xml:space="preserve">Effects of Other Medicines on </w:t>
      </w:r>
      <w:proofErr w:type="spellStart"/>
      <w:r w:rsidR="008A1D01" w:rsidRPr="00E96CAB">
        <w:rPr>
          <w:b/>
          <w:bCs/>
          <w:sz w:val="22"/>
          <w:szCs w:val="22"/>
        </w:rPr>
        <w:t>Lumacaftor</w:t>
      </w:r>
      <w:proofErr w:type="spellEnd"/>
      <w:r w:rsidR="008A1D01" w:rsidRPr="00E96CAB">
        <w:rPr>
          <w:b/>
          <w:bCs/>
          <w:sz w:val="22"/>
          <w:szCs w:val="22"/>
        </w:rPr>
        <w:t>/</w:t>
      </w:r>
      <w:proofErr w:type="spellStart"/>
      <w:r w:rsidRPr="00E96CAB">
        <w:rPr>
          <w:b/>
          <w:bCs/>
          <w:sz w:val="22"/>
          <w:szCs w:val="22"/>
        </w:rPr>
        <w:t>Ivacaftor</w:t>
      </w:r>
      <w:proofErr w:type="spellEnd"/>
    </w:p>
    <w:p w:rsidR="00875EE7" w:rsidRPr="00E96CAB" w:rsidRDefault="00875EE7" w:rsidP="00417D6A">
      <w:pPr>
        <w:rPr>
          <w:bCs/>
          <w:i/>
          <w:sz w:val="22"/>
          <w:szCs w:val="22"/>
        </w:rPr>
      </w:pPr>
      <w:r w:rsidRPr="00E96CAB">
        <w:rPr>
          <w:bCs/>
          <w:i/>
          <w:sz w:val="22"/>
          <w:szCs w:val="22"/>
        </w:rPr>
        <w:t>CYP3A Inhibitors</w:t>
      </w:r>
    </w:p>
    <w:p w:rsidR="00BD7E64" w:rsidRPr="00E96CAB" w:rsidRDefault="00BD7E64" w:rsidP="00BD7E64">
      <w:pPr>
        <w:pStyle w:val="Body"/>
        <w:ind w:firstLine="0"/>
        <w:jc w:val="left"/>
        <w:rPr>
          <w:rFonts w:ascii="Times New Roman" w:hAnsi="Times New Roman"/>
          <w:sz w:val="22"/>
          <w:szCs w:val="22"/>
        </w:rPr>
      </w:pPr>
      <w:r w:rsidRPr="00E96CAB">
        <w:rPr>
          <w:rFonts w:ascii="Times New Roman" w:hAnsi="Times New Roman"/>
          <w:sz w:val="22"/>
          <w:szCs w:val="22"/>
        </w:rPr>
        <w:t>Co</w:t>
      </w:r>
      <w:r w:rsidRPr="00E96CAB">
        <w:rPr>
          <w:rFonts w:ascii="Times New Roman" w:hAnsi="Times New Roman"/>
          <w:sz w:val="22"/>
          <w:szCs w:val="22"/>
        </w:rPr>
        <w:noBreakHyphen/>
        <w:t xml:space="preserve">administration of </w:t>
      </w:r>
      <w:proofErr w:type="spellStart"/>
      <w:r w:rsidRPr="00E96CAB">
        <w:rPr>
          <w:rFonts w:ascii="Times New Roman" w:hAnsi="Times New Roman"/>
          <w:sz w:val="22"/>
          <w:szCs w:val="22"/>
        </w:rPr>
        <w:t>lumacaftor</w:t>
      </w:r>
      <w:proofErr w:type="spellEnd"/>
      <w:r w:rsidRPr="00E96CAB">
        <w:rPr>
          <w:rFonts w:ascii="Times New Roman" w:hAnsi="Times New Roman"/>
          <w:sz w:val="22"/>
          <w:szCs w:val="22"/>
        </w:rPr>
        <w:t>/</w:t>
      </w:r>
      <w:proofErr w:type="spellStart"/>
      <w:r w:rsidRPr="00E96CAB">
        <w:rPr>
          <w:rFonts w:ascii="Times New Roman" w:hAnsi="Times New Roman"/>
          <w:sz w:val="22"/>
          <w:szCs w:val="22"/>
        </w:rPr>
        <w:t>ivacaftor</w:t>
      </w:r>
      <w:proofErr w:type="spellEnd"/>
      <w:r w:rsidRPr="00E96CAB">
        <w:rPr>
          <w:rFonts w:ascii="Times New Roman" w:hAnsi="Times New Roman"/>
          <w:sz w:val="22"/>
          <w:szCs w:val="22"/>
        </w:rPr>
        <w:t xml:space="preserve"> with </w:t>
      </w:r>
      <w:proofErr w:type="spellStart"/>
      <w:r w:rsidRPr="00E96CAB">
        <w:rPr>
          <w:rFonts w:ascii="Times New Roman" w:hAnsi="Times New Roman"/>
          <w:sz w:val="22"/>
          <w:szCs w:val="22"/>
        </w:rPr>
        <w:t>itraconazole</w:t>
      </w:r>
      <w:proofErr w:type="spellEnd"/>
      <w:r w:rsidRPr="00E96CAB">
        <w:rPr>
          <w:rFonts w:ascii="Times New Roman" w:hAnsi="Times New Roman"/>
          <w:sz w:val="22"/>
          <w:szCs w:val="22"/>
        </w:rPr>
        <w:t xml:space="preserve">, a strong CYP3A inhibitor, did not impact the exposure of </w:t>
      </w:r>
      <w:proofErr w:type="spellStart"/>
      <w:r w:rsidRPr="00E96CAB">
        <w:rPr>
          <w:rFonts w:ascii="Times New Roman" w:hAnsi="Times New Roman"/>
          <w:sz w:val="22"/>
          <w:szCs w:val="22"/>
        </w:rPr>
        <w:t>lumacaftor</w:t>
      </w:r>
      <w:proofErr w:type="spellEnd"/>
      <w:r w:rsidRPr="00E96CAB">
        <w:rPr>
          <w:rFonts w:ascii="Times New Roman" w:hAnsi="Times New Roman"/>
          <w:sz w:val="22"/>
          <w:szCs w:val="22"/>
        </w:rPr>
        <w:t xml:space="preserve">, but increased </w:t>
      </w:r>
      <w:proofErr w:type="spellStart"/>
      <w:r w:rsidRPr="00E96CAB">
        <w:rPr>
          <w:rFonts w:ascii="Times New Roman" w:hAnsi="Times New Roman"/>
          <w:sz w:val="22"/>
          <w:szCs w:val="22"/>
        </w:rPr>
        <w:t>ivacaftor</w:t>
      </w:r>
      <w:proofErr w:type="spellEnd"/>
      <w:r w:rsidRPr="00E96CAB">
        <w:rPr>
          <w:rFonts w:ascii="Times New Roman" w:hAnsi="Times New Roman"/>
          <w:sz w:val="22"/>
          <w:szCs w:val="22"/>
        </w:rPr>
        <w:t xml:space="preserve"> exposure by 4.3</w:t>
      </w:r>
      <w:r w:rsidRPr="00E96CAB">
        <w:rPr>
          <w:rFonts w:ascii="Times New Roman" w:hAnsi="Times New Roman"/>
          <w:sz w:val="22"/>
          <w:szCs w:val="22"/>
        </w:rPr>
        <w:noBreakHyphen/>
        <w:t xml:space="preserve">fold. Due to the induction effect of </w:t>
      </w:r>
      <w:proofErr w:type="spellStart"/>
      <w:r w:rsidRPr="00E96CAB">
        <w:rPr>
          <w:rFonts w:ascii="Times New Roman" w:hAnsi="Times New Roman"/>
          <w:sz w:val="22"/>
          <w:szCs w:val="22"/>
        </w:rPr>
        <w:t>lumacaftor</w:t>
      </w:r>
      <w:proofErr w:type="spellEnd"/>
      <w:r w:rsidRPr="00E96CAB">
        <w:rPr>
          <w:rFonts w:ascii="Times New Roman" w:hAnsi="Times New Roman"/>
          <w:sz w:val="22"/>
          <w:szCs w:val="22"/>
        </w:rPr>
        <w:t xml:space="preserve"> on CYP3A, at steady</w:t>
      </w:r>
      <w:r w:rsidRPr="00E96CAB">
        <w:rPr>
          <w:rFonts w:ascii="Times New Roman" w:hAnsi="Times New Roman"/>
          <w:sz w:val="22"/>
          <w:szCs w:val="22"/>
        </w:rPr>
        <w:noBreakHyphen/>
        <w:t xml:space="preserve">state, the net exposure of </w:t>
      </w:r>
      <w:proofErr w:type="spellStart"/>
      <w:r w:rsidRPr="00E96CAB">
        <w:rPr>
          <w:rFonts w:ascii="Times New Roman" w:hAnsi="Times New Roman"/>
          <w:sz w:val="22"/>
          <w:szCs w:val="22"/>
        </w:rPr>
        <w:t>ivacaftor</w:t>
      </w:r>
      <w:proofErr w:type="spellEnd"/>
      <w:r w:rsidRPr="00E96CAB">
        <w:rPr>
          <w:rFonts w:ascii="Times New Roman" w:hAnsi="Times New Roman"/>
          <w:sz w:val="22"/>
          <w:szCs w:val="22"/>
        </w:rPr>
        <w:t xml:space="preserve"> is not expected to exceed that when given in the absence of </w:t>
      </w:r>
      <w:proofErr w:type="spellStart"/>
      <w:r w:rsidRPr="00E96CAB">
        <w:rPr>
          <w:rFonts w:ascii="Times New Roman" w:hAnsi="Times New Roman"/>
          <w:sz w:val="22"/>
          <w:szCs w:val="22"/>
        </w:rPr>
        <w:t>lumacaftor</w:t>
      </w:r>
      <w:proofErr w:type="spellEnd"/>
      <w:r w:rsidRPr="00E96CAB">
        <w:rPr>
          <w:rFonts w:ascii="Times New Roman" w:hAnsi="Times New Roman"/>
          <w:sz w:val="22"/>
          <w:szCs w:val="22"/>
        </w:rPr>
        <w:t xml:space="preserve"> at a dose of 150 mg every 12</w:t>
      </w:r>
      <w:r w:rsidR="00BC7912" w:rsidRPr="00E96CAB">
        <w:rPr>
          <w:rFonts w:ascii="Times New Roman" w:hAnsi="Times New Roman"/>
          <w:sz w:val="22"/>
          <w:szCs w:val="22"/>
        </w:rPr>
        <w:t> </w:t>
      </w:r>
      <w:r w:rsidRPr="00E96CAB">
        <w:rPr>
          <w:rFonts w:ascii="Times New Roman" w:hAnsi="Times New Roman"/>
          <w:sz w:val="22"/>
          <w:szCs w:val="22"/>
        </w:rPr>
        <w:t xml:space="preserve">hours, the approved dose of </w:t>
      </w:r>
      <w:proofErr w:type="spellStart"/>
      <w:r w:rsidRPr="00E96CAB">
        <w:rPr>
          <w:rFonts w:ascii="Times New Roman" w:hAnsi="Times New Roman"/>
          <w:sz w:val="22"/>
          <w:szCs w:val="22"/>
        </w:rPr>
        <w:t>ivacaftor</w:t>
      </w:r>
      <w:proofErr w:type="spellEnd"/>
      <w:r w:rsidRPr="00E96CAB">
        <w:rPr>
          <w:rFonts w:ascii="Times New Roman" w:hAnsi="Times New Roman"/>
          <w:sz w:val="22"/>
          <w:szCs w:val="22"/>
        </w:rPr>
        <w:t xml:space="preserve"> monotherapy. Therefore, no dose adjustment is necessary when CYP3A inhibitors are initiated in patients currently taking </w:t>
      </w:r>
      <w:r w:rsidR="00606C30" w:rsidRPr="00BC3E60">
        <w:rPr>
          <w:rFonts w:ascii="Times New Roman" w:hAnsi="Times New Roman"/>
          <w:sz w:val="22"/>
          <w:szCs w:val="22"/>
        </w:rPr>
        <w:t>ORKAMBI</w:t>
      </w:r>
      <w:r w:rsidR="00CB0570" w:rsidRPr="00BC3E60">
        <w:rPr>
          <w:rFonts w:ascii="Times New Roman" w:hAnsi="Times New Roman"/>
          <w:sz w:val="22"/>
          <w:szCs w:val="22"/>
        </w:rPr>
        <w:t> 200/125</w:t>
      </w:r>
      <w:r w:rsidRPr="00BC3E60">
        <w:rPr>
          <w:rFonts w:ascii="Times New Roman" w:hAnsi="Times New Roman"/>
          <w:sz w:val="22"/>
          <w:szCs w:val="22"/>
        </w:rPr>
        <w:t xml:space="preserve">. However, when initiating </w:t>
      </w:r>
      <w:r w:rsidR="00606C30" w:rsidRPr="00BC3E60">
        <w:rPr>
          <w:rFonts w:ascii="Times New Roman" w:hAnsi="Times New Roman"/>
          <w:sz w:val="22"/>
          <w:szCs w:val="22"/>
        </w:rPr>
        <w:t>ORKAMBI</w:t>
      </w:r>
      <w:r w:rsidR="00CB0570" w:rsidRPr="00BC3E60">
        <w:rPr>
          <w:rFonts w:ascii="Times New Roman" w:hAnsi="Times New Roman"/>
          <w:sz w:val="22"/>
          <w:szCs w:val="22"/>
        </w:rPr>
        <w:t xml:space="preserve"> 200/125 </w:t>
      </w:r>
      <w:r w:rsidRPr="00BC3E60">
        <w:rPr>
          <w:rFonts w:ascii="Times New Roman" w:hAnsi="Times New Roman"/>
          <w:sz w:val="22"/>
          <w:szCs w:val="22"/>
        </w:rPr>
        <w:t xml:space="preserve">in patients </w:t>
      </w:r>
      <w:r w:rsidR="00BC7912" w:rsidRPr="00BC3E60">
        <w:rPr>
          <w:rFonts w:ascii="Times New Roman" w:hAnsi="Times New Roman"/>
          <w:sz w:val="22"/>
          <w:szCs w:val="22"/>
        </w:rPr>
        <w:t xml:space="preserve">currently </w:t>
      </w:r>
      <w:r w:rsidRPr="00BC3E60">
        <w:rPr>
          <w:rFonts w:ascii="Times New Roman" w:hAnsi="Times New Roman"/>
          <w:sz w:val="22"/>
          <w:szCs w:val="22"/>
        </w:rPr>
        <w:t xml:space="preserve">taking strong CYP3A inhibitors (e.g., </w:t>
      </w:r>
      <w:proofErr w:type="spellStart"/>
      <w:r w:rsidRPr="00BC3E60">
        <w:rPr>
          <w:rFonts w:ascii="Times New Roman" w:hAnsi="Times New Roman"/>
          <w:sz w:val="22"/>
          <w:szCs w:val="22"/>
        </w:rPr>
        <w:t>itraconazole</w:t>
      </w:r>
      <w:proofErr w:type="spellEnd"/>
      <w:r w:rsidRPr="00BC3E60">
        <w:rPr>
          <w:rFonts w:ascii="Times New Roman" w:hAnsi="Times New Roman"/>
          <w:sz w:val="22"/>
          <w:szCs w:val="22"/>
        </w:rPr>
        <w:t xml:space="preserve">), reduce </w:t>
      </w:r>
      <w:r w:rsidR="00606C30" w:rsidRPr="00BC3E60">
        <w:rPr>
          <w:rFonts w:ascii="Times New Roman" w:hAnsi="Times New Roman"/>
          <w:sz w:val="22"/>
          <w:szCs w:val="22"/>
        </w:rPr>
        <w:t>ORKAMBI</w:t>
      </w:r>
      <w:r w:rsidR="00CB0570" w:rsidRPr="00BC3E60">
        <w:rPr>
          <w:rFonts w:ascii="Times New Roman" w:hAnsi="Times New Roman"/>
          <w:sz w:val="22"/>
          <w:szCs w:val="22"/>
        </w:rPr>
        <w:t xml:space="preserve"> 200/125 </w:t>
      </w:r>
      <w:r w:rsidRPr="00BC3E60">
        <w:rPr>
          <w:rFonts w:ascii="Times New Roman" w:hAnsi="Times New Roman"/>
          <w:sz w:val="22"/>
          <w:szCs w:val="22"/>
        </w:rPr>
        <w:t>dose to 1 tablet daily (</w:t>
      </w:r>
      <w:proofErr w:type="spellStart"/>
      <w:r w:rsidRPr="00BC3E60">
        <w:rPr>
          <w:rFonts w:ascii="Times New Roman" w:hAnsi="Times New Roman"/>
          <w:sz w:val="22"/>
          <w:szCs w:val="22"/>
        </w:rPr>
        <w:t>lumacaftor</w:t>
      </w:r>
      <w:proofErr w:type="spellEnd"/>
      <w:r w:rsidRPr="00BC3E60">
        <w:rPr>
          <w:rFonts w:ascii="Times New Roman" w:hAnsi="Times New Roman"/>
          <w:sz w:val="22"/>
          <w:szCs w:val="22"/>
        </w:rPr>
        <w:t xml:space="preserve"> 200 mg/</w:t>
      </w:r>
      <w:proofErr w:type="spellStart"/>
      <w:r w:rsidRPr="00BC3E60">
        <w:rPr>
          <w:rFonts w:ascii="Times New Roman" w:hAnsi="Times New Roman"/>
          <w:sz w:val="22"/>
          <w:szCs w:val="22"/>
        </w:rPr>
        <w:t>ivacaftor</w:t>
      </w:r>
      <w:proofErr w:type="spellEnd"/>
      <w:r w:rsidRPr="00BC3E60">
        <w:rPr>
          <w:rFonts w:ascii="Times New Roman" w:hAnsi="Times New Roman"/>
          <w:sz w:val="22"/>
          <w:szCs w:val="22"/>
        </w:rPr>
        <w:t xml:space="preserve"> 125 mg total daily dose) for the first week of treatment</w:t>
      </w:r>
      <w:r w:rsidRPr="00BC3E60">
        <w:rPr>
          <w:sz w:val="22"/>
          <w:szCs w:val="22"/>
        </w:rPr>
        <w:t xml:space="preserve"> </w:t>
      </w:r>
      <w:r w:rsidRPr="00BC3E60">
        <w:rPr>
          <w:rFonts w:ascii="Times New Roman" w:hAnsi="Times New Roman"/>
          <w:sz w:val="22"/>
          <w:szCs w:val="22"/>
        </w:rPr>
        <w:t>to allow for the steady</w:t>
      </w:r>
      <w:r w:rsidR="00397C8E" w:rsidRPr="00BC3E60">
        <w:rPr>
          <w:rFonts w:ascii="Times New Roman" w:hAnsi="Times New Roman"/>
          <w:sz w:val="22"/>
          <w:szCs w:val="22"/>
        </w:rPr>
        <w:noBreakHyphen/>
      </w:r>
      <w:r w:rsidRPr="00BC3E60">
        <w:rPr>
          <w:rFonts w:ascii="Times New Roman" w:hAnsi="Times New Roman"/>
          <w:sz w:val="22"/>
          <w:szCs w:val="22"/>
        </w:rPr>
        <w:t xml:space="preserve">state induction effect of </w:t>
      </w:r>
      <w:proofErr w:type="spellStart"/>
      <w:r w:rsidRPr="00BC3E60">
        <w:rPr>
          <w:rFonts w:ascii="Times New Roman" w:hAnsi="Times New Roman"/>
          <w:sz w:val="22"/>
          <w:szCs w:val="22"/>
        </w:rPr>
        <w:t>lumacaftor</w:t>
      </w:r>
      <w:proofErr w:type="spellEnd"/>
      <w:r w:rsidRPr="00BC3E60">
        <w:rPr>
          <w:rFonts w:ascii="Times New Roman" w:hAnsi="Times New Roman"/>
          <w:sz w:val="22"/>
          <w:szCs w:val="22"/>
        </w:rPr>
        <w:t xml:space="preserve">. Following this period, continue with the recommended daily dose per </w:t>
      </w:r>
      <w:r w:rsidR="002578CD" w:rsidRPr="00BC3E60">
        <w:rPr>
          <w:rFonts w:ascii="Times New Roman" w:hAnsi="Times New Roman"/>
          <w:sz w:val="22"/>
          <w:szCs w:val="22"/>
        </w:rPr>
        <w:t>DOSAGE AND ADMINISTRATION</w:t>
      </w:r>
      <w:r w:rsidRPr="00BC3E60">
        <w:rPr>
          <w:rFonts w:ascii="Times New Roman" w:hAnsi="Times New Roman"/>
          <w:sz w:val="22"/>
          <w:szCs w:val="22"/>
        </w:rPr>
        <w:t xml:space="preserve">. If </w:t>
      </w:r>
      <w:r w:rsidR="00606C30" w:rsidRPr="00BC3E60">
        <w:rPr>
          <w:rFonts w:ascii="Times New Roman" w:hAnsi="Times New Roman"/>
          <w:sz w:val="22"/>
          <w:szCs w:val="22"/>
        </w:rPr>
        <w:t>ORKAMBI</w:t>
      </w:r>
      <w:r w:rsidR="00CB0570" w:rsidRPr="00BC3E60">
        <w:rPr>
          <w:rFonts w:ascii="Times New Roman" w:hAnsi="Times New Roman"/>
          <w:sz w:val="22"/>
          <w:szCs w:val="22"/>
        </w:rPr>
        <w:t xml:space="preserve"> 200/125 </w:t>
      </w:r>
      <w:r w:rsidRPr="00BC3E60">
        <w:rPr>
          <w:rFonts w:ascii="Times New Roman" w:hAnsi="Times New Roman"/>
          <w:sz w:val="22"/>
          <w:szCs w:val="22"/>
        </w:rPr>
        <w:t xml:space="preserve">is interrupted for more than one week, reduce </w:t>
      </w:r>
      <w:r w:rsidR="00606C30" w:rsidRPr="00BC3E60">
        <w:rPr>
          <w:rFonts w:ascii="Times New Roman" w:hAnsi="Times New Roman"/>
          <w:sz w:val="22"/>
          <w:szCs w:val="22"/>
        </w:rPr>
        <w:t>ORKAMBI</w:t>
      </w:r>
      <w:r w:rsidR="00CB0570" w:rsidRPr="00BC3E60">
        <w:rPr>
          <w:rFonts w:ascii="Times New Roman" w:hAnsi="Times New Roman"/>
          <w:sz w:val="22"/>
          <w:szCs w:val="22"/>
        </w:rPr>
        <w:t xml:space="preserve"> 200/125 </w:t>
      </w:r>
      <w:r w:rsidRPr="00BC3E60">
        <w:rPr>
          <w:rFonts w:ascii="Times New Roman" w:hAnsi="Times New Roman"/>
          <w:sz w:val="22"/>
          <w:szCs w:val="22"/>
        </w:rPr>
        <w:t xml:space="preserve">dose </w:t>
      </w:r>
      <w:r w:rsidRPr="00E96CAB">
        <w:rPr>
          <w:rFonts w:ascii="Times New Roman" w:hAnsi="Times New Roman"/>
          <w:sz w:val="22"/>
          <w:szCs w:val="22"/>
        </w:rPr>
        <w:t>to 1 tablet daily for the first week of treatment re</w:t>
      </w:r>
      <w:r w:rsidRPr="00E96CAB">
        <w:rPr>
          <w:rFonts w:ascii="Times New Roman" w:hAnsi="Times New Roman"/>
          <w:sz w:val="22"/>
          <w:szCs w:val="22"/>
        </w:rPr>
        <w:noBreakHyphen/>
        <w:t>initiation. Examples of strong CYP3A inhibitors include:</w:t>
      </w:r>
    </w:p>
    <w:p w:rsidR="00BD7E64" w:rsidRPr="00E96CAB" w:rsidRDefault="00BD7E64" w:rsidP="00BD7E64">
      <w:pPr>
        <w:pStyle w:val="Body"/>
        <w:numPr>
          <w:ilvl w:val="0"/>
          <w:numId w:val="13"/>
        </w:numPr>
        <w:ind w:left="540" w:firstLine="90"/>
        <w:jc w:val="left"/>
        <w:rPr>
          <w:rFonts w:ascii="Times New Roman" w:hAnsi="Times New Roman"/>
          <w:sz w:val="22"/>
          <w:szCs w:val="22"/>
        </w:rPr>
      </w:pPr>
      <w:r w:rsidRPr="00E96CAB">
        <w:rPr>
          <w:rFonts w:ascii="Times New Roman" w:hAnsi="Times New Roman"/>
          <w:sz w:val="22"/>
          <w:szCs w:val="22"/>
        </w:rPr>
        <w:t xml:space="preserve">ketoconazole, </w:t>
      </w:r>
      <w:proofErr w:type="spellStart"/>
      <w:r w:rsidRPr="00E96CAB">
        <w:rPr>
          <w:rFonts w:ascii="Times New Roman" w:hAnsi="Times New Roman"/>
          <w:sz w:val="22"/>
          <w:szCs w:val="22"/>
        </w:rPr>
        <w:t>itraconazole</w:t>
      </w:r>
      <w:proofErr w:type="spellEnd"/>
      <w:r w:rsidRPr="00E96CAB">
        <w:rPr>
          <w:rFonts w:ascii="Times New Roman" w:hAnsi="Times New Roman"/>
          <w:sz w:val="22"/>
          <w:szCs w:val="22"/>
        </w:rPr>
        <w:t xml:space="preserve">, </w:t>
      </w:r>
      <w:proofErr w:type="spellStart"/>
      <w:r w:rsidRPr="00E96CAB">
        <w:rPr>
          <w:rFonts w:ascii="Times New Roman" w:hAnsi="Times New Roman"/>
          <w:sz w:val="22"/>
          <w:szCs w:val="22"/>
        </w:rPr>
        <w:t>posaconazole</w:t>
      </w:r>
      <w:proofErr w:type="spellEnd"/>
      <w:r w:rsidRPr="00E96CAB">
        <w:rPr>
          <w:rFonts w:ascii="Times New Roman" w:hAnsi="Times New Roman"/>
          <w:sz w:val="22"/>
          <w:szCs w:val="22"/>
        </w:rPr>
        <w:t xml:space="preserve">, </w:t>
      </w:r>
      <w:proofErr w:type="spellStart"/>
      <w:r w:rsidRPr="00E96CAB">
        <w:rPr>
          <w:rFonts w:ascii="Times New Roman" w:hAnsi="Times New Roman"/>
          <w:sz w:val="22"/>
          <w:szCs w:val="22"/>
        </w:rPr>
        <w:t>voriconazole</w:t>
      </w:r>
      <w:proofErr w:type="spellEnd"/>
    </w:p>
    <w:p w:rsidR="00BD7E64" w:rsidRPr="00E96CAB" w:rsidRDefault="00BD7E64" w:rsidP="00BD7E64">
      <w:pPr>
        <w:pStyle w:val="Body"/>
        <w:numPr>
          <w:ilvl w:val="0"/>
          <w:numId w:val="13"/>
        </w:numPr>
        <w:ind w:left="540" w:firstLine="90"/>
        <w:jc w:val="left"/>
        <w:rPr>
          <w:rFonts w:ascii="Times New Roman" w:hAnsi="Times New Roman"/>
          <w:sz w:val="22"/>
          <w:szCs w:val="22"/>
        </w:rPr>
      </w:pPr>
      <w:proofErr w:type="spellStart"/>
      <w:proofErr w:type="gramStart"/>
      <w:r w:rsidRPr="00E96CAB">
        <w:rPr>
          <w:rFonts w:ascii="Times New Roman" w:hAnsi="Times New Roman"/>
          <w:sz w:val="22"/>
          <w:szCs w:val="22"/>
        </w:rPr>
        <w:t>telithromycin</w:t>
      </w:r>
      <w:proofErr w:type="spellEnd"/>
      <w:proofErr w:type="gramEnd"/>
      <w:r w:rsidRPr="00E96CAB">
        <w:rPr>
          <w:rFonts w:ascii="Times New Roman" w:hAnsi="Times New Roman"/>
          <w:sz w:val="22"/>
          <w:szCs w:val="22"/>
        </w:rPr>
        <w:t>, clarithromycin.</w:t>
      </w:r>
    </w:p>
    <w:p w:rsidR="00E8568F" w:rsidRPr="00E96CAB" w:rsidRDefault="00E8568F" w:rsidP="00FD5EA4">
      <w:pPr>
        <w:pStyle w:val="Body"/>
        <w:ind w:firstLine="0"/>
        <w:jc w:val="left"/>
        <w:rPr>
          <w:rFonts w:ascii="Times New Roman" w:hAnsi="Times New Roman"/>
          <w:sz w:val="22"/>
          <w:szCs w:val="22"/>
        </w:rPr>
      </w:pPr>
    </w:p>
    <w:p w:rsidR="00E8568F" w:rsidRPr="00E96CAB" w:rsidRDefault="00E8568F" w:rsidP="00E8568F">
      <w:pPr>
        <w:pStyle w:val="Body"/>
        <w:ind w:firstLine="0"/>
        <w:jc w:val="left"/>
        <w:rPr>
          <w:rFonts w:ascii="Times New Roman" w:hAnsi="Times New Roman"/>
          <w:sz w:val="22"/>
          <w:szCs w:val="22"/>
        </w:rPr>
      </w:pPr>
      <w:r w:rsidRPr="00E96CAB">
        <w:rPr>
          <w:rFonts w:ascii="Times New Roman" w:hAnsi="Times New Roman"/>
          <w:sz w:val="22"/>
          <w:szCs w:val="22"/>
        </w:rPr>
        <w:t>No dose adjustment is recommended when used with moderate or weak CYP3A inhibitors.</w:t>
      </w:r>
    </w:p>
    <w:p w:rsidR="00875EE7" w:rsidRPr="00E96CAB" w:rsidRDefault="00875EE7" w:rsidP="00417D6A">
      <w:pPr>
        <w:tabs>
          <w:tab w:val="left" w:pos="270"/>
        </w:tabs>
        <w:rPr>
          <w:i/>
          <w:sz w:val="22"/>
          <w:szCs w:val="22"/>
        </w:rPr>
      </w:pPr>
      <w:r w:rsidRPr="00E96CAB">
        <w:rPr>
          <w:i/>
          <w:sz w:val="22"/>
          <w:szCs w:val="22"/>
        </w:rPr>
        <w:t>CYP3A Inducers</w:t>
      </w:r>
    </w:p>
    <w:p w:rsidR="00BD7E64" w:rsidRPr="00E96CAB" w:rsidRDefault="00BD7E64" w:rsidP="00BD7E64">
      <w:pPr>
        <w:pStyle w:val="CommentText"/>
        <w:rPr>
          <w:sz w:val="22"/>
          <w:szCs w:val="22"/>
        </w:rPr>
      </w:pPr>
      <w:r w:rsidRPr="00E96CAB">
        <w:rPr>
          <w:sz w:val="22"/>
          <w:szCs w:val="22"/>
        </w:rPr>
        <w:t>Co</w:t>
      </w:r>
      <w:r w:rsidRPr="00E96CAB">
        <w:rPr>
          <w:sz w:val="22"/>
          <w:szCs w:val="22"/>
        </w:rPr>
        <w:noBreakHyphen/>
        <w:t xml:space="preserve">administration of </w:t>
      </w:r>
      <w:proofErr w:type="spellStart"/>
      <w:r w:rsidRPr="00E96CAB">
        <w:rPr>
          <w:sz w:val="22"/>
          <w:szCs w:val="22"/>
        </w:rPr>
        <w:t>lumacaftor</w:t>
      </w:r>
      <w:proofErr w:type="spellEnd"/>
      <w:r w:rsidRPr="00E96CAB">
        <w:rPr>
          <w:sz w:val="22"/>
          <w:szCs w:val="22"/>
        </w:rPr>
        <w:t>/</w:t>
      </w:r>
      <w:proofErr w:type="spellStart"/>
      <w:r w:rsidRPr="00E96CAB">
        <w:rPr>
          <w:sz w:val="22"/>
          <w:szCs w:val="22"/>
        </w:rPr>
        <w:t>ivacaftor</w:t>
      </w:r>
      <w:proofErr w:type="spellEnd"/>
      <w:r w:rsidRPr="00E96CAB">
        <w:rPr>
          <w:sz w:val="22"/>
          <w:szCs w:val="22"/>
        </w:rPr>
        <w:t xml:space="preserve"> with rifampicin, a strong CYP3A inducer, had minimal effect on the exposure of </w:t>
      </w:r>
      <w:proofErr w:type="spellStart"/>
      <w:r w:rsidRPr="00E96CAB">
        <w:rPr>
          <w:sz w:val="22"/>
          <w:szCs w:val="22"/>
        </w:rPr>
        <w:t>lumacaftor</w:t>
      </w:r>
      <w:proofErr w:type="spellEnd"/>
      <w:r w:rsidRPr="00E96CAB">
        <w:rPr>
          <w:sz w:val="22"/>
          <w:szCs w:val="22"/>
        </w:rPr>
        <w:t xml:space="preserve">, but decreased </w:t>
      </w:r>
      <w:proofErr w:type="spellStart"/>
      <w:r w:rsidRPr="00E96CAB">
        <w:rPr>
          <w:sz w:val="22"/>
          <w:szCs w:val="22"/>
        </w:rPr>
        <w:t>ivacaftor</w:t>
      </w:r>
      <w:proofErr w:type="spellEnd"/>
      <w:r w:rsidRPr="00E96CAB">
        <w:rPr>
          <w:sz w:val="22"/>
          <w:szCs w:val="22"/>
        </w:rPr>
        <w:t xml:space="preserve"> exposure (AUC) by 57%. Therefore, co</w:t>
      </w:r>
      <w:r w:rsidRPr="00E96CAB">
        <w:rPr>
          <w:sz w:val="22"/>
          <w:szCs w:val="22"/>
        </w:rPr>
        <w:noBreakHyphen/>
        <w:t xml:space="preserve">administration of </w:t>
      </w:r>
      <w:r w:rsidR="00606C30" w:rsidRPr="00E96CAB">
        <w:rPr>
          <w:sz w:val="22"/>
          <w:szCs w:val="22"/>
        </w:rPr>
        <w:t>ORKAMBI</w:t>
      </w:r>
      <w:r w:rsidR="00CB0570">
        <w:rPr>
          <w:sz w:val="22"/>
          <w:szCs w:val="22"/>
        </w:rPr>
        <w:t> </w:t>
      </w:r>
      <w:r w:rsidR="00CB0570" w:rsidRPr="00BC3E60">
        <w:rPr>
          <w:sz w:val="22"/>
          <w:szCs w:val="22"/>
        </w:rPr>
        <w:t xml:space="preserve">200/125 </w:t>
      </w:r>
      <w:r w:rsidRPr="00BC3E60">
        <w:rPr>
          <w:sz w:val="22"/>
          <w:szCs w:val="22"/>
        </w:rPr>
        <w:t>is not</w:t>
      </w:r>
      <w:r w:rsidRPr="00E96CAB">
        <w:rPr>
          <w:sz w:val="22"/>
          <w:szCs w:val="22"/>
        </w:rPr>
        <w:t xml:space="preserve"> recommended with strong CYP3A inducers such as:</w:t>
      </w:r>
    </w:p>
    <w:p w:rsidR="00BD7E64" w:rsidRPr="00E96CAB" w:rsidRDefault="00BD7E64" w:rsidP="00BD7E64">
      <w:pPr>
        <w:pStyle w:val="CommentText"/>
        <w:numPr>
          <w:ilvl w:val="0"/>
          <w:numId w:val="13"/>
        </w:numPr>
        <w:rPr>
          <w:sz w:val="22"/>
          <w:szCs w:val="22"/>
        </w:rPr>
      </w:pPr>
      <w:r w:rsidRPr="00E96CAB">
        <w:rPr>
          <w:sz w:val="22"/>
          <w:szCs w:val="22"/>
        </w:rPr>
        <w:t xml:space="preserve">rifampicin, </w:t>
      </w:r>
      <w:proofErr w:type="spellStart"/>
      <w:r w:rsidRPr="00E96CAB">
        <w:rPr>
          <w:sz w:val="22"/>
          <w:szCs w:val="22"/>
        </w:rPr>
        <w:t>rifabutin</w:t>
      </w:r>
      <w:proofErr w:type="spellEnd"/>
    </w:p>
    <w:p w:rsidR="00BD7E64" w:rsidRPr="00E96CAB" w:rsidRDefault="00BD7E64" w:rsidP="00BD7E64">
      <w:pPr>
        <w:pStyle w:val="CommentText"/>
        <w:numPr>
          <w:ilvl w:val="0"/>
          <w:numId w:val="13"/>
        </w:numPr>
        <w:rPr>
          <w:sz w:val="22"/>
          <w:szCs w:val="22"/>
        </w:rPr>
      </w:pPr>
      <w:r w:rsidRPr="00E96CAB">
        <w:rPr>
          <w:sz w:val="22"/>
          <w:szCs w:val="22"/>
        </w:rPr>
        <w:t>phenobarbital, carbamazepine, and phenytoin</w:t>
      </w:r>
    </w:p>
    <w:p w:rsidR="00875EE7" w:rsidRPr="00E96CAB" w:rsidRDefault="00BD7E64" w:rsidP="00BD7E64">
      <w:pPr>
        <w:pStyle w:val="CommentText"/>
        <w:numPr>
          <w:ilvl w:val="0"/>
          <w:numId w:val="13"/>
        </w:numPr>
        <w:rPr>
          <w:sz w:val="22"/>
          <w:szCs w:val="22"/>
        </w:rPr>
      </w:pPr>
      <w:r w:rsidRPr="00E96CAB">
        <w:rPr>
          <w:sz w:val="22"/>
          <w:szCs w:val="22"/>
          <w:lang w:val="en-GB"/>
        </w:rPr>
        <w:t>St. John’s wort (</w:t>
      </w:r>
      <w:proofErr w:type="spellStart"/>
      <w:r w:rsidRPr="00E96CAB">
        <w:rPr>
          <w:i/>
          <w:sz w:val="22"/>
          <w:szCs w:val="22"/>
          <w:lang w:val="en-GB"/>
        </w:rPr>
        <w:t>Hypericum</w:t>
      </w:r>
      <w:proofErr w:type="spellEnd"/>
      <w:r w:rsidRPr="00E96CAB">
        <w:rPr>
          <w:i/>
          <w:sz w:val="22"/>
          <w:szCs w:val="22"/>
          <w:lang w:val="en-GB"/>
        </w:rPr>
        <w:t xml:space="preserve"> </w:t>
      </w:r>
      <w:proofErr w:type="spellStart"/>
      <w:r w:rsidRPr="00E96CAB">
        <w:rPr>
          <w:i/>
          <w:sz w:val="22"/>
          <w:szCs w:val="22"/>
          <w:lang w:val="en-GB"/>
        </w:rPr>
        <w:t>perforatum</w:t>
      </w:r>
      <w:proofErr w:type="spellEnd"/>
      <w:r w:rsidRPr="00E96CAB">
        <w:rPr>
          <w:sz w:val="22"/>
          <w:szCs w:val="22"/>
          <w:lang w:val="en-GB"/>
        </w:rPr>
        <w:t>).</w:t>
      </w:r>
    </w:p>
    <w:p w:rsidR="0015205B" w:rsidRPr="00E96CAB" w:rsidRDefault="0015205B" w:rsidP="003A7633">
      <w:pPr>
        <w:pStyle w:val="CommentText"/>
        <w:rPr>
          <w:sz w:val="22"/>
          <w:szCs w:val="22"/>
        </w:rPr>
      </w:pPr>
    </w:p>
    <w:p w:rsidR="00401E01" w:rsidRPr="00E96CAB" w:rsidRDefault="00401E01" w:rsidP="003A7633">
      <w:pPr>
        <w:pStyle w:val="CommentText"/>
        <w:rPr>
          <w:sz w:val="22"/>
          <w:szCs w:val="22"/>
        </w:rPr>
      </w:pPr>
      <w:r w:rsidRPr="00E96CAB">
        <w:rPr>
          <w:sz w:val="22"/>
          <w:szCs w:val="22"/>
        </w:rPr>
        <w:t>No dose adjustment is recommended when used with moderate or weak CYP3A inducers.</w:t>
      </w:r>
    </w:p>
    <w:p w:rsidR="00401E01" w:rsidRPr="00E96CAB" w:rsidRDefault="00401E01" w:rsidP="003A7633">
      <w:pPr>
        <w:pStyle w:val="CommentText"/>
        <w:rPr>
          <w:sz w:val="22"/>
          <w:szCs w:val="22"/>
        </w:rPr>
      </w:pPr>
    </w:p>
    <w:p w:rsidR="0015205B" w:rsidRPr="00E96CAB" w:rsidRDefault="0015205B" w:rsidP="003A7633">
      <w:pPr>
        <w:pStyle w:val="CommentText"/>
        <w:rPr>
          <w:i/>
          <w:sz w:val="22"/>
          <w:szCs w:val="22"/>
        </w:rPr>
      </w:pPr>
      <w:r w:rsidRPr="00E96CAB">
        <w:rPr>
          <w:i/>
          <w:sz w:val="22"/>
          <w:szCs w:val="22"/>
        </w:rPr>
        <w:t>Other Recommendations</w:t>
      </w:r>
    </w:p>
    <w:p w:rsidR="00F95536" w:rsidRPr="00E96CAB" w:rsidRDefault="00F95536" w:rsidP="003A7633">
      <w:pPr>
        <w:pStyle w:val="CommentText"/>
        <w:rPr>
          <w:sz w:val="22"/>
          <w:szCs w:val="22"/>
        </w:rPr>
      </w:pPr>
      <w:r w:rsidRPr="00E96CAB">
        <w:rPr>
          <w:sz w:val="22"/>
          <w:szCs w:val="22"/>
        </w:rPr>
        <w:t>Ciprofloxacin</w:t>
      </w:r>
    </w:p>
    <w:p w:rsidR="0015205B" w:rsidRPr="00BC3E60" w:rsidRDefault="00C07E0E" w:rsidP="003A7633">
      <w:pPr>
        <w:pStyle w:val="CommentText"/>
        <w:rPr>
          <w:i/>
          <w:sz w:val="22"/>
          <w:szCs w:val="22"/>
        </w:rPr>
      </w:pPr>
      <w:r w:rsidRPr="00E96CAB">
        <w:rPr>
          <w:sz w:val="22"/>
          <w:szCs w:val="22"/>
        </w:rPr>
        <w:t>Co</w:t>
      </w:r>
      <w:r w:rsidRPr="00E96CAB">
        <w:rPr>
          <w:sz w:val="22"/>
          <w:szCs w:val="22"/>
        </w:rPr>
        <w:noBreakHyphen/>
        <w:t xml:space="preserve">administration of </w:t>
      </w:r>
      <w:proofErr w:type="spellStart"/>
      <w:r w:rsidR="00BD7E64" w:rsidRPr="00E96CAB">
        <w:rPr>
          <w:sz w:val="22"/>
          <w:szCs w:val="22"/>
        </w:rPr>
        <w:t>lumacaftor</w:t>
      </w:r>
      <w:proofErr w:type="spellEnd"/>
      <w:r w:rsidR="00BD7E64" w:rsidRPr="00E96CAB">
        <w:rPr>
          <w:sz w:val="22"/>
          <w:szCs w:val="22"/>
        </w:rPr>
        <w:t>/</w:t>
      </w:r>
      <w:proofErr w:type="spellStart"/>
      <w:r w:rsidR="00BD7E64" w:rsidRPr="00E96CAB">
        <w:rPr>
          <w:sz w:val="22"/>
          <w:szCs w:val="22"/>
        </w:rPr>
        <w:t>ivacaftor</w:t>
      </w:r>
      <w:proofErr w:type="spellEnd"/>
      <w:r w:rsidR="00BD7E64" w:rsidRPr="00E96CAB">
        <w:rPr>
          <w:sz w:val="22"/>
          <w:szCs w:val="22"/>
        </w:rPr>
        <w:t xml:space="preserve"> with </w:t>
      </w:r>
      <w:r w:rsidRPr="00E96CAB">
        <w:rPr>
          <w:sz w:val="22"/>
          <w:szCs w:val="22"/>
        </w:rPr>
        <w:t xml:space="preserve">ciprofloxacin </w:t>
      </w:r>
      <w:r w:rsidR="00BD7E64" w:rsidRPr="00E96CAB">
        <w:rPr>
          <w:sz w:val="22"/>
          <w:szCs w:val="22"/>
        </w:rPr>
        <w:t>had minimal to mild effect on</w:t>
      </w:r>
      <w:r w:rsidRPr="00E96CAB">
        <w:rPr>
          <w:sz w:val="22"/>
          <w:szCs w:val="22"/>
        </w:rPr>
        <w:t xml:space="preserve"> exposure</w:t>
      </w:r>
      <w:r w:rsidR="00BD7E64" w:rsidRPr="00E96CAB">
        <w:rPr>
          <w:sz w:val="22"/>
          <w:szCs w:val="22"/>
        </w:rPr>
        <w:t>s</w:t>
      </w:r>
      <w:r w:rsidRPr="00E96CAB">
        <w:rPr>
          <w:sz w:val="22"/>
          <w:szCs w:val="22"/>
        </w:rPr>
        <w:t xml:space="preserve"> of </w:t>
      </w:r>
      <w:proofErr w:type="spellStart"/>
      <w:r w:rsidR="00BD7E64" w:rsidRPr="00E96CAB">
        <w:rPr>
          <w:sz w:val="22"/>
          <w:szCs w:val="22"/>
        </w:rPr>
        <w:t>lumacaftor</w:t>
      </w:r>
      <w:proofErr w:type="spellEnd"/>
      <w:r w:rsidR="00BD7E64" w:rsidRPr="00E96CAB">
        <w:rPr>
          <w:sz w:val="22"/>
          <w:szCs w:val="22"/>
        </w:rPr>
        <w:t xml:space="preserve"> and </w:t>
      </w:r>
      <w:proofErr w:type="spellStart"/>
      <w:r w:rsidRPr="00E96CAB">
        <w:rPr>
          <w:sz w:val="22"/>
          <w:szCs w:val="22"/>
        </w:rPr>
        <w:t>ivacaftor</w:t>
      </w:r>
      <w:proofErr w:type="spellEnd"/>
      <w:r w:rsidRPr="00E96CAB">
        <w:rPr>
          <w:sz w:val="22"/>
          <w:szCs w:val="22"/>
        </w:rPr>
        <w:t xml:space="preserve">. </w:t>
      </w:r>
      <w:r w:rsidR="00BD7E64" w:rsidRPr="00E96CAB">
        <w:rPr>
          <w:sz w:val="22"/>
          <w:szCs w:val="22"/>
        </w:rPr>
        <w:t>Therefore, n</w:t>
      </w:r>
      <w:r w:rsidRPr="00E96CAB">
        <w:rPr>
          <w:sz w:val="22"/>
          <w:szCs w:val="22"/>
        </w:rPr>
        <w:t>o</w:t>
      </w:r>
      <w:r w:rsidR="0015205B" w:rsidRPr="00E96CAB">
        <w:rPr>
          <w:sz w:val="22"/>
          <w:szCs w:val="22"/>
        </w:rPr>
        <w:t xml:space="preserve"> dose adjustment is </w:t>
      </w:r>
      <w:r w:rsidRPr="00E96CAB">
        <w:rPr>
          <w:sz w:val="22"/>
          <w:szCs w:val="22"/>
        </w:rPr>
        <w:t xml:space="preserve">required when </w:t>
      </w:r>
      <w:r w:rsidR="00606C30" w:rsidRPr="00E96CAB">
        <w:rPr>
          <w:sz w:val="22"/>
          <w:szCs w:val="22"/>
        </w:rPr>
        <w:t>ORKAMBI</w:t>
      </w:r>
      <w:r w:rsidR="00CB0570">
        <w:rPr>
          <w:sz w:val="22"/>
          <w:szCs w:val="22"/>
        </w:rPr>
        <w:t> </w:t>
      </w:r>
      <w:r w:rsidR="00CB0570" w:rsidRPr="00BC3E60">
        <w:rPr>
          <w:sz w:val="22"/>
          <w:szCs w:val="22"/>
        </w:rPr>
        <w:t xml:space="preserve">200/125 </w:t>
      </w:r>
      <w:r w:rsidRPr="00BC3E60">
        <w:rPr>
          <w:sz w:val="22"/>
          <w:szCs w:val="22"/>
        </w:rPr>
        <w:t xml:space="preserve">is </w:t>
      </w:r>
      <w:r w:rsidR="00BD7E64" w:rsidRPr="00BC3E60">
        <w:rPr>
          <w:sz w:val="22"/>
          <w:szCs w:val="22"/>
        </w:rPr>
        <w:t>used</w:t>
      </w:r>
      <w:r w:rsidRPr="00BC3E60">
        <w:rPr>
          <w:sz w:val="22"/>
          <w:szCs w:val="22"/>
        </w:rPr>
        <w:t xml:space="preserve"> with</w:t>
      </w:r>
      <w:r w:rsidR="0015205B" w:rsidRPr="00BC3E60">
        <w:rPr>
          <w:sz w:val="22"/>
          <w:szCs w:val="22"/>
        </w:rPr>
        <w:t xml:space="preserve"> ciprofloxacin.</w:t>
      </w:r>
    </w:p>
    <w:p w:rsidR="009D0D15" w:rsidRPr="00BC3E60" w:rsidRDefault="009D0D15" w:rsidP="00417D6A">
      <w:pPr>
        <w:rPr>
          <w:bCs/>
          <w:iCs/>
          <w:sz w:val="22"/>
          <w:szCs w:val="22"/>
        </w:rPr>
      </w:pPr>
    </w:p>
    <w:p w:rsidR="00875EE7" w:rsidRPr="00BC3E60" w:rsidRDefault="00875EE7" w:rsidP="00417D6A">
      <w:pPr>
        <w:rPr>
          <w:b/>
          <w:sz w:val="22"/>
          <w:szCs w:val="22"/>
        </w:rPr>
      </w:pPr>
      <w:r w:rsidRPr="00BC3E60">
        <w:rPr>
          <w:b/>
          <w:bCs/>
          <w:iCs/>
          <w:sz w:val="22"/>
          <w:szCs w:val="22"/>
        </w:rPr>
        <w:t xml:space="preserve">Effects of </w:t>
      </w:r>
      <w:proofErr w:type="spellStart"/>
      <w:r w:rsidR="00BD7E64" w:rsidRPr="00BC3E60">
        <w:rPr>
          <w:b/>
          <w:bCs/>
          <w:iCs/>
          <w:sz w:val="22"/>
          <w:szCs w:val="22"/>
        </w:rPr>
        <w:t>Lumacaftor</w:t>
      </w:r>
      <w:proofErr w:type="spellEnd"/>
      <w:r w:rsidR="00BD7E64" w:rsidRPr="00BC3E60">
        <w:rPr>
          <w:b/>
          <w:bCs/>
          <w:iCs/>
          <w:sz w:val="22"/>
          <w:szCs w:val="22"/>
        </w:rPr>
        <w:t>/</w:t>
      </w:r>
      <w:proofErr w:type="spellStart"/>
      <w:r w:rsidRPr="00BC3E60">
        <w:rPr>
          <w:b/>
          <w:bCs/>
          <w:iCs/>
          <w:sz w:val="22"/>
          <w:szCs w:val="22"/>
        </w:rPr>
        <w:t>Ivacaftor</w:t>
      </w:r>
      <w:proofErr w:type="spellEnd"/>
      <w:r w:rsidRPr="00BC3E60">
        <w:rPr>
          <w:b/>
          <w:bCs/>
          <w:iCs/>
          <w:sz w:val="22"/>
          <w:szCs w:val="22"/>
        </w:rPr>
        <w:t xml:space="preserve"> on Other Medicines</w:t>
      </w:r>
    </w:p>
    <w:p w:rsidR="00875EE7" w:rsidRPr="00BC3E60" w:rsidRDefault="00875EE7" w:rsidP="00417D6A">
      <w:pPr>
        <w:pStyle w:val="labeltext"/>
        <w:rPr>
          <w:i/>
        </w:rPr>
      </w:pPr>
      <w:r w:rsidRPr="00BC3E60">
        <w:rPr>
          <w:i/>
        </w:rPr>
        <w:t>CYP3A</w:t>
      </w:r>
      <w:r w:rsidR="00D3205B" w:rsidRPr="00BC3E60">
        <w:rPr>
          <w:i/>
        </w:rPr>
        <w:t xml:space="preserve"> and</w:t>
      </w:r>
      <w:r w:rsidRPr="00BC3E60">
        <w:rPr>
          <w:i/>
        </w:rPr>
        <w:t xml:space="preserve"> P</w:t>
      </w:r>
      <w:r w:rsidR="004E41F6" w:rsidRPr="00BC3E60">
        <w:rPr>
          <w:i/>
        </w:rPr>
        <w:noBreakHyphen/>
      </w:r>
      <w:proofErr w:type="spellStart"/>
      <w:r w:rsidRPr="00BC3E60">
        <w:rPr>
          <w:i/>
        </w:rPr>
        <w:t>gp</w:t>
      </w:r>
      <w:proofErr w:type="spellEnd"/>
      <w:r w:rsidRPr="00BC3E60">
        <w:rPr>
          <w:i/>
        </w:rPr>
        <w:t xml:space="preserve"> Substrates</w:t>
      </w:r>
    </w:p>
    <w:p w:rsidR="00AB6808" w:rsidRPr="00BC3E60" w:rsidRDefault="00D3205B" w:rsidP="00D3205B">
      <w:pPr>
        <w:pStyle w:val="labeltext"/>
      </w:pPr>
      <w:proofErr w:type="spellStart"/>
      <w:r w:rsidRPr="00BC3E60">
        <w:t>Lumacaftor</w:t>
      </w:r>
      <w:proofErr w:type="spellEnd"/>
      <w:r w:rsidRPr="00BC3E60">
        <w:t xml:space="preserve"> is a strong inducer of CYP3A. Co</w:t>
      </w:r>
      <w:r w:rsidRPr="00BC3E60">
        <w:noBreakHyphen/>
        <w:t xml:space="preserve">administration of </w:t>
      </w:r>
      <w:proofErr w:type="spellStart"/>
      <w:r w:rsidRPr="00BC3E60">
        <w:t>lumacaftor</w:t>
      </w:r>
      <w:proofErr w:type="spellEnd"/>
      <w:r w:rsidRPr="00BC3E60">
        <w:t xml:space="preserve"> with </w:t>
      </w:r>
      <w:proofErr w:type="spellStart"/>
      <w:r w:rsidRPr="00BC3E60">
        <w:t>ivacaftor</w:t>
      </w:r>
      <w:proofErr w:type="spellEnd"/>
      <w:r w:rsidRPr="00BC3E60">
        <w:t xml:space="preserve">, a sensitive CYP3A substrate, decreased </w:t>
      </w:r>
      <w:proofErr w:type="spellStart"/>
      <w:r w:rsidRPr="00BC3E60">
        <w:t>ivacaftor</w:t>
      </w:r>
      <w:proofErr w:type="spellEnd"/>
      <w:r w:rsidRPr="00BC3E60">
        <w:t xml:space="preserve"> exposure by approximately 80%.</w:t>
      </w:r>
    </w:p>
    <w:p w:rsidR="00AB6808" w:rsidRPr="00BC3E60" w:rsidRDefault="00AB6808" w:rsidP="00D3205B">
      <w:pPr>
        <w:pStyle w:val="labeltext"/>
      </w:pPr>
    </w:p>
    <w:p w:rsidR="00D3205B" w:rsidRPr="00E96CAB" w:rsidRDefault="00D3205B" w:rsidP="00D3205B">
      <w:pPr>
        <w:pStyle w:val="labeltext"/>
      </w:pPr>
      <w:r w:rsidRPr="00BC3E60">
        <w:t xml:space="preserve">Administration of </w:t>
      </w:r>
      <w:r w:rsidR="00606C30" w:rsidRPr="00BC3E60">
        <w:t>ORKAMBI</w:t>
      </w:r>
      <w:r w:rsidR="00CB0570" w:rsidRPr="00BC3E60">
        <w:t xml:space="preserve"> 200/125 </w:t>
      </w:r>
      <w:r w:rsidRPr="00BC3E60">
        <w:t>may decrease systemic exposure of medicinal products that are substrates of CYP3A, which may decrease therapeutic effect of the medicinal product. Co</w:t>
      </w:r>
      <w:r w:rsidRPr="00BC3E60">
        <w:noBreakHyphen/>
        <w:t xml:space="preserve">administration of </w:t>
      </w:r>
      <w:r w:rsidR="00606C30" w:rsidRPr="00BC3E60">
        <w:t>ORKAMBI</w:t>
      </w:r>
      <w:r w:rsidR="00CB0570" w:rsidRPr="00BC3E60">
        <w:t xml:space="preserve"> 200/125 </w:t>
      </w:r>
      <w:r w:rsidRPr="00BC3E60">
        <w:t>is no</w:t>
      </w:r>
      <w:r w:rsidRPr="00E96CAB">
        <w:t>t recommended with sensitive CYP3A substrates or CYP3A substrates with a narrow therapeutic index such as:</w:t>
      </w:r>
    </w:p>
    <w:p w:rsidR="00D3205B" w:rsidRPr="00E96CAB" w:rsidRDefault="00D3205B" w:rsidP="00D3205B">
      <w:pPr>
        <w:pStyle w:val="labeltext"/>
        <w:numPr>
          <w:ilvl w:val="0"/>
          <w:numId w:val="13"/>
        </w:numPr>
      </w:pPr>
      <w:r w:rsidRPr="00E96CAB">
        <w:t xml:space="preserve">midazolam, </w:t>
      </w:r>
      <w:proofErr w:type="spellStart"/>
      <w:r w:rsidRPr="00E96CAB">
        <w:t>triazolam</w:t>
      </w:r>
      <w:proofErr w:type="spellEnd"/>
    </w:p>
    <w:p w:rsidR="00D3205B" w:rsidRPr="00E96CAB" w:rsidRDefault="003420A7" w:rsidP="00D3205B">
      <w:pPr>
        <w:pStyle w:val="labeltext"/>
        <w:numPr>
          <w:ilvl w:val="0"/>
          <w:numId w:val="13"/>
        </w:numPr>
      </w:pPr>
      <w:proofErr w:type="spellStart"/>
      <w:proofErr w:type="gramStart"/>
      <w:r w:rsidRPr="00230806">
        <w:t>ciclosporin</w:t>
      </w:r>
      <w:proofErr w:type="spellEnd"/>
      <w:proofErr w:type="gramEnd"/>
      <w:r w:rsidR="00D3205B" w:rsidRPr="00E96CAB">
        <w:t xml:space="preserve">, </w:t>
      </w:r>
      <w:proofErr w:type="spellStart"/>
      <w:r w:rsidR="00D3205B" w:rsidRPr="00E96CAB">
        <w:t>everolimus</w:t>
      </w:r>
      <w:proofErr w:type="spellEnd"/>
      <w:r w:rsidR="00D3205B" w:rsidRPr="00E96CAB">
        <w:t xml:space="preserve">, </w:t>
      </w:r>
      <w:proofErr w:type="spellStart"/>
      <w:r w:rsidR="00D3205B" w:rsidRPr="00E96CAB">
        <w:t>sirolimus</w:t>
      </w:r>
      <w:proofErr w:type="spellEnd"/>
      <w:r w:rsidR="00D3205B" w:rsidRPr="00E96CAB">
        <w:t>, and tacrolimus</w:t>
      </w:r>
      <w:r w:rsidR="00F95536" w:rsidRPr="00E96CAB">
        <w:t>.</w:t>
      </w:r>
    </w:p>
    <w:p w:rsidR="00D3205B" w:rsidRPr="00E96CAB" w:rsidRDefault="00D3205B" w:rsidP="00D3205B">
      <w:pPr>
        <w:pStyle w:val="labeltext"/>
      </w:pPr>
    </w:p>
    <w:p w:rsidR="00875EE7" w:rsidRPr="00E96CAB" w:rsidRDefault="00D3205B" w:rsidP="00D3205B">
      <w:pPr>
        <w:pStyle w:val="labeltext"/>
      </w:pPr>
      <w:r w:rsidRPr="00E96CAB">
        <w:rPr>
          <w:lang w:val="en-GB"/>
        </w:rPr>
        <w:t xml:space="preserve">Based on </w:t>
      </w:r>
      <w:r w:rsidRPr="00E96CAB">
        <w:rPr>
          <w:i/>
          <w:lang w:val="en-GB"/>
        </w:rPr>
        <w:t>in vitro</w:t>
      </w:r>
      <w:r w:rsidRPr="00E96CAB">
        <w:rPr>
          <w:lang w:val="en-GB"/>
        </w:rPr>
        <w:t xml:space="preserve"> results which showed P</w:t>
      </w:r>
      <w:r w:rsidRPr="00E96CAB">
        <w:rPr>
          <w:lang w:val="en-GB"/>
        </w:rPr>
        <w:noBreakHyphen/>
      </w:r>
      <w:proofErr w:type="spellStart"/>
      <w:r w:rsidRPr="00E96CAB">
        <w:rPr>
          <w:lang w:val="en-GB"/>
        </w:rPr>
        <w:t>gp</w:t>
      </w:r>
      <w:proofErr w:type="spellEnd"/>
      <w:r w:rsidRPr="00E96CAB">
        <w:rPr>
          <w:lang w:val="en-GB"/>
        </w:rPr>
        <w:t xml:space="preserve"> inhibition and </w:t>
      </w:r>
      <w:proofErr w:type="spellStart"/>
      <w:r w:rsidRPr="00E96CAB">
        <w:rPr>
          <w:lang w:val="en-GB"/>
        </w:rPr>
        <w:t>pregnane</w:t>
      </w:r>
      <w:proofErr w:type="spellEnd"/>
      <w:r w:rsidRPr="00E96CAB">
        <w:rPr>
          <w:lang w:val="en-GB"/>
        </w:rPr>
        <w:noBreakHyphen/>
        <w:t>X</w:t>
      </w:r>
      <w:r w:rsidRPr="00E96CAB">
        <w:rPr>
          <w:lang w:val="en-GB"/>
        </w:rPr>
        <w:noBreakHyphen/>
        <w:t xml:space="preserve">receptor (PXR) activation, </w:t>
      </w:r>
      <w:proofErr w:type="spellStart"/>
      <w:r w:rsidRPr="00E96CAB">
        <w:rPr>
          <w:lang w:val="en-GB"/>
        </w:rPr>
        <w:t>lumacaftor</w:t>
      </w:r>
      <w:proofErr w:type="spellEnd"/>
      <w:r w:rsidRPr="00E96CAB">
        <w:rPr>
          <w:lang w:val="en-GB"/>
        </w:rPr>
        <w:t xml:space="preserve"> has the potential to both inhibit and induce P</w:t>
      </w:r>
      <w:r w:rsidRPr="00E96CAB">
        <w:rPr>
          <w:lang w:val="en-GB"/>
        </w:rPr>
        <w:noBreakHyphen/>
      </w:r>
      <w:proofErr w:type="spellStart"/>
      <w:r w:rsidRPr="00E96CAB">
        <w:rPr>
          <w:lang w:val="en-GB"/>
        </w:rPr>
        <w:t>gp</w:t>
      </w:r>
      <w:proofErr w:type="spellEnd"/>
      <w:r w:rsidRPr="00E96CAB">
        <w:rPr>
          <w:lang w:val="en-GB"/>
        </w:rPr>
        <w:t xml:space="preserve">. Additionally, a clinical study with </w:t>
      </w:r>
      <w:proofErr w:type="spellStart"/>
      <w:r w:rsidRPr="00E96CAB">
        <w:rPr>
          <w:lang w:val="en-GB"/>
        </w:rPr>
        <w:t>ivacaftor</w:t>
      </w:r>
      <w:proofErr w:type="spellEnd"/>
      <w:r w:rsidRPr="00E96CAB">
        <w:rPr>
          <w:lang w:val="en-GB"/>
        </w:rPr>
        <w:t xml:space="preserve"> monotherapy showed that </w:t>
      </w:r>
      <w:proofErr w:type="spellStart"/>
      <w:r w:rsidRPr="00E96CAB">
        <w:rPr>
          <w:lang w:val="en-GB"/>
        </w:rPr>
        <w:t>ivacaftor</w:t>
      </w:r>
      <w:proofErr w:type="spellEnd"/>
      <w:r w:rsidRPr="00E96CAB">
        <w:rPr>
          <w:lang w:val="en-GB"/>
        </w:rPr>
        <w:t xml:space="preserve"> is a weak inhibitor of P</w:t>
      </w:r>
      <w:r w:rsidRPr="00E96CAB">
        <w:rPr>
          <w:lang w:val="en-GB"/>
        </w:rPr>
        <w:noBreakHyphen/>
      </w:r>
      <w:proofErr w:type="spellStart"/>
      <w:r w:rsidRPr="00E96CAB">
        <w:rPr>
          <w:lang w:val="en-GB"/>
        </w:rPr>
        <w:t>gp</w:t>
      </w:r>
      <w:proofErr w:type="spellEnd"/>
      <w:r w:rsidRPr="00E96CAB">
        <w:rPr>
          <w:lang w:val="en-GB"/>
        </w:rPr>
        <w:t xml:space="preserve">. </w:t>
      </w:r>
      <w:r w:rsidRPr="00E96CAB">
        <w:rPr>
          <w:lang w:val="en-GB"/>
        </w:rPr>
        <w:lastRenderedPageBreak/>
        <w:t xml:space="preserve">Therefore, concomitant use of </w:t>
      </w:r>
      <w:r w:rsidR="00606C30" w:rsidRPr="00E96CAB">
        <w:rPr>
          <w:lang w:val="en-GB"/>
        </w:rPr>
        <w:t>ORKAMBI</w:t>
      </w:r>
      <w:r w:rsidR="00CB0570">
        <w:rPr>
          <w:lang w:val="en-GB"/>
        </w:rPr>
        <w:t> </w:t>
      </w:r>
      <w:r w:rsidR="00CB0570" w:rsidRPr="00230806">
        <w:t xml:space="preserve">200/125 </w:t>
      </w:r>
      <w:r w:rsidRPr="00230806">
        <w:rPr>
          <w:lang w:val="en-GB"/>
        </w:rPr>
        <w:t>with</w:t>
      </w:r>
      <w:r w:rsidRPr="00E96CAB">
        <w:rPr>
          <w:lang w:val="en-GB"/>
        </w:rPr>
        <w:t xml:space="preserve"> P</w:t>
      </w:r>
      <w:r w:rsidRPr="00E96CAB">
        <w:rPr>
          <w:lang w:val="en-GB"/>
        </w:rPr>
        <w:noBreakHyphen/>
      </w:r>
      <w:proofErr w:type="spellStart"/>
      <w:r w:rsidRPr="00E96CAB">
        <w:rPr>
          <w:lang w:val="en-GB"/>
        </w:rPr>
        <w:t>gp</w:t>
      </w:r>
      <w:proofErr w:type="spellEnd"/>
      <w:r w:rsidRPr="00E96CAB">
        <w:rPr>
          <w:lang w:val="en-GB"/>
        </w:rPr>
        <w:t xml:space="preserve"> substrates may alter the exposure of these substrates. When co</w:t>
      </w:r>
      <w:r w:rsidRPr="00E96CAB">
        <w:rPr>
          <w:lang w:val="en-GB"/>
        </w:rPr>
        <w:noBreakHyphen/>
        <w:t>administration with sensitive P</w:t>
      </w:r>
      <w:r w:rsidRPr="00E96CAB">
        <w:rPr>
          <w:lang w:val="en-GB"/>
        </w:rPr>
        <w:noBreakHyphen/>
      </w:r>
      <w:proofErr w:type="spellStart"/>
      <w:r w:rsidRPr="00E96CAB">
        <w:rPr>
          <w:lang w:val="en-GB"/>
        </w:rPr>
        <w:t>gp</w:t>
      </w:r>
      <w:proofErr w:type="spellEnd"/>
      <w:r w:rsidRPr="00E96CAB">
        <w:rPr>
          <w:lang w:val="en-GB"/>
        </w:rPr>
        <w:t xml:space="preserve"> substrates such as digoxin is required, caution and appropriate monitoring are recommended.</w:t>
      </w:r>
    </w:p>
    <w:p w:rsidR="00875EE7" w:rsidRPr="00E96CAB" w:rsidRDefault="00875EE7" w:rsidP="00417D6A">
      <w:pPr>
        <w:widowControl w:val="0"/>
        <w:rPr>
          <w:i/>
          <w:sz w:val="22"/>
          <w:szCs w:val="22"/>
          <w:lang w:val="en-CA"/>
        </w:rPr>
      </w:pPr>
    </w:p>
    <w:p w:rsidR="00D3205B" w:rsidRPr="00E96CAB" w:rsidRDefault="00D3205B" w:rsidP="00D3205B">
      <w:pPr>
        <w:pStyle w:val="labeltext"/>
        <w:rPr>
          <w:i/>
        </w:rPr>
      </w:pPr>
      <w:r w:rsidRPr="00E96CAB">
        <w:rPr>
          <w:i/>
        </w:rPr>
        <w:t xml:space="preserve">CYP2B6 and CYP2C </w:t>
      </w:r>
      <w:r w:rsidR="00397C8E" w:rsidRPr="00E96CAB">
        <w:rPr>
          <w:i/>
        </w:rPr>
        <w:t>S</w:t>
      </w:r>
      <w:r w:rsidRPr="00E96CAB">
        <w:rPr>
          <w:i/>
        </w:rPr>
        <w:t>ubstrates</w:t>
      </w:r>
    </w:p>
    <w:p w:rsidR="00D3205B" w:rsidRPr="00E96CAB" w:rsidRDefault="00D3205B" w:rsidP="00D3205B">
      <w:pPr>
        <w:pStyle w:val="labeltext"/>
        <w:rPr>
          <w:lang w:val="en-GB"/>
        </w:rPr>
      </w:pPr>
      <w:r w:rsidRPr="00E96CAB">
        <w:rPr>
          <w:i/>
          <w:lang w:val="en-GB"/>
        </w:rPr>
        <w:t>In vitro</w:t>
      </w:r>
      <w:r w:rsidRPr="00E96CAB">
        <w:rPr>
          <w:lang w:val="en-GB"/>
        </w:rPr>
        <w:t xml:space="preserve"> studies suggest that </w:t>
      </w:r>
      <w:proofErr w:type="spellStart"/>
      <w:r w:rsidRPr="00E96CAB">
        <w:rPr>
          <w:lang w:val="en-GB"/>
        </w:rPr>
        <w:t>lumacaftor</w:t>
      </w:r>
      <w:proofErr w:type="spellEnd"/>
      <w:r w:rsidRPr="00E96CAB">
        <w:rPr>
          <w:lang w:val="en-GB"/>
        </w:rPr>
        <w:t xml:space="preserve"> has the potential to induce CYP2B6, CYP2C8, CYP2C9, and CYP2C19; however, inhibition of CYP2C8 and CYP2C9 has also been observed </w:t>
      </w:r>
      <w:r w:rsidRPr="00E96CAB">
        <w:rPr>
          <w:i/>
          <w:lang w:val="en-GB"/>
        </w:rPr>
        <w:t>in vitro</w:t>
      </w:r>
      <w:r w:rsidRPr="00E96CAB">
        <w:rPr>
          <w:lang w:val="en-GB"/>
        </w:rPr>
        <w:t xml:space="preserve">. Additionally, </w:t>
      </w:r>
      <w:r w:rsidRPr="00E96CAB">
        <w:rPr>
          <w:i/>
          <w:lang w:val="en-GB"/>
        </w:rPr>
        <w:t>in vitro</w:t>
      </w:r>
      <w:r w:rsidRPr="00E96CAB">
        <w:rPr>
          <w:lang w:val="en-GB"/>
        </w:rPr>
        <w:t xml:space="preserve"> studies suggest that </w:t>
      </w:r>
      <w:proofErr w:type="spellStart"/>
      <w:r w:rsidRPr="00E96CAB">
        <w:rPr>
          <w:lang w:val="en-GB"/>
        </w:rPr>
        <w:t>ivacaftor</w:t>
      </w:r>
      <w:proofErr w:type="spellEnd"/>
      <w:r w:rsidRPr="00E96CAB">
        <w:rPr>
          <w:lang w:val="en-GB"/>
        </w:rPr>
        <w:t xml:space="preserve"> may inhibit CYP2C9. Therefore, concomitant use of </w:t>
      </w:r>
      <w:r w:rsidR="00606C30" w:rsidRPr="00230806">
        <w:rPr>
          <w:lang w:val="en-GB"/>
        </w:rPr>
        <w:t>ORKAMBI</w:t>
      </w:r>
      <w:r w:rsidR="00CB0570" w:rsidRPr="00230806">
        <w:rPr>
          <w:lang w:val="en-GB"/>
        </w:rPr>
        <w:t> </w:t>
      </w:r>
      <w:r w:rsidR="00CB0570" w:rsidRPr="00230806">
        <w:t xml:space="preserve">200/125 </w:t>
      </w:r>
      <w:r w:rsidRPr="00230806">
        <w:rPr>
          <w:lang w:val="en-GB"/>
        </w:rPr>
        <w:t>with</w:t>
      </w:r>
      <w:r w:rsidRPr="00E96CAB">
        <w:rPr>
          <w:lang w:val="en-GB"/>
        </w:rPr>
        <w:t xml:space="preserve"> CYP2B6, CYP2C8, CYP2C9, and CYP2C19 substrates may alter the exposure of these substrates. When co</w:t>
      </w:r>
      <w:r w:rsidRPr="00E96CAB">
        <w:rPr>
          <w:lang w:val="en-GB"/>
        </w:rPr>
        <w:noBreakHyphen/>
        <w:t>administration is required, monitoring is recommended, such as the international normalised ratio with warfarin.</w:t>
      </w:r>
    </w:p>
    <w:p w:rsidR="00D3205B" w:rsidRPr="00E96CAB" w:rsidRDefault="00D3205B" w:rsidP="00D3205B">
      <w:pPr>
        <w:pStyle w:val="labeltext"/>
        <w:rPr>
          <w:rFonts w:eastAsia="MS Mincho"/>
          <w:lang w:eastAsia="ja-JP"/>
        </w:rPr>
      </w:pPr>
    </w:p>
    <w:p w:rsidR="00D3205B" w:rsidRPr="00E96CAB" w:rsidRDefault="00D3205B" w:rsidP="00D3205B">
      <w:pPr>
        <w:pStyle w:val="labeltext"/>
        <w:rPr>
          <w:rFonts w:eastAsia="MS Mincho"/>
          <w:i/>
          <w:lang w:eastAsia="ja-JP"/>
        </w:rPr>
      </w:pPr>
      <w:r w:rsidRPr="00E96CAB">
        <w:rPr>
          <w:rFonts w:eastAsia="MS Mincho"/>
          <w:i/>
          <w:lang w:eastAsia="ja-JP"/>
        </w:rPr>
        <w:t xml:space="preserve">Hormonal </w:t>
      </w:r>
      <w:r w:rsidR="00645E58" w:rsidRPr="00E96CAB">
        <w:rPr>
          <w:rFonts w:eastAsia="MS Mincho"/>
          <w:i/>
          <w:lang w:eastAsia="ja-JP"/>
        </w:rPr>
        <w:t>C</w:t>
      </w:r>
      <w:r w:rsidRPr="00E96CAB">
        <w:rPr>
          <w:rFonts w:eastAsia="MS Mincho"/>
          <w:i/>
          <w:lang w:eastAsia="ja-JP"/>
        </w:rPr>
        <w:t>ontraceptives</w:t>
      </w:r>
    </w:p>
    <w:p w:rsidR="00D3205B" w:rsidRPr="00230806" w:rsidRDefault="00606C30" w:rsidP="00D3205B">
      <w:pPr>
        <w:pStyle w:val="labeltext"/>
        <w:rPr>
          <w:lang w:val="en-GB"/>
        </w:rPr>
      </w:pPr>
      <w:r w:rsidRPr="00E96CAB">
        <w:rPr>
          <w:lang w:val="en-GB"/>
        </w:rPr>
        <w:t>ORKAMBI</w:t>
      </w:r>
      <w:r w:rsidR="006940E7">
        <w:rPr>
          <w:lang w:val="en-GB"/>
        </w:rPr>
        <w:t> </w:t>
      </w:r>
      <w:r w:rsidR="006940E7" w:rsidRPr="00230806">
        <w:t xml:space="preserve">200/125 </w:t>
      </w:r>
      <w:r w:rsidR="00D3205B" w:rsidRPr="00230806">
        <w:rPr>
          <w:lang w:val="en-GB"/>
        </w:rPr>
        <w:t>may substantially decrease hormonal contraceptive exposure, reducing effectiveness. Hormonal contraceptives, including oral, injectable, transdermal, and implantable, should not be relied upon as an effective method of contraception when co</w:t>
      </w:r>
      <w:r w:rsidR="00D3205B" w:rsidRPr="00230806">
        <w:rPr>
          <w:lang w:val="en-GB"/>
        </w:rPr>
        <w:noBreakHyphen/>
        <w:t xml:space="preserve">administered with </w:t>
      </w:r>
      <w:r w:rsidRPr="00230806">
        <w:rPr>
          <w:lang w:val="en-GB"/>
        </w:rPr>
        <w:t>ORKAMBI</w:t>
      </w:r>
      <w:r w:rsidR="006940E7" w:rsidRPr="00230806">
        <w:rPr>
          <w:lang w:val="en-GB"/>
        </w:rPr>
        <w:t> </w:t>
      </w:r>
      <w:r w:rsidR="006940E7" w:rsidRPr="00230806">
        <w:t xml:space="preserve">200/125 </w:t>
      </w:r>
      <w:r w:rsidR="00D3205B" w:rsidRPr="00230806">
        <w:rPr>
          <w:lang w:val="en-GB"/>
        </w:rPr>
        <w:t xml:space="preserve">(see </w:t>
      </w:r>
      <w:r w:rsidR="002578CD" w:rsidRPr="00230806">
        <w:rPr>
          <w:lang w:val="en-GB"/>
        </w:rPr>
        <w:t>PRECAUTIONS</w:t>
      </w:r>
      <w:r w:rsidR="00D3205B" w:rsidRPr="00230806">
        <w:rPr>
          <w:lang w:val="en-GB"/>
        </w:rPr>
        <w:t>).</w:t>
      </w:r>
    </w:p>
    <w:p w:rsidR="00D3205B" w:rsidRPr="00230806" w:rsidRDefault="00D3205B" w:rsidP="00D3205B">
      <w:pPr>
        <w:pStyle w:val="labeltext"/>
        <w:rPr>
          <w:rFonts w:eastAsia="MS Mincho"/>
          <w:bCs/>
          <w:lang w:eastAsia="ja-JP"/>
        </w:rPr>
      </w:pPr>
    </w:p>
    <w:p w:rsidR="00D3205B" w:rsidRPr="00230806" w:rsidRDefault="00D3205B" w:rsidP="00D3205B">
      <w:pPr>
        <w:pStyle w:val="labeltext"/>
        <w:rPr>
          <w:rFonts w:eastAsia="MS Mincho"/>
          <w:i/>
          <w:lang w:eastAsia="ja-JP"/>
        </w:rPr>
      </w:pPr>
      <w:r w:rsidRPr="00230806">
        <w:rPr>
          <w:rFonts w:eastAsia="MS Mincho"/>
          <w:i/>
          <w:lang w:eastAsia="ja-JP"/>
        </w:rPr>
        <w:t>Antibiotics</w:t>
      </w:r>
    </w:p>
    <w:p w:rsidR="00D3205B" w:rsidRPr="00230806" w:rsidRDefault="00D3205B" w:rsidP="00D3205B">
      <w:pPr>
        <w:pStyle w:val="labeltext"/>
        <w:rPr>
          <w:rFonts w:eastAsia="MS Mincho"/>
          <w:lang w:eastAsia="ja-JP"/>
        </w:rPr>
      </w:pPr>
      <w:r w:rsidRPr="00230806">
        <w:rPr>
          <w:rFonts w:eastAsia="MS Mincho"/>
          <w:lang w:eastAsia="ja-JP"/>
        </w:rPr>
        <w:t xml:space="preserve">Based on metabolism, </w:t>
      </w:r>
      <w:r w:rsidR="00606C30" w:rsidRPr="00230806">
        <w:rPr>
          <w:rFonts w:eastAsia="MS Mincho"/>
          <w:lang w:eastAsia="ja-JP"/>
        </w:rPr>
        <w:t>ORKAMBI</w:t>
      </w:r>
      <w:r w:rsidR="006940E7" w:rsidRPr="00230806">
        <w:rPr>
          <w:rFonts w:eastAsia="MS Mincho"/>
          <w:lang w:eastAsia="ja-JP"/>
        </w:rPr>
        <w:t> </w:t>
      </w:r>
      <w:r w:rsidR="006940E7" w:rsidRPr="00230806">
        <w:t xml:space="preserve">200/125 </w:t>
      </w:r>
      <w:r w:rsidRPr="00230806">
        <w:rPr>
          <w:rFonts w:eastAsia="MS Mincho"/>
          <w:lang w:eastAsia="ja-JP"/>
        </w:rPr>
        <w:t xml:space="preserve">is not expected to impact the exposure of ciprofloxacin, azithromycin, </w:t>
      </w:r>
      <w:r w:rsidR="001A253E" w:rsidRPr="00230806">
        <w:rPr>
          <w:rFonts w:eastAsia="MS Mincho"/>
          <w:lang w:eastAsia="ja-JP"/>
        </w:rPr>
        <w:t xml:space="preserve">tobramycin, </w:t>
      </w:r>
      <w:r w:rsidRPr="00230806">
        <w:rPr>
          <w:rFonts w:eastAsia="MS Mincho"/>
          <w:lang w:eastAsia="ja-JP"/>
        </w:rPr>
        <w:t>and levofloxacin.</w:t>
      </w:r>
    </w:p>
    <w:p w:rsidR="00D3205B" w:rsidRPr="00230806" w:rsidRDefault="00D3205B" w:rsidP="00D3205B">
      <w:pPr>
        <w:pStyle w:val="labeltext"/>
        <w:rPr>
          <w:rFonts w:eastAsia="MS Mincho"/>
          <w:lang w:eastAsia="ja-JP"/>
        </w:rPr>
      </w:pPr>
    </w:p>
    <w:p w:rsidR="00D3205B" w:rsidRPr="00230806" w:rsidRDefault="00D3205B" w:rsidP="00D3205B">
      <w:pPr>
        <w:pStyle w:val="NormalWeb"/>
        <w:spacing w:before="0" w:beforeAutospacing="0" w:after="0" w:afterAutospacing="0"/>
        <w:rPr>
          <w:sz w:val="22"/>
          <w:szCs w:val="22"/>
        </w:rPr>
      </w:pPr>
      <w:r w:rsidRPr="00230806">
        <w:rPr>
          <w:sz w:val="22"/>
          <w:szCs w:val="22"/>
        </w:rPr>
        <w:t xml:space="preserve">Concomitant use of </w:t>
      </w:r>
      <w:r w:rsidR="00606C30" w:rsidRPr="00230806">
        <w:rPr>
          <w:sz w:val="22"/>
          <w:szCs w:val="22"/>
        </w:rPr>
        <w:t>ORKAMBI</w:t>
      </w:r>
      <w:r w:rsidR="006940E7" w:rsidRPr="00230806">
        <w:rPr>
          <w:sz w:val="22"/>
          <w:szCs w:val="22"/>
        </w:rPr>
        <w:t xml:space="preserve"> 200/125 </w:t>
      </w:r>
      <w:r w:rsidRPr="00230806">
        <w:rPr>
          <w:sz w:val="22"/>
          <w:szCs w:val="22"/>
        </w:rPr>
        <w:t xml:space="preserve">may decrease the exposure of clarithromycin, erythromycin, and </w:t>
      </w:r>
      <w:proofErr w:type="spellStart"/>
      <w:r w:rsidRPr="00230806">
        <w:rPr>
          <w:sz w:val="22"/>
          <w:szCs w:val="22"/>
        </w:rPr>
        <w:t>telithromycin</w:t>
      </w:r>
      <w:proofErr w:type="spellEnd"/>
      <w:r w:rsidRPr="00230806">
        <w:rPr>
          <w:sz w:val="22"/>
          <w:szCs w:val="22"/>
        </w:rPr>
        <w:t>, which may reduce the effectiveness of these antibiotics.</w:t>
      </w:r>
    </w:p>
    <w:p w:rsidR="00D3205B" w:rsidRPr="00230806" w:rsidRDefault="00D3205B" w:rsidP="00D3205B">
      <w:pPr>
        <w:pStyle w:val="NormalWeb"/>
        <w:spacing w:before="0" w:beforeAutospacing="0" w:after="0" w:afterAutospacing="0"/>
        <w:rPr>
          <w:sz w:val="22"/>
          <w:szCs w:val="22"/>
        </w:rPr>
      </w:pPr>
    </w:p>
    <w:p w:rsidR="00D3205B" w:rsidRPr="00230806" w:rsidRDefault="00D3205B" w:rsidP="00D3205B">
      <w:pPr>
        <w:pStyle w:val="NormalWeb"/>
        <w:spacing w:before="0" w:beforeAutospacing="0" w:after="0" w:afterAutospacing="0"/>
        <w:rPr>
          <w:i/>
          <w:sz w:val="22"/>
          <w:szCs w:val="22"/>
        </w:rPr>
      </w:pPr>
      <w:r w:rsidRPr="00230806">
        <w:rPr>
          <w:i/>
          <w:sz w:val="22"/>
          <w:szCs w:val="22"/>
        </w:rPr>
        <w:t>Antifungals</w:t>
      </w:r>
    </w:p>
    <w:p w:rsidR="00D3205B" w:rsidRPr="00E96CAB" w:rsidRDefault="00D3205B" w:rsidP="00D3205B">
      <w:pPr>
        <w:pStyle w:val="NormalWeb"/>
        <w:spacing w:before="0" w:beforeAutospacing="0" w:after="0" w:afterAutospacing="0"/>
        <w:rPr>
          <w:sz w:val="22"/>
          <w:szCs w:val="22"/>
        </w:rPr>
      </w:pPr>
      <w:r w:rsidRPr="00230806">
        <w:rPr>
          <w:sz w:val="22"/>
          <w:szCs w:val="22"/>
        </w:rPr>
        <w:t xml:space="preserve">Concomitant use of </w:t>
      </w:r>
      <w:r w:rsidR="00606C30" w:rsidRPr="00230806">
        <w:rPr>
          <w:sz w:val="22"/>
          <w:szCs w:val="22"/>
        </w:rPr>
        <w:t>ORKAMBI</w:t>
      </w:r>
      <w:r w:rsidR="006940E7" w:rsidRPr="00230806">
        <w:rPr>
          <w:sz w:val="22"/>
          <w:szCs w:val="22"/>
        </w:rPr>
        <w:t xml:space="preserve"> 200/125 </w:t>
      </w:r>
      <w:r w:rsidRPr="00230806">
        <w:rPr>
          <w:sz w:val="22"/>
          <w:szCs w:val="22"/>
        </w:rPr>
        <w:t>may reduce</w:t>
      </w:r>
      <w:r w:rsidRPr="00E96CAB">
        <w:rPr>
          <w:sz w:val="22"/>
          <w:szCs w:val="22"/>
        </w:rPr>
        <w:t xml:space="preserve"> the exposure and effectiveness of </w:t>
      </w:r>
      <w:proofErr w:type="spellStart"/>
      <w:r w:rsidRPr="00E96CAB">
        <w:rPr>
          <w:sz w:val="22"/>
          <w:szCs w:val="22"/>
        </w:rPr>
        <w:t>itraconazole</w:t>
      </w:r>
      <w:proofErr w:type="spellEnd"/>
      <w:r w:rsidRPr="00E96CAB">
        <w:rPr>
          <w:sz w:val="22"/>
          <w:szCs w:val="22"/>
        </w:rPr>
        <w:t xml:space="preserve">, ketoconazole, </w:t>
      </w:r>
      <w:proofErr w:type="spellStart"/>
      <w:r w:rsidRPr="00E96CAB">
        <w:rPr>
          <w:sz w:val="22"/>
          <w:szCs w:val="22"/>
        </w:rPr>
        <w:t>posaconazole</w:t>
      </w:r>
      <w:proofErr w:type="spellEnd"/>
      <w:r w:rsidRPr="00E96CAB">
        <w:rPr>
          <w:sz w:val="22"/>
          <w:szCs w:val="22"/>
        </w:rPr>
        <w:t xml:space="preserve">, </w:t>
      </w:r>
      <w:proofErr w:type="spellStart"/>
      <w:r w:rsidRPr="00E96CAB">
        <w:rPr>
          <w:sz w:val="22"/>
          <w:szCs w:val="22"/>
        </w:rPr>
        <w:t>voriconazole</w:t>
      </w:r>
      <w:proofErr w:type="spellEnd"/>
      <w:r w:rsidRPr="00E96CAB">
        <w:rPr>
          <w:sz w:val="22"/>
          <w:szCs w:val="22"/>
        </w:rPr>
        <w:t>, and fluconazole, and is not recommended unless the benefit outweighs the risk. If such drugs are necessary, patients should be monitored closely for breakthrough fungal infections.</w:t>
      </w:r>
    </w:p>
    <w:p w:rsidR="00D3205B" w:rsidRPr="00E96CAB" w:rsidRDefault="00D3205B" w:rsidP="00D3205B">
      <w:pPr>
        <w:pStyle w:val="NormalWeb"/>
        <w:spacing w:before="0" w:beforeAutospacing="0" w:after="0" w:afterAutospacing="0"/>
        <w:rPr>
          <w:sz w:val="22"/>
          <w:szCs w:val="22"/>
        </w:rPr>
      </w:pPr>
    </w:p>
    <w:p w:rsidR="00D3205B" w:rsidRPr="00E96CAB" w:rsidRDefault="00D3205B" w:rsidP="00D3205B">
      <w:pPr>
        <w:pStyle w:val="NormalWeb"/>
        <w:spacing w:before="0" w:beforeAutospacing="0" w:after="0" w:afterAutospacing="0"/>
        <w:rPr>
          <w:i/>
          <w:sz w:val="22"/>
          <w:szCs w:val="22"/>
        </w:rPr>
      </w:pPr>
      <w:r w:rsidRPr="00E96CAB">
        <w:rPr>
          <w:i/>
          <w:sz w:val="22"/>
          <w:szCs w:val="22"/>
        </w:rPr>
        <w:t>Glucocorticoids</w:t>
      </w:r>
    </w:p>
    <w:p w:rsidR="00D3205B" w:rsidRPr="00E96CAB" w:rsidRDefault="00606C30" w:rsidP="00D3205B">
      <w:pPr>
        <w:pStyle w:val="NormalWeb"/>
        <w:spacing w:before="0" w:beforeAutospacing="0" w:after="0" w:afterAutospacing="0"/>
        <w:rPr>
          <w:sz w:val="22"/>
          <w:szCs w:val="22"/>
        </w:rPr>
      </w:pPr>
      <w:r w:rsidRPr="00230806">
        <w:rPr>
          <w:sz w:val="22"/>
          <w:szCs w:val="22"/>
        </w:rPr>
        <w:t>ORKAMBI</w:t>
      </w:r>
      <w:r w:rsidR="006940E7" w:rsidRPr="00230806">
        <w:rPr>
          <w:sz w:val="22"/>
          <w:szCs w:val="22"/>
        </w:rPr>
        <w:t xml:space="preserve"> 200/125 </w:t>
      </w:r>
      <w:r w:rsidR="00D3205B" w:rsidRPr="00230806">
        <w:rPr>
          <w:sz w:val="22"/>
          <w:szCs w:val="22"/>
        </w:rPr>
        <w:t>may</w:t>
      </w:r>
      <w:r w:rsidR="00D3205B" w:rsidRPr="00E96CAB">
        <w:rPr>
          <w:sz w:val="22"/>
          <w:szCs w:val="22"/>
        </w:rPr>
        <w:t xml:space="preserve"> reduce the exposure of prednisone, which may reduce the effectiveness of prednisone.</w:t>
      </w:r>
    </w:p>
    <w:p w:rsidR="00D3205B" w:rsidRPr="00E96CAB" w:rsidRDefault="00D3205B" w:rsidP="00D3205B">
      <w:pPr>
        <w:pStyle w:val="NormalWeb"/>
        <w:spacing w:before="0" w:beforeAutospacing="0" w:after="0" w:afterAutospacing="0"/>
        <w:rPr>
          <w:sz w:val="22"/>
          <w:szCs w:val="22"/>
        </w:rPr>
      </w:pPr>
    </w:p>
    <w:p w:rsidR="002E0D5C" w:rsidRPr="00E96CAB" w:rsidRDefault="002E0D5C" w:rsidP="002E0D5C">
      <w:pPr>
        <w:pStyle w:val="NormalWeb"/>
        <w:spacing w:before="0" w:beforeAutospacing="0" w:after="0" w:afterAutospacing="0"/>
        <w:rPr>
          <w:i/>
          <w:sz w:val="22"/>
          <w:szCs w:val="22"/>
        </w:rPr>
      </w:pPr>
      <w:r w:rsidRPr="00E96CAB">
        <w:rPr>
          <w:i/>
          <w:sz w:val="22"/>
          <w:szCs w:val="22"/>
        </w:rPr>
        <w:t>Antidepressants</w:t>
      </w:r>
    </w:p>
    <w:p w:rsidR="002E0D5C" w:rsidRPr="00230806" w:rsidRDefault="002E0D5C" w:rsidP="002E0D5C">
      <w:pPr>
        <w:pStyle w:val="NormalWeb"/>
        <w:spacing w:before="0" w:beforeAutospacing="0" w:after="0" w:afterAutospacing="0"/>
        <w:rPr>
          <w:sz w:val="22"/>
          <w:szCs w:val="22"/>
        </w:rPr>
      </w:pPr>
      <w:r w:rsidRPr="00E96CAB">
        <w:rPr>
          <w:sz w:val="22"/>
          <w:szCs w:val="22"/>
        </w:rPr>
        <w:t xml:space="preserve">Concomitant </w:t>
      </w:r>
      <w:r w:rsidR="006940E7">
        <w:rPr>
          <w:sz w:val="22"/>
          <w:szCs w:val="22"/>
        </w:rPr>
        <w:t xml:space="preserve">use of </w:t>
      </w:r>
      <w:r w:rsidR="006940E7" w:rsidRPr="00230806">
        <w:rPr>
          <w:sz w:val="22"/>
          <w:szCs w:val="22"/>
        </w:rPr>
        <w:t xml:space="preserve">ORKAMBI 200/125 </w:t>
      </w:r>
      <w:r w:rsidRPr="00230806">
        <w:rPr>
          <w:sz w:val="22"/>
          <w:szCs w:val="22"/>
        </w:rPr>
        <w:t>may reduce the exposure and effectiveness of citalopram, escitalopram, and sertraline. A higher dose of these antidepressants may be required to obtain the desired clinical effect.</w:t>
      </w:r>
    </w:p>
    <w:p w:rsidR="002E0D5C" w:rsidRPr="00230806" w:rsidRDefault="002E0D5C" w:rsidP="00D3205B">
      <w:pPr>
        <w:pStyle w:val="NormalWeb"/>
        <w:spacing w:before="0" w:beforeAutospacing="0" w:after="0" w:afterAutospacing="0"/>
        <w:rPr>
          <w:i/>
          <w:sz w:val="22"/>
          <w:szCs w:val="22"/>
        </w:rPr>
      </w:pPr>
    </w:p>
    <w:p w:rsidR="002E0D5C" w:rsidRPr="00230806" w:rsidRDefault="002E0D5C" w:rsidP="002E0D5C">
      <w:pPr>
        <w:pStyle w:val="NormalWeb"/>
        <w:spacing w:before="0" w:beforeAutospacing="0" w:after="0" w:afterAutospacing="0"/>
        <w:rPr>
          <w:i/>
          <w:sz w:val="22"/>
          <w:szCs w:val="22"/>
        </w:rPr>
      </w:pPr>
      <w:r w:rsidRPr="00230806">
        <w:rPr>
          <w:i/>
          <w:sz w:val="22"/>
          <w:szCs w:val="22"/>
        </w:rPr>
        <w:t xml:space="preserve">Oral </w:t>
      </w:r>
      <w:proofErr w:type="spellStart"/>
      <w:r w:rsidRPr="00230806">
        <w:rPr>
          <w:i/>
          <w:sz w:val="22"/>
          <w:szCs w:val="22"/>
        </w:rPr>
        <w:t>Hypoglyc</w:t>
      </w:r>
      <w:r w:rsidR="0046480C" w:rsidRPr="00230806">
        <w:rPr>
          <w:i/>
          <w:sz w:val="22"/>
          <w:szCs w:val="22"/>
        </w:rPr>
        <w:t>a</w:t>
      </w:r>
      <w:r w:rsidRPr="00230806">
        <w:rPr>
          <w:i/>
          <w:sz w:val="22"/>
          <w:szCs w:val="22"/>
        </w:rPr>
        <w:t>emics</w:t>
      </w:r>
      <w:proofErr w:type="spellEnd"/>
    </w:p>
    <w:p w:rsidR="002E0D5C" w:rsidRPr="00230806" w:rsidRDefault="006940E7" w:rsidP="002E0D5C">
      <w:pPr>
        <w:pStyle w:val="NormalWeb"/>
        <w:spacing w:before="0" w:beforeAutospacing="0" w:after="0" w:afterAutospacing="0"/>
        <w:rPr>
          <w:sz w:val="22"/>
          <w:szCs w:val="22"/>
        </w:rPr>
      </w:pPr>
      <w:r w:rsidRPr="00230806">
        <w:rPr>
          <w:sz w:val="22"/>
          <w:szCs w:val="22"/>
        </w:rPr>
        <w:t xml:space="preserve">Concomitant use of ORKAMBI 200/125 </w:t>
      </w:r>
      <w:r w:rsidR="002E0D5C" w:rsidRPr="00230806">
        <w:rPr>
          <w:sz w:val="22"/>
          <w:szCs w:val="22"/>
        </w:rPr>
        <w:t xml:space="preserve">may reduce the exposure and effectiveness of </w:t>
      </w:r>
      <w:proofErr w:type="spellStart"/>
      <w:r w:rsidR="002E0D5C" w:rsidRPr="00230806">
        <w:rPr>
          <w:sz w:val="22"/>
          <w:szCs w:val="22"/>
        </w:rPr>
        <w:t>repaglinide</w:t>
      </w:r>
      <w:proofErr w:type="spellEnd"/>
      <w:r w:rsidR="002E0D5C" w:rsidRPr="00230806">
        <w:rPr>
          <w:sz w:val="22"/>
          <w:szCs w:val="22"/>
        </w:rPr>
        <w:t>, and may alter the exposure of sulfonylurea. A dose adjustment may be required to obtain the desired clinical effect. No dose adjustment is recommended for metformin.</w:t>
      </w:r>
    </w:p>
    <w:p w:rsidR="002E0D5C" w:rsidRPr="00230806" w:rsidRDefault="002E0D5C" w:rsidP="00D3205B">
      <w:pPr>
        <w:pStyle w:val="NormalWeb"/>
        <w:spacing w:before="0" w:beforeAutospacing="0" w:after="0" w:afterAutospacing="0"/>
        <w:rPr>
          <w:i/>
          <w:sz w:val="22"/>
          <w:szCs w:val="22"/>
        </w:rPr>
      </w:pPr>
    </w:p>
    <w:p w:rsidR="00D3205B" w:rsidRPr="00230806" w:rsidRDefault="00D3205B" w:rsidP="00D3205B">
      <w:pPr>
        <w:pStyle w:val="NormalWeb"/>
        <w:spacing w:before="0" w:beforeAutospacing="0" w:after="0" w:afterAutospacing="0"/>
        <w:rPr>
          <w:i/>
          <w:sz w:val="22"/>
          <w:szCs w:val="22"/>
        </w:rPr>
      </w:pPr>
      <w:r w:rsidRPr="00230806">
        <w:rPr>
          <w:i/>
          <w:sz w:val="22"/>
          <w:szCs w:val="22"/>
        </w:rPr>
        <w:t xml:space="preserve">Proton </w:t>
      </w:r>
      <w:r w:rsidR="007068DD" w:rsidRPr="00230806">
        <w:rPr>
          <w:i/>
          <w:sz w:val="22"/>
          <w:szCs w:val="22"/>
        </w:rPr>
        <w:t>Pump I</w:t>
      </w:r>
      <w:r w:rsidRPr="00230806">
        <w:rPr>
          <w:i/>
          <w:sz w:val="22"/>
          <w:szCs w:val="22"/>
        </w:rPr>
        <w:t>nhibitors</w:t>
      </w:r>
    </w:p>
    <w:p w:rsidR="00875EE7" w:rsidRPr="00230806" w:rsidRDefault="00606C30" w:rsidP="00D3205B">
      <w:pPr>
        <w:pStyle w:val="NormalWeb"/>
        <w:spacing w:before="0" w:beforeAutospacing="0" w:after="0" w:afterAutospacing="0"/>
        <w:rPr>
          <w:i/>
          <w:sz w:val="22"/>
          <w:szCs w:val="22"/>
        </w:rPr>
      </w:pPr>
      <w:r w:rsidRPr="00230806">
        <w:rPr>
          <w:sz w:val="22"/>
          <w:szCs w:val="22"/>
          <w:lang w:val="en-GB"/>
        </w:rPr>
        <w:t>ORKAMBI</w:t>
      </w:r>
      <w:r w:rsidR="006940E7" w:rsidRPr="00230806">
        <w:rPr>
          <w:sz w:val="22"/>
          <w:szCs w:val="22"/>
          <w:lang w:val="en-GB"/>
        </w:rPr>
        <w:t> </w:t>
      </w:r>
      <w:r w:rsidR="006940E7" w:rsidRPr="00230806">
        <w:rPr>
          <w:sz w:val="22"/>
          <w:szCs w:val="22"/>
        </w:rPr>
        <w:t xml:space="preserve">200/125 </w:t>
      </w:r>
      <w:r w:rsidR="00D3205B" w:rsidRPr="00230806">
        <w:rPr>
          <w:sz w:val="22"/>
          <w:szCs w:val="22"/>
          <w:lang w:val="en-GB"/>
        </w:rPr>
        <w:t xml:space="preserve">may reduce the exposure and effectiveness of proton pump inhibitors such as omeprazole, esomeprazole, and lansoprazole. The dose of proton pump inhibitors may need to be adjusted when used concomitantly with </w:t>
      </w:r>
      <w:r w:rsidRPr="00230806">
        <w:rPr>
          <w:sz w:val="22"/>
          <w:szCs w:val="22"/>
          <w:lang w:val="en-GB"/>
        </w:rPr>
        <w:t>ORKAMBI</w:t>
      </w:r>
      <w:r w:rsidR="006940E7" w:rsidRPr="00230806">
        <w:rPr>
          <w:sz w:val="22"/>
          <w:szCs w:val="22"/>
          <w:lang w:val="en-GB"/>
        </w:rPr>
        <w:t> </w:t>
      </w:r>
      <w:r w:rsidR="006940E7" w:rsidRPr="00230806">
        <w:rPr>
          <w:sz w:val="22"/>
          <w:szCs w:val="22"/>
        </w:rPr>
        <w:t>200/125</w:t>
      </w:r>
      <w:r w:rsidR="00D3205B" w:rsidRPr="00230806">
        <w:rPr>
          <w:sz w:val="22"/>
          <w:szCs w:val="22"/>
          <w:lang w:val="en-GB"/>
        </w:rPr>
        <w:t>.</w:t>
      </w:r>
    </w:p>
    <w:p w:rsidR="00875EE7" w:rsidRPr="00E96CAB" w:rsidRDefault="00875EE7" w:rsidP="003B0232">
      <w:pPr>
        <w:tabs>
          <w:tab w:val="left" w:pos="270"/>
        </w:tabs>
        <w:rPr>
          <w:sz w:val="22"/>
          <w:szCs w:val="22"/>
        </w:rPr>
      </w:pPr>
    </w:p>
    <w:p w:rsidR="009D3B76" w:rsidRDefault="009D3B76" w:rsidP="003B0232">
      <w:pPr>
        <w:tabs>
          <w:tab w:val="left" w:pos="270"/>
        </w:tabs>
        <w:rPr>
          <w:sz w:val="22"/>
          <w:szCs w:val="22"/>
        </w:rPr>
      </w:pPr>
    </w:p>
    <w:p w:rsidR="00766736" w:rsidRPr="00E96CAB" w:rsidRDefault="00766736" w:rsidP="003B0232">
      <w:pPr>
        <w:tabs>
          <w:tab w:val="left" w:pos="270"/>
        </w:tabs>
        <w:rPr>
          <w:sz w:val="22"/>
          <w:szCs w:val="22"/>
        </w:rPr>
      </w:pPr>
    </w:p>
    <w:p w:rsidR="00F42556" w:rsidRPr="00E96CAB" w:rsidRDefault="00F42556" w:rsidP="00F42556">
      <w:pPr>
        <w:tabs>
          <w:tab w:val="left" w:pos="270"/>
        </w:tabs>
        <w:rPr>
          <w:b/>
          <w:sz w:val="22"/>
          <w:szCs w:val="22"/>
        </w:rPr>
      </w:pPr>
      <w:r w:rsidRPr="00E96CAB">
        <w:rPr>
          <w:b/>
          <w:sz w:val="22"/>
          <w:szCs w:val="22"/>
        </w:rPr>
        <w:lastRenderedPageBreak/>
        <w:t>ADVERSE EFFECTS</w:t>
      </w:r>
    </w:p>
    <w:p w:rsidR="00F42556" w:rsidRPr="00E96CAB" w:rsidRDefault="00F42556" w:rsidP="00F42556">
      <w:pPr>
        <w:tabs>
          <w:tab w:val="left" w:pos="270"/>
        </w:tabs>
        <w:rPr>
          <w:sz w:val="22"/>
          <w:szCs w:val="22"/>
        </w:rPr>
      </w:pPr>
    </w:p>
    <w:p w:rsidR="00F42556" w:rsidRPr="00E96CAB" w:rsidRDefault="00F42556" w:rsidP="00F42556">
      <w:pPr>
        <w:tabs>
          <w:tab w:val="left" w:pos="270"/>
        </w:tabs>
        <w:rPr>
          <w:b/>
          <w:sz w:val="22"/>
          <w:szCs w:val="22"/>
        </w:rPr>
      </w:pPr>
      <w:r w:rsidRPr="00E96CAB">
        <w:rPr>
          <w:b/>
          <w:sz w:val="22"/>
          <w:szCs w:val="22"/>
        </w:rPr>
        <w:t xml:space="preserve">Experience </w:t>
      </w:r>
      <w:proofErr w:type="gramStart"/>
      <w:r w:rsidRPr="00E96CAB">
        <w:rPr>
          <w:b/>
          <w:sz w:val="22"/>
          <w:szCs w:val="22"/>
        </w:rPr>
        <w:t>From</w:t>
      </w:r>
      <w:proofErr w:type="gramEnd"/>
      <w:r w:rsidRPr="00E96CAB">
        <w:rPr>
          <w:b/>
          <w:sz w:val="22"/>
          <w:szCs w:val="22"/>
        </w:rPr>
        <w:t xml:space="preserve"> Clinical Trials</w:t>
      </w:r>
    </w:p>
    <w:p w:rsidR="00F42556" w:rsidRPr="00E96CAB" w:rsidRDefault="00F42556" w:rsidP="00F42556">
      <w:pPr>
        <w:pStyle w:val="labeltext"/>
      </w:pPr>
      <w:r w:rsidRPr="00E96CAB">
        <w:t>The safety profile of ORKAMBI</w:t>
      </w:r>
      <w:r>
        <w:t> </w:t>
      </w:r>
      <w:r w:rsidRPr="00F42556">
        <w:t>200/125 is</w:t>
      </w:r>
      <w:r w:rsidRPr="00E96CAB">
        <w:t xml:space="preserve"> based primarily on the pooled data from 1108 patients with CF 12 years and older who are homozygous for the </w:t>
      </w:r>
      <w:r w:rsidRPr="00E96CAB">
        <w:rPr>
          <w:i/>
        </w:rPr>
        <w:t>F508del</w:t>
      </w:r>
      <w:r w:rsidRPr="00E96CAB">
        <w:t xml:space="preserve"> mutation in the </w:t>
      </w:r>
      <w:r w:rsidRPr="00E96CAB">
        <w:rPr>
          <w:i/>
        </w:rPr>
        <w:t>CFTR</w:t>
      </w:r>
      <w:r w:rsidRPr="00E96CAB">
        <w:t xml:space="preserve"> gene and who received at least 1 dose of study drug in 2 double</w:t>
      </w:r>
      <w:r w:rsidRPr="00E96CAB">
        <w:noBreakHyphen/>
        <w:t>blind, placebo</w:t>
      </w:r>
      <w:r w:rsidRPr="00E96CAB">
        <w:noBreakHyphen/>
        <w:t xml:space="preserve">controlled, Phase 3 clinical studies, each with 24 weeks of treatment (Trials 1 and 2). A total of 738 patients </w:t>
      </w:r>
      <w:r w:rsidRPr="00F42556">
        <w:t xml:space="preserve">received </w:t>
      </w:r>
      <w:proofErr w:type="spellStart"/>
      <w:r w:rsidRPr="00F42556">
        <w:t>lumacaftor</w:t>
      </w:r>
      <w:proofErr w:type="spellEnd"/>
      <w:r w:rsidRPr="00F42556">
        <w:t>/</w:t>
      </w:r>
      <w:proofErr w:type="spellStart"/>
      <w:r w:rsidRPr="00F42556">
        <w:t>ivacaftor</w:t>
      </w:r>
      <w:proofErr w:type="spellEnd"/>
      <w:r>
        <w:t> </w:t>
      </w:r>
      <w:r w:rsidRPr="00E96CAB">
        <w:t xml:space="preserve">(369 patients received </w:t>
      </w:r>
      <w:proofErr w:type="spellStart"/>
      <w:r w:rsidRPr="00E96CAB">
        <w:t>lumacaftor</w:t>
      </w:r>
      <w:proofErr w:type="spellEnd"/>
      <w:r w:rsidRPr="00E96CAB">
        <w:t xml:space="preserve"> 400 mg q12h in combination with </w:t>
      </w:r>
      <w:proofErr w:type="spellStart"/>
      <w:r w:rsidRPr="00E96CAB">
        <w:t>ivacaftor</w:t>
      </w:r>
      <w:proofErr w:type="spellEnd"/>
      <w:r w:rsidRPr="00E96CAB">
        <w:t xml:space="preserve"> 250 mg q12h and 369 patients received </w:t>
      </w:r>
      <w:proofErr w:type="spellStart"/>
      <w:r w:rsidRPr="00E96CAB">
        <w:t>lumacaftor</w:t>
      </w:r>
      <w:proofErr w:type="spellEnd"/>
      <w:r w:rsidRPr="00E96CAB">
        <w:t xml:space="preserve"> 600 mg </w:t>
      </w:r>
      <w:proofErr w:type="spellStart"/>
      <w:r w:rsidRPr="00E96CAB">
        <w:t>qd</w:t>
      </w:r>
      <w:proofErr w:type="spellEnd"/>
      <w:r w:rsidRPr="00E96CAB">
        <w:t xml:space="preserve"> in combination with </w:t>
      </w:r>
      <w:proofErr w:type="spellStart"/>
      <w:r w:rsidRPr="00E96CAB">
        <w:t>ivacaftor</w:t>
      </w:r>
      <w:proofErr w:type="spellEnd"/>
      <w:r w:rsidRPr="00E96CAB">
        <w:t xml:space="preserve"> 250 mg q12h) and 370 patients received placebo. Of the 1108 patients, 49% were female and 99% were Caucasian.</w:t>
      </w:r>
    </w:p>
    <w:p w:rsidR="00F42556" w:rsidRPr="00E96CAB" w:rsidRDefault="00F42556" w:rsidP="00F42556">
      <w:pPr>
        <w:pStyle w:val="labeltext"/>
      </w:pPr>
    </w:p>
    <w:p w:rsidR="00F42556" w:rsidRPr="00E96CAB" w:rsidRDefault="00F42556" w:rsidP="00F42556">
      <w:pPr>
        <w:pStyle w:val="labeltext"/>
      </w:pPr>
      <w:r w:rsidRPr="00E96CAB">
        <w:t xml:space="preserve">The </w:t>
      </w:r>
      <w:r w:rsidRPr="00F42556">
        <w:t xml:space="preserve">proportion of patients who prematurely discontinued study drug due to adverse events was 4.2% for </w:t>
      </w:r>
      <w:proofErr w:type="spellStart"/>
      <w:r w:rsidRPr="00F42556">
        <w:t>lumacaftor</w:t>
      </w:r>
      <w:proofErr w:type="spellEnd"/>
      <w:r w:rsidRPr="00F42556">
        <w:t>/</w:t>
      </w:r>
      <w:proofErr w:type="spellStart"/>
      <w:r w:rsidRPr="00F42556">
        <w:t>ivacaftor</w:t>
      </w:r>
      <w:proofErr w:type="spellEnd"/>
      <w:r w:rsidRPr="00F42556">
        <w:noBreakHyphen/>
        <w:t>treated patients and 1.6% for placebo</w:t>
      </w:r>
      <w:r w:rsidRPr="00F42556">
        <w:noBreakHyphen/>
        <w:t xml:space="preserve">treated patients. </w:t>
      </w:r>
      <w:r w:rsidRPr="00F42556">
        <w:rPr>
          <w:lang w:val="en-GB"/>
        </w:rPr>
        <w:t xml:space="preserve">The only adverse events which resulted in discontinuation in at least 0.5% of patients receiving </w:t>
      </w:r>
      <w:proofErr w:type="spellStart"/>
      <w:r w:rsidRPr="00F42556">
        <w:t>lumacaftor</w:t>
      </w:r>
      <w:proofErr w:type="spellEnd"/>
      <w:r w:rsidRPr="00F42556">
        <w:t>/</w:t>
      </w:r>
      <w:proofErr w:type="spellStart"/>
      <w:r w:rsidRPr="00F42556">
        <w:t>ivacaftor</w:t>
      </w:r>
      <w:proofErr w:type="spellEnd"/>
      <w:r>
        <w:t xml:space="preserve"> </w:t>
      </w:r>
      <w:r w:rsidRPr="00F42556">
        <w:rPr>
          <w:lang w:val="en-GB"/>
        </w:rPr>
        <w:t>were</w:t>
      </w:r>
      <w:r w:rsidRPr="00E96CAB">
        <w:rPr>
          <w:lang w:val="en-GB"/>
        </w:rPr>
        <w:t xml:space="preserve"> increased blood </w:t>
      </w:r>
      <w:proofErr w:type="spellStart"/>
      <w:r w:rsidRPr="00E96CAB">
        <w:rPr>
          <w:lang w:val="en-GB"/>
        </w:rPr>
        <w:t>creatine</w:t>
      </w:r>
      <w:proofErr w:type="spellEnd"/>
      <w:r w:rsidRPr="00E96CAB">
        <w:rPr>
          <w:lang w:val="en-GB"/>
        </w:rPr>
        <w:t xml:space="preserve"> phosphokinase (0.5%) and hepatobiliary events (0.5%).</w:t>
      </w:r>
    </w:p>
    <w:p w:rsidR="00F42556" w:rsidRPr="00E96CAB" w:rsidRDefault="00F42556" w:rsidP="00F42556">
      <w:pPr>
        <w:pStyle w:val="labeltext"/>
      </w:pPr>
    </w:p>
    <w:p w:rsidR="00F42556" w:rsidRPr="00F42556" w:rsidRDefault="00F42556" w:rsidP="00F42556">
      <w:pPr>
        <w:pStyle w:val="labeltext"/>
      </w:pPr>
      <w:r w:rsidRPr="00F42556">
        <w:rPr>
          <w:bCs/>
        </w:rPr>
        <w:t xml:space="preserve">The most common adverse reactions experienced by patients who received </w:t>
      </w:r>
      <w:proofErr w:type="spellStart"/>
      <w:r w:rsidRPr="00F42556">
        <w:t>lumacaftor</w:t>
      </w:r>
      <w:proofErr w:type="spellEnd"/>
      <w:r w:rsidRPr="00F42556">
        <w:t>/</w:t>
      </w:r>
      <w:proofErr w:type="spellStart"/>
      <w:r w:rsidRPr="00F42556">
        <w:t>ivacaftor</w:t>
      </w:r>
      <w:proofErr w:type="spellEnd"/>
      <w:r w:rsidRPr="00F42556">
        <w:t xml:space="preserve"> </w:t>
      </w:r>
      <w:r w:rsidRPr="00F42556">
        <w:rPr>
          <w:bCs/>
        </w:rPr>
        <w:t>in the pooled, placebo</w:t>
      </w:r>
      <w:r w:rsidRPr="00F42556">
        <w:rPr>
          <w:bCs/>
        </w:rPr>
        <w:noBreakHyphen/>
        <w:t xml:space="preserve">controlled, Phase 3 studies were </w:t>
      </w:r>
      <w:proofErr w:type="spellStart"/>
      <w:r w:rsidRPr="00F42556">
        <w:rPr>
          <w:bCs/>
        </w:rPr>
        <w:t>dyspnoea</w:t>
      </w:r>
      <w:proofErr w:type="spellEnd"/>
      <w:r w:rsidRPr="00F42556">
        <w:rPr>
          <w:bCs/>
        </w:rPr>
        <w:t xml:space="preserve"> (14.0% versus 7.8% on placebo), </w:t>
      </w:r>
      <w:proofErr w:type="spellStart"/>
      <w:r w:rsidRPr="00F42556">
        <w:rPr>
          <w:bCs/>
        </w:rPr>
        <w:t>diarrhoea</w:t>
      </w:r>
      <w:proofErr w:type="spellEnd"/>
      <w:r w:rsidRPr="00F42556">
        <w:rPr>
          <w:bCs/>
        </w:rPr>
        <w:t xml:space="preserve"> (11.0% versus 8.4% on placebo), and nausea (10.2% versus 7.6% on placebo).</w:t>
      </w:r>
    </w:p>
    <w:p w:rsidR="00F42556" w:rsidRPr="00F42556" w:rsidRDefault="00F42556" w:rsidP="00F42556">
      <w:pPr>
        <w:pStyle w:val="labeltext"/>
      </w:pPr>
    </w:p>
    <w:p w:rsidR="00F42556" w:rsidRPr="00E96CAB" w:rsidRDefault="00F42556" w:rsidP="00F42556">
      <w:pPr>
        <w:rPr>
          <w:bCs/>
          <w:sz w:val="22"/>
          <w:szCs w:val="22"/>
        </w:rPr>
      </w:pPr>
      <w:r w:rsidRPr="00F42556">
        <w:rPr>
          <w:bCs/>
          <w:sz w:val="22"/>
          <w:szCs w:val="22"/>
        </w:rPr>
        <w:t xml:space="preserve">The only serious adverse reactions occurring in at least 0.5% of patients on </w:t>
      </w:r>
      <w:proofErr w:type="spellStart"/>
      <w:r w:rsidRPr="00F42556">
        <w:t>lumacaftor</w:t>
      </w:r>
      <w:proofErr w:type="spellEnd"/>
      <w:r w:rsidRPr="00F42556">
        <w:t>/</w:t>
      </w:r>
      <w:proofErr w:type="spellStart"/>
      <w:r w:rsidRPr="00F42556">
        <w:t>ivacaftor</w:t>
      </w:r>
      <w:proofErr w:type="spellEnd"/>
      <w:r>
        <w:t xml:space="preserve"> </w:t>
      </w:r>
      <w:r w:rsidRPr="00F42556">
        <w:rPr>
          <w:bCs/>
          <w:sz w:val="22"/>
          <w:szCs w:val="22"/>
        </w:rPr>
        <w:t>and greater</w:t>
      </w:r>
      <w:r w:rsidRPr="00E96CAB">
        <w:rPr>
          <w:bCs/>
          <w:sz w:val="22"/>
          <w:szCs w:val="22"/>
        </w:rPr>
        <w:t xml:space="preserve"> than placebo were hepatobiliary events, including 4 reported as transaminase elevations, 2 as </w:t>
      </w:r>
      <w:proofErr w:type="spellStart"/>
      <w:r w:rsidRPr="00E96CAB">
        <w:rPr>
          <w:bCs/>
          <w:sz w:val="22"/>
          <w:szCs w:val="22"/>
        </w:rPr>
        <w:t>cholestatic</w:t>
      </w:r>
      <w:proofErr w:type="spellEnd"/>
      <w:r w:rsidRPr="00E96CAB">
        <w:rPr>
          <w:bCs/>
          <w:sz w:val="22"/>
          <w:szCs w:val="22"/>
        </w:rPr>
        <w:t xml:space="preserve"> hepatitis, and 1 as hepatic encephalopathy.</w:t>
      </w:r>
    </w:p>
    <w:p w:rsidR="00F42556" w:rsidRPr="00E96CAB" w:rsidRDefault="00F42556" w:rsidP="00F42556">
      <w:pPr>
        <w:rPr>
          <w:bCs/>
          <w:sz w:val="22"/>
          <w:szCs w:val="22"/>
        </w:rPr>
      </w:pPr>
    </w:p>
    <w:p w:rsidR="00F42556" w:rsidRPr="00E96CAB" w:rsidRDefault="00F42556" w:rsidP="00F42556">
      <w:pPr>
        <w:rPr>
          <w:sz w:val="22"/>
          <w:szCs w:val="22"/>
        </w:rPr>
      </w:pPr>
      <w:r w:rsidRPr="00E96CAB">
        <w:rPr>
          <w:bCs/>
          <w:sz w:val="22"/>
          <w:szCs w:val="22"/>
        </w:rPr>
        <w:t xml:space="preserve">Table 2 shows adverse events with an incidence of at least 10% in any treatment group from the two </w:t>
      </w:r>
      <w:r w:rsidRPr="00E96CAB">
        <w:rPr>
          <w:sz w:val="22"/>
          <w:szCs w:val="22"/>
        </w:rPr>
        <w:t>double</w:t>
      </w:r>
      <w:r w:rsidRPr="00E96CAB">
        <w:rPr>
          <w:sz w:val="22"/>
          <w:szCs w:val="22"/>
        </w:rPr>
        <w:noBreakHyphen/>
        <w:t>blind, placebo</w:t>
      </w:r>
      <w:r w:rsidRPr="00E96CAB">
        <w:rPr>
          <w:sz w:val="22"/>
          <w:szCs w:val="22"/>
        </w:rPr>
        <w:noBreakHyphen/>
        <w:t xml:space="preserve">controlled, </w:t>
      </w:r>
      <w:proofErr w:type="gramStart"/>
      <w:r w:rsidRPr="00E96CAB">
        <w:rPr>
          <w:sz w:val="22"/>
          <w:szCs w:val="22"/>
        </w:rPr>
        <w:t>Phase</w:t>
      </w:r>
      <w:proofErr w:type="gramEnd"/>
      <w:r w:rsidRPr="00E96CAB">
        <w:rPr>
          <w:sz w:val="22"/>
          <w:szCs w:val="22"/>
        </w:rPr>
        <w:t xml:space="preserve"> 3 clinical studies.</w:t>
      </w:r>
    </w:p>
    <w:p w:rsidR="00F42556" w:rsidRPr="00E96CAB" w:rsidRDefault="00F42556" w:rsidP="00F42556">
      <w:pPr>
        <w:rPr>
          <w:sz w:val="22"/>
          <w:szCs w:val="22"/>
        </w:rPr>
      </w:pPr>
    </w:p>
    <w:tbl>
      <w:tblPr>
        <w:tblW w:w="0" w:type="auto"/>
        <w:jc w:val="center"/>
        <w:tblLayout w:type="fixed"/>
        <w:tblCellMar>
          <w:left w:w="29" w:type="dxa"/>
          <w:right w:w="29" w:type="dxa"/>
        </w:tblCellMar>
        <w:tblLook w:val="0000" w:firstRow="0" w:lastRow="0" w:firstColumn="0" w:lastColumn="0" w:noHBand="0" w:noVBand="0"/>
      </w:tblPr>
      <w:tblGrid>
        <w:gridCol w:w="4331"/>
        <w:gridCol w:w="1262"/>
        <w:gridCol w:w="1262"/>
      </w:tblGrid>
      <w:tr w:rsidR="00F42556" w:rsidRPr="00E96CAB" w:rsidTr="00D21070">
        <w:trPr>
          <w:cantSplit/>
          <w:tblHeader/>
          <w:jc w:val="center"/>
        </w:trPr>
        <w:tc>
          <w:tcPr>
            <w:tcW w:w="6855" w:type="dxa"/>
            <w:gridSpan w:val="3"/>
            <w:tcBorders>
              <w:top w:val="single" w:sz="2" w:space="0" w:color="4F493B"/>
              <w:left w:val="single" w:sz="2" w:space="0" w:color="4F493B"/>
              <w:bottom w:val="single" w:sz="2" w:space="0" w:color="4F493B"/>
              <w:right w:val="single" w:sz="2" w:space="0" w:color="4F493B"/>
            </w:tcBorders>
            <w:shd w:val="clear" w:color="auto" w:fill="auto"/>
            <w:vAlign w:val="bottom"/>
          </w:tcPr>
          <w:p w:rsidR="00F42556" w:rsidRPr="00E96CAB" w:rsidRDefault="00F42556" w:rsidP="00D21070">
            <w:pPr>
              <w:suppressLineNumbers/>
              <w:tabs>
                <w:tab w:val="left" w:pos="0"/>
              </w:tabs>
              <w:outlineLvl w:val="0"/>
              <w:rPr>
                <w:b/>
                <w:bCs/>
                <w:sz w:val="22"/>
                <w:szCs w:val="22"/>
              </w:rPr>
            </w:pPr>
            <w:r w:rsidRPr="00E96CAB">
              <w:rPr>
                <w:b/>
                <w:bCs/>
                <w:sz w:val="22"/>
                <w:szCs w:val="22"/>
              </w:rPr>
              <w:t xml:space="preserve">Table 2. Adverse Events With an Incidence of at Least 10% in Any Treatment Group of Patients Aged 12 Years and Older Who Are Homozygous for the </w:t>
            </w:r>
            <w:r w:rsidRPr="00E96CAB">
              <w:rPr>
                <w:b/>
                <w:bCs/>
                <w:i/>
                <w:sz w:val="22"/>
                <w:szCs w:val="22"/>
              </w:rPr>
              <w:t>F508del</w:t>
            </w:r>
            <w:r w:rsidRPr="00E96CAB">
              <w:rPr>
                <w:b/>
                <w:bCs/>
                <w:sz w:val="22"/>
                <w:szCs w:val="22"/>
              </w:rPr>
              <w:t xml:space="preserve"> Mutation in the </w:t>
            </w:r>
            <w:r w:rsidRPr="00E96CAB">
              <w:rPr>
                <w:b/>
                <w:bCs/>
                <w:i/>
                <w:sz w:val="22"/>
                <w:szCs w:val="22"/>
              </w:rPr>
              <w:t>CFTR</w:t>
            </w:r>
            <w:r w:rsidRPr="00E96CAB">
              <w:rPr>
                <w:b/>
                <w:bCs/>
                <w:sz w:val="22"/>
                <w:szCs w:val="22"/>
              </w:rPr>
              <w:t xml:space="preserve"> Gene</w:t>
            </w:r>
          </w:p>
        </w:tc>
      </w:tr>
      <w:tr w:rsidR="00F42556" w:rsidRPr="00E96CAB" w:rsidTr="00D21070">
        <w:trPr>
          <w:cantSplit/>
          <w:tblHeader/>
          <w:jc w:val="center"/>
        </w:trPr>
        <w:tc>
          <w:tcPr>
            <w:tcW w:w="4331" w:type="dxa"/>
            <w:tcBorders>
              <w:top w:val="nil"/>
              <w:left w:val="single" w:sz="2" w:space="0" w:color="4F493B"/>
              <w:bottom w:val="single" w:sz="2" w:space="0" w:color="4F493B"/>
              <w:right w:val="single" w:sz="2" w:space="0" w:color="4F493B"/>
            </w:tcBorders>
            <w:shd w:val="clear" w:color="auto" w:fill="auto"/>
            <w:vAlign w:val="bottom"/>
          </w:tcPr>
          <w:p w:rsidR="00F42556" w:rsidRPr="00E96CAB" w:rsidRDefault="00F42556" w:rsidP="00D21070">
            <w:pPr>
              <w:suppressLineNumbers/>
              <w:tabs>
                <w:tab w:val="left" w:pos="0"/>
              </w:tabs>
              <w:outlineLvl w:val="0"/>
              <w:rPr>
                <w:b/>
                <w:bCs/>
                <w:sz w:val="22"/>
                <w:szCs w:val="22"/>
              </w:rPr>
            </w:pPr>
          </w:p>
        </w:tc>
        <w:tc>
          <w:tcPr>
            <w:tcW w:w="1262" w:type="dxa"/>
            <w:tcBorders>
              <w:top w:val="nil"/>
              <w:left w:val="single" w:sz="2" w:space="0" w:color="4F493B"/>
              <w:bottom w:val="single" w:sz="2" w:space="0" w:color="4F493B"/>
              <w:right w:val="single" w:sz="2" w:space="0" w:color="4F493B"/>
            </w:tcBorders>
            <w:shd w:val="clear" w:color="auto" w:fill="auto"/>
            <w:vAlign w:val="bottom"/>
          </w:tcPr>
          <w:p w:rsidR="00F42556" w:rsidRPr="00E96CAB" w:rsidRDefault="00F42556" w:rsidP="00D21070">
            <w:pPr>
              <w:suppressLineNumbers/>
              <w:tabs>
                <w:tab w:val="left" w:pos="0"/>
              </w:tabs>
              <w:jc w:val="center"/>
              <w:outlineLvl w:val="0"/>
              <w:rPr>
                <w:b/>
                <w:bCs/>
                <w:sz w:val="22"/>
                <w:szCs w:val="22"/>
              </w:rPr>
            </w:pPr>
            <w:r w:rsidRPr="00E96CAB">
              <w:rPr>
                <w:b/>
                <w:bCs/>
                <w:sz w:val="22"/>
                <w:szCs w:val="22"/>
              </w:rPr>
              <w:t>LUM/IVA Total</w:t>
            </w:r>
          </w:p>
        </w:tc>
        <w:tc>
          <w:tcPr>
            <w:tcW w:w="1262" w:type="dxa"/>
            <w:tcBorders>
              <w:top w:val="nil"/>
              <w:left w:val="single" w:sz="2" w:space="0" w:color="4F493B"/>
              <w:bottom w:val="single" w:sz="2" w:space="0" w:color="4F493B"/>
              <w:right w:val="single" w:sz="2" w:space="0" w:color="4F493B"/>
            </w:tcBorders>
            <w:shd w:val="clear" w:color="auto" w:fill="auto"/>
            <w:vAlign w:val="bottom"/>
          </w:tcPr>
          <w:p w:rsidR="00F42556" w:rsidRPr="00E96CAB" w:rsidRDefault="00F42556" w:rsidP="00D21070">
            <w:pPr>
              <w:suppressLineNumbers/>
              <w:tabs>
                <w:tab w:val="left" w:pos="0"/>
              </w:tabs>
              <w:jc w:val="center"/>
              <w:outlineLvl w:val="0"/>
              <w:rPr>
                <w:b/>
                <w:bCs/>
                <w:sz w:val="22"/>
                <w:szCs w:val="22"/>
              </w:rPr>
            </w:pPr>
            <w:r w:rsidRPr="00E96CAB">
              <w:rPr>
                <w:b/>
                <w:bCs/>
                <w:sz w:val="22"/>
                <w:szCs w:val="22"/>
              </w:rPr>
              <w:t>Placebo</w:t>
            </w:r>
          </w:p>
        </w:tc>
      </w:tr>
      <w:tr w:rsidR="00F42556" w:rsidRPr="00E96CAB" w:rsidTr="00D21070">
        <w:trPr>
          <w:cantSplit/>
          <w:tblHeader/>
          <w:jc w:val="center"/>
        </w:trPr>
        <w:tc>
          <w:tcPr>
            <w:tcW w:w="4331" w:type="dxa"/>
            <w:tcBorders>
              <w:top w:val="nil"/>
              <w:left w:val="single" w:sz="2" w:space="0" w:color="4F493B"/>
              <w:bottom w:val="single" w:sz="2" w:space="0" w:color="4F493B"/>
              <w:right w:val="single" w:sz="2" w:space="0" w:color="4F493B"/>
            </w:tcBorders>
            <w:shd w:val="clear" w:color="auto" w:fill="auto"/>
            <w:vAlign w:val="bottom"/>
          </w:tcPr>
          <w:p w:rsidR="00F42556" w:rsidRPr="00E96CAB" w:rsidRDefault="00F42556" w:rsidP="00D21070">
            <w:pPr>
              <w:suppressLineNumbers/>
              <w:tabs>
                <w:tab w:val="left" w:pos="0"/>
              </w:tabs>
              <w:jc w:val="center"/>
              <w:outlineLvl w:val="0"/>
              <w:rPr>
                <w:b/>
                <w:bCs/>
                <w:sz w:val="22"/>
                <w:szCs w:val="22"/>
              </w:rPr>
            </w:pPr>
            <w:r w:rsidRPr="00E96CAB">
              <w:rPr>
                <w:b/>
                <w:bCs/>
                <w:sz w:val="22"/>
                <w:szCs w:val="22"/>
              </w:rPr>
              <w:t>Preferred Term</w:t>
            </w:r>
          </w:p>
        </w:tc>
        <w:tc>
          <w:tcPr>
            <w:tcW w:w="1262" w:type="dxa"/>
            <w:tcBorders>
              <w:top w:val="nil"/>
              <w:left w:val="single" w:sz="2" w:space="0" w:color="4F493B"/>
              <w:bottom w:val="single" w:sz="2" w:space="0" w:color="4F493B"/>
              <w:right w:val="single" w:sz="2" w:space="0" w:color="4F493B"/>
            </w:tcBorders>
            <w:shd w:val="clear" w:color="auto" w:fill="auto"/>
            <w:vAlign w:val="bottom"/>
          </w:tcPr>
          <w:p w:rsidR="00F42556" w:rsidRPr="00E96CAB" w:rsidRDefault="00F42556" w:rsidP="00D21070">
            <w:pPr>
              <w:suppressLineNumbers/>
              <w:tabs>
                <w:tab w:val="left" w:pos="0"/>
              </w:tabs>
              <w:jc w:val="center"/>
              <w:outlineLvl w:val="0"/>
              <w:rPr>
                <w:b/>
                <w:bCs/>
                <w:sz w:val="22"/>
                <w:szCs w:val="22"/>
              </w:rPr>
            </w:pPr>
            <w:r w:rsidRPr="00E96CAB">
              <w:rPr>
                <w:b/>
                <w:bCs/>
                <w:sz w:val="22"/>
                <w:szCs w:val="22"/>
              </w:rPr>
              <w:t>N=738</w:t>
            </w:r>
          </w:p>
        </w:tc>
        <w:tc>
          <w:tcPr>
            <w:tcW w:w="1262" w:type="dxa"/>
            <w:tcBorders>
              <w:top w:val="nil"/>
              <w:left w:val="single" w:sz="2" w:space="0" w:color="4F493B"/>
              <w:bottom w:val="single" w:sz="2" w:space="0" w:color="4F493B"/>
              <w:right w:val="single" w:sz="2" w:space="0" w:color="4F493B"/>
            </w:tcBorders>
            <w:shd w:val="clear" w:color="auto" w:fill="auto"/>
            <w:vAlign w:val="bottom"/>
          </w:tcPr>
          <w:p w:rsidR="00F42556" w:rsidRPr="00E96CAB" w:rsidRDefault="00F42556" w:rsidP="00D21070">
            <w:pPr>
              <w:suppressLineNumbers/>
              <w:tabs>
                <w:tab w:val="left" w:pos="0"/>
              </w:tabs>
              <w:jc w:val="center"/>
              <w:outlineLvl w:val="0"/>
              <w:rPr>
                <w:b/>
                <w:bCs/>
                <w:sz w:val="22"/>
                <w:szCs w:val="22"/>
              </w:rPr>
            </w:pPr>
            <w:r w:rsidRPr="00E96CAB">
              <w:rPr>
                <w:b/>
                <w:bCs/>
                <w:sz w:val="22"/>
                <w:szCs w:val="22"/>
              </w:rPr>
              <w:t>N=370</w:t>
            </w:r>
          </w:p>
        </w:tc>
      </w:tr>
      <w:tr w:rsidR="00F42556" w:rsidRPr="00E96CAB" w:rsidTr="00D21070">
        <w:trPr>
          <w:cantSplit/>
          <w:jc w:val="center"/>
        </w:trPr>
        <w:tc>
          <w:tcPr>
            <w:tcW w:w="4331"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outlineLvl w:val="0"/>
              <w:rPr>
                <w:bCs/>
                <w:sz w:val="22"/>
                <w:szCs w:val="22"/>
              </w:rPr>
            </w:pPr>
            <w:r w:rsidRPr="00E96CAB">
              <w:rPr>
                <w:bCs/>
                <w:sz w:val="22"/>
                <w:szCs w:val="22"/>
              </w:rPr>
              <w:t>Infective pulmonary exacerbation of cystic fibrosis</w:t>
            </w:r>
          </w:p>
        </w:tc>
        <w:tc>
          <w:tcPr>
            <w:tcW w:w="1262"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jc w:val="center"/>
              <w:outlineLvl w:val="0"/>
              <w:rPr>
                <w:bCs/>
                <w:sz w:val="22"/>
                <w:szCs w:val="22"/>
              </w:rPr>
            </w:pPr>
            <w:r w:rsidRPr="00E96CAB">
              <w:rPr>
                <w:bCs/>
                <w:sz w:val="22"/>
                <w:szCs w:val="22"/>
              </w:rPr>
              <w:t>277 (37.5)</w:t>
            </w:r>
          </w:p>
        </w:tc>
        <w:tc>
          <w:tcPr>
            <w:tcW w:w="1262"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jc w:val="center"/>
              <w:outlineLvl w:val="0"/>
              <w:rPr>
                <w:bCs/>
                <w:sz w:val="22"/>
                <w:szCs w:val="22"/>
              </w:rPr>
            </w:pPr>
            <w:r w:rsidRPr="00E96CAB">
              <w:rPr>
                <w:bCs/>
                <w:sz w:val="22"/>
                <w:szCs w:val="22"/>
              </w:rPr>
              <w:t>182 (49.2)</w:t>
            </w:r>
          </w:p>
        </w:tc>
      </w:tr>
      <w:tr w:rsidR="00F42556" w:rsidRPr="00E96CAB" w:rsidTr="00D21070">
        <w:trPr>
          <w:cantSplit/>
          <w:jc w:val="center"/>
        </w:trPr>
        <w:tc>
          <w:tcPr>
            <w:tcW w:w="4331"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outlineLvl w:val="0"/>
              <w:rPr>
                <w:bCs/>
                <w:sz w:val="22"/>
                <w:szCs w:val="22"/>
              </w:rPr>
            </w:pPr>
            <w:r w:rsidRPr="00E96CAB">
              <w:rPr>
                <w:bCs/>
                <w:sz w:val="22"/>
                <w:szCs w:val="22"/>
              </w:rPr>
              <w:t>Cough</w:t>
            </w:r>
          </w:p>
        </w:tc>
        <w:tc>
          <w:tcPr>
            <w:tcW w:w="1262"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jc w:val="center"/>
              <w:outlineLvl w:val="0"/>
              <w:rPr>
                <w:bCs/>
                <w:sz w:val="22"/>
                <w:szCs w:val="22"/>
              </w:rPr>
            </w:pPr>
            <w:r w:rsidRPr="00E96CAB">
              <w:rPr>
                <w:bCs/>
                <w:sz w:val="22"/>
                <w:szCs w:val="22"/>
              </w:rPr>
              <w:t>225 (30.5)</w:t>
            </w:r>
          </w:p>
        </w:tc>
        <w:tc>
          <w:tcPr>
            <w:tcW w:w="1262"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jc w:val="center"/>
              <w:outlineLvl w:val="0"/>
              <w:rPr>
                <w:bCs/>
                <w:sz w:val="22"/>
                <w:szCs w:val="22"/>
              </w:rPr>
            </w:pPr>
            <w:r w:rsidRPr="00E96CAB">
              <w:rPr>
                <w:bCs/>
                <w:sz w:val="22"/>
                <w:szCs w:val="22"/>
              </w:rPr>
              <w:t>148 (40.0)</w:t>
            </w:r>
          </w:p>
        </w:tc>
      </w:tr>
      <w:tr w:rsidR="00F42556" w:rsidRPr="00E96CAB" w:rsidTr="00D21070">
        <w:trPr>
          <w:cantSplit/>
          <w:jc w:val="center"/>
        </w:trPr>
        <w:tc>
          <w:tcPr>
            <w:tcW w:w="4331"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outlineLvl w:val="0"/>
              <w:rPr>
                <w:bCs/>
                <w:sz w:val="22"/>
                <w:szCs w:val="22"/>
              </w:rPr>
            </w:pPr>
            <w:r w:rsidRPr="00E96CAB">
              <w:rPr>
                <w:bCs/>
                <w:sz w:val="22"/>
                <w:szCs w:val="22"/>
              </w:rPr>
              <w:t>Headache</w:t>
            </w:r>
          </w:p>
        </w:tc>
        <w:tc>
          <w:tcPr>
            <w:tcW w:w="1262"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jc w:val="center"/>
              <w:outlineLvl w:val="0"/>
              <w:rPr>
                <w:bCs/>
                <w:sz w:val="22"/>
                <w:szCs w:val="22"/>
              </w:rPr>
            </w:pPr>
            <w:r w:rsidRPr="00E96CAB">
              <w:rPr>
                <w:bCs/>
                <w:sz w:val="22"/>
                <w:szCs w:val="22"/>
              </w:rPr>
              <w:t>116 (15.7)</w:t>
            </w:r>
          </w:p>
        </w:tc>
        <w:tc>
          <w:tcPr>
            <w:tcW w:w="1262"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jc w:val="center"/>
              <w:outlineLvl w:val="0"/>
              <w:rPr>
                <w:bCs/>
                <w:sz w:val="22"/>
                <w:szCs w:val="22"/>
              </w:rPr>
            </w:pPr>
            <w:r w:rsidRPr="00E96CAB">
              <w:rPr>
                <w:bCs/>
                <w:sz w:val="22"/>
                <w:szCs w:val="22"/>
              </w:rPr>
              <w:t>58 (15.7)</w:t>
            </w:r>
          </w:p>
        </w:tc>
      </w:tr>
      <w:tr w:rsidR="00F42556" w:rsidRPr="00E96CAB" w:rsidTr="00D21070">
        <w:trPr>
          <w:cantSplit/>
          <w:jc w:val="center"/>
        </w:trPr>
        <w:tc>
          <w:tcPr>
            <w:tcW w:w="4331"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outlineLvl w:val="0"/>
              <w:rPr>
                <w:bCs/>
                <w:sz w:val="22"/>
                <w:szCs w:val="22"/>
              </w:rPr>
            </w:pPr>
            <w:r w:rsidRPr="00E96CAB">
              <w:rPr>
                <w:bCs/>
                <w:sz w:val="22"/>
                <w:szCs w:val="22"/>
              </w:rPr>
              <w:t>Sputum increased</w:t>
            </w:r>
          </w:p>
        </w:tc>
        <w:tc>
          <w:tcPr>
            <w:tcW w:w="1262"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jc w:val="center"/>
              <w:outlineLvl w:val="0"/>
              <w:rPr>
                <w:bCs/>
                <w:sz w:val="22"/>
                <w:szCs w:val="22"/>
              </w:rPr>
            </w:pPr>
            <w:r w:rsidRPr="00E96CAB">
              <w:rPr>
                <w:bCs/>
                <w:sz w:val="22"/>
                <w:szCs w:val="22"/>
              </w:rPr>
              <w:t>109 (14.8)</w:t>
            </w:r>
          </w:p>
        </w:tc>
        <w:tc>
          <w:tcPr>
            <w:tcW w:w="1262"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jc w:val="center"/>
              <w:outlineLvl w:val="0"/>
              <w:rPr>
                <w:bCs/>
                <w:sz w:val="22"/>
                <w:szCs w:val="22"/>
              </w:rPr>
            </w:pPr>
            <w:r w:rsidRPr="00E96CAB">
              <w:rPr>
                <w:bCs/>
                <w:sz w:val="22"/>
                <w:szCs w:val="22"/>
              </w:rPr>
              <w:t>70 (18.9)</w:t>
            </w:r>
          </w:p>
        </w:tc>
      </w:tr>
      <w:tr w:rsidR="00F42556" w:rsidRPr="00E96CAB" w:rsidTr="00D21070">
        <w:trPr>
          <w:cantSplit/>
          <w:jc w:val="center"/>
        </w:trPr>
        <w:tc>
          <w:tcPr>
            <w:tcW w:w="4331"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outlineLvl w:val="0"/>
              <w:rPr>
                <w:bCs/>
                <w:sz w:val="22"/>
                <w:szCs w:val="22"/>
              </w:rPr>
            </w:pPr>
            <w:proofErr w:type="spellStart"/>
            <w:r w:rsidRPr="00E96CAB">
              <w:rPr>
                <w:bCs/>
                <w:sz w:val="22"/>
                <w:szCs w:val="22"/>
              </w:rPr>
              <w:t>Dyspnoea</w:t>
            </w:r>
            <w:proofErr w:type="spellEnd"/>
          </w:p>
        </w:tc>
        <w:tc>
          <w:tcPr>
            <w:tcW w:w="1262"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jc w:val="center"/>
              <w:outlineLvl w:val="0"/>
              <w:rPr>
                <w:bCs/>
                <w:sz w:val="22"/>
                <w:szCs w:val="22"/>
              </w:rPr>
            </w:pPr>
            <w:r w:rsidRPr="00E96CAB">
              <w:rPr>
                <w:bCs/>
                <w:sz w:val="22"/>
                <w:szCs w:val="22"/>
              </w:rPr>
              <w:t>103 (14.0)</w:t>
            </w:r>
          </w:p>
        </w:tc>
        <w:tc>
          <w:tcPr>
            <w:tcW w:w="1262"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jc w:val="center"/>
              <w:outlineLvl w:val="0"/>
              <w:rPr>
                <w:bCs/>
                <w:sz w:val="22"/>
                <w:szCs w:val="22"/>
              </w:rPr>
            </w:pPr>
            <w:r w:rsidRPr="00E96CAB">
              <w:rPr>
                <w:bCs/>
                <w:sz w:val="22"/>
                <w:szCs w:val="22"/>
              </w:rPr>
              <w:t>29 (7.8)</w:t>
            </w:r>
          </w:p>
        </w:tc>
      </w:tr>
      <w:tr w:rsidR="00F42556" w:rsidRPr="00E96CAB" w:rsidTr="00D21070">
        <w:trPr>
          <w:cantSplit/>
          <w:jc w:val="center"/>
        </w:trPr>
        <w:tc>
          <w:tcPr>
            <w:tcW w:w="4331"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outlineLvl w:val="0"/>
              <w:rPr>
                <w:bCs/>
                <w:sz w:val="22"/>
                <w:szCs w:val="22"/>
              </w:rPr>
            </w:pPr>
            <w:proofErr w:type="spellStart"/>
            <w:r w:rsidRPr="00E96CAB">
              <w:rPr>
                <w:bCs/>
                <w:sz w:val="22"/>
                <w:szCs w:val="22"/>
              </w:rPr>
              <w:t>Haemoptysis</w:t>
            </w:r>
            <w:proofErr w:type="spellEnd"/>
          </w:p>
        </w:tc>
        <w:tc>
          <w:tcPr>
            <w:tcW w:w="1262"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jc w:val="center"/>
              <w:outlineLvl w:val="0"/>
              <w:rPr>
                <w:bCs/>
                <w:sz w:val="22"/>
                <w:szCs w:val="22"/>
              </w:rPr>
            </w:pPr>
            <w:r w:rsidRPr="00E96CAB">
              <w:rPr>
                <w:bCs/>
                <w:sz w:val="22"/>
                <w:szCs w:val="22"/>
              </w:rPr>
              <w:t>102 (13.8)</w:t>
            </w:r>
          </w:p>
        </w:tc>
        <w:tc>
          <w:tcPr>
            <w:tcW w:w="1262"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jc w:val="center"/>
              <w:outlineLvl w:val="0"/>
              <w:rPr>
                <w:bCs/>
                <w:sz w:val="22"/>
                <w:szCs w:val="22"/>
              </w:rPr>
            </w:pPr>
            <w:r w:rsidRPr="00E96CAB">
              <w:rPr>
                <w:bCs/>
                <w:sz w:val="22"/>
                <w:szCs w:val="22"/>
              </w:rPr>
              <w:t>50 (13.5)</w:t>
            </w:r>
          </w:p>
        </w:tc>
      </w:tr>
      <w:tr w:rsidR="00F42556" w:rsidRPr="00E96CAB" w:rsidTr="00D21070">
        <w:trPr>
          <w:cantSplit/>
          <w:jc w:val="center"/>
        </w:trPr>
        <w:tc>
          <w:tcPr>
            <w:tcW w:w="4331"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outlineLvl w:val="0"/>
              <w:rPr>
                <w:bCs/>
                <w:sz w:val="22"/>
                <w:szCs w:val="22"/>
              </w:rPr>
            </w:pPr>
            <w:proofErr w:type="spellStart"/>
            <w:r w:rsidRPr="00E96CAB">
              <w:rPr>
                <w:bCs/>
                <w:sz w:val="22"/>
                <w:szCs w:val="22"/>
              </w:rPr>
              <w:t>Diarrhoea</w:t>
            </w:r>
            <w:proofErr w:type="spellEnd"/>
          </w:p>
        </w:tc>
        <w:tc>
          <w:tcPr>
            <w:tcW w:w="1262"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jc w:val="center"/>
              <w:outlineLvl w:val="0"/>
              <w:rPr>
                <w:bCs/>
                <w:sz w:val="22"/>
                <w:szCs w:val="22"/>
              </w:rPr>
            </w:pPr>
            <w:r w:rsidRPr="00E96CAB">
              <w:rPr>
                <w:bCs/>
                <w:sz w:val="22"/>
                <w:szCs w:val="22"/>
              </w:rPr>
              <w:t>81 (11.0)</w:t>
            </w:r>
          </w:p>
        </w:tc>
        <w:tc>
          <w:tcPr>
            <w:tcW w:w="1262"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jc w:val="center"/>
              <w:outlineLvl w:val="0"/>
              <w:rPr>
                <w:bCs/>
                <w:sz w:val="22"/>
                <w:szCs w:val="22"/>
              </w:rPr>
            </w:pPr>
            <w:r w:rsidRPr="00E96CAB">
              <w:rPr>
                <w:bCs/>
                <w:sz w:val="22"/>
                <w:szCs w:val="22"/>
              </w:rPr>
              <w:t>31 (8.4)</w:t>
            </w:r>
          </w:p>
        </w:tc>
      </w:tr>
      <w:tr w:rsidR="00F42556" w:rsidRPr="00E96CAB" w:rsidTr="00D21070">
        <w:trPr>
          <w:cantSplit/>
          <w:jc w:val="center"/>
        </w:trPr>
        <w:tc>
          <w:tcPr>
            <w:tcW w:w="4331"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outlineLvl w:val="0"/>
              <w:rPr>
                <w:bCs/>
                <w:sz w:val="22"/>
                <w:szCs w:val="22"/>
              </w:rPr>
            </w:pPr>
            <w:r w:rsidRPr="00E96CAB">
              <w:rPr>
                <w:bCs/>
                <w:sz w:val="22"/>
                <w:szCs w:val="22"/>
              </w:rPr>
              <w:t>Nausea</w:t>
            </w:r>
          </w:p>
        </w:tc>
        <w:tc>
          <w:tcPr>
            <w:tcW w:w="1262"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jc w:val="center"/>
              <w:outlineLvl w:val="0"/>
              <w:rPr>
                <w:bCs/>
                <w:sz w:val="22"/>
                <w:szCs w:val="22"/>
              </w:rPr>
            </w:pPr>
            <w:r w:rsidRPr="00E96CAB">
              <w:rPr>
                <w:bCs/>
                <w:sz w:val="22"/>
                <w:szCs w:val="22"/>
              </w:rPr>
              <w:t>75 (10.2)</w:t>
            </w:r>
          </w:p>
        </w:tc>
        <w:tc>
          <w:tcPr>
            <w:tcW w:w="1262"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jc w:val="center"/>
              <w:outlineLvl w:val="0"/>
              <w:rPr>
                <w:bCs/>
                <w:sz w:val="22"/>
                <w:szCs w:val="22"/>
              </w:rPr>
            </w:pPr>
            <w:r w:rsidRPr="00E96CAB">
              <w:rPr>
                <w:bCs/>
                <w:sz w:val="22"/>
                <w:szCs w:val="22"/>
              </w:rPr>
              <w:t>28 (7.6)</w:t>
            </w:r>
          </w:p>
        </w:tc>
      </w:tr>
      <w:tr w:rsidR="00F42556" w:rsidRPr="00E96CAB" w:rsidTr="00D21070">
        <w:trPr>
          <w:cantSplit/>
          <w:jc w:val="center"/>
        </w:trPr>
        <w:tc>
          <w:tcPr>
            <w:tcW w:w="4331"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outlineLvl w:val="0"/>
              <w:rPr>
                <w:bCs/>
                <w:sz w:val="22"/>
                <w:szCs w:val="22"/>
              </w:rPr>
            </w:pPr>
            <w:proofErr w:type="spellStart"/>
            <w:r w:rsidRPr="00E96CAB">
              <w:rPr>
                <w:bCs/>
                <w:sz w:val="22"/>
                <w:szCs w:val="22"/>
              </w:rPr>
              <w:t>Nasopharyngitis</w:t>
            </w:r>
            <w:proofErr w:type="spellEnd"/>
          </w:p>
        </w:tc>
        <w:tc>
          <w:tcPr>
            <w:tcW w:w="1262"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jc w:val="center"/>
              <w:outlineLvl w:val="0"/>
              <w:rPr>
                <w:bCs/>
                <w:sz w:val="22"/>
                <w:szCs w:val="22"/>
              </w:rPr>
            </w:pPr>
            <w:r w:rsidRPr="00E96CAB">
              <w:rPr>
                <w:bCs/>
                <w:sz w:val="22"/>
                <w:szCs w:val="22"/>
              </w:rPr>
              <w:t>71 (9.6)</w:t>
            </w:r>
          </w:p>
        </w:tc>
        <w:tc>
          <w:tcPr>
            <w:tcW w:w="1262"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jc w:val="center"/>
              <w:outlineLvl w:val="0"/>
              <w:rPr>
                <w:bCs/>
                <w:sz w:val="22"/>
                <w:szCs w:val="22"/>
              </w:rPr>
            </w:pPr>
            <w:r w:rsidRPr="00E96CAB">
              <w:rPr>
                <w:bCs/>
                <w:sz w:val="22"/>
                <w:szCs w:val="22"/>
              </w:rPr>
              <w:t>40 (10.8)</w:t>
            </w:r>
          </w:p>
        </w:tc>
      </w:tr>
      <w:tr w:rsidR="00F42556" w:rsidRPr="00E96CAB" w:rsidTr="00D21070">
        <w:trPr>
          <w:cantSplit/>
          <w:jc w:val="center"/>
        </w:trPr>
        <w:tc>
          <w:tcPr>
            <w:tcW w:w="4331"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outlineLvl w:val="0"/>
              <w:rPr>
                <w:bCs/>
                <w:sz w:val="22"/>
                <w:szCs w:val="22"/>
              </w:rPr>
            </w:pPr>
            <w:r w:rsidRPr="00E96CAB">
              <w:rPr>
                <w:bCs/>
                <w:sz w:val="22"/>
                <w:szCs w:val="22"/>
              </w:rPr>
              <w:t>Nasal congestion</w:t>
            </w:r>
          </w:p>
        </w:tc>
        <w:tc>
          <w:tcPr>
            <w:tcW w:w="1262"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jc w:val="center"/>
              <w:outlineLvl w:val="0"/>
              <w:rPr>
                <w:bCs/>
                <w:sz w:val="22"/>
                <w:szCs w:val="22"/>
              </w:rPr>
            </w:pPr>
            <w:r w:rsidRPr="00E96CAB">
              <w:rPr>
                <w:bCs/>
                <w:sz w:val="22"/>
                <w:szCs w:val="22"/>
              </w:rPr>
              <w:t>57 (7.7)</w:t>
            </w:r>
          </w:p>
        </w:tc>
        <w:tc>
          <w:tcPr>
            <w:tcW w:w="1262" w:type="dxa"/>
            <w:tcBorders>
              <w:top w:val="nil"/>
              <w:left w:val="single" w:sz="2" w:space="0" w:color="4F493B"/>
              <w:bottom w:val="single" w:sz="2" w:space="0" w:color="4F493B"/>
              <w:right w:val="single" w:sz="2" w:space="0" w:color="4F493B"/>
            </w:tcBorders>
            <w:shd w:val="clear" w:color="auto" w:fill="auto"/>
          </w:tcPr>
          <w:p w:rsidR="00F42556" w:rsidRPr="00E96CAB" w:rsidRDefault="00F42556" w:rsidP="00D21070">
            <w:pPr>
              <w:suppressLineNumbers/>
              <w:tabs>
                <w:tab w:val="left" w:pos="0"/>
              </w:tabs>
              <w:jc w:val="center"/>
              <w:outlineLvl w:val="0"/>
              <w:rPr>
                <w:bCs/>
                <w:sz w:val="22"/>
                <w:szCs w:val="22"/>
              </w:rPr>
            </w:pPr>
            <w:r w:rsidRPr="00E96CAB">
              <w:rPr>
                <w:bCs/>
                <w:sz w:val="22"/>
                <w:szCs w:val="22"/>
              </w:rPr>
              <w:t>44 (11.9)</w:t>
            </w:r>
          </w:p>
        </w:tc>
      </w:tr>
    </w:tbl>
    <w:p w:rsidR="00F42556" w:rsidRPr="00E96CAB" w:rsidRDefault="00F42556" w:rsidP="00F42556">
      <w:pPr>
        <w:rPr>
          <w:bCs/>
          <w:sz w:val="22"/>
          <w:szCs w:val="22"/>
        </w:rPr>
      </w:pPr>
    </w:p>
    <w:p w:rsidR="00F42556" w:rsidRPr="00E96CAB" w:rsidRDefault="00F42556" w:rsidP="00F42556">
      <w:pPr>
        <w:pStyle w:val="labeltext"/>
        <w:rPr>
          <w:u w:val="single"/>
        </w:rPr>
      </w:pPr>
      <w:r w:rsidRPr="00E96CAB">
        <w:rPr>
          <w:u w:val="single"/>
        </w:rPr>
        <w:t>Tabulated List of Adverse Reactions</w:t>
      </w:r>
    </w:p>
    <w:p w:rsidR="00F42556" w:rsidRPr="00E96CAB" w:rsidRDefault="00F42556" w:rsidP="00F42556">
      <w:pPr>
        <w:pStyle w:val="labeltext"/>
      </w:pPr>
      <w:r w:rsidRPr="00E96CAB">
        <w:t xml:space="preserve">Adverse reactions identified in patients aged 12 years and older who are homozygous for the </w:t>
      </w:r>
      <w:r w:rsidRPr="00E96CAB">
        <w:rPr>
          <w:i/>
        </w:rPr>
        <w:t xml:space="preserve">F508del </w:t>
      </w:r>
      <w:r w:rsidRPr="00E96CAB">
        <w:t xml:space="preserve">mutation in the </w:t>
      </w:r>
      <w:r w:rsidRPr="00E96CAB">
        <w:rPr>
          <w:i/>
        </w:rPr>
        <w:t>CFTR</w:t>
      </w:r>
      <w:r w:rsidRPr="00E96CAB">
        <w:t xml:space="preserve"> gene are presented in Table 3 and are listed by system organ class, preferred term, and frequency. Adverse reactions are ranked under the </w:t>
      </w:r>
      <w:proofErr w:type="spellStart"/>
      <w:r w:rsidRPr="00E96CAB">
        <w:t>MedDRA</w:t>
      </w:r>
      <w:proofErr w:type="spellEnd"/>
      <w:r w:rsidRPr="00E96CAB">
        <w:t xml:space="preserve"> </w:t>
      </w:r>
      <w:r w:rsidRPr="00E96CAB">
        <w:lastRenderedPageBreak/>
        <w:t>frequency classification: very common (≥1/10); common (≥1/100 to &lt;1/10); uncommon (≥1/1,000 to &lt;1/100); rare (≥1/10,000 to &lt;1/1,000); very rare (&lt;1/10,000); and not known (frequency cannot be estimated using the available data).</w:t>
      </w:r>
    </w:p>
    <w:p w:rsidR="00F42556" w:rsidRPr="00E96CAB" w:rsidRDefault="00F42556" w:rsidP="00F42556">
      <w:pPr>
        <w:pStyle w:val="labeltext"/>
      </w:pPr>
    </w:p>
    <w:tbl>
      <w:tblPr>
        <w:tblW w:w="48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1484"/>
        <w:gridCol w:w="4124"/>
      </w:tblGrid>
      <w:tr w:rsidR="00F42556" w:rsidRPr="00E96CAB" w:rsidTr="00D21070">
        <w:trPr>
          <w:cantSplit/>
          <w:trHeight w:val="571"/>
        </w:trPr>
        <w:tc>
          <w:tcPr>
            <w:tcW w:w="5000" w:type="pct"/>
            <w:gridSpan w:val="3"/>
            <w:hideMark/>
          </w:tcPr>
          <w:p w:rsidR="00F42556" w:rsidRPr="00E96CAB" w:rsidRDefault="00F42556" w:rsidP="00F42556">
            <w:pPr>
              <w:suppressLineNumbers/>
              <w:tabs>
                <w:tab w:val="left" w:pos="0"/>
              </w:tabs>
              <w:outlineLvl w:val="0"/>
              <w:rPr>
                <w:b/>
                <w:bCs/>
                <w:sz w:val="22"/>
                <w:szCs w:val="22"/>
              </w:rPr>
            </w:pPr>
            <w:r w:rsidRPr="00E96CAB">
              <w:rPr>
                <w:b/>
                <w:bCs/>
                <w:sz w:val="22"/>
                <w:szCs w:val="22"/>
              </w:rPr>
              <w:t xml:space="preserve">Table 3. Adverse Reactions in </w:t>
            </w:r>
            <w:proofErr w:type="spellStart"/>
            <w:r w:rsidRPr="00F42556">
              <w:rPr>
                <w:b/>
              </w:rPr>
              <w:t>lumacaftor</w:t>
            </w:r>
            <w:proofErr w:type="spellEnd"/>
            <w:r w:rsidRPr="00F42556">
              <w:rPr>
                <w:b/>
              </w:rPr>
              <w:t>/</w:t>
            </w:r>
            <w:proofErr w:type="spellStart"/>
            <w:r w:rsidRPr="00F42556">
              <w:rPr>
                <w:b/>
              </w:rPr>
              <w:t>ivacaftor</w:t>
            </w:r>
            <w:proofErr w:type="spellEnd"/>
            <w:r w:rsidRPr="00F42556">
              <w:rPr>
                <w:b/>
                <w:sz w:val="22"/>
                <w:szCs w:val="22"/>
              </w:rPr>
              <w:noBreakHyphen/>
            </w:r>
            <w:r w:rsidRPr="00E96CAB">
              <w:rPr>
                <w:b/>
                <w:bCs/>
                <w:sz w:val="22"/>
                <w:szCs w:val="22"/>
              </w:rPr>
              <w:t xml:space="preserve">treated Patients Aged 12 Years and Older Who Are Homozygous for the </w:t>
            </w:r>
            <w:r w:rsidRPr="00E96CAB">
              <w:rPr>
                <w:b/>
                <w:bCs/>
                <w:i/>
                <w:sz w:val="22"/>
                <w:szCs w:val="22"/>
              </w:rPr>
              <w:t>F508del</w:t>
            </w:r>
            <w:r w:rsidRPr="00E96CAB">
              <w:rPr>
                <w:b/>
                <w:bCs/>
                <w:sz w:val="22"/>
                <w:szCs w:val="22"/>
              </w:rPr>
              <w:t xml:space="preserve"> Mutation in the </w:t>
            </w:r>
            <w:r w:rsidRPr="00E96CAB">
              <w:rPr>
                <w:b/>
                <w:bCs/>
                <w:i/>
                <w:sz w:val="22"/>
                <w:szCs w:val="22"/>
              </w:rPr>
              <w:t>CFTR</w:t>
            </w:r>
            <w:r w:rsidRPr="00E96CAB">
              <w:rPr>
                <w:b/>
                <w:bCs/>
                <w:sz w:val="22"/>
                <w:szCs w:val="22"/>
              </w:rPr>
              <w:t xml:space="preserve"> Gene</w:t>
            </w:r>
          </w:p>
        </w:tc>
      </w:tr>
      <w:tr w:rsidR="00F42556" w:rsidRPr="00E96CAB" w:rsidTr="00D21070">
        <w:trPr>
          <w:cantSplit/>
        </w:trPr>
        <w:tc>
          <w:tcPr>
            <w:tcW w:w="1607" w:type="pct"/>
            <w:hideMark/>
          </w:tcPr>
          <w:p w:rsidR="00F42556" w:rsidRPr="00E96CAB" w:rsidRDefault="00F42556" w:rsidP="00D21070">
            <w:pPr>
              <w:rPr>
                <w:sz w:val="22"/>
                <w:szCs w:val="22"/>
              </w:rPr>
            </w:pPr>
            <w:r w:rsidRPr="00E96CAB">
              <w:rPr>
                <w:b/>
                <w:bCs/>
                <w:sz w:val="22"/>
                <w:szCs w:val="22"/>
              </w:rPr>
              <w:t>System Organ Class</w:t>
            </w:r>
          </w:p>
        </w:tc>
        <w:tc>
          <w:tcPr>
            <w:tcW w:w="898" w:type="pct"/>
            <w:hideMark/>
          </w:tcPr>
          <w:p w:rsidR="00F42556" w:rsidRPr="00E96CAB" w:rsidRDefault="00F42556" w:rsidP="00D21070">
            <w:pPr>
              <w:jc w:val="center"/>
              <w:rPr>
                <w:b/>
                <w:bCs/>
                <w:sz w:val="22"/>
                <w:szCs w:val="22"/>
                <w:lang w:val="nl-BE"/>
              </w:rPr>
            </w:pPr>
            <w:r w:rsidRPr="00E96CAB">
              <w:rPr>
                <w:b/>
                <w:bCs/>
                <w:sz w:val="22"/>
                <w:szCs w:val="22"/>
                <w:lang w:val="nl-BE"/>
              </w:rPr>
              <w:t>Frequency Category</w:t>
            </w:r>
          </w:p>
        </w:tc>
        <w:tc>
          <w:tcPr>
            <w:tcW w:w="2495" w:type="pct"/>
            <w:hideMark/>
          </w:tcPr>
          <w:p w:rsidR="00F42556" w:rsidRPr="00E96CAB" w:rsidRDefault="00F42556" w:rsidP="00D21070">
            <w:pPr>
              <w:jc w:val="center"/>
              <w:rPr>
                <w:sz w:val="22"/>
                <w:szCs w:val="22"/>
              </w:rPr>
            </w:pPr>
            <w:r w:rsidRPr="00E96CAB">
              <w:rPr>
                <w:b/>
                <w:bCs/>
                <w:sz w:val="22"/>
                <w:szCs w:val="22"/>
              </w:rPr>
              <w:t>Adverse Reactions</w:t>
            </w:r>
          </w:p>
          <w:p w:rsidR="00F42556" w:rsidRPr="00E96CAB" w:rsidRDefault="00F42556" w:rsidP="00D21070">
            <w:pPr>
              <w:jc w:val="center"/>
              <w:rPr>
                <w:b/>
                <w:bCs/>
                <w:sz w:val="22"/>
                <w:szCs w:val="22"/>
              </w:rPr>
            </w:pPr>
            <w:r w:rsidRPr="00E96CAB">
              <w:rPr>
                <w:sz w:val="22"/>
                <w:szCs w:val="22"/>
              </w:rPr>
              <w:t>(</w:t>
            </w:r>
            <w:r w:rsidRPr="00E96CAB">
              <w:rPr>
                <w:b/>
                <w:bCs/>
                <w:sz w:val="22"/>
                <w:szCs w:val="22"/>
              </w:rPr>
              <w:t>Preferred term)</w:t>
            </w:r>
          </w:p>
          <w:p w:rsidR="00F42556" w:rsidRPr="00E96CAB" w:rsidRDefault="00F42556" w:rsidP="00D21070">
            <w:pPr>
              <w:jc w:val="center"/>
              <w:rPr>
                <w:b/>
                <w:bCs/>
                <w:sz w:val="22"/>
                <w:szCs w:val="22"/>
              </w:rPr>
            </w:pPr>
            <w:r w:rsidRPr="00E96CAB">
              <w:rPr>
                <w:b/>
                <w:bCs/>
                <w:sz w:val="22"/>
                <w:szCs w:val="22"/>
              </w:rPr>
              <w:t>N=738</w:t>
            </w:r>
          </w:p>
        </w:tc>
      </w:tr>
      <w:tr w:rsidR="00F42556" w:rsidRPr="00E96CAB" w:rsidTr="00D21070">
        <w:trPr>
          <w:cantSplit/>
        </w:trPr>
        <w:tc>
          <w:tcPr>
            <w:tcW w:w="1607" w:type="pct"/>
            <w:hideMark/>
          </w:tcPr>
          <w:p w:rsidR="00F42556" w:rsidRPr="00E96CAB" w:rsidRDefault="00F42556" w:rsidP="00D21070">
            <w:pPr>
              <w:adjustRightInd w:val="0"/>
              <w:spacing w:before="29" w:after="29"/>
              <w:rPr>
                <w:sz w:val="22"/>
                <w:szCs w:val="22"/>
              </w:rPr>
            </w:pPr>
            <w:r w:rsidRPr="00E96CAB">
              <w:rPr>
                <w:sz w:val="22"/>
                <w:szCs w:val="22"/>
              </w:rPr>
              <w:t>Infections and infestations</w:t>
            </w:r>
          </w:p>
        </w:tc>
        <w:tc>
          <w:tcPr>
            <w:tcW w:w="898" w:type="pct"/>
            <w:hideMark/>
          </w:tcPr>
          <w:p w:rsidR="00F42556" w:rsidRPr="00E96CAB" w:rsidRDefault="00F42556" w:rsidP="00D21070">
            <w:pPr>
              <w:adjustRightInd w:val="0"/>
              <w:spacing w:before="29" w:after="29"/>
              <w:rPr>
                <w:sz w:val="22"/>
                <w:szCs w:val="22"/>
              </w:rPr>
            </w:pPr>
            <w:r w:rsidRPr="00E96CAB">
              <w:rPr>
                <w:sz w:val="22"/>
                <w:szCs w:val="22"/>
              </w:rPr>
              <w:t>common</w:t>
            </w:r>
          </w:p>
        </w:tc>
        <w:tc>
          <w:tcPr>
            <w:tcW w:w="2495" w:type="pct"/>
            <w:hideMark/>
          </w:tcPr>
          <w:p w:rsidR="00F42556" w:rsidRPr="00E96CAB" w:rsidRDefault="00F42556" w:rsidP="00D21070">
            <w:pPr>
              <w:adjustRightInd w:val="0"/>
              <w:spacing w:before="29" w:after="29"/>
              <w:rPr>
                <w:b/>
                <w:sz w:val="22"/>
                <w:szCs w:val="22"/>
              </w:rPr>
            </w:pPr>
            <w:r w:rsidRPr="00E96CAB">
              <w:rPr>
                <w:sz w:val="22"/>
                <w:szCs w:val="22"/>
              </w:rPr>
              <w:t>Rhinitis, Upper respiratory tract infection</w:t>
            </w:r>
          </w:p>
        </w:tc>
      </w:tr>
      <w:tr w:rsidR="00F42556" w:rsidRPr="00F96FDD" w:rsidTr="00D21070">
        <w:trPr>
          <w:cantSplit/>
        </w:trPr>
        <w:tc>
          <w:tcPr>
            <w:tcW w:w="1607" w:type="pct"/>
          </w:tcPr>
          <w:p w:rsidR="00F42556" w:rsidRPr="00F96FDD" w:rsidRDefault="00F42556" w:rsidP="00D21070">
            <w:pPr>
              <w:adjustRightInd w:val="0"/>
              <w:spacing w:before="29" w:after="29"/>
              <w:rPr>
                <w:sz w:val="22"/>
                <w:szCs w:val="22"/>
              </w:rPr>
            </w:pPr>
            <w:r w:rsidRPr="00F96FDD">
              <w:rPr>
                <w:sz w:val="22"/>
                <w:szCs w:val="22"/>
              </w:rPr>
              <w:t>Vascular disorders</w:t>
            </w:r>
          </w:p>
        </w:tc>
        <w:tc>
          <w:tcPr>
            <w:tcW w:w="898" w:type="pct"/>
          </w:tcPr>
          <w:p w:rsidR="00F42556" w:rsidRPr="00F96FDD" w:rsidRDefault="00F42556" w:rsidP="00D21070">
            <w:pPr>
              <w:rPr>
                <w:sz w:val="22"/>
                <w:szCs w:val="22"/>
              </w:rPr>
            </w:pPr>
            <w:r w:rsidRPr="00F96FDD">
              <w:rPr>
                <w:sz w:val="22"/>
                <w:szCs w:val="22"/>
              </w:rPr>
              <w:t>uncommon</w:t>
            </w:r>
          </w:p>
        </w:tc>
        <w:tc>
          <w:tcPr>
            <w:tcW w:w="2495" w:type="pct"/>
          </w:tcPr>
          <w:p w:rsidR="00F42556" w:rsidRPr="00F96FDD" w:rsidRDefault="00F42556" w:rsidP="00D21070">
            <w:pPr>
              <w:rPr>
                <w:color w:val="000000"/>
                <w:sz w:val="22"/>
                <w:szCs w:val="22"/>
              </w:rPr>
            </w:pPr>
            <w:r w:rsidRPr="00F96FDD">
              <w:rPr>
                <w:color w:val="000000"/>
                <w:sz w:val="22"/>
                <w:szCs w:val="22"/>
              </w:rPr>
              <w:t>Hypertension</w:t>
            </w:r>
          </w:p>
        </w:tc>
      </w:tr>
      <w:tr w:rsidR="00F42556" w:rsidRPr="00E96CAB" w:rsidTr="00D21070">
        <w:trPr>
          <w:cantSplit/>
        </w:trPr>
        <w:tc>
          <w:tcPr>
            <w:tcW w:w="1607" w:type="pct"/>
            <w:vMerge w:val="restart"/>
            <w:hideMark/>
          </w:tcPr>
          <w:p w:rsidR="00F42556" w:rsidRPr="00E96CAB" w:rsidRDefault="00F42556" w:rsidP="00D21070">
            <w:pPr>
              <w:adjustRightInd w:val="0"/>
              <w:spacing w:before="29" w:after="29"/>
              <w:rPr>
                <w:sz w:val="22"/>
                <w:szCs w:val="22"/>
              </w:rPr>
            </w:pPr>
            <w:r w:rsidRPr="00E96CAB">
              <w:rPr>
                <w:sz w:val="22"/>
                <w:szCs w:val="22"/>
              </w:rPr>
              <w:t>Respiratory, thoracic and mediastinal disorders</w:t>
            </w:r>
          </w:p>
        </w:tc>
        <w:tc>
          <w:tcPr>
            <w:tcW w:w="898" w:type="pct"/>
            <w:hideMark/>
          </w:tcPr>
          <w:p w:rsidR="00F42556" w:rsidRPr="00E96CAB" w:rsidRDefault="00F42556" w:rsidP="00D21070">
            <w:pPr>
              <w:adjustRightInd w:val="0"/>
              <w:spacing w:before="29" w:after="29"/>
              <w:rPr>
                <w:sz w:val="22"/>
                <w:szCs w:val="22"/>
              </w:rPr>
            </w:pPr>
            <w:r w:rsidRPr="00E96CAB">
              <w:rPr>
                <w:sz w:val="22"/>
                <w:szCs w:val="22"/>
              </w:rPr>
              <w:t>very common</w:t>
            </w:r>
          </w:p>
        </w:tc>
        <w:tc>
          <w:tcPr>
            <w:tcW w:w="2495" w:type="pct"/>
            <w:hideMark/>
          </w:tcPr>
          <w:p w:rsidR="00F42556" w:rsidRPr="00E96CAB" w:rsidRDefault="00F42556" w:rsidP="00D21070">
            <w:pPr>
              <w:adjustRightInd w:val="0"/>
              <w:spacing w:before="29" w:after="29"/>
              <w:rPr>
                <w:sz w:val="22"/>
                <w:szCs w:val="22"/>
              </w:rPr>
            </w:pPr>
            <w:proofErr w:type="spellStart"/>
            <w:r w:rsidRPr="00E96CAB">
              <w:rPr>
                <w:sz w:val="22"/>
                <w:szCs w:val="22"/>
              </w:rPr>
              <w:t>Dyspnoea</w:t>
            </w:r>
            <w:proofErr w:type="spellEnd"/>
          </w:p>
        </w:tc>
      </w:tr>
      <w:tr w:rsidR="00F42556" w:rsidRPr="00E96CAB" w:rsidTr="00D21070">
        <w:trPr>
          <w:cantSplit/>
        </w:trPr>
        <w:tc>
          <w:tcPr>
            <w:tcW w:w="0" w:type="auto"/>
            <w:vMerge/>
            <w:vAlign w:val="center"/>
            <w:hideMark/>
          </w:tcPr>
          <w:p w:rsidR="00F42556" w:rsidRPr="00E96CAB" w:rsidRDefault="00F42556" w:rsidP="00D21070">
            <w:pPr>
              <w:rPr>
                <w:sz w:val="22"/>
                <w:szCs w:val="22"/>
              </w:rPr>
            </w:pPr>
          </w:p>
        </w:tc>
        <w:tc>
          <w:tcPr>
            <w:tcW w:w="898" w:type="pct"/>
            <w:hideMark/>
          </w:tcPr>
          <w:p w:rsidR="00F42556" w:rsidRPr="00E96CAB" w:rsidRDefault="00F42556" w:rsidP="00D21070">
            <w:pPr>
              <w:adjustRightInd w:val="0"/>
              <w:spacing w:before="29" w:after="29"/>
              <w:rPr>
                <w:sz w:val="22"/>
                <w:szCs w:val="22"/>
              </w:rPr>
            </w:pPr>
            <w:r w:rsidRPr="00E96CAB">
              <w:rPr>
                <w:sz w:val="22"/>
                <w:szCs w:val="22"/>
              </w:rPr>
              <w:t>common</w:t>
            </w:r>
          </w:p>
        </w:tc>
        <w:tc>
          <w:tcPr>
            <w:tcW w:w="2495" w:type="pct"/>
            <w:hideMark/>
          </w:tcPr>
          <w:p w:rsidR="00F42556" w:rsidRPr="00E96CAB" w:rsidRDefault="00F42556" w:rsidP="00D21070">
            <w:pPr>
              <w:adjustRightInd w:val="0"/>
              <w:spacing w:before="29" w:after="29"/>
              <w:rPr>
                <w:sz w:val="22"/>
                <w:szCs w:val="22"/>
              </w:rPr>
            </w:pPr>
            <w:r w:rsidRPr="00E96CAB">
              <w:rPr>
                <w:sz w:val="22"/>
                <w:szCs w:val="22"/>
              </w:rPr>
              <w:t xml:space="preserve">Respiration abnormal, Oropharyngeal pain, </w:t>
            </w:r>
            <w:proofErr w:type="spellStart"/>
            <w:r w:rsidRPr="00E96CAB">
              <w:rPr>
                <w:sz w:val="22"/>
                <w:szCs w:val="22"/>
              </w:rPr>
              <w:t>Rhinorrhoea</w:t>
            </w:r>
            <w:proofErr w:type="spellEnd"/>
          </w:p>
        </w:tc>
      </w:tr>
      <w:tr w:rsidR="00F42556" w:rsidRPr="00E96CAB" w:rsidTr="00D21070">
        <w:trPr>
          <w:cantSplit/>
        </w:trPr>
        <w:tc>
          <w:tcPr>
            <w:tcW w:w="1607" w:type="pct"/>
            <w:vMerge w:val="restart"/>
            <w:hideMark/>
          </w:tcPr>
          <w:p w:rsidR="00F42556" w:rsidRPr="00E96CAB" w:rsidRDefault="00F42556" w:rsidP="00D21070">
            <w:pPr>
              <w:adjustRightInd w:val="0"/>
              <w:spacing w:before="29" w:after="29"/>
              <w:rPr>
                <w:sz w:val="22"/>
                <w:szCs w:val="22"/>
              </w:rPr>
            </w:pPr>
            <w:r w:rsidRPr="00E96CAB">
              <w:rPr>
                <w:sz w:val="22"/>
                <w:szCs w:val="22"/>
              </w:rPr>
              <w:t>Gastrointestinal disorders</w:t>
            </w:r>
          </w:p>
        </w:tc>
        <w:tc>
          <w:tcPr>
            <w:tcW w:w="898" w:type="pct"/>
            <w:hideMark/>
          </w:tcPr>
          <w:p w:rsidR="00F42556" w:rsidRPr="00E96CAB" w:rsidRDefault="00F42556" w:rsidP="00D21070">
            <w:pPr>
              <w:adjustRightInd w:val="0"/>
              <w:spacing w:before="29" w:after="29"/>
              <w:rPr>
                <w:sz w:val="22"/>
                <w:szCs w:val="22"/>
              </w:rPr>
            </w:pPr>
            <w:r w:rsidRPr="00E96CAB">
              <w:rPr>
                <w:sz w:val="22"/>
                <w:szCs w:val="22"/>
              </w:rPr>
              <w:t>very common</w:t>
            </w:r>
          </w:p>
        </w:tc>
        <w:tc>
          <w:tcPr>
            <w:tcW w:w="2495" w:type="pct"/>
            <w:hideMark/>
          </w:tcPr>
          <w:p w:rsidR="00F42556" w:rsidRPr="00E96CAB" w:rsidRDefault="00F42556" w:rsidP="00D21070">
            <w:pPr>
              <w:adjustRightInd w:val="0"/>
              <w:spacing w:before="29" w:after="29"/>
              <w:rPr>
                <w:sz w:val="22"/>
                <w:szCs w:val="22"/>
              </w:rPr>
            </w:pPr>
            <w:proofErr w:type="spellStart"/>
            <w:r w:rsidRPr="00E96CAB">
              <w:rPr>
                <w:sz w:val="22"/>
                <w:szCs w:val="22"/>
              </w:rPr>
              <w:t>Diarrhoea</w:t>
            </w:r>
            <w:proofErr w:type="spellEnd"/>
            <w:r w:rsidRPr="00E96CAB">
              <w:rPr>
                <w:sz w:val="22"/>
                <w:szCs w:val="22"/>
              </w:rPr>
              <w:t>, Nausea</w:t>
            </w:r>
          </w:p>
        </w:tc>
      </w:tr>
      <w:tr w:rsidR="00F42556" w:rsidRPr="00E96CAB" w:rsidTr="00D21070">
        <w:trPr>
          <w:cantSplit/>
        </w:trPr>
        <w:tc>
          <w:tcPr>
            <w:tcW w:w="0" w:type="auto"/>
            <w:vMerge/>
            <w:vAlign w:val="center"/>
            <w:hideMark/>
          </w:tcPr>
          <w:p w:rsidR="00F42556" w:rsidRPr="00E96CAB" w:rsidRDefault="00F42556" w:rsidP="00D21070">
            <w:pPr>
              <w:rPr>
                <w:sz w:val="22"/>
                <w:szCs w:val="22"/>
              </w:rPr>
            </w:pPr>
          </w:p>
        </w:tc>
        <w:tc>
          <w:tcPr>
            <w:tcW w:w="898" w:type="pct"/>
            <w:hideMark/>
          </w:tcPr>
          <w:p w:rsidR="00F42556" w:rsidRPr="00E96CAB" w:rsidRDefault="00F42556" w:rsidP="00D21070">
            <w:pPr>
              <w:adjustRightInd w:val="0"/>
              <w:spacing w:before="29" w:after="29"/>
              <w:rPr>
                <w:sz w:val="22"/>
                <w:szCs w:val="22"/>
              </w:rPr>
            </w:pPr>
            <w:r w:rsidRPr="00E96CAB">
              <w:rPr>
                <w:sz w:val="22"/>
                <w:szCs w:val="22"/>
              </w:rPr>
              <w:t>common</w:t>
            </w:r>
          </w:p>
        </w:tc>
        <w:tc>
          <w:tcPr>
            <w:tcW w:w="2495" w:type="pct"/>
            <w:hideMark/>
          </w:tcPr>
          <w:p w:rsidR="00F42556" w:rsidRPr="00E96CAB" w:rsidRDefault="00F42556" w:rsidP="00D21070">
            <w:pPr>
              <w:adjustRightInd w:val="0"/>
              <w:spacing w:before="29" w:after="29"/>
              <w:rPr>
                <w:sz w:val="22"/>
                <w:szCs w:val="22"/>
              </w:rPr>
            </w:pPr>
            <w:r w:rsidRPr="00E96CAB">
              <w:rPr>
                <w:sz w:val="22"/>
                <w:szCs w:val="22"/>
              </w:rPr>
              <w:t>Flatulence, Vomiting</w:t>
            </w:r>
          </w:p>
        </w:tc>
      </w:tr>
      <w:tr w:rsidR="00F42556" w:rsidRPr="00E96CAB" w:rsidTr="00D21070">
        <w:trPr>
          <w:cantSplit/>
        </w:trPr>
        <w:tc>
          <w:tcPr>
            <w:tcW w:w="1607" w:type="pct"/>
            <w:vMerge w:val="restart"/>
            <w:hideMark/>
          </w:tcPr>
          <w:p w:rsidR="00F42556" w:rsidRPr="00E96CAB" w:rsidRDefault="00F42556" w:rsidP="00D21070">
            <w:pPr>
              <w:adjustRightInd w:val="0"/>
              <w:spacing w:before="29" w:after="29"/>
              <w:rPr>
                <w:sz w:val="22"/>
                <w:szCs w:val="22"/>
              </w:rPr>
            </w:pPr>
            <w:r w:rsidRPr="00E96CAB">
              <w:rPr>
                <w:sz w:val="22"/>
                <w:szCs w:val="22"/>
              </w:rPr>
              <w:t>Reproductive system and breast disorders</w:t>
            </w:r>
          </w:p>
        </w:tc>
        <w:tc>
          <w:tcPr>
            <w:tcW w:w="898" w:type="pct"/>
            <w:hideMark/>
          </w:tcPr>
          <w:p w:rsidR="00F42556" w:rsidRPr="00E96CAB" w:rsidRDefault="00F42556" w:rsidP="00D21070">
            <w:pPr>
              <w:adjustRightInd w:val="0"/>
              <w:spacing w:before="29" w:after="29"/>
              <w:rPr>
                <w:sz w:val="22"/>
                <w:szCs w:val="22"/>
              </w:rPr>
            </w:pPr>
            <w:r w:rsidRPr="00E96CAB">
              <w:rPr>
                <w:sz w:val="22"/>
                <w:szCs w:val="22"/>
              </w:rPr>
              <w:t>common</w:t>
            </w:r>
          </w:p>
        </w:tc>
        <w:tc>
          <w:tcPr>
            <w:tcW w:w="2495" w:type="pct"/>
            <w:hideMark/>
          </w:tcPr>
          <w:p w:rsidR="00F42556" w:rsidRPr="00E96CAB" w:rsidRDefault="00F42556" w:rsidP="00D21070">
            <w:pPr>
              <w:adjustRightInd w:val="0"/>
              <w:spacing w:before="29" w:after="29"/>
              <w:rPr>
                <w:sz w:val="22"/>
                <w:szCs w:val="22"/>
              </w:rPr>
            </w:pPr>
            <w:proofErr w:type="spellStart"/>
            <w:r w:rsidRPr="00E96CAB">
              <w:rPr>
                <w:sz w:val="22"/>
                <w:szCs w:val="22"/>
              </w:rPr>
              <w:t>Dysmenorrhoea</w:t>
            </w:r>
            <w:proofErr w:type="spellEnd"/>
            <w:r w:rsidRPr="00E96CAB">
              <w:rPr>
                <w:sz w:val="22"/>
                <w:szCs w:val="22"/>
              </w:rPr>
              <w:t xml:space="preserve">, Menstruation irregular, </w:t>
            </w:r>
            <w:proofErr w:type="spellStart"/>
            <w:r w:rsidRPr="00E96CAB">
              <w:rPr>
                <w:sz w:val="22"/>
                <w:szCs w:val="22"/>
              </w:rPr>
              <w:t>Metrorrhagia</w:t>
            </w:r>
            <w:proofErr w:type="spellEnd"/>
          </w:p>
        </w:tc>
      </w:tr>
      <w:tr w:rsidR="00F42556" w:rsidRPr="00E96CAB" w:rsidTr="00D21070">
        <w:trPr>
          <w:cantSplit/>
        </w:trPr>
        <w:tc>
          <w:tcPr>
            <w:tcW w:w="0" w:type="auto"/>
            <w:vMerge/>
            <w:vAlign w:val="center"/>
            <w:hideMark/>
          </w:tcPr>
          <w:p w:rsidR="00F42556" w:rsidRPr="00E96CAB" w:rsidRDefault="00F42556" w:rsidP="00D21070">
            <w:pPr>
              <w:rPr>
                <w:sz w:val="22"/>
                <w:szCs w:val="22"/>
              </w:rPr>
            </w:pPr>
          </w:p>
        </w:tc>
        <w:tc>
          <w:tcPr>
            <w:tcW w:w="898" w:type="pct"/>
            <w:hideMark/>
          </w:tcPr>
          <w:p w:rsidR="00F42556" w:rsidRPr="00E96CAB" w:rsidRDefault="00F42556" w:rsidP="00D21070">
            <w:pPr>
              <w:adjustRightInd w:val="0"/>
              <w:spacing w:before="29" w:after="29"/>
              <w:rPr>
                <w:sz w:val="22"/>
                <w:szCs w:val="22"/>
              </w:rPr>
            </w:pPr>
            <w:r w:rsidRPr="00E96CAB">
              <w:rPr>
                <w:sz w:val="22"/>
                <w:szCs w:val="22"/>
              </w:rPr>
              <w:t>uncommon</w:t>
            </w:r>
          </w:p>
        </w:tc>
        <w:tc>
          <w:tcPr>
            <w:tcW w:w="2495" w:type="pct"/>
            <w:hideMark/>
          </w:tcPr>
          <w:p w:rsidR="00F42556" w:rsidRPr="00E96CAB" w:rsidRDefault="00F42556" w:rsidP="00D21070">
            <w:pPr>
              <w:adjustRightInd w:val="0"/>
              <w:spacing w:before="29" w:after="29"/>
              <w:rPr>
                <w:sz w:val="22"/>
                <w:szCs w:val="22"/>
              </w:rPr>
            </w:pPr>
            <w:proofErr w:type="spellStart"/>
            <w:r w:rsidRPr="00E96CAB">
              <w:rPr>
                <w:sz w:val="22"/>
                <w:szCs w:val="22"/>
              </w:rPr>
              <w:t>Amenorrhoea</w:t>
            </w:r>
            <w:proofErr w:type="spellEnd"/>
            <w:r w:rsidRPr="00E96CAB">
              <w:rPr>
                <w:sz w:val="22"/>
                <w:szCs w:val="22"/>
              </w:rPr>
              <w:t xml:space="preserve">, Menorrhagia, </w:t>
            </w:r>
            <w:proofErr w:type="spellStart"/>
            <w:r w:rsidRPr="00E96CAB">
              <w:rPr>
                <w:sz w:val="22"/>
                <w:szCs w:val="22"/>
              </w:rPr>
              <w:t>Oligomenorrhoea</w:t>
            </w:r>
            <w:proofErr w:type="spellEnd"/>
            <w:r w:rsidRPr="00E96CAB">
              <w:rPr>
                <w:sz w:val="22"/>
                <w:szCs w:val="22"/>
              </w:rPr>
              <w:t xml:space="preserve">, </w:t>
            </w:r>
            <w:proofErr w:type="spellStart"/>
            <w:r w:rsidRPr="00E96CAB">
              <w:rPr>
                <w:sz w:val="22"/>
                <w:szCs w:val="22"/>
              </w:rPr>
              <w:t>Polymenorrhoea</w:t>
            </w:r>
            <w:proofErr w:type="spellEnd"/>
          </w:p>
        </w:tc>
      </w:tr>
      <w:tr w:rsidR="00F42556" w:rsidRPr="00E96CAB" w:rsidTr="00D21070">
        <w:trPr>
          <w:cantSplit/>
        </w:trPr>
        <w:tc>
          <w:tcPr>
            <w:tcW w:w="1607" w:type="pct"/>
            <w:hideMark/>
          </w:tcPr>
          <w:p w:rsidR="00F42556" w:rsidRPr="00E23E3D" w:rsidRDefault="00F42556" w:rsidP="00D21070">
            <w:pPr>
              <w:adjustRightInd w:val="0"/>
              <w:spacing w:before="29" w:after="29"/>
              <w:rPr>
                <w:sz w:val="22"/>
                <w:szCs w:val="22"/>
              </w:rPr>
            </w:pPr>
            <w:r w:rsidRPr="00E23E3D">
              <w:rPr>
                <w:sz w:val="22"/>
                <w:szCs w:val="22"/>
              </w:rPr>
              <w:t>Skin and subcutaneous tissue disorders</w:t>
            </w:r>
          </w:p>
        </w:tc>
        <w:tc>
          <w:tcPr>
            <w:tcW w:w="898" w:type="pct"/>
            <w:hideMark/>
          </w:tcPr>
          <w:p w:rsidR="00F42556" w:rsidRPr="00E23E3D" w:rsidRDefault="00F42556" w:rsidP="00D21070">
            <w:pPr>
              <w:rPr>
                <w:sz w:val="22"/>
                <w:szCs w:val="22"/>
              </w:rPr>
            </w:pPr>
            <w:r w:rsidRPr="00E23E3D">
              <w:rPr>
                <w:sz w:val="22"/>
                <w:szCs w:val="22"/>
              </w:rPr>
              <w:t>common</w:t>
            </w:r>
          </w:p>
        </w:tc>
        <w:tc>
          <w:tcPr>
            <w:tcW w:w="2495" w:type="pct"/>
            <w:hideMark/>
          </w:tcPr>
          <w:p w:rsidR="00F42556" w:rsidRPr="00E23E3D" w:rsidRDefault="00F42556" w:rsidP="00D21070">
            <w:pPr>
              <w:rPr>
                <w:sz w:val="22"/>
                <w:szCs w:val="22"/>
              </w:rPr>
            </w:pPr>
            <w:r w:rsidRPr="00E23E3D">
              <w:rPr>
                <w:sz w:val="22"/>
                <w:szCs w:val="22"/>
              </w:rPr>
              <w:t>Rash</w:t>
            </w:r>
          </w:p>
        </w:tc>
      </w:tr>
      <w:tr w:rsidR="00F42556" w:rsidRPr="00E96CAB" w:rsidTr="00D21070">
        <w:trPr>
          <w:cantSplit/>
        </w:trPr>
        <w:tc>
          <w:tcPr>
            <w:tcW w:w="1607" w:type="pct"/>
          </w:tcPr>
          <w:p w:rsidR="00F42556" w:rsidRPr="00E23E3D" w:rsidRDefault="00F42556" w:rsidP="00D21070">
            <w:pPr>
              <w:adjustRightInd w:val="0"/>
              <w:spacing w:before="29" w:after="29"/>
              <w:rPr>
                <w:sz w:val="22"/>
                <w:szCs w:val="22"/>
              </w:rPr>
            </w:pPr>
            <w:r w:rsidRPr="00E23E3D">
              <w:rPr>
                <w:sz w:val="22"/>
                <w:szCs w:val="22"/>
              </w:rPr>
              <w:t>Investigations</w:t>
            </w:r>
          </w:p>
        </w:tc>
        <w:tc>
          <w:tcPr>
            <w:tcW w:w="898" w:type="pct"/>
          </w:tcPr>
          <w:p w:rsidR="00F42556" w:rsidRPr="00E23E3D" w:rsidRDefault="00F42556" w:rsidP="00D21070">
            <w:pPr>
              <w:rPr>
                <w:sz w:val="22"/>
                <w:szCs w:val="22"/>
              </w:rPr>
            </w:pPr>
            <w:r w:rsidRPr="00E23E3D">
              <w:rPr>
                <w:sz w:val="22"/>
                <w:szCs w:val="22"/>
              </w:rPr>
              <w:t>uncommon</w:t>
            </w:r>
          </w:p>
        </w:tc>
        <w:tc>
          <w:tcPr>
            <w:tcW w:w="2495" w:type="pct"/>
          </w:tcPr>
          <w:p w:rsidR="00F42556" w:rsidRPr="00E23E3D" w:rsidRDefault="00F42556" w:rsidP="00D21070">
            <w:pPr>
              <w:rPr>
                <w:color w:val="000000"/>
                <w:sz w:val="22"/>
                <w:szCs w:val="22"/>
              </w:rPr>
            </w:pPr>
            <w:r w:rsidRPr="00E23E3D">
              <w:rPr>
                <w:color w:val="000000"/>
                <w:sz w:val="22"/>
                <w:szCs w:val="22"/>
              </w:rPr>
              <w:t>Blood pressure increased</w:t>
            </w:r>
          </w:p>
        </w:tc>
      </w:tr>
    </w:tbl>
    <w:p w:rsidR="00F42556" w:rsidRPr="00E96CAB" w:rsidRDefault="00F42556" w:rsidP="00F42556">
      <w:pPr>
        <w:rPr>
          <w:sz w:val="22"/>
          <w:szCs w:val="22"/>
        </w:rPr>
      </w:pPr>
    </w:p>
    <w:p w:rsidR="00F42556" w:rsidRPr="00E96CAB" w:rsidRDefault="00F42556" w:rsidP="00F42556">
      <w:pPr>
        <w:rPr>
          <w:sz w:val="22"/>
          <w:szCs w:val="22"/>
        </w:rPr>
      </w:pPr>
      <w:r w:rsidRPr="00E96CAB">
        <w:rPr>
          <w:sz w:val="22"/>
          <w:szCs w:val="22"/>
        </w:rPr>
        <w:t>An interim safety analysis was performed on 1027 patients in Trial 4, a long</w:t>
      </w:r>
      <w:r w:rsidRPr="00E96CAB">
        <w:rPr>
          <w:sz w:val="22"/>
          <w:szCs w:val="22"/>
        </w:rPr>
        <w:noBreakHyphen/>
        <w:t xml:space="preserve">term safety and efficacy rollover trial. A total of 194 patients who were </w:t>
      </w:r>
      <w:proofErr w:type="spellStart"/>
      <w:r w:rsidRPr="00E96CAB">
        <w:rPr>
          <w:sz w:val="22"/>
          <w:szCs w:val="22"/>
        </w:rPr>
        <w:t>randomised</w:t>
      </w:r>
      <w:proofErr w:type="spellEnd"/>
      <w:r w:rsidRPr="00E96CAB">
        <w:rPr>
          <w:sz w:val="22"/>
          <w:szCs w:val="22"/>
        </w:rPr>
        <w:t xml:space="preserve"> to active drug in Trials 1 and 2 had completed the Week 24 visit (total 48 weeks on treatment). No new safety signal was identified. The overall incidence of adverse events was lower in subjects who continued on treatment in Trial 4 compared with subjects who were new to treatment in Trial 4 (see CLINICAL TRIALS).</w:t>
      </w:r>
    </w:p>
    <w:p w:rsidR="00F42556" w:rsidRPr="00E96CAB" w:rsidRDefault="00F42556" w:rsidP="00F42556">
      <w:pPr>
        <w:rPr>
          <w:sz w:val="22"/>
          <w:szCs w:val="22"/>
        </w:rPr>
      </w:pPr>
    </w:p>
    <w:p w:rsidR="00F42556" w:rsidRPr="00E96CAB" w:rsidRDefault="00F42556" w:rsidP="00F42556">
      <w:pPr>
        <w:rPr>
          <w:b/>
          <w:bCs/>
          <w:sz w:val="22"/>
          <w:szCs w:val="22"/>
          <w:u w:val="single"/>
        </w:rPr>
      </w:pPr>
      <w:r w:rsidRPr="00E96CAB">
        <w:rPr>
          <w:sz w:val="22"/>
          <w:szCs w:val="22"/>
          <w:u w:val="single"/>
        </w:rPr>
        <w:t>Description of Selected Adverse Reactions</w:t>
      </w:r>
    </w:p>
    <w:p w:rsidR="00F42556" w:rsidRPr="00E96CAB" w:rsidRDefault="00F42556" w:rsidP="00F42556">
      <w:pPr>
        <w:rPr>
          <w:i/>
          <w:sz w:val="22"/>
          <w:szCs w:val="22"/>
        </w:rPr>
      </w:pPr>
      <w:r w:rsidRPr="00E96CAB">
        <w:rPr>
          <w:i/>
          <w:sz w:val="22"/>
          <w:szCs w:val="22"/>
        </w:rPr>
        <w:t>Hepatobiliary Events</w:t>
      </w:r>
    </w:p>
    <w:p w:rsidR="00F42556" w:rsidRPr="00A37A24" w:rsidRDefault="00F42556" w:rsidP="00F42556">
      <w:pPr>
        <w:rPr>
          <w:bCs/>
          <w:sz w:val="22"/>
          <w:szCs w:val="22"/>
        </w:rPr>
      </w:pPr>
      <w:r w:rsidRPr="00E96CAB">
        <w:rPr>
          <w:bCs/>
          <w:sz w:val="22"/>
          <w:szCs w:val="22"/>
        </w:rPr>
        <w:t>During the 24</w:t>
      </w:r>
      <w:r w:rsidRPr="00E96CAB">
        <w:rPr>
          <w:sz w:val="22"/>
          <w:szCs w:val="22"/>
        </w:rPr>
        <w:noBreakHyphen/>
      </w:r>
      <w:r w:rsidRPr="00E96CAB">
        <w:rPr>
          <w:bCs/>
          <w:sz w:val="22"/>
          <w:szCs w:val="22"/>
        </w:rPr>
        <w:t>week, placebo</w:t>
      </w:r>
      <w:r w:rsidRPr="00E96CAB">
        <w:rPr>
          <w:sz w:val="22"/>
          <w:szCs w:val="22"/>
        </w:rPr>
        <w:noBreakHyphen/>
      </w:r>
      <w:r w:rsidRPr="00E96CAB">
        <w:rPr>
          <w:bCs/>
          <w:sz w:val="22"/>
          <w:szCs w:val="22"/>
        </w:rPr>
        <w:t>controlled, Phase 3 studies, the incidence of maximum transaminase (ALT or AST) levels &gt;8, &gt;5, and &gt;3</w:t>
      </w:r>
      <w:r w:rsidRPr="00E96CAB">
        <w:t> </w:t>
      </w:r>
      <w:r w:rsidRPr="00E96CAB">
        <w:rPr>
          <w:bCs/>
          <w:sz w:val="22"/>
          <w:szCs w:val="22"/>
        </w:rPr>
        <w:t xml:space="preserve">x ULN was 0.8%, 2.0%, and 5.2% in the patients receiving </w:t>
      </w:r>
      <w:proofErr w:type="spellStart"/>
      <w:r w:rsidRPr="00BF4243">
        <w:t>lumacaftor</w:t>
      </w:r>
      <w:proofErr w:type="spellEnd"/>
      <w:r w:rsidRPr="00BF4243">
        <w:t>/</w:t>
      </w:r>
      <w:proofErr w:type="spellStart"/>
      <w:r w:rsidRPr="00BF4243">
        <w:t>ivacaftor</w:t>
      </w:r>
      <w:proofErr w:type="spellEnd"/>
      <w:r w:rsidRPr="00BF4243">
        <w:rPr>
          <w:bCs/>
          <w:sz w:val="22"/>
          <w:szCs w:val="22"/>
        </w:rPr>
        <w:t>, and 0.5%, 1.9%, and 5.1% in the placebo</w:t>
      </w:r>
      <w:r w:rsidRPr="00BF4243">
        <w:rPr>
          <w:bCs/>
          <w:sz w:val="22"/>
          <w:szCs w:val="22"/>
        </w:rPr>
        <w:noBreakHyphen/>
        <w:t>treated patients. The incidence of transaminase</w:t>
      </w:r>
      <w:r w:rsidRPr="00BF4243">
        <w:rPr>
          <w:bCs/>
          <w:sz w:val="22"/>
          <w:szCs w:val="22"/>
        </w:rPr>
        <w:noBreakHyphen/>
        <w:t>related adverse drug reactions was 5.1% and 4.6% in</w:t>
      </w:r>
      <w:r w:rsidRPr="00BF4243">
        <w:t xml:space="preserve"> </w:t>
      </w:r>
      <w:proofErr w:type="spellStart"/>
      <w:r w:rsidRPr="00BF4243">
        <w:t>lumacaftor</w:t>
      </w:r>
      <w:proofErr w:type="spellEnd"/>
      <w:r w:rsidRPr="00BF4243">
        <w:t>/</w:t>
      </w:r>
      <w:proofErr w:type="spellStart"/>
      <w:r w:rsidRPr="00BF4243">
        <w:t>ivacaftor</w:t>
      </w:r>
      <w:proofErr w:type="spellEnd"/>
      <w:r w:rsidRPr="00BF4243">
        <w:rPr>
          <w:sz w:val="22"/>
          <w:szCs w:val="22"/>
        </w:rPr>
        <w:noBreakHyphen/>
      </w:r>
      <w:r w:rsidRPr="00BF4243">
        <w:rPr>
          <w:bCs/>
          <w:sz w:val="22"/>
          <w:szCs w:val="22"/>
        </w:rPr>
        <w:t xml:space="preserve">treated patients and those who received placebo, respectively. Seven patients who received </w:t>
      </w:r>
      <w:proofErr w:type="spellStart"/>
      <w:r w:rsidRPr="00BF4243">
        <w:t>lumacaftor</w:t>
      </w:r>
      <w:proofErr w:type="spellEnd"/>
      <w:r w:rsidRPr="00BF4243">
        <w:t>/</w:t>
      </w:r>
      <w:proofErr w:type="spellStart"/>
      <w:r w:rsidRPr="00BF4243">
        <w:t>ivacaftor</w:t>
      </w:r>
      <w:proofErr w:type="spellEnd"/>
      <w:r w:rsidR="00BF4243" w:rsidRPr="00BF4243">
        <w:t xml:space="preserve"> </w:t>
      </w:r>
      <w:r w:rsidRPr="00BF4243">
        <w:rPr>
          <w:bCs/>
          <w:sz w:val="22"/>
          <w:szCs w:val="22"/>
        </w:rPr>
        <w:t>had liver</w:t>
      </w:r>
      <w:r w:rsidRPr="00BF4243">
        <w:rPr>
          <w:bCs/>
          <w:sz w:val="22"/>
          <w:szCs w:val="22"/>
        </w:rPr>
        <w:noBreakHyphen/>
        <w:t xml:space="preserve">related serious adverse events with elevated transaminases, including 3 with concurrent elevation in total bilirubin. Following discontinuation of </w:t>
      </w:r>
      <w:proofErr w:type="spellStart"/>
      <w:r w:rsidRPr="00BF4243">
        <w:t>lumacaftor</w:t>
      </w:r>
      <w:proofErr w:type="spellEnd"/>
      <w:r w:rsidRPr="00BF4243">
        <w:t>/</w:t>
      </w:r>
      <w:proofErr w:type="spellStart"/>
      <w:r w:rsidRPr="00BF4243">
        <w:t>ivacaftor</w:t>
      </w:r>
      <w:proofErr w:type="spellEnd"/>
      <w:r w:rsidRPr="00BF4243">
        <w:rPr>
          <w:bCs/>
          <w:sz w:val="22"/>
          <w:szCs w:val="22"/>
        </w:rPr>
        <w:t xml:space="preserve">, liver function tests returned to baseline or improved substantially in all patients. While alternative etiologies were present, the potential for liver injury associated with </w:t>
      </w:r>
      <w:proofErr w:type="spellStart"/>
      <w:r w:rsidR="00BF4243" w:rsidRPr="00BF4243">
        <w:rPr>
          <w:bCs/>
          <w:sz w:val="22"/>
          <w:szCs w:val="22"/>
        </w:rPr>
        <w:t>l</w:t>
      </w:r>
      <w:r w:rsidRPr="00BF4243">
        <w:t>umacaftor</w:t>
      </w:r>
      <w:proofErr w:type="spellEnd"/>
      <w:r w:rsidRPr="00BF4243">
        <w:t>/</w:t>
      </w:r>
      <w:proofErr w:type="spellStart"/>
      <w:r w:rsidRPr="00BF4243">
        <w:t>ivacaftor</w:t>
      </w:r>
      <w:proofErr w:type="spellEnd"/>
      <w:r w:rsidR="00BF4243" w:rsidRPr="00BF4243">
        <w:t xml:space="preserve"> </w:t>
      </w:r>
      <w:r w:rsidRPr="00BF4243">
        <w:rPr>
          <w:bCs/>
          <w:sz w:val="22"/>
          <w:szCs w:val="22"/>
        </w:rPr>
        <w:t>cannot</w:t>
      </w:r>
      <w:r w:rsidRPr="00A37A24">
        <w:rPr>
          <w:bCs/>
          <w:sz w:val="22"/>
          <w:szCs w:val="22"/>
        </w:rPr>
        <w:t xml:space="preserve"> be excluded (see PRECAUTIONS).</w:t>
      </w:r>
    </w:p>
    <w:p w:rsidR="00F42556" w:rsidRPr="00A37A24" w:rsidRDefault="00F42556" w:rsidP="00F42556">
      <w:pPr>
        <w:rPr>
          <w:bCs/>
          <w:sz w:val="22"/>
          <w:szCs w:val="22"/>
        </w:rPr>
      </w:pPr>
    </w:p>
    <w:p w:rsidR="00F42556" w:rsidRPr="00BF4243" w:rsidRDefault="00F42556" w:rsidP="00F42556">
      <w:pPr>
        <w:rPr>
          <w:sz w:val="22"/>
          <w:szCs w:val="22"/>
        </w:rPr>
      </w:pPr>
      <w:r w:rsidRPr="00A37A24">
        <w:rPr>
          <w:bCs/>
          <w:sz w:val="22"/>
          <w:szCs w:val="22"/>
        </w:rPr>
        <w:t xml:space="preserve">Among 7 </w:t>
      </w:r>
      <w:r w:rsidRPr="00BF4243">
        <w:rPr>
          <w:bCs/>
          <w:sz w:val="22"/>
          <w:szCs w:val="22"/>
        </w:rPr>
        <w:t>patients with pre</w:t>
      </w:r>
      <w:r w:rsidRPr="00BF4243">
        <w:rPr>
          <w:sz w:val="22"/>
          <w:szCs w:val="22"/>
        </w:rPr>
        <w:noBreakHyphen/>
      </w:r>
      <w:r w:rsidRPr="00BF4243">
        <w:rPr>
          <w:bCs/>
          <w:sz w:val="22"/>
          <w:szCs w:val="22"/>
        </w:rPr>
        <w:t xml:space="preserve">existing cirrhosis and/or portal hypertension who received </w:t>
      </w:r>
      <w:proofErr w:type="spellStart"/>
      <w:r w:rsidRPr="00BF4243">
        <w:t>lumacaftor</w:t>
      </w:r>
      <w:proofErr w:type="spellEnd"/>
      <w:r w:rsidRPr="00BF4243">
        <w:t>/</w:t>
      </w:r>
      <w:proofErr w:type="spellStart"/>
      <w:r w:rsidRPr="00BF4243">
        <w:t>ivacaftor</w:t>
      </w:r>
      <w:proofErr w:type="spellEnd"/>
      <w:r w:rsidRPr="00BF4243">
        <w:t xml:space="preserve"> </w:t>
      </w:r>
      <w:r w:rsidRPr="00BF4243">
        <w:rPr>
          <w:bCs/>
          <w:sz w:val="22"/>
          <w:szCs w:val="22"/>
        </w:rPr>
        <w:t>in the placebo</w:t>
      </w:r>
      <w:r w:rsidRPr="00BF4243">
        <w:rPr>
          <w:sz w:val="22"/>
          <w:szCs w:val="22"/>
        </w:rPr>
        <w:noBreakHyphen/>
      </w:r>
      <w:r w:rsidRPr="00BF4243">
        <w:rPr>
          <w:bCs/>
          <w:sz w:val="22"/>
          <w:szCs w:val="22"/>
        </w:rPr>
        <w:t xml:space="preserve">controlled Phase 3 studies, worsening liver function with increased ALT, AST, bilirubin, and hepatic encephalopathy was observed in one patient. The event occurred within 5 days of the start of dosing and resolved following discontinuation of </w:t>
      </w:r>
      <w:proofErr w:type="spellStart"/>
      <w:r w:rsidRPr="00BF4243">
        <w:t>lumacaftor</w:t>
      </w:r>
      <w:proofErr w:type="spellEnd"/>
      <w:r w:rsidRPr="00BF4243">
        <w:t>/</w:t>
      </w:r>
      <w:proofErr w:type="spellStart"/>
      <w:r w:rsidRPr="00BF4243">
        <w:t>ivacaftor</w:t>
      </w:r>
      <w:proofErr w:type="spellEnd"/>
      <w:r w:rsidRPr="00BF4243">
        <w:t xml:space="preserve"> </w:t>
      </w:r>
      <w:r w:rsidRPr="00BF4243">
        <w:rPr>
          <w:bCs/>
          <w:sz w:val="22"/>
          <w:szCs w:val="22"/>
        </w:rPr>
        <w:t>(see PRECAUTIONS).</w:t>
      </w:r>
    </w:p>
    <w:p w:rsidR="00F42556" w:rsidRPr="00BF4243" w:rsidRDefault="00F42556" w:rsidP="00F42556">
      <w:pPr>
        <w:rPr>
          <w:iCs/>
          <w:sz w:val="22"/>
          <w:szCs w:val="22"/>
        </w:rPr>
      </w:pPr>
    </w:p>
    <w:p w:rsidR="00F42556" w:rsidRPr="00BF4243" w:rsidRDefault="00F42556" w:rsidP="00F42556">
      <w:pPr>
        <w:rPr>
          <w:i/>
          <w:sz w:val="22"/>
          <w:szCs w:val="22"/>
        </w:rPr>
      </w:pPr>
      <w:r w:rsidRPr="00BF4243">
        <w:rPr>
          <w:i/>
          <w:sz w:val="22"/>
          <w:szCs w:val="22"/>
        </w:rPr>
        <w:t>Respiratory Events</w:t>
      </w:r>
    </w:p>
    <w:p w:rsidR="00F42556" w:rsidRPr="00E96CAB" w:rsidRDefault="00F42556" w:rsidP="00F42556">
      <w:pPr>
        <w:rPr>
          <w:sz w:val="22"/>
          <w:szCs w:val="22"/>
        </w:rPr>
      </w:pPr>
      <w:r w:rsidRPr="00BF4243">
        <w:rPr>
          <w:sz w:val="22"/>
          <w:szCs w:val="22"/>
        </w:rPr>
        <w:t>During the 24</w:t>
      </w:r>
      <w:r w:rsidRPr="00BF4243">
        <w:rPr>
          <w:sz w:val="22"/>
          <w:szCs w:val="22"/>
        </w:rPr>
        <w:noBreakHyphen/>
        <w:t>week, placebo</w:t>
      </w:r>
      <w:r w:rsidRPr="00BF4243">
        <w:rPr>
          <w:sz w:val="22"/>
          <w:szCs w:val="22"/>
        </w:rPr>
        <w:noBreakHyphen/>
        <w:t xml:space="preserve">controlled, Phase 3 studies, incidence of respiratory adverse reactions (e.g., chest discomfort, dyspnea, and respiration abnormal) was 26.3% in </w:t>
      </w:r>
      <w:proofErr w:type="spellStart"/>
      <w:r w:rsidRPr="00BF4243">
        <w:t>lumacaftor</w:t>
      </w:r>
      <w:proofErr w:type="spellEnd"/>
      <w:r w:rsidRPr="00BF4243">
        <w:t>/</w:t>
      </w:r>
      <w:proofErr w:type="spellStart"/>
      <w:r w:rsidRPr="00BF4243">
        <w:t>ivacaftor</w:t>
      </w:r>
      <w:proofErr w:type="spellEnd"/>
      <w:r w:rsidRPr="00BF4243">
        <w:rPr>
          <w:sz w:val="22"/>
          <w:szCs w:val="22"/>
        </w:rPr>
        <w:noBreakHyphen/>
        <w:t xml:space="preserve">treated patients compared to 17.0% in patients who received placebo. The incidence of these events was more common in patients treated with </w:t>
      </w:r>
      <w:proofErr w:type="spellStart"/>
      <w:r w:rsidRPr="00BF4243">
        <w:t>lumacaftor</w:t>
      </w:r>
      <w:proofErr w:type="spellEnd"/>
      <w:r w:rsidRPr="00BF4243">
        <w:t>/</w:t>
      </w:r>
      <w:proofErr w:type="spellStart"/>
      <w:r w:rsidRPr="00BF4243">
        <w:t>ivacaftor</w:t>
      </w:r>
      <w:proofErr w:type="spellEnd"/>
      <w:r w:rsidRPr="00BF4243">
        <w:t xml:space="preserve"> </w:t>
      </w:r>
      <w:r w:rsidRPr="00BF4243">
        <w:rPr>
          <w:sz w:val="22"/>
          <w:szCs w:val="22"/>
        </w:rPr>
        <w:t>with</w:t>
      </w:r>
      <w:r w:rsidRPr="00E96CAB">
        <w:rPr>
          <w:sz w:val="22"/>
          <w:szCs w:val="22"/>
        </w:rPr>
        <w:t xml:space="preserve"> lower pre</w:t>
      </w:r>
      <w:r>
        <w:rPr>
          <w:sz w:val="22"/>
          <w:szCs w:val="22"/>
        </w:rPr>
        <w:noBreakHyphen/>
      </w:r>
      <w:r w:rsidRPr="00E96CAB">
        <w:rPr>
          <w:sz w:val="22"/>
          <w:szCs w:val="22"/>
        </w:rPr>
        <w:t>treatment FEV</w:t>
      </w:r>
      <w:r w:rsidRPr="00E96CAB">
        <w:rPr>
          <w:rStyle w:val="sub"/>
          <w:sz w:val="22"/>
          <w:szCs w:val="22"/>
          <w:vertAlign w:val="subscript"/>
        </w:rPr>
        <w:t>1</w:t>
      </w:r>
      <w:r w:rsidRPr="00E96CAB">
        <w:rPr>
          <w:bCs/>
          <w:sz w:val="22"/>
          <w:szCs w:val="22"/>
        </w:rPr>
        <w:t>;</w:t>
      </w:r>
      <w:r w:rsidRPr="00E96CAB">
        <w:rPr>
          <w:bCs/>
          <w:sz w:val="22"/>
          <w:szCs w:val="22"/>
          <w:vertAlign w:val="subscript"/>
        </w:rPr>
        <w:t xml:space="preserve"> </w:t>
      </w:r>
      <w:r w:rsidRPr="00E96CAB">
        <w:rPr>
          <w:sz w:val="22"/>
          <w:szCs w:val="22"/>
        </w:rPr>
        <w:t>29.6% and 37.7% among patients with ppFEV</w:t>
      </w:r>
      <w:r w:rsidRPr="00E96CAB">
        <w:rPr>
          <w:bCs/>
          <w:sz w:val="22"/>
          <w:szCs w:val="22"/>
          <w:vertAlign w:val="subscript"/>
        </w:rPr>
        <w:t>1</w:t>
      </w:r>
      <w:r w:rsidRPr="00E96CAB">
        <w:rPr>
          <w:bCs/>
          <w:sz w:val="22"/>
          <w:szCs w:val="22"/>
        </w:rPr>
        <w:t xml:space="preserve"> </w:t>
      </w:r>
      <w:r w:rsidRPr="00E96CAB">
        <w:rPr>
          <w:sz w:val="22"/>
          <w:szCs w:val="22"/>
        </w:rPr>
        <w:t>&lt;70 and &lt;40, respectively, compared with 21.0% and 21.4% among placebo</w:t>
      </w:r>
      <w:r w:rsidRPr="00E96CAB">
        <w:rPr>
          <w:sz w:val="22"/>
          <w:szCs w:val="22"/>
        </w:rPr>
        <w:noBreakHyphen/>
        <w:t>treated patients, respectively. Approximately three</w:t>
      </w:r>
      <w:r w:rsidRPr="00E96CAB">
        <w:rPr>
          <w:sz w:val="22"/>
          <w:szCs w:val="22"/>
        </w:rPr>
        <w:noBreakHyphen/>
        <w:t xml:space="preserve">quarters of the events began during the first week of treatment, and in most patients the events resolved without dosing interruption. The </w:t>
      </w:r>
      <w:proofErr w:type="gramStart"/>
      <w:r w:rsidRPr="00E96CAB">
        <w:rPr>
          <w:sz w:val="22"/>
          <w:szCs w:val="22"/>
        </w:rPr>
        <w:t>majority of events were</w:t>
      </w:r>
      <w:proofErr w:type="gramEnd"/>
      <w:r w:rsidRPr="00E96CAB">
        <w:rPr>
          <w:sz w:val="22"/>
          <w:szCs w:val="22"/>
        </w:rPr>
        <w:t xml:space="preserve"> mild or moderate in severity, non</w:t>
      </w:r>
      <w:r w:rsidRPr="00E96CAB">
        <w:rPr>
          <w:sz w:val="22"/>
          <w:szCs w:val="22"/>
        </w:rPr>
        <w:noBreakHyphen/>
        <w:t>serious, and did not result in treatment discontinuation.</w:t>
      </w:r>
    </w:p>
    <w:p w:rsidR="00F42556" w:rsidRPr="00BF4243" w:rsidRDefault="00F42556" w:rsidP="00F42556">
      <w:pPr>
        <w:rPr>
          <w:sz w:val="22"/>
          <w:szCs w:val="22"/>
        </w:rPr>
      </w:pPr>
    </w:p>
    <w:p w:rsidR="00F42556" w:rsidRPr="00E96CAB" w:rsidRDefault="00F42556" w:rsidP="00F42556">
      <w:pPr>
        <w:rPr>
          <w:i/>
          <w:sz w:val="22"/>
          <w:szCs w:val="22"/>
        </w:rPr>
      </w:pPr>
      <w:r w:rsidRPr="00E96CAB">
        <w:rPr>
          <w:i/>
          <w:sz w:val="22"/>
          <w:szCs w:val="22"/>
        </w:rPr>
        <w:t>Menstrual Abnormalities</w:t>
      </w:r>
    </w:p>
    <w:p w:rsidR="00F42556" w:rsidRPr="00E96CAB" w:rsidRDefault="00F42556" w:rsidP="00F42556">
      <w:pPr>
        <w:rPr>
          <w:sz w:val="22"/>
          <w:szCs w:val="22"/>
        </w:rPr>
      </w:pPr>
      <w:r w:rsidRPr="00E96CAB">
        <w:rPr>
          <w:sz w:val="22"/>
          <w:szCs w:val="22"/>
        </w:rPr>
        <w:t>During the 24 week, placebo</w:t>
      </w:r>
      <w:r w:rsidRPr="00E96CAB">
        <w:rPr>
          <w:sz w:val="22"/>
          <w:szCs w:val="22"/>
        </w:rPr>
        <w:noBreakHyphen/>
        <w:t>controlled, Phase 3 studies, the incidence of combined menstrual abnormality events (</w:t>
      </w:r>
      <w:proofErr w:type="spellStart"/>
      <w:r w:rsidRPr="00E96CAB">
        <w:rPr>
          <w:sz w:val="22"/>
          <w:szCs w:val="22"/>
        </w:rPr>
        <w:t>amenorrhoea</w:t>
      </w:r>
      <w:proofErr w:type="spellEnd"/>
      <w:r w:rsidRPr="00E96CAB">
        <w:rPr>
          <w:sz w:val="22"/>
          <w:szCs w:val="22"/>
        </w:rPr>
        <w:t xml:space="preserve">, </w:t>
      </w:r>
      <w:proofErr w:type="spellStart"/>
      <w:r w:rsidRPr="00E96CAB">
        <w:rPr>
          <w:sz w:val="22"/>
          <w:szCs w:val="22"/>
        </w:rPr>
        <w:t>dysmenorrhoea</w:t>
      </w:r>
      <w:proofErr w:type="spellEnd"/>
      <w:r w:rsidRPr="00E96CAB">
        <w:rPr>
          <w:sz w:val="22"/>
          <w:szCs w:val="22"/>
        </w:rPr>
        <w:t xml:space="preserve">, menorrhagia, menstruation irregular, </w:t>
      </w:r>
      <w:proofErr w:type="spellStart"/>
      <w:r w:rsidRPr="00E96CAB">
        <w:rPr>
          <w:sz w:val="22"/>
          <w:szCs w:val="22"/>
        </w:rPr>
        <w:t>metrorrhagia</w:t>
      </w:r>
      <w:proofErr w:type="spellEnd"/>
      <w:r w:rsidRPr="00E96CAB">
        <w:rPr>
          <w:sz w:val="22"/>
          <w:szCs w:val="22"/>
        </w:rPr>
        <w:t xml:space="preserve">, </w:t>
      </w:r>
      <w:proofErr w:type="spellStart"/>
      <w:r w:rsidRPr="00E96CAB">
        <w:rPr>
          <w:sz w:val="22"/>
          <w:szCs w:val="22"/>
        </w:rPr>
        <w:t>oligomenorrhoea</w:t>
      </w:r>
      <w:proofErr w:type="spellEnd"/>
      <w:r w:rsidRPr="00E96CAB">
        <w:rPr>
          <w:sz w:val="22"/>
          <w:szCs w:val="22"/>
        </w:rPr>
        <w:t xml:space="preserve">, and </w:t>
      </w:r>
      <w:proofErr w:type="spellStart"/>
      <w:r w:rsidRPr="00E96CAB">
        <w:rPr>
          <w:sz w:val="22"/>
          <w:szCs w:val="22"/>
        </w:rPr>
        <w:t>polymenorrhoea</w:t>
      </w:r>
      <w:proofErr w:type="spellEnd"/>
      <w:r w:rsidRPr="00E96CAB">
        <w:rPr>
          <w:sz w:val="22"/>
          <w:szCs w:val="22"/>
        </w:rPr>
        <w:t xml:space="preserve">) was 9.9 % in </w:t>
      </w:r>
      <w:proofErr w:type="spellStart"/>
      <w:r w:rsidRPr="00BF4243">
        <w:t>lumacaftor</w:t>
      </w:r>
      <w:proofErr w:type="spellEnd"/>
      <w:r w:rsidRPr="00BF4243">
        <w:t>/</w:t>
      </w:r>
      <w:proofErr w:type="spellStart"/>
      <w:r w:rsidRPr="00BF4243">
        <w:t>ivacaftor</w:t>
      </w:r>
      <w:proofErr w:type="spellEnd"/>
      <w:r w:rsidRPr="00E96CAB">
        <w:rPr>
          <w:sz w:val="22"/>
          <w:szCs w:val="22"/>
        </w:rPr>
        <w:noBreakHyphen/>
        <w:t>treated female patients and 1.7% in placebo</w:t>
      </w:r>
      <w:r w:rsidRPr="00E96CAB">
        <w:rPr>
          <w:sz w:val="22"/>
          <w:szCs w:val="22"/>
        </w:rPr>
        <w:noBreakHyphen/>
        <w:t>treated females. These menstrual events occurred more frequently in the subset of female patients who were taking hormonal contraceptives (25.0%) compared to patients who were not taking hormonal contraceptives (3.5%) (</w:t>
      </w:r>
      <w:proofErr w:type="gramStart"/>
      <w:r w:rsidRPr="00E96CAB">
        <w:rPr>
          <w:sz w:val="22"/>
          <w:szCs w:val="22"/>
        </w:rPr>
        <w:t>see</w:t>
      </w:r>
      <w:proofErr w:type="gramEnd"/>
      <w:r w:rsidRPr="00E96CAB">
        <w:rPr>
          <w:sz w:val="22"/>
          <w:szCs w:val="22"/>
        </w:rPr>
        <w:t xml:space="preserve"> INTERACTIONS WITH OTHER MEDICINES). Most of these reactions were mild or moderate in severity and non</w:t>
      </w:r>
      <w:r w:rsidRPr="00E96CAB">
        <w:rPr>
          <w:sz w:val="22"/>
          <w:szCs w:val="22"/>
        </w:rPr>
        <w:noBreakHyphen/>
        <w:t>serious.</w:t>
      </w:r>
    </w:p>
    <w:p w:rsidR="00F42556" w:rsidRPr="00E96CAB" w:rsidRDefault="00F42556" w:rsidP="00F42556">
      <w:pPr>
        <w:rPr>
          <w:sz w:val="22"/>
          <w:szCs w:val="22"/>
        </w:rPr>
      </w:pPr>
    </w:p>
    <w:p w:rsidR="00F42556" w:rsidRPr="00E96CAB" w:rsidRDefault="00F42556" w:rsidP="00F42556">
      <w:pPr>
        <w:widowControl w:val="0"/>
        <w:rPr>
          <w:i/>
          <w:sz w:val="22"/>
          <w:szCs w:val="22"/>
        </w:rPr>
      </w:pPr>
      <w:r w:rsidRPr="00E96CAB">
        <w:rPr>
          <w:i/>
          <w:sz w:val="22"/>
          <w:szCs w:val="22"/>
        </w:rPr>
        <w:t>Increased Blood Pressure</w:t>
      </w:r>
    </w:p>
    <w:p w:rsidR="00F42556" w:rsidRPr="00BF4243" w:rsidRDefault="00F42556" w:rsidP="00F42556">
      <w:pPr>
        <w:rPr>
          <w:bCs/>
          <w:sz w:val="22"/>
          <w:szCs w:val="22"/>
          <w:lang w:val="en-CA"/>
        </w:rPr>
      </w:pPr>
      <w:r w:rsidRPr="00E96CAB">
        <w:rPr>
          <w:bCs/>
          <w:sz w:val="22"/>
          <w:szCs w:val="22"/>
        </w:rPr>
        <w:t>During the 24</w:t>
      </w:r>
      <w:r w:rsidRPr="00E96CAB">
        <w:rPr>
          <w:sz w:val="22"/>
          <w:szCs w:val="22"/>
        </w:rPr>
        <w:noBreakHyphen/>
      </w:r>
      <w:r w:rsidRPr="00E96CAB">
        <w:rPr>
          <w:bCs/>
          <w:sz w:val="22"/>
          <w:szCs w:val="22"/>
        </w:rPr>
        <w:t>week, placebo</w:t>
      </w:r>
      <w:r w:rsidRPr="00E96CAB">
        <w:rPr>
          <w:sz w:val="22"/>
          <w:szCs w:val="22"/>
        </w:rPr>
        <w:noBreakHyphen/>
      </w:r>
      <w:r w:rsidRPr="00E96CAB">
        <w:rPr>
          <w:bCs/>
          <w:sz w:val="22"/>
          <w:szCs w:val="22"/>
        </w:rPr>
        <w:t xml:space="preserve">controlled, Phase 3 studies, </w:t>
      </w:r>
      <w:r w:rsidRPr="00E96CAB">
        <w:rPr>
          <w:bCs/>
          <w:sz w:val="22"/>
          <w:szCs w:val="22"/>
          <w:lang w:val="en-CA"/>
        </w:rPr>
        <w:t xml:space="preserve">adverse reactions related to </w:t>
      </w:r>
      <w:proofErr w:type="gramStart"/>
      <w:r w:rsidRPr="00E96CAB">
        <w:rPr>
          <w:bCs/>
          <w:sz w:val="22"/>
          <w:szCs w:val="22"/>
          <w:lang w:val="en-CA"/>
        </w:rPr>
        <w:t>increased</w:t>
      </w:r>
      <w:proofErr w:type="gramEnd"/>
      <w:r w:rsidRPr="00E96CAB">
        <w:rPr>
          <w:bCs/>
          <w:sz w:val="22"/>
          <w:szCs w:val="22"/>
          <w:lang w:val="en-CA"/>
        </w:rPr>
        <w:t xml:space="preserve"> blood pressure (</w:t>
      </w:r>
      <w:r w:rsidRPr="00E96CAB">
        <w:rPr>
          <w:bCs/>
          <w:i/>
          <w:sz w:val="22"/>
          <w:szCs w:val="22"/>
          <w:lang w:val="en-CA"/>
        </w:rPr>
        <w:t>e.g</w:t>
      </w:r>
      <w:r w:rsidRPr="00BF4243">
        <w:rPr>
          <w:bCs/>
          <w:i/>
          <w:sz w:val="22"/>
          <w:szCs w:val="22"/>
          <w:lang w:val="en-CA"/>
        </w:rPr>
        <w:t>.</w:t>
      </w:r>
      <w:r w:rsidRPr="00BF4243">
        <w:rPr>
          <w:bCs/>
          <w:sz w:val="22"/>
          <w:szCs w:val="22"/>
          <w:lang w:val="en-CA"/>
        </w:rPr>
        <w:t xml:space="preserve">, hypertension, blood pressure increased) were reported in 0.9% (7/738) of patients treated with </w:t>
      </w:r>
      <w:proofErr w:type="spellStart"/>
      <w:r w:rsidRPr="00BF4243">
        <w:t>lumacaftor</w:t>
      </w:r>
      <w:proofErr w:type="spellEnd"/>
      <w:r w:rsidRPr="00BF4243">
        <w:t>/</w:t>
      </w:r>
      <w:proofErr w:type="spellStart"/>
      <w:r w:rsidRPr="00BF4243">
        <w:t>ivacaftor</w:t>
      </w:r>
      <w:proofErr w:type="spellEnd"/>
      <w:r w:rsidRPr="00BF4243">
        <w:t xml:space="preserve"> </w:t>
      </w:r>
      <w:r w:rsidRPr="00BF4243">
        <w:rPr>
          <w:bCs/>
          <w:sz w:val="22"/>
          <w:szCs w:val="22"/>
          <w:lang w:val="en-CA"/>
        </w:rPr>
        <w:t>and in no patients who received placebo.</w:t>
      </w:r>
    </w:p>
    <w:p w:rsidR="00F42556" w:rsidRPr="00BF4243" w:rsidRDefault="00F42556" w:rsidP="00F42556">
      <w:pPr>
        <w:rPr>
          <w:sz w:val="22"/>
          <w:szCs w:val="22"/>
          <w:lang w:val="en-CA"/>
        </w:rPr>
      </w:pPr>
    </w:p>
    <w:p w:rsidR="00F42556" w:rsidRPr="00E96CAB" w:rsidRDefault="00F42556" w:rsidP="00F42556">
      <w:pPr>
        <w:rPr>
          <w:sz w:val="22"/>
          <w:szCs w:val="22"/>
        </w:rPr>
      </w:pPr>
      <w:r w:rsidRPr="00BF4243">
        <w:rPr>
          <w:sz w:val="22"/>
          <w:szCs w:val="22"/>
        </w:rPr>
        <w:t xml:space="preserve">In patients treated with </w:t>
      </w:r>
      <w:proofErr w:type="spellStart"/>
      <w:r w:rsidRPr="00BF4243">
        <w:t>lumacaftor</w:t>
      </w:r>
      <w:proofErr w:type="spellEnd"/>
      <w:r w:rsidRPr="00BF4243">
        <w:t>/</w:t>
      </w:r>
      <w:proofErr w:type="spellStart"/>
      <w:r w:rsidRPr="00BF4243">
        <w:t>ivacaftor</w:t>
      </w:r>
      <w:proofErr w:type="spellEnd"/>
      <w:r>
        <w:t xml:space="preserve"> </w:t>
      </w:r>
      <w:r w:rsidRPr="00E96CAB">
        <w:rPr>
          <w:sz w:val="22"/>
          <w:szCs w:val="22"/>
        </w:rPr>
        <w:t>the maximum increase from baseline (114 mm Hg systolic and 69 mm Hg diastolic) in mean systolic and diastolic blood pressure was 3.1 mm Hg and 1.8 mm Hg, respectively. In patients who received placebo the maximum increase from baseline (114 mm Hg systolic and 69 mm Hg diastolic) in mean systolic and diastolic blood pressure was 0.9 mm Hg and 0.9 mm Hg, respectively.</w:t>
      </w:r>
    </w:p>
    <w:p w:rsidR="00F42556" w:rsidRPr="00E96CAB" w:rsidRDefault="00F42556" w:rsidP="00F42556">
      <w:pPr>
        <w:rPr>
          <w:sz w:val="22"/>
          <w:szCs w:val="22"/>
        </w:rPr>
      </w:pPr>
    </w:p>
    <w:p w:rsidR="00F42556" w:rsidRPr="00E96CAB" w:rsidRDefault="00F42556" w:rsidP="00F42556">
      <w:pPr>
        <w:rPr>
          <w:sz w:val="22"/>
          <w:szCs w:val="22"/>
          <w:lang w:val="en-CA"/>
        </w:rPr>
      </w:pPr>
      <w:r w:rsidRPr="00E96CAB">
        <w:rPr>
          <w:sz w:val="22"/>
          <w:szCs w:val="22"/>
          <w:lang w:val="en-CA"/>
        </w:rPr>
        <w:t>The proportion of patients who experienced a systolic blood pressure value &gt;140 mm Hg or a diastolic blood pressure &gt;90 mm Hg on at least two occasions was 3.4% and 1.5% in patients treated with</w:t>
      </w:r>
      <w:r>
        <w:t xml:space="preserve"> </w:t>
      </w:r>
      <w:proofErr w:type="spellStart"/>
      <w:r w:rsidRPr="00BF4243">
        <w:t>lumacaftor</w:t>
      </w:r>
      <w:proofErr w:type="spellEnd"/>
      <w:r w:rsidRPr="00BF4243">
        <w:t>/</w:t>
      </w:r>
      <w:proofErr w:type="spellStart"/>
      <w:r w:rsidRPr="00BF4243">
        <w:t>ivacaftor</w:t>
      </w:r>
      <w:proofErr w:type="spellEnd"/>
      <w:r w:rsidRPr="00E96CAB">
        <w:rPr>
          <w:bCs/>
          <w:sz w:val="22"/>
          <w:szCs w:val="22"/>
        </w:rPr>
        <w:t xml:space="preserve">, respectively, </w:t>
      </w:r>
      <w:r w:rsidRPr="00E96CAB">
        <w:rPr>
          <w:sz w:val="22"/>
          <w:szCs w:val="22"/>
          <w:lang w:val="en-CA"/>
        </w:rPr>
        <w:t>compared with 1.6% and 0.5% in patients who received placebo</w:t>
      </w:r>
      <w:r w:rsidRPr="00E96CAB">
        <w:rPr>
          <w:sz w:val="22"/>
          <w:szCs w:val="22"/>
        </w:rPr>
        <w:t xml:space="preserve"> </w:t>
      </w:r>
      <w:r w:rsidRPr="00E96CAB">
        <w:rPr>
          <w:sz w:val="22"/>
          <w:szCs w:val="22"/>
          <w:lang w:val="en-CA"/>
        </w:rPr>
        <w:t>(see PRECAUTIONS).</w:t>
      </w:r>
    </w:p>
    <w:p w:rsidR="00F42556" w:rsidRPr="00E96CAB" w:rsidRDefault="00F42556" w:rsidP="00F42556">
      <w:pPr>
        <w:rPr>
          <w:sz w:val="22"/>
          <w:szCs w:val="22"/>
        </w:rPr>
      </w:pPr>
    </w:p>
    <w:p w:rsidR="00F42556" w:rsidRPr="00E96CAB" w:rsidRDefault="00F42556" w:rsidP="00F42556">
      <w:pPr>
        <w:widowControl w:val="0"/>
        <w:rPr>
          <w:b/>
          <w:sz w:val="22"/>
          <w:szCs w:val="22"/>
        </w:rPr>
      </w:pPr>
      <w:r w:rsidRPr="00E96CAB">
        <w:rPr>
          <w:b/>
          <w:sz w:val="22"/>
          <w:szCs w:val="22"/>
        </w:rPr>
        <w:t>Post</w:t>
      </w:r>
      <w:r w:rsidRPr="00E96CAB">
        <w:rPr>
          <w:b/>
          <w:sz w:val="22"/>
          <w:szCs w:val="22"/>
        </w:rPr>
        <w:noBreakHyphen/>
        <w:t>Marketing Experience</w:t>
      </w:r>
    </w:p>
    <w:p w:rsidR="00F42556" w:rsidRPr="00E96CAB" w:rsidRDefault="00F42556" w:rsidP="00F42556">
      <w:pPr>
        <w:widowControl w:val="0"/>
        <w:rPr>
          <w:sz w:val="22"/>
          <w:szCs w:val="22"/>
        </w:rPr>
      </w:pPr>
      <w:r w:rsidRPr="00E96CAB">
        <w:rPr>
          <w:sz w:val="22"/>
          <w:szCs w:val="22"/>
        </w:rPr>
        <w:t>There are no updates from post</w:t>
      </w:r>
      <w:r w:rsidRPr="00E96CAB">
        <w:rPr>
          <w:sz w:val="22"/>
          <w:szCs w:val="22"/>
        </w:rPr>
        <w:noBreakHyphen/>
        <w:t>marketing experience.</w:t>
      </w:r>
    </w:p>
    <w:p w:rsidR="00F42556" w:rsidRPr="00E96CAB" w:rsidRDefault="00F42556" w:rsidP="00F42556">
      <w:pPr>
        <w:widowControl w:val="0"/>
        <w:rPr>
          <w:sz w:val="22"/>
          <w:szCs w:val="22"/>
          <w:lang w:val="en-CA"/>
        </w:rPr>
      </w:pPr>
    </w:p>
    <w:p w:rsidR="00875EE7" w:rsidRPr="00E96CAB" w:rsidRDefault="00875EE7" w:rsidP="005C3973">
      <w:pPr>
        <w:widowControl w:val="0"/>
        <w:rPr>
          <w:b/>
          <w:sz w:val="22"/>
          <w:szCs w:val="22"/>
          <w:lang w:val="en-CA"/>
        </w:rPr>
      </w:pPr>
      <w:r w:rsidRPr="00E96CAB">
        <w:rPr>
          <w:b/>
          <w:sz w:val="22"/>
          <w:szCs w:val="22"/>
          <w:lang w:val="en-CA"/>
        </w:rPr>
        <w:t>DOSAGE AND ADMINISTRATION</w:t>
      </w:r>
    </w:p>
    <w:p w:rsidR="00875EE7" w:rsidRPr="00E96CAB" w:rsidRDefault="00875EE7" w:rsidP="005C3973">
      <w:pPr>
        <w:pStyle w:val="labeltext"/>
        <w:rPr>
          <w:lang w:val="en-CA"/>
        </w:rPr>
      </w:pPr>
    </w:p>
    <w:p w:rsidR="00875EE7" w:rsidRPr="00E96CAB" w:rsidRDefault="00875EE7" w:rsidP="005C3973">
      <w:pPr>
        <w:rPr>
          <w:sz w:val="22"/>
          <w:szCs w:val="22"/>
        </w:rPr>
      </w:pPr>
      <w:r w:rsidRPr="00E96CAB">
        <w:rPr>
          <w:rFonts w:eastAsia="MS Mincho"/>
          <w:sz w:val="22"/>
          <w:szCs w:val="22"/>
          <w:lang w:eastAsia="ja-JP"/>
        </w:rPr>
        <w:t xml:space="preserve">If the patient's genotype is unknown, an </w:t>
      </w:r>
      <w:r w:rsidRPr="00E96CAB">
        <w:rPr>
          <w:sz w:val="22"/>
          <w:szCs w:val="22"/>
        </w:rPr>
        <w:t xml:space="preserve">accurate and validated genotyping method should be performed to confirm the presence of </w:t>
      </w:r>
      <w:r w:rsidR="00D24B69" w:rsidRPr="00E96CAB">
        <w:rPr>
          <w:sz w:val="22"/>
          <w:szCs w:val="22"/>
          <w:lang w:val="en-GB"/>
        </w:rPr>
        <w:t xml:space="preserve">the </w:t>
      </w:r>
      <w:r w:rsidR="00D24B69" w:rsidRPr="00E96CAB">
        <w:rPr>
          <w:i/>
          <w:sz w:val="22"/>
          <w:szCs w:val="22"/>
          <w:lang w:val="en-GB"/>
        </w:rPr>
        <w:t>F508del</w:t>
      </w:r>
      <w:r w:rsidR="00D24B69" w:rsidRPr="00E96CAB">
        <w:rPr>
          <w:sz w:val="22"/>
          <w:szCs w:val="22"/>
          <w:lang w:val="en-GB"/>
        </w:rPr>
        <w:t xml:space="preserve"> mutation </w:t>
      </w:r>
      <w:r w:rsidR="00817E70" w:rsidRPr="00E96CAB">
        <w:rPr>
          <w:sz w:val="22"/>
          <w:szCs w:val="22"/>
        </w:rPr>
        <w:t>on both</w:t>
      </w:r>
      <w:r w:rsidRPr="00E96CAB">
        <w:rPr>
          <w:sz w:val="22"/>
          <w:szCs w:val="22"/>
        </w:rPr>
        <w:t xml:space="preserve"> allele</w:t>
      </w:r>
      <w:r w:rsidR="00817E70" w:rsidRPr="00E96CAB">
        <w:rPr>
          <w:sz w:val="22"/>
          <w:szCs w:val="22"/>
        </w:rPr>
        <w:t>s</w:t>
      </w:r>
      <w:r w:rsidRPr="00E96CAB">
        <w:rPr>
          <w:sz w:val="22"/>
          <w:szCs w:val="22"/>
        </w:rPr>
        <w:t xml:space="preserve"> of the </w:t>
      </w:r>
      <w:r w:rsidRPr="00E96CAB">
        <w:rPr>
          <w:i/>
          <w:sz w:val="22"/>
          <w:szCs w:val="22"/>
        </w:rPr>
        <w:t>CFTR</w:t>
      </w:r>
      <w:r w:rsidRPr="00E96CAB">
        <w:rPr>
          <w:sz w:val="22"/>
          <w:szCs w:val="22"/>
        </w:rPr>
        <w:t xml:space="preserve"> gene.</w:t>
      </w:r>
    </w:p>
    <w:p w:rsidR="00875EE7" w:rsidRPr="00E96CAB" w:rsidRDefault="00875EE7" w:rsidP="00983E4F">
      <w:pPr>
        <w:pStyle w:val="labeltext"/>
      </w:pPr>
    </w:p>
    <w:p w:rsidR="00583D24" w:rsidRPr="00E96CAB" w:rsidRDefault="00583D24" w:rsidP="00583D24">
      <w:pPr>
        <w:pStyle w:val="MediumGrid21"/>
        <w:rPr>
          <w:rFonts w:ascii="Times New Roman" w:hAnsi="Times New Roman"/>
          <w:i/>
        </w:rPr>
      </w:pPr>
      <w:r w:rsidRPr="00E96CAB">
        <w:rPr>
          <w:rFonts w:ascii="Times New Roman" w:hAnsi="Times New Roman"/>
          <w:i/>
        </w:rPr>
        <w:t xml:space="preserve">Adults, </w:t>
      </w:r>
      <w:r w:rsidR="001353BB" w:rsidRPr="00E96CAB">
        <w:rPr>
          <w:rFonts w:ascii="Times New Roman" w:hAnsi="Times New Roman"/>
          <w:i/>
        </w:rPr>
        <w:t>A</w:t>
      </w:r>
      <w:r w:rsidRPr="00E96CAB">
        <w:rPr>
          <w:rFonts w:ascii="Times New Roman" w:hAnsi="Times New Roman"/>
          <w:i/>
        </w:rPr>
        <w:t>dolescents</w:t>
      </w:r>
      <w:r w:rsidR="00817E70" w:rsidRPr="00E96CAB">
        <w:rPr>
          <w:rFonts w:ascii="Times New Roman" w:hAnsi="Times New Roman"/>
          <w:i/>
        </w:rPr>
        <w:t>,</w:t>
      </w:r>
      <w:r w:rsidRPr="00E96CAB">
        <w:rPr>
          <w:rFonts w:ascii="Times New Roman" w:hAnsi="Times New Roman"/>
          <w:i/>
        </w:rPr>
        <w:t xml:space="preserve"> and </w:t>
      </w:r>
      <w:r w:rsidR="001353BB" w:rsidRPr="00E96CAB">
        <w:rPr>
          <w:rFonts w:ascii="Times New Roman" w:hAnsi="Times New Roman"/>
          <w:i/>
        </w:rPr>
        <w:t>C</w:t>
      </w:r>
      <w:r w:rsidRPr="00E96CAB">
        <w:rPr>
          <w:rFonts w:ascii="Times New Roman" w:hAnsi="Times New Roman"/>
          <w:i/>
        </w:rPr>
        <w:t xml:space="preserve">hildren </w:t>
      </w:r>
      <w:r w:rsidR="001353BB" w:rsidRPr="00E96CAB">
        <w:rPr>
          <w:rFonts w:ascii="Times New Roman" w:hAnsi="Times New Roman"/>
          <w:i/>
        </w:rPr>
        <w:t>A</w:t>
      </w:r>
      <w:r w:rsidRPr="00E96CAB">
        <w:rPr>
          <w:rFonts w:ascii="Times New Roman" w:hAnsi="Times New Roman"/>
          <w:i/>
        </w:rPr>
        <w:t xml:space="preserve">ged 12 </w:t>
      </w:r>
      <w:r w:rsidR="001353BB" w:rsidRPr="00E96CAB">
        <w:rPr>
          <w:rFonts w:ascii="Times New Roman" w:hAnsi="Times New Roman"/>
          <w:i/>
        </w:rPr>
        <w:t>Y</w:t>
      </w:r>
      <w:r w:rsidRPr="00E96CAB">
        <w:rPr>
          <w:rFonts w:ascii="Times New Roman" w:hAnsi="Times New Roman"/>
          <w:i/>
        </w:rPr>
        <w:t xml:space="preserve">ears and </w:t>
      </w:r>
      <w:r w:rsidR="001353BB" w:rsidRPr="00E96CAB">
        <w:rPr>
          <w:rFonts w:ascii="Times New Roman" w:hAnsi="Times New Roman"/>
          <w:i/>
        </w:rPr>
        <w:t>O</w:t>
      </w:r>
      <w:r w:rsidRPr="00E96CAB">
        <w:rPr>
          <w:rFonts w:ascii="Times New Roman" w:hAnsi="Times New Roman"/>
          <w:i/>
        </w:rPr>
        <w:t>lder</w:t>
      </w:r>
    </w:p>
    <w:p w:rsidR="00817E70" w:rsidRPr="00E96CAB" w:rsidRDefault="00583D24" w:rsidP="00583D24">
      <w:pPr>
        <w:pStyle w:val="labeltext"/>
      </w:pPr>
      <w:r w:rsidRPr="00E96CAB">
        <w:t xml:space="preserve">The recommended dose is two tablets (each containing </w:t>
      </w:r>
      <w:proofErr w:type="spellStart"/>
      <w:r w:rsidRPr="00E96CAB">
        <w:t>lumacaftor</w:t>
      </w:r>
      <w:proofErr w:type="spellEnd"/>
      <w:r w:rsidRPr="00E96CAB">
        <w:t xml:space="preserve"> 200 mg/</w:t>
      </w:r>
      <w:proofErr w:type="spellStart"/>
      <w:r w:rsidRPr="00E96CAB">
        <w:t>ivacaftor</w:t>
      </w:r>
      <w:proofErr w:type="spellEnd"/>
      <w:r w:rsidRPr="00E96CAB">
        <w:t xml:space="preserve"> 125 mg) taken orally every 12 hours (</w:t>
      </w:r>
      <w:proofErr w:type="spellStart"/>
      <w:r w:rsidRPr="00E96CAB">
        <w:t>lumacaftor</w:t>
      </w:r>
      <w:proofErr w:type="spellEnd"/>
      <w:r w:rsidRPr="00E96CAB">
        <w:t xml:space="preserve"> 800 mg/</w:t>
      </w:r>
      <w:proofErr w:type="spellStart"/>
      <w:r w:rsidRPr="00E96CAB">
        <w:t>ivacaftor</w:t>
      </w:r>
      <w:proofErr w:type="spellEnd"/>
      <w:r w:rsidRPr="00E96CAB">
        <w:t xml:space="preserve"> 500 mg total daily dose).</w:t>
      </w:r>
    </w:p>
    <w:p w:rsidR="00875EE7" w:rsidRPr="00230806" w:rsidRDefault="00875EE7" w:rsidP="00983E4F">
      <w:pPr>
        <w:pStyle w:val="labeltext"/>
      </w:pPr>
    </w:p>
    <w:p w:rsidR="00875EE7" w:rsidRPr="00230806" w:rsidRDefault="00606C30" w:rsidP="00983E4F">
      <w:pPr>
        <w:pStyle w:val="labeltext"/>
      </w:pPr>
      <w:r w:rsidRPr="00230806">
        <w:lastRenderedPageBreak/>
        <w:t>ORKAMBI</w:t>
      </w:r>
      <w:r w:rsidR="00842BCC" w:rsidRPr="00230806">
        <w:t xml:space="preserve"> 200/125 </w:t>
      </w:r>
      <w:r w:rsidR="00875EE7" w:rsidRPr="00230806">
        <w:t xml:space="preserve">should be taken with </w:t>
      </w:r>
      <w:r w:rsidR="00583D24" w:rsidRPr="00230806">
        <w:t>fat</w:t>
      </w:r>
      <w:r w:rsidR="00583D24" w:rsidRPr="00230806">
        <w:noBreakHyphen/>
        <w:t>containing food</w:t>
      </w:r>
      <w:r w:rsidR="00875EE7" w:rsidRPr="00230806">
        <w:t>. Meals and snacks recommended in CF guidelines or meals recommended in standard nutritional guidelines contain adequate amounts of fat. Examples of meals</w:t>
      </w:r>
      <w:r w:rsidR="00583D24" w:rsidRPr="00230806">
        <w:t xml:space="preserve"> or snacks</w:t>
      </w:r>
      <w:r w:rsidR="00875EE7" w:rsidRPr="00230806">
        <w:t xml:space="preserve"> that contain fat are those prepared with butter or oils or those containing eggs, cheeses, nuts, </w:t>
      </w:r>
      <w:r w:rsidR="00583D24" w:rsidRPr="00230806">
        <w:t>chocolate</w:t>
      </w:r>
      <w:r w:rsidR="004C0901" w:rsidRPr="00230806">
        <w:t xml:space="preserve">, </w:t>
      </w:r>
      <w:r w:rsidR="00875EE7" w:rsidRPr="00230806">
        <w:t xml:space="preserve">whole milk, </w:t>
      </w:r>
      <w:r w:rsidR="00583D24" w:rsidRPr="00230806">
        <w:t>whole</w:t>
      </w:r>
      <w:r w:rsidR="00583D24" w:rsidRPr="00230806">
        <w:noBreakHyphen/>
        <w:t>milk dairy products,</w:t>
      </w:r>
      <w:r w:rsidR="00875EE7" w:rsidRPr="00230806">
        <w:t xml:space="preserve"> meats</w:t>
      </w:r>
      <w:r w:rsidR="00583D24" w:rsidRPr="00230806">
        <w:t>, avocados, oily fish,</w:t>
      </w:r>
      <w:r w:rsidR="002228A3" w:rsidRPr="00230806">
        <w:t xml:space="preserve"> and</w:t>
      </w:r>
      <w:r w:rsidR="00583D24" w:rsidRPr="00230806">
        <w:t xml:space="preserve"> soy</w:t>
      </w:r>
      <w:r w:rsidR="00583D24" w:rsidRPr="00230806">
        <w:noBreakHyphen/>
        <w:t>based products (tofu)</w:t>
      </w:r>
      <w:r w:rsidR="00F95FB1" w:rsidRPr="00230806">
        <w:t xml:space="preserve"> (see PHARMACOLOGY, Pharmacokinetics)</w:t>
      </w:r>
      <w:r w:rsidR="00875EE7" w:rsidRPr="00230806">
        <w:t>.</w:t>
      </w:r>
    </w:p>
    <w:p w:rsidR="00875EE7" w:rsidRPr="00230806" w:rsidRDefault="00875EE7" w:rsidP="00FD4104">
      <w:pPr>
        <w:rPr>
          <w:sz w:val="22"/>
          <w:szCs w:val="22"/>
        </w:rPr>
      </w:pPr>
    </w:p>
    <w:p w:rsidR="00583D24" w:rsidRPr="00230806" w:rsidRDefault="00583D24" w:rsidP="000245C6">
      <w:pPr>
        <w:rPr>
          <w:b/>
          <w:sz w:val="22"/>
          <w:szCs w:val="22"/>
        </w:rPr>
      </w:pPr>
      <w:proofErr w:type="spellStart"/>
      <w:r w:rsidRPr="00230806">
        <w:rPr>
          <w:b/>
          <w:sz w:val="22"/>
          <w:szCs w:val="22"/>
        </w:rPr>
        <w:t>Paediatric</w:t>
      </w:r>
      <w:proofErr w:type="spellEnd"/>
      <w:r w:rsidRPr="00230806">
        <w:rPr>
          <w:b/>
          <w:sz w:val="22"/>
          <w:szCs w:val="22"/>
        </w:rPr>
        <w:t xml:space="preserve"> </w:t>
      </w:r>
      <w:r w:rsidR="001353BB" w:rsidRPr="00230806">
        <w:rPr>
          <w:b/>
          <w:sz w:val="22"/>
          <w:szCs w:val="22"/>
        </w:rPr>
        <w:t>P</w:t>
      </w:r>
      <w:r w:rsidRPr="00230806">
        <w:rPr>
          <w:b/>
          <w:sz w:val="22"/>
          <w:szCs w:val="22"/>
        </w:rPr>
        <w:t>opulation</w:t>
      </w:r>
    </w:p>
    <w:p w:rsidR="00583D24" w:rsidRPr="00230806" w:rsidRDefault="00583D24" w:rsidP="000245C6">
      <w:pPr>
        <w:rPr>
          <w:b/>
          <w:sz w:val="22"/>
          <w:szCs w:val="22"/>
        </w:rPr>
      </w:pPr>
      <w:r w:rsidRPr="00230806">
        <w:rPr>
          <w:bCs/>
          <w:sz w:val="22"/>
          <w:szCs w:val="22"/>
        </w:rPr>
        <w:t>No dose adjustment is required for children and adolescents aged 12</w:t>
      </w:r>
      <w:r w:rsidRPr="00230806">
        <w:rPr>
          <w:sz w:val="22"/>
          <w:szCs w:val="22"/>
        </w:rPr>
        <w:t xml:space="preserve"> to </w:t>
      </w:r>
      <w:r w:rsidRPr="00230806">
        <w:rPr>
          <w:bCs/>
          <w:sz w:val="22"/>
          <w:szCs w:val="22"/>
        </w:rPr>
        <w:t xml:space="preserve">17 years. The safety and efficacy of </w:t>
      </w:r>
      <w:r w:rsidR="00606C30" w:rsidRPr="00230806">
        <w:rPr>
          <w:bCs/>
          <w:sz w:val="22"/>
          <w:szCs w:val="22"/>
        </w:rPr>
        <w:t>ORKAMBI</w:t>
      </w:r>
      <w:r w:rsidR="00842BCC" w:rsidRPr="00230806">
        <w:rPr>
          <w:bCs/>
          <w:sz w:val="22"/>
          <w:szCs w:val="22"/>
        </w:rPr>
        <w:t> </w:t>
      </w:r>
      <w:r w:rsidR="00842BCC" w:rsidRPr="00230806">
        <w:rPr>
          <w:sz w:val="22"/>
          <w:szCs w:val="22"/>
        </w:rPr>
        <w:t xml:space="preserve">200/125 </w:t>
      </w:r>
      <w:r w:rsidRPr="00230806">
        <w:rPr>
          <w:bCs/>
          <w:sz w:val="22"/>
          <w:szCs w:val="22"/>
        </w:rPr>
        <w:t>in children aged less than 12 years have not been established.</w:t>
      </w:r>
    </w:p>
    <w:p w:rsidR="00583D24" w:rsidRPr="00230806" w:rsidRDefault="00583D24" w:rsidP="000245C6">
      <w:pPr>
        <w:rPr>
          <w:b/>
          <w:sz w:val="22"/>
          <w:szCs w:val="22"/>
        </w:rPr>
      </w:pPr>
    </w:p>
    <w:p w:rsidR="00875EE7" w:rsidRPr="00230806" w:rsidRDefault="00875EE7" w:rsidP="000245C6">
      <w:pPr>
        <w:rPr>
          <w:i/>
          <w:sz w:val="22"/>
          <w:szCs w:val="22"/>
        </w:rPr>
      </w:pPr>
      <w:r w:rsidRPr="00230806">
        <w:rPr>
          <w:b/>
          <w:sz w:val="22"/>
          <w:szCs w:val="22"/>
        </w:rPr>
        <w:t xml:space="preserve">Use in the </w:t>
      </w:r>
      <w:r w:rsidR="001353BB" w:rsidRPr="00230806">
        <w:rPr>
          <w:b/>
          <w:sz w:val="22"/>
          <w:szCs w:val="22"/>
        </w:rPr>
        <w:t>E</w:t>
      </w:r>
      <w:r w:rsidRPr="00230806">
        <w:rPr>
          <w:b/>
          <w:sz w:val="22"/>
          <w:szCs w:val="22"/>
        </w:rPr>
        <w:t>lderly</w:t>
      </w:r>
    </w:p>
    <w:p w:rsidR="00875EE7" w:rsidRPr="00E96CAB" w:rsidRDefault="00875EE7" w:rsidP="000245C6">
      <w:pPr>
        <w:rPr>
          <w:noProof/>
          <w:sz w:val="22"/>
          <w:szCs w:val="22"/>
        </w:rPr>
      </w:pPr>
      <w:r w:rsidRPr="00230806">
        <w:rPr>
          <w:sz w:val="22"/>
          <w:szCs w:val="22"/>
        </w:rPr>
        <w:t xml:space="preserve">The efficacy and safety of </w:t>
      </w:r>
      <w:r w:rsidR="00606C30" w:rsidRPr="00230806">
        <w:rPr>
          <w:sz w:val="22"/>
          <w:szCs w:val="22"/>
        </w:rPr>
        <w:t>ORKAMBI</w:t>
      </w:r>
      <w:r w:rsidR="00842BCC" w:rsidRPr="00230806">
        <w:rPr>
          <w:sz w:val="22"/>
          <w:szCs w:val="22"/>
        </w:rPr>
        <w:t xml:space="preserve"> 200/125 </w:t>
      </w:r>
      <w:r w:rsidRPr="00230806">
        <w:rPr>
          <w:sz w:val="22"/>
          <w:szCs w:val="22"/>
        </w:rPr>
        <w:t>in</w:t>
      </w:r>
      <w:r w:rsidRPr="00E96CAB">
        <w:rPr>
          <w:sz w:val="22"/>
          <w:szCs w:val="22"/>
        </w:rPr>
        <w:t xml:space="preserve"> patients age</w:t>
      </w:r>
      <w:r w:rsidR="002228A3" w:rsidRPr="00E96CAB">
        <w:rPr>
          <w:sz w:val="22"/>
          <w:szCs w:val="22"/>
        </w:rPr>
        <w:t>d</w:t>
      </w:r>
      <w:r w:rsidRPr="00E96CAB">
        <w:rPr>
          <w:sz w:val="22"/>
          <w:szCs w:val="22"/>
        </w:rPr>
        <w:t xml:space="preserve"> 65 years or older have not been evaluated.</w:t>
      </w:r>
    </w:p>
    <w:p w:rsidR="00875EE7" w:rsidRPr="00E96CAB" w:rsidRDefault="00875EE7" w:rsidP="000245C6">
      <w:pPr>
        <w:tabs>
          <w:tab w:val="left" w:pos="270"/>
        </w:tabs>
        <w:rPr>
          <w:sz w:val="22"/>
          <w:szCs w:val="22"/>
        </w:rPr>
      </w:pPr>
    </w:p>
    <w:p w:rsidR="00875EE7" w:rsidRPr="00E96CAB" w:rsidRDefault="00875EE7" w:rsidP="000245C6">
      <w:pPr>
        <w:rPr>
          <w:b/>
          <w:sz w:val="22"/>
          <w:szCs w:val="22"/>
        </w:rPr>
      </w:pPr>
      <w:r w:rsidRPr="00E96CAB">
        <w:rPr>
          <w:b/>
          <w:sz w:val="22"/>
          <w:szCs w:val="22"/>
        </w:rPr>
        <w:t>Use in Renal Insufficiency</w:t>
      </w:r>
    </w:p>
    <w:p w:rsidR="00875EE7" w:rsidRPr="00E96CAB" w:rsidRDefault="00875EE7" w:rsidP="000245C6">
      <w:pPr>
        <w:rPr>
          <w:sz w:val="22"/>
          <w:szCs w:val="22"/>
        </w:rPr>
      </w:pPr>
      <w:r w:rsidRPr="00E96CAB">
        <w:rPr>
          <w:sz w:val="22"/>
          <w:szCs w:val="22"/>
        </w:rPr>
        <w:t xml:space="preserve">No dose adjustment is necessary for patients with mild to moderate renal impairment. Caution is recommended while using </w:t>
      </w:r>
      <w:r w:rsidR="00606C30" w:rsidRPr="00230806">
        <w:rPr>
          <w:sz w:val="22"/>
          <w:szCs w:val="22"/>
        </w:rPr>
        <w:t>ORKAMBI</w:t>
      </w:r>
      <w:r w:rsidR="00842BCC" w:rsidRPr="00230806">
        <w:rPr>
          <w:sz w:val="22"/>
          <w:szCs w:val="22"/>
        </w:rPr>
        <w:t xml:space="preserve"> 200/125 </w:t>
      </w:r>
      <w:r w:rsidRPr="00230806">
        <w:rPr>
          <w:sz w:val="22"/>
          <w:szCs w:val="22"/>
        </w:rPr>
        <w:t>in</w:t>
      </w:r>
      <w:r w:rsidRPr="00E96CAB">
        <w:rPr>
          <w:sz w:val="22"/>
          <w:szCs w:val="22"/>
        </w:rPr>
        <w:t xml:space="preserve"> patients with severe renal impairment (creatinine clearance less than or equal to 30</w:t>
      </w:r>
      <w:r w:rsidR="00583D24" w:rsidRPr="00E96CAB">
        <w:rPr>
          <w:sz w:val="22"/>
          <w:szCs w:val="22"/>
        </w:rPr>
        <w:t> </w:t>
      </w:r>
      <w:r w:rsidRPr="00E96CAB">
        <w:rPr>
          <w:sz w:val="22"/>
          <w:szCs w:val="22"/>
        </w:rPr>
        <w:t>mL/min) or end</w:t>
      </w:r>
      <w:r w:rsidR="00583D24" w:rsidRPr="00E96CAB">
        <w:rPr>
          <w:sz w:val="22"/>
          <w:szCs w:val="22"/>
        </w:rPr>
        <w:noBreakHyphen/>
      </w:r>
      <w:r w:rsidRPr="00E96CAB">
        <w:rPr>
          <w:sz w:val="22"/>
          <w:szCs w:val="22"/>
        </w:rPr>
        <w:t>stage renal disease (see</w:t>
      </w:r>
      <w:r w:rsidR="00C40CEA" w:rsidRPr="00E96CAB">
        <w:rPr>
          <w:sz w:val="22"/>
          <w:szCs w:val="22"/>
        </w:rPr>
        <w:t xml:space="preserve"> </w:t>
      </w:r>
      <w:r w:rsidR="001353BB" w:rsidRPr="00E96CAB">
        <w:rPr>
          <w:sz w:val="22"/>
          <w:szCs w:val="22"/>
        </w:rPr>
        <w:t>PHARMACOLOGY)</w:t>
      </w:r>
      <w:r w:rsidRPr="00E96CAB">
        <w:rPr>
          <w:sz w:val="22"/>
          <w:szCs w:val="22"/>
        </w:rPr>
        <w:t>.</w:t>
      </w:r>
    </w:p>
    <w:p w:rsidR="00875EE7" w:rsidRPr="00E96CAB" w:rsidRDefault="00875EE7" w:rsidP="000245C6">
      <w:pPr>
        <w:rPr>
          <w:b/>
          <w:i/>
          <w:sz w:val="22"/>
          <w:szCs w:val="22"/>
        </w:rPr>
      </w:pPr>
    </w:p>
    <w:p w:rsidR="00875EE7" w:rsidRPr="00E96CAB" w:rsidRDefault="00875EE7" w:rsidP="000245C6">
      <w:pPr>
        <w:rPr>
          <w:b/>
          <w:sz w:val="22"/>
          <w:szCs w:val="22"/>
        </w:rPr>
      </w:pPr>
      <w:r w:rsidRPr="00E96CAB">
        <w:rPr>
          <w:b/>
          <w:sz w:val="22"/>
          <w:szCs w:val="22"/>
        </w:rPr>
        <w:t>Use in Hepatic Insufficiency</w:t>
      </w:r>
    </w:p>
    <w:p w:rsidR="00F95FB1" w:rsidRPr="00E96CAB" w:rsidRDefault="00875EE7" w:rsidP="000245C6">
      <w:pPr>
        <w:pStyle w:val="labeltext"/>
      </w:pPr>
      <w:r w:rsidRPr="00E96CAB">
        <w:t>No dose adjustment is necessary for patients with mild hepatic impairment (Child</w:t>
      </w:r>
      <w:r w:rsidR="00583D24" w:rsidRPr="00E96CAB">
        <w:noBreakHyphen/>
      </w:r>
      <w:r w:rsidRPr="00E96CAB">
        <w:t xml:space="preserve">Pugh Class A). A dose </w:t>
      </w:r>
      <w:r w:rsidR="00583D24" w:rsidRPr="00E96CAB">
        <w:t>reduction to 2 tablets in the morning and 1 tablet in the evening (</w:t>
      </w:r>
      <w:proofErr w:type="spellStart"/>
      <w:r w:rsidR="00583D24" w:rsidRPr="00E96CAB">
        <w:t>lumacaftor</w:t>
      </w:r>
      <w:proofErr w:type="spellEnd"/>
      <w:r w:rsidR="00583D24" w:rsidRPr="00E96CAB">
        <w:t xml:space="preserve"> 600 mg/</w:t>
      </w:r>
      <w:proofErr w:type="spellStart"/>
      <w:r w:rsidR="00583D24" w:rsidRPr="00E96CAB">
        <w:t>ivacaftor</w:t>
      </w:r>
      <w:proofErr w:type="spellEnd"/>
      <w:r w:rsidR="00583D24" w:rsidRPr="00E96CAB">
        <w:t xml:space="preserve"> 375 mg total daily dose)</w:t>
      </w:r>
      <w:r w:rsidRPr="00E96CAB">
        <w:t xml:space="preserve"> is recommended </w:t>
      </w:r>
      <w:r w:rsidR="00583D24" w:rsidRPr="00E96CAB">
        <w:t xml:space="preserve">for </w:t>
      </w:r>
      <w:r w:rsidRPr="00E96CAB">
        <w:t>patients with moderate hepatic impairment (Child</w:t>
      </w:r>
      <w:r w:rsidR="00583D24" w:rsidRPr="00E96CAB">
        <w:noBreakHyphen/>
      </w:r>
      <w:r w:rsidRPr="00E96CAB">
        <w:t>Pugh Class B).</w:t>
      </w:r>
    </w:p>
    <w:p w:rsidR="00F95FB1" w:rsidRPr="00E96CAB" w:rsidRDefault="00F95FB1" w:rsidP="000245C6">
      <w:pPr>
        <w:pStyle w:val="labeltext"/>
      </w:pPr>
    </w:p>
    <w:p w:rsidR="00875EE7" w:rsidRPr="00E96CAB" w:rsidRDefault="00583D24" w:rsidP="000245C6">
      <w:pPr>
        <w:pStyle w:val="labeltext"/>
        <w:rPr>
          <w:bCs/>
        </w:rPr>
      </w:pPr>
      <w:r w:rsidRPr="00E96CAB">
        <w:rPr>
          <w:bCs/>
        </w:rPr>
        <w:t>Studies have not been conducted in patients with severe hepatic impairment (Child</w:t>
      </w:r>
      <w:r w:rsidRPr="00E96CAB">
        <w:noBreakHyphen/>
      </w:r>
      <w:r w:rsidRPr="00E96CAB">
        <w:rPr>
          <w:bCs/>
        </w:rPr>
        <w:t xml:space="preserve">Pugh Class C), but exposure is expected to be higher than in patients with moderate hepatic impairment. Therefore, use with caution at a maximum dose of </w:t>
      </w:r>
      <w:proofErr w:type="spellStart"/>
      <w:r w:rsidRPr="00E96CAB">
        <w:rPr>
          <w:bCs/>
        </w:rPr>
        <w:t>lumacaftor</w:t>
      </w:r>
      <w:proofErr w:type="spellEnd"/>
      <w:r w:rsidRPr="00E96CAB">
        <w:rPr>
          <w:bCs/>
        </w:rPr>
        <w:t xml:space="preserve"> 400 mg/</w:t>
      </w:r>
      <w:proofErr w:type="spellStart"/>
      <w:r w:rsidRPr="00E96CAB">
        <w:rPr>
          <w:bCs/>
        </w:rPr>
        <w:t>ivacaftor</w:t>
      </w:r>
      <w:proofErr w:type="spellEnd"/>
      <w:r w:rsidRPr="00E96CAB">
        <w:rPr>
          <w:bCs/>
        </w:rPr>
        <w:t xml:space="preserve"> 250 mg total daily dose, given as 1 tablet in the morning and 1 tablet in the evening, or less, in patients with severe hepatic impairment after weighing the risks and benefits of treatment </w:t>
      </w:r>
      <w:r w:rsidR="00875EE7" w:rsidRPr="00E96CAB">
        <w:rPr>
          <w:bCs/>
        </w:rPr>
        <w:t xml:space="preserve">(see </w:t>
      </w:r>
      <w:r w:rsidR="002578CD" w:rsidRPr="00E96CAB">
        <w:rPr>
          <w:bCs/>
        </w:rPr>
        <w:t xml:space="preserve">PHARMACOLOGY, </w:t>
      </w:r>
      <w:r w:rsidR="00875EE7" w:rsidRPr="00E96CAB">
        <w:rPr>
          <w:bCs/>
        </w:rPr>
        <w:t>PRECAUTIONS</w:t>
      </w:r>
      <w:r w:rsidR="002578CD" w:rsidRPr="00E96CAB">
        <w:rPr>
          <w:bCs/>
        </w:rPr>
        <w:t>,</w:t>
      </w:r>
      <w:r w:rsidR="00875EE7" w:rsidRPr="00E96CAB">
        <w:rPr>
          <w:bCs/>
        </w:rPr>
        <w:t xml:space="preserve"> and </w:t>
      </w:r>
      <w:r w:rsidR="002578CD" w:rsidRPr="00E96CAB">
        <w:rPr>
          <w:bCs/>
        </w:rPr>
        <w:t>ADVERSE EFFECTS</w:t>
      </w:r>
      <w:r w:rsidR="00875EE7" w:rsidRPr="00E96CAB">
        <w:rPr>
          <w:bCs/>
        </w:rPr>
        <w:t>).</w:t>
      </w:r>
    </w:p>
    <w:p w:rsidR="00875EE7" w:rsidRPr="00E96CAB" w:rsidRDefault="00875EE7" w:rsidP="000245C6">
      <w:pPr>
        <w:pStyle w:val="labeltext"/>
        <w:rPr>
          <w:bCs/>
        </w:rPr>
      </w:pPr>
    </w:p>
    <w:p w:rsidR="00875EE7" w:rsidRPr="00E96CAB" w:rsidRDefault="00875EE7" w:rsidP="00196DD9">
      <w:pPr>
        <w:pStyle w:val="labeltext"/>
        <w:rPr>
          <w:b/>
        </w:rPr>
      </w:pPr>
      <w:r w:rsidRPr="00E96CAB">
        <w:rPr>
          <w:b/>
        </w:rPr>
        <w:t xml:space="preserve">Use in Combination </w:t>
      </w:r>
      <w:proofErr w:type="gramStart"/>
      <w:r w:rsidR="00C40CEA" w:rsidRPr="00E96CAB">
        <w:rPr>
          <w:b/>
        </w:rPr>
        <w:t>W</w:t>
      </w:r>
      <w:r w:rsidRPr="00E96CAB">
        <w:rPr>
          <w:b/>
        </w:rPr>
        <w:t>ith</w:t>
      </w:r>
      <w:proofErr w:type="gramEnd"/>
      <w:r w:rsidRPr="00E96CAB">
        <w:rPr>
          <w:b/>
        </w:rPr>
        <w:t xml:space="preserve"> </w:t>
      </w:r>
      <w:r w:rsidR="00001325" w:rsidRPr="00E96CAB">
        <w:rPr>
          <w:b/>
        </w:rPr>
        <w:t xml:space="preserve">Strong </w:t>
      </w:r>
      <w:r w:rsidR="00F95FB1" w:rsidRPr="00E96CAB">
        <w:rPr>
          <w:b/>
        </w:rPr>
        <w:t>CYP3A Inhibitors</w:t>
      </w:r>
    </w:p>
    <w:p w:rsidR="00583D24" w:rsidRPr="00E96CAB" w:rsidRDefault="00583D24" w:rsidP="00583D24">
      <w:pPr>
        <w:pStyle w:val="labeltext"/>
        <w:rPr>
          <w:lang w:val="en-GB"/>
        </w:rPr>
      </w:pPr>
      <w:r w:rsidRPr="00E96CAB">
        <w:rPr>
          <w:lang w:val="en-GB"/>
        </w:rPr>
        <w:t xml:space="preserve">No dose adjustment is necessary when CYP3A inhibitors are initiated in patients currently taking </w:t>
      </w:r>
      <w:r w:rsidR="00606C30" w:rsidRPr="00230806">
        <w:rPr>
          <w:lang w:val="en-GB"/>
        </w:rPr>
        <w:t>ORKAMB</w:t>
      </w:r>
      <w:r w:rsidR="00842BCC" w:rsidRPr="00230806">
        <w:rPr>
          <w:lang w:val="en-GB"/>
        </w:rPr>
        <w:t>I </w:t>
      </w:r>
      <w:r w:rsidR="00842BCC" w:rsidRPr="00230806">
        <w:t>200/125</w:t>
      </w:r>
      <w:r w:rsidRPr="00230806">
        <w:rPr>
          <w:lang w:val="en-GB"/>
        </w:rPr>
        <w:t xml:space="preserve">. However, when initiating </w:t>
      </w:r>
      <w:r w:rsidR="00606C30" w:rsidRPr="00230806">
        <w:rPr>
          <w:lang w:val="en-GB"/>
        </w:rPr>
        <w:t>ORKAMBI</w:t>
      </w:r>
      <w:r w:rsidR="00842BCC" w:rsidRPr="00230806">
        <w:rPr>
          <w:lang w:val="en-GB"/>
        </w:rPr>
        <w:t> </w:t>
      </w:r>
      <w:r w:rsidR="00842BCC" w:rsidRPr="00230806">
        <w:t xml:space="preserve">200/125 </w:t>
      </w:r>
      <w:r w:rsidRPr="00230806">
        <w:rPr>
          <w:lang w:val="en-GB"/>
        </w:rPr>
        <w:t xml:space="preserve">in patients </w:t>
      </w:r>
      <w:r w:rsidR="00001325" w:rsidRPr="00230806">
        <w:rPr>
          <w:lang w:val="en-GB"/>
        </w:rPr>
        <w:t xml:space="preserve">currently </w:t>
      </w:r>
      <w:r w:rsidRPr="00230806">
        <w:rPr>
          <w:lang w:val="en-GB"/>
        </w:rPr>
        <w:t xml:space="preserve">taking strong CYP3A inhibitors (e.g., </w:t>
      </w:r>
      <w:proofErr w:type="spellStart"/>
      <w:r w:rsidRPr="00230806">
        <w:rPr>
          <w:lang w:val="en-GB"/>
        </w:rPr>
        <w:t>itraconazole</w:t>
      </w:r>
      <w:proofErr w:type="spellEnd"/>
      <w:r w:rsidRPr="00230806">
        <w:rPr>
          <w:lang w:val="en-GB"/>
        </w:rPr>
        <w:t xml:space="preserve">), reduce </w:t>
      </w:r>
      <w:r w:rsidR="00606C30" w:rsidRPr="00230806">
        <w:rPr>
          <w:lang w:val="en-GB"/>
        </w:rPr>
        <w:t>ORKAMBI</w:t>
      </w:r>
      <w:r w:rsidR="00842BCC" w:rsidRPr="00230806">
        <w:rPr>
          <w:lang w:val="en-GB"/>
        </w:rPr>
        <w:t> </w:t>
      </w:r>
      <w:r w:rsidR="00842BCC" w:rsidRPr="00230806">
        <w:t xml:space="preserve">200/125 </w:t>
      </w:r>
      <w:r w:rsidRPr="00230806">
        <w:rPr>
          <w:lang w:val="en-GB"/>
        </w:rPr>
        <w:t>dose to 1 tablet daily (</w:t>
      </w:r>
      <w:proofErr w:type="spellStart"/>
      <w:r w:rsidRPr="00230806">
        <w:rPr>
          <w:lang w:val="en-GB"/>
        </w:rPr>
        <w:t>lumacaftor</w:t>
      </w:r>
      <w:proofErr w:type="spellEnd"/>
      <w:r w:rsidRPr="00230806">
        <w:rPr>
          <w:lang w:val="en-GB"/>
        </w:rPr>
        <w:t xml:space="preserve"> 200 mg/</w:t>
      </w:r>
      <w:proofErr w:type="spellStart"/>
      <w:r w:rsidRPr="00230806">
        <w:rPr>
          <w:lang w:val="en-GB"/>
        </w:rPr>
        <w:t>ivacaftor</w:t>
      </w:r>
      <w:proofErr w:type="spellEnd"/>
      <w:r w:rsidRPr="00230806">
        <w:rPr>
          <w:lang w:val="en-GB"/>
        </w:rPr>
        <w:t xml:space="preserve"> 125 mg total daily dose) for the first wee</w:t>
      </w:r>
      <w:r w:rsidRPr="00E96CAB">
        <w:rPr>
          <w:lang w:val="en-GB"/>
        </w:rPr>
        <w:t>k of treatment. Following this period, continue with the recommended daily dose.</w:t>
      </w:r>
    </w:p>
    <w:p w:rsidR="00583D24" w:rsidRPr="00E96CAB" w:rsidRDefault="00583D24" w:rsidP="00583D24">
      <w:pPr>
        <w:pStyle w:val="labeltext"/>
        <w:rPr>
          <w:lang w:val="en-GB"/>
        </w:rPr>
      </w:pPr>
    </w:p>
    <w:p w:rsidR="00875EE7" w:rsidRPr="00E96CAB" w:rsidRDefault="00583D24" w:rsidP="00583D24">
      <w:pPr>
        <w:pStyle w:val="labeltext"/>
        <w:rPr>
          <w:lang w:val="en-GB"/>
        </w:rPr>
      </w:pPr>
      <w:r w:rsidRPr="00E96CAB">
        <w:rPr>
          <w:lang w:val="en-GB"/>
        </w:rPr>
        <w:t xml:space="preserve">If </w:t>
      </w:r>
      <w:r w:rsidR="00606C30" w:rsidRPr="00E96CAB">
        <w:rPr>
          <w:lang w:val="en-GB"/>
        </w:rPr>
        <w:t>ORKAMBI</w:t>
      </w:r>
      <w:r w:rsidR="00842BCC">
        <w:rPr>
          <w:lang w:val="en-GB"/>
        </w:rPr>
        <w:t> </w:t>
      </w:r>
      <w:r w:rsidR="00842BCC" w:rsidRPr="00230806">
        <w:t xml:space="preserve">200/125 </w:t>
      </w:r>
      <w:r w:rsidRPr="00230806">
        <w:rPr>
          <w:lang w:val="en-GB"/>
        </w:rPr>
        <w:t>is interrupted</w:t>
      </w:r>
      <w:r w:rsidRPr="00E96CAB">
        <w:rPr>
          <w:lang w:val="en-GB"/>
        </w:rPr>
        <w:t xml:space="preserve"> for more than 1 week and then re</w:t>
      </w:r>
      <w:r w:rsidRPr="00E96CAB">
        <w:rPr>
          <w:lang w:val="en-GB"/>
        </w:rPr>
        <w:noBreakHyphen/>
        <w:t xml:space="preserve">initiated while taking strong CYP3A inhibitors, reduce </w:t>
      </w:r>
      <w:r w:rsidR="00606C30" w:rsidRPr="00E96CAB">
        <w:rPr>
          <w:lang w:val="en-GB"/>
        </w:rPr>
        <w:t>ORKAMBI</w:t>
      </w:r>
      <w:r w:rsidR="00842BCC">
        <w:rPr>
          <w:lang w:val="en-GB"/>
        </w:rPr>
        <w:t> </w:t>
      </w:r>
      <w:r w:rsidR="00842BCC" w:rsidRPr="00230806">
        <w:t xml:space="preserve">200/125 </w:t>
      </w:r>
      <w:r w:rsidRPr="00230806">
        <w:rPr>
          <w:lang w:val="en-GB"/>
        </w:rPr>
        <w:t>dose</w:t>
      </w:r>
      <w:r w:rsidRPr="00E96CAB">
        <w:rPr>
          <w:lang w:val="en-GB"/>
        </w:rPr>
        <w:t xml:space="preserve"> to 1 tablet daily for the first week of treatment re</w:t>
      </w:r>
      <w:r w:rsidRPr="00E96CAB">
        <w:rPr>
          <w:lang w:val="en-GB"/>
        </w:rPr>
        <w:noBreakHyphen/>
        <w:t>initiation (</w:t>
      </w:r>
      <w:r w:rsidR="002578CD" w:rsidRPr="00E96CAB">
        <w:rPr>
          <w:lang w:val="en-GB"/>
        </w:rPr>
        <w:t>see INTERACTIONS WITH OTHER MEDICINES</w:t>
      </w:r>
      <w:r w:rsidRPr="00E96CAB">
        <w:rPr>
          <w:lang w:val="en-GB"/>
        </w:rPr>
        <w:t>). Following this period, continue with the recommended daily dose.</w:t>
      </w:r>
    </w:p>
    <w:p w:rsidR="00C155D7" w:rsidRPr="00E96CAB" w:rsidRDefault="00C155D7" w:rsidP="00583D24">
      <w:pPr>
        <w:pStyle w:val="labeltext"/>
        <w:rPr>
          <w:lang w:val="en-GB"/>
        </w:rPr>
      </w:pPr>
    </w:p>
    <w:p w:rsidR="00C155D7" w:rsidRPr="00E96CAB" w:rsidRDefault="00C155D7" w:rsidP="00C155D7">
      <w:pPr>
        <w:pStyle w:val="CommentText"/>
        <w:rPr>
          <w:sz w:val="22"/>
          <w:szCs w:val="22"/>
        </w:rPr>
      </w:pPr>
      <w:r w:rsidRPr="00E96CAB">
        <w:rPr>
          <w:b/>
          <w:sz w:val="22"/>
          <w:szCs w:val="22"/>
        </w:rPr>
        <w:t xml:space="preserve">Use in Combination </w:t>
      </w:r>
      <w:proofErr w:type="gramStart"/>
      <w:r w:rsidR="00C40CEA" w:rsidRPr="00E96CAB">
        <w:rPr>
          <w:b/>
          <w:sz w:val="22"/>
          <w:szCs w:val="22"/>
        </w:rPr>
        <w:t>W</w:t>
      </w:r>
      <w:r w:rsidRPr="00E96CAB">
        <w:rPr>
          <w:b/>
          <w:sz w:val="22"/>
          <w:szCs w:val="22"/>
        </w:rPr>
        <w:t>ith</w:t>
      </w:r>
      <w:proofErr w:type="gramEnd"/>
      <w:r w:rsidRPr="00E96CAB">
        <w:rPr>
          <w:b/>
          <w:sz w:val="22"/>
          <w:szCs w:val="22"/>
        </w:rPr>
        <w:t xml:space="preserve"> Ciprofloxacin</w:t>
      </w:r>
    </w:p>
    <w:p w:rsidR="00C155D7" w:rsidRPr="00E96CAB" w:rsidRDefault="00C155D7" w:rsidP="00C155D7">
      <w:pPr>
        <w:pStyle w:val="labeltext"/>
      </w:pPr>
      <w:r w:rsidRPr="00E96CAB">
        <w:t>No dose adju</w:t>
      </w:r>
      <w:r w:rsidR="00842BCC">
        <w:t>stment is required when ORKAMBI </w:t>
      </w:r>
      <w:r w:rsidR="00842BCC" w:rsidRPr="00230806">
        <w:t xml:space="preserve">200/125 </w:t>
      </w:r>
      <w:r w:rsidRPr="00230806">
        <w:t>is used</w:t>
      </w:r>
      <w:r w:rsidRPr="00E96CAB">
        <w:t xml:space="preserve"> with ciprofloxacin (see INTERACTIONS WITH OTHER MEDICINES).</w:t>
      </w:r>
    </w:p>
    <w:p w:rsidR="00766736" w:rsidRDefault="00766736" w:rsidP="005C3973">
      <w:pPr>
        <w:widowControl w:val="0"/>
        <w:rPr>
          <w:sz w:val="22"/>
          <w:szCs w:val="22"/>
        </w:rPr>
      </w:pPr>
    </w:p>
    <w:p w:rsidR="00766736" w:rsidRDefault="00766736" w:rsidP="005C3973">
      <w:pPr>
        <w:widowControl w:val="0"/>
        <w:rPr>
          <w:sz w:val="22"/>
          <w:szCs w:val="22"/>
        </w:rPr>
      </w:pPr>
    </w:p>
    <w:p w:rsidR="00766736" w:rsidRDefault="00766736" w:rsidP="005C3973">
      <w:pPr>
        <w:widowControl w:val="0"/>
        <w:rPr>
          <w:sz w:val="22"/>
          <w:szCs w:val="22"/>
        </w:rPr>
      </w:pPr>
    </w:p>
    <w:p w:rsidR="00875EE7" w:rsidRPr="00E96CAB" w:rsidRDefault="00875EE7" w:rsidP="005C3973">
      <w:pPr>
        <w:widowControl w:val="0"/>
        <w:rPr>
          <w:b/>
          <w:sz w:val="22"/>
          <w:szCs w:val="22"/>
        </w:rPr>
      </w:pPr>
      <w:r w:rsidRPr="00E96CAB">
        <w:rPr>
          <w:b/>
          <w:sz w:val="22"/>
          <w:szCs w:val="22"/>
        </w:rPr>
        <w:lastRenderedPageBreak/>
        <w:t xml:space="preserve">Method of </w:t>
      </w:r>
      <w:r w:rsidR="00C40CEA" w:rsidRPr="00E96CAB">
        <w:rPr>
          <w:b/>
          <w:sz w:val="22"/>
          <w:szCs w:val="22"/>
        </w:rPr>
        <w:t>A</w:t>
      </w:r>
      <w:r w:rsidRPr="00E96CAB">
        <w:rPr>
          <w:b/>
          <w:sz w:val="22"/>
          <w:szCs w:val="22"/>
        </w:rPr>
        <w:t>dministration</w:t>
      </w:r>
    </w:p>
    <w:p w:rsidR="00875EE7" w:rsidRPr="00E96CAB" w:rsidRDefault="00875EE7" w:rsidP="005419CF">
      <w:pPr>
        <w:autoSpaceDE w:val="0"/>
        <w:autoSpaceDN w:val="0"/>
        <w:adjustRightInd w:val="0"/>
        <w:rPr>
          <w:sz w:val="22"/>
          <w:szCs w:val="22"/>
        </w:rPr>
      </w:pPr>
      <w:proofErr w:type="gramStart"/>
      <w:r w:rsidRPr="00E96CAB">
        <w:rPr>
          <w:sz w:val="22"/>
          <w:szCs w:val="22"/>
        </w:rPr>
        <w:t>For oral use.</w:t>
      </w:r>
      <w:proofErr w:type="gramEnd"/>
      <w:r w:rsidRPr="00E96CAB">
        <w:rPr>
          <w:sz w:val="22"/>
          <w:szCs w:val="22"/>
          <w:lang w:eastAsia="ja-JP"/>
        </w:rPr>
        <w:t xml:space="preserve"> Patients should be instructed to swallow the tablets whole (</w:t>
      </w:r>
      <w:r w:rsidR="00C14919" w:rsidRPr="00E96CAB">
        <w:rPr>
          <w:sz w:val="22"/>
          <w:szCs w:val="22"/>
          <w:lang w:eastAsia="ja-JP"/>
        </w:rPr>
        <w:t>i.e</w:t>
      </w:r>
      <w:r w:rsidRPr="00E96CAB">
        <w:rPr>
          <w:sz w:val="22"/>
          <w:szCs w:val="22"/>
          <w:lang w:eastAsia="ja-JP"/>
        </w:rPr>
        <w:t>., patients should not chew, break</w:t>
      </w:r>
      <w:r w:rsidR="00583D24" w:rsidRPr="00E96CAB">
        <w:rPr>
          <w:sz w:val="22"/>
          <w:szCs w:val="22"/>
          <w:lang w:eastAsia="ja-JP"/>
        </w:rPr>
        <w:t>,</w:t>
      </w:r>
      <w:r w:rsidRPr="00E96CAB">
        <w:rPr>
          <w:sz w:val="22"/>
          <w:szCs w:val="22"/>
          <w:lang w:eastAsia="ja-JP"/>
        </w:rPr>
        <w:t xml:space="preserve"> or dissolve the tablet).</w:t>
      </w:r>
    </w:p>
    <w:p w:rsidR="00875EE7" w:rsidRPr="00E96CAB" w:rsidRDefault="00875EE7" w:rsidP="000245C6">
      <w:pPr>
        <w:rPr>
          <w:sz w:val="22"/>
          <w:szCs w:val="22"/>
        </w:rPr>
      </w:pPr>
    </w:p>
    <w:p w:rsidR="009D3B76" w:rsidRPr="00E96CAB" w:rsidRDefault="009D3B76" w:rsidP="000245C6">
      <w:pPr>
        <w:rPr>
          <w:sz w:val="22"/>
          <w:szCs w:val="22"/>
        </w:rPr>
      </w:pPr>
    </w:p>
    <w:p w:rsidR="00875EE7" w:rsidRPr="00E96CAB" w:rsidRDefault="00875EE7" w:rsidP="000245C6">
      <w:pPr>
        <w:rPr>
          <w:b/>
          <w:sz w:val="22"/>
          <w:szCs w:val="22"/>
        </w:rPr>
      </w:pPr>
      <w:r w:rsidRPr="00E96CAB">
        <w:rPr>
          <w:b/>
          <w:sz w:val="22"/>
          <w:szCs w:val="22"/>
        </w:rPr>
        <w:t>OVERDOSAGE</w:t>
      </w:r>
    </w:p>
    <w:p w:rsidR="005C3973" w:rsidRPr="00E96CAB" w:rsidRDefault="005C3973" w:rsidP="000245C6">
      <w:pPr>
        <w:rPr>
          <w:sz w:val="22"/>
          <w:szCs w:val="22"/>
        </w:rPr>
      </w:pPr>
    </w:p>
    <w:p w:rsidR="00875EE7" w:rsidRPr="00E96CAB" w:rsidRDefault="00875EE7" w:rsidP="00C96700">
      <w:pPr>
        <w:pStyle w:val="labeltext"/>
      </w:pPr>
      <w:r w:rsidRPr="00E96CAB">
        <w:t>For information on the management of overdose, contact the Poisons Information Centre on 131126 (Australia).</w:t>
      </w:r>
    </w:p>
    <w:p w:rsidR="00875EE7" w:rsidRPr="00E96CAB" w:rsidRDefault="00875EE7" w:rsidP="00C96700">
      <w:pPr>
        <w:pStyle w:val="labeltext"/>
      </w:pPr>
    </w:p>
    <w:p w:rsidR="00875EE7" w:rsidRPr="00E96CAB" w:rsidRDefault="00875EE7" w:rsidP="00C96700">
      <w:pPr>
        <w:pStyle w:val="NormalIndent"/>
        <w:spacing w:after="0"/>
        <w:ind w:left="0"/>
        <w:rPr>
          <w:szCs w:val="22"/>
        </w:rPr>
      </w:pPr>
      <w:r w:rsidRPr="00E96CAB">
        <w:rPr>
          <w:szCs w:val="22"/>
        </w:rPr>
        <w:t xml:space="preserve">No specific antidote is available for overdose with </w:t>
      </w:r>
      <w:r w:rsidR="00606C30" w:rsidRPr="00E96CAB">
        <w:rPr>
          <w:szCs w:val="22"/>
        </w:rPr>
        <w:t>ORKAMBI</w:t>
      </w:r>
      <w:r w:rsidR="00842BCC">
        <w:rPr>
          <w:szCs w:val="22"/>
        </w:rPr>
        <w:t> </w:t>
      </w:r>
      <w:r w:rsidR="00842BCC" w:rsidRPr="00230806">
        <w:rPr>
          <w:szCs w:val="22"/>
        </w:rPr>
        <w:t>200/125</w:t>
      </w:r>
      <w:r w:rsidR="00001325" w:rsidRPr="00E96CAB">
        <w:rPr>
          <w:szCs w:val="22"/>
        </w:rPr>
        <w:t xml:space="preserve">. Treatment of overdose </w:t>
      </w:r>
      <w:r w:rsidRPr="00E96CAB">
        <w:rPr>
          <w:szCs w:val="22"/>
        </w:rPr>
        <w:t>consists of general supportive measures including monitoring of vital signs and observation of the clinical status of the patient.</w:t>
      </w:r>
    </w:p>
    <w:p w:rsidR="00875EE7" w:rsidRPr="00E96CAB" w:rsidRDefault="00875EE7" w:rsidP="000245C6">
      <w:pPr>
        <w:rPr>
          <w:sz w:val="22"/>
          <w:szCs w:val="22"/>
          <w:lang w:val="en-GB"/>
        </w:rPr>
      </w:pPr>
    </w:p>
    <w:p w:rsidR="009D3B76" w:rsidRPr="00E96CAB" w:rsidRDefault="009D3B76" w:rsidP="000245C6">
      <w:pPr>
        <w:rPr>
          <w:sz w:val="22"/>
          <w:szCs w:val="22"/>
          <w:lang w:val="en-GB"/>
        </w:rPr>
      </w:pPr>
    </w:p>
    <w:p w:rsidR="00875EE7" w:rsidRPr="00E96CAB" w:rsidRDefault="00875EE7" w:rsidP="00656325">
      <w:pPr>
        <w:rPr>
          <w:sz w:val="22"/>
          <w:szCs w:val="22"/>
        </w:rPr>
      </w:pPr>
      <w:r w:rsidRPr="00E96CAB">
        <w:rPr>
          <w:b/>
          <w:sz w:val="22"/>
          <w:szCs w:val="22"/>
        </w:rPr>
        <w:t>PRESENTATION AND STORAGE CONDITIONS</w:t>
      </w:r>
    </w:p>
    <w:p w:rsidR="00875EE7" w:rsidRPr="00E96CAB" w:rsidRDefault="00875EE7" w:rsidP="00B24B26">
      <w:pPr>
        <w:widowControl w:val="0"/>
        <w:rPr>
          <w:sz w:val="22"/>
          <w:szCs w:val="22"/>
          <w:lang w:val="en-CA"/>
        </w:rPr>
      </w:pPr>
    </w:p>
    <w:p w:rsidR="00875EE7" w:rsidRPr="00E96CAB" w:rsidRDefault="00606C30" w:rsidP="00B24B26">
      <w:pPr>
        <w:widowControl w:val="0"/>
        <w:rPr>
          <w:sz w:val="22"/>
          <w:szCs w:val="22"/>
          <w:lang w:val="en-CA"/>
        </w:rPr>
      </w:pPr>
      <w:r w:rsidRPr="00E96CAB">
        <w:rPr>
          <w:sz w:val="22"/>
          <w:szCs w:val="22"/>
          <w:lang w:val="en-CA"/>
        </w:rPr>
        <w:t>ORKAMBI</w:t>
      </w:r>
      <w:r w:rsidR="00842BCC">
        <w:rPr>
          <w:sz w:val="22"/>
          <w:szCs w:val="22"/>
          <w:lang w:val="en-CA"/>
        </w:rPr>
        <w:t> </w:t>
      </w:r>
      <w:r w:rsidR="00842BCC" w:rsidRPr="00230806">
        <w:rPr>
          <w:sz w:val="22"/>
          <w:szCs w:val="22"/>
        </w:rPr>
        <w:t>200/125</w:t>
      </w:r>
      <w:r w:rsidR="00230806">
        <w:rPr>
          <w:sz w:val="22"/>
          <w:szCs w:val="22"/>
          <w:lang w:val="en-CA"/>
        </w:rPr>
        <w:t xml:space="preserve"> </w:t>
      </w:r>
      <w:r w:rsidR="00875EE7" w:rsidRPr="00E96CAB">
        <w:rPr>
          <w:sz w:val="22"/>
          <w:szCs w:val="22"/>
          <w:lang w:val="en-CA"/>
        </w:rPr>
        <w:t>(</w:t>
      </w:r>
      <w:proofErr w:type="spellStart"/>
      <w:r w:rsidR="00C62C79" w:rsidRPr="00E96CAB">
        <w:rPr>
          <w:sz w:val="22"/>
          <w:szCs w:val="22"/>
          <w:lang w:val="en-CA"/>
        </w:rPr>
        <w:t>lumacaftor</w:t>
      </w:r>
      <w:proofErr w:type="spellEnd"/>
      <w:r w:rsidR="00C62C79" w:rsidRPr="00E96CAB">
        <w:rPr>
          <w:sz w:val="22"/>
          <w:szCs w:val="22"/>
          <w:lang w:val="en-CA"/>
        </w:rPr>
        <w:t>/</w:t>
      </w:r>
      <w:proofErr w:type="spellStart"/>
      <w:r w:rsidR="00875EE7" w:rsidRPr="00E96CAB">
        <w:rPr>
          <w:sz w:val="22"/>
          <w:szCs w:val="22"/>
          <w:lang w:val="en-CA"/>
        </w:rPr>
        <w:t>ivacaftor</w:t>
      </w:r>
      <w:proofErr w:type="spellEnd"/>
      <w:r w:rsidR="00875EE7" w:rsidRPr="00E96CAB">
        <w:rPr>
          <w:sz w:val="22"/>
          <w:szCs w:val="22"/>
          <w:lang w:val="en-CA"/>
        </w:rPr>
        <w:t>) film</w:t>
      </w:r>
      <w:r w:rsidR="00D24B69" w:rsidRPr="00E96CAB">
        <w:rPr>
          <w:sz w:val="22"/>
          <w:szCs w:val="22"/>
          <w:lang w:val="en-CA"/>
        </w:rPr>
        <w:noBreakHyphen/>
      </w:r>
      <w:r w:rsidR="00875EE7" w:rsidRPr="00E96CAB">
        <w:rPr>
          <w:sz w:val="22"/>
          <w:szCs w:val="22"/>
          <w:lang w:val="en-CA"/>
        </w:rPr>
        <w:t xml:space="preserve">coated tablets are supplied as </w:t>
      </w:r>
      <w:r w:rsidR="00C62C79" w:rsidRPr="00E96CAB">
        <w:rPr>
          <w:sz w:val="22"/>
          <w:szCs w:val="22"/>
          <w:lang w:val="en-CA"/>
        </w:rPr>
        <w:t>pink, oval</w:t>
      </w:r>
      <w:r w:rsidR="00C62C79" w:rsidRPr="00E96CAB">
        <w:rPr>
          <w:sz w:val="22"/>
          <w:szCs w:val="22"/>
          <w:lang w:val="en-CA"/>
        </w:rPr>
        <w:noBreakHyphen/>
        <w:t>shaped</w:t>
      </w:r>
      <w:r w:rsidR="00875EE7" w:rsidRPr="00E96CAB">
        <w:rPr>
          <w:sz w:val="22"/>
          <w:szCs w:val="22"/>
          <w:lang w:val="en-CA"/>
        </w:rPr>
        <w:t xml:space="preserve"> tablets containing </w:t>
      </w:r>
      <w:r w:rsidR="00D24B69" w:rsidRPr="00E96CAB">
        <w:rPr>
          <w:sz w:val="22"/>
          <w:szCs w:val="22"/>
          <w:lang w:val="en-CA"/>
        </w:rPr>
        <w:t xml:space="preserve">200 mg of </w:t>
      </w:r>
      <w:proofErr w:type="spellStart"/>
      <w:r w:rsidR="00D24B69" w:rsidRPr="00E96CAB">
        <w:rPr>
          <w:sz w:val="22"/>
          <w:szCs w:val="22"/>
          <w:lang w:val="en-CA"/>
        </w:rPr>
        <w:t>lumacaftor</w:t>
      </w:r>
      <w:proofErr w:type="spellEnd"/>
      <w:r w:rsidR="00D24B69" w:rsidRPr="00E96CAB">
        <w:rPr>
          <w:sz w:val="22"/>
          <w:szCs w:val="22"/>
          <w:lang w:val="en-CA"/>
        </w:rPr>
        <w:t xml:space="preserve"> and 125 </w:t>
      </w:r>
      <w:r w:rsidR="00875EE7" w:rsidRPr="00E96CAB">
        <w:rPr>
          <w:sz w:val="22"/>
          <w:szCs w:val="22"/>
          <w:lang w:val="en-CA"/>
        </w:rPr>
        <w:t xml:space="preserve">mg of </w:t>
      </w:r>
      <w:proofErr w:type="spellStart"/>
      <w:r w:rsidR="00875EE7" w:rsidRPr="00E96CAB">
        <w:rPr>
          <w:sz w:val="22"/>
          <w:szCs w:val="22"/>
          <w:lang w:val="en-CA"/>
        </w:rPr>
        <w:t>ivacaftor</w:t>
      </w:r>
      <w:proofErr w:type="spellEnd"/>
      <w:r w:rsidR="00875EE7" w:rsidRPr="00E96CAB">
        <w:rPr>
          <w:sz w:val="22"/>
          <w:szCs w:val="22"/>
          <w:lang w:val="en-CA"/>
        </w:rPr>
        <w:t>. Each tablet is printed with “</w:t>
      </w:r>
      <w:r w:rsidR="00C62C79" w:rsidRPr="00E96CAB">
        <w:rPr>
          <w:sz w:val="22"/>
          <w:szCs w:val="22"/>
          <w:lang w:val="en-CA"/>
        </w:rPr>
        <w:t>2V125</w:t>
      </w:r>
      <w:r w:rsidR="00875EE7" w:rsidRPr="00E96CAB">
        <w:rPr>
          <w:sz w:val="22"/>
          <w:szCs w:val="22"/>
          <w:lang w:val="en-CA"/>
        </w:rPr>
        <w:t xml:space="preserve">” in black ink on one side </w:t>
      </w:r>
      <w:r w:rsidR="00D24B69" w:rsidRPr="00E96CAB">
        <w:rPr>
          <w:sz w:val="22"/>
          <w:szCs w:val="22"/>
          <w:lang w:val="en-CA"/>
        </w:rPr>
        <w:t>and plain on the other</w:t>
      </w:r>
      <w:r w:rsidR="00875EE7" w:rsidRPr="00E96CAB">
        <w:rPr>
          <w:sz w:val="22"/>
          <w:szCs w:val="22"/>
          <w:lang w:val="en-CA"/>
        </w:rPr>
        <w:t>.</w:t>
      </w:r>
    </w:p>
    <w:p w:rsidR="00D24B69" w:rsidRPr="00E96CAB" w:rsidRDefault="00D24B69" w:rsidP="00B24B26">
      <w:pPr>
        <w:widowControl w:val="0"/>
        <w:rPr>
          <w:sz w:val="22"/>
          <w:szCs w:val="22"/>
          <w:lang w:val="en-CA"/>
        </w:rPr>
      </w:pPr>
    </w:p>
    <w:p w:rsidR="00D24B69" w:rsidRPr="00E96CAB" w:rsidRDefault="00606C30" w:rsidP="00B24B26">
      <w:pPr>
        <w:widowControl w:val="0"/>
        <w:rPr>
          <w:sz w:val="22"/>
          <w:szCs w:val="22"/>
          <w:lang w:val="en-CA"/>
        </w:rPr>
      </w:pPr>
      <w:r w:rsidRPr="00E96CAB">
        <w:rPr>
          <w:sz w:val="22"/>
          <w:szCs w:val="22"/>
          <w:lang w:val="en-GB"/>
        </w:rPr>
        <w:t>ORKAMBI</w:t>
      </w:r>
      <w:r w:rsidR="00842BCC">
        <w:rPr>
          <w:sz w:val="22"/>
          <w:szCs w:val="22"/>
          <w:lang w:val="en-GB"/>
        </w:rPr>
        <w:t> </w:t>
      </w:r>
      <w:r w:rsidR="00842BCC" w:rsidRPr="00230806">
        <w:rPr>
          <w:sz w:val="22"/>
          <w:szCs w:val="22"/>
        </w:rPr>
        <w:t xml:space="preserve">200/125 </w:t>
      </w:r>
      <w:r w:rsidR="00D24B69" w:rsidRPr="00230806">
        <w:rPr>
          <w:sz w:val="22"/>
          <w:szCs w:val="22"/>
          <w:lang w:val="en-GB"/>
        </w:rPr>
        <w:t>tablets are packaged in a thermoform [</w:t>
      </w:r>
      <w:proofErr w:type="spellStart"/>
      <w:r w:rsidR="00D24B69" w:rsidRPr="00230806">
        <w:rPr>
          <w:sz w:val="22"/>
          <w:szCs w:val="22"/>
          <w:lang w:val="en-GB"/>
        </w:rPr>
        <w:t>polychlorotrifluoroethylene</w:t>
      </w:r>
      <w:proofErr w:type="spellEnd"/>
      <w:r w:rsidR="00D24B69" w:rsidRPr="00230806">
        <w:rPr>
          <w:sz w:val="22"/>
          <w:szCs w:val="22"/>
          <w:lang w:val="en-GB"/>
        </w:rPr>
        <w:t xml:space="preserve"> (PCTFE)] blister with a paper</w:t>
      </w:r>
      <w:r w:rsidR="00D24B69" w:rsidRPr="00230806">
        <w:rPr>
          <w:sz w:val="22"/>
          <w:szCs w:val="22"/>
          <w:lang w:val="en-GB"/>
        </w:rPr>
        <w:noBreakHyphen/>
        <w:t xml:space="preserve">backed foil lidding. There are four tablets in each blister strip. Seven strips are included in each weekly carton (28 tablets). Four cartons are contained in each </w:t>
      </w:r>
      <w:r w:rsidRPr="00230806">
        <w:rPr>
          <w:sz w:val="22"/>
          <w:szCs w:val="22"/>
          <w:lang w:val="en-GB"/>
        </w:rPr>
        <w:t>ORKAMBI</w:t>
      </w:r>
      <w:r w:rsidR="00842BCC" w:rsidRPr="00230806">
        <w:rPr>
          <w:sz w:val="22"/>
          <w:szCs w:val="22"/>
          <w:lang w:val="en-GB"/>
        </w:rPr>
        <w:t> </w:t>
      </w:r>
      <w:r w:rsidR="00842BCC" w:rsidRPr="00230806">
        <w:rPr>
          <w:sz w:val="22"/>
          <w:szCs w:val="22"/>
        </w:rPr>
        <w:t xml:space="preserve">200/125 </w:t>
      </w:r>
      <w:r w:rsidR="00D24B69" w:rsidRPr="00230806">
        <w:rPr>
          <w:sz w:val="22"/>
          <w:szCs w:val="22"/>
          <w:lang w:val="en-GB"/>
        </w:rPr>
        <w:t>box</w:t>
      </w:r>
      <w:r w:rsidR="00D24B69" w:rsidRPr="00E96CAB">
        <w:rPr>
          <w:sz w:val="22"/>
          <w:szCs w:val="22"/>
          <w:lang w:val="en-GB"/>
        </w:rPr>
        <w:t>, totalling 112 tablets.</w:t>
      </w:r>
    </w:p>
    <w:p w:rsidR="00875EE7" w:rsidRPr="00E96CAB" w:rsidRDefault="00875EE7" w:rsidP="000245C6">
      <w:pPr>
        <w:rPr>
          <w:b/>
          <w:sz w:val="22"/>
          <w:szCs w:val="22"/>
        </w:rPr>
      </w:pPr>
    </w:p>
    <w:p w:rsidR="00875EE7" w:rsidRPr="00E96CAB" w:rsidRDefault="00875EE7" w:rsidP="004C506E">
      <w:pPr>
        <w:rPr>
          <w:sz w:val="22"/>
          <w:szCs w:val="22"/>
        </w:rPr>
      </w:pPr>
      <w:r w:rsidRPr="00E96CAB">
        <w:rPr>
          <w:sz w:val="22"/>
          <w:szCs w:val="22"/>
        </w:rPr>
        <w:t>Store below 30ºC.</w:t>
      </w:r>
    </w:p>
    <w:p w:rsidR="00875EE7" w:rsidRPr="00E96CAB" w:rsidRDefault="00875EE7" w:rsidP="000245C6">
      <w:pPr>
        <w:rPr>
          <w:b/>
          <w:sz w:val="22"/>
          <w:szCs w:val="22"/>
        </w:rPr>
      </w:pPr>
    </w:p>
    <w:p w:rsidR="00875EE7" w:rsidRPr="00E96CAB" w:rsidRDefault="00875EE7" w:rsidP="000245C6">
      <w:pPr>
        <w:rPr>
          <w:b/>
          <w:sz w:val="22"/>
          <w:szCs w:val="22"/>
        </w:rPr>
      </w:pPr>
      <w:r w:rsidRPr="00E96CAB">
        <w:rPr>
          <w:b/>
          <w:sz w:val="22"/>
          <w:szCs w:val="22"/>
        </w:rPr>
        <w:t>NAME AND ADDRESS OF THE SPONSOR</w:t>
      </w:r>
    </w:p>
    <w:p w:rsidR="00C14919" w:rsidRPr="00E96CAB" w:rsidRDefault="00C14919" w:rsidP="00C14919">
      <w:pPr>
        <w:rPr>
          <w:sz w:val="22"/>
          <w:szCs w:val="22"/>
        </w:rPr>
      </w:pPr>
      <w:r w:rsidRPr="00E96CAB">
        <w:rPr>
          <w:sz w:val="22"/>
          <w:szCs w:val="22"/>
        </w:rPr>
        <w:t>Vertex Pharmaceuticals (Australia) Pty Ltd</w:t>
      </w:r>
    </w:p>
    <w:p w:rsidR="00C14919" w:rsidRPr="00E96CAB" w:rsidRDefault="00001325" w:rsidP="00C14919">
      <w:pPr>
        <w:rPr>
          <w:sz w:val="22"/>
          <w:szCs w:val="22"/>
        </w:rPr>
      </w:pPr>
      <w:r w:rsidRPr="00E96CAB">
        <w:rPr>
          <w:sz w:val="22"/>
          <w:szCs w:val="22"/>
        </w:rPr>
        <w:t>Suite 3</w:t>
      </w:r>
      <w:r w:rsidR="00B364A8" w:rsidRPr="00E96CAB">
        <w:rPr>
          <w:sz w:val="22"/>
          <w:szCs w:val="22"/>
        </w:rPr>
        <w:t>,</w:t>
      </w:r>
      <w:r w:rsidRPr="00E96CAB">
        <w:rPr>
          <w:sz w:val="22"/>
          <w:szCs w:val="22"/>
        </w:rPr>
        <w:t xml:space="preserve"> Level 3</w:t>
      </w:r>
    </w:p>
    <w:p w:rsidR="009C3F30" w:rsidRPr="00E96CAB" w:rsidRDefault="00001325" w:rsidP="00C14919">
      <w:pPr>
        <w:rPr>
          <w:sz w:val="22"/>
          <w:szCs w:val="22"/>
        </w:rPr>
      </w:pPr>
      <w:r w:rsidRPr="00E96CAB">
        <w:rPr>
          <w:sz w:val="22"/>
          <w:szCs w:val="22"/>
        </w:rPr>
        <w:t>601 Pacific Highway</w:t>
      </w:r>
    </w:p>
    <w:p w:rsidR="00C14919" w:rsidRPr="00E96CAB" w:rsidRDefault="009C3F30" w:rsidP="00C14919">
      <w:pPr>
        <w:rPr>
          <w:sz w:val="22"/>
          <w:szCs w:val="22"/>
        </w:rPr>
      </w:pPr>
      <w:r w:rsidRPr="00E96CAB">
        <w:rPr>
          <w:sz w:val="22"/>
          <w:szCs w:val="22"/>
        </w:rPr>
        <w:t xml:space="preserve">St </w:t>
      </w:r>
      <w:proofErr w:type="spellStart"/>
      <w:r w:rsidRPr="00E96CAB">
        <w:rPr>
          <w:sz w:val="22"/>
          <w:szCs w:val="22"/>
        </w:rPr>
        <w:t>Leonards</w:t>
      </w:r>
      <w:proofErr w:type="spellEnd"/>
      <w:r w:rsidRPr="00E96CAB">
        <w:rPr>
          <w:sz w:val="22"/>
          <w:szCs w:val="22"/>
        </w:rPr>
        <w:t xml:space="preserve"> </w:t>
      </w:r>
      <w:r w:rsidR="00C14919" w:rsidRPr="00E96CAB">
        <w:rPr>
          <w:sz w:val="22"/>
          <w:szCs w:val="22"/>
        </w:rPr>
        <w:t xml:space="preserve">NSW </w:t>
      </w:r>
      <w:r w:rsidRPr="00E96CAB">
        <w:rPr>
          <w:sz w:val="22"/>
          <w:szCs w:val="22"/>
        </w:rPr>
        <w:t>2065</w:t>
      </w:r>
    </w:p>
    <w:p w:rsidR="00C14919" w:rsidRPr="00E96CAB" w:rsidRDefault="00C14919" w:rsidP="00C14919">
      <w:pPr>
        <w:rPr>
          <w:sz w:val="22"/>
          <w:szCs w:val="22"/>
        </w:rPr>
      </w:pPr>
      <w:r w:rsidRPr="00E96CAB">
        <w:rPr>
          <w:sz w:val="22"/>
          <w:szCs w:val="22"/>
        </w:rPr>
        <w:t>Australia</w:t>
      </w:r>
    </w:p>
    <w:p w:rsidR="00875EE7" w:rsidRPr="00E96CAB" w:rsidRDefault="00875EE7" w:rsidP="00C43A03">
      <w:pPr>
        <w:rPr>
          <w:sz w:val="22"/>
          <w:szCs w:val="22"/>
        </w:rPr>
      </w:pPr>
    </w:p>
    <w:p w:rsidR="00875EE7" w:rsidRPr="00E96CAB" w:rsidRDefault="00875EE7" w:rsidP="000245C6">
      <w:pPr>
        <w:rPr>
          <w:b/>
          <w:sz w:val="22"/>
          <w:szCs w:val="22"/>
        </w:rPr>
      </w:pPr>
      <w:r w:rsidRPr="00E96CAB">
        <w:rPr>
          <w:b/>
          <w:sz w:val="22"/>
          <w:szCs w:val="22"/>
        </w:rPr>
        <w:t>POISON SCHEDULE OF THE MEDICINE</w:t>
      </w:r>
    </w:p>
    <w:p w:rsidR="00875EE7" w:rsidRPr="00E96CAB" w:rsidRDefault="00875EE7" w:rsidP="000245C6">
      <w:pPr>
        <w:rPr>
          <w:sz w:val="22"/>
          <w:szCs w:val="22"/>
        </w:rPr>
      </w:pPr>
      <w:r w:rsidRPr="00E96CAB">
        <w:rPr>
          <w:sz w:val="22"/>
          <w:szCs w:val="22"/>
        </w:rPr>
        <w:t>S4 -</w:t>
      </w:r>
      <w:r w:rsidR="00D24B69" w:rsidRPr="00E96CAB">
        <w:rPr>
          <w:sz w:val="22"/>
          <w:szCs w:val="22"/>
        </w:rPr>
        <w:t xml:space="preserve"> </w:t>
      </w:r>
      <w:r w:rsidRPr="00E96CAB">
        <w:rPr>
          <w:sz w:val="22"/>
          <w:szCs w:val="22"/>
        </w:rPr>
        <w:t>Prescription only medicine</w:t>
      </w:r>
    </w:p>
    <w:p w:rsidR="00875EE7" w:rsidRPr="00E96CAB" w:rsidRDefault="00875EE7" w:rsidP="000245C6">
      <w:pPr>
        <w:rPr>
          <w:b/>
          <w:sz w:val="22"/>
          <w:szCs w:val="22"/>
        </w:rPr>
      </w:pPr>
    </w:p>
    <w:p w:rsidR="009D3B76" w:rsidRPr="00E96CAB" w:rsidRDefault="009D3B76" w:rsidP="000245C6">
      <w:pPr>
        <w:rPr>
          <w:b/>
          <w:sz w:val="22"/>
          <w:szCs w:val="22"/>
        </w:rPr>
      </w:pPr>
    </w:p>
    <w:p w:rsidR="00875EE7" w:rsidRPr="00C26614" w:rsidRDefault="00875EE7" w:rsidP="000245C6">
      <w:pPr>
        <w:rPr>
          <w:rFonts w:ascii="Times New Roman Bold" w:eastAsia="Times New Roman Bold"/>
          <w:b/>
          <w:caps/>
          <w:sz w:val="22"/>
          <w:szCs w:val="22"/>
        </w:rPr>
      </w:pPr>
      <w:r w:rsidRPr="00E96CAB">
        <w:rPr>
          <w:rFonts w:ascii="Times New Roman Bold" w:eastAsia="Times New Roman Bold"/>
          <w:b/>
          <w:caps/>
          <w:sz w:val="22"/>
          <w:szCs w:val="22"/>
        </w:rPr>
        <w:t xml:space="preserve">Date of first inclusion in the Australian Register of </w:t>
      </w:r>
      <w:r w:rsidRPr="00C26614">
        <w:rPr>
          <w:rFonts w:ascii="Times New Roman Bold" w:eastAsia="Times New Roman Bold"/>
          <w:b/>
          <w:caps/>
          <w:sz w:val="22"/>
          <w:szCs w:val="22"/>
        </w:rPr>
        <w:t>Therapeutic Goods</w:t>
      </w:r>
    </w:p>
    <w:p w:rsidR="00875EE7" w:rsidRPr="00C26614" w:rsidRDefault="00A517DB" w:rsidP="000245C6">
      <w:pPr>
        <w:rPr>
          <w:b/>
          <w:sz w:val="22"/>
          <w:szCs w:val="22"/>
        </w:rPr>
      </w:pPr>
      <w:r>
        <w:rPr>
          <w:b/>
          <w:sz w:val="22"/>
          <w:szCs w:val="22"/>
        </w:rPr>
        <w:t>08</w:t>
      </w:r>
      <w:r w:rsidR="00D24B69" w:rsidRPr="00C26614">
        <w:rPr>
          <w:b/>
          <w:sz w:val="22"/>
          <w:szCs w:val="22"/>
        </w:rPr>
        <w:t xml:space="preserve"> </w:t>
      </w:r>
      <w:r>
        <w:rPr>
          <w:b/>
          <w:sz w:val="22"/>
          <w:szCs w:val="22"/>
        </w:rPr>
        <w:t>March</w:t>
      </w:r>
      <w:r w:rsidR="00D24B69" w:rsidRPr="00C26614">
        <w:rPr>
          <w:b/>
          <w:sz w:val="22"/>
          <w:szCs w:val="22"/>
        </w:rPr>
        <w:t xml:space="preserve"> </w:t>
      </w:r>
      <w:r w:rsidR="00270621" w:rsidRPr="00C26614">
        <w:rPr>
          <w:b/>
          <w:sz w:val="22"/>
          <w:szCs w:val="22"/>
        </w:rPr>
        <w:t>201</w:t>
      </w:r>
      <w:r w:rsidR="005049DD" w:rsidRPr="00C26614">
        <w:rPr>
          <w:b/>
          <w:sz w:val="22"/>
          <w:szCs w:val="22"/>
        </w:rPr>
        <w:t>6</w:t>
      </w:r>
    </w:p>
    <w:p w:rsidR="00875EE7" w:rsidRPr="00C26614" w:rsidRDefault="00875EE7" w:rsidP="000245C6">
      <w:pPr>
        <w:rPr>
          <w:b/>
          <w:sz w:val="22"/>
          <w:szCs w:val="22"/>
        </w:rPr>
      </w:pPr>
    </w:p>
    <w:p w:rsidR="00875EE7" w:rsidRPr="00E96CAB" w:rsidRDefault="00875EE7" w:rsidP="00C63476">
      <w:pPr>
        <w:rPr>
          <w:sz w:val="22"/>
          <w:szCs w:val="22"/>
        </w:rPr>
      </w:pPr>
      <w:r w:rsidRPr="00C26614">
        <w:rPr>
          <w:sz w:val="22"/>
          <w:szCs w:val="22"/>
        </w:rPr>
        <w:t>©</w:t>
      </w:r>
      <w:r w:rsidR="00453D81" w:rsidRPr="00C26614">
        <w:rPr>
          <w:sz w:val="22"/>
          <w:szCs w:val="22"/>
        </w:rPr>
        <w:t xml:space="preserve"> </w:t>
      </w:r>
      <w:r w:rsidR="00D24B69" w:rsidRPr="00C26614">
        <w:rPr>
          <w:sz w:val="22"/>
          <w:szCs w:val="22"/>
        </w:rPr>
        <w:t>201</w:t>
      </w:r>
      <w:r w:rsidR="005049DD" w:rsidRPr="00A517DB">
        <w:rPr>
          <w:sz w:val="22"/>
          <w:szCs w:val="22"/>
        </w:rPr>
        <w:t>6</w:t>
      </w:r>
      <w:r w:rsidR="00D24B69" w:rsidRPr="00C26614">
        <w:rPr>
          <w:sz w:val="22"/>
          <w:szCs w:val="22"/>
        </w:rPr>
        <w:t xml:space="preserve"> </w:t>
      </w:r>
      <w:r w:rsidRPr="00C26614">
        <w:rPr>
          <w:sz w:val="22"/>
          <w:szCs w:val="22"/>
        </w:rPr>
        <w:t>Vertex</w:t>
      </w:r>
      <w:r w:rsidRPr="00E96CAB">
        <w:rPr>
          <w:sz w:val="22"/>
          <w:szCs w:val="22"/>
        </w:rPr>
        <w:t xml:space="preserve"> Pharmaceuticals Incorporated</w:t>
      </w:r>
    </w:p>
    <w:p w:rsidR="00875EE7" w:rsidRPr="00FD5EA4" w:rsidRDefault="00E44A44" w:rsidP="00C63476">
      <w:pPr>
        <w:rPr>
          <w:sz w:val="22"/>
          <w:szCs w:val="22"/>
        </w:rPr>
      </w:pPr>
      <w:r w:rsidRPr="00E96CAB">
        <w:rPr>
          <w:sz w:val="22"/>
          <w:szCs w:val="22"/>
        </w:rPr>
        <w:t>VERTEX and the VERTEX triangle logo are re</w:t>
      </w:r>
      <w:r w:rsidR="00842BCC">
        <w:rPr>
          <w:sz w:val="22"/>
          <w:szCs w:val="22"/>
        </w:rPr>
        <w:t>gistered trademarks and ORKAMBI </w:t>
      </w:r>
      <w:r w:rsidRPr="00E96CAB">
        <w:rPr>
          <w:sz w:val="22"/>
          <w:szCs w:val="22"/>
        </w:rPr>
        <w:t>is a trademark of Vertex Pharmaceuticals Incorporated.</w:t>
      </w:r>
    </w:p>
    <w:sectPr w:rsidR="00875EE7" w:rsidRPr="00FD5EA4" w:rsidSect="00385595">
      <w:headerReference w:type="default" r:id="rId16"/>
      <w:footerReference w:type="default" r:id="rId17"/>
      <w:endnotePr>
        <w:numFmt w:val="decimal"/>
      </w:endnotePr>
      <w:pgSz w:w="11907" w:h="16839"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FB6" w:rsidRDefault="003F5FB6">
      <w:r>
        <w:separator/>
      </w:r>
    </w:p>
  </w:endnote>
  <w:endnote w:type="continuationSeparator" w:id="0">
    <w:p w:rsidR="003F5FB6" w:rsidRDefault="003F5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D1B" w:rsidRDefault="00CC6D1B" w:rsidP="00CC6D1B">
    <w:pPr>
      <w:pStyle w:val="Footer"/>
      <w:pBdr>
        <w:top w:val="single" w:sz="4" w:space="1" w:color="auto"/>
      </w:pBdr>
      <w:jc w:val="center"/>
      <w:rPr>
        <w:sz w:val="22"/>
        <w:szCs w:val="22"/>
      </w:rPr>
    </w:pPr>
    <w:r>
      <w:rPr>
        <w:sz w:val="22"/>
        <w:szCs w:val="22"/>
      </w:rPr>
      <w:t>ORKAMBI™</w:t>
    </w:r>
    <w:r w:rsidRPr="00867ACE">
      <w:rPr>
        <w:sz w:val="22"/>
        <w:szCs w:val="22"/>
      </w:rPr>
      <w:t xml:space="preserve"> </w:t>
    </w:r>
    <w:r w:rsidRPr="00584AC5">
      <w:rPr>
        <w:sz w:val="22"/>
        <w:szCs w:val="22"/>
      </w:rPr>
      <w:t xml:space="preserve">200/125 </w:t>
    </w:r>
    <w:r w:rsidRPr="00867ACE">
      <w:rPr>
        <w:sz w:val="22"/>
        <w:szCs w:val="22"/>
      </w:rPr>
      <w:t>Product Information</w:t>
    </w:r>
    <w:r>
      <w:rPr>
        <w:sz w:val="22"/>
        <w:szCs w:val="22"/>
      </w:rPr>
      <w:t xml:space="preserve"> </w:t>
    </w:r>
  </w:p>
  <w:p w:rsidR="00CC6D1B" w:rsidRPr="00867ACE" w:rsidRDefault="00CC6D1B" w:rsidP="008A3052">
    <w:pPr>
      <w:pStyle w:val="Footer"/>
      <w:tabs>
        <w:tab w:val="clear" w:pos="8640"/>
      </w:tabs>
      <w:ind w:left="7200" w:right="-153"/>
      <w:jc w:val="center"/>
      <w:rPr>
        <w:sz w:val="22"/>
        <w:szCs w:val="22"/>
      </w:rPr>
    </w:pPr>
    <w:r w:rsidRPr="00867ACE">
      <w:rPr>
        <w:sz w:val="22"/>
        <w:szCs w:val="22"/>
      </w:rPr>
      <w:t xml:space="preserve">Page </w:t>
    </w:r>
    <w:r w:rsidRPr="00867ACE">
      <w:rPr>
        <w:sz w:val="22"/>
        <w:szCs w:val="22"/>
      </w:rPr>
      <w:fldChar w:fldCharType="begin"/>
    </w:r>
    <w:r w:rsidRPr="00867ACE">
      <w:rPr>
        <w:sz w:val="22"/>
        <w:szCs w:val="22"/>
      </w:rPr>
      <w:instrText xml:space="preserve"> PAGE </w:instrText>
    </w:r>
    <w:r w:rsidRPr="00867ACE">
      <w:rPr>
        <w:sz w:val="22"/>
        <w:szCs w:val="22"/>
      </w:rPr>
      <w:fldChar w:fldCharType="separate"/>
    </w:r>
    <w:r w:rsidR="00EF18D0">
      <w:rPr>
        <w:noProof/>
        <w:sz w:val="22"/>
        <w:szCs w:val="22"/>
      </w:rPr>
      <w:t>19</w:t>
    </w:r>
    <w:r w:rsidRPr="00867ACE">
      <w:rPr>
        <w:sz w:val="22"/>
        <w:szCs w:val="22"/>
      </w:rPr>
      <w:fldChar w:fldCharType="end"/>
    </w:r>
    <w:r w:rsidRPr="00867ACE">
      <w:rPr>
        <w:sz w:val="22"/>
        <w:szCs w:val="22"/>
      </w:rPr>
      <w:t xml:space="preserve"> of </w:t>
    </w:r>
    <w:r w:rsidRPr="00867ACE">
      <w:rPr>
        <w:sz w:val="22"/>
        <w:szCs w:val="22"/>
      </w:rPr>
      <w:fldChar w:fldCharType="begin"/>
    </w:r>
    <w:r w:rsidRPr="00867ACE">
      <w:rPr>
        <w:sz w:val="22"/>
        <w:szCs w:val="22"/>
      </w:rPr>
      <w:instrText xml:space="preserve"> NUMPAGES </w:instrText>
    </w:r>
    <w:r w:rsidRPr="00867ACE">
      <w:rPr>
        <w:sz w:val="22"/>
        <w:szCs w:val="22"/>
      </w:rPr>
      <w:fldChar w:fldCharType="separate"/>
    </w:r>
    <w:r w:rsidR="00EF18D0">
      <w:rPr>
        <w:noProof/>
        <w:sz w:val="22"/>
        <w:szCs w:val="22"/>
      </w:rPr>
      <w:t>19</w:t>
    </w:r>
    <w:r w:rsidRPr="00867ACE">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FB6" w:rsidRDefault="003F5FB6">
      <w:r>
        <w:separator/>
      </w:r>
    </w:p>
  </w:footnote>
  <w:footnote w:type="continuationSeparator" w:id="0">
    <w:p w:rsidR="003F5FB6" w:rsidRDefault="003F5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523"/>
    </w:tblGrid>
    <w:tr w:rsidR="00206564" w:rsidTr="00646DBE">
      <w:tc>
        <w:tcPr>
          <w:tcW w:w="8720" w:type="dxa"/>
          <w:shd w:val="clear" w:color="auto" w:fill="E4F2E0"/>
        </w:tcPr>
        <w:p w:rsidR="00206564" w:rsidRPr="00206564" w:rsidRDefault="00206564" w:rsidP="00206564">
          <w:pPr>
            <w:spacing w:before="40" w:after="40"/>
            <w:rPr>
              <w:rFonts w:asciiTheme="majorHAnsi" w:hAnsiTheme="majorHAnsi"/>
              <w:b/>
              <w:sz w:val="20"/>
              <w:szCs w:val="20"/>
            </w:rPr>
          </w:pPr>
          <w:r w:rsidRPr="00206564">
            <w:rPr>
              <w:rFonts w:asciiTheme="majorHAnsi" w:hAnsiTheme="majorHAnsi"/>
              <w:b/>
              <w:sz w:val="20"/>
              <w:szCs w:val="20"/>
            </w:rPr>
            <w:t xml:space="preserve">Attachment 1: Product information for </w:t>
          </w:r>
          <w:proofErr w:type="spellStart"/>
          <w:r w:rsidRPr="00206564">
            <w:rPr>
              <w:rFonts w:ascii="Cambria" w:hAnsi="Cambria"/>
              <w:b/>
              <w:sz w:val="20"/>
              <w:szCs w:val="20"/>
            </w:rPr>
            <w:t>AusPAR</w:t>
          </w:r>
          <w:proofErr w:type="spellEnd"/>
          <w:r w:rsidRPr="00206564">
            <w:rPr>
              <w:rFonts w:ascii="Cambria" w:hAnsi="Cambria"/>
              <w:b/>
              <w:sz w:val="20"/>
              <w:szCs w:val="20"/>
            </w:rPr>
            <w:t xml:space="preserve"> </w:t>
          </w:r>
          <w:proofErr w:type="spellStart"/>
          <w:r w:rsidRPr="00206564">
            <w:rPr>
              <w:rFonts w:ascii="Cambria" w:hAnsi="Cambria"/>
              <w:b/>
              <w:sz w:val="20"/>
              <w:szCs w:val="20"/>
            </w:rPr>
            <w:t>Orkambi</w:t>
          </w:r>
          <w:proofErr w:type="spellEnd"/>
          <w:r w:rsidRPr="00206564">
            <w:rPr>
              <w:rFonts w:ascii="Cambria" w:hAnsi="Cambria"/>
              <w:b/>
              <w:sz w:val="20"/>
              <w:szCs w:val="20"/>
            </w:rPr>
            <w:t xml:space="preserve"> 200/125 </w:t>
          </w:r>
          <w:proofErr w:type="spellStart"/>
          <w:r w:rsidRPr="00206564">
            <w:rPr>
              <w:rFonts w:ascii="Cambria" w:hAnsi="Cambria"/>
              <w:b/>
              <w:sz w:val="20"/>
              <w:szCs w:val="20"/>
            </w:rPr>
            <w:t>lumacaftor</w:t>
          </w:r>
          <w:proofErr w:type="spellEnd"/>
          <w:r w:rsidRPr="00206564">
            <w:rPr>
              <w:rFonts w:ascii="Cambria" w:hAnsi="Cambria"/>
              <w:b/>
              <w:sz w:val="20"/>
              <w:szCs w:val="20"/>
            </w:rPr>
            <w:t>/</w:t>
          </w:r>
          <w:proofErr w:type="spellStart"/>
          <w:r w:rsidRPr="00206564">
            <w:rPr>
              <w:rFonts w:ascii="Cambria" w:hAnsi="Cambria"/>
              <w:b/>
              <w:sz w:val="20"/>
              <w:szCs w:val="20"/>
            </w:rPr>
            <w:t>ivacaftor</w:t>
          </w:r>
          <w:proofErr w:type="spellEnd"/>
          <w:r w:rsidRPr="00206564">
            <w:rPr>
              <w:rFonts w:ascii="Cambria" w:hAnsi="Cambria"/>
              <w:b/>
              <w:sz w:val="20"/>
              <w:szCs w:val="20"/>
            </w:rPr>
            <w:t xml:space="preserve"> Vertex Pharmaceuticals Australia Pty Ltd </w:t>
          </w:r>
          <w:r>
            <w:rPr>
              <w:rFonts w:ascii="Cambria" w:hAnsi="Cambria"/>
              <w:b/>
              <w:sz w:val="20"/>
              <w:szCs w:val="20"/>
            </w:rPr>
            <w:t>PM-2015-00424-1-5</w:t>
          </w:r>
          <w:r w:rsidRPr="00206564">
            <w:rPr>
              <w:rFonts w:ascii="Cambria" w:hAnsi="Cambria"/>
              <w:b/>
              <w:sz w:val="20"/>
              <w:szCs w:val="20"/>
            </w:rPr>
            <w:t xml:space="preserve"> 8 September 2016</w:t>
          </w:r>
          <w:r w:rsidRPr="00206564">
            <w:rPr>
              <w:rFonts w:asciiTheme="majorHAnsi" w:hAnsiTheme="majorHAnsi"/>
              <w:b/>
              <w:sz w:val="20"/>
              <w:szCs w:val="20"/>
            </w:rPr>
            <w:t xml:space="preserve">. This Product Information was approved at the time this </w:t>
          </w:r>
          <w:proofErr w:type="spellStart"/>
          <w:r w:rsidRPr="00206564">
            <w:rPr>
              <w:rFonts w:asciiTheme="majorHAnsi" w:hAnsiTheme="majorHAnsi"/>
              <w:b/>
              <w:sz w:val="20"/>
              <w:szCs w:val="20"/>
            </w:rPr>
            <w:t>AusPAR</w:t>
          </w:r>
          <w:proofErr w:type="spellEnd"/>
          <w:r w:rsidRPr="00206564">
            <w:rPr>
              <w:rFonts w:asciiTheme="majorHAnsi" w:hAnsiTheme="majorHAnsi"/>
              <w:b/>
              <w:sz w:val="20"/>
              <w:szCs w:val="20"/>
            </w:rPr>
            <w:t xml:space="preserve"> was published.</w:t>
          </w:r>
        </w:p>
      </w:tc>
    </w:tr>
  </w:tbl>
  <w:p w:rsidR="00206564" w:rsidRDefault="002065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C7EB66"/>
    <w:multiLevelType w:val="hybridMultilevel"/>
    <w:tmpl w:val="8CBAA33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1D"/>
    <w:multiLevelType w:val="multilevel"/>
    <w:tmpl w:val="04A231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4FA0F9D"/>
    <w:multiLevelType w:val="hybridMultilevel"/>
    <w:tmpl w:val="4E94EC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051A6406"/>
    <w:multiLevelType w:val="hybridMultilevel"/>
    <w:tmpl w:val="2F8A385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F15591F"/>
    <w:multiLevelType w:val="hybridMultilevel"/>
    <w:tmpl w:val="A878B5B8"/>
    <w:lvl w:ilvl="0" w:tplc="31003AAA">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EA3F8F"/>
    <w:multiLevelType w:val="multilevel"/>
    <w:tmpl w:val="5ED0B37C"/>
    <w:lvl w:ilvl="0">
      <w:start w:val="7"/>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520"/>
        </w:tabs>
        <w:ind w:left="2520" w:hanging="72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3960"/>
        </w:tabs>
        <w:ind w:left="3960" w:hanging="1080"/>
      </w:pPr>
      <w:rPr>
        <w:rFonts w:cs="Times New Roman" w:hint="default"/>
      </w:rPr>
    </w:lvl>
  </w:abstractNum>
  <w:abstractNum w:abstractNumId="6">
    <w:nsid w:val="1C2D11BE"/>
    <w:multiLevelType w:val="hybridMultilevel"/>
    <w:tmpl w:val="022EF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10C0631"/>
    <w:multiLevelType w:val="multilevel"/>
    <w:tmpl w:val="B7F83CBC"/>
    <w:lvl w:ilvl="0">
      <w:start w:val="1"/>
      <w:numFmt w:val="decimal"/>
      <w:pStyle w:val="Heading6"/>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b/>
        <w:i w:val="0"/>
      </w:rPr>
    </w:lvl>
    <w:lvl w:ilvl="2">
      <w:start w:val="1"/>
      <w:numFmt w:val="decimal"/>
      <w:lvlText w:val="%3."/>
      <w:lvlJc w:val="left"/>
      <w:pPr>
        <w:tabs>
          <w:tab w:val="num" w:pos="1080"/>
        </w:tabs>
        <w:ind w:left="1080" w:hanging="360"/>
      </w:pPr>
      <w:rPr>
        <w:rFonts w:cs="Times New Roman" w:hint="default"/>
        <w:b/>
        <w:i w:val="0"/>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720"/>
      </w:pPr>
      <w:rPr>
        <w:rFonts w:cs="Times New Roman" w:hint="default"/>
      </w:rPr>
    </w:lvl>
    <w:lvl w:ilvl="5">
      <w:start w:val="1"/>
      <w:numFmt w:val="decimal"/>
      <w:isLgl/>
      <w:lvlText w:val="%1.%2.%3.%4.%5.%6"/>
      <w:lvlJc w:val="left"/>
      <w:pPr>
        <w:tabs>
          <w:tab w:val="num" w:pos="2520"/>
        </w:tabs>
        <w:ind w:left="2520" w:hanging="72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600"/>
        </w:tabs>
        <w:ind w:left="3600" w:hanging="1080"/>
      </w:pPr>
      <w:rPr>
        <w:rFonts w:cs="Times New Roman" w:hint="default"/>
      </w:rPr>
    </w:lvl>
    <w:lvl w:ilvl="8">
      <w:start w:val="1"/>
      <w:numFmt w:val="decimal"/>
      <w:isLgl/>
      <w:lvlText w:val="%1.%2.%3.%4.%5.%6.%7.%8.%9"/>
      <w:lvlJc w:val="left"/>
      <w:pPr>
        <w:tabs>
          <w:tab w:val="num" w:pos="3960"/>
        </w:tabs>
        <w:ind w:left="3960" w:hanging="1080"/>
      </w:pPr>
      <w:rPr>
        <w:rFonts w:cs="Times New Roman" w:hint="default"/>
      </w:rPr>
    </w:lvl>
  </w:abstractNum>
  <w:abstractNum w:abstractNumId="8">
    <w:nsid w:val="3AAB6B96"/>
    <w:multiLevelType w:val="hybridMultilevel"/>
    <w:tmpl w:val="5122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4536B2"/>
    <w:multiLevelType w:val="hybridMultilevel"/>
    <w:tmpl w:val="C1E876B6"/>
    <w:lvl w:ilvl="0" w:tplc="F8628C6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DE3C36"/>
    <w:multiLevelType w:val="hybridMultilevel"/>
    <w:tmpl w:val="DCAC4C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8C2DC3"/>
    <w:multiLevelType w:val="multilevel"/>
    <w:tmpl w:val="8FFE9974"/>
    <w:lvl w:ilvl="0">
      <w:start w:val="14"/>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720"/>
        </w:tabs>
        <w:ind w:left="720" w:hanging="480"/>
      </w:pPr>
      <w:rPr>
        <w:rFonts w:cs="Times New Roman" w:hint="default"/>
      </w:rPr>
    </w:lvl>
    <w:lvl w:ilvl="2">
      <w:start w:val="1"/>
      <w:numFmt w:val="decimal"/>
      <w:lvlText w:val="%1.%2.%3"/>
      <w:lvlJc w:val="left"/>
      <w:pPr>
        <w:tabs>
          <w:tab w:val="num" w:pos="960"/>
        </w:tabs>
        <w:ind w:left="960" w:hanging="48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1680"/>
        </w:tabs>
        <w:ind w:left="1680" w:hanging="720"/>
      </w:pPr>
      <w:rPr>
        <w:rFonts w:cs="Times New Roman" w:hint="default"/>
      </w:rPr>
    </w:lvl>
    <w:lvl w:ilvl="5">
      <w:start w:val="1"/>
      <w:numFmt w:val="decimal"/>
      <w:lvlText w:val="%1.%2.%3.%4.%5.%6"/>
      <w:lvlJc w:val="left"/>
      <w:pPr>
        <w:tabs>
          <w:tab w:val="num" w:pos="1920"/>
        </w:tabs>
        <w:ind w:left="1920" w:hanging="720"/>
      </w:pPr>
      <w:rPr>
        <w:rFonts w:cs="Times New Roman" w:hint="default"/>
      </w:rPr>
    </w:lvl>
    <w:lvl w:ilvl="6">
      <w:start w:val="1"/>
      <w:numFmt w:val="decimal"/>
      <w:lvlText w:val="%1.%2.%3.%4.%5.%6.%7"/>
      <w:lvlJc w:val="left"/>
      <w:pPr>
        <w:tabs>
          <w:tab w:val="num" w:pos="2520"/>
        </w:tabs>
        <w:ind w:left="2520" w:hanging="1080"/>
      </w:pPr>
      <w:rPr>
        <w:rFonts w:cs="Times New Roman" w:hint="default"/>
      </w:rPr>
    </w:lvl>
    <w:lvl w:ilvl="7">
      <w:start w:val="1"/>
      <w:numFmt w:val="decimal"/>
      <w:lvlText w:val="%1.%2.%3.%4.%5.%6.%7.%8"/>
      <w:lvlJc w:val="left"/>
      <w:pPr>
        <w:tabs>
          <w:tab w:val="num" w:pos="2760"/>
        </w:tabs>
        <w:ind w:left="2760" w:hanging="1080"/>
      </w:pPr>
      <w:rPr>
        <w:rFonts w:cs="Times New Roman" w:hint="default"/>
      </w:rPr>
    </w:lvl>
    <w:lvl w:ilvl="8">
      <w:start w:val="1"/>
      <w:numFmt w:val="decimal"/>
      <w:lvlText w:val="%1.%2.%3.%4.%5.%6.%7.%8.%9"/>
      <w:lvlJc w:val="left"/>
      <w:pPr>
        <w:tabs>
          <w:tab w:val="num" w:pos="3000"/>
        </w:tabs>
        <w:ind w:left="3000" w:hanging="1080"/>
      </w:pPr>
      <w:rPr>
        <w:rFonts w:cs="Times New Roman" w:hint="default"/>
      </w:rPr>
    </w:lvl>
  </w:abstractNum>
  <w:abstractNum w:abstractNumId="12">
    <w:nsid w:val="598A3A08"/>
    <w:multiLevelType w:val="hybridMultilevel"/>
    <w:tmpl w:val="00C86AD2"/>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3">
    <w:nsid w:val="75F22658"/>
    <w:multiLevelType w:val="hybridMultilevel"/>
    <w:tmpl w:val="97622D3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73D28BA"/>
    <w:multiLevelType w:val="multilevel"/>
    <w:tmpl w:val="5ED0B37C"/>
    <w:lvl w:ilvl="0">
      <w:start w:val="7"/>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520"/>
        </w:tabs>
        <w:ind w:left="2520" w:hanging="72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3960"/>
        </w:tabs>
        <w:ind w:left="3960" w:hanging="1080"/>
      </w:pPr>
      <w:rPr>
        <w:rFonts w:cs="Times New Roman" w:hint="default"/>
      </w:rPr>
    </w:lvl>
  </w:abstractNum>
  <w:num w:numId="1">
    <w:abstractNumId w:val="11"/>
  </w:num>
  <w:num w:numId="2">
    <w:abstractNumId w:val="7"/>
  </w:num>
  <w:num w:numId="3">
    <w:abstractNumId w:val="7"/>
    <w:lvlOverride w:ilvl="0">
      <w:startOverride w:val="5"/>
    </w:lvlOverride>
    <w:lvlOverride w:ilvl="1">
      <w:startOverride w:val="2"/>
    </w:lvlOverride>
  </w:num>
  <w:num w:numId="4">
    <w:abstractNumId w:val="4"/>
  </w:num>
  <w:num w:numId="5">
    <w:abstractNumId w:val="3"/>
  </w:num>
  <w:num w:numId="6">
    <w:abstractNumId w:val="14"/>
  </w:num>
  <w:num w:numId="7">
    <w:abstractNumId w:val="5"/>
  </w:num>
  <w:num w:numId="8">
    <w:abstractNumId w:val="9"/>
  </w:num>
  <w:num w:numId="9">
    <w:abstractNumId w:val="0"/>
  </w:num>
  <w:num w:numId="10">
    <w:abstractNumId w:val="13"/>
  </w:num>
  <w:num w:numId="11">
    <w:abstractNumId w:val="8"/>
  </w:num>
  <w:num w:numId="12">
    <w:abstractNumId w:val="1"/>
  </w:num>
  <w:num w:numId="13">
    <w:abstractNumId w:val="12"/>
  </w:num>
  <w:num w:numId="14">
    <w:abstractNumId w:val="10"/>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7169"/>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ACE"/>
    <w:rsid w:val="00001325"/>
    <w:rsid w:val="000027E3"/>
    <w:rsid w:val="000067C2"/>
    <w:rsid w:val="000108EF"/>
    <w:rsid w:val="00010D6A"/>
    <w:rsid w:val="00010E88"/>
    <w:rsid w:val="00016CB5"/>
    <w:rsid w:val="00022353"/>
    <w:rsid w:val="000241F9"/>
    <w:rsid w:val="000245C6"/>
    <w:rsid w:val="00025ECD"/>
    <w:rsid w:val="000262E4"/>
    <w:rsid w:val="0002672C"/>
    <w:rsid w:val="0003236C"/>
    <w:rsid w:val="00032B63"/>
    <w:rsid w:val="00036DFA"/>
    <w:rsid w:val="0003788D"/>
    <w:rsid w:val="000403C9"/>
    <w:rsid w:val="000445F3"/>
    <w:rsid w:val="000450D5"/>
    <w:rsid w:val="00045B3E"/>
    <w:rsid w:val="00052E39"/>
    <w:rsid w:val="00057794"/>
    <w:rsid w:val="000613FA"/>
    <w:rsid w:val="000707F3"/>
    <w:rsid w:val="00070DFE"/>
    <w:rsid w:val="000735C7"/>
    <w:rsid w:val="000737B8"/>
    <w:rsid w:val="000742DD"/>
    <w:rsid w:val="0007496E"/>
    <w:rsid w:val="00076112"/>
    <w:rsid w:val="00077EF0"/>
    <w:rsid w:val="00082396"/>
    <w:rsid w:val="00082F51"/>
    <w:rsid w:val="00083592"/>
    <w:rsid w:val="00083D41"/>
    <w:rsid w:val="00084A7F"/>
    <w:rsid w:val="0008786B"/>
    <w:rsid w:val="000903A8"/>
    <w:rsid w:val="00090E5E"/>
    <w:rsid w:val="0009287E"/>
    <w:rsid w:val="00093F1F"/>
    <w:rsid w:val="00094977"/>
    <w:rsid w:val="00096CE3"/>
    <w:rsid w:val="000A04AD"/>
    <w:rsid w:val="000A27E5"/>
    <w:rsid w:val="000A357A"/>
    <w:rsid w:val="000A4130"/>
    <w:rsid w:val="000A4799"/>
    <w:rsid w:val="000B0537"/>
    <w:rsid w:val="000B0900"/>
    <w:rsid w:val="000B0FFD"/>
    <w:rsid w:val="000B14F4"/>
    <w:rsid w:val="000B21A9"/>
    <w:rsid w:val="000B2ED9"/>
    <w:rsid w:val="000B4CB7"/>
    <w:rsid w:val="000B52B7"/>
    <w:rsid w:val="000B648A"/>
    <w:rsid w:val="000B7173"/>
    <w:rsid w:val="000C01B1"/>
    <w:rsid w:val="000C1C59"/>
    <w:rsid w:val="000C6205"/>
    <w:rsid w:val="000C62B1"/>
    <w:rsid w:val="000C77AB"/>
    <w:rsid w:val="000C7F21"/>
    <w:rsid w:val="000D2530"/>
    <w:rsid w:val="000D3CE7"/>
    <w:rsid w:val="000D5086"/>
    <w:rsid w:val="000D6B26"/>
    <w:rsid w:val="000E14B3"/>
    <w:rsid w:val="000E1ADF"/>
    <w:rsid w:val="000E1FA5"/>
    <w:rsid w:val="000E255F"/>
    <w:rsid w:val="000E261D"/>
    <w:rsid w:val="000E265A"/>
    <w:rsid w:val="000E2AE6"/>
    <w:rsid w:val="000E3E73"/>
    <w:rsid w:val="000E5356"/>
    <w:rsid w:val="000F24F2"/>
    <w:rsid w:val="000F2F0B"/>
    <w:rsid w:val="000F3DC6"/>
    <w:rsid w:val="000F64A6"/>
    <w:rsid w:val="000F694B"/>
    <w:rsid w:val="000F6C9D"/>
    <w:rsid w:val="000F739A"/>
    <w:rsid w:val="000F780C"/>
    <w:rsid w:val="000F7850"/>
    <w:rsid w:val="001023AB"/>
    <w:rsid w:val="00102CD4"/>
    <w:rsid w:val="00105DBC"/>
    <w:rsid w:val="00110BBA"/>
    <w:rsid w:val="00110E89"/>
    <w:rsid w:val="00111B7F"/>
    <w:rsid w:val="00113039"/>
    <w:rsid w:val="00114B85"/>
    <w:rsid w:val="00115643"/>
    <w:rsid w:val="00115A60"/>
    <w:rsid w:val="001175F0"/>
    <w:rsid w:val="00117DA1"/>
    <w:rsid w:val="0012070F"/>
    <w:rsid w:val="00120A80"/>
    <w:rsid w:val="001221CE"/>
    <w:rsid w:val="00123C1D"/>
    <w:rsid w:val="0012481D"/>
    <w:rsid w:val="00126551"/>
    <w:rsid w:val="001268CA"/>
    <w:rsid w:val="00130C19"/>
    <w:rsid w:val="001317C4"/>
    <w:rsid w:val="001353BB"/>
    <w:rsid w:val="00135E4A"/>
    <w:rsid w:val="00141A57"/>
    <w:rsid w:val="00142015"/>
    <w:rsid w:val="0014253A"/>
    <w:rsid w:val="00142551"/>
    <w:rsid w:val="001449B7"/>
    <w:rsid w:val="0014545C"/>
    <w:rsid w:val="00146729"/>
    <w:rsid w:val="00146A32"/>
    <w:rsid w:val="00151EF7"/>
    <w:rsid w:val="0015205B"/>
    <w:rsid w:val="00161F37"/>
    <w:rsid w:val="00163F7B"/>
    <w:rsid w:val="0016428E"/>
    <w:rsid w:val="001667BA"/>
    <w:rsid w:val="00166D88"/>
    <w:rsid w:val="0016792E"/>
    <w:rsid w:val="001710A2"/>
    <w:rsid w:val="00173F24"/>
    <w:rsid w:val="00175390"/>
    <w:rsid w:val="00180436"/>
    <w:rsid w:val="001808B2"/>
    <w:rsid w:val="00183490"/>
    <w:rsid w:val="00184BD5"/>
    <w:rsid w:val="0018583D"/>
    <w:rsid w:val="00190E01"/>
    <w:rsid w:val="001925A2"/>
    <w:rsid w:val="00196C53"/>
    <w:rsid w:val="00196DD9"/>
    <w:rsid w:val="00197E51"/>
    <w:rsid w:val="001A14A0"/>
    <w:rsid w:val="001A253E"/>
    <w:rsid w:val="001A461A"/>
    <w:rsid w:val="001A509A"/>
    <w:rsid w:val="001A7A83"/>
    <w:rsid w:val="001B17A5"/>
    <w:rsid w:val="001B1F2C"/>
    <w:rsid w:val="001B6487"/>
    <w:rsid w:val="001B6543"/>
    <w:rsid w:val="001C135F"/>
    <w:rsid w:val="001C7815"/>
    <w:rsid w:val="001C7C91"/>
    <w:rsid w:val="001C7F02"/>
    <w:rsid w:val="001D3D39"/>
    <w:rsid w:val="001D3DF9"/>
    <w:rsid w:val="001D4254"/>
    <w:rsid w:val="001D691F"/>
    <w:rsid w:val="001E0B68"/>
    <w:rsid w:val="001E37B7"/>
    <w:rsid w:val="001F14EE"/>
    <w:rsid w:val="001F1F65"/>
    <w:rsid w:val="001F2AC2"/>
    <w:rsid w:val="001F3FC7"/>
    <w:rsid w:val="001F5DA2"/>
    <w:rsid w:val="001F7F10"/>
    <w:rsid w:val="00200CE3"/>
    <w:rsid w:val="002020FE"/>
    <w:rsid w:val="0020336F"/>
    <w:rsid w:val="002039A1"/>
    <w:rsid w:val="00204E35"/>
    <w:rsid w:val="00206564"/>
    <w:rsid w:val="002070CE"/>
    <w:rsid w:val="00210555"/>
    <w:rsid w:val="0021096F"/>
    <w:rsid w:val="00212745"/>
    <w:rsid w:val="00214F73"/>
    <w:rsid w:val="002163F4"/>
    <w:rsid w:val="002204A4"/>
    <w:rsid w:val="00221444"/>
    <w:rsid w:val="00222790"/>
    <w:rsid w:val="002228A3"/>
    <w:rsid w:val="002257EF"/>
    <w:rsid w:val="00230806"/>
    <w:rsid w:val="00231844"/>
    <w:rsid w:val="0023240A"/>
    <w:rsid w:val="002359AD"/>
    <w:rsid w:val="002361E5"/>
    <w:rsid w:val="002365BE"/>
    <w:rsid w:val="00243E81"/>
    <w:rsid w:val="00243FAD"/>
    <w:rsid w:val="0024440A"/>
    <w:rsid w:val="0024673F"/>
    <w:rsid w:val="00246DC2"/>
    <w:rsid w:val="00250047"/>
    <w:rsid w:val="002530A6"/>
    <w:rsid w:val="0025391A"/>
    <w:rsid w:val="002559F0"/>
    <w:rsid w:val="002578CD"/>
    <w:rsid w:val="00260048"/>
    <w:rsid w:val="00266EF5"/>
    <w:rsid w:val="00270621"/>
    <w:rsid w:val="0027180B"/>
    <w:rsid w:val="002735DA"/>
    <w:rsid w:val="00274675"/>
    <w:rsid w:val="00275AD7"/>
    <w:rsid w:val="00275EF1"/>
    <w:rsid w:val="0027604D"/>
    <w:rsid w:val="00276BBF"/>
    <w:rsid w:val="00277B41"/>
    <w:rsid w:val="00284093"/>
    <w:rsid w:val="00285862"/>
    <w:rsid w:val="00290557"/>
    <w:rsid w:val="00291260"/>
    <w:rsid w:val="00292436"/>
    <w:rsid w:val="0029359A"/>
    <w:rsid w:val="00293950"/>
    <w:rsid w:val="0029433A"/>
    <w:rsid w:val="0029495B"/>
    <w:rsid w:val="0029498C"/>
    <w:rsid w:val="00296900"/>
    <w:rsid w:val="00297BD1"/>
    <w:rsid w:val="002A32F6"/>
    <w:rsid w:val="002A7FDB"/>
    <w:rsid w:val="002B1038"/>
    <w:rsid w:val="002B2DBF"/>
    <w:rsid w:val="002B5360"/>
    <w:rsid w:val="002B718D"/>
    <w:rsid w:val="002B7EAE"/>
    <w:rsid w:val="002C0411"/>
    <w:rsid w:val="002C06B7"/>
    <w:rsid w:val="002C12D4"/>
    <w:rsid w:val="002C2131"/>
    <w:rsid w:val="002C2ED2"/>
    <w:rsid w:val="002C517D"/>
    <w:rsid w:val="002C5426"/>
    <w:rsid w:val="002C5E9E"/>
    <w:rsid w:val="002C6EF5"/>
    <w:rsid w:val="002C7003"/>
    <w:rsid w:val="002C7B6D"/>
    <w:rsid w:val="002D3A28"/>
    <w:rsid w:val="002D65FB"/>
    <w:rsid w:val="002D6A67"/>
    <w:rsid w:val="002D7A2B"/>
    <w:rsid w:val="002E0D5C"/>
    <w:rsid w:val="002E238A"/>
    <w:rsid w:val="002E41CE"/>
    <w:rsid w:val="002E5A63"/>
    <w:rsid w:val="002E6DEB"/>
    <w:rsid w:val="002E71C8"/>
    <w:rsid w:val="002F50E8"/>
    <w:rsid w:val="002F6128"/>
    <w:rsid w:val="00303032"/>
    <w:rsid w:val="00303770"/>
    <w:rsid w:val="00303D6F"/>
    <w:rsid w:val="00304544"/>
    <w:rsid w:val="00305455"/>
    <w:rsid w:val="00306BC0"/>
    <w:rsid w:val="003110A8"/>
    <w:rsid w:val="00311CC7"/>
    <w:rsid w:val="00311E66"/>
    <w:rsid w:val="00312489"/>
    <w:rsid w:val="00315E49"/>
    <w:rsid w:val="00316413"/>
    <w:rsid w:val="003166B0"/>
    <w:rsid w:val="00320BF3"/>
    <w:rsid w:val="00323D75"/>
    <w:rsid w:val="003242C6"/>
    <w:rsid w:val="00324BD4"/>
    <w:rsid w:val="003251BF"/>
    <w:rsid w:val="003318E6"/>
    <w:rsid w:val="0033451E"/>
    <w:rsid w:val="00334F48"/>
    <w:rsid w:val="00335371"/>
    <w:rsid w:val="00336023"/>
    <w:rsid w:val="00337775"/>
    <w:rsid w:val="00337BA8"/>
    <w:rsid w:val="00341075"/>
    <w:rsid w:val="003420A7"/>
    <w:rsid w:val="00343DD7"/>
    <w:rsid w:val="00343F55"/>
    <w:rsid w:val="00347814"/>
    <w:rsid w:val="00353825"/>
    <w:rsid w:val="003543CF"/>
    <w:rsid w:val="00354996"/>
    <w:rsid w:val="00355F11"/>
    <w:rsid w:val="0036062D"/>
    <w:rsid w:val="00360F93"/>
    <w:rsid w:val="003611BA"/>
    <w:rsid w:val="00362FD7"/>
    <w:rsid w:val="00363498"/>
    <w:rsid w:val="0036650C"/>
    <w:rsid w:val="003676AE"/>
    <w:rsid w:val="00367ADD"/>
    <w:rsid w:val="0037092C"/>
    <w:rsid w:val="003711C5"/>
    <w:rsid w:val="0037134E"/>
    <w:rsid w:val="003722CB"/>
    <w:rsid w:val="0037559A"/>
    <w:rsid w:val="00382351"/>
    <w:rsid w:val="0038269F"/>
    <w:rsid w:val="00382B2B"/>
    <w:rsid w:val="003846AE"/>
    <w:rsid w:val="00385595"/>
    <w:rsid w:val="003866BC"/>
    <w:rsid w:val="0038681F"/>
    <w:rsid w:val="00390AFA"/>
    <w:rsid w:val="00391964"/>
    <w:rsid w:val="00392CDA"/>
    <w:rsid w:val="003930BF"/>
    <w:rsid w:val="00397C8E"/>
    <w:rsid w:val="003A0182"/>
    <w:rsid w:val="003A1FEB"/>
    <w:rsid w:val="003A3054"/>
    <w:rsid w:val="003A474A"/>
    <w:rsid w:val="003A4C32"/>
    <w:rsid w:val="003A7633"/>
    <w:rsid w:val="003B0232"/>
    <w:rsid w:val="003B5038"/>
    <w:rsid w:val="003B7BFC"/>
    <w:rsid w:val="003C2182"/>
    <w:rsid w:val="003C2709"/>
    <w:rsid w:val="003C292D"/>
    <w:rsid w:val="003C2CF2"/>
    <w:rsid w:val="003C2F3B"/>
    <w:rsid w:val="003C3D31"/>
    <w:rsid w:val="003C5290"/>
    <w:rsid w:val="003C6166"/>
    <w:rsid w:val="003D1DC5"/>
    <w:rsid w:val="003D249C"/>
    <w:rsid w:val="003D2DAB"/>
    <w:rsid w:val="003D47D5"/>
    <w:rsid w:val="003D6C19"/>
    <w:rsid w:val="003E0E4E"/>
    <w:rsid w:val="003E1724"/>
    <w:rsid w:val="003E1CC7"/>
    <w:rsid w:val="003E69C4"/>
    <w:rsid w:val="003E720E"/>
    <w:rsid w:val="003E76EF"/>
    <w:rsid w:val="003F2A28"/>
    <w:rsid w:val="003F3880"/>
    <w:rsid w:val="003F3DD2"/>
    <w:rsid w:val="003F50F1"/>
    <w:rsid w:val="003F52E8"/>
    <w:rsid w:val="003F5FB6"/>
    <w:rsid w:val="003F755C"/>
    <w:rsid w:val="00401E01"/>
    <w:rsid w:val="004028A1"/>
    <w:rsid w:val="0040300D"/>
    <w:rsid w:val="004032E2"/>
    <w:rsid w:val="00410E1D"/>
    <w:rsid w:val="00412793"/>
    <w:rsid w:val="00414407"/>
    <w:rsid w:val="004156D5"/>
    <w:rsid w:val="00415F31"/>
    <w:rsid w:val="0041796B"/>
    <w:rsid w:val="00417D6A"/>
    <w:rsid w:val="0042059D"/>
    <w:rsid w:val="004243E5"/>
    <w:rsid w:val="00424507"/>
    <w:rsid w:val="004257CD"/>
    <w:rsid w:val="004264A4"/>
    <w:rsid w:val="004270F0"/>
    <w:rsid w:val="004300FD"/>
    <w:rsid w:val="00430D38"/>
    <w:rsid w:val="00430E52"/>
    <w:rsid w:val="00433D6C"/>
    <w:rsid w:val="0043517C"/>
    <w:rsid w:val="00435696"/>
    <w:rsid w:val="00435759"/>
    <w:rsid w:val="00435C4D"/>
    <w:rsid w:val="00436F64"/>
    <w:rsid w:val="004372DC"/>
    <w:rsid w:val="00440D32"/>
    <w:rsid w:val="00440F72"/>
    <w:rsid w:val="00441080"/>
    <w:rsid w:val="00441330"/>
    <w:rsid w:val="00442C92"/>
    <w:rsid w:val="00442E07"/>
    <w:rsid w:val="00443D5D"/>
    <w:rsid w:val="004461E0"/>
    <w:rsid w:val="0044697A"/>
    <w:rsid w:val="00446ED6"/>
    <w:rsid w:val="004525AE"/>
    <w:rsid w:val="00452608"/>
    <w:rsid w:val="00453D81"/>
    <w:rsid w:val="0045470B"/>
    <w:rsid w:val="00455C95"/>
    <w:rsid w:val="00456752"/>
    <w:rsid w:val="00456E30"/>
    <w:rsid w:val="00456F98"/>
    <w:rsid w:val="0046382D"/>
    <w:rsid w:val="00464326"/>
    <w:rsid w:val="00464738"/>
    <w:rsid w:val="0046480C"/>
    <w:rsid w:val="0046619D"/>
    <w:rsid w:val="004664EA"/>
    <w:rsid w:val="00467E39"/>
    <w:rsid w:val="00471380"/>
    <w:rsid w:val="00472D9D"/>
    <w:rsid w:val="00472F0A"/>
    <w:rsid w:val="00475625"/>
    <w:rsid w:val="004770AF"/>
    <w:rsid w:val="004778FE"/>
    <w:rsid w:val="00477DD4"/>
    <w:rsid w:val="00481275"/>
    <w:rsid w:val="00482566"/>
    <w:rsid w:val="004832AB"/>
    <w:rsid w:val="00484AE8"/>
    <w:rsid w:val="0049024B"/>
    <w:rsid w:val="0049448E"/>
    <w:rsid w:val="00496C36"/>
    <w:rsid w:val="00496F9E"/>
    <w:rsid w:val="004972C7"/>
    <w:rsid w:val="004A043B"/>
    <w:rsid w:val="004A0647"/>
    <w:rsid w:val="004A078A"/>
    <w:rsid w:val="004A3855"/>
    <w:rsid w:val="004A6667"/>
    <w:rsid w:val="004A6DF5"/>
    <w:rsid w:val="004B1893"/>
    <w:rsid w:val="004B20FF"/>
    <w:rsid w:val="004B27C5"/>
    <w:rsid w:val="004B32E7"/>
    <w:rsid w:val="004B50F9"/>
    <w:rsid w:val="004B54AA"/>
    <w:rsid w:val="004B5BAC"/>
    <w:rsid w:val="004C0901"/>
    <w:rsid w:val="004C0BBD"/>
    <w:rsid w:val="004C24BE"/>
    <w:rsid w:val="004C3546"/>
    <w:rsid w:val="004C4568"/>
    <w:rsid w:val="004C4FAC"/>
    <w:rsid w:val="004C506E"/>
    <w:rsid w:val="004C58F6"/>
    <w:rsid w:val="004C6A85"/>
    <w:rsid w:val="004C76CE"/>
    <w:rsid w:val="004D1E82"/>
    <w:rsid w:val="004D436C"/>
    <w:rsid w:val="004D4E30"/>
    <w:rsid w:val="004D5365"/>
    <w:rsid w:val="004D6CEA"/>
    <w:rsid w:val="004D6FFA"/>
    <w:rsid w:val="004E0058"/>
    <w:rsid w:val="004E0389"/>
    <w:rsid w:val="004E1531"/>
    <w:rsid w:val="004E3286"/>
    <w:rsid w:val="004E394E"/>
    <w:rsid w:val="004E3A46"/>
    <w:rsid w:val="004E41F6"/>
    <w:rsid w:val="004E45FF"/>
    <w:rsid w:val="004E49CD"/>
    <w:rsid w:val="004E7420"/>
    <w:rsid w:val="004F111F"/>
    <w:rsid w:val="004F136B"/>
    <w:rsid w:val="004F175C"/>
    <w:rsid w:val="004F645E"/>
    <w:rsid w:val="00500AFC"/>
    <w:rsid w:val="00501D3D"/>
    <w:rsid w:val="005023F3"/>
    <w:rsid w:val="00502DFF"/>
    <w:rsid w:val="005049DD"/>
    <w:rsid w:val="00507181"/>
    <w:rsid w:val="005100FD"/>
    <w:rsid w:val="005105FB"/>
    <w:rsid w:val="0051177C"/>
    <w:rsid w:val="00511E9F"/>
    <w:rsid w:val="00513772"/>
    <w:rsid w:val="00514177"/>
    <w:rsid w:val="00514DFF"/>
    <w:rsid w:val="005154E3"/>
    <w:rsid w:val="00517E80"/>
    <w:rsid w:val="005234DE"/>
    <w:rsid w:val="0052400E"/>
    <w:rsid w:val="00525492"/>
    <w:rsid w:val="00526A6C"/>
    <w:rsid w:val="00527373"/>
    <w:rsid w:val="00527AB9"/>
    <w:rsid w:val="00533F55"/>
    <w:rsid w:val="00535D87"/>
    <w:rsid w:val="00536EC6"/>
    <w:rsid w:val="00537359"/>
    <w:rsid w:val="005419CF"/>
    <w:rsid w:val="00542920"/>
    <w:rsid w:val="0054679A"/>
    <w:rsid w:val="00546BC5"/>
    <w:rsid w:val="00547AE8"/>
    <w:rsid w:val="005511FF"/>
    <w:rsid w:val="00551860"/>
    <w:rsid w:val="00552BCE"/>
    <w:rsid w:val="005550C8"/>
    <w:rsid w:val="00555784"/>
    <w:rsid w:val="005560AF"/>
    <w:rsid w:val="00562025"/>
    <w:rsid w:val="00563C8F"/>
    <w:rsid w:val="005652A5"/>
    <w:rsid w:val="005656F4"/>
    <w:rsid w:val="00566679"/>
    <w:rsid w:val="00566F5D"/>
    <w:rsid w:val="00567B2A"/>
    <w:rsid w:val="00571CD4"/>
    <w:rsid w:val="005745B7"/>
    <w:rsid w:val="00576507"/>
    <w:rsid w:val="005774A4"/>
    <w:rsid w:val="00583D24"/>
    <w:rsid w:val="00584AC5"/>
    <w:rsid w:val="00586294"/>
    <w:rsid w:val="00586946"/>
    <w:rsid w:val="0059178C"/>
    <w:rsid w:val="00591B96"/>
    <w:rsid w:val="00592847"/>
    <w:rsid w:val="0059350B"/>
    <w:rsid w:val="00593FE4"/>
    <w:rsid w:val="00597403"/>
    <w:rsid w:val="005A0268"/>
    <w:rsid w:val="005A0668"/>
    <w:rsid w:val="005A0AC4"/>
    <w:rsid w:val="005A0E67"/>
    <w:rsid w:val="005A2EE3"/>
    <w:rsid w:val="005B0B01"/>
    <w:rsid w:val="005B0B68"/>
    <w:rsid w:val="005B0EAD"/>
    <w:rsid w:val="005B6E66"/>
    <w:rsid w:val="005B7D63"/>
    <w:rsid w:val="005C0A6D"/>
    <w:rsid w:val="005C36A9"/>
    <w:rsid w:val="005C3973"/>
    <w:rsid w:val="005C4533"/>
    <w:rsid w:val="005C485C"/>
    <w:rsid w:val="005C59F1"/>
    <w:rsid w:val="005C5C32"/>
    <w:rsid w:val="005C76F6"/>
    <w:rsid w:val="005C7878"/>
    <w:rsid w:val="005C78CA"/>
    <w:rsid w:val="005D0969"/>
    <w:rsid w:val="005D15C5"/>
    <w:rsid w:val="005D1837"/>
    <w:rsid w:val="005D1BF8"/>
    <w:rsid w:val="005D236E"/>
    <w:rsid w:val="005D25D9"/>
    <w:rsid w:val="005D2EC6"/>
    <w:rsid w:val="005D41D7"/>
    <w:rsid w:val="005D4C92"/>
    <w:rsid w:val="005D50D3"/>
    <w:rsid w:val="005D6917"/>
    <w:rsid w:val="005D69AC"/>
    <w:rsid w:val="005D7859"/>
    <w:rsid w:val="005E2478"/>
    <w:rsid w:val="005E25EA"/>
    <w:rsid w:val="005E466F"/>
    <w:rsid w:val="005E4829"/>
    <w:rsid w:val="005E6814"/>
    <w:rsid w:val="005F004F"/>
    <w:rsid w:val="005F0CC8"/>
    <w:rsid w:val="005F0F9B"/>
    <w:rsid w:val="005F288E"/>
    <w:rsid w:val="005F4161"/>
    <w:rsid w:val="005F43E5"/>
    <w:rsid w:val="006002F4"/>
    <w:rsid w:val="00600B73"/>
    <w:rsid w:val="00600D58"/>
    <w:rsid w:val="00605679"/>
    <w:rsid w:val="00606B5B"/>
    <w:rsid w:val="00606C30"/>
    <w:rsid w:val="00607C43"/>
    <w:rsid w:val="00612A9F"/>
    <w:rsid w:val="006133BF"/>
    <w:rsid w:val="006143DA"/>
    <w:rsid w:val="00614F6A"/>
    <w:rsid w:val="006154BF"/>
    <w:rsid w:val="00620FDF"/>
    <w:rsid w:val="00621CA3"/>
    <w:rsid w:val="0062349F"/>
    <w:rsid w:val="0062382C"/>
    <w:rsid w:val="00630D5C"/>
    <w:rsid w:val="0063138B"/>
    <w:rsid w:val="006335E1"/>
    <w:rsid w:val="00640680"/>
    <w:rsid w:val="00642397"/>
    <w:rsid w:val="00645E58"/>
    <w:rsid w:val="00647922"/>
    <w:rsid w:val="00647B0B"/>
    <w:rsid w:val="00650178"/>
    <w:rsid w:val="006504F3"/>
    <w:rsid w:val="006507AB"/>
    <w:rsid w:val="00653E17"/>
    <w:rsid w:val="0065570B"/>
    <w:rsid w:val="00656325"/>
    <w:rsid w:val="00661B34"/>
    <w:rsid w:val="00662832"/>
    <w:rsid w:val="00663D38"/>
    <w:rsid w:val="00665C7F"/>
    <w:rsid w:val="006660F6"/>
    <w:rsid w:val="006702FA"/>
    <w:rsid w:val="006708A1"/>
    <w:rsid w:val="006717ED"/>
    <w:rsid w:val="006718EC"/>
    <w:rsid w:val="00672455"/>
    <w:rsid w:val="006730BB"/>
    <w:rsid w:val="00673783"/>
    <w:rsid w:val="00675A49"/>
    <w:rsid w:val="00676241"/>
    <w:rsid w:val="00677CF1"/>
    <w:rsid w:val="00677D13"/>
    <w:rsid w:val="0068094F"/>
    <w:rsid w:val="00680A7F"/>
    <w:rsid w:val="00680C09"/>
    <w:rsid w:val="00681406"/>
    <w:rsid w:val="00682915"/>
    <w:rsid w:val="00687FEB"/>
    <w:rsid w:val="006906BC"/>
    <w:rsid w:val="006911B5"/>
    <w:rsid w:val="0069188D"/>
    <w:rsid w:val="00692493"/>
    <w:rsid w:val="006940E7"/>
    <w:rsid w:val="006940FA"/>
    <w:rsid w:val="0069481F"/>
    <w:rsid w:val="006961AD"/>
    <w:rsid w:val="00696763"/>
    <w:rsid w:val="00696BD9"/>
    <w:rsid w:val="006970D5"/>
    <w:rsid w:val="006978CC"/>
    <w:rsid w:val="006A3763"/>
    <w:rsid w:val="006A5D57"/>
    <w:rsid w:val="006A62EE"/>
    <w:rsid w:val="006A741C"/>
    <w:rsid w:val="006B020D"/>
    <w:rsid w:val="006B2CA3"/>
    <w:rsid w:val="006B3B15"/>
    <w:rsid w:val="006B5B95"/>
    <w:rsid w:val="006B7061"/>
    <w:rsid w:val="006C0F1D"/>
    <w:rsid w:val="006C1AF8"/>
    <w:rsid w:val="006C59E4"/>
    <w:rsid w:val="006C6989"/>
    <w:rsid w:val="006C6A39"/>
    <w:rsid w:val="006C6BB2"/>
    <w:rsid w:val="006C73ED"/>
    <w:rsid w:val="006D0BB4"/>
    <w:rsid w:val="006D1270"/>
    <w:rsid w:val="006D175D"/>
    <w:rsid w:val="006D2034"/>
    <w:rsid w:val="006D2217"/>
    <w:rsid w:val="006D32E7"/>
    <w:rsid w:val="006D56FF"/>
    <w:rsid w:val="006D5C22"/>
    <w:rsid w:val="006D6B33"/>
    <w:rsid w:val="006D73CC"/>
    <w:rsid w:val="006E0000"/>
    <w:rsid w:val="006E0BD2"/>
    <w:rsid w:val="006E17C4"/>
    <w:rsid w:val="006E18A4"/>
    <w:rsid w:val="006E267C"/>
    <w:rsid w:val="006E2F31"/>
    <w:rsid w:val="006E3C46"/>
    <w:rsid w:val="006E51DE"/>
    <w:rsid w:val="006E55CC"/>
    <w:rsid w:val="006E5D97"/>
    <w:rsid w:val="006E67B6"/>
    <w:rsid w:val="006E6A01"/>
    <w:rsid w:val="006F32AC"/>
    <w:rsid w:val="006F448A"/>
    <w:rsid w:val="006F53A2"/>
    <w:rsid w:val="006F5CF1"/>
    <w:rsid w:val="006F6C5C"/>
    <w:rsid w:val="00701182"/>
    <w:rsid w:val="0070390C"/>
    <w:rsid w:val="007055F7"/>
    <w:rsid w:val="0070644A"/>
    <w:rsid w:val="007068DD"/>
    <w:rsid w:val="007071E1"/>
    <w:rsid w:val="007076A2"/>
    <w:rsid w:val="00711330"/>
    <w:rsid w:val="00713585"/>
    <w:rsid w:val="00713660"/>
    <w:rsid w:val="007154BD"/>
    <w:rsid w:val="007177A3"/>
    <w:rsid w:val="00720F3C"/>
    <w:rsid w:val="00722E0B"/>
    <w:rsid w:val="0072481D"/>
    <w:rsid w:val="0072699D"/>
    <w:rsid w:val="00731585"/>
    <w:rsid w:val="0073224F"/>
    <w:rsid w:val="007329D7"/>
    <w:rsid w:val="007339C6"/>
    <w:rsid w:val="00734899"/>
    <w:rsid w:val="00735689"/>
    <w:rsid w:val="00735F38"/>
    <w:rsid w:val="0073632C"/>
    <w:rsid w:val="00741B7A"/>
    <w:rsid w:val="007428AC"/>
    <w:rsid w:val="00742DB5"/>
    <w:rsid w:val="007436B8"/>
    <w:rsid w:val="00747CEB"/>
    <w:rsid w:val="00750F69"/>
    <w:rsid w:val="0075143F"/>
    <w:rsid w:val="00752987"/>
    <w:rsid w:val="0075574F"/>
    <w:rsid w:val="00755E42"/>
    <w:rsid w:val="00756382"/>
    <w:rsid w:val="00757436"/>
    <w:rsid w:val="007613BD"/>
    <w:rsid w:val="00763572"/>
    <w:rsid w:val="00763A8C"/>
    <w:rsid w:val="00764E21"/>
    <w:rsid w:val="00765141"/>
    <w:rsid w:val="0076571C"/>
    <w:rsid w:val="00765CED"/>
    <w:rsid w:val="00766736"/>
    <w:rsid w:val="00767DE9"/>
    <w:rsid w:val="00771EF6"/>
    <w:rsid w:val="00775C80"/>
    <w:rsid w:val="00775E90"/>
    <w:rsid w:val="00777473"/>
    <w:rsid w:val="00777A9E"/>
    <w:rsid w:val="007821CF"/>
    <w:rsid w:val="00783B13"/>
    <w:rsid w:val="00784F59"/>
    <w:rsid w:val="00785854"/>
    <w:rsid w:val="007859F7"/>
    <w:rsid w:val="00786111"/>
    <w:rsid w:val="007872F0"/>
    <w:rsid w:val="007878BE"/>
    <w:rsid w:val="007878FC"/>
    <w:rsid w:val="00790013"/>
    <w:rsid w:val="00790C69"/>
    <w:rsid w:val="00791E14"/>
    <w:rsid w:val="00793420"/>
    <w:rsid w:val="00794F88"/>
    <w:rsid w:val="00795246"/>
    <w:rsid w:val="00795D0E"/>
    <w:rsid w:val="007978F1"/>
    <w:rsid w:val="00797F8B"/>
    <w:rsid w:val="00797FB9"/>
    <w:rsid w:val="007A0373"/>
    <w:rsid w:val="007A084C"/>
    <w:rsid w:val="007A1012"/>
    <w:rsid w:val="007A13C2"/>
    <w:rsid w:val="007A2F37"/>
    <w:rsid w:val="007A3E1B"/>
    <w:rsid w:val="007A7104"/>
    <w:rsid w:val="007A7CC5"/>
    <w:rsid w:val="007B0780"/>
    <w:rsid w:val="007B0C98"/>
    <w:rsid w:val="007B19DB"/>
    <w:rsid w:val="007B1E91"/>
    <w:rsid w:val="007B45A8"/>
    <w:rsid w:val="007B50C9"/>
    <w:rsid w:val="007B5F97"/>
    <w:rsid w:val="007B69DE"/>
    <w:rsid w:val="007C1887"/>
    <w:rsid w:val="007C418C"/>
    <w:rsid w:val="007C5214"/>
    <w:rsid w:val="007C6241"/>
    <w:rsid w:val="007C68AB"/>
    <w:rsid w:val="007C77E1"/>
    <w:rsid w:val="007C7FE8"/>
    <w:rsid w:val="007D21F3"/>
    <w:rsid w:val="007D2643"/>
    <w:rsid w:val="007D3EBA"/>
    <w:rsid w:val="007D440C"/>
    <w:rsid w:val="007D4947"/>
    <w:rsid w:val="007D5313"/>
    <w:rsid w:val="007D6322"/>
    <w:rsid w:val="007D70A1"/>
    <w:rsid w:val="007D777F"/>
    <w:rsid w:val="007E21CA"/>
    <w:rsid w:val="007E244E"/>
    <w:rsid w:val="007E4867"/>
    <w:rsid w:val="007E63F4"/>
    <w:rsid w:val="007F2B15"/>
    <w:rsid w:val="007F2C0D"/>
    <w:rsid w:val="007F4042"/>
    <w:rsid w:val="007F7929"/>
    <w:rsid w:val="007F7975"/>
    <w:rsid w:val="007F7BB3"/>
    <w:rsid w:val="0080011E"/>
    <w:rsid w:val="00806F4D"/>
    <w:rsid w:val="00807F3A"/>
    <w:rsid w:val="00807F94"/>
    <w:rsid w:val="00810442"/>
    <w:rsid w:val="008104E3"/>
    <w:rsid w:val="00810E0C"/>
    <w:rsid w:val="00810F66"/>
    <w:rsid w:val="00812A38"/>
    <w:rsid w:val="00812B0B"/>
    <w:rsid w:val="00816F5E"/>
    <w:rsid w:val="00817E70"/>
    <w:rsid w:val="008200F0"/>
    <w:rsid w:val="00820209"/>
    <w:rsid w:val="00821F9B"/>
    <w:rsid w:val="008228D1"/>
    <w:rsid w:val="00822BF8"/>
    <w:rsid w:val="00824551"/>
    <w:rsid w:val="008253B8"/>
    <w:rsid w:val="0082547A"/>
    <w:rsid w:val="00830C55"/>
    <w:rsid w:val="00832BA2"/>
    <w:rsid w:val="00833917"/>
    <w:rsid w:val="0083455E"/>
    <w:rsid w:val="00836A11"/>
    <w:rsid w:val="00837D14"/>
    <w:rsid w:val="008403E4"/>
    <w:rsid w:val="00841656"/>
    <w:rsid w:val="00841AA9"/>
    <w:rsid w:val="00842BCC"/>
    <w:rsid w:val="008437C6"/>
    <w:rsid w:val="00844D15"/>
    <w:rsid w:val="00847BA3"/>
    <w:rsid w:val="008567E7"/>
    <w:rsid w:val="008612D9"/>
    <w:rsid w:val="0086269B"/>
    <w:rsid w:val="00863751"/>
    <w:rsid w:val="00863FC8"/>
    <w:rsid w:val="008643F6"/>
    <w:rsid w:val="00864776"/>
    <w:rsid w:val="00865810"/>
    <w:rsid w:val="00865A17"/>
    <w:rsid w:val="00866199"/>
    <w:rsid w:val="00866B4B"/>
    <w:rsid w:val="00867ACE"/>
    <w:rsid w:val="008702DE"/>
    <w:rsid w:val="00871560"/>
    <w:rsid w:val="00873360"/>
    <w:rsid w:val="00875029"/>
    <w:rsid w:val="00875994"/>
    <w:rsid w:val="00875EE7"/>
    <w:rsid w:val="008841FB"/>
    <w:rsid w:val="008850D7"/>
    <w:rsid w:val="00892DFB"/>
    <w:rsid w:val="008956C5"/>
    <w:rsid w:val="00897473"/>
    <w:rsid w:val="0089783E"/>
    <w:rsid w:val="008A0007"/>
    <w:rsid w:val="008A1D01"/>
    <w:rsid w:val="008A28D2"/>
    <w:rsid w:val="008A3052"/>
    <w:rsid w:val="008A3BE3"/>
    <w:rsid w:val="008A4899"/>
    <w:rsid w:val="008A4DDF"/>
    <w:rsid w:val="008A732B"/>
    <w:rsid w:val="008B0E5C"/>
    <w:rsid w:val="008B2183"/>
    <w:rsid w:val="008B2190"/>
    <w:rsid w:val="008B2B74"/>
    <w:rsid w:val="008B7E54"/>
    <w:rsid w:val="008B7F2E"/>
    <w:rsid w:val="008B7F4E"/>
    <w:rsid w:val="008C0DC1"/>
    <w:rsid w:val="008C0E15"/>
    <w:rsid w:val="008C2AD9"/>
    <w:rsid w:val="008C59C1"/>
    <w:rsid w:val="008C59CB"/>
    <w:rsid w:val="008C6AC2"/>
    <w:rsid w:val="008D0041"/>
    <w:rsid w:val="008D07A2"/>
    <w:rsid w:val="008D0830"/>
    <w:rsid w:val="008D0A70"/>
    <w:rsid w:val="008D218A"/>
    <w:rsid w:val="008D567D"/>
    <w:rsid w:val="008E1B9B"/>
    <w:rsid w:val="008E2D3D"/>
    <w:rsid w:val="008E2E09"/>
    <w:rsid w:val="008E5605"/>
    <w:rsid w:val="008E5F37"/>
    <w:rsid w:val="008E7A9E"/>
    <w:rsid w:val="008F0A06"/>
    <w:rsid w:val="008F3AFE"/>
    <w:rsid w:val="008F60E2"/>
    <w:rsid w:val="008F6F82"/>
    <w:rsid w:val="00900010"/>
    <w:rsid w:val="00906133"/>
    <w:rsid w:val="00907FCD"/>
    <w:rsid w:val="0091047C"/>
    <w:rsid w:val="009105B7"/>
    <w:rsid w:val="009108FC"/>
    <w:rsid w:val="009124A2"/>
    <w:rsid w:val="00912530"/>
    <w:rsid w:val="009129FE"/>
    <w:rsid w:val="009149D0"/>
    <w:rsid w:val="00914CDB"/>
    <w:rsid w:val="00914E9B"/>
    <w:rsid w:val="009164A1"/>
    <w:rsid w:val="00917557"/>
    <w:rsid w:val="0092019F"/>
    <w:rsid w:val="00923434"/>
    <w:rsid w:val="00930A80"/>
    <w:rsid w:val="0093147A"/>
    <w:rsid w:val="00932F25"/>
    <w:rsid w:val="0093357D"/>
    <w:rsid w:val="00934E7A"/>
    <w:rsid w:val="00935A42"/>
    <w:rsid w:val="00937385"/>
    <w:rsid w:val="00940630"/>
    <w:rsid w:val="009407FF"/>
    <w:rsid w:val="009501E4"/>
    <w:rsid w:val="00951C7F"/>
    <w:rsid w:val="009539E0"/>
    <w:rsid w:val="00953C6A"/>
    <w:rsid w:val="0095694A"/>
    <w:rsid w:val="00957446"/>
    <w:rsid w:val="00957B6A"/>
    <w:rsid w:val="00957D3B"/>
    <w:rsid w:val="00961026"/>
    <w:rsid w:val="0096229A"/>
    <w:rsid w:val="009648A9"/>
    <w:rsid w:val="00965756"/>
    <w:rsid w:val="00970BA0"/>
    <w:rsid w:val="009712A2"/>
    <w:rsid w:val="009729DE"/>
    <w:rsid w:val="00973E89"/>
    <w:rsid w:val="00974165"/>
    <w:rsid w:val="0097473F"/>
    <w:rsid w:val="0097556C"/>
    <w:rsid w:val="009758BD"/>
    <w:rsid w:val="00976B22"/>
    <w:rsid w:val="00977423"/>
    <w:rsid w:val="00977DD6"/>
    <w:rsid w:val="00980222"/>
    <w:rsid w:val="00981567"/>
    <w:rsid w:val="009831A4"/>
    <w:rsid w:val="00983E4F"/>
    <w:rsid w:val="00987164"/>
    <w:rsid w:val="0098790F"/>
    <w:rsid w:val="00987F5B"/>
    <w:rsid w:val="009925E2"/>
    <w:rsid w:val="009926D8"/>
    <w:rsid w:val="009936A1"/>
    <w:rsid w:val="0099462E"/>
    <w:rsid w:val="009946A5"/>
    <w:rsid w:val="0099521B"/>
    <w:rsid w:val="009A16AC"/>
    <w:rsid w:val="009A1B2E"/>
    <w:rsid w:val="009A2252"/>
    <w:rsid w:val="009A22E8"/>
    <w:rsid w:val="009A2E4A"/>
    <w:rsid w:val="009A3A24"/>
    <w:rsid w:val="009A3C62"/>
    <w:rsid w:val="009A5C03"/>
    <w:rsid w:val="009A7511"/>
    <w:rsid w:val="009B195D"/>
    <w:rsid w:val="009B35F2"/>
    <w:rsid w:val="009B4AEE"/>
    <w:rsid w:val="009B4DCF"/>
    <w:rsid w:val="009B6CC0"/>
    <w:rsid w:val="009B783D"/>
    <w:rsid w:val="009C262E"/>
    <w:rsid w:val="009C3B8E"/>
    <w:rsid w:val="009C3F30"/>
    <w:rsid w:val="009C6415"/>
    <w:rsid w:val="009C74C4"/>
    <w:rsid w:val="009D034C"/>
    <w:rsid w:val="009D0934"/>
    <w:rsid w:val="009D09C2"/>
    <w:rsid w:val="009D0D15"/>
    <w:rsid w:val="009D0F91"/>
    <w:rsid w:val="009D13D6"/>
    <w:rsid w:val="009D1758"/>
    <w:rsid w:val="009D33AE"/>
    <w:rsid w:val="009D3B76"/>
    <w:rsid w:val="009D51BF"/>
    <w:rsid w:val="009D56EE"/>
    <w:rsid w:val="009D7DC2"/>
    <w:rsid w:val="009E0C87"/>
    <w:rsid w:val="009E2E23"/>
    <w:rsid w:val="009E4309"/>
    <w:rsid w:val="009E4905"/>
    <w:rsid w:val="009E4B68"/>
    <w:rsid w:val="009E4DE6"/>
    <w:rsid w:val="009E5246"/>
    <w:rsid w:val="009E615E"/>
    <w:rsid w:val="009E67E1"/>
    <w:rsid w:val="009E6BCC"/>
    <w:rsid w:val="009F188B"/>
    <w:rsid w:val="009F19A8"/>
    <w:rsid w:val="009F2446"/>
    <w:rsid w:val="009F4B94"/>
    <w:rsid w:val="009F5295"/>
    <w:rsid w:val="009F5E5A"/>
    <w:rsid w:val="009F6865"/>
    <w:rsid w:val="009F6E35"/>
    <w:rsid w:val="009F70F6"/>
    <w:rsid w:val="00A000CC"/>
    <w:rsid w:val="00A04B2B"/>
    <w:rsid w:val="00A05842"/>
    <w:rsid w:val="00A05B2A"/>
    <w:rsid w:val="00A06F8B"/>
    <w:rsid w:val="00A10990"/>
    <w:rsid w:val="00A11984"/>
    <w:rsid w:val="00A12BF2"/>
    <w:rsid w:val="00A15A0C"/>
    <w:rsid w:val="00A2043B"/>
    <w:rsid w:val="00A22188"/>
    <w:rsid w:val="00A23904"/>
    <w:rsid w:val="00A23E84"/>
    <w:rsid w:val="00A2497B"/>
    <w:rsid w:val="00A25728"/>
    <w:rsid w:val="00A3101B"/>
    <w:rsid w:val="00A314C9"/>
    <w:rsid w:val="00A321D2"/>
    <w:rsid w:val="00A32601"/>
    <w:rsid w:val="00A35E4D"/>
    <w:rsid w:val="00A37578"/>
    <w:rsid w:val="00A378A6"/>
    <w:rsid w:val="00A40B67"/>
    <w:rsid w:val="00A425EE"/>
    <w:rsid w:val="00A42BBC"/>
    <w:rsid w:val="00A435AD"/>
    <w:rsid w:val="00A4553C"/>
    <w:rsid w:val="00A4668A"/>
    <w:rsid w:val="00A46BDD"/>
    <w:rsid w:val="00A46DA1"/>
    <w:rsid w:val="00A476F8"/>
    <w:rsid w:val="00A5018B"/>
    <w:rsid w:val="00A517DB"/>
    <w:rsid w:val="00A51C7C"/>
    <w:rsid w:val="00A54FC2"/>
    <w:rsid w:val="00A55298"/>
    <w:rsid w:val="00A56156"/>
    <w:rsid w:val="00A62FD9"/>
    <w:rsid w:val="00A65492"/>
    <w:rsid w:val="00A67160"/>
    <w:rsid w:val="00A671E1"/>
    <w:rsid w:val="00A67645"/>
    <w:rsid w:val="00A72782"/>
    <w:rsid w:val="00A73F49"/>
    <w:rsid w:val="00A73FAB"/>
    <w:rsid w:val="00A74EF9"/>
    <w:rsid w:val="00A800A8"/>
    <w:rsid w:val="00A81172"/>
    <w:rsid w:val="00A81669"/>
    <w:rsid w:val="00A82AD1"/>
    <w:rsid w:val="00A82B21"/>
    <w:rsid w:val="00A84F82"/>
    <w:rsid w:val="00A855BA"/>
    <w:rsid w:val="00A91742"/>
    <w:rsid w:val="00A930B0"/>
    <w:rsid w:val="00A96682"/>
    <w:rsid w:val="00A96785"/>
    <w:rsid w:val="00A97F58"/>
    <w:rsid w:val="00AA07C8"/>
    <w:rsid w:val="00AA0A51"/>
    <w:rsid w:val="00AA1865"/>
    <w:rsid w:val="00AA19EA"/>
    <w:rsid w:val="00AA4324"/>
    <w:rsid w:val="00AA67F3"/>
    <w:rsid w:val="00AA75E6"/>
    <w:rsid w:val="00AA7D73"/>
    <w:rsid w:val="00AB0E49"/>
    <w:rsid w:val="00AB6808"/>
    <w:rsid w:val="00AB6DAD"/>
    <w:rsid w:val="00AB7425"/>
    <w:rsid w:val="00AB7931"/>
    <w:rsid w:val="00AC1A45"/>
    <w:rsid w:val="00AC1CB3"/>
    <w:rsid w:val="00AC2A47"/>
    <w:rsid w:val="00AC49CB"/>
    <w:rsid w:val="00AC692F"/>
    <w:rsid w:val="00AD0DF1"/>
    <w:rsid w:val="00AD0F3F"/>
    <w:rsid w:val="00AD149B"/>
    <w:rsid w:val="00AD2CAD"/>
    <w:rsid w:val="00AD31BB"/>
    <w:rsid w:val="00AD4354"/>
    <w:rsid w:val="00AD4F85"/>
    <w:rsid w:val="00AD58DF"/>
    <w:rsid w:val="00AD7A84"/>
    <w:rsid w:val="00AD7C30"/>
    <w:rsid w:val="00AE2CD4"/>
    <w:rsid w:val="00AE6944"/>
    <w:rsid w:val="00AF037A"/>
    <w:rsid w:val="00AF0EA9"/>
    <w:rsid w:val="00AF1040"/>
    <w:rsid w:val="00AF1FDD"/>
    <w:rsid w:val="00AF5C71"/>
    <w:rsid w:val="00AF72EA"/>
    <w:rsid w:val="00B013F6"/>
    <w:rsid w:val="00B01DEF"/>
    <w:rsid w:val="00B027CD"/>
    <w:rsid w:val="00B03003"/>
    <w:rsid w:val="00B063F4"/>
    <w:rsid w:val="00B06894"/>
    <w:rsid w:val="00B06C09"/>
    <w:rsid w:val="00B130B8"/>
    <w:rsid w:val="00B13463"/>
    <w:rsid w:val="00B152E2"/>
    <w:rsid w:val="00B155D1"/>
    <w:rsid w:val="00B166DB"/>
    <w:rsid w:val="00B166EF"/>
    <w:rsid w:val="00B1711F"/>
    <w:rsid w:val="00B1715D"/>
    <w:rsid w:val="00B203AE"/>
    <w:rsid w:val="00B21EFF"/>
    <w:rsid w:val="00B223A8"/>
    <w:rsid w:val="00B2352E"/>
    <w:rsid w:val="00B2490F"/>
    <w:rsid w:val="00B24B26"/>
    <w:rsid w:val="00B24CB5"/>
    <w:rsid w:val="00B27667"/>
    <w:rsid w:val="00B34374"/>
    <w:rsid w:val="00B34CC5"/>
    <w:rsid w:val="00B350B3"/>
    <w:rsid w:val="00B35AB0"/>
    <w:rsid w:val="00B364A8"/>
    <w:rsid w:val="00B368F7"/>
    <w:rsid w:val="00B405D7"/>
    <w:rsid w:val="00B41052"/>
    <w:rsid w:val="00B4207E"/>
    <w:rsid w:val="00B422D0"/>
    <w:rsid w:val="00B42BC4"/>
    <w:rsid w:val="00B46934"/>
    <w:rsid w:val="00B46F4E"/>
    <w:rsid w:val="00B4743E"/>
    <w:rsid w:val="00B50A4A"/>
    <w:rsid w:val="00B54052"/>
    <w:rsid w:val="00B54C0B"/>
    <w:rsid w:val="00B558A7"/>
    <w:rsid w:val="00B55FEB"/>
    <w:rsid w:val="00B5636E"/>
    <w:rsid w:val="00B56494"/>
    <w:rsid w:val="00B5688B"/>
    <w:rsid w:val="00B615A9"/>
    <w:rsid w:val="00B63423"/>
    <w:rsid w:val="00B64AAD"/>
    <w:rsid w:val="00B66DF5"/>
    <w:rsid w:val="00B67055"/>
    <w:rsid w:val="00B67333"/>
    <w:rsid w:val="00B679FE"/>
    <w:rsid w:val="00B71B1C"/>
    <w:rsid w:val="00B746F5"/>
    <w:rsid w:val="00B75DCA"/>
    <w:rsid w:val="00B76C94"/>
    <w:rsid w:val="00B8083C"/>
    <w:rsid w:val="00B82C8B"/>
    <w:rsid w:val="00B82EA7"/>
    <w:rsid w:val="00B83732"/>
    <w:rsid w:val="00B84CEF"/>
    <w:rsid w:val="00B84FCE"/>
    <w:rsid w:val="00B86DE7"/>
    <w:rsid w:val="00B87111"/>
    <w:rsid w:val="00B90BB8"/>
    <w:rsid w:val="00B914B3"/>
    <w:rsid w:val="00B91F2C"/>
    <w:rsid w:val="00B93760"/>
    <w:rsid w:val="00B953B7"/>
    <w:rsid w:val="00B95515"/>
    <w:rsid w:val="00B95A5A"/>
    <w:rsid w:val="00B96082"/>
    <w:rsid w:val="00BA1620"/>
    <w:rsid w:val="00BA7228"/>
    <w:rsid w:val="00BB38B7"/>
    <w:rsid w:val="00BB53D1"/>
    <w:rsid w:val="00BB56E4"/>
    <w:rsid w:val="00BB7713"/>
    <w:rsid w:val="00BC001F"/>
    <w:rsid w:val="00BC3E60"/>
    <w:rsid w:val="00BC7912"/>
    <w:rsid w:val="00BD095F"/>
    <w:rsid w:val="00BD0B9C"/>
    <w:rsid w:val="00BD17C4"/>
    <w:rsid w:val="00BD2F35"/>
    <w:rsid w:val="00BD3AA8"/>
    <w:rsid w:val="00BD5225"/>
    <w:rsid w:val="00BD6C18"/>
    <w:rsid w:val="00BD7060"/>
    <w:rsid w:val="00BD7E64"/>
    <w:rsid w:val="00BE0726"/>
    <w:rsid w:val="00BE09B7"/>
    <w:rsid w:val="00BE1305"/>
    <w:rsid w:val="00BE1BDF"/>
    <w:rsid w:val="00BE418B"/>
    <w:rsid w:val="00BE6175"/>
    <w:rsid w:val="00BE6C69"/>
    <w:rsid w:val="00BE6D62"/>
    <w:rsid w:val="00BE77CA"/>
    <w:rsid w:val="00BE7CAF"/>
    <w:rsid w:val="00BF02F9"/>
    <w:rsid w:val="00BF3FA3"/>
    <w:rsid w:val="00BF4243"/>
    <w:rsid w:val="00BF6171"/>
    <w:rsid w:val="00BF70D3"/>
    <w:rsid w:val="00BF726D"/>
    <w:rsid w:val="00C01423"/>
    <w:rsid w:val="00C02D24"/>
    <w:rsid w:val="00C05043"/>
    <w:rsid w:val="00C05D49"/>
    <w:rsid w:val="00C06154"/>
    <w:rsid w:val="00C061F6"/>
    <w:rsid w:val="00C06D49"/>
    <w:rsid w:val="00C07E0E"/>
    <w:rsid w:val="00C112EF"/>
    <w:rsid w:val="00C114F2"/>
    <w:rsid w:val="00C12DF7"/>
    <w:rsid w:val="00C1358C"/>
    <w:rsid w:val="00C14919"/>
    <w:rsid w:val="00C14E30"/>
    <w:rsid w:val="00C155D7"/>
    <w:rsid w:val="00C162B7"/>
    <w:rsid w:val="00C16DD3"/>
    <w:rsid w:val="00C17713"/>
    <w:rsid w:val="00C20C21"/>
    <w:rsid w:val="00C249AD"/>
    <w:rsid w:val="00C24B4A"/>
    <w:rsid w:val="00C26614"/>
    <w:rsid w:val="00C26B92"/>
    <w:rsid w:val="00C275A2"/>
    <w:rsid w:val="00C2792D"/>
    <w:rsid w:val="00C27946"/>
    <w:rsid w:val="00C27EE5"/>
    <w:rsid w:val="00C30757"/>
    <w:rsid w:val="00C3088B"/>
    <w:rsid w:val="00C308DD"/>
    <w:rsid w:val="00C321C3"/>
    <w:rsid w:val="00C32A99"/>
    <w:rsid w:val="00C3333B"/>
    <w:rsid w:val="00C35F52"/>
    <w:rsid w:val="00C3783E"/>
    <w:rsid w:val="00C40CEA"/>
    <w:rsid w:val="00C40FA8"/>
    <w:rsid w:val="00C41502"/>
    <w:rsid w:val="00C419A9"/>
    <w:rsid w:val="00C43A03"/>
    <w:rsid w:val="00C44135"/>
    <w:rsid w:val="00C44BFA"/>
    <w:rsid w:val="00C455DB"/>
    <w:rsid w:val="00C45838"/>
    <w:rsid w:val="00C46511"/>
    <w:rsid w:val="00C473FA"/>
    <w:rsid w:val="00C47641"/>
    <w:rsid w:val="00C5072A"/>
    <w:rsid w:val="00C50804"/>
    <w:rsid w:val="00C50FA7"/>
    <w:rsid w:val="00C5220B"/>
    <w:rsid w:val="00C537CD"/>
    <w:rsid w:val="00C54122"/>
    <w:rsid w:val="00C541B4"/>
    <w:rsid w:val="00C553FB"/>
    <w:rsid w:val="00C57853"/>
    <w:rsid w:val="00C618DC"/>
    <w:rsid w:val="00C61CBD"/>
    <w:rsid w:val="00C62589"/>
    <w:rsid w:val="00C629C9"/>
    <w:rsid w:val="00C62C79"/>
    <w:rsid w:val="00C63417"/>
    <w:rsid w:val="00C63476"/>
    <w:rsid w:val="00C63F7C"/>
    <w:rsid w:val="00C65907"/>
    <w:rsid w:val="00C672A8"/>
    <w:rsid w:val="00C67A15"/>
    <w:rsid w:val="00C70056"/>
    <w:rsid w:val="00C709C1"/>
    <w:rsid w:val="00C72A22"/>
    <w:rsid w:val="00C72C13"/>
    <w:rsid w:val="00C74CE7"/>
    <w:rsid w:val="00C76705"/>
    <w:rsid w:val="00C76DC9"/>
    <w:rsid w:val="00C800E5"/>
    <w:rsid w:val="00C80AFE"/>
    <w:rsid w:val="00C80B3C"/>
    <w:rsid w:val="00C814D4"/>
    <w:rsid w:val="00C817E0"/>
    <w:rsid w:val="00C81F8E"/>
    <w:rsid w:val="00C865DE"/>
    <w:rsid w:val="00C90B4D"/>
    <w:rsid w:val="00C91C78"/>
    <w:rsid w:val="00C926C5"/>
    <w:rsid w:val="00C92717"/>
    <w:rsid w:val="00C9614E"/>
    <w:rsid w:val="00C96700"/>
    <w:rsid w:val="00CA20FF"/>
    <w:rsid w:val="00CA2EDD"/>
    <w:rsid w:val="00CA4024"/>
    <w:rsid w:val="00CA5453"/>
    <w:rsid w:val="00CA6147"/>
    <w:rsid w:val="00CB0570"/>
    <w:rsid w:val="00CB2EB9"/>
    <w:rsid w:val="00CB4BED"/>
    <w:rsid w:val="00CB54AE"/>
    <w:rsid w:val="00CB5A1C"/>
    <w:rsid w:val="00CB5BCD"/>
    <w:rsid w:val="00CB72CE"/>
    <w:rsid w:val="00CC16A1"/>
    <w:rsid w:val="00CC266F"/>
    <w:rsid w:val="00CC2D5C"/>
    <w:rsid w:val="00CC5191"/>
    <w:rsid w:val="00CC530D"/>
    <w:rsid w:val="00CC5413"/>
    <w:rsid w:val="00CC64E3"/>
    <w:rsid w:val="00CC6D1B"/>
    <w:rsid w:val="00CC7E19"/>
    <w:rsid w:val="00CD127E"/>
    <w:rsid w:val="00CD16AB"/>
    <w:rsid w:val="00CD21DB"/>
    <w:rsid w:val="00CD367C"/>
    <w:rsid w:val="00CD3989"/>
    <w:rsid w:val="00CD484F"/>
    <w:rsid w:val="00CD745E"/>
    <w:rsid w:val="00CD7D61"/>
    <w:rsid w:val="00CE0AB5"/>
    <w:rsid w:val="00CE1938"/>
    <w:rsid w:val="00CE3B94"/>
    <w:rsid w:val="00CE5979"/>
    <w:rsid w:val="00CE64F8"/>
    <w:rsid w:val="00CE79E1"/>
    <w:rsid w:val="00CF00AC"/>
    <w:rsid w:val="00CF0B2B"/>
    <w:rsid w:val="00CF2E74"/>
    <w:rsid w:val="00CF3915"/>
    <w:rsid w:val="00CF4825"/>
    <w:rsid w:val="00CF75D0"/>
    <w:rsid w:val="00CF7912"/>
    <w:rsid w:val="00CF7CCB"/>
    <w:rsid w:val="00D00C3E"/>
    <w:rsid w:val="00D0143C"/>
    <w:rsid w:val="00D023C4"/>
    <w:rsid w:val="00D0485A"/>
    <w:rsid w:val="00D10425"/>
    <w:rsid w:val="00D115F0"/>
    <w:rsid w:val="00D11977"/>
    <w:rsid w:val="00D13908"/>
    <w:rsid w:val="00D141EC"/>
    <w:rsid w:val="00D17D51"/>
    <w:rsid w:val="00D21070"/>
    <w:rsid w:val="00D24B69"/>
    <w:rsid w:val="00D265DF"/>
    <w:rsid w:val="00D27E86"/>
    <w:rsid w:val="00D3205B"/>
    <w:rsid w:val="00D37195"/>
    <w:rsid w:val="00D37979"/>
    <w:rsid w:val="00D41789"/>
    <w:rsid w:val="00D44B30"/>
    <w:rsid w:val="00D45609"/>
    <w:rsid w:val="00D47D3F"/>
    <w:rsid w:val="00D50270"/>
    <w:rsid w:val="00D52C22"/>
    <w:rsid w:val="00D546C7"/>
    <w:rsid w:val="00D54F6C"/>
    <w:rsid w:val="00D55027"/>
    <w:rsid w:val="00D5551E"/>
    <w:rsid w:val="00D60639"/>
    <w:rsid w:val="00D608E2"/>
    <w:rsid w:val="00D60CD1"/>
    <w:rsid w:val="00D6512A"/>
    <w:rsid w:val="00D6595C"/>
    <w:rsid w:val="00D66357"/>
    <w:rsid w:val="00D66A40"/>
    <w:rsid w:val="00D67709"/>
    <w:rsid w:val="00D70B7F"/>
    <w:rsid w:val="00D7281F"/>
    <w:rsid w:val="00D75505"/>
    <w:rsid w:val="00D762C3"/>
    <w:rsid w:val="00D76864"/>
    <w:rsid w:val="00D77151"/>
    <w:rsid w:val="00D77C09"/>
    <w:rsid w:val="00D81367"/>
    <w:rsid w:val="00D83BB1"/>
    <w:rsid w:val="00D8586F"/>
    <w:rsid w:val="00D85F94"/>
    <w:rsid w:val="00D87287"/>
    <w:rsid w:val="00D87C2B"/>
    <w:rsid w:val="00D9096B"/>
    <w:rsid w:val="00D91A18"/>
    <w:rsid w:val="00D920D6"/>
    <w:rsid w:val="00D94B09"/>
    <w:rsid w:val="00D95497"/>
    <w:rsid w:val="00D95CA7"/>
    <w:rsid w:val="00D9684A"/>
    <w:rsid w:val="00D97AC0"/>
    <w:rsid w:val="00DA38B4"/>
    <w:rsid w:val="00DA586D"/>
    <w:rsid w:val="00DB00AB"/>
    <w:rsid w:val="00DB2C72"/>
    <w:rsid w:val="00DB4FF0"/>
    <w:rsid w:val="00DB6D34"/>
    <w:rsid w:val="00DB7628"/>
    <w:rsid w:val="00DB76B1"/>
    <w:rsid w:val="00DC0F32"/>
    <w:rsid w:val="00DC1784"/>
    <w:rsid w:val="00DC2062"/>
    <w:rsid w:val="00DC4009"/>
    <w:rsid w:val="00DC45B9"/>
    <w:rsid w:val="00DD0D5B"/>
    <w:rsid w:val="00DD1154"/>
    <w:rsid w:val="00DD338D"/>
    <w:rsid w:val="00DD441B"/>
    <w:rsid w:val="00DD7023"/>
    <w:rsid w:val="00DD7114"/>
    <w:rsid w:val="00DE3425"/>
    <w:rsid w:val="00DE48BC"/>
    <w:rsid w:val="00DF0853"/>
    <w:rsid w:val="00DF4311"/>
    <w:rsid w:val="00DF5492"/>
    <w:rsid w:val="00E00198"/>
    <w:rsid w:val="00E033CF"/>
    <w:rsid w:val="00E05493"/>
    <w:rsid w:val="00E05DC3"/>
    <w:rsid w:val="00E05E82"/>
    <w:rsid w:val="00E105BD"/>
    <w:rsid w:val="00E13456"/>
    <w:rsid w:val="00E13F35"/>
    <w:rsid w:val="00E13FBF"/>
    <w:rsid w:val="00E14281"/>
    <w:rsid w:val="00E16B50"/>
    <w:rsid w:val="00E17C4E"/>
    <w:rsid w:val="00E17F62"/>
    <w:rsid w:val="00E213A0"/>
    <w:rsid w:val="00E21CEF"/>
    <w:rsid w:val="00E23642"/>
    <w:rsid w:val="00E23E3D"/>
    <w:rsid w:val="00E2741F"/>
    <w:rsid w:val="00E278F8"/>
    <w:rsid w:val="00E32412"/>
    <w:rsid w:val="00E324A4"/>
    <w:rsid w:val="00E35A46"/>
    <w:rsid w:val="00E369D6"/>
    <w:rsid w:val="00E37E5E"/>
    <w:rsid w:val="00E4162A"/>
    <w:rsid w:val="00E435F6"/>
    <w:rsid w:val="00E43CC4"/>
    <w:rsid w:val="00E44A44"/>
    <w:rsid w:val="00E44B4D"/>
    <w:rsid w:val="00E44C44"/>
    <w:rsid w:val="00E459E3"/>
    <w:rsid w:val="00E45A9C"/>
    <w:rsid w:val="00E46B98"/>
    <w:rsid w:val="00E46DCD"/>
    <w:rsid w:val="00E51909"/>
    <w:rsid w:val="00E51AFF"/>
    <w:rsid w:val="00E52040"/>
    <w:rsid w:val="00E531A0"/>
    <w:rsid w:val="00E62D28"/>
    <w:rsid w:val="00E63E74"/>
    <w:rsid w:val="00E6408E"/>
    <w:rsid w:val="00E6486B"/>
    <w:rsid w:val="00E654A5"/>
    <w:rsid w:val="00E65C4A"/>
    <w:rsid w:val="00E65E02"/>
    <w:rsid w:val="00E65E7E"/>
    <w:rsid w:val="00E673F1"/>
    <w:rsid w:val="00E67434"/>
    <w:rsid w:val="00E71BD2"/>
    <w:rsid w:val="00E74523"/>
    <w:rsid w:val="00E75478"/>
    <w:rsid w:val="00E7700B"/>
    <w:rsid w:val="00E81006"/>
    <w:rsid w:val="00E81745"/>
    <w:rsid w:val="00E81997"/>
    <w:rsid w:val="00E829D9"/>
    <w:rsid w:val="00E83698"/>
    <w:rsid w:val="00E83E88"/>
    <w:rsid w:val="00E84643"/>
    <w:rsid w:val="00E8568F"/>
    <w:rsid w:val="00E871AA"/>
    <w:rsid w:val="00E87233"/>
    <w:rsid w:val="00E90600"/>
    <w:rsid w:val="00E91F62"/>
    <w:rsid w:val="00E931FA"/>
    <w:rsid w:val="00E93F53"/>
    <w:rsid w:val="00E94D2F"/>
    <w:rsid w:val="00E95A6E"/>
    <w:rsid w:val="00E962BB"/>
    <w:rsid w:val="00E96CAB"/>
    <w:rsid w:val="00EA21D1"/>
    <w:rsid w:val="00EA234F"/>
    <w:rsid w:val="00EA2519"/>
    <w:rsid w:val="00EA269E"/>
    <w:rsid w:val="00EA34E7"/>
    <w:rsid w:val="00EA3F5F"/>
    <w:rsid w:val="00EA6031"/>
    <w:rsid w:val="00EA633D"/>
    <w:rsid w:val="00EA6496"/>
    <w:rsid w:val="00EB243D"/>
    <w:rsid w:val="00EB6CF8"/>
    <w:rsid w:val="00EC279E"/>
    <w:rsid w:val="00EC28B6"/>
    <w:rsid w:val="00EC34D9"/>
    <w:rsid w:val="00ED04E9"/>
    <w:rsid w:val="00ED0645"/>
    <w:rsid w:val="00ED2A1B"/>
    <w:rsid w:val="00ED2C6C"/>
    <w:rsid w:val="00ED3F8E"/>
    <w:rsid w:val="00ED44B4"/>
    <w:rsid w:val="00ED4F7B"/>
    <w:rsid w:val="00ED6BAC"/>
    <w:rsid w:val="00ED79B6"/>
    <w:rsid w:val="00EE1B0B"/>
    <w:rsid w:val="00EE2C01"/>
    <w:rsid w:val="00EE3C71"/>
    <w:rsid w:val="00EE3DAC"/>
    <w:rsid w:val="00EE6AEB"/>
    <w:rsid w:val="00EE6BD0"/>
    <w:rsid w:val="00EE6E35"/>
    <w:rsid w:val="00EE741E"/>
    <w:rsid w:val="00EE7FEC"/>
    <w:rsid w:val="00EF075C"/>
    <w:rsid w:val="00EF18D0"/>
    <w:rsid w:val="00EF1BBA"/>
    <w:rsid w:val="00EF3AD6"/>
    <w:rsid w:val="00EF40E3"/>
    <w:rsid w:val="00EF4636"/>
    <w:rsid w:val="00EF4638"/>
    <w:rsid w:val="00EF7AAF"/>
    <w:rsid w:val="00EF7C3E"/>
    <w:rsid w:val="00F00326"/>
    <w:rsid w:val="00F016FB"/>
    <w:rsid w:val="00F03706"/>
    <w:rsid w:val="00F04B5C"/>
    <w:rsid w:val="00F05210"/>
    <w:rsid w:val="00F05DE3"/>
    <w:rsid w:val="00F12271"/>
    <w:rsid w:val="00F14236"/>
    <w:rsid w:val="00F147F6"/>
    <w:rsid w:val="00F215B4"/>
    <w:rsid w:val="00F21764"/>
    <w:rsid w:val="00F21849"/>
    <w:rsid w:val="00F2529B"/>
    <w:rsid w:val="00F2784C"/>
    <w:rsid w:val="00F3113A"/>
    <w:rsid w:val="00F32F06"/>
    <w:rsid w:val="00F36291"/>
    <w:rsid w:val="00F365F0"/>
    <w:rsid w:val="00F37159"/>
    <w:rsid w:val="00F42556"/>
    <w:rsid w:val="00F45236"/>
    <w:rsid w:val="00F457BD"/>
    <w:rsid w:val="00F468AB"/>
    <w:rsid w:val="00F473A4"/>
    <w:rsid w:val="00F473AE"/>
    <w:rsid w:val="00F5047C"/>
    <w:rsid w:val="00F51259"/>
    <w:rsid w:val="00F516B1"/>
    <w:rsid w:val="00F5220A"/>
    <w:rsid w:val="00F557BB"/>
    <w:rsid w:val="00F55F3F"/>
    <w:rsid w:val="00F56BAD"/>
    <w:rsid w:val="00F614ED"/>
    <w:rsid w:val="00F628CF"/>
    <w:rsid w:val="00F63E0E"/>
    <w:rsid w:val="00F6421E"/>
    <w:rsid w:val="00F66E06"/>
    <w:rsid w:val="00F67232"/>
    <w:rsid w:val="00F71252"/>
    <w:rsid w:val="00F75B4E"/>
    <w:rsid w:val="00F76CA7"/>
    <w:rsid w:val="00F775B2"/>
    <w:rsid w:val="00F81EC0"/>
    <w:rsid w:val="00F83A13"/>
    <w:rsid w:val="00F85A77"/>
    <w:rsid w:val="00F86122"/>
    <w:rsid w:val="00F9162A"/>
    <w:rsid w:val="00F92144"/>
    <w:rsid w:val="00F924D1"/>
    <w:rsid w:val="00F92E5E"/>
    <w:rsid w:val="00F95536"/>
    <w:rsid w:val="00F95FB1"/>
    <w:rsid w:val="00F96941"/>
    <w:rsid w:val="00F96FDD"/>
    <w:rsid w:val="00F97D06"/>
    <w:rsid w:val="00FA3CA4"/>
    <w:rsid w:val="00FA3FB5"/>
    <w:rsid w:val="00FA6609"/>
    <w:rsid w:val="00FA69B4"/>
    <w:rsid w:val="00FA6D50"/>
    <w:rsid w:val="00FA7475"/>
    <w:rsid w:val="00FB01C7"/>
    <w:rsid w:val="00FB0F1E"/>
    <w:rsid w:val="00FB0F90"/>
    <w:rsid w:val="00FB39D3"/>
    <w:rsid w:val="00FB3E93"/>
    <w:rsid w:val="00FB4B0B"/>
    <w:rsid w:val="00FB656D"/>
    <w:rsid w:val="00FC49F5"/>
    <w:rsid w:val="00FD113F"/>
    <w:rsid w:val="00FD4104"/>
    <w:rsid w:val="00FD5EA4"/>
    <w:rsid w:val="00FD7779"/>
    <w:rsid w:val="00FD7B5B"/>
    <w:rsid w:val="00FE00FF"/>
    <w:rsid w:val="00FE1525"/>
    <w:rsid w:val="00FE439F"/>
    <w:rsid w:val="00FE4953"/>
    <w:rsid w:val="00FE4E6A"/>
    <w:rsid w:val="00FE54FB"/>
    <w:rsid w:val="00FE5836"/>
    <w:rsid w:val="00FF0104"/>
    <w:rsid w:val="00FF09B9"/>
    <w:rsid w:val="00FF3160"/>
    <w:rsid w:val="00FF45E6"/>
    <w:rsid w:val="00FF56E5"/>
    <w:rsid w:val="00FF75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semiHidden="0" w:uiPriority="35" w:unhideWhenUsed="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9C2"/>
    <w:rPr>
      <w:sz w:val="24"/>
      <w:szCs w:val="24"/>
      <w:lang w:val="en-US" w:eastAsia="en-US"/>
    </w:rPr>
  </w:style>
  <w:style w:type="paragraph" w:styleId="Heading1">
    <w:name w:val="heading 1"/>
    <w:basedOn w:val="Normal"/>
    <w:next w:val="Normal"/>
    <w:link w:val="Heading1Char"/>
    <w:qFormat/>
    <w:locked/>
    <w:rsid w:val="003B7BF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E6408E"/>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uiPriority w:val="99"/>
    <w:qFormat/>
    <w:rsid w:val="00A42BBC"/>
    <w:pPr>
      <w:keepNext/>
      <w:numPr>
        <w:numId w:val="2"/>
      </w:numPr>
      <w:tabs>
        <w:tab w:val="left" w:pos="270"/>
      </w:tabs>
      <w:outlineLvl w:val="5"/>
    </w:pPr>
    <w:rPr>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F56BAD"/>
    <w:rPr>
      <w:rFonts w:ascii="Cambria" w:hAnsi="Cambria" w:cs="Times New Roman"/>
      <w:b/>
      <w:bCs/>
      <w:i/>
      <w:iCs/>
      <w:sz w:val="28"/>
      <w:szCs w:val="28"/>
    </w:rPr>
  </w:style>
  <w:style w:type="character" w:customStyle="1" w:styleId="Heading6Char">
    <w:name w:val="Heading 6 Char"/>
    <w:link w:val="Heading6"/>
    <w:uiPriority w:val="99"/>
    <w:semiHidden/>
    <w:locked/>
    <w:rsid w:val="00F56BAD"/>
    <w:rPr>
      <w:rFonts w:ascii="Calibri" w:hAnsi="Calibri" w:cs="Times New Roman"/>
      <w:b/>
      <w:bCs/>
    </w:rPr>
  </w:style>
  <w:style w:type="paragraph" w:customStyle="1" w:styleId="labeltext">
    <w:name w:val="label text"/>
    <w:link w:val="labeltextChar"/>
    <w:rsid w:val="00867ACE"/>
    <w:rPr>
      <w:sz w:val="22"/>
      <w:szCs w:val="22"/>
      <w:lang w:val="en-US" w:eastAsia="en-US"/>
    </w:rPr>
  </w:style>
  <w:style w:type="character" w:customStyle="1" w:styleId="labeltextChar">
    <w:name w:val="label text Char"/>
    <w:link w:val="labeltext"/>
    <w:locked/>
    <w:rsid w:val="00867ACE"/>
    <w:rPr>
      <w:sz w:val="22"/>
      <w:lang w:val="en-US" w:eastAsia="en-US"/>
    </w:rPr>
  </w:style>
  <w:style w:type="paragraph" w:styleId="Header">
    <w:name w:val="header"/>
    <w:basedOn w:val="Normal"/>
    <w:link w:val="HeaderChar"/>
    <w:uiPriority w:val="99"/>
    <w:rsid w:val="00867ACE"/>
    <w:pPr>
      <w:tabs>
        <w:tab w:val="center" w:pos="4320"/>
        <w:tab w:val="right" w:pos="8640"/>
      </w:tabs>
    </w:pPr>
  </w:style>
  <w:style w:type="character" w:customStyle="1" w:styleId="HeaderChar">
    <w:name w:val="Header Char"/>
    <w:link w:val="Header"/>
    <w:uiPriority w:val="99"/>
    <w:locked/>
    <w:rsid w:val="00CC5191"/>
    <w:rPr>
      <w:rFonts w:cs="Times New Roman"/>
      <w:sz w:val="24"/>
      <w:lang w:val="en-US" w:eastAsia="en-US"/>
    </w:rPr>
  </w:style>
  <w:style w:type="paragraph" w:styleId="Footer">
    <w:name w:val="footer"/>
    <w:basedOn w:val="Normal"/>
    <w:link w:val="FooterChar"/>
    <w:uiPriority w:val="99"/>
    <w:rsid w:val="00867ACE"/>
    <w:pPr>
      <w:tabs>
        <w:tab w:val="center" w:pos="4320"/>
        <w:tab w:val="right" w:pos="8640"/>
      </w:tabs>
    </w:pPr>
  </w:style>
  <w:style w:type="character" w:customStyle="1" w:styleId="FooterChar">
    <w:name w:val="Footer Char"/>
    <w:link w:val="Footer"/>
    <w:uiPriority w:val="99"/>
    <w:semiHidden/>
    <w:locked/>
    <w:rsid w:val="00F56BAD"/>
    <w:rPr>
      <w:rFonts w:cs="Times New Roman"/>
      <w:sz w:val="24"/>
      <w:szCs w:val="24"/>
    </w:rPr>
  </w:style>
  <w:style w:type="character" w:customStyle="1" w:styleId="DocumentTextChar">
    <w:name w:val="Document Text Char"/>
    <w:link w:val="DocumentText"/>
    <w:uiPriority w:val="99"/>
    <w:locked/>
    <w:rsid w:val="00D75505"/>
    <w:rPr>
      <w:noProof/>
      <w:lang w:val="en-US" w:eastAsia="en-US"/>
    </w:rPr>
  </w:style>
  <w:style w:type="paragraph" w:customStyle="1" w:styleId="DocumentText">
    <w:name w:val="Document Text"/>
    <w:link w:val="DocumentTextChar"/>
    <w:uiPriority w:val="99"/>
    <w:rsid w:val="00D75505"/>
    <w:pPr>
      <w:spacing w:after="120"/>
      <w:ind w:left="-1"/>
    </w:pPr>
    <w:rPr>
      <w:noProof/>
      <w:lang w:val="en-US" w:eastAsia="en-US"/>
    </w:rPr>
  </w:style>
  <w:style w:type="table" w:styleId="TableGrid">
    <w:name w:val="Table Grid"/>
    <w:basedOn w:val="TableNormal"/>
    <w:uiPriority w:val="59"/>
    <w:rsid w:val="00765C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3,c,appendix"/>
    <w:basedOn w:val="Normal"/>
    <w:next w:val="Normal"/>
    <w:link w:val="CaptionChar"/>
    <w:uiPriority w:val="35"/>
    <w:qFormat/>
    <w:rsid w:val="00765CED"/>
    <w:pPr>
      <w:spacing w:after="120"/>
      <w:jc w:val="center"/>
    </w:pPr>
    <w:rPr>
      <w:i/>
      <w:sz w:val="18"/>
      <w:szCs w:val="20"/>
      <w:lang w:val="en-GB" w:eastAsia="en-GB"/>
    </w:rPr>
  </w:style>
  <w:style w:type="paragraph" w:customStyle="1" w:styleId="tabletextleftjustified">
    <w:name w:val="table text left justified"/>
    <w:link w:val="tabletextleftjustifiedChar"/>
    <w:rsid w:val="00765CED"/>
    <w:pPr>
      <w:spacing w:before="20" w:after="20"/>
    </w:pPr>
    <w:rPr>
      <w:sz w:val="22"/>
      <w:szCs w:val="22"/>
      <w:lang w:val="en-US" w:eastAsia="en-US"/>
    </w:rPr>
  </w:style>
  <w:style w:type="character" w:customStyle="1" w:styleId="tabletextleftjustifiedChar">
    <w:name w:val="table text left justified Char"/>
    <w:link w:val="tabletextleftjustified"/>
    <w:locked/>
    <w:rsid w:val="00765CED"/>
    <w:rPr>
      <w:sz w:val="22"/>
      <w:lang w:val="en-US" w:eastAsia="en-US"/>
    </w:rPr>
  </w:style>
  <w:style w:type="paragraph" w:customStyle="1" w:styleId="tablefootnote">
    <w:name w:val="table footnote"/>
    <w:link w:val="tablefootnoteChar"/>
    <w:uiPriority w:val="99"/>
    <w:rsid w:val="00765CED"/>
    <w:pPr>
      <w:tabs>
        <w:tab w:val="left" w:pos="288"/>
      </w:tabs>
    </w:pPr>
    <w:rPr>
      <w:sz w:val="22"/>
      <w:szCs w:val="22"/>
      <w:lang w:val="en-US" w:eastAsia="en-US"/>
    </w:rPr>
  </w:style>
  <w:style w:type="character" w:customStyle="1" w:styleId="tablefootnoteChar">
    <w:name w:val="table footnote Char"/>
    <w:link w:val="tablefootnote"/>
    <w:uiPriority w:val="99"/>
    <w:locked/>
    <w:rsid w:val="00765CED"/>
    <w:rPr>
      <w:sz w:val="22"/>
      <w:lang w:val="en-US" w:eastAsia="en-US"/>
    </w:rPr>
  </w:style>
  <w:style w:type="character" w:customStyle="1" w:styleId="CaptionChar">
    <w:name w:val="Caption Char"/>
    <w:aliases w:val="Caption 3 Char,c Char,appendix Char"/>
    <w:link w:val="Caption"/>
    <w:uiPriority w:val="99"/>
    <w:locked/>
    <w:rsid w:val="00765CED"/>
    <w:rPr>
      <w:i/>
      <w:sz w:val="18"/>
      <w:lang w:val="en-GB" w:eastAsia="en-GB"/>
    </w:rPr>
  </w:style>
  <w:style w:type="paragraph" w:customStyle="1" w:styleId="tablefootnotelast">
    <w:name w:val="table footnote last"/>
    <w:basedOn w:val="tablefootnote"/>
    <w:link w:val="tablefootnotelastChar"/>
    <w:rsid w:val="00765CED"/>
    <w:pPr>
      <w:spacing w:after="240"/>
    </w:pPr>
    <w:rPr>
      <w:sz w:val="20"/>
      <w:szCs w:val="20"/>
    </w:rPr>
  </w:style>
  <w:style w:type="character" w:customStyle="1" w:styleId="tablefootnotelastChar">
    <w:name w:val="table footnote last Char"/>
    <w:link w:val="tablefootnotelast"/>
    <w:locked/>
    <w:rsid w:val="00765CED"/>
    <w:rPr>
      <w:lang w:val="en-US" w:eastAsia="en-US"/>
    </w:rPr>
  </w:style>
  <w:style w:type="paragraph" w:customStyle="1" w:styleId="tabletextcenterjustified">
    <w:name w:val="table text center justified"/>
    <w:link w:val="tabletextcenterjustifiedChar"/>
    <w:uiPriority w:val="99"/>
    <w:rsid w:val="00765CED"/>
    <w:pPr>
      <w:spacing w:before="20" w:after="20"/>
      <w:jc w:val="center"/>
    </w:pPr>
    <w:rPr>
      <w:sz w:val="22"/>
      <w:szCs w:val="22"/>
      <w:lang w:val="en-US" w:eastAsia="en-US"/>
    </w:rPr>
  </w:style>
  <w:style w:type="character" w:customStyle="1" w:styleId="tabletextcenterjustifiedChar">
    <w:name w:val="table text center justified Char"/>
    <w:link w:val="tabletextcenterjustified"/>
    <w:uiPriority w:val="99"/>
    <w:locked/>
    <w:rsid w:val="00765CED"/>
    <w:rPr>
      <w:sz w:val="22"/>
      <w:lang w:val="en-US" w:eastAsia="en-US"/>
    </w:rPr>
  </w:style>
  <w:style w:type="paragraph" w:customStyle="1" w:styleId="labeltextheading">
    <w:name w:val="label text heading"/>
    <w:basedOn w:val="labeltext"/>
    <w:uiPriority w:val="99"/>
    <w:rsid w:val="00A42BBC"/>
    <w:pPr>
      <w:keepNext/>
    </w:pPr>
    <w:rPr>
      <w:i/>
      <w:noProof/>
    </w:rPr>
  </w:style>
  <w:style w:type="paragraph" w:styleId="BodyText">
    <w:name w:val="Body Text"/>
    <w:basedOn w:val="Normal"/>
    <w:link w:val="BodyTextChar"/>
    <w:uiPriority w:val="99"/>
    <w:rsid w:val="0080011E"/>
    <w:rPr>
      <w:b/>
      <w:sz w:val="16"/>
      <w:szCs w:val="20"/>
    </w:rPr>
  </w:style>
  <w:style w:type="character" w:customStyle="1" w:styleId="BodyTextChar">
    <w:name w:val="Body Text Char"/>
    <w:link w:val="BodyText"/>
    <w:uiPriority w:val="99"/>
    <w:semiHidden/>
    <w:locked/>
    <w:rsid w:val="00F56BAD"/>
    <w:rPr>
      <w:rFonts w:cs="Times New Roman"/>
      <w:sz w:val="24"/>
      <w:szCs w:val="24"/>
    </w:rPr>
  </w:style>
  <w:style w:type="paragraph" w:styleId="CommentText">
    <w:name w:val="annotation text"/>
    <w:basedOn w:val="Normal"/>
    <w:link w:val="CommentTextChar"/>
    <w:rsid w:val="0080011E"/>
    <w:rPr>
      <w:sz w:val="20"/>
      <w:szCs w:val="20"/>
    </w:rPr>
  </w:style>
  <w:style w:type="character" w:customStyle="1" w:styleId="CommentTextChar">
    <w:name w:val="Comment Text Char"/>
    <w:link w:val="CommentText"/>
    <w:locked/>
    <w:rsid w:val="0080011E"/>
    <w:rPr>
      <w:rFonts w:cs="Times New Roman"/>
      <w:lang w:val="en-US" w:eastAsia="en-US"/>
    </w:rPr>
  </w:style>
  <w:style w:type="paragraph" w:customStyle="1" w:styleId="TableTitle">
    <w:name w:val="Table Title"/>
    <w:next w:val="Normal"/>
    <w:link w:val="TableTitleChar"/>
    <w:uiPriority w:val="99"/>
    <w:rsid w:val="0080011E"/>
    <w:pPr>
      <w:keepNext/>
      <w:keepLines/>
      <w:tabs>
        <w:tab w:val="num" w:pos="0"/>
        <w:tab w:val="left" w:pos="1440"/>
      </w:tabs>
      <w:spacing w:after="120"/>
      <w:ind w:left="1440" w:hanging="1440"/>
    </w:pPr>
    <w:rPr>
      <w:rFonts w:ascii="Times New Roman Bold" w:eastAsia="Times New Roman Bold"/>
      <w:b/>
      <w:sz w:val="22"/>
      <w:szCs w:val="22"/>
      <w:lang w:val="en-US" w:eastAsia="en-US"/>
    </w:rPr>
  </w:style>
  <w:style w:type="character" w:customStyle="1" w:styleId="TableTitleChar">
    <w:name w:val="Table Title Char"/>
    <w:link w:val="TableTitle"/>
    <w:uiPriority w:val="99"/>
    <w:locked/>
    <w:rsid w:val="0080011E"/>
    <w:rPr>
      <w:rFonts w:ascii="Times New Roman Bold" w:eastAsia="Times New Roman Bold"/>
      <w:b/>
      <w:sz w:val="22"/>
      <w:lang w:val="en-US" w:eastAsia="en-US"/>
    </w:rPr>
  </w:style>
  <w:style w:type="character" w:customStyle="1" w:styleId="hilighti1">
    <w:name w:val="hilighti1"/>
    <w:rsid w:val="0080011E"/>
    <w:rPr>
      <w:b/>
      <w:color w:val="FF0000"/>
      <w:u w:val="single"/>
    </w:rPr>
  </w:style>
  <w:style w:type="character" w:customStyle="1" w:styleId="hilightu">
    <w:name w:val="hilightu"/>
    <w:uiPriority w:val="99"/>
    <w:rsid w:val="0080011E"/>
    <w:rPr>
      <w:rFonts w:cs="Times New Roman"/>
    </w:rPr>
  </w:style>
  <w:style w:type="paragraph" w:styleId="NormalIndent">
    <w:name w:val="Normal Indent"/>
    <w:basedOn w:val="Normal"/>
    <w:uiPriority w:val="99"/>
    <w:rsid w:val="00D60639"/>
    <w:pPr>
      <w:spacing w:after="120"/>
      <w:ind w:left="720"/>
    </w:pPr>
    <w:rPr>
      <w:sz w:val="22"/>
      <w:szCs w:val="20"/>
      <w:lang w:val="en-GB" w:eastAsia="en-GB"/>
    </w:rPr>
  </w:style>
  <w:style w:type="paragraph" w:customStyle="1" w:styleId="Default">
    <w:name w:val="Default"/>
    <w:rsid w:val="004F645E"/>
    <w:pPr>
      <w:autoSpaceDE w:val="0"/>
      <w:autoSpaceDN w:val="0"/>
      <w:adjustRightInd w:val="0"/>
    </w:pPr>
    <w:rPr>
      <w:color w:val="000000"/>
      <w:sz w:val="24"/>
      <w:szCs w:val="24"/>
      <w:lang w:val="en-US" w:eastAsia="en-US"/>
    </w:rPr>
  </w:style>
  <w:style w:type="character" w:styleId="CommentReference">
    <w:name w:val="annotation reference"/>
    <w:rsid w:val="00B746F5"/>
    <w:rPr>
      <w:rFonts w:cs="Times New Roman"/>
      <w:sz w:val="16"/>
    </w:rPr>
  </w:style>
  <w:style w:type="paragraph" w:styleId="CommentSubject">
    <w:name w:val="annotation subject"/>
    <w:basedOn w:val="CommentText"/>
    <w:next w:val="CommentText"/>
    <w:link w:val="CommentSubjectChar"/>
    <w:uiPriority w:val="99"/>
    <w:semiHidden/>
    <w:rsid w:val="00B746F5"/>
    <w:rPr>
      <w:b/>
      <w:bCs/>
    </w:rPr>
  </w:style>
  <w:style w:type="character" w:customStyle="1" w:styleId="CommentSubjectChar">
    <w:name w:val="Comment Subject Char"/>
    <w:link w:val="CommentSubject"/>
    <w:uiPriority w:val="99"/>
    <w:semiHidden/>
    <w:locked/>
    <w:rsid w:val="00F56BAD"/>
    <w:rPr>
      <w:rFonts w:cs="Times New Roman"/>
      <w:b/>
      <w:bCs/>
      <w:sz w:val="20"/>
      <w:szCs w:val="20"/>
      <w:lang w:val="en-US" w:eastAsia="en-US"/>
    </w:rPr>
  </w:style>
  <w:style w:type="paragraph" w:styleId="BalloonText">
    <w:name w:val="Balloon Text"/>
    <w:basedOn w:val="Normal"/>
    <w:link w:val="BalloonTextChar"/>
    <w:uiPriority w:val="99"/>
    <w:semiHidden/>
    <w:rsid w:val="00B746F5"/>
    <w:rPr>
      <w:rFonts w:ascii="Tahoma" w:hAnsi="Tahoma" w:cs="Tahoma"/>
      <w:sz w:val="16"/>
      <w:szCs w:val="16"/>
    </w:rPr>
  </w:style>
  <w:style w:type="character" w:customStyle="1" w:styleId="BalloonTextChar">
    <w:name w:val="Balloon Text Char"/>
    <w:link w:val="BalloonText"/>
    <w:uiPriority w:val="99"/>
    <w:semiHidden/>
    <w:locked/>
    <w:rsid w:val="00F56BAD"/>
    <w:rPr>
      <w:rFonts w:cs="Times New Roman"/>
      <w:sz w:val="2"/>
    </w:rPr>
  </w:style>
  <w:style w:type="paragraph" w:styleId="BodyText2">
    <w:name w:val="Body Text 2"/>
    <w:basedOn w:val="Normal"/>
    <w:link w:val="BodyText2Char"/>
    <w:uiPriority w:val="99"/>
    <w:rsid w:val="00F00326"/>
    <w:pPr>
      <w:spacing w:after="120" w:line="480" w:lineRule="auto"/>
    </w:pPr>
  </w:style>
  <w:style w:type="character" w:customStyle="1" w:styleId="BodyText2Char">
    <w:name w:val="Body Text 2 Char"/>
    <w:link w:val="BodyText2"/>
    <w:uiPriority w:val="99"/>
    <w:semiHidden/>
    <w:locked/>
    <w:rsid w:val="00F56BAD"/>
    <w:rPr>
      <w:rFonts w:cs="Times New Roman"/>
      <w:sz w:val="24"/>
      <w:szCs w:val="24"/>
    </w:rPr>
  </w:style>
  <w:style w:type="character" w:customStyle="1" w:styleId="CharChar3">
    <w:name w:val="Char Char3"/>
    <w:uiPriority w:val="99"/>
    <w:semiHidden/>
    <w:locked/>
    <w:rsid w:val="00B56494"/>
    <w:rPr>
      <w:lang w:val="en-GB" w:eastAsia="en-US"/>
    </w:rPr>
  </w:style>
  <w:style w:type="paragraph" w:styleId="NormalWeb">
    <w:name w:val="Normal (Web)"/>
    <w:basedOn w:val="Normal"/>
    <w:uiPriority w:val="99"/>
    <w:rsid w:val="00CC2D5C"/>
    <w:pPr>
      <w:spacing w:before="100" w:beforeAutospacing="1" w:after="100" w:afterAutospacing="1"/>
    </w:pPr>
    <w:rPr>
      <w:rFonts w:eastAsia="MS Mincho"/>
      <w:lang w:eastAsia="ja-JP"/>
    </w:rPr>
  </w:style>
  <w:style w:type="character" w:customStyle="1" w:styleId="Caption3Char1">
    <w:name w:val="Caption 3 Char1"/>
    <w:aliases w:val="c Char2,appendix Char1,Caption 1 Char1,Caption Char1 Char1,Caption Char1 Char Char Char1,Caption Char Char Char Char Char1,Char Char Char Char Char Char1,Caption Char Char1 Char1,appendix Char Char2,appendix Cha Char Char"/>
    <w:uiPriority w:val="99"/>
    <w:rsid w:val="002163F4"/>
    <w:rPr>
      <w:rFonts w:ascii="Times New Roman Bold" w:eastAsia="Times New Roman Bold"/>
      <w:b/>
      <w:snapToGrid w:val="0"/>
      <w:sz w:val="24"/>
      <w:lang w:val="en-US" w:eastAsia="en-US"/>
    </w:rPr>
  </w:style>
  <w:style w:type="paragraph" w:customStyle="1" w:styleId="EMEAEnBodyText">
    <w:name w:val="EMEA En Body Text"/>
    <w:basedOn w:val="Normal"/>
    <w:uiPriority w:val="99"/>
    <w:rsid w:val="00BE7CAF"/>
    <w:pPr>
      <w:spacing w:before="120" w:after="120"/>
      <w:jc w:val="both"/>
    </w:pPr>
    <w:rPr>
      <w:rFonts w:eastAsia="SimSun"/>
      <w:sz w:val="22"/>
      <w:szCs w:val="22"/>
    </w:rPr>
  </w:style>
  <w:style w:type="paragraph" w:customStyle="1" w:styleId="NormalAgency">
    <w:name w:val="Normal (Agency)"/>
    <w:link w:val="NormalAgencyChar"/>
    <w:uiPriority w:val="99"/>
    <w:rsid w:val="00BE7CAF"/>
    <w:rPr>
      <w:rFonts w:ascii="Verdana" w:hAnsi="Verdana"/>
      <w:sz w:val="22"/>
      <w:szCs w:val="22"/>
      <w:lang w:val="en-GB" w:eastAsia="en-GB"/>
    </w:rPr>
  </w:style>
  <w:style w:type="character" w:customStyle="1" w:styleId="NormalAgencyChar">
    <w:name w:val="Normal (Agency) Char"/>
    <w:link w:val="NormalAgency"/>
    <w:uiPriority w:val="99"/>
    <w:locked/>
    <w:rsid w:val="00BE7CAF"/>
    <w:rPr>
      <w:rFonts w:ascii="Verdana" w:hAnsi="Verdana"/>
      <w:sz w:val="22"/>
      <w:lang w:val="en-GB" w:eastAsia="en-GB"/>
    </w:rPr>
  </w:style>
  <w:style w:type="character" w:customStyle="1" w:styleId="CharChar1">
    <w:name w:val="Char Char1"/>
    <w:uiPriority w:val="99"/>
    <w:semiHidden/>
    <w:rsid w:val="00BE7CAF"/>
    <w:rPr>
      <w:lang w:val="en-GB" w:eastAsia="en-US"/>
    </w:rPr>
  </w:style>
  <w:style w:type="character" w:customStyle="1" w:styleId="CharChar31">
    <w:name w:val="Char Char31"/>
    <w:uiPriority w:val="99"/>
    <w:semiHidden/>
    <w:locked/>
    <w:rsid w:val="003A7633"/>
    <w:rPr>
      <w:lang w:val="en-GB" w:eastAsia="en-US"/>
    </w:rPr>
  </w:style>
  <w:style w:type="paragraph" w:styleId="EndnoteText">
    <w:name w:val="endnote text"/>
    <w:basedOn w:val="Normal"/>
    <w:link w:val="EndnoteTextChar"/>
    <w:uiPriority w:val="99"/>
    <w:semiHidden/>
    <w:unhideWhenUsed/>
    <w:rsid w:val="009F188B"/>
    <w:rPr>
      <w:sz w:val="20"/>
      <w:szCs w:val="20"/>
    </w:rPr>
  </w:style>
  <w:style w:type="character" w:customStyle="1" w:styleId="EndnoteTextChar">
    <w:name w:val="Endnote Text Char"/>
    <w:basedOn w:val="DefaultParagraphFont"/>
    <w:link w:val="EndnoteText"/>
    <w:uiPriority w:val="99"/>
    <w:semiHidden/>
    <w:rsid w:val="009F188B"/>
  </w:style>
  <w:style w:type="character" w:styleId="EndnoteReference">
    <w:name w:val="endnote reference"/>
    <w:uiPriority w:val="99"/>
    <w:semiHidden/>
    <w:unhideWhenUsed/>
    <w:rsid w:val="009F188B"/>
    <w:rPr>
      <w:vertAlign w:val="superscript"/>
    </w:rPr>
  </w:style>
  <w:style w:type="paragraph" w:customStyle="1" w:styleId="MediumGrid1-Accent21">
    <w:name w:val="Medium Grid 1 - Accent 21"/>
    <w:basedOn w:val="Normal"/>
    <w:uiPriority w:val="34"/>
    <w:qFormat/>
    <w:rsid w:val="00275EF1"/>
    <w:pPr>
      <w:ind w:left="720"/>
      <w:contextualSpacing/>
    </w:pPr>
    <w:rPr>
      <w:rFonts w:ascii="Cambria" w:eastAsia="MS Mincho" w:hAnsi="Cambria"/>
    </w:rPr>
  </w:style>
  <w:style w:type="paragraph" w:customStyle="1" w:styleId="MediumList2-Accent21">
    <w:name w:val="Medium List 2 - Accent 21"/>
    <w:hidden/>
    <w:uiPriority w:val="71"/>
    <w:rsid w:val="00EF1BBA"/>
    <w:rPr>
      <w:sz w:val="24"/>
      <w:szCs w:val="24"/>
      <w:lang w:val="en-US" w:eastAsia="en-US"/>
    </w:rPr>
  </w:style>
  <w:style w:type="paragraph" w:customStyle="1" w:styleId="ColorfulShading-Accent11">
    <w:name w:val="Colorful Shading - Accent 11"/>
    <w:hidden/>
    <w:uiPriority w:val="99"/>
    <w:semiHidden/>
    <w:rsid w:val="00B35AB0"/>
    <w:rPr>
      <w:sz w:val="24"/>
      <w:szCs w:val="24"/>
      <w:lang w:val="en-US" w:eastAsia="en-US"/>
    </w:rPr>
  </w:style>
  <w:style w:type="paragraph" w:customStyle="1" w:styleId="Body">
    <w:name w:val="Body"/>
    <w:basedOn w:val="Normal"/>
    <w:link w:val="BodyChar1"/>
    <w:rsid w:val="0023240A"/>
    <w:pPr>
      <w:ind w:firstLine="288"/>
      <w:jc w:val="both"/>
    </w:pPr>
    <w:rPr>
      <w:rFonts w:ascii="Arial" w:hAnsi="Arial"/>
      <w:sz w:val="20"/>
      <w:szCs w:val="20"/>
    </w:rPr>
  </w:style>
  <w:style w:type="character" w:customStyle="1" w:styleId="BodyChar1">
    <w:name w:val="Body Char1"/>
    <w:link w:val="Body"/>
    <w:rsid w:val="0023240A"/>
    <w:rPr>
      <w:rFonts w:ascii="Arial" w:hAnsi="Arial"/>
    </w:rPr>
  </w:style>
  <w:style w:type="paragraph" w:customStyle="1" w:styleId="MemoHeaderStyle">
    <w:name w:val="MemoHeaderStyle"/>
    <w:basedOn w:val="Normal"/>
    <w:next w:val="Normal"/>
    <w:rsid w:val="0023240A"/>
    <w:pPr>
      <w:tabs>
        <w:tab w:val="left" w:pos="567"/>
      </w:tabs>
      <w:spacing w:line="120" w:lineRule="atLeast"/>
      <w:ind w:left="1418"/>
      <w:jc w:val="both"/>
    </w:pPr>
    <w:rPr>
      <w:rFonts w:ascii="Arial" w:hAnsi="Arial"/>
      <w:b/>
      <w:smallCaps/>
      <w:sz w:val="22"/>
      <w:szCs w:val="20"/>
      <w:lang w:val="en-GB"/>
    </w:rPr>
  </w:style>
  <w:style w:type="paragraph" w:customStyle="1" w:styleId="MediumGrid21">
    <w:name w:val="Medium Grid 21"/>
    <w:uiPriority w:val="1"/>
    <w:qFormat/>
    <w:rsid w:val="00980222"/>
    <w:rPr>
      <w:rFonts w:ascii="Calibri" w:eastAsia="Calibri" w:hAnsi="Calibri"/>
      <w:sz w:val="22"/>
      <w:szCs w:val="22"/>
      <w:lang w:val="en-US" w:eastAsia="en-US"/>
    </w:rPr>
  </w:style>
  <w:style w:type="character" w:customStyle="1" w:styleId="Heading1Char">
    <w:name w:val="Heading 1 Char"/>
    <w:link w:val="Heading1"/>
    <w:rsid w:val="003B7BFC"/>
    <w:rPr>
      <w:rFonts w:ascii="Cambria" w:eastAsia="Times New Roman" w:hAnsi="Cambria" w:cs="Times New Roman"/>
      <w:b/>
      <w:bCs/>
      <w:kern w:val="32"/>
      <w:sz w:val="32"/>
      <w:szCs w:val="32"/>
    </w:rPr>
  </w:style>
  <w:style w:type="character" w:customStyle="1" w:styleId="sub">
    <w:name w:val="sub"/>
    <w:rsid w:val="00094977"/>
  </w:style>
  <w:style w:type="paragraph" w:styleId="ListParagraph">
    <w:name w:val="List Paragraph"/>
    <w:basedOn w:val="Normal"/>
    <w:uiPriority w:val="34"/>
    <w:qFormat/>
    <w:rsid w:val="00BD095F"/>
    <w:pPr>
      <w:spacing w:after="200" w:line="276" w:lineRule="auto"/>
      <w:ind w:left="720"/>
      <w:contextualSpacing/>
    </w:pPr>
    <w:rPr>
      <w:rFonts w:ascii="Calibri" w:eastAsia="Calibri" w:hAnsi="Calibri"/>
      <w:sz w:val="22"/>
      <w:szCs w:val="22"/>
      <w:lang w:val="en-CA"/>
    </w:rPr>
  </w:style>
  <w:style w:type="character" w:styleId="Strong">
    <w:name w:val="Strong"/>
    <w:qFormat/>
    <w:locked/>
    <w:rsid w:val="00E43C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1911">
      <w:bodyDiv w:val="1"/>
      <w:marLeft w:val="0"/>
      <w:marRight w:val="0"/>
      <w:marTop w:val="0"/>
      <w:marBottom w:val="0"/>
      <w:divBdr>
        <w:top w:val="none" w:sz="0" w:space="0" w:color="auto"/>
        <w:left w:val="none" w:sz="0" w:space="0" w:color="auto"/>
        <w:bottom w:val="none" w:sz="0" w:space="0" w:color="auto"/>
        <w:right w:val="none" w:sz="0" w:space="0" w:color="auto"/>
      </w:divBdr>
    </w:div>
    <w:div w:id="41757602">
      <w:bodyDiv w:val="1"/>
      <w:marLeft w:val="0"/>
      <w:marRight w:val="0"/>
      <w:marTop w:val="0"/>
      <w:marBottom w:val="0"/>
      <w:divBdr>
        <w:top w:val="none" w:sz="0" w:space="0" w:color="auto"/>
        <w:left w:val="none" w:sz="0" w:space="0" w:color="auto"/>
        <w:bottom w:val="none" w:sz="0" w:space="0" w:color="auto"/>
        <w:right w:val="none" w:sz="0" w:space="0" w:color="auto"/>
      </w:divBdr>
    </w:div>
    <w:div w:id="58213406">
      <w:bodyDiv w:val="1"/>
      <w:marLeft w:val="0"/>
      <w:marRight w:val="0"/>
      <w:marTop w:val="0"/>
      <w:marBottom w:val="0"/>
      <w:divBdr>
        <w:top w:val="none" w:sz="0" w:space="0" w:color="auto"/>
        <w:left w:val="none" w:sz="0" w:space="0" w:color="auto"/>
        <w:bottom w:val="none" w:sz="0" w:space="0" w:color="auto"/>
        <w:right w:val="none" w:sz="0" w:space="0" w:color="auto"/>
      </w:divBdr>
      <w:divsChild>
        <w:div w:id="1940216181">
          <w:marLeft w:val="0"/>
          <w:marRight w:val="0"/>
          <w:marTop w:val="0"/>
          <w:marBottom w:val="0"/>
          <w:divBdr>
            <w:top w:val="none" w:sz="0" w:space="0" w:color="auto"/>
            <w:left w:val="none" w:sz="0" w:space="0" w:color="auto"/>
            <w:bottom w:val="none" w:sz="0" w:space="0" w:color="auto"/>
            <w:right w:val="none" w:sz="0" w:space="0" w:color="auto"/>
          </w:divBdr>
          <w:divsChild>
            <w:div w:id="579413444">
              <w:marLeft w:val="0"/>
              <w:marRight w:val="0"/>
              <w:marTop w:val="0"/>
              <w:marBottom w:val="0"/>
              <w:divBdr>
                <w:top w:val="none" w:sz="0" w:space="0" w:color="auto"/>
                <w:left w:val="none" w:sz="0" w:space="0" w:color="auto"/>
                <w:bottom w:val="none" w:sz="0" w:space="0" w:color="auto"/>
                <w:right w:val="none" w:sz="0" w:space="0" w:color="auto"/>
              </w:divBdr>
              <w:divsChild>
                <w:div w:id="52706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4945">
      <w:bodyDiv w:val="1"/>
      <w:marLeft w:val="0"/>
      <w:marRight w:val="0"/>
      <w:marTop w:val="0"/>
      <w:marBottom w:val="0"/>
      <w:divBdr>
        <w:top w:val="none" w:sz="0" w:space="0" w:color="auto"/>
        <w:left w:val="none" w:sz="0" w:space="0" w:color="auto"/>
        <w:bottom w:val="none" w:sz="0" w:space="0" w:color="auto"/>
        <w:right w:val="none" w:sz="0" w:space="0" w:color="auto"/>
      </w:divBdr>
      <w:divsChild>
        <w:div w:id="930625497">
          <w:marLeft w:val="0"/>
          <w:marRight w:val="0"/>
          <w:marTop w:val="0"/>
          <w:marBottom w:val="0"/>
          <w:divBdr>
            <w:top w:val="none" w:sz="0" w:space="0" w:color="auto"/>
            <w:left w:val="none" w:sz="0" w:space="0" w:color="auto"/>
            <w:bottom w:val="none" w:sz="0" w:space="0" w:color="auto"/>
            <w:right w:val="none" w:sz="0" w:space="0" w:color="auto"/>
          </w:divBdr>
          <w:divsChild>
            <w:div w:id="296767465">
              <w:marLeft w:val="0"/>
              <w:marRight w:val="0"/>
              <w:marTop w:val="0"/>
              <w:marBottom w:val="0"/>
              <w:divBdr>
                <w:top w:val="none" w:sz="0" w:space="0" w:color="auto"/>
                <w:left w:val="none" w:sz="0" w:space="0" w:color="auto"/>
                <w:bottom w:val="none" w:sz="0" w:space="0" w:color="auto"/>
                <w:right w:val="none" w:sz="0" w:space="0" w:color="auto"/>
              </w:divBdr>
              <w:divsChild>
                <w:div w:id="20620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1751">
      <w:bodyDiv w:val="1"/>
      <w:marLeft w:val="0"/>
      <w:marRight w:val="0"/>
      <w:marTop w:val="0"/>
      <w:marBottom w:val="0"/>
      <w:divBdr>
        <w:top w:val="none" w:sz="0" w:space="0" w:color="auto"/>
        <w:left w:val="none" w:sz="0" w:space="0" w:color="auto"/>
        <w:bottom w:val="none" w:sz="0" w:space="0" w:color="auto"/>
        <w:right w:val="none" w:sz="0" w:space="0" w:color="auto"/>
      </w:divBdr>
    </w:div>
    <w:div w:id="186868342">
      <w:bodyDiv w:val="1"/>
      <w:marLeft w:val="0"/>
      <w:marRight w:val="0"/>
      <w:marTop w:val="0"/>
      <w:marBottom w:val="0"/>
      <w:divBdr>
        <w:top w:val="none" w:sz="0" w:space="0" w:color="auto"/>
        <w:left w:val="none" w:sz="0" w:space="0" w:color="auto"/>
        <w:bottom w:val="none" w:sz="0" w:space="0" w:color="auto"/>
        <w:right w:val="none" w:sz="0" w:space="0" w:color="auto"/>
      </w:divBdr>
      <w:divsChild>
        <w:div w:id="429008886">
          <w:marLeft w:val="0"/>
          <w:marRight w:val="0"/>
          <w:marTop w:val="0"/>
          <w:marBottom w:val="0"/>
          <w:divBdr>
            <w:top w:val="none" w:sz="0" w:space="0" w:color="auto"/>
            <w:left w:val="none" w:sz="0" w:space="0" w:color="auto"/>
            <w:bottom w:val="none" w:sz="0" w:space="0" w:color="auto"/>
            <w:right w:val="none" w:sz="0" w:space="0" w:color="auto"/>
          </w:divBdr>
          <w:divsChild>
            <w:div w:id="913664972">
              <w:marLeft w:val="0"/>
              <w:marRight w:val="0"/>
              <w:marTop w:val="0"/>
              <w:marBottom w:val="0"/>
              <w:divBdr>
                <w:top w:val="none" w:sz="0" w:space="0" w:color="auto"/>
                <w:left w:val="none" w:sz="0" w:space="0" w:color="auto"/>
                <w:bottom w:val="none" w:sz="0" w:space="0" w:color="auto"/>
                <w:right w:val="none" w:sz="0" w:space="0" w:color="auto"/>
              </w:divBdr>
              <w:divsChild>
                <w:div w:id="10790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400903">
      <w:bodyDiv w:val="1"/>
      <w:marLeft w:val="0"/>
      <w:marRight w:val="0"/>
      <w:marTop w:val="0"/>
      <w:marBottom w:val="0"/>
      <w:divBdr>
        <w:top w:val="none" w:sz="0" w:space="0" w:color="auto"/>
        <w:left w:val="none" w:sz="0" w:space="0" w:color="auto"/>
        <w:bottom w:val="none" w:sz="0" w:space="0" w:color="auto"/>
        <w:right w:val="none" w:sz="0" w:space="0" w:color="auto"/>
      </w:divBdr>
    </w:div>
    <w:div w:id="546378282">
      <w:bodyDiv w:val="1"/>
      <w:marLeft w:val="0"/>
      <w:marRight w:val="0"/>
      <w:marTop w:val="0"/>
      <w:marBottom w:val="0"/>
      <w:divBdr>
        <w:top w:val="none" w:sz="0" w:space="0" w:color="auto"/>
        <w:left w:val="none" w:sz="0" w:space="0" w:color="auto"/>
        <w:bottom w:val="none" w:sz="0" w:space="0" w:color="auto"/>
        <w:right w:val="none" w:sz="0" w:space="0" w:color="auto"/>
      </w:divBdr>
    </w:div>
    <w:div w:id="683440388">
      <w:bodyDiv w:val="1"/>
      <w:marLeft w:val="0"/>
      <w:marRight w:val="0"/>
      <w:marTop w:val="0"/>
      <w:marBottom w:val="0"/>
      <w:divBdr>
        <w:top w:val="none" w:sz="0" w:space="0" w:color="auto"/>
        <w:left w:val="none" w:sz="0" w:space="0" w:color="auto"/>
        <w:bottom w:val="none" w:sz="0" w:space="0" w:color="auto"/>
        <w:right w:val="none" w:sz="0" w:space="0" w:color="auto"/>
      </w:divBdr>
      <w:divsChild>
        <w:div w:id="430929712">
          <w:marLeft w:val="0"/>
          <w:marRight w:val="0"/>
          <w:marTop w:val="0"/>
          <w:marBottom w:val="0"/>
          <w:divBdr>
            <w:top w:val="none" w:sz="0" w:space="0" w:color="auto"/>
            <w:left w:val="none" w:sz="0" w:space="0" w:color="auto"/>
            <w:bottom w:val="none" w:sz="0" w:space="0" w:color="auto"/>
            <w:right w:val="none" w:sz="0" w:space="0" w:color="auto"/>
          </w:divBdr>
          <w:divsChild>
            <w:div w:id="2141145461">
              <w:marLeft w:val="0"/>
              <w:marRight w:val="0"/>
              <w:marTop w:val="0"/>
              <w:marBottom w:val="0"/>
              <w:divBdr>
                <w:top w:val="none" w:sz="0" w:space="0" w:color="auto"/>
                <w:left w:val="none" w:sz="0" w:space="0" w:color="auto"/>
                <w:bottom w:val="none" w:sz="0" w:space="0" w:color="auto"/>
                <w:right w:val="none" w:sz="0" w:space="0" w:color="auto"/>
              </w:divBdr>
              <w:divsChild>
                <w:div w:id="10584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142318">
      <w:bodyDiv w:val="1"/>
      <w:marLeft w:val="0"/>
      <w:marRight w:val="0"/>
      <w:marTop w:val="0"/>
      <w:marBottom w:val="0"/>
      <w:divBdr>
        <w:top w:val="none" w:sz="0" w:space="0" w:color="auto"/>
        <w:left w:val="none" w:sz="0" w:space="0" w:color="auto"/>
        <w:bottom w:val="none" w:sz="0" w:space="0" w:color="auto"/>
        <w:right w:val="none" w:sz="0" w:space="0" w:color="auto"/>
      </w:divBdr>
    </w:div>
    <w:div w:id="1035741036">
      <w:bodyDiv w:val="1"/>
      <w:marLeft w:val="0"/>
      <w:marRight w:val="0"/>
      <w:marTop w:val="0"/>
      <w:marBottom w:val="0"/>
      <w:divBdr>
        <w:top w:val="none" w:sz="0" w:space="0" w:color="auto"/>
        <w:left w:val="none" w:sz="0" w:space="0" w:color="auto"/>
        <w:bottom w:val="none" w:sz="0" w:space="0" w:color="auto"/>
        <w:right w:val="none" w:sz="0" w:space="0" w:color="auto"/>
      </w:divBdr>
    </w:div>
    <w:div w:id="1167555205">
      <w:bodyDiv w:val="1"/>
      <w:marLeft w:val="0"/>
      <w:marRight w:val="0"/>
      <w:marTop w:val="0"/>
      <w:marBottom w:val="0"/>
      <w:divBdr>
        <w:top w:val="none" w:sz="0" w:space="0" w:color="auto"/>
        <w:left w:val="none" w:sz="0" w:space="0" w:color="auto"/>
        <w:bottom w:val="none" w:sz="0" w:space="0" w:color="auto"/>
        <w:right w:val="none" w:sz="0" w:space="0" w:color="auto"/>
      </w:divBdr>
    </w:div>
    <w:div w:id="1571965546">
      <w:bodyDiv w:val="1"/>
      <w:marLeft w:val="0"/>
      <w:marRight w:val="0"/>
      <w:marTop w:val="0"/>
      <w:marBottom w:val="0"/>
      <w:divBdr>
        <w:top w:val="none" w:sz="0" w:space="0" w:color="auto"/>
        <w:left w:val="none" w:sz="0" w:space="0" w:color="auto"/>
        <w:bottom w:val="none" w:sz="0" w:space="0" w:color="auto"/>
        <w:right w:val="none" w:sz="0" w:space="0" w:color="auto"/>
      </w:divBdr>
    </w:div>
    <w:div w:id="1660844185">
      <w:bodyDiv w:val="1"/>
      <w:marLeft w:val="0"/>
      <w:marRight w:val="0"/>
      <w:marTop w:val="0"/>
      <w:marBottom w:val="0"/>
      <w:divBdr>
        <w:top w:val="none" w:sz="0" w:space="0" w:color="auto"/>
        <w:left w:val="none" w:sz="0" w:space="0" w:color="auto"/>
        <w:bottom w:val="none" w:sz="0" w:space="0" w:color="auto"/>
        <w:right w:val="none" w:sz="0" w:space="0" w:color="auto"/>
      </w:divBdr>
    </w:div>
    <w:div w:id="212496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82846-E634-4C3B-9522-583BA267C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7832</Words>
  <Characters>44960</Characters>
  <Application>Microsoft Office Word</Application>
  <DocSecurity>0</DocSecurity>
  <Lines>1152</Lines>
  <Paragraphs>502</Paragraphs>
  <ScaleCrop>false</ScaleCrop>
  <HeadingPairs>
    <vt:vector size="2" baseType="variant">
      <vt:variant>
        <vt:lpstr>Title</vt:lpstr>
      </vt:variant>
      <vt:variant>
        <vt:i4>1</vt:i4>
      </vt:variant>
    </vt:vector>
  </HeadingPairs>
  <TitlesOfParts>
    <vt:vector size="1" baseType="lpstr">
      <vt:lpstr>AusPAR Attachment 1: Product Information for lumacaftor ivacaftor (Orkambi 200/125)</vt:lpstr>
    </vt:vector>
  </TitlesOfParts>
  <Manager/>
  <Company>Vertex Pharmaceuticals, Inc.</Company>
  <LinksUpToDate>false</LinksUpToDate>
  <CharactersWithSpaces>52290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lumacaftor ivacaftor (Orkambi 200/125)</dc:title>
  <dc:subject>Prescription medicines</dc:subject>
  <dc:creator>Vertex Pharmaceuticals Australia Pty Ltd</dc:creator>
  <cp:keywords>AusPARs</cp:keywords>
  <cp:lastModifiedBy>Sheppard, Fran</cp:lastModifiedBy>
  <cp:revision>6</cp:revision>
  <cp:lastPrinted>2015-03-16T23:58:00Z</cp:lastPrinted>
  <dcterms:created xsi:type="dcterms:W3CDTF">2016-09-08T23:08:00Z</dcterms:created>
  <dcterms:modified xsi:type="dcterms:W3CDTF">2016-09-20T02:27:00Z</dcterms:modified>
</cp:coreProperties>
</file>