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9863"/>
        <w:tblOverlap w:val="never"/>
        <w:tblW w:w="77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63"/>
      </w:tblGrid>
      <w:tr w:rsidR="008E7846" w:rsidRPr="00487162" w:rsidTr="00EF78EF">
        <w:trPr>
          <w:trHeight w:val="1863"/>
        </w:trPr>
        <w:tc>
          <w:tcPr>
            <w:tcW w:w="7763" w:type="dxa"/>
            <w:tcBorders>
              <w:top w:val="nil"/>
              <w:left w:val="nil"/>
              <w:bottom w:val="nil"/>
              <w:right w:val="nil"/>
            </w:tcBorders>
          </w:tcPr>
          <w:p w:rsidR="008E7846" w:rsidRDefault="00EF78EF" w:rsidP="0017078F">
            <w:pPr>
              <w:rPr>
                <w:rFonts w:ascii="Arial" w:hAnsi="Arial" w:cs="Arial"/>
                <w:b/>
                <w:color w:val="002C47"/>
                <w:sz w:val="36"/>
                <w:szCs w:val="36"/>
              </w:rPr>
            </w:pPr>
            <w:r>
              <w:rPr>
                <w:rFonts w:ascii="Arial" w:hAnsi="Arial" w:cs="Arial"/>
                <w:b/>
                <w:color w:val="002C47"/>
                <w:sz w:val="36"/>
                <w:szCs w:val="36"/>
              </w:rPr>
              <w:t>First round 20 August 2015</w:t>
            </w:r>
          </w:p>
          <w:p w:rsidR="00EF78EF" w:rsidRPr="0017078F" w:rsidRDefault="00EF78EF" w:rsidP="0017078F">
            <w:pPr>
              <w:rPr>
                <w:rFonts w:ascii="Arial" w:hAnsi="Arial" w:cs="Arial"/>
                <w:b/>
                <w:color w:val="002C47"/>
                <w:sz w:val="36"/>
                <w:szCs w:val="36"/>
              </w:rPr>
            </w:pPr>
            <w:r>
              <w:rPr>
                <w:rFonts w:ascii="Arial" w:hAnsi="Arial" w:cs="Arial"/>
                <w:b/>
                <w:color w:val="002C47"/>
                <w:sz w:val="36"/>
                <w:szCs w:val="36"/>
              </w:rPr>
              <w:t>Second round 13 November 2015</w:t>
            </w:r>
          </w:p>
        </w:tc>
      </w:tr>
    </w:tbl>
    <w:tbl>
      <w:tblPr>
        <w:tblpPr w:leftFromText="180" w:rightFromText="180" w:vertAnchor="page" w:tblpY="3316"/>
        <w:tblW w:w="9079" w:type="dxa"/>
        <w:tblLayout w:type="fixed"/>
        <w:tblLook w:val="04A0" w:firstRow="1" w:lastRow="0" w:firstColumn="1" w:lastColumn="0" w:noHBand="0" w:noVBand="1"/>
      </w:tblPr>
      <w:tblGrid>
        <w:gridCol w:w="9079"/>
      </w:tblGrid>
      <w:tr w:rsidR="0032583B" w:rsidRPr="00A964D1" w:rsidTr="00E07F15">
        <w:trPr>
          <w:trHeight w:val="1548"/>
        </w:trPr>
        <w:tc>
          <w:tcPr>
            <w:tcW w:w="9079" w:type="dxa"/>
          </w:tcPr>
          <w:p w:rsidR="0032583B" w:rsidRPr="00A964D1" w:rsidRDefault="00E07F15" w:rsidP="00ED23AB">
            <w:pPr>
              <w:pStyle w:val="Title"/>
              <w:framePr w:hSpace="0" w:wrap="auto" w:vAnchor="margin" w:yAlign="inline"/>
            </w:pPr>
            <w:r>
              <w:t>AusPAR Attachment 2</w:t>
            </w:r>
          </w:p>
        </w:tc>
      </w:tr>
      <w:tr w:rsidR="00E07F15" w:rsidRPr="00A964D1" w:rsidTr="00E07F15">
        <w:trPr>
          <w:trHeight w:val="868"/>
        </w:trPr>
        <w:tc>
          <w:tcPr>
            <w:tcW w:w="9079" w:type="dxa"/>
          </w:tcPr>
          <w:p w:rsidR="00E07F15" w:rsidRPr="00A964D1" w:rsidRDefault="00E07F15" w:rsidP="00ED23AB">
            <w:pPr>
              <w:pStyle w:val="Title"/>
              <w:framePr w:hSpace="0" w:wrap="auto" w:vAnchor="margin" w:yAlign="inline"/>
            </w:pPr>
            <w:r>
              <w:t>Extract from the Clinical Evaluation Report</w:t>
            </w:r>
            <w:r w:rsidRPr="00A964D1">
              <w:t xml:space="preserve"> for </w:t>
            </w:r>
            <w:r w:rsidR="003E4A33">
              <w:t>Lumacaftor / Ivacaftor</w:t>
            </w:r>
          </w:p>
        </w:tc>
      </w:tr>
      <w:tr w:rsidR="00E07F15" w:rsidRPr="00B64760" w:rsidTr="00E07F15">
        <w:tc>
          <w:tcPr>
            <w:tcW w:w="9079" w:type="dxa"/>
          </w:tcPr>
          <w:p w:rsidR="00E07F15" w:rsidRPr="008E7846" w:rsidRDefault="00E07F15" w:rsidP="00ED23AB">
            <w:pPr>
              <w:pStyle w:val="Subtitle"/>
              <w:framePr w:hSpace="0" w:wrap="auto" w:vAnchor="margin" w:yAlign="inline"/>
            </w:pPr>
            <w:r w:rsidRPr="008E7846">
              <w:t xml:space="preserve">Proprietary Product Name: </w:t>
            </w:r>
            <w:r w:rsidR="003E4A33">
              <w:t>Orkambi 200/125</w:t>
            </w:r>
          </w:p>
        </w:tc>
      </w:tr>
      <w:tr w:rsidR="00E07F15" w:rsidRPr="00B64760" w:rsidTr="00E07F15">
        <w:trPr>
          <w:trHeight w:val="486"/>
        </w:trPr>
        <w:tc>
          <w:tcPr>
            <w:tcW w:w="9079" w:type="dxa"/>
          </w:tcPr>
          <w:p w:rsidR="00E07F15" w:rsidRPr="008E7846" w:rsidRDefault="00E07F15" w:rsidP="00ED23AB">
            <w:pPr>
              <w:pStyle w:val="Subtitle"/>
              <w:framePr w:hSpace="0" w:wrap="auto" w:vAnchor="margin" w:yAlign="inline"/>
            </w:pPr>
            <w:r w:rsidRPr="008E7846">
              <w:t xml:space="preserve">Sponsor: </w:t>
            </w:r>
            <w:r w:rsidR="003E4A33">
              <w:t>Vertex Pharmaceuticals Australia Pty Ltd</w:t>
            </w:r>
          </w:p>
        </w:tc>
      </w:tr>
    </w:tbl>
    <w:p w:rsidR="008E7846" w:rsidRDefault="008E7846" w:rsidP="008E7846">
      <w:pPr>
        <w:pStyle w:val="NonTOCHeading2"/>
      </w:pPr>
      <w:r>
        <w:br w:type="page"/>
      </w:r>
    </w:p>
    <w:p w:rsidR="008E7846" w:rsidRPr="001F6CBA" w:rsidRDefault="008E7846" w:rsidP="00ED23AB">
      <w:pPr>
        <w:pStyle w:val="NonTOCHeading2"/>
      </w:pPr>
      <w:r w:rsidRPr="001F6CBA">
        <w:lastRenderedPageBreak/>
        <w:t>About the Therapeutic Goods Administration (TGA)</w:t>
      </w:r>
    </w:p>
    <w:p w:rsidR="008E7846" w:rsidRDefault="008E7846" w:rsidP="008E7846">
      <w:pPr>
        <w:pStyle w:val="ListBullet"/>
        <w:numPr>
          <w:ilvl w:val="0"/>
          <w:numId w:val="3"/>
        </w:numPr>
        <w:ind w:left="357" w:hanging="357"/>
      </w:pPr>
      <w:r>
        <w:t xml:space="preserve">The Therapeutic Goods Administration (TGA) is </w:t>
      </w:r>
      <w:r w:rsidR="00E624A5">
        <w:t xml:space="preserve">part </w:t>
      </w:r>
      <w:r>
        <w:t>of the Australian Government Department of Health, and is responsible for regulating medicines and medical devices.</w:t>
      </w:r>
    </w:p>
    <w:p w:rsidR="008E7846" w:rsidRDefault="00C811C0" w:rsidP="008E7846">
      <w:pPr>
        <w:pStyle w:val="ListBullet"/>
        <w:numPr>
          <w:ilvl w:val="0"/>
          <w:numId w:val="3"/>
        </w:numPr>
        <w:ind w:left="357" w:hanging="357"/>
      </w:pPr>
      <w:r>
        <w:t xml:space="preserve">The </w:t>
      </w:r>
      <w:r w:rsidR="008E7846">
        <w:t xml:space="preserve">TGA administers the </w:t>
      </w:r>
      <w:r w:rsidR="008E7846" w:rsidRPr="00F640B6">
        <w:rPr>
          <w:i/>
        </w:rPr>
        <w:t>Therapeutic Goods Act 1989</w:t>
      </w:r>
      <w:r w:rsidR="008E7846">
        <w:t xml:space="preserve"> (the Act), applying a risk management approach designed to ensure therapeutic goods supplied in Australia meet acceptable standards of quality, safety and efficacy (performance), when necessary.</w:t>
      </w:r>
    </w:p>
    <w:p w:rsidR="008E7846" w:rsidRDefault="008E7846" w:rsidP="008E7846">
      <w:pPr>
        <w:pStyle w:val="ListBullet"/>
        <w:numPr>
          <w:ilvl w:val="0"/>
          <w:numId w:val="3"/>
        </w:numPr>
        <w:ind w:left="357" w:hanging="357"/>
      </w:pPr>
      <w:r>
        <w:t>The work of the TGA is based on applying scientific and clinical expertise to decision-making, to ensure that the benefits to consumers outweigh any risks associated with the use of medicines and medical devices.</w:t>
      </w:r>
    </w:p>
    <w:p w:rsidR="008E7846" w:rsidRDefault="008E7846" w:rsidP="008E7846">
      <w:pPr>
        <w:pStyle w:val="ListBullet"/>
        <w:numPr>
          <w:ilvl w:val="0"/>
          <w:numId w:val="3"/>
        </w:numPr>
        <w:ind w:left="357" w:hanging="357"/>
      </w:pPr>
      <w:r>
        <w:t>The TGA relies on the public, healthcare professionals and industry to report problems with medicines or medical devices. TGA investigates reports received by it to determine any necessary regulatory action.</w:t>
      </w:r>
    </w:p>
    <w:p w:rsidR="008E7846" w:rsidRDefault="008E7846" w:rsidP="008E7846">
      <w:pPr>
        <w:pStyle w:val="ListBullet"/>
        <w:numPr>
          <w:ilvl w:val="0"/>
          <w:numId w:val="3"/>
        </w:numPr>
        <w:ind w:left="357" w:hanging="357"/>
      </w:pPr>
      <w:r>
        <w:t>To report a problem with a medicine or medical device, please see the information on the TGA website</w:t>
      </w:r>
      <w:r w:rsidR="00112F56">
        <w:t xml:space="preserve"> </w:t>
      </w:r>
      <w:r w:rsidR="00ED23AB">
        <w:t>&lt;</w:t>
      </w:r>
      <w:hyperlink r:id="rId9" w:history="1">
        <w:r w:rsidR="00E979F4" w:rsidRPr="00FE02B1">
          <w:rPr>
            <w:rStyle w:val="Hyperlink"/>
          </w:rPr>
          <w:t>https://www.tga.gov.au</w:t>
        </w:r>
      </w:hyperlink>
      <w:r w:rsidR="00511EB7">
        <w:t>&gt;</w:t>
      </w:r>
      <w:r>
        <w:t>.</w:t>
      </w:r>
    </w:p>
    <w:p w:rsidR="0017078F" w:rsidRPr="001F6CBA" w:rsidRDefault="0017078F" w:rsidP="0017078F">
      <w:pPr>
        <w:pStyle w:val="NonTOCHeading2"/>
      </w:pPr>
      <w:r w:rsidRPr="001F6CBA">
        <w:t xml:space="preserve">About the </w:t>
      </w:r>
      <w:r w:rsidRPr="0017078F">
        <w:t>Extract</w:t>
      </w:r>
      <w:r>
        <w:t xml:space="preserve"> from the Clinical Evaluation Report</w:t>
      </w:r>
    </w:p>
    <w:p w:rsidR="0017078F" w:rsidRDefault="003D0A3B" w:rsidP="0017078F">
      <w:pPr>
        <w:pStyle w:val="ListBullet"/>
      </w:pPr>
      <w:r w:rsidRPr="003D0A3B">
        <w:t>This document provides a more detailed evaluation of the clinical findings, extracted from the Clinical Evaluation Report (CER) prepared by the TGA. This extract does not include sections from the CER regarding product documentation or post market activities.</w:t>
      </w:r>
    </w:p>
    <w:p w:rsidR="003D0A3B" w:rsidRDefault="003D0A3B" w:rsidP="003D0A3B">
      <w:pPr>
        <w:pStyle w:val="ListBullet"/>
      </w:pPr>
      <w:r w:rsidRPr="003D0A3B">
        <w:t>The words [Information redacted], where they appear in this document, indicate that confidential information has been deleted.</w:t>
      </w:r>
    </w:p>
    <w:p w:rsidR="0017078F" w:rsidRDefault="003D0A3B" w:rsidP="0017078F">
      <w:pPr>
        <w:pStyle w:val="ListBullet"/>
      </w:pPr>
      <w:r w:rsidRPr="003D0A3B">
        <w:t>For the most recent Product Information (PI), please refer to the TGA website</w:t>
      </w:r>
      <w:r>
        <w:t xml:space="preserve"> </w:t>
      </w:r>
      <w:r w:rsidR="00ED23AB">
        <w:t>&lt;</w:t>
      </w:r>
      <w:hyperlink r:id="rId10" w:history="1">
        <w:r w:rsidR="0010193C">
          <w:rPr>
            <w:rStyle w:val="Hyperlink"/>
          </w:rPr>
          <w:t>https://www.tga.gov.au/product-information-pi</w:t>
        </w:r>
      </w:hyperlink>
      <w:r w:rsidR="00052908">
        <w:t>&gt;</w:t>
      </w:r>
      <w:r w:rsidR="0017078F">
        <w:t>.</w:t>
      </w:r>
    </w:p>
    <w:p w:rsidR="00924482" w:rsidRPr="00DF1D7F" w:rsidRDefault="00924482" w:rsidP="00EF78EF">
      <w:pPr>
        <w:pStyle w:val="LegalSubheading"/>
        <w:spacing w:before="3480"/>
      </w:pPr>
      <w:r w:rsidRPr="00DF1D7F">
        <w:t>Copyright</w:t>
      </w:r>
    </w:p>
    <w:p w:rsidR="00924482" w:rsidRDefault="00924482" w:rsidP="00924482">
      <w:pPr>
        <w:pStyle w:val="LegalCopy"/>
      </w:pPr>
      <w:r w:rsidRPr="00191B3B">
        <w:rPr>
          <w:rFonts w:cs="Arial"/>
          <w:lang w:val="en-GB"/>
        </w:rPr>
        <w:t>© Comm</w:t>
      </w:r>
      <w:r>
        <w:rPr>
          <w:rFonts w:cs="Arial"/>
          <w:lang w:val="en-GB"/>
        </w:rPr>
        <w:t>onwealth of Australia 201</w:t>
      </w:r>
      <w:r w:rsidR="00E77B22">
        <w:rPr>
          <w:rFonts w:cs="Arial"/>
          <w:lang w:val="en-GB"/>
        </w:rPr>
        <w:t>6</w:t>
      </w:r>
      <w:r w:rsidRPr="00191B3B">
        <w:rPr>
          <w:rFonts w:cs="Arial"/>
          <w:lang w:val="en-GB"/>
        </w:rPr>
        <w:br/>
      </w:r>
      <w:proofErr w:type="gramStart"/>
      <w:r w:rsidRPr="00191B3B">
        <w:rPr>
          <w:rFonts w:cs="Arial"/>
          <w:lang w:val="en-GB"/>
        </w:rPr>
        <w:t>This</w:t>
      </w:r>
      <w:proofErr w:type="gramEnd"/>
      <w:r w:rsidRPr="00191B3B">
        <w:rPr>
          <w:rFonts w:cs="Arial"/>
          <w:lang w:val="en-GB"/>
        </w:rPr>
        <w:t xml:space="preserve">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191B3B">
        <w:rPr>
          <w:rFonts w:cs="Arial"/>
          <w:i/>
          <w:lang w:val="en-GB"/>
        </w:rPr>
        <w:t>Copyright Act 1968</w:t>
      </w:r>
      <w:r w:rsidRPr="00191B3B">
        <w:rPr>
          <w:rFonts w:cs="Arial"/>
          <w:lang w:val="en-GB"/>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Woden ACT 2606 or emailed to </w:t>
      </w:r>
      <w:r w:rsidR="00511EB7">
        <w:rPr>
          <w:rFonts w:cs="Arial"/>
          <w:lang w:val="en-GB"/>
        </w:rPr>
        <w:t xml:space="preserve">&lt; </w:t>
      </w:r>
      <w:hyperlink r:id="rId11" w:history="1">
        <w:r w:rsidRPr="00191B3B">
          <w:rPr>
            <w:rStyle w:val="Hyperlink"/>
            <w:rFonts w:cs="Arial"/>
            <w:lang w:val="en-GB"/>
          </w:rPr>
          <w:t>tga.copyright@tga.gov.au</w:t>
        </w:r>
      </w:hyperlink>
      <w:proofErr w:type="gramStart"/>
      <w:r w:rsidR="00511EB7">
        <w:rPr>
          <w:rFonts w:cs="Arial"/>
        </w:rPr>
        <w:t xml:space="preserve">&gt; </w:t>
      </w:r>
      <w:r w:rsidRPr="00191B3B">
        <w:rPr>
          <w:rFonts w:cs="Arial"/>
        </w:rPr>
        <w:t>.</w:t>
      </w:r>
      <w:proofErr w:type="gramEnd"/>
    </w:p>
    <w:p w:rsidR="00924482" w:rsidRDefault="00924482" w:rsidP="00924482">
      <w:pPr>
        <w:pStyle w:val="LegalCopy"/>
        <w:sectPr w:rsidR="00924482" w:rsidSect="003D1E62">
          <w:headerReference w:type="default" r:id="rId12"/>
          <w:footerReference w:type="default" r:id="rId13"/>
          <w:headerReference w:type="first" r:id="rId14"/>
          <w:pgSz w:w="11906" w:h="16838" w:code="9"/>
          <w:pgMar w:top="426" w:right="1701" w:bottom="0" w:left="1701" w:header="907" w:footer="142" w:gutter="0"/>
          <w:pgNumType w:fmt="lowerRoman" w:start="1"/>
          <w:cols w:space="708"/>
          <w:titlePg/>
          <w:docGrid w:linePitch="360"/>
        </w:sectPr>
      </w:pPr>
    </w:p>
    <w:bookmarkStart w:id="0" w:name="_Toc247691501" w:displacedByCustomXml="next"/>
    <w:bookmarkStart w:id="1" w:name="_Toc196046425" w:displacedByCustomXml="next"/>
    <w:sdt>
      <w:sdtPr>
        <w:rPr>
          <w:rFonts w:ascii="Cambria" w:hAnsi="Cambria"/>
          <w:b w:val="0"/>
          <w:bCs/>
          <w:sz w:val="22"/>
        </w:rPr>
        <w:id w:val="5618007"/>
        <w:docPartObj>
          <w:docPartGallery w:val="Table of Contents"/>
          <w:docPartUnique/>
        </w:docPartObj>
      </w:sdtPr>
      <w:sdtEndPr>
        <w:rPr>
          <w:b/>
          <w:bCs w:val="0"/>
          <w:sz w:val="25"/>
        </w:rPr>
      </w:sdtEndPr>
      <w:sdtContent>
        <w:p w:rsidR="0089635C" w:rsidRPr="0089635C" w:rsidRDefault="0089635C" w:rsidP="0010788A">
          <w:pPr>
            <w:pStyle w:val="Contents"/>
          </w:pPr>
          <w:r w:rsidRPr="0010788A">
            <w:t>Contents</w:t>
          </w:r>
        </w:p>
        <w:p w:rsidR="00892601" w:rsidRDefault="004F4AF5">
          <w:pPr>
            <w:pStyle w:val="TOC2"/>
            <w:rPr>
              <w:rFonts w:asciiTheme="minorHAnsi" w:eastAsiaTheme="minorEastAsia" w:hAnsiTheme="minorHAnsi" w:cstheme="minorBidi"/>
              <w:b w:val="0"/>
              <w:noProof/>
              <w:sz w:val="22"/>
              <w:lang w:eastAsia="en-AU"/>
            </w:rPr>
          </w:pPr>
          <w:r>
            <w:fldChar w:fldCharType="begin"/>
          </w:r>
          <w:r w:rsidR="0089635C">
            <w:instrText xml:space="preserve"> TOC \o "1-3" \h \z \u </w:instrText>
          </w:r>
          <w:r>
            <w:fldChar w:fldCharType="separate"/>
          </w:r>
          <w:hyperlink w:anchor="_Toc461121032" w:history="1">
            <w:r w:rsidR="00892601" w:rsidRPr="00A02F7F">
              <w:rPr>
                <w:rStyle w:val="Hyperlink"/>
                <w:noProof/>
              </w:rPr>
              <w:t>List of abbreviations</w:t>
            </w:r>
            <w:r w:rsidR="00892601">
              <w:rPr>
                <w:noProof/>
                <w:webHidden/>
              </w:rPr>
              <w:tab/>
            </w:r>
            <w:r w:rsidR="00892601">
              <w:rPr>
                <w:noProof/>
                <w:webHidden/>
              </w:rPr>
              <w:fldChar w:fldCharType="begin"/>
            </w:r>
            <w:r w:rsidR="00892601">
              <w:rPr>
                <w:noProof/>
                <w:webHidden/>
              </w:rPr>
              <w:instrText xml:space="preserve"> PAGEREF _Toc461121032 \h </w:instrText>
            </w:r>
            <w:r w:rsidR="00892601">
              <w:rPr>
                <w:noProof/>
                <w:webHidden/>
              </w:rPr>
            </w:r>
            <w:r w:rsidR="00892601">
              <w:rPr>
                <w:noProof/>
                <w:webHidden/>
              </w:rPr>
              <w:fldChar w:fldCharType="separate"/>
            </w:r>
            <w:r w:rsidR="00892601">
              <w:rPr>
                <w:noProof/>
                <w:webHidden/>
              </w:rPr>
              <w:t>5</w:t>
            </w:r>
            <w:r w:rsidR="00892601">
              <w:rPr>
                <w:noProof/>
                <w:webHidden/>
              </w:rPr>
              <w:fldChar w:fldCharType="end"/>
            </w:r>
          </w:hyperlink>
        </w:p>
        <w:p w:rsidR="00892601" w:rsidRDefault="00D1392B">
          <w:pPr>
            <w:pStyle w:val="TOC2"/>
            <w:tabs>
              <w:tab w:val="left" w:pos="1100"/>
            </w:tabs>
            <w:rPr>
              <w:rFonts w:asciiTheme="minorHAnsi" w:eastAsiaTheme="minorEastAsia" w:hAnsiTheme="minorHAnsi" w:cstheme="minorBidi"/>
              <w:b w:val="0"/>
              <w:noProof/>
              <w:sz w:val="22"/>
              <w:lang w:eastAsia="en-AU"/>
            </w:rPr>
          </w:pPr>
          <w:hyperlink w:anchor="_Toc461121033" w:history="1">
            <w:r w:rsidR="00892601" w:rsidRPr="00A02F7F">
              <w:rPr>
                <w:rStyle w:val="Hyperlink"/>
                <w:noProof/>
                <w:lang w:eastAsia="en-AU"/>
              </w:rPr>
              <w:t>1.</w:t>
            </w:r>
            <w:r w:rsidR="00892601">
              <w:rPr>
                <w:rFonts w:asciiTheme="minorHAnsi" w:eastAsiaTheme="minorEastAsia" w:hAnsiTheme="minorHAnsi" w:cstheme="minorBidi"/>
                <w:b w:val="0"/>
                <w:noProof/>
                <w:sz w:val="22"/>
                <w:lang w:eastAsia="en-AU"/>
              </w:rPr>
              <w:tab/>
            </w:r>
            <w:r w:rsidR="00892601" w:rsidRPr="00A02F7F">
              <w:rPr>
                <w:rStyle w:val="Hyperlink"/>
                <w:noProof/>
                <w:lang w:eastAsia="en-AU"/>
              </w:rPr>
              <w:t>Introduction</w:t>
            </w:r>
            <w:r w:rsidR="00892601">
              <w:rPr>
                <w:noProof/>
                <w:webHidden/>
              </w:rPr>
              <w:tab/>
            </w:r>
            <w:r w:rsidR="00892601">
              <w:rPr>
                <w:noProof/>
                <w:webHidden/>
              </w:rPr>
              <w:fldChar w:fldCharType="begin"/>
            </w:r>
            <w:r w:rsidR="00892601">
              <w:rPr>
                <w:noProof/>
                <w:webHidden/>
              </w:rPr>
              <w:instrText xml:space="preserve"> PAGEREF _Toc461121033 \h </w:instrText>
            </w:r>
            <w:r w:rsidR="00892601">
              <w:rPr>
                <w:noProof/>
                <w:webHidden/>
              </w:rPr>
            </w:r>
            <w:r w:rsidR="00892601">
              <w:rPr>
                <w:noProof/>
                <w:webHidden/>
              </w:rPr>
              <w:fldChar w:fldCharType="separate"/>
            </w:r>
            <w:r w:rsidR="00892601">
              <w:rPr>
                <w:noProof/>
                <w:webHidden/>
              </w:rPr>
              <w:t>10</w:t>
            </w:r>
            <w:r w:rsidR="00892601">
              <w:rPr>
                <w:noProof/>
                <w:webHidden/>
              </w:rPr>
              <w:fldChar w:fldCharType="end"/>
            </w:r>
          </w:hyperlink>
        </w:p>
        <w:p w:rsidR="00892601" w:rsidRDefault="00D1392B">
          <w:pPr>
            <w:pStyle w:val="TOC2"/>
            <w:tabs>
              <w:tab w:val="left" w:pos="1100"/>
            </w:tabs>
            <w:rPr>
              <w:rFonts w:asciiTheme="minorHAnsi" w:eastAsiaTheme="minorEastAsia" w:hAnsiTheme="minorHAnsi" w:cstheme="minorBidi"/>
              <w:b w:val="0"/>
              <w:noProof/>
              <w:sz w:val="22"/>
              <w:lang w:eastAsia="en-AU"/>
            </w:rPr>
          </w:pPr>
          <w:hyperlink w:anchor="_Toc461121034" w:history="1">
            <w:r w:rsidR="00892601" w:rsidRPr="00A02F7F">
              <w:rPr>
                <w:rStyle w:val="Hyperlink"/>
                <w:noProof/>
              </w:rPr>
              <w:t>2.</w:t>
            </w:r>
            <w:r w:rsidR="00892601">
              <w:rPr>
                <w:rFonts w:asciiTheme="minorHAnsi" w:eastAsiaTheme="minorEastAsia" w:hAnsiTheme="minorHAnsi" w:cstheme="minorBidi"/>
                <w:b w:val="0"/>
                <w:noProof/>
                <w:sz w:val="22"/>
                <w:lang w:eastAsia="en-AU"/>
              </w:rPr>
              <w:tab/>
            </w:r>
            <w:r w:rsidR="00892601" w:rsidRPr="00A02F7F">
              <w:rPr>
                <w:rStyle w:val="Hyperlink"/>
                <w:noProof/>
              </w:rPr>
              <w:t>Clinical rationale</w:t>
            </w:r>
            <w:r w:rsidR="00892601">
              <w:rPr>
                <w:noProof/>
                <w:webHidden/>
              </w:rPr>
              <w:tab/>
            </w:r>
            <w:r w:rsidR="00892601">
              <w:rPr>
                <w:noProof/>
                <w:webHidden/>
              </w:rPr>
              <w:fldChar w:fldCharType="begin"/>
            </w:r>
            <w:r w:rsidR="00892601">
              <w:rPr>
                <w:noProof/>
                <w:webHidden/>
              </w:rPr>
              <w:instrText xml:space="preserve"> PAGEREF _Toc461121034 \h </w:instrText>
            </w:r>
            <w:r w:rsidR="00892601">
              <w:rPr>
                <w:noProof/>
                <w:webHidden/>
              </w:rPr>
            </w:r>
            <w:r w:rsidR="00892601">
              <w:rPr>
                <w:noProof/>
                <w:webHidden/>
              </w:rPr>
              <w:fldChar w:fldCharType="separate"/>
            </w:r>
            <w:r w:rsidR="00892601">
              <w:rPr>
                <w:noProof/>
                <w:webHidden/>
              </w:rPr>
              <w:t>10</w:t>
            </w:r>
            <w:r w:rsidR="00892601">
              <w:rPr>
                <w:noProof/>
                <w:webHidden/>
              </w:rPr>
              <w:fldChar w:fldCharType="end"/>
            </w:r>
          </w:hyperlink>
        </w:p>
        <w:p w:rsidR="00892601" w:rsidRDefault="00D1392B">
          <w:pPr>
            <w:pStyle w:val="TOC2"/>
            <w:tabs>
              <w:tab w:val="left" w:pos="1100"/>
            </w:tabs>
            <w:rPr>
              <w:rFonts w:asciiTheme="minorHAnsi" w:eastAsiaTheme="minorEastAsia" w:hAnsiTheme="minorHAnsi" w:cstheme="minorBidi"/>
              <w:b w:val="0"/>
              <w:noProof/>
              <w:sz w:val="22"/>
              <w:lang w:eastAsia="en-AU"/>
            </w:rPr>
          </w:pPr>
          <w:hyperlink w:anchor="_Toc461121035" w:history="1">
            <w:r w:rsidR="00892601" w:rsidRPr="00A02F7F">
              <w:rPr>
                <w:rStyle w:val="Hyperlink"/>
                <w:noProof/>
                <w:lang w:eastAsia="en-AU"/>
              </w:rPr>
              <w:t>3.</w:t>
            </w:r>
            <w:r w:rsidR="00892601">
              <w:rPr>
                <w:rFonts w:asciiTheme="minorHAnsi" w:eastAsiaTheme="minorEastAsia" w:hAnsiTheme="minorHAnsi" w:cstheme="minorBidi"/>
                <w:b w:val="0"/>
                <w:noProof/>
                <w:sz w:val="22"/>
                <w:lang w:eastAsia="en-AU"/>
              </w:rPr>
              <w:tab/>
            </w:r>
            <w:r w:rsidR="00892601" w:rsidRPr="00A02F7F">
              <w:rPr>
                <w:rStyle w:val="Hyperlink"/>
                <w:noProof/>
                <w:lang w:eastAsia="en-AU"/>
              </w:rPr>
              <w:t>Contents of the clinical dossier</w:t>
            </w:r>
            <w:r w:rsidR="00892601">
              <w:rPr>
                <w:noProof/>
                <w:webHidden/>
              </w:rPr>
              <w:tab/>
            </w:r>
            <w:r w:rsidR="00892601">
              <w:rPr>
                <w:noProof/>
                <w:webHidden/>
              </w:rPr>
              <w:fldChar w:fldCharType="begin"/>
            </w:r>
            <w:r w:rsidR="00892601">
              <w:rPr>
                <w:noProof/>
                <w:webHidden/>
              </w:rPr>
              <w:instrText xml:space="preserve"> PAGEREF _Toc461121035 \h </w:instrText>
            </w:r>
            <w:r w:rsidR="00892601">
              <w:rPr>
                <w:noProof/>
                <w:webHidden/>
              </w:rPr>
            </w:r>
            <w:r w:rsidR="00892601">
              <w:rPr>
                <w:noProof/>
                <w:webHidden/>
              </w:rPr>
              <w:fldChar w:fldCharType="separate"/>
            </w:r>
            <w:r w:rsidR="00892601">
              <w:rPr>
                <w:noProof/>
                <w:webHidden/>
              </w:rPr>
              <w:t>11</w:t>
            </w:r>
            <w:r w:rsidR="00892601">
              <w:rPr>
                <w:noProof/>
                <w:webHidden/>
              </w:rPr>
              <w:fldChar w:fldCharType="end"/>
            </w:r>
          </w:hyperlink>
        </w:p>
        <w:p w:rsidR="00892601" w:rsidRDefault="00D1392B">
          <w:pPr>
            <w:pStyle w:val="TOC3"/>
            <w:tabs>
              <w:tab w:val="left" w:pos="1760"/>
            </w:tabs>
            <w:rPr>
              <w:rFonts w:asciiTheme="minorHAnsi" w:eastAsiaTheme="minorEastAsia" w:hAnsiTheme="minorHAnsi" w:cstheme="minorBidi"/>
              <w:noProof/>
              <w:lang w:eastAsia="en-AU"/>
            </w:rPr>
          </w:pPr>
          <w:hyperlink w:anchor="_Toc461121036" w:history="1">
            <w:r w:rsidR="00892601" w:rsidRPr="00A02F7F">
              <w:rPr>
                <w:rStyle w:val="Hyperlink"/>
                <w:noProof/>
              </w:rPr>
              <w:t>3.1.</w:t>
            </w:r>
            <w:r w:rsidR="00892601">
              <w:rPr>
                <w:rFonts w:asciiTheme="minorHAnsi" w:eastAsiaTheme="minorEastAsia" w:hAnsiTheme="minorHAnsi" w:cstheme="minorBidi"/>
                <w:noProof/>
                <w:lang w:eastAsia="en-AU"/>
              </w:rPr>
              <w:tab/>
            </w:r>
            <w:r w:rsidR="00892601" w:rsidRPr="00A02F7F">
              <w:rPr>
                <w:rStyle w:val="Hyperlink"/>
                <w:noProof/>
              </w:rPr>
              <w:t>Scope of the clinical dossier</w:t>
            </w:r>
            <w:r w:rsidR="00892601">
              <w:rPr>
                <w:noProof/>
                <w:webHidden/>
              </w:rPr>
              <w:tab/>
            </w:r>
            <w:r w:rsidR="00892601">
              <w:rPr>
                <w:noProof/>
                <w:webHidden/>
              </w:rPr>
              <w:fldChar w:fldCharType="begin"/>
            </w:r>
            <w:r w:rsidR="00892601">
              <w:rPr>
                <w:noProof/>
                <w:webHidden/>
              </w:rPr>
              <w:instrText xml:space="preserve"> PAGEREF _Toc461121036 \h </w:instrText>
            </w:r>
            <w:r w:rsidR="00892601">
              <w:rPr>
                <w:noProof/>
                <w:webHidden/>
              </w:rPr>
            </w:r>
            <w:r w:rsidR="00892601">
              <w:rPr>
                <w:noProof/>
                <w:webHidden/>
              </w:rPr>
              <w:fldChar w:fldCharType="separate"/>
            </w:r>
            <w:r w:rsidR="00892601">
              <w:rPr>
                <w:noProof/>
                <w:webHidden/>
              </w:rPr>
              <w:t>11</w:t>
            </w:r>
            <w:r w:rsidR="00892601">
              <w:rPr>
                <w:noProof/>
                <w:webHidden/>
              </w:rPr>
              <w:fldChar w:fldCharType="end"/>
            </w:r>
          </w:hyperlink>
        </w:p>
        <w:p w:rsidR="00892601" w:rsidRDefault="00D1392B">
          <w:pPr>
            <w:pStyle w:val="TOC3"/>
            <w:tabs>
              <w:tab w:val="left" w:pos="1760"/>
            </w:tabs>
            <w:rPr>
              <w:rFonts w:asciiTheme="minorHAnsi" w:eastAsiaTheme="minorEastAsia" w:hAnsiTheme="minorHAnsi" w:cstheme="minorBidi"/>
              <w:noProof/>
              <w:lang w:eastAsia="en-AU"/>
            </w:rPr>
          </w:pPr>
          <w:hyperlink w:anchor="_Toc461121037" w:history="1">
            <w:r w:rsidR="00892601" w:rsidRPr="00A02F7F">
              <w:rPr>
                <w:rStyle w:val="Hyperlink"/>
                <w:noProof/>
              </w:rPr>
              <w:t>3.2.</w:t>
            </w:r>
            <w:r w:rsidR="00892601">
              <w:rPr>
                <w:rFonts w:asciiTheme="minorHAnsi" w:eastAsiaTheme="minorEastAsia" w:hAnsiTheme="minorHAnsi" w:cstheme="minorBidi"/>
                <w:noProof/>
                <w:lang w:eastAsia="en-AU"/>
              </w:rPr>
              <w:tab/>
            </w:r>
            <w:r w:rsidR="00892601" w:rsidRPr="00A02F7F">
              <w:rPr>
                <w:rStyle w:val="Hyperlink"/>
                <w:noProof/>
              </w:rPr>
              <w:t>Paediatric data</w:t>
            </w:r>
            <w:r w:rsidR="00892601">
              <w:rPr>
                <w:noProof/>
                <w:webHidden/>
              </w:rPr>
              <w:tab/>
            </w:r>
            <w:r w:rsidR="00892601">
              <w:rPr>
                <w:noProof/>
                <w:webHidden/>
              </w:rPr>
              <w:fldChar w:fldCharType="begin"/>
            </w:r>
            <w:r w:rsidR="00892601">
              <w:rPr>
                <w:noProof/>
                <w:webHidden/>
              </w:rPr>
              <w:instrText xml:space="preserve"> PAGEREF _Toc461121037 \h </w:instrText>
            </w:r>
            <w:r w:rsidR="00892601">
              <w:rPr>
                <w:noProof/>
                <w:webHidden/>
              </w:rPr>
            </w:r>
            <w:r w:rsidR="00892601">
              <w:rPr>
                <w:noProof/>
                <w:webHidden/>
              </w:rPr>
              <w:fldChar w:fldCharType="separate"/>
            </w:r>
            <w:r w:rsidR="00892601">
              <w:rPr>
                <w:noProof/>
                <w:webHidden/>
              </w:rPr>
              <w:t>12</w:t>
            </w:r>
            <w:r w:rsidR="00892601">
              <w:rPr>
                <w:noProof/>
                <w:webHidden/>
              </w:rPr>
              <w:fldChar w:fldCharType="end"/>
            </w:r>
          </w:hyperlink>
        </w:p>
        <w:p w:rsidR="00892601" w:rsidRDefault="00D1392B">
          <w:pPr>
            <w:pStyle w:val="TOC3"/>
            <w:tabs>
              <w:tab w:val="left" w:pos="1760"/>
            </w:tabs>
            <w:rPr>
              <w:rFonts w:asciiTheme="minorHAnsi" w:eastAsiaTheme="minorEastAsia" w:hAnsiTheme="minorHAnsi" w:cstheme="minorBidi"/>
              <w:noProof/>
              <w:lang w:eastAsia="en-AU"/>
            </w:rPr>
          </w:pPr>
          <w:hyperlink w:anchor="_Toc461121038" w:history="1">
            <w:r w:rsidR="00892601" w:rsidRPr="00A02F7F">
              <w:rPr>
                <w:rStyle w:val="Hyperlink"/>
                <w:noProof/>
              </w:rPr>
              <w:t>3.3.</w:t>
            </w:r>
            <w:r w:rsidR="00892601">
              <w:rPr>
                <w:rFonts w:asciiTheme="minorHAnsi" w:eastAsiaTheme="minorEastAsia" w:hAnsiTheme="minorHAnsi" w:cstheme="minorBidi"/>
                <w:noProof/>
                <w:lang w:eastAsia="en-AU"/>
              </w:rPr>
              <w:tab/>
            </w:r>
            <w:r w:rsidR="00892601" w:rsidRPr="00A02F7F">
              <w:rPr>
                <w:rStyle w:val="Hyperlink"/>
                <w:noProof/>
              </w:rPr>
              <w:t>Good clinical practice</w:t>
            </w:r>
            <w:r w:rsidR="00892601">
              <w:rPr>
                <w:noProof/>
                <w:webHidden/>
              </w:rPr>
              <w:tab/>
            </w:r>
            <w:r w:rsidR="00892601">
              <w:rPr>
                <w:noProof/>
                <w:webHidden/>
              </w:rPr>
              <w:fldChar w:fldCharType="begin"/>
            </w:r>
            <w:r w:rsidR="00892601">
              <w:rPr>
                <w:noProof/>
                <w:webHidden/>
              </w:rPr>
              <w:instrText xml:space="preserve"> PAGEREF _Toc461121038 \h </w:instrText>
            </w:r>
            <w:r w:rsidR="00892601">
              <w:rPr>
                <w:noProof/>
                <w:webHidden/>
              </w:rPr>
            </w:r>
            <w:r w:rsidR="00892601">
              <w:rPr>
                <w:noProof/>
                <w:webHidden/>
              </w:rPr>
              <w:fldChar w:fldCharType="separate"/>
            </w:r>
            <w:r w:rsidR="00892601">
              <w:rPr>
                <w:noProof/>
                <w:webHidden/>
              </w:rPr>
              <w:t>12</w:t>
            </w:r>
            <w:r w:rsidR="00892601">
              <w:rPr>
                <w:noProof/>
                <w:webHidden/>
              </w:rPr>
              <w:fldChar w:fldCharType="end"/>
            </w:r>
          </w:hyperlink>
        </w:p>
        <w:p w:rsidR="00892601" w:rsidRDefault="00D1392B">
          <w:pPr>
            <w:pStyle w:val="TOC2"/>
            <w:tabs>
              <w:tab w:val="left" w:pos="1100"/>
            </w:tabs>
            <w:rPr>
              <w:rFonts w:asciiTheme="minorHAnsi" w:eastAsiaTheme="minorEastAsia" w:hAnsiTheme="minorHAnsi" w:cstheme="minorBidi"/>
              <w:b w:val="0"/>
              <w:noProof/>
              <w:sz w:val="22"/>
              <w:lang w:eastAsia="en-AU"/>
            </w:rPr>
          </w:pPr>
          <w:hyperlink w:anchor="_Toc461121039" w:history="1">
            <w:r w:rsidR="00892601" w:rsidRPr="00A02F7F">
              <w:rPr>
                <w:rStyle w:val="Hyperlink"/>
                <w:noProof/>
              </w:rPr>
              <w:t>4.</w:t>
            </w:r>
            <w:r w:rsidR="00892601">
              <w:rPr>
                <w:rFonts w:asciiTheme="minorHAnsi" w:eastAsiaTheme="minorEastAsia" w:hAnsiTheme="minorHAnsi" w:cstheme="minorBidi"/>
                <w:b w:val="0"/>
                <w:noProof/>
                <w:sz w:val="22"/>
                <w:lang w:eastAsia="en-AU"/>
              </w:rPr>
              <w:tab/>
            </w:r>
            <w:r w:rsidR="00892601" w:rsidRPr="00A02F7F">
              <w:rPr>
                <w:rStyle w:val="Hyperlink"/>
                <w:noProof/>
              </w:rPr>
              <w:t>Pharmacokinetics</w:t>
            </w:r>
            <w:r w:rsidR="00892601">
              <w:rPr>
                <w:noProof/>
                <w:webHidden/>
              </w:rPr>
              <w:tab/>
            </w:r>
            <w:r w:rsidR="00892601">
              <w:rPr>
                <w:noProof/>
                <w:webHidden/>
              </w:rPr>
              <w:fldChar w:fldCharType="begin"/>
            </w:r>
            <w:r w:rsidR="00892601">
              <w:rPr>
                <w:noProof/>
                <w:webHidden/>
              </w:rPr>
              <w:instrText xml:space="preserve"> PAGEREF _Toc461121039 \h </w:instrText>
            </w:r>
            <w:r w:rsidR="00892601">
              <w:rPr>
                <w:noProof/>
                <w:webHidden/>
              </w:rPr>
            </w:r>
            <w:r w:rsidR="00892601">
              <w:rPr>
                <w:noProof/>
                <w:webHidden/>
              </w:rPr>
              <w:fldChar w:fldCharType="separate"/>
            </w:r>
            <w:r w:rsidR="00892601">
              <w:rPr>
                <w:noProof/>
                <w:webHidden/>
              </w:rPr>
              <w:t>12</w:t>
            </w:r>
            <w:r w:rsidR="00892601">
              <w:rPr>
                <w:noProof/>
                <w:webHidden/>
              </w:rPr>
              <w:fldChar w:fldCharType="end"/>
            </w:r>
          </w:hyperlink>
        </w:p>
        <w:p w:rsidR="00892601" w:rsidRDefault="00D1392B">
          <w:pPr>
            <w:pStyle w:val="TOC3"/>
            <w:tabs>
              <w:tab w:val="left" w:pos="1760"/>
            </w:tabs>
            <w:rPr>
              <w:rFonts w:asciiTheme="minorHAnsi" w:eastAsiaTheme="minorEastAsia" w:hAnsiTheme="minorHAnsi" w:cstheme="minorBidi"/>
              <w:noProof/>
              <w:lang w:eastAsia="en-AU"/>
            </w:rPr>
          </w:pPr>
          <w:hyperlink w:anchor="_Toc461121040" w:history="1">
            <w:r w:rsidR="00892601" w:rsidRPr="00A02F7F">
              <w:rPr>
                <w:rStyle w:val="Hyperlink"/>
                <w:noProof/>
              </w:rPr>
              <w:t>4.1.</w:t>
            </w:r>
            <w:r w:rsidR="00892601">
              <w:rPr>
                <w:rFonts w:asciiTheme="minorHAnsi" w:eastAsiaTheme="minorEastAsia" w:hAnsiTheme="minorHAnsi" w:cstheme="minorBidi"/>
                <w:noProof/>
                <w:lang w:eastAsia="en-AU"/>
              </w:rPr>
              <w:tab/>
            </w:r>
            <w:r w:rsidR="00892601" w:rsidRPr="00A02F7F">
              <w:rPr>
                <w:rStyle w:val="Hyperlink"/>
                <w:noProof/>
              </w:rPr>
              <w:t>Studies providing pharmacokinetic data</w:t>
            </w:r>
            <w:r w:rsidR="00892601">
              <w:rPr>
                <w:noProof/>
                <w:webHidden/>
              </w:rPr>
              <w:tab/>
            </w:r>
            <w:r w:rsidR="00892601">
              <w:rPr>
                <w:noProof/>
                <w:webHidden/>
              </w:rPr>
              <w:fldChar w:fldCharType="begin"/>
            </w:r>
            <w:r w:rsidR="00892601">
              <w:rPr>
                <w:noProof/>
                <w:webHidden/>
              </w:rPr>
              <w:instrText xml:space="preserve"> PAGEREF _Toc461121040 \h </w:instrText>
            </w:r>
            <w:r w:rsidR="00892601">
              <w:rPr>
                <w:noProof/>
                <w:webHidden/>
              </w:rPr>
            </w:r>
            <w:r w:rsidR="00892601">
              <w:rPr>
                <w:noProof/>
                <w:webHidden/>
              </w:rPr>
              <w:fldChar w:fldCharType="separate"/>
            </w:r>
            <w:r w:rsidR="00892601">
              <w:rPr>
                <w:noProof/>
                <w:webHidden/>
              </w:rPr>
              <w:t>12</w:t>
            </w:r>
            <w:r w:rsidR="00892601">
              <w:rPr>
                <w:noProof/>
                <w:webHidden/>
              </w:rPr>
              <w:fldChar w:fldCharType="end"/>
            </w:r>
          </w:hyperlink>
        </w:p>
        <w:p w:rsidR="00892601" w:rsidRDefault="00D1392B">
          <w:pPr>
            <w:pStyle w:val="TOC3"/>
            <w:tabs>
              <w:tab w:val="left" w:pos="1760"/>
            </w:tabs>
            <w:rPr>
              <w:rFonts w:asciiTheme="minorHAnsi" w:eastAsiaTheme="minorEastAsia" w:hAnsiTheme="minorHAnsi" w:cstheme="minorBidi"/>
              <w:noProof/>
              <w:lang w:eastAsia="en-AU"/>
            </w:rPr>
          </w:pPr>
          <w:hyperlink w:anchor="_Toc461121041" w:history="1">
            <w:r w:rsidR="00892601" w:rsidRPr="00A02F7F">
              <w:rPr>
                <w:rStyle w:val="Hyperlink"/>
                <w:noProof/>
              </w:rPr>
              <w:t>4.2.</w:t>
            </w:r>
            <w:r w:rsidR="00892601">
              <w:rPr>
                <w:rFonts w:asciiTheme="minorHAnsi" w:eastAsiaTheme="minorEastAsia" w:hAnsiTheme="minorHAnsi" w:cstheme="minorBidi"/>
                <w:noProof/>
                <w:lang w:eastAsia="en-AU"/>
              </w:rPr>
              <w:tab/>
            </w:r>
            <w:r w:rsidR="00892601" w:rsidRPr="00A02F7F">
              <w:rPr>
                <w:rStyle w:val="Hyperlink"/>
                <w:noProof/>
              </w:rPr>
              <w:t>Summary of pharmacokinetics</w:t>
            </w:r>
            <w:r w:rsidR="00892601">
              <w:rPr>
                <w:noProof/>
                <w:webHidden/>
              </w:rPr>
              <w:tab/>
            </w:r>
            <w:r w:rsidR="00892601">
              <w:rPr>
                <w:noProof/>
                <w:webHidden/>
              </w:rPr>
              <w:fldChar w:fldCharType="begin"/>
            </w:r>
            <w:r w:rsidR="00892601">
              <w:rPr>
                <w:noProof/>
                <w:webHidden/>
              </w:rPr>
              <w:instrText xml:space="preserve"> PAGEREF _Toc461121041 \h </w:instrText>
            </w:r>
            <w:r w:rsidR="00892601">
              <w:rPr>
                <w:noProof/>
                <w:webHidden/>
              </w:rPr>
            </w:r>
            <w:r w:rsidR="00892601">
              <w:rPr>
                <w:noProof/>
                <w:webHidden/>
              </w:rPr>
              <w:fldChar w:fldCharType="separate"/>
            </w:r>
            <w:r w:rsidR="00892601">
              <w:rPr>
                <w:noProof/>
                <w:webHidden/>
              </w:rPr>
              <w:t>14</w:t>
            </w:r>
            <w:r w:rsidR="00892601">
              <w:rPr>
                <w:noProof/>
                <w:webHidden/>
              </w:rPr>
              <w:fldChar w:fldCharType="end"/>
            </w:r>
          </w:hyperlink>
        </w:p>
        <w:p w:rsidR="00892601" w:rsidRDefault="00D1392B">
          <w:pPr>
            <w:pStyle w:val="TOC3"/>
            <w:tabs>
              <w:tab w:val="left" w:pos="1760"/>
            </w:tabs>
            <w:rPr>
              <w:rFonts w:asciiTheme="minorHAnsi" w:eastAsiaTheme="minorEastAsia" w:hAnsiTheme="minorHAnsi" w:cstheme="minorBidi"/>
              <w:noProof/>
              <w:lang w:eastAsia="en-AU"/>
            </w:rPr>
          </w:pPr>
          <w:hyperlink w:anchor="_Toc461121042" w:history="1">
            <w:r w:rsidR="00892601" w:rsidRPr="00A02F7F">
              <w:rPr>
                <w:rStyle w:val="Hyperlink"/>
                <w:noProof/>
              </w:rPr>
              <w:t>4.3.</w:t>
            </w:r>
            <w:r w:rsidR="00892601">
              <w:rPr>
                <w:rFonts w:asciiTheme="minorHAnsi" w:eastAsiaTheme="minorEastAsia" w:hAnsiTheme="minorHAnsi" w:cstheme="minorBidi"/>
                <w:noProof/>
                <w:lang w:eastAsia="en-AU"/>
              </w:rPr>
              <w:tab/>
            </w:r>
            <w:r w:rsidR="00892601" w:rsidRPr="00A02F7F">
              <w:rPr>
                <w:rStyle w:val="Hyperlink"/>
                <w:noProof/>
              </w:rPr>
              <w:t>Evaluator’s overall conclusions on pharmacokinetics</w:t>
            </w:r>
            <w:r w:rsidR="00892601">
              <w:rPr>
                <w:noProof/>
                <w:webHidden/>
              </w:rPr>
              <w:tab/>
            </w:r>
            <w:r w:rsidR="00892601">
              <w:rPr>
                <w:noProof/>
                <w:webHidden/>
              </w:rPr>
              <w:fldChar w:fldCharType="begin"/>
            </w:r>
            <w:r w:rsidR="00892601">
              <w:rPr>
                <w:noProof/>
                <w:webHidden/>
              </w:rPr>
              <w:instrText xml:space="preserve"> PAGEREF _Toc461121042 \h </w:instrText>
            </w:r>
            <w:r w:rsidR="00892601">
              <w:rPr>
                <w:noProof/>
                <w:webHidden/>
              </w:rPr>
            </w:r>
            <w:r w:rsidR="00892601">
              <w:rPr>
                <w:noProof/>
                <w:webHidden/>
              </w:rPr>
              <w:fldChar w:fldCharType="separate"/>
            </w:r>
            <w:r w:rsidR="00892601">
              <w:rPr>
                <w:noProof/>
                <w:webHidden/>
              </w:rPr>
              <w:t>37</w:t>
            </w:r>
            <w:r w:rsidR="00892601">
              <w:rPr>
                <w:noProof/>
                <w:webHidden/>
              </w:rPr>
              <w:fldChar w:fldCharType="end"/>
            </w:r>
          </w:hyperlink>
        </w:p>
        <w:p w:rsidR="00892601" w:rsidRDefault="00D1392B">
          <w:pPr>
            <w:pStyle w:val="TOC2"/>
            <w:tabs>
              <w:tab w:val="left" w:pos="1100"/>
            </w:tabs>
            <w:rPr>
              <w:rFonts w:asciiTheme="minorHAnsi" w:eastAsiaTheme="minorEastAsia" w:hAnsiTheme="minorHAnsi" w:cstheme="minorBidi"/>
              <w:b w:val="0"/>
              <w:noProof/>
              <w:sz w:val="22"/>
              <w:lang w:eastAsia="en-AU"/>
            </w:rPr>
          </w:pPr>
          <w:hyperlink w:anchor="_Toc461121043" w:history="1">
            <w:r w:rsidR="00892601" w:rsidRPr="00A02F7F">
              <w:rPr>
                <w:rStyle w:val="Hyperlink"/>
                <w:noProof/>
              </w:rPr>
              <w:t>5.</w:t>
            </w:r>
            <w:r w:rsidR="00892601">
              <w:rPr>
                <w:rFonts w:asciiTheme="minorHAnsi" w:eastAsiaTheme="minorEastAsia" w:hAnsiTheme="minorHAnsi" w:cstheme="minorBidi"/>
                <w:b w:val="0"/>
                <w:noProof/>
                <w:sz w:val="22"/>
                <w:lang w:eastAsia="en-AU"/>
              </w:rPr>
              <w:tab/>
            </w:r>
            <w:r w:rsidR="00892601" w:rsidRPr="00A02F7F">
              <w:rPr>
                <w:rStyle w:val="Hyperlink"/>
                <w:noProof/>
              </w:rPr>
              <w:t>Pharmacodynamics</w:t>
            </w:r>
            <w:r w:rsidR="00892601">
              <w:rPr>
                <w:noProof/>
                <w:webHidden/>
              </w:rPr>
              <w:tab/>
            </w:r>
            <w:r w:rsidR="00892601">
              <w:rPr>
                <w:noProof/>
                <w:webHidden/>
              </w:rPr>
              <w:fldChar w:fldCharType="begin"/>
            </w:r>
            <w:r w:rsidR="00892601">
              <w:rPr>
                <w:noProof/>
                <w:webHidden/>
              </w:rPr>
              <w:instrText xml:space="preserve"> PAGEREF _Toc461121043 \h </w:instrText>
            </w:r>
            <w:r w:rsidR="00892601">
              <w:rPr>
                <w:noProof/>
                <w:webHidden/>
              </w:rPr>
            </w:r>
            <w:r w:rsidR="00892601">
              <w:rPr>
                <w:noProof/>
                <w:webHidden/>
              </w:rPr>
              <w:fldChar w:fldCharType="separate"/>
            </w:r>
            <w:r w:rsidR="00892601">
              <w:rPr>
                <w:noProof/>
                <w:webHidden/>
              </w:rPr>
              <w:t>41</w:t>
            </w:r>
            <w:r w:rsidR="00892601">
              <w:rPr>
                <w:noProof/>
                <w:webHidden/>
              </w:rPr>
              <w:fldChar w:fldCharType="end"/>
            </w:r>
          </w:hyperlink>
        </w:p>
        <w:p w:rsidR="00892601" w:rsidRDefault="00D1392B">
          <w:pPr>
            <w:pStyle w:val="TOC3"/>
            <w:tabs>
              <w:tab w:val="left" w:pos="1760"/>
            </w:tabs>
            <w:rPr>
              <w:rFonts w:asciiTheme="minorHAnsi" w:eastAsiaTheme="minorEastAsia" w:hAnsiTheme="minorHAnsi" w:cstheme="minorBidi"/>
              <w:noProof/>
              <w:lang w:eastAsia="en-AU"/>
            </w:rPr>
          </w:pPr>
          <w:hyperlink w:anchor="_Toc461121044" w:history="1">
            <w:r w:rsidR="00892601" w:rsidRPr="00A02F7F">
              <w:rPr>
                <w:rStyle w:val="Hyperlink"/>
                <w:noProof/>
              </w:rPr>
              <w:t>5.1.</w:t>
            </w:r>
            <w:r w:rsidR="00892601">
              <w:rPr>
                <w:rFonts w:asciiTheme="minorHAnsi" w:eastAsiaTheme="minorEastAsia" w:hAnsiTheme="minorHAnsi" w:cstheme="minorBidi"/>
                <w:noProof/>
                <w:lang w:eastAsia="en-AU"/>
              </w:rPr>
              <w:tab/>
            </w:r>
            <w:r w:rsidR="00892601" w:rsidRPr="00A02F7F">
              <w:rPr>
                <w:rStyle w:val="Hyperlink"/>
                <w:noProof/>
              </w:rPr>
              <w:t>Studies providing pharmacodynamic data</w:t>
            </w:r>
            <w:r w:rsidR="00892601">
              <w:rPr>
                <w:noProof/>
                <w:webHidden/>
              </w:rPr>
              <w:tab/>
            </w:r>
            <w:r w:rsidR="00892601">
              <w:rPr>
                <w:noProof/>
                <w:webHidden/>
              </w:rPr>
              <w:fldChar w:fldCharType="begin"/>
            </w:r>
            <w:r w:rsidR="00892601">
              <w:rPr>
                <w:noProof/>
                <w:webHidden/>
              </w:rPr>
              <w:instrText xml:space="preserve"> PAGEREF _Toc461121044 \h </w:instrText>
            </w:r>
            <w:r w:rsidR="00892601">
              <w:rPr>
                <w:noProof/>
                <w:webHidden/>
              </w:rPr>
            </w:r>
            <w:r w:rsidR="00892601">
              <w:rPr>
                <w:noProof/>
                <w:webHidden/>
              </w:rPr>
              <w:fldChar w:fldCharType="separate"/>
            </w:r>
            <w:r w:rsidR="00892601">
              <w:rPr>
                <w:noProof/>
                <w:webHidden/>
              </w:rPr>
              <w:t>41</w:t>
            </w:r>
            <w:r w:rsidR="00892601">
              <w:rPr>
                <w:noProof/>
                <w:webHidden/>
              </w:rPr>
              <w:fldChar w:fldCharType="end"/>
            </w:r>
          </w:hyperlink>
        </w:p>
        <w:p w:rsidR="00892601" w:rsidRDefault="00D1392B">
          <w:pPr>
            <w:pStyle w:val="TOC3"/>
            <w:tabs>
              <w:tab w:val="left" w:pos="1760"/>
            </w:tabs>
            <w:rPr>
              <w:rFonts w:asciiTheme="minorHAnsi" w:eastAsiaTheme="minorEastAsia" w:hAnsiTheme="minorHAnsi" w:cstheme="minorBidi"/>
              <w:noProof/>
              <w:lang w:eastAsia="en-AU"/>
            </w:rPr>
          </w:pPr>
          <w:hyperlink w:anchor="_Toc461121045" w:history="1">
            <w:r w:rsidR="00892601" w:rsidRPr="00A02F7F">
              <w:rPr>
                <w:rStyle w:val="Hyperlink"/>
                <w:noProof/>
              </w:rPr>
              <w:t>5.2.</w:t>
            </w:r>
            <w:r w:rsidR="00892601">
              <w:rPr>
                <w:rFonts w:asciiTheme="minorHAnsi" w:eastAsiaTheme="minorEastAsia" w:hAnsiTheme="minorHAnsi" w:cstheme="minorBidi"/>
                <w:noProof/>
                <w:lang w:eastAsia="en-AU"/>
              </w:rPr>
              <w:tab/>
            </w:r>
            <w:r w:rsidR="00892601" w:rsidRPr="00A02F7F">
              <w:rPr>
                <w:rStyle w:val="Hyperlink"/>
                <w:noProof/>
              </w:rPr>
              <w:t>Summary of pharmacodynamics</w:t>
            </w:r>
            <w:r w:rsidR="00892601">
              <w:rPr>
                <w:noProof/>
                <w:webHidden/>
              </w:rPr>
              <w:tab/>
            </w:r>
            <w:r w:rsidR="00892601">
              <w:rPr>
                <w:noProof/>
                <w:webHidden/>
              </w:rPr>
              <w:fldChar w:fldCharType="begin"/>
            </w:r>
            <w:r w:rsidR="00892601">
              <w:rPr>
                <w:noProof/>
                <w:webHidden/>
              </w:rPr>
              <w:instrText xml:space="preserve"> PAGEREF _Toc461121045 \h </w:instrText>
            </w:r>
            <w:r w:rsidR="00892601">
              <w:rPr>
                <w:noProof/>
                <w:webHidden/>
              </w:rPr>
            </w:r>
            <w:r w:rsidR="00892601">
              <w:rPr>
                <w:noProof/>
                <w:webHidden/>
              </w:rPr>
              <w:fldChar w:fldCharType="separate"/>
            </w:r>
            <w:r w:rsidR="00892601">
              <w:rPr>
                <w:noProof/>
                <w:webHidden/>
              </w:rPr>
              <w:t>42</w:t>
            </w:r>
            <w:r w:rsidR="00892601">
              <w:rPr>
                <w:noProof/>
                <w:webHidden/>
              </w:rPr>
              <w:fldChar w:fldCharType="end"/>
            </w:r>
          </w:hyperlink>
        </w:p>
        <w:p w:rsidR="00892601" w:rsidRDefault="00D1392B">
          <w:pPr>
            <w:pStyle w:val="TOC3"/>
            <w:tabs>
              <w:tab w:val="left" w:pos="1760"/>
            </w:tabs>
            <w:rPr>
              <w:rFonts w:asciiTheme="minorHAnsi" w:eastAsiaTheme="minorEastAsia" w:hAnsiTheme="minorHAnsi" w:cstheme="minorBidi"/>
              <w:noProof/>
              <w:lang w:eastAsia="en-AU"/>
            </w:rPr>
          </w:pPr>
          <w:hyperlink w:anchor="_Toc461121046" w:history="1">
            <w:r w:rsidR="00892601" w:rsidRPr="00A02F7F">
              <w:rPr>
                <w:rStyle w:val="Hyperlink"/>
                <w:noProof/>
              </w:rPr>
              <w:t>5.3.</w:t>
            </w:r>
            <w:r w:rsidR="00892601">
              <w:rPr>
                <w:rFonts w:asciiTheme="minorHAnsi" w:eastAsiaTheme="minorEastAsia" w:hAnsiTheme="minorHAnsi" w:cstheme="minorBidi"/>
                <w:noProof/>
                <w:lang w:eastAsia="en-AU"/>
              </w:rPr>
              <w:tab/>
            </w:r>
            <w:r w:rsidR="00892601" w:rsidRPr="00A02F7F">
              <w:rPr>
                <w:rStyle w:val="Hyperlink"/>
                <w:noProof/>
              </w:rPr>
              <w:t>Evaluator’s overall conclusions on pharmacodynamics</w:t>
            </w:r>
            <w:r w:rsidR="00892601">
              <w:rPr>
                <w:noProof/>
                <w:webHidden/>
              </w:rPr>
              <w:tab/>
            </w:r>
            <w:r w:rsidR="00892601">
              <w:rPr>
                <w:noProof/>
                <w:webHidden/>
              </w:rPr>
              <w:fldChar w:fldCharType="begin"/>
            </w:r>
            <w:r w:rsidR="00892601">
              <w:rPr>
                <w:noProof/>
                <w:webHidden/>
              </w:rPr>
              <w:instrText xml:space="preserve"> PAGEREF _Toc461121046 \h </w:instrText>
            </w:r>
            <w:r w:rsidR="00892601">
              <w:rPr>
                <w:noProof/>
                <w:webHidden/>
              </w:rPr>
            </w:r>
            <w:r w:rsidR="00892601">
              <w:rPr>
                <w:noProof/>
                <w:webHidden/>
              </w:rPr>
              <w:fldChar w:fldCharType="separate"/>
            </w:r>
            <w:r w:rsidR="00892601">
              <w:rPr>
                <w:noProof/>
                <w:webHidden/>
              </w:rPr>
              <w:t>56</w:t>
            </w:r>
            <w:r w:rsidR="00892601">
              <w:rPr>
                <w:noProof/>
                <w:webHidden/>
              </w:rPr>
              <w:fldChar w:fldCharType="end"/>
            </w:r>
          </w:hyperlink>
        </w:p>
        <w:p w:rsidR="00892601" w:rsidRDefault="00D1392B">
          <w:pPr>
            <w:pStyle w:val="TOC2"/>
            <w:tabs>
              <w:tab w:val="left" w:pos="1100"/>
            </w:tabs>
            <w:rPr>
              <w:rFonts w:asciiTheme="minorHAnsi" w:eastAsiaTheme="minorEastAsia" w:hAnsiTheme="minorHAnsi" w:cstheme="minorBidi"/>
              <w:b w:val="0"/>
              <w:noProof/>
              <w:sz w:val="22"/>
              <w:lang w:eastAsia="en-AU"/>
            </w:rPr>
          </w:pPr>
          <w:hyperlink w:anchor="_Toc461121047" w:history="1">
            <w:r w:rsidR="00892601" w:rsidRPr="00A02F7F">
              <w:rPr>
                <w:rStyle w:val="Hyperlink"/>
                <w:noProof/>
              </w:rPr>
              <w:t>6.</w:t>
            </w:r>
            <w:r w:rsidR="00892601">
              <w:rPr>
                <w:rFonts w:asciiTheme="minorHAnsi" w:eastAsiaTheme="minorEastAsia" w:hAnsiTheme="minorHAnsi" w:cstheme="minorBidi"/>
                <w:b w:val="0"/>
                <w:noProof/>
                <w:sz w:val="22"/>
                <w:lang w:eastAsia="en-AU"/>
              </w:rPr>
              <w:tab/>
            </w:r>
            <w:r w:rsidR="00892601" w:rsidRPr="00A02F7F">
              <w:rPr>
                <w:rStyle w:val="Hyperlink"/>
                <w:noProof/>
              </w:rPr>
              <w:t>Dosage selection for the pivotal studies</w:t>
            </w:r>
            <w:r w:rsidR="00892601">
              <w:rPr>
                <w:noProof/>
                <w:webHidden/>
              </w:rPr>
              <w:tab/>
            </w:r>
            <w:r w:rsidR="00892601">
              <w:rPr>
                <w:noProof/>
                <w:webHidden/>
              </w:rPr>
              <w:fldChar w:fldCharType="begin"/>
            </w:r>
            <w:r w:rsidR="00892601">
              <w:rPr>
                <w:noProof/>
                <w:webHidden/>
              </w:rPr>
              <w:instrText xml:space="preserve"> PAGEREF _Toc461121047 \h </w:instrText>
            </w:r>
            <w:r w:rsidR="00892601">
              <w:rPr>
                <w:noProof/>
                <w:webHidden/>
              </w:rPr>
            </w:r>
            <w:r w:rsidR="00892601">
              <w:rPr>
                <w:noProof/>
                <w:webHidden/>
              </w:rPr>
              <w:fldChar w:fldCharType="separate"/>
            </w:r>
            <w:r w:rsidR="00892601">
              <w:rPr>
                <w:noProof/>
                <w:webHidden/>
              </w:rPr>
              <w:t>59</w:t>
            </w:r>
            <w:r w:rsidR="00892601">
              <w:rPr>
                <w:noProof/>
                <w:webHidden/>
              </w:rPr>
              <w:fldChar w:fldCharType="end"/>
            </w:r>
          </w:hyperlink>
        </w:p>
        <w:p w:rsidR="00892601" w:rsidRDefault="00D1392B">
          <w:pPr>
            <w:pStyle w:val="TOC2"/>
            <w:tabs>
              <w:tab w:val="left" w:pos="1100"/>
            </w:tabs>
            <w:rPr>
              <w:rFonts w:asciiTheme="minorHAnsi" w:eastAsiaTheme="minorEastAsia" w:hAnsiTheme="minorHAnsi" w:cstheme="minorBidi"/>
              <w:b w:val="0"/>
              <w:noProof/>
              <w:sz w:val="22"/>
              <w:lang w:eastAsia="en-AU"/>
            </w:rPr>
          </w:pPr>
          <w:hyperlink w:anchor="_Toc461121048" w:history="1">
            <w:r w:rsidR="00892601" w:rsidRPr="00A02F7F">
              <w:rPr>
                <w:rStyle w:val="Hyperlink"/>
                <w:noProof/>
              </w:rPr>
              <w:t>7.</w:t>
            </w:r>
            <w:r w:rsidR="00892601">
              <w:rPr>
                <w:rFonts w:asciiTheme="minorHAnsi" w:eastAsiaTheme="minorEastAsia" w:hAnsiTheme="minorHAnsi" w:cstheme="minorBidi"/>
                <w:b w:val="0"/>
                <w:noProof/>
                <w:sz w:val="22"/>
                <w:lang w:eastAsia="en-AU"/>
              </w:rPr>
              <w:tab/>
            </w:r>
            <w:r w:rsidR="00892601" w:rsidRPr="00A02F7F">
              <w:rPr>
                <w:rStyle w:val="Hyperlink"/>
                <w:noProof/>
              </w:rPr>
              <w:t>Clinical efficacy</w:t>
            </w:r>
            <w:r w:rsidR="00892601">
              <w:rPr>
                <w:noProof/>
                <w:webHidden/>
              </w:rPr>
              <w:tab/>
            </w:r>
            <w:r w:rsidR="00892601">
              <w:rPr>
                <w:noProof/>
                <w:webHidden/>
              </w:rPr>
              <w:fldChar w:fldCharType="begin"/>
            </w:r>
            <w:r w:rsidR="00892601">
              <w:rPr>
                <w:noProof/>
                <w:webHidden/>
              </w:rPr>
              <w:instrText xml:space="preserve"> PAGEREF _Toc461121048 \h </w:instrText>
            </w:r>
            <w:r w:rsidR="00892601">
              <w:rPr>
                <w:noProof/>
                <w:webHidden/>
              </w:rPr>
            </w:r>
            <w:r w:rsidR="00892601">
              <w:rPr>
                <w:noProof/>
                <w:webHidden/>
              </w:rPr>
              <w:fldChar w:fldCharType="separate"/>
            </w:r>
            <w:r w:rsidR="00892601">
              <w:rPr>
                <w:noProof/>
                <w:webHidden/>
              </w:rPr>
              <w:t>61</w:t>
            </w:r>
            <w:r w:rsidR="00892601">
              <w:rPr>
                <w:noProof/>
                <w:webHidden/>
              </w:rPr>
              <w:fldChar w:fldCharType="end"/>
            </w:r>
          </w:hyperlink>
        </w:p>
        <w:p w:rsidR="00892601" w:rsidRDefault="00D1392B">
          <w:pPr>
            <w:pStyle w:val="TOC3"/>
            <w:tabs>
              <w:tab w:val="left" w:pos="1760"/>
            </w:tabs>
            <w:rPr>
              <w:rFonts w:asciiTheme="minorHAnsi" w:eastAsiaTheme="minorEastAsia" w:hAnsiTheme="minorHAnsi" w:cstheme="minorBidi"/>
              <w:noProof/>
              <w:lang w:eastAsia="en-AU"/>
            </w:rPr>
          </w:pPr>
          <w:hyperlink w:anchor="_Toc461121049" w:history="1">
            <w:r w:rsidR="00892601" w:rsidRPr="00A02F7F">
              <w:rPr>
                <w:rStyle w:val="Hyperlink"/>
                <w:noProof/>
              </w:rPr>
              <w:t>7.1.</w:t>
            </w:r>
            <w:r w:rsidR="00892601">
              <w:rPr>
                <w:rFonts w:asciiTheme="minorHAnsi" w:eastAsiaTheme="minorEastAsia" w:hAnsiTheme="minorHAnsi" w:cstheme="minorBidi"/>
                <w:noProof/>
                <w:lang w:eastAsia="en-AU"/>
              </w:rPr>
              <w:tab/>
            </w:r>
            <w:r w:rsidR="00892601" w:rsidRPr="00A02F7F">
              <w:rPr>
                <w:rStyle w:val="Hyperlink"/>
                <w:noProof/>
              </w:rPr>
              <w:t>Pivotal efficacy studies</w:t>
            </w:r>
            <w:r w:rsidR="00892601">
              <w:rPr>
                <w:noProof/>
                <w:webHidden/>
              </w:rPr>
              <w:tab/>
            </w:r>
            <w:r w:rsidR="00892601">
              <w:rPr>
                <w:noProof/>
                <w:webHidden/>
              </w:rPr>
              <w:fldChar w:fldCharType="begin"/>
            </w:r>
            <w:r w:rsidR="00892601">
              <w:rPr>
                <w:noProof/>
                <w:webHidden/>
              </w:rPr>
              <w:instrText xml:space="preserve"> PAGEREF _Toc461121049 \h </w:instrText>
            </w:r>
            <w:r w:rsidR="00892601">
              <w:rPr>
                <w:noProof/>
                <w:webHidden/>
              </w:rPr>
            </w:r>
            <w:r w:rsidR="00892601">
              <w:rPr>
                <w:noProof/>
                <w:webHidden/>
              </w:rPr>
              <w:fldChar w:fldCharType="separate"/>
            </w:r>
            <w:r w:rsidR="00892601">
              <w:rPr>
                <w:noProof/>
                <w:webHidden/>
              </w:rPr>
              <w:t>61</w:t>
            </w:r>
            <w:r w:rsidR="00892601">
              <w:rPr>
                <w:noProof/>
                <w:webHidden/>
              </w:rPr>
              <w:fldChar w:fldCharType="end"/>
            </w:r>
          </w:hyperlink>
        </w:p>
        <w:p w:rsidR="00892601" w:rsidRDefault="00D1392B">
          <w:pPr>
            <w:pStyle w:val="TOC3"/>
            <w:tabs>
              <w:tab w:val="left" w:pos="1760"/>
            </w:tabs>
            <w:rPr>
              <w:rFonts w:asciiTheme="minorHAnsi" w:eastAsiaTheme="minorEastAsia" w:hAnsiTheme="minorHAnsi" w:cstheme="minorBidi"/>
              <w:noProof/>
              <w:lang w:eastAsia="en-AU"/>
            </w:rPr>
          </w:pPr>
          <w:hyperlink w:anchor="_Toc461121050" w:history="1">
            <w:r w:rsidR="00892601" w:rsidRPr="00A02F7F">
              <w:rPr>
                <w:rStyle w:val="Hyperlink"/>
                <w:noProof/>
              </w:rPr>
              <w:t>7.2.</w:t>
            </w:r>
            <w:r w:rsidR="00892601">
              <w:rPr>
                <w:rFonts w:asciiTheme="minorHAnsi" w:eastAsiaTheme="minorEastAsia" w:hAnsiTheme="minorHAnsi" w:cstheme="minorBidi"/>
                <w:noProof/>
                <w:lang w:eastAsia="en-AU"/>
              </w:rPr>
              <w:tab/>
            </w:r>
            <w:r w:rsidR="00892601" w:rsidRPr="00A02F7F">
              <w:rPr>
                <w:rStyle w:val="Hyperlink"/>
                <w:noProof/>
              </w:rPr>
              <w:t>Other efficacy studies</w:t>
            </w:r>
            <w:r w:rsidR="00892601">
              <w:rPr>
                <w:noProof/>
                <w:webHidden/>
              </w:rPr>
              <w:tab/>
            </w:r>
            <w:r w:rsidR="00892601">
              <w:rPr>
                <w:noProof/>
                <w:webHidden/>
              </w:rPr>
              <w:fldChar w:fldCharType="begin"/>
            </w:r>
            <w:r w:rsidR="00892601">
              <w:rPr>
                <w:noProof/>
                <w:webHidden/>
              </w:rPr>
              <w:instrText xml:space="preserve"> PAGEREF _Toc461121050 \h </w:instrText>
            </w:r>
            <w:r w:rsidR="00892601">
              <w:rPr>
                <w:noProof/>
                <w:webHidden/>
              </w:rPr>
            </w:r>
            <w:r w:rsidR="00892601">
              <w:rPr>
                <w:noProof/>
                <w:webHidden/>
              </w:rPr>
              <w:fldChar w:fldCharType="separate"/>
            </w:r>
            <w:r w:rsidR="00892601">
              <w:rPr>
                <w:noProof/>
                <w:webHidden/>
              </w:rPr>
              <w:t>94</w:t>
            </w:r>
            <w:r w:rsidR="00892601">
              <w:rPr>
                <w:noProof/>
                <w:webHidden/>
              </w:rPr>
              <w:fldChar w:fldCharType="end"/>
            </w:r>
          </w:hyperlink>
        </w:p>
        <w:p w:rsidR="00892601" w:rsidRDefault="00D1392B">
          <w:pPr>
            <w:pStyle w:val="TOC3"/>
            <w:tabs>
              <w:tab w:val="left" w:pos="1760"/>
            </w:tabs>
            <w:rPr>
              <w:rFonts w:asciiTheme="minorHAnsi" w:eastAsiaTheme="minorEastAsia" w:hAnsiTheme="minorHAnsi" w:cstheme="minorBidi"/>
              <w:noProof/>
              <w:lang w:eastAsia="en-AU"/>
            </w:rPr>
          </w:pPr>
          <w:hyperlink w:anchor="_Toc461121051" w:history="1">
            <w:r w:rsidR="00892601" w:rsidRPr="00A02F7F">
              <w:rPr>
                <w:rStyle w:val="Hyperlink"/>
                <w:noProof/>
              </w:rPr>
              <w:t>7.3.</w:t>
            </w:r>
            <w:r w:rsidR="00892601">
              <w:rPr>
                <w:rFonts w:asciiTheme="minorHAnsi" w:eastAsiaTheme="minorEastAsia" w:hAnsiTheme="minorHAnsi" w:cstheme="minorBidi"/>
                <w:noProof/>
                <w:lang w:eastAsia="en-AU"/>
              </w:rPr>
              <w:tab/>
            </w:r>
            <w:r w:rsidR="00892601" w:rsidRPr="00A02F7F">
              <w:rPr>
                <w:rStyle w:val="Hyperlink"/>
                <w:noProof/>
              </w:rPr>
              <w:t>Analyses performed across trials (pooled analyses and meta-analyses)</w:t>
            </w:r>
            <w:r w:rsidR="00892601">
              <w:rPr>
                <w:noProof/>
                <w:webHidden/>
              </w:rPr>
              <w:tab/>
            </w:r>
            <w:r w:rsidR="00892601">
              <w:rPr>
                <w:noProof/>
                <w:webHidden/>
              </w:rPr>
              <w:fldChar w:fldCharType="begin"/>
            </w:r>
            <w:r w:rsidR="00892601">
              <w:rPr>
                <w:noProof/>
                <w:webHidden/>
              </w:rPr>
              <w:instrText xml:space="preserve"> PAGEREF _Toc461121051 \h </w:instrText>
            </w:r>
            <w:r w:rsidR="00892601">
              <w:rPr>
                <w:noProof/>
                <w:webHidden/>
              </w:rPr>
            </w:r>
            <w:r w:rsidR="00892601">
              <w:rPr>
                <w:noProof/>
                <w:webHidden/>
              </w:rPr>
              <w:fldChar w:fldCharType="separate"/>
            </w:r>
            <w:r w:rsidR="00892601">
              <w:rPr>
                <w:noProof/>
                <w:webHidden/>
              </w:rPr>
              <w:t>107</w:t>
            </w:r>
            <w:r w:rsidR="00892601">
              <w:rPr>
                <w:noProof/>
                <w:webHidden/>
              </w:rPr>
              <w:fldChar w:fldCharType="end"/>
            </w:r>
          </w:hyperlink>
        </w:p>
        <w:p w:rsidR="00892601" w:rsidRDefault="00D1392B">
          <w:pPr>
            <w:pStyle w:val="TOC3"/>
            <w:tabs>
              <w:tab w:val="left" w:pos="1760"/>
            </w:tabs>
            <w:rPr>
              <w:rFonts w:asciiTheme="minorHAnsi" w:eastAsiaTheme="minorEastAsia" w:hAnsiTheme="minorHAnsi" w:cstheme="minorBidi"/>
              <w:noProof/>
              <w:lang w:eastAsia="en-AU"/>
            </w:rPr>
          </w:pPr>
          <w:hyperlink w:anchor="_Toc461121052" w:history="1">
            <w:r w:rsidR="00892601" w:rsidRPr="00A02F7F">
              <w:rPr>
                <w:rStyle w:val="Hyperlink"/>
                <w:noProof/>
              </w:rPr>
              <w:t>7.4.</w:t>
            </w:r>
            <w:r w:rsidR="00892601">
              <w:rPr>
                <w:rFonts w:asciiTheme="minorHAnsi" w:eastAsiaTheme="minorEastAsia" w:hAnsiTheme="minorHAnsi" w:cstheme="minorBidi"/>
                <w:noProof/>
                <w:lang w:eastAsia="en-AU"/>
              </w:rPr>
              <w:tab/>
            </w:r>
            <w:r w:rsidR="00892601" w:rsidRPr="00A02F7F">
              <w:rPr>
                <w:rStyle w:val="Hyperlink"/>
                <w:noProof/>
              </w:rPr>
              <w:t>Evaluator’s conclusions on clinical efficacy</w:t>
            </w:r>
            <w:r w:rsidR="00892601">
              <w:rPr>
                <w:noProof/>
                <w:webHidden/>
              </w:rPr>
              <w:tab/>
            </w:r>
            <w:r w:rsidR="00892601">
              <w:rPr>
                <w:noProof/>
                <w:webHidden/>
              </w:rPr>
              <w:fldChar w:fldCharType="begin"/>
            </w:r>
            <w:r w:rsidR="00892601">
              <w:rPr>
                <w:noProof/>
                <w:webHidden/>
              </w:rPr>
              <w:instrText xml:space="preserve"> PAGEREF _Toc461121052 \h </w:instrText>
            </w:r>
            <w:r w:rsidR="00892601">
              <w:rPr>
                <w:noProof/>
                <w:webHidden/>
              </w:rPr>
            </w:r>
            <w:r w:rsidR="00892601">
              <w:rPr>
                <w:noProof/>
                <w:webHidden/>
              </w:rPr>
              <w:fldChar w:fldCharType="separate"/>
            </w:r>
            <w:r w:rsidR="00892601">
              <w:rPr>
                <w:noProof/>
                <w:webHidden/>
              </w:rPr>
              <w:t>111</w:t>
            </w:r>
            <w:r w:rsidR="00892601">
              <w:rPr>
                <w:noProof/>
                <w:webHidden/>
              </w:rPr>
              <w:fldChar w:fldCharType="end"/>
            </w:r>
          </w:hyperlink>
        </w:p>
        <w:p w:rsidR="00892601" w:rsidRDefault="00D1392B">
          <w:pPr>
            <w:pStyle w:val="TOC2"/>
            <w:tabs>
              <w:tab w:val="left" w:pos="1100"/>
            </w:tabs>
            <w:rPr>
              <w:rFonts w:asciiTheme="minorHAnsi" w:eastAsiaTheme="minorEastAsia" w:hAnsiTheme="minorHAnsi" w:cstheme="minorBidi"/>
              <w:b w:val="0"/>
              <w:noProof/>
              <w:sz w:val="22"/>
              <w:lang w:eastAsia="en-AU"/>
            </w:rPr>
          </w:pPr>
          <w:hyperlink w:anchor="_Toc461121053" w:history="1">
            <w:r w:rsidR="00892601" w:rsidRPr="00A02F7F">
              <w:rPr>
                <w:rStyle w:val="Hyperlink"/>
                <w:noProof/>
              </w:rPr>
              <w:t>8.</w:t>
            </w:r>
            <w:r w:rsidR="00892601">
              <w:rPr>
                <w:rFonts w:asciiTheme="minorHAnsi" w:eastAsiaTheme="minorEastAsia" w:hAnsiTheme="minorHAnsi" w:cstheme="minorBidi"/>
                <w:b w:val="0"/>
                <w:noProof/>
                <w:sz w:val="22"/>
                <w:lang w:eastAsia="en-AU"/>
              </w:rPr>
              <w:tab/>
            </w:r>
            <w:r w:rsidR="00892601" w:rsidRPr="00A02F7F">
              <w:rPr>
                <w:rStyle w:val="Hyperlink"/>
                <w:noProof/>
              </w:rPr>
              <w:t>Clinical safety</w:t>
            </w:r>
            <w:r w:rsidR="00892601">
              <w:rPr>
                <w:noProof/>
                <w:webHidden/>
              </w:rPr>
              <w:tab/>
            </w:r>
            <w:r w:rsidR="00892601">
              <w:rPr>
                <w:noProof/>
                <w:webHidden/>
              </w:rPr>
              <w:fldChar w:fldCharType="begin"/>
            </w:r>
            <w:r w:rsidR="00892601">
              <w:rPr>
                <w:noProof/>
                <w:webHidden/>
              </w:rPr>
              <w:instrText xml:space="preserve"> PAGEREF _Toc461121053 \h </w:instrText>
            </w:r>
            <w:r w:rsidR="00892601">
              <w:rPr>
                <w:noProof/>
                <w:webHidden/>
              </w:rPr>
            </w:r>
            <w:r w:rsidR="00892601">
              <w:rPr>
                <w:noProof/>
                <w:webHidden/>
              </w:rPr>
              <w:fldChar w:fldCharType="separate"/>
            </w:r>
            <w:r w:rsidR="00892601">
              <w:rPr>
                <w:noProof/>
                <w:webHidden/>
              </w:rPr>
              <w:t>112</w:t>
            </w:r>
            <w:r w:rsidR="00892601">
              <w:rPr>
                <w:noProof/>
                <w:webHidden/>
              </w:rPr>
              <w:fldChar w:fldCharType="end"/>
            </w:r>
          </w:hyperlink>
        </w:p>
        <w:p w:rsidR="00892601" w:rsidRDefault="00D1392B">
          <w:pPr>
            <w:pStyle w:val="TOC3"/>
            <w:tabs>
              <w:tab w:val="left" w:pos="1760"/>
            </w:tabs>
            <w:rPr>
              <w:rFonts w:asciiTheme="minorHAnsi" w:eastAsiaTheme="minorEastAsia" w:hAnsiTheme="minorHAnsi" w:cstheme="minorBidi"/>
              <w:noProof/>
              <w:lang w:eastAsia="en-AU"/>
            </w:rPr>
          </w:pPr>
          <w:hyperlink w:anchor="_Toc461121054" w:history="1">
            <w:r w:rsidR="00892601" w:rsidRPr="00A02F7F">
              <w:rPr>
                <w:rStyle w:val="Hyperlink"/>
                <w:rFonts w:eastAsiaTheme="minorHAnsi"/>
                <w:noProof/>
              </w:rPr>
              <w:t>8.1.</w:t>
            </w:r>
            <w:r w:rsidR="00892601">
              <w:rPr>
                <w:rFonts w:asciiTheme="minorHAnsi" w:eastAsiaTheme="minorEastAsia" w:hAnsiTheme="minorHAnsi" w:cstheme="minorBidi"/>
                <w:noProof/>
                <w:lang w:eastAsia="en-AU"/>
              </w:rPr>
              <w:tab/>
            </w:r>
            <w:r w:rsidR="00892601" w:rsidRPr="00A02F7F">
              <w:rPr>
                <w:rStyle w:val="Hyperlink"/>
                <w:rFonts w:eastAsiaTheme="minorHAnsi"/>
                <w:noProof/>
              </w:rPr>
              <w:t>Studies providing evaluable safety data</w:t>
            </w:r>
            <w:r w:rsidR="00892601">
              <w:rPr>
                <w:noProof/>
                <w:webHidden/>
              </w:rPr>
              <w:tab/>
            </w:r>
            <w:r w:rsidR="00892601">
              <w:rPr>
                <w:noProof/>
                <w:webHidden/>
              </w:rPr>
              <w:fldChar w:fldCharType="begin"/>
            </w:r>
            <w:r w:rsidR="00892601">
              <w:rPr>
                <w:noProof/>
                <w:webHidden/>
              </w:rPr>
              <w:instrText xml:space="preserve"> PAGEREF _Toc461121054 \h </w:instrText>
            </w:r>
            <w:r w:rsidR="00892601">
              <w:rPr>
                <w:noProof/>
                <w:webHidden/>
              </w:rPr>
            </w:r>
            <w:r w:rsidR="00892601">
              <w:rPr>
                <w:noProof/>
                <w:webHidden/>
              </w:rPr>
              <w:fldChar w:fldCharType="separate"/>
            </w:r>
            <w:r w:rsidR="00892601">
              <w:rPr>
                <w:noProof/>
                <w:webHidden/>
              </w:rPr>
              <w:t>112</w:t>
            </w:r>
            <w:r w:rsidR="00892601">
              <w:rPr>
                <w:noProof/>
                <w:webHidden/>
              </w:rPr>
              <w:fldChar w:fldCharType="end"/>
            </w:r>
          </w:hyperlink>
        </w:p>
        <w:p w:rsidR="00892601" w:rsidRDefault="00D1392B">
          <w:pPr>
            <w:pStyle w:val="TOC3"/>
            <w:tabs>
              <w:tab w:val="left" w:pos="1760"/>
            </w:tabs>
            <w:rPr>
              <w:rFonts w:asciiTheme="minorHAnsi" w:eastAsiaTheme="minorEastAsia" w:hAnsiTheme="minorHAnsi" w:cstheme="minorBidi"/>
              <w:noProof/>
              <w:lang w:eastAsia="en-AU"/>
            </w:rPr>
          </w:pPr>
          <w:hyperlink w:anchor="_Toc461121055" w:history="1">
            <w:r w:rsidR="00892601" w:rsidRPr="00A02F7F">
              <w:rPr>
                <w:rStyle w:val="Hyperlink"/>
                <w:noProof/>
              </w:rPr>
              <w:t>8.2.</w:t>
            </w:r>
            <w:r w:rsidR="00892601">
              <w:rPr>
                <w:rFonts w:asciiTheme="minorHAnsi" w:eastAsiaTheme="minorEastAsia" w:hAnsiTheme="minorHAnsi" w:cstheme="minorBidi"/>
                <w:noProof/>
                <w:lang w:eastAsia="en-AU"/>
              </w:rPr>
              <w:tab/>
            </w:r>
            <w:r w:rsidR="00892601" w:rsidRPr="00A02F7F">
              <w:rPr>
                <w:rStyle w:val="Hyperlink"/>
                <w:noProof/>
              </w:rPr>
              <w:t>Pivotal studies that assessed safety as a primary outcome</w:t>
            </w:r>
            <w:r w:rsidR="00892601">
              <w:rPr>
                <w:noProof/>
                <w:webHidden/>
              </w:rPr>
              <w:tab/>
            </w:r>
            <w:r w:rsidR="00892601">
              <w:rPr>
                <w:noProof/>
                <w:webHidden/>
              </w:rPr>
              <w:fldChar w:fldCharType="begin"/>
            </w:r>
            <w:r w:rsidR="00892601">
              <w:rPr>
                <w:noProof/>
                <w:webHidden/>
              </w:rPr>
              <w:instrText xml:space="preserve"> PAGEREF _Toc461121055 \h </w:instrText>
            </w:r>
            <w:r w:rsidR="00892601">
              <w:rPr>
                <w:noProof/>
                <w:webHidden/>
              </w:rPr>
            </w:r>
            <w:r w:rsidR="00892601">
              <w:rPr>
                <w:noProof/>
                <w:webHidden/>
              </w:rPr>
              <w:fldChar w:fldCharType="separate"/>
            </w:r>
            <w:r w:rsidR="00892601">
              <w:rPr>
                <w:noProof/>
                <w:webHidden/>
              </w:rPr>
              <w:t>115</w:t>
            </w:r>
            <w:r w:rsidR="00892601">
              <w:rPr>
                <w:noProof/>
                <w:webHidden/>
              </w:rPr>
              <w:fldChar w:fldCharType="end"/>
            </w:r>
          </w:hyperlink>
        </w:p>
        <w:p w:rsidR="00892601" w:rsidRDefault="00D1392B">
          <w:pPr>
            <w:pStyle w:val="TOC3"/>
            <w:tabs>
              <w:tab w:val="left" w:pos="1760"/>
            </w:tabs>
            <w:rPr>
              <w:rFonts w:asciiTheme="minorHAnsi" w:eastAsiaTheme="minorEastAsia" w:hAnsiTheme="minorHAnsi" w:cstheme="minorBidi"/>
              <w:noProof/>
              <w:lang w:eastAsia="en-AU"/>
            </w:rPr>
          </w:pPr>
          <w:hyperlink w:anchor="_Toc461121056" w:history="1">
            <w:r w:rsidR="00892601" w:rsidRPr="00A02F7F">
              <w:rPr>
                <w:rStyle w:val="Hyperlink"/>
                <w:noProof/>
              </w:rPr>
              <w:t>8.3.</w:t>
            </w:r>
            <w:r w:rsidR="00892601">
              <w:rPr>
                <w:rFonts w:asciiTheme="minorHAnsi" w:eastAsiaTheme="minorEastAsia" w:hAnsiTheme="minorHAnsi" w:cstheme="minorBidi"/>
                <w:noProof/>
                <w:lang w:eastAsia="en-AU"/>
              </w:rPr>
              <w:tab/>
            </w:r>
            <w:r w:rsidR="00892601" w:rsidRPr="00A02F7F">
              <w:rPr>
                <w:rStyle w:val="Hyperlink"/>
                <w:noProof/>
              </w:rPr>
              <w:t>Patient exposure</w:t>
            </w:r>
            <w:r w:rsidR="00892601">
              <w:rPr>
                <w:noProof/>
                <w:webHidden/>
              </w:rPr>
              <w:tab/>
            </w:r>
            <w:r w:rsidR="00892601">
              <w:rPr>
                <w:noProof/>
                <w:webHidden/>
              </w:rPr>
              <w:fldChar w:fldCharType="begin"/>
            </w:r>
            <w:r w:rsidR="00892601">
              <w:rPr>
                <w:noProof/>
                <w:webHidden/>
              </w:rPr>
              <w:instrText xml:space="preserve"> PAGEREF _Toc461121056 \h </w:instrText>
            </w:r>
            <w:r w:rsidR="00892601">
              <w:rPr>
                <w:noProof/>
                <w:webHidden/>
              </w:rPr>
            </w:r>
            <w:r w:rsidR="00892601">
              <w:rPr>
                <w:noProof/>
                <w:webHidden/>
              </w:rPr>
              <w:fldChar w:fldCharType="separate"/>
            </w:r>
            <w:r w:rsidR="00892601">
              <w:rPr>
                <w:noProof/>
                <w:webHidden/>
              </w:rPr>
              <w:t>115</w:t>
            </w:r>
            <w:r w:rsidR="00892601">
              <w:rPr>
                <w:noProof/>
                <w:webHidden/>
              </w:rPr>
              <w:fldChar w:fldCharType="end"/>
            </w:r>
          </w:hyperlink>
        </w:p>
        <w:p w:rsidR="00892601" w:rsidRDefault="00D1392B">
          <w:pPr>
            <w:pStyle w:val="TOC3"/>
            <w:tabs>
              <w:tab w:val="left" w:pos="1760"/>
            </w:tabs>
            <w:rPr>
              <w:rFonts w:asciiTheme="minorHAnsi" w:eastAsiaTheme="minorEastAsia" w:hAnsiTheme="minorHAnsi" w:cstheme="minorBidi"/>
              <w:noProof/>
              <w:lang w:eastAsia="en-AU"/>
            </w:rPr>
          </w:pPr>
          <w:hyperlink w:anchor="_Toc461121057" w:history="1">
            <w:r w:rsidR="00892601" w:rsidRPr="00A02F7F">
              <w:rPr>
                <w:rStyle w:val="Hyperlink"/>
                <w:noProof/>
              </w:rPr>
              <w:t>8.4.</w:t>
            </w:r>
            <w:r w:rsidR="00892601">
              <w:rPr>
                <w:rFonts w:asciiTheme="minorHAnsi" w:eastAsiaTheme="minorEastAsia" w:hAnsiTheme="minorHAnsi" w:cstheme="minorBidi"/>
                <w:noProof/>
                <w:lang w:eastAsia="en-AU"/>
              </w:rPr>
              <w:tab/>
            </w:r>
            <w:r w:rsidR="00892601" w:rsidRPr="00A02F7F">
              <w:rPr>
                <w:rStyle w:val="Hyperlink"/>
                <w:noProof/>
              </w:rPr>
              <w:t>Adverse events</w:t>
            </w:r>
            <w:r w:rsidR="00892601">
              <w:rPr>
                <w:noProof/>
                <w:webHidden/>
              </w:rPr>
              <w:tab/>
            </w:r>
            <w:r w:rsidR="00892601">
              <w:rPr>
                <w:noProof/>
                <w:webHidden/>
              </w:rPr>
              <w:fldChar w:fldCharType="begin"/>
            </w:r>
            <w:r w:rsidR="00892601">
              <w:rPr>
                <w:noProof/>
                <w:webHidden/>
              </w:rPr>
              <w:instrText xml:space="preserve"> PAGEREF _Toc461121057 \h </w:instrText>
            </w:r>
            <w:r w:rsidR="00892601">
              <w:rPr>
                <w:noProof/>
                <w:webHidden/>
              </w:rPr>
            </w:r>
            <w:r w:rsidR="00892601">
              <w:rPr>
                <w:noProof/>
                <w:webHidden/>
              </w:rPr>
              <w:fldChar w:fldCharType="separate"/>
            </w:r>
            <w:r w:rsidR="00892601">
              <w:rPr>
                <w:noProof/>
                <w:webHidden/>
              </w:rPr>
              <w:t>118</w:t>
            </w:r>
            <w:r w:rsidR="00892601">
              <w:rPr>
                <w:noProof/>
                <w:webHidden/>
              </w:rPr>
              <w:fldChar w:fldCharType="end"/>
            </w:r>
          </w:hyperlink>
        </w:p>
        <w:p w:rsidR="00892601" w:rsidRDefault="00D1392B">
          <w:pPr>
            <w:pStyle w:val="TOC3"/>
            <w:tabs>
              <w:tab w:val="left" w:pos="1760"/>
            </w:tabs>
            <w:rPr>
              <w:rFonts w:asciiTheme="minorHAnsi" w:eastAsiaTheme="minorEastAsia" w:hAnsiTheme="minorHAnsi" w:cstheme="minorBidi"/>
              <w:noProof/>
              <w:lang w:eastAsia="en-AU"/>
            </w:rPr>
          </w:pPr>
          <w:hyperlink w:anchor="_Toc461121058" w:history="1">
            <w:r w:rsidR="00892601" w:rsidRPr="00A02F7F">
              <w:rPr>
                <w:rStyle w:val="Hyperlink"/>
                <w:noProof/>
              </w:rPr>
              <w:t>8.5.</w:t>
            </w:r>
            <w:r w:rsidR="00892601">
              <w:rPr>
                <w:rFonts w:asciiTheme="minorHAnsi" w:eastAsiaTheme="minorEastAsia" w:hAnsiTheme="minorHAnsi" w:cstheme="minorBidi"/>
                <w:noProof/>
                <w:lang w:eastAsia="en-AU"/>
              </w:rPr>
              <w:tab/>
            </w:r>
            <w:r w:rsidR="00892601" w:rsidRPr="00A02F7F">
              <w:rPr>
                <w:rStyle w:val="Hyperlink"/>
                <w:noProof/>
              </w:rPr>
              <w:t>Laboratory tests</w:t>
            </w:r>
            <w:r w:rsidR="00892601">
              <w:rPr>
                <w:noProof/>
                <w:webHidden/>
              </w:rPr>
              <w:tab/>
            </w:r>
            <w:r w:rsidR="00892601">
              <w:rPr>
                <w:noProof/>
                <w:webHidden/>
              </w:rPr>
              <w:fldChar w:fldCharType="begin"/>
            </w:r>
            <w:r w:rsidR="00892601">
              <w:rPr>
                <w:noProof/>
                <w:webHidden/>
              </w:rPr>
              <w:instrText xml:space="preserve"> PAGEREF _Toc461121058 \h </w:instrText>
            </w:r>
            <w:r w:rsidR="00892601">
              <w:rPr>
                <w:noProof/>
                <w:webHidden/>
              </w:rPr>
            </w:r>
            <w:r w:rsidR="00892601">
              <w:rPr>
                <w:noProof/>
                <w:webHidden/>
              </w:rPr>
              <w:fldChar w:fldCharType="separate"/>
            </w:r>
            <w:r w:rsidR="00892601">
              <w:rPr>
                <w:noProof/>
                <w:webHidden/>
              </w:rPr>
              <w:t>125</w:t>
            </w:r>
            <w:r w:rsidR="00892601">
              <w:rPr>
                <w:noProof/>
                <w:webHidden/>
              </w:rPr>
              <w:fldChar w:fldCharType="end"/>
            </w:r>
          </w:hyperlink>
        </w:p>
        <w:p w:rsidR="00892601" w:rsidRDefault="00D1392B">
          <w:pPr>
            <w:pStyle w:val="TOC3"/>
            <w:tabs>
              <w:tab w:val="left" w:pos="1760"/>
            </w:tabs>
            <w:rPr>
              <w:rFonts w:asciiTheme="minorHAnsi" w:eastAsiaTheme="minorEastAsia" w:hAnsiTheme="minorHAnsi" w:cstheme="minorBidi"/>
              <w:noProof/>
              <w:lang w:eastAsia="en-AU"/>
            </w:rPr>
          </w:pPr>
          <w:hyperlink w:anchor="_Toc461121059" w:history="1">
            <w:r w:rsidR="00892601" w:rsidRPr="00A02F7F">
              <w:rPr>
                <w:rStyle w:val="Hyperlink"/>
                <w:noProof/>
              </w:rPr>
              <w:t>8.6.</w:t>
            </w:r>
            <w:r w:rsidR="00892601">
              <w:rPr>
                <w:rFonts w:asciiTheme="minorHAnsi" w:eastAsiaTheme="minorEastAsia" w:hAnsiTheme="minorHAnsi" w:cstheme="minorBidi"/>
                <w:noProof/>
                <w:lang w:eastAsia="en-AU"/>
              </w:rPr>
              <w:tab/>
            </w:r>
            <w:r w:rsidR="00892601" w:rsidRPr="00A02F7F">
              <w:rPr>
                <w:rStyle w:val="Hyperlink"/>
                <w:noProof/>
              </w:rPr>
              <w:t>Post-marketing experience</w:t>
            </w:r>
            <w:r w:rsidR="00892601">
              <w:rPr>
                <w:noProof/>
                <w:webHidden/>
              </w:rPr>
              <w:tab/>
            </w:r>
            <w:r w:rsidR="00892601">
              <w:rPr>
                <w:noProof/>
                <w:webHidden/>
              </w:rPr>
              <w:fldChar w:fldCharType="begin"/>
            </w:r>
            <w:r w:rsidR="00892601">
              <w:rPr>
                <w:noProof/>
                <w:webHidden/>
              </w:rPr>
              <w:instrText xml:space="preserve"> PAGEREF _Toc461121059 \h </w:instrText>
            </w:r>
            <w:r w:rsidR="00892601">
              <w:rPr>
                <w:noProof/>
                <w:webHidden/>
              </w:rPr>
            </w:r>
            <w:r w:rsidR="00892601">
              <w:rPr>
                <w:noProof/>
                <w:webHidden/>
              </w:rPr>
              <w:fldChar w:fldCharType="separate"/>
            </w:r>
            <w:r w:rsidR="00892601">
              <w:rPr>
                <w:noProof/>
                <w:webHidden/>
              </w:rPr>
              <w:t>139</w:t>
            </w:r>
            <w:r w:rsidR="00892601">
              <w:rPr>
                <w:noProof/>
                <w:webHidden/>
              </w:rPr>
              <w:fldChar w:fldCharType="end"/>
            </w:r>
          </w:hyperlink>
        </w:p>
        <w:p w:rsidR="00892601" w:rsidRDefault="00D1392B">
          <w:pPr>
            <w:pStyle w:val="TOC3"/>
            <w:tabs>
              <w:tab w:val="left" w:pos="1760"/>
            </w:tabs>
            <w:rPr>
              <w:rFonts w:asciiTheme="minorHAnsi" w:eastAsiaTheme="minorEastAsia" w:hAnsiTheme="minorHAnsi" w:cstheme="minorBidi"/>
              <w:noProof/>
              <w:lang w:eastAsia="en-AU"/>
            </w:rPr>
          </w:pPr>
          <w:hyperlink w:anchor="_Toc461121060" w:history="1">
            <w:r w:rsidR="00892601" w:rsidRPr="00A02F7F">
              <w:rPr>
                <w:rStyle w:val="Hyperlink"/>
                <w:noProof/>
              </w:rPr>
              <w:t>8.7.</w:t>
            </w:r>
            <w:r w:rsidR="00892601">
              <w:rPr>
                <w:rFonts w:asciiTheme="minorHAnsi" w:eastAsiaTheme="minorEastAsia" w:hAnsiTheme="minorHAnsi" w:cstheme="minorBidi"/>
                <w:noProof/>
                <w:lang w:eastAsia="en-AU"/>
              </w:rPr>
              <w:tab/>
            </w:r>
            <w:r w:rsidR="00892601" w:rsidRPr="00A02F7F">
              <w:rPr>
                <w:rStyle w:val="Hyperlink"/>
                <w:noProof/>
              </w:rPr>
              <w:t>Safety issues with the potential for major regulatory impact</w:t>
            </w:r>
            <w:r w:rsidR="00892601">
              <w:rPr>
                <w:noProof/>
                <w:webHidden/>
              </w:rPr>
              <w:tab/>
            </w:r>
            <w:r w:rsidR="00892601">
              <w:rPr>
                <w:noProof/>
                <w:webHidden/>
              </w:rPr>
              <w:fldChar w:fldCharType="begin"/>
            </w:r>
            <w:r w:rsidR="00892601">
              <w:rPr>
                <w:noProof/>
                <w:webHidden/>
              </w:rPr>
              <w:instrText xml:space="preserve"> PAGEREF _Toc461121060 \h </w:instrText>
            </w:r>
            <w:r w:rsidR="00892601">
              <w:rPr>
                <w:noProof/>
                <w:webHidden/>
              </w:rPr>
            </w:r>
            <w:r w:rsidR="00892601">
              <w:rPr>
                <w:noProof/>
                <w:webHidden/>
              </w:rPr>
              <w:fldChar w:fldCharType="separate"/>
            </w:r>
            <w:r w:rsidR="00892601">
              <w:rPr>
                <w:noProof/>
                <w:webHidden/>
              </w:rPr>
              <w:t>139</w:t>
            </w:r>
            <w:r w:rsidR="00892601">
              <w:rPr>
                <w:noProof/>
                <w:webHidden/>
              </w:rPr>
              <w:fldChar w:fldCharType="end"/>
            </w:r>
          </w:hyperlink>
        </w:p>
        <w:p w:rsidR="00892601" w:rsidRDefault="00D1392B">
          <w:pPr>
            <w:pStyle w:val="TOC3"/>
            <w:tabs>
              <w:tab w:val="left" w:pos="1760"/>
            </w:tabs>
            <w:rPr>
              <w:rFonts w:asciiTheme="minorHAnsi" w:eastAsiaTheme="minorEastAsia" w:hAnsiTheme="minorHAnsi" w:cstheme="minorBidi"/>
              <w:noProof/>
              <w:lang w:eastAsia="en-AU"/>
            </w:rPr>
          </w:pPr>
          <w:hyperlink w:anchor="_Toc461121061" w:history="1">
            <w:r w:rsidR="00892601" w:rsidRPr="00A02F7F">
              <w:rPr>
                <w:rStyle w:val="Hyperlink"/>
                <w:noProof/>
              </w:rPr>
              <w:t>8.8.</w:t>
            </w:r>
            <w:r w:rsidR="00892601">
              <w:rPr>
                <w:rFonts w:asciiTheme="minorHAnsi" w:eastAsiaTheme="minorEastAsia" w:hAnsiTheme="minorHAnsi" w:cstheme="minorBidi"/>
                <w:noProof/>
                <w:lang w:eastAsia="en-AU"/>
              </w:rPr>
              <w:tab/>
            </w:r>
            <w:r w:rsidR="00892601" w:rsidRPr="00A02F7F">
              <w:rPr>
                <w:rStyle w:val="Hyperlink"/>
                <w:noProof/>
              </w:rPr>
              <w:t>Other safety issues</w:t>
            </w:r>
            <w:r w:rsidR="00892601">
              <w:rPr>
                <w:noProof/>
                <w:webHidden/>
              </w:rPr>
              <w:tab/>
            </w:r>
            <w:r w:rsidR="00892601">
              <w:rPr>
                <w:noProof/>
                <w:webHidden/>
              </w:rPr>
              <w:fldChar w:fldCharType="begin"/>
            </w:r>
            <w:r w:rsidR="00892601">
              <w:rPr>
                <w:noProof/>
                <w:webHidden/>
              </w:rPr>
              <w:instrText xml:space="preserve"> PAGEREF _Toc461121061 \h </w:instrText>
            </w:r>
            <w:r w:rsidR="00892601">
              <w:rPr>
                <w:noProof/>
                <w:webHidden/>
              </w:rPr>
            </w:r>
            <w:r w:rsidR="00892601">
              <w:rPr>
                <w:noProof/>
                <w:webHidden/>
              </w:rPr>
              <w:fldChar w:fldCharType="separate"/>
            </w:r>
            <w:r w:rsidR="00892601">
              <w:rPr>
                <w:noProof/>
                <w:webHidden/>
              </w:rPr>
              <w:t>140</w:t>
            </w:r>
            <w:r w:rsidR="00892601">
              <w:rPr>
                <w:noProof/>
                <w:webHidden/>
              </w:rPr>
              <w:fldChar w:fldCharType="end"/>
            </w:r>
          </w:hyperlink>
        </w:p>
        <w:p w:rsidR="00892601" w:rsidRDefault="00D1392B">
          <w:pPr>
            <w:pStyle w:val="TOC3"/>
            <w:tabs>
              <w:tab w:val="left" w:pos="1760"/>
            </w:tabs>
            <w:rPr>
              <w:rFonts w:asciiTheme="minorHAnsi" w:eastAsiaTheme="minorEastAsia" w:hAnsiTheme="minorHAnsi" w:cstheme="minorBidi"/>
              <w:noProof/>
              <w:lang w:eastAsia="en-AU"/>
            </w:rPr>
          </w:pPr>
          <w:hyperlink w:anchor="_Toc461121062" w:history="1">
            <w:r w:rsidR="00892601" w:rsidRPr="00A02F7F">
              <w:rPr>
                <w:rStyle w:val="Hyperlink"/>
                <w:noProof/>
              </w:rPr>
              <w:t>8.9.</w:t>
            </w:r>
            <w:r w:rsidR="00892601">
              <w:rPr>
                <w:rFonts w:asciiTheme="minorHAnsi" w:eastAsiaTheme="minorEastAsia" w:hAnsiTheme="minorHAnsi" w:cstheme="minorBidi"/>
                <w:noProof/>
                <w:lang w:eastAsia="en-AU"/>
              </w:rPr>
              <w:tab/>
            </w:r>
            <w:r w:rsidR="00892601" w:rsidRPr="00A02F7F">
              <w:rPr>
                <w:rStyle w:val="Hyperlink"/>
                <w:noProof/>
              </w:rPr>
              <w:t>Evaluator’s overall conclusions on clinical safety</w:t>
            </w:r>
            <w:r w:rsidR="00892601">
              <w:rPr>
                <w:noProof/>
                <w:webHidden/>
              </w:rPr>
              <w:tab/>
            </w:r>
            <w:r w:rsidR="00892601">
              <w:rPr>
                <w:noProof/>
                <w:webHidden/>
              </w:rPr>
              <w:fldChar w:fldCharType="begin"/>
            </w:r>
            <w:r w:rsidR="00892601">
              <w:rPr>
                <w:noProof/>
                <w:webHidden/>
              </w:rPr>
              <w:instrText xml:space="preserve"> PAGEREF _Toc461121062 \h </w:instrText>
            </w:r>
            <w:r w:rsidR="00892601">
              <w:rPr>
                <w:noProof/>
                <w:webHidden/>
              </w:rPr>
            </w:r>
            <w:r w:rsidR="00892601">
              <w:rPr>
                <w:noProof/>
                <w:webHidden/>
              </w:rPr>
              <w:fldChar w:fldCharType="separate"/>
            </w:r>
            <w:r w:rsidR="00892601">
              <w:rPr>
                <w:noProof/>
                <w:webHidden/>
              </w:rPr>
              <w:t>145</w:t>
            </w:r>
            <w:r w:rsidR="00892601">
              <w:rPr>
                <w:noProof/>
                <w:webHidden/>
              </w:rPr>
              <w:fldChar w:fldCharType="end"/>
            </w:r>
          </w:hyperlink>
        </w:p>
        <w:p w:rsidR="00892601" w:rsidRDefault="00D1392B">
          <w:pPr>
            <w:pStyle w:val="TOC2"/>
            <w:tabs>
              <w:tab w:val="left" w:pos="1100"/>
            </w:tabs>
            <w:rPr>
              <w:rFonts w:asciiTheme="minorHAnsi" w:eastAsiaTheme="minorEastAsia" w:hAnsiTheme="minorHAnsi" w:cstheme="minorBidi"/>
              <w:b w:val="0"/>
              <w:noProof/>
              <w:sz w:val="22"/>
              <w:lang w:eastAsia="en-AU"/>
            </w:rPr>
          </w:pPr>
          <w:hyperlink w:anchor="_Toc461121063" w:history="1">
            <w:r w:rsidR="00892601" w:rsidRPr="00A02F7F">
              <w:rPr>
                <w:rStyle w:val="Hyperlink"/>
                <w:noProof/>
              </w:rPr>
              <w:t>9.</w:t>
            </w:r>
            <w:r w:rsidR="00892601">
              <w:rPr>
                <w:rFonts w:asciiTheme="minorHAnsi" w:eastAsiaTheme="minorEastAsia" w:hAnsiTheme="minorHAnsi" w:cstheme="minorBidi"/>
                <w:b w:val="0"/>
                <w:noProof/>
                <w:sz w:val="22"/>
                <w:lang w:eastAsia="en-AU"/>
              </w:rPr>
              <w:tab/>
            </w:r>
            <w:r w:rsidR="00892601" w:rsidRPr="00A02F7F">
              <w:rPr>
                <w:rStyle w:val="Hyperlink"/>
                <w:noProof/>
              </w:rPr>
              <w:t>First round benefit-risk assessment</w:t>
            </w:r>
            <w:r w:rsidR="00892601">
              <w:rPr>
                <w:noProof/>
                <w:webHidden/>
              </w:rPr>
              <w:tab/>
            </w:r>
            <w:r w:rsidR="00892601">
              <w:rPr>
                <w:noProof/>
                <w:webHidden/>
              </w:rPr>
              <w:fldChar w:fldCharType="begin"/>
            </w:r>
            <w:r w:rsidR="00892601">
              <w:rPr>
                <w:noProof/>
                <w:webHidden/>
              </w:rPr>
              <w:instrText xml:space="preserve"> PAGEREF _Toc461121063 \h </w:instrText>
            </w:r>
            <w:r w:rsidR="00892601">
              <w:rPr>
                <w:noProof/>
                <w:webHidden/>
              </w:rPr>
            </w:r>
            <w:r w:rsidR="00892601">
              <w:rPr>
                <w:noProof/>
                <w:webHidden/>
              </w:rPr>
              <w:fldChar w:fldCharType="separate"/>
            </w:r>
            <w:r w:rsidR="00892601">
              <w:rPr>
                <w:noProof/>
                <w:webHidden/>
              </w:rPr>
              <w:t>147</w:t>
            </w:r>
            <w:r w:rsidR="00892601">
              <w:rPr>
                <w:noProof/>
                <w:webHidden/>
              </w:rPr>
              <w:fldChar w:fldCharType="end"/>
            </w:r>
          </w:hyperlink>
        </w:p>
        <w:p w:rsidR="00892601" w:rsidRDefault="00D1392B">
          <w:pPr>
            <w:pStyle w:val="TOC3"/>
            <w:tabs>
              <w:tab w:val="left" w:pos="1760"/>
            </w:tabs>
            <w:rPr>
              <w:rFonts w:asciiTheme="minorHAnsi" w:eastAsiaTheme="minorEastAsia" w:hAnsiTheme="minorHAnsi" w:cstheme="minorBidi"/>
              <w:noProof/>
              <w:lang w:eastAsia="en-AU"/>
            </w:rPr>
          </w:pPr>
          <w:hyperlink w:anchor="_Toc461121064" w:history="1">
            <w:r w:rsidR="00892601" w:rsidRPr="00A02F7F">
              <w:rPr>
                <w:rStyle w:val="Hyperlink"/>
                <w:noProof/>
              </w:rPr>
              <w:t>9.1.</w:t>
            </w:r>
            <w:r w:rsidR="00892601">
              <w:rPr>
                <w:rFonts w:asciiTheme="minorHAnsi" w:eastAsiaTheme="minorEastAsia" w:hAnsiTheme="minorHAnsi" w:cstheme="minorBidi"/>
                <w:noProof/>
                <w:lang w:eastAsia="en-AU"/>
              </w:rPr>
              <w:tab/>
            </w:r>
            <w:r w:rsidR="00892601" w:rsidRPr="00A02F7F">
              <w:rPr>
                <w:rStyle w:val="Hyperlink"/>
                <w:noProof/>
              </w:rPr>
              <w:t>First round assessment of benefits</w:t>
            </w:r>
            <w:r w:rsidR="00892601">
              <w:rPr>
                <w:noProof/>
                <w:webHidden/>
              </w:rPr>
              <w:tab/>
            </w:r>
            <w:r w:rsidR="00892601">
              <w:rPr>
                <w:noProof/>
                <w:webHidden/>
              </w:rPr>
              <w:fldChar w:fldCharType="begin"/>
            </w:r>
            <w:r w:rsidR="00892601">
              <w:rPr>
                <w:noProof/>
                <w:webHidden/>
              </w:rPr>
              <w:instrText xml:space="preserve"> PAGEREF _Toc461121064 \h </w:instrText>
            </w:r>
            <w:r w:rsidR="00892601">
              <w:rPr>
                <w:noProof/>
                <w:webHidden/>
              </w:rPr>
            </w:r>
            <w:r w:rsidR="00892601">
              <w:rPr>
                <w:noProof/>
                <w:webHidden/>
              </w:rPr>
              <w:fldChar w:fldCharType="separate"/>
            </w:r>
            <w:r w:rsidR="00892601">
              <w:rPr>
                <w:noProof/>
                <w:webHidden/>
              </w:rPr>
              <w:t>147</w:t>
            </w:r>
            <w:r w:rsidR="00892601">
              <w:rPr>
                <w:noProof/>
                <w:webHidden/>
              </w:rPr>
              <w:fldChar w:fldCharType="end"/>
            </w:r>
          </w:hyperlink>
        </w:p>
        <w:p w:rsidR="00892601" w:rsidRDefault="00D1392B">
          <w:pPr>
            <w:pStyle w:val="TOC3"/>
            <w:tabs>
              <w:tab w:val="left" w:pos="1760"/>
            </w:tabs>
            <w:rPr>
              <w:rFonts w:asciiTheme="minorHAnsi" w:eastAsiaTheme="minorEastAsia" w:hAnsiTheme="minorHAnsi" w:cstheme="minorBidi"/>
              <w:noProof/>
              <w:lang w:eastAsia="en-AU"/>
            </w:rPr>
          </w:pPr>
          <w:hyperlink w:anchor="_Toc461121065" w:history="1">
            <w:r w:rsidR="00892601" w:rsidRPr="00A02F7F">
              <w:rPr>
                <w:rStyle w:val="Hyperlink"/>
                <w:noProof/>
              </w:rPr>
              <w:t>9.2.</w:t>
            </w:r>
            <w:r w:rsidR="00892601">
              <w:rPr>
                <w:rFonts w:asciiTheme="minorHAnsi" w:eastAsiaTheme="minorEastAsia" w:hAnsiTheme="minorHAnsi" w:cstheme="minorBidi"/>
                <w:noProof/>
                <w:lang w:eastAsia="en-AU"/>
              </w:rPr>
              <w:tab/>
            </w:r>
            <w:r w:rsidR="00892601" w:rsidRPr="00A02F7F">
              <w:rPr>
                <w:rStyle w:val="Hyperlink"/>
                <w:noProof/>
              </w:rPr>
              <w:t>First round assessment of risks</w:t>
            </w:r>
            <w:r w:rsidR="00892601">
              <w:rPr>
                <w:noProof/>
                <w:webHidden/>
              </w:rPr>
              <w:tab/>
            </w:r>
            <w:r w:rsidR="00892601">
              <w:rPr>
                <w:noProof/>
                <w:webHidden/>
              </w:rPr>
              <w:fldChar w:fldCharType="begin"/>
            </w:r>
            <w:r w:rsidR="00892601">
              <w:rPr>
                <w:noProof/>
                <w:webHidden/>
              </w:rPr>
              <w:instrText xml:space="preserve"> PAGEREF _Toc461121065 \h </w:instrText>
            </w:r>
            <w:r w:rsidR="00892601">
              <w:rPr>
                <w:noProof/>
                <w:webHidden/>
              </w:rPr>
            </w:r>
            <w:r w:rsidR="00892601">
              <w:rPr>
                <w:noProof/>
                <w:webHidden/>
              </w:rPr>
              <w:fldChar w:fldCharType="separate"/>
            </w:r>
            <w:r w:rsidR="00892601">
              <w:rPr>
                <w:noProof/>
                <w:webHidden/>
              </w:rPr>
              <w:t>148</w:t>
            </w:r>
            <w:r w:rsidR="00892601">
              <w:rPr>
                <w:noProof/>
                <w:webHidden/>
              </w:rPr>
              <w:fldChar w:fldCharType="end"/>
            </w:r>
          </w:hyperlink>
        </w:p>
        <w:p w:rsidR="00892601" w:rsidRDefault="00D1392B">
          <w:pPr>
            <w:pStyle w:val="TOC3"/>
            <w:tabs>
              <w:tab w:val="left" w:pos="1760"/>
            </w:tabs>
            <w:rPr>
              <w:rFonts w:asciiTheme="minorHAnsi" w:eastAsiaTheme="minorEastAsia" w:hAnsiTheme="minorHAnsi" w:cstheme="minorBidi"/>
              <w:noProof/>
              <w:lang w:eastAsia="en-AU"/>
            </w:rPr>
          </w:pPr>
          <w:hyperlink w:anchor="_Toc461121066" w:history="1">
            <w:r w:rsidR="00892601" w:rsidRPr="00A02F7F">
              <w:rPr>
                <w:rStyle w:val="Hyperlink"/>
                <w:noProof/>
              </w:rPr>
              <w:t>9.3.</w:t>
            </w:r>
            <w:r w:rsidR="00892601">
              <w:rPr>
                <w:rFonts w:asciiTheme="minorHAnsi" w:eastAsiaTheme="minorEastAsia" w:hAnsiTheme="minorHAnsi" w:cstheme="minorBidi"/>
                <w:noProof/>
                <w:lang w:eastAsia="en-AU"/>
              </w:rPr>
              <w:tab/>
            </w:r>
            <w:r w:rsidR="00892601" w:rsidRPr="00A02F7F">
              <w:rPr>
                <w:rStyle w:val="Hyperlink"/>
                <w:noProof/>
              </w:rPr>
              <w:t>First round assessment of benefit-risk balance</w:t>
            </w:r>
            <w:r w:rsidR="00892601">
              <w:rPr>
                <w:noProof/>
                <w:webHidden/>
              </w:rPr>
              <w:tab/>
            </w:r>
            <w:r w:rsidR="00892601">
              <w:rPr>
                <w:noProof/>
                <w:webHidden/>
              </w:rPr>
              <w:fldChar w:fldCharType="begin"/>
            </w:r>
            <w:r w:rsidR="00892601">
              <w:rPr>
                <w:noProof/>
                <w:webHidden/>
              </w:rPr>
              <w:instrText xml:space="preserve"> PAGEREF _Toc461121066 \h </w:instrText>
            </w:r>
            <w:r w:rsidR="00892601">
              <w:rPr>
                <w:noProof/>
                <w:webHidden/>
              </w:rPr>
            </w:r>
            <w:r w:rsidR="00892601">
              <w:rPr>
                <w:noProof/>
                <w:webHidden/>
              </w:rPr>
              <w:fldChar w:fldCharType="separate"/>
            </w:r>
            <w:r w:rsidR="00892601">
              <w:rPr>
                <w:noProof/>
                <w:webHidden/>
              </w:rPr>
              <w:t>148</w:t>
            </w:r>
            <w:r w:rsidR="00892601">
              <w:rPr>
                <w:noProof/>
                <w:webHidden/>
              </w:rPr>
              <w:fldChar w:fldCharType="end"/>
            </w:r>
          </w:hyperlink>
        </w:p>
        <w:p w:rsidR="00892601" w:rsidRDefault="00D1392B">
          <w:pPr>
            <w:pStyle w:val="TOC2"/>
            <w:tabs>
              <w:tab w:val="left" w:pos="1320"/>
            </w:tabs>
            <w:rPr>
              <w:rFonts w:asciiTheme="minorHAnsi" w:eastAsiaTheme="minorEastAsia" w:hAnsiTheme="minorHAnsi" w:cstheme="minorBidi"/>
              <w:b w:val="0"/>
              <w:noProof/>
              <w:sz w:val="22"/>
              <w:lang w:eastAsia="en-AU"/>
            </w:rPr>
          </w:pPr>
          <w:hyperlink w:anchor="_Toc461121067" w:history="1">
            <w:r w:rsidR="00892601" w:rsidRPr="00A02F7F">
              <w:rPr>
                <w:rStyle w:val="Hyperlink"/>
                <w:noProof/>
              </w:rPr>
              <w:t>10.</w:t>
            </w:r>
            <w:r w:rsidR="00892601">
              <w:rPr>
                <w:rFonts w:asciiTheme="minorHAnsi" w:eastAsiaTheme="minorEastAsia" w:hAnsiTheme="minorHAnsi" w:cstheme="minorBidi"/>
                <w:b w:val="0"/>
                <w:noProof/>
                <w:sz w:val="22"/>
                <w:lang w:eastAsia="en-AU"/>
              </w:rPr>
              <w:tab/>
            </w:r>
            <w:r w:rsidR="00892601" w:rsidRPr="00A02F7F">
              <w:rPr>
                <w:rStyle w:val="Hyperlink"/>
                <w:noProof/>
              </w:rPr>
              <w:t>First round recommendation regarding authorisation</w:t>
            </w:r>
            <w:r w:rsidR="00892601">
              <w:rPr>
                <w:noProof/>
                <w:webHidden/>
              </w:rPr>
              <w:tab/>
            </w:r>
            <w:r w:rsidR="00892601">
              <w:rPr>
                <w:noProof/>
                <w:webHidden/>
              </w:rPr>
              <w:fldChar w:fldCharType="begin"/>
            </w:r>
            <w:r w:rsidR="00892601">
              <w:rPr>
                <w:noProof/>
                <w:webHidden/>
              </w:rPr>
              <w:instrText xml:space="preserve"> PAGEREF _Toc461121067 \h </w:instrText>
            </w:r>
            <w:r w:rsidR="00892601">
              <w:rPr>
                <w:noProof/>
                <w:webHidden/>
              </w:rPr>
            </w:r>
            <w:r w:rsidR="00892601">
              <w:rPr>
                <w:noProof/>
                <w:webHidden/>
              </w:rPr>
              <w:fldChar w:fldCharType="separate"/>
            </w:r>
            <w:r w:rsidR="00892601">
              <w:rPr>
                <w:noProof/>
                <w:webHidden/>
              </w:rPr>
              <w:t>150</w:t>
            </w:r>
            <w:r w:rsidR="00892601">
              <w:rPr>
                <w:noProof/>
                <w:webHidden/>
              </w:rPr>
              <w:fldChar w:fldCharType="end"/>
            </w:r>
          </w:hyperlink>
        </w:p>
        <w:p w:rsidR="00892601" w:rsidRDefault="00D1392B">
          <w:pPr>
            <w:pStyle w:val="TOC2"/>
            <w:tabs>
              <w:tab w:val="left" w:pos="1320"/>
            </w:tabs>
            <w:rPr>
              <w:rFonts w:asciiTheme="minorHAnsi" w:eastAsiaTheme="minorEastAsia" w:hAnsiTheme="minorHAnsi" w:cstheme="minorBidi"/>
              <w:b w:val="0"/>
              <w:noProof/>
              <w:sz w:val="22"/>
              <w:lang w:eastAsia="en-AU"/>
            </w:rPr>
          </w:pPr>
          <w:hyperlink w:anchor="_Toc461121068" w:history="1">
            <w:r w:rsidR="00892601" w:rsidRPr="00A02F7F">
              <w:rPr>
                <w:rStyle w:val="Hyperlink"/>
                <w:noProof/>
              </w:rPr>
              <w:t>11.</w:t>
            </w:r>
            <w:r w:rsidR="00892601">
              <w:rPr>
                <w:rFonts w:asciiTheme="minorHAnsi" w:eastAsiaTheme="minorEastAsia" w:hAnsiTheme="minorHAnsi" w:cstheme="minorBidi"/>
                <w:b w:val="0"/>
                <w:noProof/>
                <w:sz w:val="22"/>
                <w:lang w:eastAsia="en-AU"/>
              </w:rPr>
              <w:tab/>
            </w:r>
            <w:r w:rsidR="00892601" w:rsidRPr="00A02F7F">
              <w:rPr>
                <w:rStyle w:val="Hyperlink"/>
                <w:noProof/>
              </w:rPr>
              <w:t>Clinical questions</w:t>
            </w:r>
            <w:r w:rsidR="00892601">
              <w:rPr>
                <w:noProof/>
                <w:webHidden/>
              </w:rPr>
              <w:tab/>
            </w:r>
            <w:r w:rsidR="00892601">
              <w:rPr>
                <w:noProof/>
                <w:webHidden/>
              </w:rPr>
              <w:fldChar w:fldCharType="begin"/>
            </w:r>
            <w:r w:rsidR="00892601">
              <w:rPr>
                <w:noProof/>
                <w:webHidden/>
              </w:rPr>
              <w:instrText xml:space="preserve"> PAGEREF _Toc461121068 \h </w:instrText>
            </w:r>
            <w:r w:rsidR="00892601">
              <w:rPr>
                <w:noProof/>
                <w:webHidden/>
              </w:rPr>
            </w:r>
            <w:r w:rsidR="00892601">
              <w:rPr>
                <w:noProof/>
                <w:webHidden/>
              </w:rPr>
              <w:fldChar w:fldCharType="separate"/>
            </w:r>
            <w:r w:rsidR="00892601">
              <w:rPr>
                <w:noProof/>
                <w:webHidden/>
              </w:rPr>
              <w:t>151</w:t>
            </w:r>
            <w:r w:rsidR="00892601">
              <w:rPr>
                <w:noProof/>
                <w:webHidden/>
              </w:rPr>
              <w:fldChar w:fldCharType="end"/>
            </w:r>
          </w:hyperlink>
        </w:p>
        <w:p w:rsidR="00892601" w:rsidRDefault="00D1392B">
          <w:pPr>
            <w:pStyle w:val="TOC3"/>
            <w:tabs>
              <w:tab w:val="left" w:pos="1760"/>
            </w:tabs>
            <w:rPr>
              <w:rFonts w:asciiTheme="minorHAnsi" w:eastAsiaTheme="minorEastAsia" w:hAnsiTheme="minorHAnsi" w:cstheme="minorBidi"/>
              <w:noProof/>
              <w:lang w:eastAsia="en-AU"/>
            </w:rPr>
          </w:pPr>
          <w:hyperlink w:anchor="_Toc461121069" w:history="1">
            <w:r w:rsidR="00892601" w:rsidRPr="00A02F7F">
              <w:rPr>
                <w:rStyle w:val="Hyperlink"/>
                <w:noProof/>
              </w:rPr>
              <w:t>11.1.</w:t>
            </w:r>
            <w:r w:rsidR="00892601">
              <w:rPr>
                <w:rFonts w:asciiTheme="minorHAnsi" w:eastAsiaTheme="minorEastAsia" w:hAnsiTheme="minorHAnsi" w:cstheme="minorBidi"/>
                <w:noProof/>
                <w:lang w:eastAsia="en-AU"/>
              </w:rPr>
              <w:tab/>
            </w:r>
            <w:r w:rsidR="00892601" w:rsidRPr="00A02F7F">
              <w:rPr>
                <w:rStyle w:val="Hyperlink"/>
                <w:noProof/>
              </w:rPr>
              <w:t>Pharmacokinetics</w:t>
            </w:r>
            <w:r w:rsidR="00892601">
              <w:rPr>
                <w:noProof/>
                <w:webHidden/>
              </w:rPr>
              <w:tab/>
            </w:r>
            <w:r w:rsidR="00892601">
              <w:rPr>
                <w:noProof/>
                <w:webHidden/>
              </w:rPr>
              <w:fldChar w:fldCharType="begin"/>
            </w:r>
            <w:r w:rsidR="00892601">
              <w:rPr>
                <w:noProof/>
                <w:webHidden/>
              </w:rPr>
              <w:instrText xml:space="preserve"> PAGEREF _Toc461121069 \h </w:instrText>
            </w:r>
            <w:r w:rsidR="00892601">
              <w:rPr>
                <w:noProof/>
                <w:webHidden/>
              </w:rPr>
            </w:r>
            <w:r w:rsidR="00892601">
              <w:rPr>
                <w:noProof/>
                <w:webHidden/>
              </w:rPr>
              <w:fldChar w:fldCharType="separate"/>
            </w:r>
            <w:r w:rsidR="00892601">
              <w:rPr>
                <w:noProof/>
                <w:webHidden/>
              </w:rPr>
              <w:t>151</w:t>
            </w:r>
            <w:r w:rsidR="00892601">
              <w:rPr>
                <w:noProof/>
                <w:webHidden/>
              </w:rPr>
              <w:fldChar w:fldCharType="end"/>
            </w:r>
          </w:hyperlink>
        </w:p>
        <w:p w:rsidR="00892601" w:rsidRDefault="00D1392B">
          <w:pPr>
            <w:pStyle w:val="TOC3"/>
            <w:tabs>
              <w:tab w:val="left" w:pos="1760"/>
            </w:tabs>
            <w:rPr>
              <w:rFonts w:asciiTheme="minorHAnsi" w:eastAsiaTheme="minorEastAsia" w:hAnsiTheme="minorHAnsi" w:cstheme="minorBidi"/>
              <w:noProof/>
              <w:lang w:eastAsia="en-AU"/>
            </w:rPr>
          </w:pPr>
          <w:hyperlink w:anchor="_Toc461121070" w:history="1">
            <w:r w:rsidR="00892601" w:rsidRPr="00A02F7F">
              <w:rPr>
                <w:rStyle w:val="Hyperlink"/>
                <w:noProof/>
              </w:rPr>
              <w:t>11.2.</w:t>
            </w:r>
            <w:r w:rsidR="00892601">
              <w:rPr>
                <w:rFonts w:asciiTheme="minorHAnsi" w:eastAsiaTheme="minorEastAsia" w:hAnsiTheme="minorHAnsi" w:cstheme="minorBidi"/>
                <w:noProof/>
                <w:lang w:eastAsia="en-AU"/>
              </w:rPr>
              <w:tab/>
            </w:r>
            <w:r w:rsidR="00892601" w:rsidRPr="00A02F7F">
              <w:rPr>
                <w:rStyle w:val="Hyperlink"/>
                <w:noProof/>
              </w:rPr>
              <w:t>Pharmacodynamics</w:t>
            </w:r>
            <w:r w:rsidR="00892601">
              <w:rPr>
                <w:noProof/>
                <w:webHidden/>
              </w:rPr>
              <w:tab/>
            </w:r>
            <w:r w:rsidR="00892601">
              <w:rPr>
                <w:noProof/>
                <w:webHidden/>
              </w:rPr>
              <w:fldChar w:fldCharType="begin"/>
            </w:r>
            <w:r w:rsidR="00892601">
              <w:rPr>
                <w:noProof/>
                <w:webHidden/>
              </w:rPr>
              <w:instrText xml:space="preserve"> PAGEREF _Toc461121070 \h </w:instrText>
            </w:r>
            <w:r w:rsidR="00892601">
              <w:rPr>
                <w:noProof/>
                <w:webHidden/>
              </w:rPr>
            </w:r>
            <w:r w:rsidR="00892601">
              <w:rPr>
                <w:noProof/>
                <w:webHidden/>
              </w:rPr>
              <w:fldChar w:fldCharType="separate"/>
            </w:r>
            <w:r w:rsidR="00892601">
              <w:rPr>
                <w:noProof/>
                <w:webHidden/>
              </w:rPr>
              <w:t>151</w:t>
            </w:r>
            <w:r w:rsidR="00892601">
              <w:rPr>
                <w:noProof/>
                <w:webHidden/>
              </w:rPr>
              <w:fldChar w:fldCharType="end"/>
            </w:r>
          </w:hyperlink>
        </w:p>
        <w:p w:rsidR="00892601" w:rsidRDefault="00D1392B">
          <w:pPr>
            <w:pStyle w:val="TOC3"/>
            <w:tabs>
              <w:tab w:val="left" w:pos="1760"/>
            </w:tabs>
            <w:rPr>
              <w:rFonts w:asciiTheme="minorHAnsi" w:eastAsiaTheme="minorEastAsia" w:hAnsiTheme="minorHAnsi" w:cstheme="minorBidi"/>
              <w:noProof/>
              <w:lang w:eastAsia="en-AU"/>
            </w:rPr>
          </w:pPr>
          <w:hyperlink w:anchor="_Toc461121071" w:history="1">
            <w:r w:rsidR="00892601" w:rsidRPr="00A02F7F">
              <w:rPr>
                <w:rStyle w:val="Hyperlink"/>
                <w:noProof/>
              </w:rPr>
              <w:t>11.3.</w:t>
            </w:r>
            <w:r w:rsidR="00892601">
              <w:rPr>
                <w:rFonts w:asciiTheme="minorHAnsi" w:eastAsiaTheme="minorEastAsia" w:hAnsiTheme="minorHAnsi" w:cstheme="minorBidi"/>
                <w:noProof/>
                <w:lang w:eastAsia="en-AU"/>
              </w:rPr>
              <w:tab/>
            </w:r>
            <w:r w:rsidR="00892601" w:rsidRPr="00A02F7F">
              <w:rPr>
                <w:rStyle w:val="Hyperlink"/>
                <w:noProof/>
              </w:rPr>
              <w:t>Efficacy</w:t>
            </w:r>
            <w:r w:rsidR="00892601">
              <w:rPr>
                <w:noProof/>
                <w:webHidden/>
              </w:rPr>
              <w:tab/>
            </w:r>
            <w:r w:rsidR="00892601">
              <w:rPr>
                <w:noProof/>
                <w:webHidden/>
              </w:rPr>
              <w:fldChar w:fldCharType="begin"/>
            </w:r>
            <w:r w:rsidR="00892601">
              <w:rPr>
                <w:noProof/>
                <w:webHidden/>
              </w:rPr>
              <w:instrText xml:space="preserve"> PAGEREF _Toc461121071 \h </w:instrText>
            </w:r>
            <w:r w:rsidR="00892601">
              <w:rPr>
                <w:noProof/>
                <w:webHidden/>
              </w:rPr>
            </w:r>
            <w:r w:rsidR="00892601">
              <w:rPr>
                <w:noProof/>
                <w:webHidden/>
              </w:rPr>
              <w:fldChar w:fldCharType="separate"/>
            </w:r>
            <w:r w:rsidR="00892601">
              <w:rPr>
                <w:noProof/>
                <w:webHidden/>
              </w:rPr>
              <w:t>151</w:t>
            </w:r>
            <w:r w:rsidR="00892601">
              <w:rPr>
                <w:noProof/>
                <w:webHidden/>
              </w:rPr>
              <w:fldChar w:fldCharType="end"/>
            </w:r>
          </w:hyperlink>
        </w:p>
        <w:p w:rsidR="00892601" w:rsidRDefault="00D1392B">
          <w:pPr>
            <w:pStyle w:val="TOC3"/>
            <w:tabs>
              <w:tab w:val="left" w:pos="1760"/>
            </w:tabs>
            <w:rPr>
              <w:rFonts w:asciiTheme="minorHAnsi" w:eastAsiaTheme="minorEastAsia" w:hAnsiTheme="minorHAnsi" w:cstheme="minorBidi"/>
              <w:noProof/>
              <w:lang w:eastAsia="en-AU"/>
            </w:rPr>
          </w:pPr>
          <w:hyperlink w:anchor="_Toc461121072" w:history="1">
            <w:r w:rsidR="00892601" w:rsidRPr="00A02F7F">
              <w:rPr>
                <w:rStyle w:val="Hyperlink"/>
                <w:noProof/>
              </w:rPr>
              <w:t>11.4.</w:t>
            </w:r>
            <w:r w:rsidR="00892601">
              <w:rPr>
                <w:rFonts w:asciiTheme="minorHAnsi" w:eastAsiaTheme="minorEastAsia" w:hAnsiTheme="minorHAnsi" w:cstheme="minorBidi"/>
                <w:noProof/>
                <w:lang w:eastAsia="en-AU"/>
              </w:rPr>
              <w:tab/>
            </w:r>
            <w:r w:rsidR="00892601" w:rsidRPr="00A02F7F">
              <w:rPr>
                <w:rStyle w:val="Hyperlink"/>
                <w:noProof/>
              </w:rPr>
              <w:t>Safety</w:t>
            </w:r>
            <w:r w:rsidR="00892601">
              <w:rPr>
                <w:noProof/>
                <w:webHidden/>
              </w:rPr>
              <w:tab/>
            </w:r>
            <w:r w:rsidR="00892601">
              <w:rPr>
                <w:noProof/>
                <w:webHidden/>
              </w:rPr>
              <w:fldChar w:fldCharType="begin"/>
            </w:r>
            <w:r w:rsidR="00892601">
              <w:rPr>
                <w:noProof/>
                <w:webHidden/>
              </w:rPr>
              <w:instrText xml:space="preserve"> PAGEREF _Toc461121072 \h </w:instrText>
            </w:r>
            <w:r w:rsidR="00892601">
              <w:rPr>
                <w:noProof/>
                <w:webHidden/>
              </w:rPr>
            </w:r>
            <w:r w:rsidR="00892601">
              <w:rPr>
                <w:noProof/>
                <w:webHidden/>
              </w:rPr>
              <w:fldChar w:fldCharType="separate"/>
            </w:r>
            <w:r w:rsidR="00892601">
              <w:rPr>
                <w:noProof/>
                <w:webHidden/>
              </w:rPr>
              <w:t>151</w:t>
            </w:r>
            <w:r w:rsidR="00892601">
              <w:rPr>
                <w:noProof/>
                <w:webHidden/>
              </w:rPr>
              <w:fldChar w:fldCharType="end"/>
            </w:r>
          </w:hyperlink>
        </w:p>
        <w:p w:rsidR="00892601" w:rsidRDefault="00D1392B">
          <w:pPr>
            <w:pStyle w:val="TOC2"/>
            <w:tabs>
              <w:tab w:val="left" w:pos="1320"/>
            </w:tabs>
            <w:rPr>
              <w:rFonts w:asciiTheme="minorHAnsi" w:eastAsiaTheme="minorEastAsia" w:hAnsiTheme="minorHAnsi" w:cstheme="minorBidi"/>
              <w:b w:val="0"/>
              <w:noProof/>
              <w:sz w:val="22"/>
              <w:lang w:eastAsia="en-AU"/>
            </w:rPr>
          </w:pPr>
          <w:hyperlink w:anchor="_Toc461121073" w:history="1">
            <w:r w:rsidR="00892601" w:rsidRPr="00A02F7F">
              <w:rPr>
                <w:rStyle w:val="Hyperlink"/>
                <w:noProof/>
              </w:rPr>
              <w:t>12.</w:t>
            </w:r>
            <w:r w:rsidR="00892601">
              <w:rPr>
                <w:rFonts w:asciiTheme="minorHAnsi" w:eastAsiaTheme="minorEastAsia" w:hAnsiTheme="minorHAnsi" w:cstheme="minorBidi"/>
                <w:b w:val="0"/>
                <w:noProof/>
                <w:sz w:val="22"/>
                <w:lang w:eastAsia="en-AU"/>
              </w:rPr>
              <w:tab/>
            </w:r>
            <w:r w:rsidR="00892601" w:rsidRPr="00A02F7F">
              <w:rPr>
                <w:rStyle w:val="Hyperlink"/>
                <w:noProof/>
              </w:rPr>
              <w:t>Second round evaluation of clinical data submitted in response to questions</w:t>
            </w:r>
            <w:r w:rsidR="00892601">
              <w:rPr>
                <w:noProof/>
                <w:webHidden/>
              </w:rPr>
              <w:tab/>
            </w:r>
            <w:r w:rsidR="00892601">
              <w:rPr>
                <w:noProof/>
                <w:webHidden/>
              </w:rPr>
              <w:fldChar w:fldCharType="begin"/>
            </w:r>
            <w:r w:rsidR="00892601">
              <w:rPr>
                <w:noProof/>
                <w:webHidden/>
              </w:rPr>
              <w:instrText xml:space="preserve"> PAGEREF _Toc461121073 \h </w:instrText>
            </w:r>
            <w:r w:rsidR="00892601">
              <w:rPr>
                <w:noProof/>
                <w:webHidden/>
              </w:rPr>
            </w:r>
            <w:r w:rsidR="00892601">
              <w:rPr>
                <w:noProof/>
                <w:webHidden/>
              </w:rPr>
              <w:fldChar w:fldCharType="separate"/>
            </w:r>
            <w:r w:rsidR="00892601">
              <w:rPr>
                <w:noProof/>
                <w:webHidden/>
              </w:rPr>
              <w:t>151</w:t>
            </w:r>
            <w:r w:rsidR="00892601">
              <w:rPr>
                <w:noProof/>
                <w:webHidden/>
              </w:rPr>
              <w:fldChar w:fldCharType="end"/>
            </w:r>
          </w:hyperlink>
        </w:p>
        <w:p w:rsidR="00892601" w:rsidRDefault="00D1392B">
          <w:pPr>
            <w:pStyle w:val="TOC3"/>
            <w:tabs>
              <w:tab w:val="left" w:pos="1760"/>
            </w:tabs>
            <w:rPr>
              <w:rFonts w:asciiTheme="minorHAnsi" w:eastAsiaTheme="minorEastAsia" w:hAnsiTheme="minorHAnsi" w:cstheme="minorBidi"/>
              <w:noProof/>
              <w:lang w:eastAsia="en-AU"/>
            </w:rPr>
          </w:pPr>
          <w:hyperlink w:anchor="_Toc461121074" w:history="1">
            <w:r w:rsidR="00892601" w:rsidRPr="00A02F7F">
              <w:rPr>
                <w:rStyle w:val="Hyperlink"/>
                <w:noProof/>
              </w:rPr>
              <w:t>12.1.</w:t>
            </w:r>
            <w:r w:rsidR="00892601">
              <w:rPr>
                <w:rFonts w:asciiTheme="minorHAnsi" w:eastAsiaTheme="minorEastAsia" w:hAnsiTheme="minorHAnsi" w:cstheme="minorBidi"/>
                <w:noProof/>
                <w:lang w:eastAsia="en-AU"/>
              </w:rPr>
              <w:tab/>
            </w:r>
            <w:r w:rsidR="00892601" w:rsidRPr="00A02F7F">
              <w:rPr>
                <w:rStyle w:val="Hyperlink"/>
                <w:noProof/>
              </w:rPr>
              <w:t>Pharmacokinetics Question 1</w:t>
            </w:r>
            <w:r w:rsidR="00892601">
              <w:rPr>
                <w:noProof/>
                <w:webHidden/>
              </w:rPr>
              <w:tab/>
            </w:r>
            <w:r w:rsidR="00892601">
              <w:rPr>
                <w:noProof/>
                <w:webHidden/>
              </w:rPr>
              <w:fldChar w:fldCharType="begin"/>
            </w:r>
            <w:r w:rsidR="00892601">
              <w:rPr>
                <w:noProof/>
                <w:webHidden/>
              </w:rPr>
              <w:instrText xml:space="preserve"> PAGEREF _Toc461121074 \h </w:instrText>
            </w:r>
            <w:r w:rsidR="00892601">
              <w:rPr>
                <w:noProof/>
                <w:webHidden/>
              </w:rPr>
            </w:r>
            <w:r w:rsidR="00892601">
              <w:rPr>
                <w:noProof/>
                <w:webHidden/>
              </w:rPr>
              <w:fldChar w:fldCharType="separate"/>
            </w:r>
            <w:r w:rsidR="00892601">
              <w:rPr>
                <w:noProof/>
                <w:webHidden/>
              </w:rPr>
              <w:t>151</w:t>
            </w:r>
            <w:r w:rsidR="00892601">
              <w:rPr>
                <w:noProof/>
                <w:webHidden/>
              </w:rPr>
              <w:fldChar w:fldCharType="end"/>
            </w:r>
          </w:hyperlink>
        </w:p>
        <w:p w:rsidR="00892601" w:rsidRDefault="00D1392B">
          <w:pPr>
            <w:pStyle w:val="TOC3"/>
            <w:tabs>
              <w:tab w:val="left" w:pos="1760"/>
            </w:tabs>
            <w:rPr>
              <w:rFonts w:asciiTheme="minorHAnsi" w:eastAsiaTheme="minorEastAsia" w:hAnsiTheme="minorHAnsi" w:cstheme="minorBidi"/>
              <w:noProof/>
              <w:lang w:eastAsia="en-AU"/>
            </w:rPr>
          </w:pPr>
          <w:hyperlink w:anchor="_Toc461121075" w:history="1">
            <w:r w:rsidR="00892601" w:rsidRPr="00A02F7F">
              <w:rPr>
                <w:rStyle w:val="Hyperlink"/>
                <w:noProof/>
              </w:rPr>
              <w:t>12.2.</w:t>
            </w:r>
            <w:r w:rsidR="00892601">
              <w:rPr>
                <w:rFonts w:asciiTheme="minorHAnsi" w:eastAsiaTheme="minorEastAsia" w:hAnsiTheme="minorHAnsi" w:cstheme="minorBidi"/>
                <w:noProof/>
                <w:lang w:eastAsia="en-AU"/>
              </w:rPr>
              <w:tab/>
            </w:r>
            <w:r w:rsidR="00892601" w:rsidRPr="00A02F7F">
              <w:rPr>
                <w:rStyle w:val="Hyperlink"/>
                <w:noProof/>
              </w:rPr>
              <w:t>Pharmacokinetics Question 2</w:t>
            </w:r>
            <w:r w:rsidR="00892601">
              <w:rPr>
                <w:noProof/>
                <w:webHidden/>
              </w:rPr>
              <w:tab/>
            </w:r>
            <w:r w:rsidR="00892601">
              <w:rPr>
                <w:noProof/>
                <w:webHidden/>
              </w:rPr>
              <w:fldChar w:fldCharType="begin"/>
            </w:r>
            <w:r w:rsidR="00892601">
              <w:rPr>
                <w:noProof/>
                <w:webHidden/>
              </w:rPr>
              <w:instrText xml:space="preserve"> PAGEREF _Toc461121075 \h </w:instrText>
            </w:r>
            <w:r w:rsidR="00892601">
              <w:rPr>
                <w:noProof/>
                <w:webHidden/>
              </w:rPr>
            </w:r>
            <w:r w:rsidR="00892601">
              <w:rPr>
                <w:noProof/>
                <w:webHidden/>
              </w:rPr>
              <w:fldChar w:fldCharType="separate"/>
            </w:r>
            <w:r w:rsidR="00892601">
              <w:rPr>
                <w:noProof/>
                <w:webHidden/>
              </w:rPr>
              <w:t>152</w:t>
            </w:r>
            <w:r w:rsidR="00892601">
              <w:rPr>
                <w:noProof/>
                <w:webHidden/>
              </w:rPr>
              <w:fldChar w:fldCharType="end"/>
            </w:r>
          </w:hyperlink>
        </w:p>
        <w:p w:rsidR="00892601" w:rsidRDefault="00D1392B">
          <w:pPr>
            <w:pStyle w:val="TOC3"/>
            <w:tabs>
              <w:tab w:val="left" w:pos="1760"/>
            </w:tabs>
            <w:rPr>
              <w:rFonts w:asciiTheme="minorHAnsi" w:eastAsiaTheme="minorEastAsia" w:hAnsiTheme="minorHAnsi" w:cstheme="minorBidi"/>
              <w:noProof/>
              <w:lang w:eastAsia="en-AU"/>
            </w:rPr>
          </w:pPr>
          <w:hyperlink w:anchor="_Toc461121076" w:history="1">
            <w:r w:rsidR="00892601" w:rsidRPr="00A02F7F">
              <w:rPr>
                <w:rStyle w:val="Hyperlink"/>
                <w:noProof/>
              </w:rPr>
              <w:t>12.3.</w:t>
            </w:r>
            <w:r w:rsidR="00892601">
              <w:rPr>
                <w:rFonts w:asciiTheme="minorHAnsi" w:eastAsiaTheme="minorEastAsia" w:hAnsiTheme="minorHAnsi" w:cstheme="minorBidi"/>
                <w:noProof/>
                <w:lang w:eastAsia="en-AU"/>
              </w:rPr>
              <w:tab/>
            </w:r>
            <w:r w:rsidR="00892601" w:rsidRPr="00A02F7F">
              <w:rPr>
                <w:rStyle w:val="Hyperlink"/>
                <w:noProof/>
              </w:rPr>
              <w:t>Pharmacodynamics</w:t>
            </w:r>
            <w:r w:rsidR="00892601">
              <w:rPr>
                <w:noProof/>
                <w:webHidden/>
              </w:rPr>
              <w:tab/>
            </w:r>
            <w:r w:rsidR="00892601">
              <w:rPr>
                <w:noProof/>
                <w:webHidden/>
              </w:rPr>
              <w:fldChar w:fldCharType="begin"/>
            </w:r>
            <w:r w:rsidR="00892601">
              <w:rPr>
                <w:noProof/>
                <w:webHidden/>
              </w:rPr>
              <w:instrText xml:space="preserve"> PAGEREF _Toc461121076 \h </w:instrText>
            </w:r>
            <w:r w:rsidR="00892601">
              <w:rPr>
                <w:noProof/>
                <w:webHidden/>
              </w:rPr>
            </w:r>
            <w:r w:rsidR="00892601">
              <w:rPr>
                <w:noProof/>
                <w:webHidden/>
              </w:rPr>
              <w:fldChar w:fldCharType="separate"/>
            </w:r>
            <w:r w:rsidR="00892601">
              <w:rPr>
                <w:noProof/>
                <w:webHidden/>
              </w:rPr>
              <w:t>152</w:t>
            </w:r>
            <w:r w:rsidR="00892601">
              <w:rPr>
                <w:noProof/>
                <w:webHidden/>
              </w:rPr>
              <w:fldChar w:fldCharType="end"/>
            </w:r>
          </w:hyperlink>
        </w:p>
        <w:p w:rsidR="00892601" w:rsidRDefault="00D1392B">
          <w:pPr>
            <w:pStyle w:val="TOC3"/>
            <w:tabs>
              <w:tab w:val="left" w:pos="1760"/>
            </w:tabs>
            <w:rPr>
              <w:rFonts w:asciiTheme="minorHAnsi" w:eastAsiaTheme="minorEastAsia" w:hAnsiTheme="minorHAnsi" w:cstheme="minorBidi"/>
              <w:noProof/>
              <w:lang w:eastAsia="en-AU"/>
            </w:rPr>
          </w:pPr>
          <w:hyperlink w:anchor="_Toc461121077" w:history="1">
            <w:r w:rsidR="00892601" w:rsidRPr="00A02F7F">
              <w:rPr>
                <w:rStyle w:val="Hyperlink"/>
                <w:noProof/>
              </w:rPr>
              <w:t>12.4.</w:t>
            </w:r>
            <w:r w:rsidR="00892601">
              <w:rPr>
                <w:rFonts w:asciiTheme="minorHAnsi" w:eastAsiaTheme="minorEastAsia" w:hAnsiTheme="minorHAnsi" w:cstheme="minorBidi"/>
                <w:noProof/>
                <w:lang w:eastAsia="en-AU"/>
              </w:rPr>
              <w:tab/>
            </w:r>
            <w:r w:rsidR="00892601" w:rsidRPr="00A02F7F">
              <w:rPr>
                <w:rStyle w:val="Hyperlink"/>
                <w:noProof/>
              </w:rPr>
              <w:t>Efficacy Question 1</w:t>
            </w:r>
            <w:r w:rsidR="00892601">
              <w:rPr>
                <w:noProof/>
                <w:webHidden/>
              </w:rPr>
              <w:tab/>
            </w:r>
            <w:r w:rsidR="00892601">
              <w:rPr>
                <w:noProof/>
                <w:webHidden/>
              </w:rPr>
              <w:fldChar w:fldCharType="begin"/>
            </w:r>
            <w:r w:rsidR="00892601">
              <w:rPr>
                <w:noProof/>
                <w:webHidden/>
              </w:rPr>
              <w:instrText xml:space="preserve"> PAGEREF _Toc461121077 \h </w:instrText>
            </w:r>
            <w:r w:rsidR="00892601">
              <w:rPr>
                <w:noProof/>
                <w:webHidden/>
              </w:rPr>
            </w:r>
            <w:r w:rsidR="00892601">
              <w:rPr>
                <w:noProof/>
                <w:webHidden/>
              </w:rPr>
              <w:fldChar w:fldCharType="separate"/>
            </w:r>
            <w:r w:rsidR="00892601">
              <w:rPr>
                <w:noProof/>
                <w:webHidden/>
              </w:rPr>
              <w:t>152</w:t>
            </w:r>
            <w:r w:rsidR="00892601">
              <w:rPr>
                <w:noProof/>
                <w:webHidden/>
              </w:rPr>
              <w:fldChar w:fldCharType="end"/>
            </w:r>
          </w:hyperlink>
        </w:p>
        <w:p w:rsidR="00892601" w:rsidRDefault="00D1392B">
          <w:pPr>
            <w:pStyle w:val="TOC2"/>
            <w:tabs>
              <w:tab w:val="left" w:pos="1320"/>
            </w:tabs>
            <w:rPr>
              <w:rFonts w:asciiTheme="minorHAnsi" w:eastAsiaTheme="minorEastAsia" w:hAnsiTheme="minorHAnsi" w:cstheme="minorBidi"/>
              <w:b w:val="0"/>
              <w:noProof/>
              <w:sz w:val="22"/>
              <w:lang w:eastAsia="en-AU"/>
            </w:rPr>
          </w:pPr>
          <w:hyperlink w:anchor="_Toc461121078" w:history="1">
            <w:r w:rsidR="00892601" w:rsidRPr="00A02F7F">
              <w:rPr>
                <w:rStyle w:val="Hyperlink"/>
                <w:noProof/>
              </w:rPr>
              <w:t>13.</w:t>
            </w:r>
            <w:r w:rsidR="00892601">
              <w:rPr>
                <w:rFonts w:asciiTheme="minorHAnsi" w:eastAsiaTheme="minorEastAsia" w:hAnsiTheme="minorHAnsi" w:cstheme="minorBidi"/>
                <w:b w:val="0"/>
                <w:noProof/>
                <w:sz w:val="22"/>
                <w:lang w:eastAsia="en-AU"/>
              </w:rPr>
              <w:tab/>
            </w:r>
            <w:r w:rsidR="00892601" w:rsidRPr="00A02F7F">
              <w:rPr>
                <w:rStyle w:val="Hyperlink"/>
                <w:noProof/>
              </w:rPr>
              <w:t>Second round benefit-risk assessment</w:t>
            </w:r>
            <w:r w:rsidR="00892601">
              <w:rPr>
                <w:noProof/>
                <w:webHidden/>
              </w:rPr>
              <w:tab/>
            </w:r>
            <w:r w:rsidR="00892601">
              <w:rPr>
                <w:noProof/>
                <w:webHidden/>
              </w:rPr>
              <w:fldChar w:fldCharType="begin"/>
            </w:r>
            <w:r w:rsidR="00892601">
              <w:rPr>
                <w:noProof/>
                <w:webHidden/>
              </w:rPr>
              <w:instrText xml:space="preserve"> PAGEREF _Toc461121078 \h </w:instrText>
            </w:r>
            <w:r w:rsidR="00892601">
              <w:rPr>
                <w:noProof/>
                <w:webHidden/>
              </w:rPr>
            </w:r>
            <w:r w:rsidR="00892601">
              <w:rPr>
                <w:noProof/>
                <w:webHidden/>
              </w:rPr>
              <w:fldChar w:fldCharType="separate"/>
            </w:r>
            <w:r w:rsidR="00892601">
              <w:rPr>
                <w:noProof/>
                <w:webHidden/>
              </w:rPr>
              <w:t>152</w:t>
            </w:r>
            <w:r w:rsidR="00892601">
              <w:rPr>
                <w:noProof/>
                <w:webHidden/>
              </w:rPr>
              <w:fldChar w:fldCharType="end"/>
            </w:r>
          </w:hyperlink>
        </w:p>
        <w:p w:rsidR="00892601" w:rsidRDefault="00D1392B">
          <w:pPr>
            <w:pStyle w:val="TOC3"/>
            <w:tabs>
              <w:tab w:val="left" w:pos="1760"/>
            </w:tabs>
            <w:rPr>
              <w:rFonts w:asciiTheme="minorHAnsi" w:eastAsiaTheme="minorEastAsia" w:hAnsiTheme="minorHAnsi" w:cstheme="minorBidi"/>
              <w:noProof/>
              <w:lang w:eastAsia="en-AU"/>
            </w:rPr>
          </w:pPr>
          <w:hyperlink w:anchor="_Toc461121079" w:history="1">
            <w:r w:rsidR="00892601" w:rsidRPr="00A02F7F">
              <w:rPr>
                <w:rStyle w:val="Hyperlink"/>
                <w:noProof/>
              </w:rPr>
              <w:t>13.1.</w:t>
            </w:r>
            <w:r w:rsidR="00892601">
              <w:rPr>
                <w:rFonts w:asciiTheme="minorHAnsi" w:eastAsiaTheme="minorEastAsia" w:hAnsiTheme="minorHAnsi" w:cstheme="minorBidi"/>
                <w:noProof/>
                <w:lang w:eastAsia="en-AU"/>
              </w:rPr>
              <w:tab/>
            </w:r>
            <w:r w:rsidR="00892601" w:rsidRPr="00A02F7F">
              <w:rPr>
                <w:rStyle w:val="Hyperlink"/>
                <w:noProof/>
              </w:rPr>
              <w:t>Second round assessment of benefits</w:t>
            </w:r>
            <w:r w:rsidR="00892601">
              <w:rPr>
                <w:noProof/>
                <w:webHidden/>
              </w:rPr>
              <w:tab/>
            </w:r>
            <w:r w:rsidR="00892601">
              <w:rPr>
                <w:noProof/>
                <w:webHidden/>
              </w:rPr>
              <w:fldChar w:fldCharType="begin"/>
            </w:r>
            <w:r w:rsidR="00892601">
              <w:rPr>
                <w:noProof/>
                <w:webHidden/>
              </w:rPr>
              <w:instrText xml:space="preserve"> PAGEREF _Toc461121079 \h </w:instrText>
            </w:r>
            <w:r w:rsidR="00892601">
              <w:rPr>
                <w:noProof/>
                <w:webHidden/>
              </w:rPr>
            </w:r>
            <w:r w:rsidR="00892601">
              <w:rPr>
                <w:noProof/>
                <w:webHidden/>
              </w:rPr>
              <w:fldChar w:fldCharType="separate"/>
            </w:r>
            <w:r w:rsidR="00892601">
              <w:rPr>
                <w:noProof/>
                <w:webHidden/>
              </w:rPr>
              <w:t>152</w:t>
            </w:r>
            <w:r w:rsidR="00892601">
              <w:rPr>
                <w:noProof/>
                <w:webHidden/>
              </w:rPr>
              <w:fldChar w:fldCharType="end"/>
            </w:r>
          </w:hyperlink>
        </w:p>
        <w:p w:rsidR="00892601" w:rsidRDefault="00D1392B">
          <w:pPr>
            <w:pStyle w:val="TOC3"/>
            <w:tabs>
              <w:tab w:val="left" w:pos="1760"/>
            </w:tabs>
            <w:rPr>
              <w:rFonts w:asciiTheme="minorHAnsi" w:eastAsiaTheme="minorEastAsia" w:hAnsiTheme="minorHAnsi" w:cstheme="minorBidi"/>
              <w:noProof/>
              <w:lang w:eastAsia="en-AU"/>
            </w:rPr>
          </w:pPr>
          <w:hyperlink w:anchor="_Toc461121080" w:history="1">
            <w:r w:rsidR="00892601" w:rsidRPr="00A02F7F">
              <w:rPr>
                <w:rStyle w:val="Hyperlink"/>
                <w:noProof/>
              </w:rPr>
              <w:t>13.2.</w:t>
            </w:r>
            <w:r w:rsidR="00892601">
              <w:rPr>
                <w:rFonts w:asciiTheme="minorHAnsi" w:eastAsiaTheme="minorEastAsia" w:hAnsiTheme="minorHAnsi" w:cstheme="minorBidi"/>
                <w:noProof/>
                <w:lang w:eastAsia="en-AU"/>
              </w:rPr>
              <w:tab/>
            </w:r>
            <w:r w:rsidR="00892601" w:rsidRPr="00A02F7F">
              <w:rPr>
                <w:rStyle w:val="Hyperlink"/>
                <w:noProof/>
              </w:rPr>
              <w:t>Second round assessment of risks</w:t>
            </w:r>
            <w:r w:rsidR="00892601">
              <w:rPr>
                <w:noProof/>
                <w:webHidden/>
              </w:rPr>
              <w:tab/>
            </w:r>
            <w:r w:rsidR="00892601">
              <w:rPr>
                <w:noProof/>
                <w:webHidden/>
              </w:rPr>
              <w:fldChar w:fldCharType="begin"/>
            </w:r>
            <w:r w:rsidR="00892601">
              <w:rPr>
                <w:noProof/>
                <w:webHidden/>
              </w:rPr>
              <w:instrText xml:space="preserve"> PAGEREF _Toc461121080 \h </w:instrText>
            </w:r>
            <w:r w:rsidR="00892601">
              <w:rPr>
                <w:noProof/>
                <w:webHidden/>
              </w:rPr>
            </w:r>
            <w:r w:rsidR="00892601">
              <w:rPr>
                <w:noProof/>
                <w:webHidden/>
              </w:rPr>
              <w:fldChar w:fldCharType="separate"/>
            </w:r>
            <w:r w:rsidR="00892601">
              <w:rPr>
                <w:noProof/>
                <w:webHidden/>
              </w:rPr>
              <w:t>153</w:t>
            </w:r>
            <w:r w:rsidR="00892601">
              <w:rPr>
                <w:noProof/>
                <w:webHidden/>
              </w:rPr>
              <w:fldChar w:fldCharType="end"/>
            </w:r>
          </w:hyperlink>
        </w:p>
        <w:p w:rsidR="00892601" w:rsidRDefault="00D1392B">
          <w:pPr>
            <w:pStyle w:val="TOC3"/>
            <w:tabs>
              <w:tab w:val="left" w:pos="1760"/>
            </w:tabs>
            <w:rPr>
              <w:rFonts w:asciiTheme="minorHAnsi" w:eastAsiaTheme="minorEastAsia" w:hAnsiTheme="minorHAnsi" w:cstheme="minorBidi"/>
              <w:noProof/>
              <w:lang w:eastAsia="en-AU"/>
            </w:rPr>
          </w:pPr>
          <w:hyperlink w:anchor="_Toc461121081" w:history="1">
            <w:r w:rsidR="00892601" w:rsidRPr="00A02F7F">
              <w:rPr>
                <w:rStyle w:val="Hyperlink"/>
                <w:noProof/>
              </w:rPr>
              <w:t>13.3.</w:t>
            </w:r>
            <w:r w:rsidR="00892601">
              <w:rPr>
                <w:rFonts w:asciiTheme="minorHAnsi" w:eastAsiaTheme="minorEastAsia" w:hAnsiTheme="minorHAnsi" w:cstheme="minorBidi"/>
                <w:noProof/>
                <w:lang w:eastAsia="en-AU"/>
              </w:rPr>
              <w:tab/>
            </w:r>
            <w:r w:rsidR="00892601" w:rsidRPr="00A02F7F">
              <w:rPr>
                <w:rStyle w:val="Hyperlink"/>
                <w:noProof/>
              </w:rPr>
              <w:t>Second round assessment of benefit-risk balance</w:t>
            </w:r>
            <w:r w:rsidR="00892601">
              <w:rPr>
                <w:noProof/>
                <w:webHidden/>
              </w:rPr>
              <w:tab/>
            </w:r>
            <w:r w:rsidR="00892601">
              <w:rPr>
                <w:noProof/>
                <w:webHidden/>
              </w:rPr>
              <w:fldChar w:fldCharType="begin"/>
            </w:r>
            <w:r w:rsidR="00892601">
              <w:rPr>
                <w:noProof/>
                <w:webHidden/>
              </w:rPr>
              <w:instrText xml:space="preserve"> PAGEREF _Toc461121081 \h </w:instrText>
            </w:r>
            <w:r w:rsidR="00892601">
              <w:rPr>
                <w:noProof/>
                <w:webHidden/>
              </w:rPr>
            </w:r>
            <w:r w:rsidR="00892601">
              <w:rPr>
                <w:noProof/>
                <w:webHidden/>
              </w:rPr>
              <w:fldChar w:fldCharType="separate"/>
            </w:r>
            <w:r w:rsidR="00892601">
              <w:rPr>
                <w:noProof/>
                <w:webHidden/>
              </w:rPr>
              <w:t>153</w:t>
            </w:r>
            <w:r w:rsidR="00892601">
              <w:rPr>
                <w:noProof/>
                <w:webHidden/>
              </w:rPr>
              <w:fldChar w:fldCharType="end"/>
            </w:r>
          </w:hyperlink>
        </w:p>
        <w:p w:rsidR="00892601" w:rsidRDefault="00D1392B">
          <w:pPr>
            <w:pStyle w:val="TOC2"/>
            <w:tabs>
              <w:tab w:val="left" w:pos="1320"/>
            </w:tabs>
            <w:rPr>
              <w:rFonts w:asciiTheme="minorHAnsi" w:eastAsiaTheme="minorEastAsia" w:hAnsiTheme="minorHAnsi" w:cstheme="minorBidi"/>
              <w:b w:val="0"/>
              <w:noProof/>
              <w:sz w:val="22"/>
              <w:lang w:eastAsia="en-AU"/>
            </w:rPr>
          </w:pPr>
          <w:hyperlink w:anchor="_Toc461121082" w:history="1">
            <w:r w:rsidR="00892601" w:rsidRPr="00A02F7F">
              <w:rPr>
                <w:rStyle w:val="Hyperlink"/>
                <w:noProof/>
              </w:rPr>
              <w:t>14.</w:t>
            </w:r>
            <w:r w:rsidR="00892601">
              <w:rPr>
                <w:rFonts w:asciiTheme="minorHAnsi" w:eastAsiaTheme="minorEastAsia" w:hAnsiTheme="minorHAnsi" w:cstheme="minorBidi"/>
                <w:b w:val="0"/>
                <w:noProof/>
                <w:sz w:val="22"/>
                <w:lang w:eastAsia="en-AU"/>
              </w:rPr>
              <w:tab/>
            </w:r>
            <w:r w:rsidR="00892601" w:rsidRPr="00A02F7F">
              <w:rPr>
                <w:rStyle w:val="Hyperlink"/>
                <w:noProof/>
              </w:rPr>
              <w:t>Second round recommendation regarding authorisation</w:t>
            </w:r>
            <w:r w:rsidR="00892601">
              <w:rPr>
                <w:noProof/>
                <w:webHidden/>
              </w:rPr>
              <w:tab/>
            </w:r>
            <w:r w:rsidR="00892601">
              <w:rPr>
                <w:noProof/>
                <w:webHidden/>
              </w:rPr>
              <w:fldChar w:fldCharType="begin"/>
            </w:r>
            <w:r w:rsidR="00892601">
              <w:rPr>
                <w:noProof/>
                <w:webHidden/>
              </w:rPr>
              <w:instrText xml:space="preserve"> PAGEREF _Toc461121082 \h </w:instrText>
            </w:r>
            <w:r w:rsidR="00892601">
              <w:rPr>
                <w:noProof/>
                <w:webHidden/>
              </w:rPr>
            </w:r>
            <w:r w:rsidR="00892601">
              <w:rPr>
                <w:noProof/>
                <w:webHidden/>
              </w:rPr>
              <w:fldChar w:fldCharType="separate"/>
            </w:r>
            <w:r w:rsidR="00892601">
              <w:rPr>
                <w:noProof/>
                <w:webHidden/>
              </w:rPr>
              <w:t>153</w:t>
            </w:r>
            <w:r w:rsidR="00892601">
              <w:rPr>
                <w:noProof/>
                <w:webHidden/>
              </w:rPr>
              <w:fldChar w:fldCharType="end"/>
            </w:r>
          </w:hyperlink>
        </w:p>
        <w:p w:rsidR="00892601" w:rsidRDefault="00D1392B">
          <w:pPr>
            <w:pStyle w:val="TOC2"/>
            <w:tabs>
              <w:tab w:val="left" w:pos="1320"/>
            </w:tabs>
            <w:rPr>
              <w:rFonts w:asciiTheme="minorHAnsi" w:eastAsiaTheme="minorEastAsia" w:hAnsiTheme="minorHAnsi" w:cstheme="minorBidi"/>
              <w:b w:val="0"/>
              <w:noProof/>
              <w:sz w:val="22"/>
              <w:lang w:eastAsia="en-AU"/>
            </w:rPr>
          </w:pPr>
          <w:hyperlink w:anchor="_Toc461121083" w:history="1">
            <w:r w:rsidR="00892601" w:rsidRPr="00A02F7F">
              <w:rPr>
                <w:rStyle w:val="Hyperlink"/>
                <w:noProof/>
              </w:rPr>
              <w:t>15.</w:t>
            </w:r>
            <w:r w:rsidR="00892601">
              <w:rPr>
                <w:rFonts w:asciiTheme="minorHAnsi" w:eastAsiaTheme="minorEastAsia" w:hAnsiTheme="minorHAnsi" w:cstheme="minorBidi"/>
                <w:b w:val="0"/>
                <w:noProof/>
                <w:sz w:val="22"/>
                <w:lang w:eastAsia="en-AU"/>
              </w:rPr>
              <w:tab/>
            </w:r>
            <w:r w:rsidR="00892601" w:rsidRPr="00A02F7F">
              <w:rPr>
                <w:rStyle w:val="Hyperlink"/>
                <w:noProof/>
              </w:rPr>
              <w:t>References</w:t>
            </w:r>
            <w:r w:rsidR="00892601">
              <w:rPr>
                <w:noProof/>
                <w:webHidden/>
              </w:rPr>
              <w:tab/>
            </w:r>
            <w:r w:rsidR="00892601">
              <w:rPr>
                <w:noProof/>
                <w:webHidden/>
              </w:rPr>
              <w:fldChar w:fldCharType="begin"/>
            </w:r>
            <w:r w:rsidR="00892601">
              <w:rPr>
                <w:noProof/>
                <w:webHidden/>
              </w:rPr>
              <w:instrText xml:space="preserve"> PAGEREF _Toc461121083 \h </w:instrText>
            </w:r>
            <w:r w:rsidR="00892601">
              <w:rPr>
                <w:noProof/>
                <w:webHidden/>
              </w:rPr>
            </w:r>
            <w:r w:rsidR="00892601">
              <w:rPr>
                <w:noProof/>
                <w:webHidden/>
              </w:rPr>
              <w:fldChar w:fldCharType="separate"/>
            </w:r>
            <w:r w:rsidR="00892601">
              <w:rPr>
                <w:noProof/>
                <w:webHidden/>
              </w:rPr>
              <w:t>154</w:t>
            </w:r>
            <w:r w:rsidR="00892601">
              <w:rPr>
                <w:noProof/>
                <w:webHidden/>
              </w:rPr>
              <w:fldChar w:fldCharType="end"/>
            </w:r>
          </w:hyperlink>
        </w:p>
        <w:p w:rsidR="003A7F6C" w:rsidRPr="00B811C6" w:rsidRDefault="004F4AF5" w:rsidP="00B811C6">
          <w:pPr>
            <w:pStyle w:val="TOC2"/>
          </w:pPr>
          <w:r>
            <w:fldChar w:fldCharType="end"/>
          </w:r>
        </w:p>
      </w:sdtContent>
    </w:sdt>
    <w:bookmarkStart w:id="2" w:name="_Toc314842482" w:displacedByCustomXml="prev"/>
    <w:p w:rsidR="00586F98" w:rsidRDefault="00586F98" w:rsidP="002164D3">
      <w:pPr>
        <w:pStyle w:val="Heading2"/>
        <w:pageBreakBefore/>
        <w:numPr>
          <w:ilvl w:val="0"/>
          <w:numId w:val="0"/>
        </w:numPr>
      </w:pPr>
      <w:bookmarkStart w:id="3" w:name="_Toc351716269"/>
      <w:bookmarkStart w:id="4" w:name="_Toc351718881"/>
      <w:bookmarkStart w:id="5" w:name="_Toc355338616"/>
      <w:bookmarkStart w:id="6" w:name="_Toc461121032"/>
      <w:r>
        <w:lastRenderedPageBreak/>
        <w:t>List of abbreviations</w:t>
      </w:r>
      <w:bookmarkEnd w:id="3"/>
      <w:bookmarkEnd w:id="4"/>
      <w:bookmarkEnd w:id="5"/>
      <w:bookmarkEnd w:id="6"/>
    </w:p>
    <w:tbl>
      <w:tblPr>
        <w:tblStyle w:val="TableTGAblue"/>
        <w:tblW w:w="0" w:type="auto"/>
        <w:tblLook w:val="04A0" w:firstRow="1" w:lastRow="0" w:firstColumn="1" w:lastColumn="0" w:noHBand="0" w:noVBand="1"/>
      </w:tblPr>
      <w:tblGrid>
        <w:gridCol w:w="1890"/>
        <w:gridCol w:w="6911"/>
      </w:tblGrid>
      <w:tr w:rsidR="00586F98" w:rsidTr="001D064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90" w:type="dxa"/>
          </w:tcPr>
          <w:p w:rsidR="00586F98" w:rsidRDefault="00586F98" w:rsidP="000A63AF">
            <w:r>
              <w:t>Abbreviation</w:t>
            </w:r>
          </w:p>
        </w:tc>
        <w:tc>
          <w:tcPr>
            <w:tcW w:w="6911" w:type="dxa"/>
          </w:tcPr>
          <w:p w:rsidR="00586F98" w:rsidRDefault="00586F98" w:rsidP="000A63AF">
            <w:pPr>
              <w:cnfStyle w:val="100000000000" w:firstRow="1" w:lastRow="0" w:firstColumn="0" w:lastColumn="0" w:oddVBand="0" w:evenVBand="0" w:oddHBand="0" w:evenHBand="0" w:firstRowFirstColumn="0" w:firstRowLastColumn="0" w:lastRowFirstColumn="0" w:lastRowLastColumn="0"/>
            </w:pPr>
            <w:r>
              <w:t>Meaning</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ADME</w:t>
            </w:r>
          </w:p>
        </w:tc>
        <w:tc>
          <w:tcPr>
            <w:tcW w:w="6911" w:type="dxa"/>
          </w:tcPr>
          <w:p w:rsidR="001D064D" w:rsidRPr="001D064D" w:rsidRDefault="001D064D" w:rsidP="00FD22FB">
            <w:pPr>
              <w:cnfStyle w:val="000000000000" w:firstRow="0" w:lastRow="0" w:firstColumn="0" w:lastColumn="0" w:oddVBand="0" w:evenVBand="0" w:oddHBand="0" w:evenHBand="0" w:firstRowFirstColumn="0" w:firstRowLastColumn="0" w:lastRowFirstColumn="0" w:lastRowLastColumn="0"/>
            </w:pPr>
            <w:r w:rsidRPr="001D064D">
              <w:t>absorption, distribu</w:t>
            </w:r>
            <w:r w:rsidR="00977809">
              <w:t>tion, metabolism, and excretion</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AE</w:t>
            </w:r>
          </w:p>
        </w:tc>
        <w:tc>
          <w:tcPr>
            <w:tcW w:w="6911" w:type="dxa"/>
          </w:tcPr>
          <w:p w:rsidR="001D064D" w:rsidRPr="001D064D" w:rsidRDefault="00977809" w:rsidP="00FD22FB">
            <w:pPr>
              <w:cnfStyle w:val="000000000000" w:firstRow="0" w:lastRow="0" w:firstColumn="0" w:lastColumn="0" w:oddVBand="0" w:evenVBand="0" w:oddHBand="0" w:evenHBand="0" w:firstRowFirstColumn="0" w:firstRowLastColumn="0" w:lastRowFirstColumn="0" w:lastRowLastColumn="0"/>
            </w:pPr>
            <w:r>
              <w:t>adverse event</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AESI</w:t>
            </w:r>
          </w:p>
        </w:tc>
        <w:tc>
          <w:tcPr>
            <w:tcW w:w="6911" w:type="dxa"/>
          </w:tcPr>
          <w:p w:rsidR="001D064D" w:rsidRPr="001D064D" w:rsidRDefault="001D064D" w:rsidP="00FD22FB">
            <w:pPr>
              <w:cnfStyle w:val="000000000000" w:firstRow="0" w:lastRow="0" w:firstColumn="0" w:lastColumn="0" w:oddVBand="0" w:evenVBand="0" w:oddHBand="0" w:evenHBand="0" w:firstRowFirstColumn="0" w:firstRowLastColumn="0" w:lastRowFirstColumn="0" w:lastRowLastColumn="0"/>
            </w:pPr>
            <w:r w:rsidRPr="001D064D">
              <w:t>ad</w:t>
            </w:r>
            <w:r w:rsidR="00977809">
              <w:t>verse event of special interest</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AIC</w:t>
            </w:r>
          </w:p>
        </w:tc>
        <w:tc>
          <w:tcPr>
            <w:tcW w:w="6911" w:type="dxa"/>
          </w:tcPr>
          <w:p w:rsidR="001D064D" w:rsidRPr="001D064D" w:rsidRDefault="00977809" w:rsidP="00FD22FB">
            <w:pPr>
              <w:cnfStyle w:val="000000000000" w:firstRow="0" w:lastRow="0" w:firstColumn="0" w:lastColumn="0" w:oddVBand="0" w:evenVBand="0" w:oddHBand="0" w:evenHBand="0" w:firstRowFirstColumn="0" w:firstRowLastColumn="0" w:lastRowFirstColumn="0" w:lastRowLastColumn="0"/>
            </w:pPr>
            <w:r>
              <w:t>Akaike information criterion</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ALAG</w:t>
            </w:r>
          </w:p>
        </w:tc>
        <w:tc>
          <w:tcPr>
            <w:tcW w:w="6911" w:type="dxa"/>
          </w:tcPr>
          <w:p w:rsidR="001D064D" w:rsidRPr="001D064D" w:rsidRDefault="00977809" w:rsidP="00FD22FB">
            <w:pPr>
              <w:cnfStyle w:val="000000000000" w:firstRow="0" w:lastRow="0" w:firstColumn="0" w:lastColumn="0" w:oddVBand="0" w:evenVBand="0" w:oddHBand="0" w:evenHBand="0" w:firstRowFirstColumn="0" w:firstRowLastColumn="0" w:lastRowFirstColumn="0" w:lastRowLastColumn="0"/>
            </w:pPr>
            <w:r>
              <w:t>absorption lag time</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ALP</w:t>
            </w:r>
          </w:p>
        </w:tc>
        <w:tc>
          <w:tcPr>
            <w:tcW w:w="6911" w:type="dxa"/>
          </w:tcPr>
          <w:p w:rsidR="001D064D" w:rsidRPr="001D064D" w:rsidRDefault="00977809" w:rsidP="00FD22FB">
            <w:pPr>
              <w:cnfStyle w:val="000000000000" w:firstRow="0" w:lastRow="0" w:firstColumn="0" w:lastColumn="0" w:oddVBand="0" w:evenVBand="0" w:oddHBand="0" w:evenHBand="0" w:firstRowFirstColumn="0" w:firstRowLastColumn="0" w:lastRowFirstColumn="0" w:lastRowLastColumn="0"/>
            </w:pPr>
            <w:r>
              <w:t>alkaline phosphatase</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ALT</w:t>
            </w:r>
          </w:p>
        </w:tc>
        <w:tc>
          <w:tcPr>
            <w:tcW w:w="6911" w:type="dxa"/>
          </w:tcPr>
          <w:p w:rsidR="001D064D" w:rsidRPr="001D064D" w:rsidRDefault="00977809" w:rsidP="00FD22FB">
            <w:pPr>
              <w:cnfStyle w:val="000000000000" w:firstRow="0" w:lastRow="0" w:firstColumn="0" w:lastColumn="0" w:oddVBand="0" w:evenVBand="0" w:oddHBand="0" w:evenHBand="0" w:firstRowFirstColumn="0" w:firstRowLastColumn="0" w:lastRowFirstColumn="0" w:lastRowLastColumn="0"/>
            </w:pPr>
            <w:r>
              <w:t>alanine aminotransferase</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ANC</w:t>
            </w:r>
          </w:p>
        </w:tc>
        <w:tc>
          <w:tcPr>
            <w:tcW w:w="6911" w:type="dxa"/>
          </w:tcPr>
          <w:p w:rsidR="001D064D" w:rsidRPr="001D064D" w:rsidRDefault="00977809" w:rsidP="00FD22FB">
            <w:pPr>
              <w:cnfStyle w:val="000000000000" w:firstRow="0" w:lastRow="0" w:firstColumn="0" w:lastColumn="0" w:oddVBand="0" w:evenVBand="0" w:oddHBand="0" w:evenHBand="0" w:firstRowFirstColumn="0" w:firstRowLastColumn="0" w:lastRowFirstColumn="0" w:lastRowLastColumn="0"/>
            </w:pPr>
            <w:r>
              <w:t>absolute neutrophil counts</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API</w:t>
            </w:r>
          </w:p>
        </w:tc>
        <w:tc>
          <w:tcPr>
            <w:tcW w:w="6911" w:type="dxa"/>
          </w:tcPr>
          <w:p w:rsidR="001D064D" w:rsidRPr="001D064D" w:rsidRDefault="001D064D" w:rsidP="00FD22FB">
            <w:pPr>
              <w:cnfStyle w:val="000000000000" w:firstRow="0" w:lastRow="0" w:firstColumn="0" w:lastColumn="0" w:oddVBand="0" w:evenVBand="0" w:oddHBand="0" w:evenHBand="0" w:firstRowFirstColumn="0" w:firstRowLastColumn="0" w:lastRowFirstColumn="0" w:lastRowLastColumn="0"/>
            </w:pPr>
            <w:r w:rsidRPr="001D064D">
              <w:t>a</w:t>
            </w:r>
            <w:r w:rsidR="00977809">
              <w:t>ctive pharmaceutical ingredient</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AST</w:t>
            </w:r>
          </w:p>
        </w:tc>
        <w:tc>
          <w:tcPr>
            <w:tcW w:w="6911" w:type="dxa"/>
          </w:tcPr>
          <w:p w:rsidR="001D064D" w:rsidRPr="001D064D" w:rsidRDefault="00977809" w:rsidP="00FD22FB">
            <w:pPr>
              <w:cnfStyle w:val="000000000000" w:firstRow="0" w:lastRow="0" w:firstColumn="0" w:lastColumn="0" w:oddVBand="0" w:evenVBand="0" w:oddHBand="0" w:evenHBand="0" w:firstRowFirstColumn="0" w:firstRowLastColumn="0" w:lastRowFirstColumn="0" w:lastRowLastColumn="0"/>
            </w:pPr>
            <w:r>
              <w:t>aspartate aminotransferase</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AUC</w:t>
            </w:r>
          </w:p>
        </w:tc>
        <w:tc>
          <w:tcPr>
            <w:tcW w:w="6911" w:type="dxa"/>
          </w:tcPr>
          <w:p w:rsidR="001D064D" w:rsidRPr="001D064D" w:rsidRDefault="001D064D" w:rsidP="00FD22FB">
            <w:pPr>
              <w:cnfStyle w:val="000000000000" w:firstRow="0" w:lastRow="0" w:firstColumn="0" w:lastColumn="0" w:oddVBand="0" w:evenVBand="0" w:oddHBand="0" w:evenHBand="0" w:firstRowFirstColumn="0" w:firstRowLastColumn="0" w:lastRowFirstColumn="0" w:lastRowLastColumn="0"/>
            </w:pPr>
            <w:r w:rsidRPr="001D064D">
              <w:t>area und</w:t>
            </w:r>
            <w:r w:rsidR="00977809">
              <w:t>er the concentration-time curve</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1D064D" w:rsidP="00FD22FB">
            <w:r w:rsidRPr="001D064D">
              <w:t>Aus</w:t>
            </w:r>
            <w:r w:rsidR="00977809" w:rsidRPr="00977809">
              <w:t>PAR</w:t>
            </w:r>
          </w:p>
        </w:tc>
        <w:tc>
          <w:tcPr>
            <w:tcW w:w="6911" w:type="dxa"/>
          </w:tcPr>
          <w:p w:rsidR="001D064D" w:rsidRPr="001D064D" w:rsidRDefault="001D064D" w:rsidP="00FD22FB">
            <w:pPr>
              <w:cnfStyle w:val="000000000000" w:firstRow="0" w:lastRow="0" w:firstColumn="0" w:lastColumn="0" w:oddVBand="0" w:evenVBand="0" w:oddHBand="0" w:evenHBand="0" w:firstRowFirstColumn="0" w:firstRowLastColumn="0" w:lastRowFirstColumn="0" w:lastRowLastColumn="0"/>
            </w:pPr>
            <w:r w:rsidRPr="001D064D">
              <w:t>Austr</w:t>
            </w:r>
            <w:r w:rsidR="00977809">
              <w:t>alian Public Assessment Reports</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BA</w:t>
            </w:r>
          </w:p>
        </w:tc>
        <w:tc>
          <w:tcPr>
            <w:tcW w:w="6911" w:type="dxa"/>
          </w:tcPr>
          <w:p w:rsidR="001D064D" w:rsidRPr="001D064D" w:rsidRDefault="00977809" w:rsidP="00FD22FB">
            <w:pPr>
              <w:cnfStyle w:val="000000000000" w:firstRow="0" w:lastRow="0" w:firstColumn="0" w:lastColumn="0" w:oddVBand="0" w:evenVBand="0" w:oddHBand="0" w:evenHBand="0" w:firstRowFirstColumn="0" w:firstRowLastColumn="0" w:lastRowFirstColumn="0" w:lastRowLastColumn="0"/>
            </w:pPr>
            <w:r>
              <w:t>bioavailability</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BMI</w:t>
            </w:r>
          </w:p>
        </w:tc>
        <w:tc>
          <w:tcPr>
            <w:tcW w:w="6911" w:type="dxa"/>
          </w:tcPr>
          <w:p w:rsidR="001D064D" w:rsidRPr="001D064D" w:rsidRDefault="00977809" w:rsidP="00FD22FB">
            <w:pPr>
              <w:cnfStyle w:val="000000000000" w:firstRow="0" w:lastRow="0" w:firstColumn="0" w:lastColumn="0" w:oddVBand="0" w:evenVBand="0" w:oddHBand="0" w:evenHBand="0" w:firstRowFirstColumn="0" w:firstRowLastColumn="0" w:lastRowFirstColumn="0" w:lastRowLastColumn="0"/>
            </w:pPr>
            <w:r>
              <w:t>body mass index</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BSA</w:t>
            </w:r>
          </w:p>
        </w:tc>
        <w:tc>
          <w:tcPr>
            <w:tcW w:w="6911" w:type="dxa"/>
          </w:tcPr>
          <w:p w:rsidR="001D064D" w:rsidRPr="001D064D" w:rsidRDefault="00977809" w:rsidP="00FD22FB">
            <w:pPr>
              <w:cnfStyle w:val="000000000000" w:firstRow="0" w:lastRow="0" w:firstColumn="0" w:lastColumn="0" w:oddVBand="0" w:evenVBand="0" w:oddHBand="0" w:evenHBand="0" w:firstRowFirstColumn="0" w:firstRowLastColumn="0" w:lastRowFirstColumn="0" w:lastRowLastColumn="0"/>
            </w:pPr>
            <w:r>
              <w:t>body surface area</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CF</w:t>
            </w:r>
          </w:p>
        </w:tc>
        <w:tc>
          <w:tcPr>
            <w:tcW w:w="6911" w:type="dxa"/>
          </w:tcPr>
          <w:p w:rsidR="001D064D" w:rsidRPr="001D064D" w:rsidRDefault="00977809" w:rsidP="00FD22FB">
            <w:pPr>
              <w:cnfStyle w:val="000000000000" w:firstRow="0" w:lastRow="0" w:firstColumn="0" w:lastColumn="0" w:oddVBand="0" w:evenVBand="0" w:oddHBand="0" w:evenHBand="0" w:firstRowFirstColumn="0" w:firstRowLastColumn="0" w:lastRowFirstColumn="0" w:lastRowLastColumn="0"/>
            </w:pPr>
            <w:r>
              <w:t>cystic fibrosis</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CFF US</w:t>
            </w:r>
          </w:p>
        </w:tc>
        <w:tc>
          <w:tcPr>
            <w:tcW w:w="6911" w:type="dxa"/>
          </w:tcPr>
          <w:p w:rsidR="001D064D" w:rsidRPr="001D064D" w:rsidRDefault="00977809" w:rsidP="00FD22FB">
            <w:pPr>
              <w:cnfStyle w:val="000000000000" w:firstRow="0" w:lastRow="0" w:firstColumn="0" w:lastColumn="0" w:oddVBand="0" w:evenVBand="0" w:oddHBand="0" w:evenHBand="0" w:firstRowFirstColumn="0" w:firstRowLastColumn="0" w:lastRowFirstColumn="0" w:lastRowLastColumn="0"/>
            </w:pPr>
            <w:r>
              <w:t>Cystic Fibrosis Society</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CFQ-R</w:t>
            </w:r>
          </w:p>
        </w:tc>
        <w:tc>
          <w:tcPr>
            <w:tcW w:w="6911" w:type="dxa"/>
          </w:tcPr>
          <w:p w:rsidR="001D064D" w:rsidRPr="001D064D" w:rsidRDefault="001D064D" w:rsidP="00FD22FB">
            <w:pPr>
              <w:cnfStyle w:val="000000000000" w:firstRow="0" w:lastRow="0" w:firstColumn="0" w:lastColumn="0" w:oddVBand="0" w:evenVBand="0" w:oddHBand="0" w:evenHBand="0" w:firstRowFirstColumn="0" w:firstRowLastColumn="0" w:lastRowFirstColumn="0" w:lastRowLastColumn="0"/>
            </w:pPr>
            <w:r w:rsidRPr="001D064D">
              <w:t>Cystic F</w:t>
            </w:r>
            <w:r w:rsidR="00977809">
              <w:t>ibrosis Questionnaire – Revised</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CFTR</w:t>
            </w:r>
          </w:p>
        </w:tc>
        <w:tc>
          <w:tcPr>
            <w:tcW w:w="6911" w:type="dxa"/>
          </w:tcPr>
          <w:p w:rsidR="001D064D" w:rsidRPr="001D064D" w:rsidRDefault="001D064D" w:rsidP="00FD22FB">
            <w:pPr>
              <w:cnfStyle w:val="000000000000" w:firstRow="0" w:lastRow="0" w:firstColumn="0" w:lastColumn="0" w:oddVBand="0" w:evenVBand="0" w:oddHBand="0" w:evenHBand="0" w:firstRowFirstColumn="0" w:firstRowLastColumn="0" w:lastRowFirstColumn="0" w:lastRowLastColumn="0"/>
            </w:pPr>
            <w:r w:rsidRPr="001D064D">
              <w:t>CF tran</w:t>
            </w:r>
            <w:r w:rsidR="00977809">
              <w:t>smembrane conductance regulator</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CHMP</w:t>
            </w:r>
          </w:p>
        </w:tc>
        <w:tc>
          <w:tcPr>
            <w:tcW w:w="6911" w:type="dxa"/>
          </w:tcPr>
          <w:p w:rsidR="001D064D" w:rsidRPr="001D064D" w:rsidRDefault="001D064D" w:rsidP="00FD22FB">
            <w:pPr>
              <w:cnfStyle w:val="000000000000" w:firstRow="0" w:lastRow="0" w:firstColumn="0" w:lastColumn="0" w:oddVBand="0" w:evenVBand="0" w:oddHBand="0" w:evenHBand="0" w:firstRowFirstColumn="0" w:firstRowLastColumn="0" w:lastRowFirstColumn="0" w:lastRowLastColumn="0"/>
            </w:pPr>
            <w:r w:rsidRPr="001D064D">
              <w:t>Committee for Medicin</w:t>
            </w:r>
            <w:r w:rsidR="00977809">
              <w:t>al Products for Human Use (EMA)</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CI</w:t>
            </w:r>
          </w:p>
        </w:tc>
        <w:tc>
          <w:tcPr>
            <w:tcW w:w="6911" w:type="dxa"/>
          </w:tcPr>
          <w:p w:rsidR="001D064D" w:rsidRPr="001D064D" w:rsidRDefault="00977809" w:rsidP="00FD22FB">
            <w:pPr>
              <w:cnfStyle w:val="000000000000" w:firstRow="0" w:lastRow="0" w:firstColumn="0" w:lastColumn="0" w:oddVBand="0" w:evenVBand="0" w:oddHBand="0" w:evenHBand="0" w:firstRowFirstColumn="0" w:firstRowLastColumn="0" w:lastRowFirstColumn="0" w:lastRowLastColumn="0"/>
            </w:pPr>
            <w:r>
              <w:t>confidence interval</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0F1730" w:rsidRPr="001D064D" w:rsidRDefault="00977809" w:rsidP="000F1730">
            <w:r>
              <w:t>CL/F</w:t>
            </w:r>
          </w:p>
        </w:tc>
        <w:tc>
          <w:tcPr>
            <w:tcW w:w="6911" w:type="dxa"/>
          </w:tcPr>
          <w:p w:rsidR="001D064D" w:rsidRPr="001D064D" w:rsidRDefault="00977809" w:rsidP="00FD22FB">
            <w:pPr>
              <w:cnfStyle w:val="000000000000" w:firstRow="0" w:lastRow="0" w:firstColumn="0" w:lastColumn="0" w:oddVBand="0" w:evenVBand="0" w:oddHBand="0" w:evenHBand="0" w:firstRowFirstColumn="0" w:firstRowLastColumn="0" w:lastRowFirstColumn="0" w:lastRowLastColumn="0"/>
            </w:pPr>
            <w:r>
              <w:t>clearance</w:t>
            </w:r>
          </w:p>
        </w:tc>
      </w:tr>
      <w:tr w:rsidR="000F1730" w:rsidTr="001D064D">
        <w:tc>
          <w:tcPr>
            <w:cnfStyle w:val="001000000000" w:firstRow="0" w:lastRow="0" w:firstColumn="1" w:lastColumn="0" w:oddVBand="0" w:evenVBand="0" w:oddHBand="0" w:evenHBand="0" w:firstRowFirstColumn="0" w:firstRowLastColumn="0" w:lastRowFirstColumn="0" w:lastRowLastColumn="0"/>
            <w:tcW w:w="1890" w:type="dxa"/>
          </w:tcPr>
          <w:p w:rsidR="000F1730" w:rsidRDefault="000F1730" w:rsidP="000F1730">
            <w:r>
              <w:t>CLss/F</w:t>
            </w:r>
          </w:p>
        </w:tc>
        <w:tc>
          <w:tcPr>
            <w:tcW w:w="6911" w:type="dxa"/>
          </w:tcPr>
          <w:p w:rsidR="000F1730" w:rsidRDefault="000F1730" w:rsidP="00FD22FB">
            <w:pPr>
              <w:cnfStyle w:val="000000000000" w:firstRow="0" w:lastRow="0" w:firstColumn="0" w:lastColumn="0" w:oddVBand="0" w:evenVBand="0" w:oddHBand="0" w:evenHBand="0" w:firstRowFirstColumn="0" w:firstRowLastColumn="0" w:lastRowFirstColumn="0" w:lastRowLastColumn="0"/>
            </w:pPr>
            <w:r>
              <w:t>apparent clearance at steady state</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511EB7" w:rsidP="00FD22FB">
            <w:r w:rsidRPr="001E1E4D">
              <w:t>C</w:t>
            </w:r>
            <w:r w:rsidRPr="00511EB7">
              <w:rPr>
                <w:vertAlign w:val="subscript"/>
              </w:rPr>
              <w:t>max</w:t>
            </w:r>
          </w:p>
        </w:tc>
        <w:tc>
          <w:tcPr>
            <w:tcW w:w="6911" w:type="dxa"/>
          </w:tcPr>
          <w:p w:rsidR="001D064D" w:rsidRPr="001D064D" w:rsidRDefault="00977809" w:rsidP="00FD22FB">
            <w:pPr>
              <w:cnfStyle w:val="000000000000" w:firstRow="0" w:lastRow="0" w:firstColumn="0" w:lastColumn="0" w:oddVBand="0" w:evenVBand="0" w:oddHBand="0" w:evenHBand="0" w:firstRowFirstColumn="0" w:firstRowLastColumn="0" w:lastRowFirstColumn="0" w:lastRowLastColumn="0"/>
            </w:pPr>
            <w:r>
              <w:t>maximum observed concentration</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511EB7" w:rsidP="00FD22FB">
            <w:r w:rsidRPr="002227DB">
              <w:lastRenderedPageBreak/>
              <w:t>C</w:t>
            </w:r>
            <w:r w:rsidRPr="00511EB7">
              <w:rPr>
                <w:vertAlign w:val="subscript"/>
              </w:rPr>
              <w:t>min</w:t>
            </w:r>
          </w:p>
        </w:tc>
        <w:tc>
          <w:tcPr>
            <w:tcW w:w="6911" w:type="dxa"/>
          </w:tcPr>
          <w:p w:rsidR="001D064D" w:rsidRPr="001D064D" w:rsidRDefault="001D064D" w:rsidP="00FD22FB">
            <w:pPr>
              <w:cnfStyle w:val="000000000000" w:firstRow="0" w:lastRow="0" w:firstColumn="0" w:lastColumn="0" w:oddVBand="0" w:evenVBand="0" w:oddHBand="0" w:evenHBand="0" w:firstRowFirstColumn="0" w:firstRowLastColumn="0" w:lastRowFirstColumn="0" w:lastRowLastColumn="0"/>
            </w:pPr>
            <w:r w:rsidRPr="001D064D">
              <w:t xml:space="preserve">minimum concentration in the </w:t>
            </w:r>
            <w:r w:rsidR="00977809">
              <w:t>dosing interval at steady-state</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CMQ</w:t>
            </w:r>
          </w:p>
        </w:tc>
        <w:tc>
          <w:tcPr>
            <w:tcW w:w="6911" w:type="dxa"/>
          </w:tcPr>
          <w:p w:rsidR="001D064D" w:rsidRPr="001D064D" w:rsidRDefault="00977809" w:rsidP="00FD22FB">
            <w:pPr>
              <w:cnfStyle w:val="000000000000" w:firstRow="0" w:lastRow="0" w:firstColumn="0" w:lastColumn="0" w:oddVBand="0" w:evenVBand="0" w:oddHBand="0" w:evenHBand="0" w:firstRowFirstColumn="0" w:firstRowLastColumn="0" w:lastRowFirstColumn="0" w:lastRowLastColumn="0"/>
            </w:pPr>
            <w:r>
              <w:t>custom MedDRA Query</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CPK or CK</w:t>
            </w:r>
          </w:p>
        </w:tc>
        <w:tc>
          <w:tcPr>
            <w:tcW w:w="6911" w:type="dxa"/>
          </w:tcPr>
          <w:p w:rsidR="001D064D" w:rsidRPr="001D064D" w:rsidRDefault="00977809" w:rsidP="00FD22FB">
            <w:pPr>
              <w:cnfStyle w:val="000000000000" w:firstRow="0" w:lastRow="0" w:firstColumn="0" w:lastColumn="0" w:oddVBand="0" w:evenVBand="0" w:oddHBand="0" w:evenHBand="0" w:firstRowFirstColumn="0" w:firstRowLastColumn="0" w:lastRowFirstColumn="0" w:lastRowLastColumn="0"/>
            </w:pPr>
            <w:r>
              <w:t>Creatine phosphokinase</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CTN</w:t>
            </w:r>
          </w:p>
        </w:tc>
        <w:tc>
          <w:tcPr>
            <w:tcW w:w="6911" w:type="dxa"/>
          </w:tcPr>
          <w:p w:rsidR="001D064D" w:rsidRPr="001D064D" w:rsidRDefault="00977809" w:rsidP="00FD22FB">
            <w:pPr>
              <w:cnfStyle w:val="000000000000" w:firstRow="0" w:lastRow="0" w:firstColumn="0" w:lastColumn="0" w:oddVBand="0" w:evenVBand="0" w:oddHBand="0" w:evenHBand="0" w:firstRowFirstColumn="0" w:firstRowLastColumn="0" w:lastRowFirstColumn="0" w:lastRowLastColumn="0"/>
            </w:pPr>
            <w:r>
              <w:t>Clinical Trials Network</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CV%</w:t>
            </w:r>
          </w:p>
        </w:tc>
        <w:tc>
          <w:tcPr>
            <w:tcW w:w="6911" w:type="dxa"/>
          </w:tcPr>
          <w:p w:rsidR="001D064D" w:rsidRPr="001D064D" w:rsidRDefault="001D064D" w:rsidP="00FD22FB">
            <w:pPr>
              <w:cnfStyle w:val="000000000000" w:firstRow="0" w:lastRow="0" w:firstColumn="0" w:lastColumn="0" w:oddVBand="0" w:evenVBand="0" w:oddHBand="0" w:evenHBand="0" w:firstRowFirstColumn="0" w:firstRowLastColumn="0" w:lastRowFirstColumn="0" w:lastRowLastColumn="0"/>
            </w:pPr>
            <w:r w:rsidRPr="001D064D">
              <w:t>coef</w:t>
            </w:r>
            <w:r w:rsidR="00977809">
              <w:t>ficient of variation percentage</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CYP</w:t>
            </w:r>
          </w:p>
        </w:tc>
        <w:tc>
          <w:tcPr>
            <w:tcW w:w="6911" w:type="dxa"/>
          </w:tcPr>
          <w:p w:rsidR="001D064D" w:rsidRPr="001D064D" w:rsidRDefault="00977809" w:rsidP="00FD22FB">
            <w:pPr>
              <w:cnfStyle w:val="000000000000" w:firstRow="0" w:lastRow="0" w:firstColumn="0" w:lastColumn="0" w:oddVBand="0" w:evenVBand="0" w:oddHBand="0" w:evenHBand="0" w:firstRowFirstColumn="0" w:firstRowLastColumn="0" w:lastRowFirstColumn="0" w:lastRowLastColumn="0"/>
            </w:pPr>
            <w:r>
              <w:t>cytochrome P450</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D1</w:t>
            </w:r>
          </w:p>
        </w:tc>
        <w:tc>
          <w:tcPr>
            <w:tcW w:w="6911" w:type="dxa"/>
          </w:tcPr>
          <w:p w:rsidR="001D064D" w:rsidRPr="001D064D" w:rsidRDefault="00977809" w:rsidP="00FD22FB">
            <w:pPr>
              <w:cnfStyle w:val="000000000000" w:firstRow="0" w:lastRow="0" w:firstColumn="0" w:lastColumn="0" w:oddVBand="0" w:evenVBand="0" w:oddHBand="0" w:evenHBand="0" w:firstRowFirstColumn="0" w:firstRowLastColumn="0" w:lastRowFirstColumn="0" w:lastRowLastColumn="0"/>
            </w:pPr>
            <w:r>
              <w:t>zero order dose duration</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DDI</w:t>
            </w:r>
          </w:p>
        </w:tc>
        <w:tc>
          <w:tcPr>
            <w:tcW w:w="6911" w:type="dxa"/>
          </w:tcPr>
          <w:p w:rsidR="001D064D" w:rsidRPr="001D064D" w:rsidRDefault="00977809" w:rsidP="00FD22FB">
            <w:pPr>
              <w:cnfStyle w:val="000000000000" w:firstRow="0" w:lastRow="0" w:firstColumn="0" w:lastColumn="0" w:oddVBand="0" w:evenVBand="0" w:oddHBand="0" w:evenHBand="0" w:firstRowFirstColumn="0" w:firstRowLastColumn="0" w:lastRowFirstColumn="0" w:lastRowLastColumn="0"/>
            </w:pPr>
            <w:r>
              <w:t>drug-drug interaction</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ddQTcF</w:t>
            </w:r>
          </w:p>
        </w:tc>
        <w:tc>
          <w:tcPr>
            <w:tcW w:w="6911" w:type="dxa"/>
          </w:tcPr>
          <w:p w:rsidR="001D064D" w:rsidRPr="001D064D" w:rsidRDefault="001D064D" w:rsidP="00FD22FB">
            <w:pPr>
              <w:cnfStyle w:val="000000000000" w:firstRow="0" w:lastRow="0" w:firstColumn="0" w:lastColumn="0" w:oddVBand="0" w:evenVBand="0" w:oddHBand="0" w:evenHBand="0" w:firstRowFirstColumn="0" w:firstRowLastColumn="0" w:lastRowFirstColumn="0" w:lastRowLastColumn="0"/>
            </w:pPr>
            <w:r w:rsidRPr="001D064D">
              <w:t>time-matched baseline-adjusted QTcF intervals</w:t>
            </w:r>
            <w:r w:rsidR="00977809">
              <w:t xml:space="preserve"> between study drug and placebo</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DMC</w:t>
            </w:r>
          </w:p>
        </w:tc>
        <w:tc>
          <w:tcPr>
            <w:tcW w:w="6911" w:type="dxa"/>
          </w:tcPr>
          <w:p w:rsidR="001D064D" w:rsidRPr="001D064D" w:rsidRDefault="00977809" w:rsidP="00FD22FB">
            <w:pPr>
              <w:cnfStyle w:val="000000000000" w:firstRow="0" w:lastRow="0" w:firstColumn="0" w:lastColumn="0" w:oddVBand="0" w:evenVBand="0" w:oddHBand="0" w:evenHBand="0" w:firstRowFirstColumn="0" w:firstRowLastColumn="0" w:lastRowFirstColumn="0" w:lastRowLastColumn="0"/>
            </w:pPr>
            <w:r>
              <w:t>data monitoring committee</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EC50</w:t>
            </w:r>
          </w:p>
        </w:tc>
        <w:tc>
          <w:tcPr>
            <w:tcW w:w="6911" w:type="dxa"/>
          </w:tcPr>
          <w:p w:rsidR="001D064D" w:rsidRPr="001D064D" w:rsidRDefault="001D064D" w:rsidP="00FD22FB">
            <w:pPr>
              <w:cnfStyle w:val="000000000000" w:firstRow="0" w:lastRow="0" w:firstColumn="0" w:lastColumn="0" w:oddVBand="0" w:evenVBand="0" w:oddHBand="0" w:evenHBand="0" w:firstRowFirstColumn="0" w:firstRowLastColumn="0" w:lastRowFirstColumn="0" w:lastRowLastColumn="0"/>
            </w:pPr>
            <w:r w:rsidRPr="001D064D">
              <w:t>concentration at whic</w:t>
            </w:r>
            <w:r w:rsidR="00977809">
              <w:t>h effect is at half the maximum</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ECFS</w:t>
            </w:r>
          </w:p>
        </w:tc>
        <w:tc>
          <w:tcPr>
            <w:tcW w:w="6911" w:type="dxa"/>
          </w:tcPr>
          <w:p w:rsidR="001D064D" w:rsidRPr="001D064D" w:rsidRDefault="001D064D" w:rsidP="00FD22FB">
            <w:pPr>
              <w:cnfStyle w:val="000000000000" w:firstRow="0" w:lastRow="0" w:firstColumn="0" w:lastColumn="0" w:oddVBand="0" w:evenVBand="0" w:oddHBand="0" w:evenHBand="0" w:firstRowFirstColumn="0" w:firstRowLastColumn="0" w:lastRowFirstColumn="0" w:lastRowLastColumn="0"/>
            </w:pPr>
            <w:r w:rsidRPr="001D064D">
              <w:t>E</w:t>
            </w:r>
            <w:r w:rsidR="00977809">
              <w:t>uropean Cystic Fibrosis Society</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ECG</w:t>
            </w:r>
          </w:p>
        </w:tc>
        <w:tc>
          <w:tcPr>
            <w:tcW w:w="6911" w:type="dxa"/>
          </w:tcPr>
          <w:p w:rsidR="001D064D" w:rsidRPr="001D064D" w:rsidRDefault="00977809" w:rsidP="00FD22FB">
            <w:pPr>
              <w:cnfStyle w:val="000000000000" w:firstRow="0" w:lastRow="0" w:firstColumn="0" w:lastColumn="0" w:oddVBand="0" w:evenVBand="0" w:oddHBand="0" w:evenHBand="0" w:firstRowFirstColumn="0" w:firstRowLastColumn="0" w:lastRowFirstColumn="0" w:lastRowLastColumn="0"/>
            </w:pPr>
            <w:r>
              <w:t>electrocardiogram</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CC3BC8" w:rsidP="00FD22FB">
            <w:r w:rsidRPr="00CB1BAD">
              <w:t>E</w:t>
            </w:r>
            <w:r w:rsidRPr="00CC3BC8">
              <w:rPr>
                <w:vertAlign w:val="subscript"/>
              </w:rPr>
              <w:t>max</w:t>
            </w:r>
          </w:p>
        </w:tc>
        <w:tc>
          <w:tcPr>
            <w:tcW w:w="6911" w:type="dxa"/>
          </w:tcPr>
          <w:p w:rsidR="001D064D" w:rsidRPr="001D064D" w:rsidRDefault="00977809" w:rsidP="00FD22FB">
            <w:pPr>
              <w:cnfStyle w:val="000000000000" w:firstRow="0" w:lastRow="0" w:firstColumn="0" w:lastColumn="0" w:oddVBand="0" w:evenVBand="0" w:oddHBand="0" w:evenHBand="0" w:firstRowFirstColumn="0" w:firstRowLastColumn="0" w:lastRowFirstColumn="0" w:lastRowLastColumn="0"/>
            </w:pPr>
            <w:r>
              <w:t>maximum effect</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EQ-5D-3L</w:t>
            </w:r>
          </w:p>
        </w:tc>
        <w:tc>
          <w:tcPr>
            <w:tcW w:w="6911" w:type="dxa"/>
          </w:tcPr>
          <w:p w:rsidR="001D064D" w:rsidRPr="001D064D" w:rsidRDefault="00977809" w:rsidP="00FD22FB">
            <w:pPr>
              <w:cnfStyle w:val="000000000000" w:firstRow="0" w:lastRow="0" w:firstColumn="0" w:lastColumn="0" w:oddVBand="0" w:evenVBand="0" w:oddHBand="0" w:evenHBand="0" w:firstRowFirstColumn="0" w:firstRowLastColumn="0" w:lastRowFirstColumn="0" w:lastRowLastColumn="0"/>
            </w:pPr>
            <w:r>
              <w:t>EuroQol 3-Level</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EU</w:t>
            </w:r>
          </w:p>
        </w:tc>
        <w:tc>
          <w:tcPr>
            <w:tcW w:w="6911" w:type="dxa"/>
          </w:tcPr>
          <w:p w:rsidR="001D064D" w:rsidRPr="001D064D" w:rsidRDefault="00977809" w:rsidP="00FD22FB">
            <w:pPr>
              <w:cnfStyle w:val="000000000000" w:firstRow="0" w:lastRow="0" w:firstColumn="0" w:lastColumn="0" w:oddVBand="0" w:evenVBand="0" w:oddHBand="0" w:evenHBand="0" w:firstRowFirstColumn="0" w:firstRowLastColumn="0" w:lastRowFirstColumn="0" w:lastRowLastColumn="0"/>
            </w:pPr>
            <w:r>
              <w:t>European Union</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FAS</w:t>
            </w:r>
          </w:p>
        </w:tc>
        <w:tc>
          <w:tcPr>
            <w:tcW w:w="6911" w:type="dxa"/>
          </w:tcPr>
          <w:p w:rsidR="001D064D" w:rsidRPr="001D064D" w:rsidRDefault="00977809" w:rsidP="00FD22FB">
            <w:pPr>
              <w:cnfStyle w:val="000000000000" w:firstRow="0" w:lastRow="0" w:firstColumn="0" w:lastColumn="0" w:oddVBand="0" w:evenVBand="0" w:oddHBand="0" w:evenHBand="0" w:firstRowFirstColumn="0" w:firstRowLastColumn="0" w:lastRowFirstColumn="0" w:lastRowLastColumn="0"/>
            </w:pPr>
            <w:r>
              <w:t>full analysis set</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FDA</w:t>
            </w:r>
          </w:p>
        </w:tc>
        <w:tc>
          <w:tcPr>
            <w:tcW w:w="6911" w:type="dxa"/>
          </w:tcPr>
          <w:p w:rsidR="001D064D" w:rsidRPr="001D064D" w:rsidRDefault="00977809" w:rsidP="00FD22FB">
            <w:pPr>
              <w:cnfStyle w:val="000000000000" w:firstRow="0" w:lastRow="0" w:firstColumn="0" w:lastColumn="0" w:oddVBand="0" w:evenVBand="0" w:oddHBand="0" w:evenHBand="0" w:firstRowFirstColumn="0" w:firstRowLastColumn="0" w:lastRowFirstColumn="0" w:lastRowLastColumn="0"/>
            </w:pPr>
            <w:r>
              <w:t>Food and Drug Administration</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FDC</w:t>
            </w:r>
          </w:p>
        </w:tc>
        <w:tc>
          <w:tcPr>
            <w:tcW w:w="6911" w:type="dxa"/>
          </w:tcPr>
          <w:p w:rsidR="001D064D" w:rsidRPr="001D064D" w:rsidRDefault="00977809" w:rsidP="00FD22FB">
            <w:pPr>
              <w:cnfStyle w:val="000000000000" w:firstRow="0" w:lastRow="0" w:firstColumn="0" w:lastColumn="0" w:oddVBand="0" w:evenVBand="0" w:oddHBand="0" w:evenHBand="0" w:firstRowFirstColumn="0" w:firstRowLastColumn="0" w:lastRowFirstColumn="0" w:lastRowLastColumn="0"/>
            </w:pPr>
            <w:r>
              <w:t>fixed dose combination</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1D064D" w:rsidP="00FD22FB">
            <w:r w:rsidRPr="001D064D">
              <w:t>FEF</w:t>
            </w:r>
          </w:p>
        </w:tc>
        <w:tc>
          <w:tcPr>
            <w:tcW w:w="6911" w:type="dxa"/>
          </w:tcPr>
          <w:p w:rsidR="001D064D" w:rsidRPr="001D064D" w:rsidRDefault="001D064D" w:rsidP="00FD22FB">
            <w:pPr>
              <w:cnfStyle w:val="000000000000" w:firstRow="0" w:lastRow="0" w:firstColumn="0" w:lastColumn="0" w:oddVBand="0" w:evenVBand="0" w:oddHBand="0" w:evenHBand="0" w:firstRowFirstColumn="0" w:firstRowLastColumn="0" w:lastRowFirstColumn="0" w:lastRowLastColumn="0"/>
            </w:pPr>
            <w:r w:rsidRPr="001D064D">
              <w:t xml:space="preserve">25%-75% </w:t>
            </w:r>
            <w:r w:rsidR="00977809">
              <w:t>forced mid-expiratory flow rate</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A8789D" w:rsidP="00FD22FB">
            <w:r w:rsidRPr="001D064D">
              <w:t>FEV</w:t>
            </w:r>
            <w:r w:rsidRPr="00A8789D">
              <w:rPr>
                <w:vertAlign w:val="subscript"/>
              </w:rPr>
              <w:t>1</w:t>
            </w:r>
          </w:p>
        </w:tc>
        <w:tc>
          <w:tcPr>
            <w:tcW w:w="6911" w:type="dxa"/>
          </w:tcPr>
          <w:p w:rsidR="001D064D" w:rsidRPr="001D064D" w:rsidRDefault="001D064D" w:rsidP="00FD22FB">
            <w:pPr>
              <w:cnfStyle w:val="000000000000" w:firstRow="0" w:lastRow="0" w:firstColumn="0" w:lastColumn="0" w:oddVBand="0" w:evenVBand="0" w:oddHBand="0" w:evenHBand="0" w:firstRowFirstColumn="0" w:firstRowLastColumn="0" w:lastRowFirstColumn="0" w:lastRowLastColumn="0"/>
            </w:pPr>
            <w:r w:rsidRPr="001D064D">
              <w:t>force</w:t>
            </w:r>
            <w:r w:rsidR="00977809">
              <w:t>d expiratory volume in 1 second</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A8789D" w:rsidP="00FD22FB">
            <w:r w:rsidRPr="001D064D">
              <w:t>FEV</w:t>
            </w:r>
            <w:r w:rsidRPr="00A8789D">
              <w:rPr>
                <w:vertAlign w:val="subscript"/>
              </w:rPr>
              <w:t>1</w:t>
            </w:r>
            <w:r w:rsidR="00977809">
              <w:t>/FVC</w:t>
            </w:r>
          </w:p>
        </w:tc>
        <w:tc>
          <w:tcPr>
            <w:tcW w:w="6911" w:type="dxa"/>
          </w:tcPr>
          <w:p w:rsidR="001D064D" w:rsidRPr="001D064D" w:rsidRDefault="001D064D" w:rsidP="00FD22FB">
            <w:pPr>
              <w:cnfStyle w:val="000000000000" w:firstRow="0" w:lastRow="0" w:firstColumn="0" w:lastColumn="0" w:oddVBand="0" w:evenVBand="0" w:oddHBand="0" w:evenHBand="0" w:firstRowFirstColumn="0" w:firstRowLastColumn="0" w:lastRowFirstColumn="0" w:lastRowLastColumn="0"/>
            </w:pPr>
            <w:r w:rsidRPr="001D064D">
              <w:t>forced expiratory volume (L) in 1 se</w:t>
            </w:r>
            <w:r w:rsidR="00977809">
              <w:t>cond over forced vital capacity</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FVC</w:t>
            </w:r>
          </w:p>
        </w:tc>
        <w:tc>
          <w:tcPr>
            <w:tcW w:w="6911" w:type="dxa"/>
          </w:tcPr>
          <w:p w:rsidR="001D064D" w:rsidRPr="001D064D" w:rsidRDefault="00977809" w:rsidP="00FD22FB">
            <w:pPr>
              <w:cnfStyle w:val="000000000000" w:firstRow="0" w:lastRow="0" w:firstColumn="0" w:lastColumn="0" w:oddVBand="0" w:evenVBand="0" w:oddHBand="0" w:evenHBand="0" w:firstRowFirstColumn="0" w:firstRowLastColumn="0" w:lastRowFirstColumn="0" w:lastRowLastColumn="0"/>
            </w:pPr>
            <w:r>
              <w:t>forced vital capacity</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GCP</w:t>
            </w:r>
          </w:p>
        </w:tc>
        <w:tc>
          <w:tcPr>
            <w:tcW w:w="6911" w:type="dxa"/>
          </w:tcPr>
          <w:p w:rsidR="001D064D" w:rsidRPr="001D064D" w:rsidRDefault="00977809" w:rsidP="00FD22FB">
            <w:pPr>
              <w:cnfStyle w:val="000000000000" w:firstRow="0" w:lastRow="0" w:firstColumn="0" w:lastColumn="0" w:oddVBand="0" w:evenVBand="0" w:oddHBand="0" w:evenHBand="0" w:firstRowFirstColumn="0" w:firstRowLastColumn="0" w:lastRowFirstColumn="0" w:lastRowLastColumn="0"/>
            </w:pPr>
            <w:r>
              <w:t>Good Clinical Practice</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GLS</w:t>
            </w:r>
          </w:p>
        </w:tc>
        <w:tc>
          <w:tcPr>
            <w:tcW w:w="6911" w:type="dxa"/>
          </w:tcPr>
          <w:p w:rsidR="001D064D" w:rsidRPr="001D064D" w:rsidRDefault="00977809" w:rsidP="00FD22FB">
            <w:pPr>
              <w:cnfStyle w:val="000000000000" w:firstRow="0" w:lastRow="0" w:firstColumn="0" w:lastColumn="0" w:oddVBand="0" w:evenVBand="0" w:oddHBand="0" w:evenHBand="0" w:firstRowFirstColumn="0" w:firstRowLastColumn="0" w:lastRowFirstColumn="0" w:lastRowLastColumn="0"/>
            </w:pPr>
            <w:r>
              <w:t>geometric least squares</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lastRenderedPageBreak/>
              <w:t>GLSM</w:t>
            </w:r>
          </w:p>
        </w:tc>
        <w:tc>
          <w:tcPr>
            <w:tcW w:w="6911" w:type="dxa"/>
          </w:tcPr>
          <w:p w:rsidR="001D064D" w:rsidRPr="001D064D" w:rsidRDefault="00977809" w:rsidP="00FD22FB">
            <w:pPr>
              <w:cnfStyle w:val="000000000000" w:firstRow="0" w:lastRow="0" w:firstColumn="0" w:lastColumn="0" w:oddVBand="0" w:evenVBand="0" w:oddHBand="0" w:evenHBand="0" w:firstRowFirstColumn="0" w:firstRowLastColumn="0" w:lastRowFirstColumn="0" w:lastRowLastColumn="0"/>
            </w:pPr>
            <w:r>
              <w:t>geometric least squares mean</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h</w:t>
            </w:r>
          </w:p>
        </w:tc>
        <w:tc>
          <w:tcPr>
            <w:tcW w:w="6911" w:type="dxa"/>
          </w:tcPr>
          <w:p w:rsidR="001D064D" w:rsidRPr="001D064D" w:rsidRDefault="00977809" w:rsidP="00FD22FB">
            <w:pPr>
              <w:cnfStyle w:val="000000000000" w:firstRow="0" w:lastRow="0" w:firstColumn="0" w:lastColumn="0" w:oddVBand="0" w:evenVBand="0" w:oddHBand="0" w:evenHBand="0" w:firstRowFirstColumn="0" w:firstRowLastColumn="0" w:lastRowFirstColumn="0" w:lastRowLastColumn="0"/>
            </w:pPr>
            <w:r>
              <w:t>hour/s</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HBE</w:t>
            </w:r>
          </w:p>
        </w:tc>
        <w:tc>
          <w:tcPr>
            <w:tcW w:w="6911" w:type="dxa"/>
          </w:tcPr>
          <w:p w:rsidR="001D064D" w:rsidRPr="001D064D" w:rsidRDefault="00977809" w:rsidP="00FD22FB">
            <w:pPr>
              <w:cnfStyle w:val="000000000000" w:firstRow="0" w:lastRow="0" w:firstColumn="0" w:lastColumn="0" w:oddVBand="0" w:evenVBand="0" w:oddHBand="0" w:evenHBand="0" w:firstRowFirstColumn="0" w:firstRowLastColumn="0" w:lastRowFirstColumn="0" w:lastRowLastColumn="0"/>
            </w:pPr>
            <w:r>
              <w:t>human bronchial epithelial</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HDL</w:t>
            </w:r>
          </w:p>
        </w:tc>
        <w:tc>
          <w:tcPr>
            <w:tcW w:w="6911" w:type="dxa"/>
          </w:tcPr>
          <w:p w:rsidR="001D064D" w:rsidRPr="001D064D" w:rsidRDefault="00977809" w:rsidP="00FD22FB">
            <w:pPr>
              <w:cnfStyle w:val="000000000000" w:firstRow="0" w:lastRow="0" w:firstColumn="0" w:lastColumn="0" w:oddVBand="0" w:evenVBand="0" w:oddHBand="0" w:evenHBand="0" w:firstRowFirstColumn="0" w:firstRowLastColumn="0" w:lastRowFirstColumn="0" w:lastRowLastColumn="0"/>
            </w:pPr>
            <w:r>
              <w:t>high drug load</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HPRA</w:t>
            </w:r>
          </w:p>
        </w:tc>
        <w:tc>
          <w:tcPr>
            <w:tcW w:w="6911" w:type="dxa"/>
          </w:tcPr>
          <w:p w:rsidR="001D064D" w:rsidRPr="001D064D" w:rsidRDefault="001D064D" w:rsidP="00FD22FB">
            <w:pPr>
              <w:cnfStyle w:val="000000000000" w:firstRow="0" w:lastRow="0" w:firstColumn="0" w:lastColumn="0" w:oddVBand="0" w:evenVBand="0" w:oddHBand="0" w:evenHBand="0" w:firstRowFirstColumn="0" w:firstRowLastColumn="0" w:lastRowFirstColumn="0" w:lastRowLastColumn="0"/>
            </w:pPr>
            <w:r w:rsidRPr="001D064D">
              <w:t xml:space="preserve">Healthcare Products </w:t>
            </w:r>
            <w:r w:rsidR="00977809">
              <w:t>Regulatory Authority of Ireland</w:t>
            </w:r>
          </w:p>
        </w:tc>
      </w:tr>
      <w:tr w:rsidR="001D064D" w:rsidTr="001D064D">
        <w:tc>
          <w:tcPr>
            <w:cnfStyle w:val="001000000000" w:firstRow="0" w:lastRow="0" w:firstColumn="1" w:lastColumn="0" w:oddVBand="0" w:evenVBand="0" w:oddHBand="0" w:evenHBand="0" w:firstRowFirstColumn="0" w:firstRowLastColumn="0" w:lastRowFirstColumn="0" w:lastRowLastColumn="0"/>
            <w:tcW w:w="1890" w:type="dxa"/>
          </w:tcPr>
          <w:p w:rsidR="001D064D" w:rsidRPr="001D064D" w:rsidRDefault="00977809" w:rsidP="00FD22FB">
            <w:r>
              <w:t>HR</w:t>
            </w:r>
          </w:p>
        </w:tc>
        <w:tc>
          <w:tcPr>
            <w:tcW w:w="6911" w:type="dxa"/>
          </w:tcPr>
          <w:p w:rsidR="001D064D" w:rsidRPr="001D064D" w:rsidRDefault="001D064D" w:rsidP="00FD22FB">
            <w:pPr>
              <w:cnfStyle w:val="000000000000" w:firstRow="0" w:lastRow="0" w:firstColumn="0" w:lastColumn="0" w:oddVBand="0" w:evenVBand="0" w:oddHBand="0" w:evenHBand="0" w:firstRowFirstColumn="0" w:firstRowLastColumn="0" w:lastRowFirstColumn="0" w:lastRowLastColumn="0"/>
            </w:pPr>
            <w:r w:rsidRPr="001D064D">
              <w:t>heart rate</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977809" w:rsidP="00FD22FB">
            <w:r>
              <w:t>HSA</w:t>
            </w:r>
          </w:p>
        </w:tc>
        <w:tc>
          <w:tcPr>
            <w:tcW w:w="6911" w:type="dxa"/>
          </w:tcPr>
          <w:p w:rsidR="00E50DAF" w:rsidRPr="00E50DAF" w:rsidRDefault="00977809" w:rsidP="00FD22FB">
            <w:pPr>
              <w:cnfStyle w:val="000000000000" w:firstRow="0" w:lastRow="0" w:firstColumn="0" w:lastColumn="0" w:oddVBand="0" w:evenVBand="0" w:oddHBand="0" w:evenHBand="0" w:firstRowFirstColumn="0" w:firstRowLastColumn="0" w:lastRowFirstColumn="0" w:lastRowLastColumn="0"/>
            </w:pPr>
            <w:r>
              <w:t>human serum albumin</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977809" w:rsidP="00FD22FB">
            <w:r>
              <w:t>HSG</w:t>
            </w:r>
          </w:p>
        </w:tc>
        <w:tc>
          <w:tcPr>
            <w:tcW w:w="6911" w:type="dxa"/>
          </w:tcPr>
          <w:p w:rsidR="00E50DAF" w:rsidRPr="00E50DAF" w:rsidRDefault="00977809" w:rsidP="00FD22FB">
            <w:pPr>
              <w:cnfStyle w:val="000000000000" w:firstRow="0" w:lastRow="0" w:firstColumn="0" w:lastColumn="0" w:oddVBand="0" w:evenVBand="0" w:oddHBand="0" w:evenHBand="0" w:firstRowFirstColumn="0" w:firstRowLastColumn="0" w:lastRowFirstColumn="0" w:lastRowLastColumn="0"/>
            </w:pPr>
            <w:r>
              <w:t>high shear granulation</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977809" w:rsidP="00FD22FB">
            <w:r>
              <w:t>IA</w:t>
            </w:r>
          </w:p>
        </w:tc>
        <w:tc>
          <w:tcPr>
            <w:tcW w:w="6911" w:type="dxa"/>
          </w:tcPr>
          <w:p w:rsidR="00E50DAF" w:rsidRPr="00E50DAF" w:rsidRDefault="00977809" w:rsidP="00FD22FB">
            <w:pPr>
              <w:cnfStyle w:val="000000000000" w:firstRow="0" w:lastRow="0" w:firstColumn="0" w:lastColumn="0" w:oddVBand="0" w:evenVBand="0" w:oddHBand="0" w:evenHBand="0" w:firstRowFirstColumn="0" w:firstRowLastColumn="0" w:lastRowFirstColumn="0" w:lastRowLastColumn="0"/>
            </w:pPr>
            <w:r>
              <w:t>interim analysis</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977809" w:rsidP="00FD22FB">
            <w:r>
              <w:t>IBW</w:t>
            </w:r>
          </w:p>
        </w:tc>
        <w:tc>
          <w:tcPr>
            <w:tcW w:w="6911" w:type="dxa"/>
          </w:tcPr>
          <w:p w:rsidR="00E50DAF" w:rsidRPr="00E50DAF" w:rsidRDefault="00977809" w:rsidP="00FD22FB">
            <w:pPr>
              <w:cnfStyle w:val="000000000000" w:firstRow="0" w:lastRow="0" w:firstColumn="0" w:lastColumn="0" w:oddVBand="0" w:evenVBand="0" w:oddHBand="0" w:evenHBand="0" w:firstRowFirstColumn="0" w:firstRowLastColumn="0" w:lastRowFirstColumn="0" w:lastRowLastColumn="0"/>
            </w:pPr>
            <w:r>
              <w:t>ideal body weight</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977809" w:rsidP="00FD22FB">
            <w:r>
              <w:t>ICH</w:t>
            </w:r>
          </w:p>
        </w:tc>
        <w:tc>
          <w:tcPr>
            <w:tcW w:w="6911" w:type="dxa"/>
          </w:tcPr>
          <w:p w:rsidR="00E50DAF" w:rsidRPr="00E50DAF" w:rsidRDefault="00E50DAF" w:rsidP="00FD22FB">
            <w:pPr>
              <w:cnfStyle w:val="000000000000" w:firstRow="0" w:lastRow="0" w:firstColumn="0" w:lastColumn="0" w:oddVBand="0" w:evenVBand="0" w:oddHBand="0" w:evenHBand="0" w:firstRowFirstColumn="0" w:firstRowLastColumn="0" w:lastRowFirstColumn="0" w:lastRowLastColumn="0"/>
            </w:pPr>
            <w:r w:rsidRPr="00E50DAF">
              <w:t>Internatio</w:t>
            </w:r>
            <w:r w:rsidR="00977809">
              <w:t>nal Conference on Harmonization</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977809" w:rsidP="00FD22FB">
            <w:r>
              <w:t>IVA</w:t>
            </w:r>
          </w:p>
        </w:tc>
        <w:tc>
          <w:tcPr>
            <w:tcW w:w="6911" w:type="dxa"/>
          </w:tcPr>
          <w:p w:rsidR="00E50DAF" w:rsidRPr="00E50DAF" w:rsidRDefault="00E50DAF" w:rsidP="00FD22FB">
            <w:pPr>
              <w:cnfStyle w:val="000000000000" w:firstRow="0" w:lastRow="0" w:firstColumn="0" w:lastColumn="0" w:oddVBand="0" w:evenVBand="0" w:oddHBand="0" w:evenHBand="0" w:firstRowFirstColumn="0" w:firstRowLastColumn="0" w:lastRowFirstColumn="0" w:lastRowLastColumn="0"/>
            </w:pPr>
            <w:r w:rsidRPr="00E50DAF">
              <w:t>ivaca</w:t>
            </w:r>
            <w:r w:rsidR="00977809">
              <w:t>ftor/KALYDECO/VX-770/VRT-813077</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977809" w:rsidP="00FD22FB">
            <w:r>
              <w:t>Ka</w:t>
            </w:r>
          </w:p>
        </w:tc>
        <w:tc>
          <w:tcPr>
            <w:tcW w:w="6911" w:type="dxa"/>
          </w:tcPr>
          <w:p w:rsidR="00E50DAF" w:rsidRPr="00E50DAF" w:rsidRDefault="00977809" w:rsidP="00FD22FB">
            <w:pPr>
              <w:cnfStyle w:val="000000000000" w:firstRow="0" w:lastRow="0" w:firstColumn="0" w:lastColumn="0" w:oddVBand="0" w:evenVBand="0" w:oddHBand="0" w:evenHBand="0" w:firstRowFirstColumn="0" w:firstRowLastColumn="0" w:lastRowFirstColumn="0" w:lastRowLastColumn="0"/>
            </w:pPr>
            <w:r>
              <w:t>first-order absorption rate</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977809" w:rsidP="00FD22FB">
            <w:r>
              <w:t>L</w:t>
            </w:r>
          </w:p>
        </w:tc>
        <w:tc>
          <w:tcPr>
            <w:tcW w:w="6911" w:type="dxa"/>
          </w:tcPr>
          <w:p w:rsidR="00E50DAF" w:rsidRPr="00E50DAF" w:rsidRDefault="00977809" w:rsidP="00FD22FB">
            <w:pPr>
              <w:cnfStyle w:val="000000000000" w:firstRow="0" w:lastRow="0" w:firstColumn="0" w:lastColumn="0" w:oddVBand="0" w:evenVBand="0" w:oddHBand="0" w:evenHBand="0" w:firstRowFirstColumn="0" w:firstRowLastColumn="0" w:lastRowFirstColumn="0" w:lastRowLastColumn="0"/>
            </w:pPr>
            <w:r>
              <w:t>litre</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977809" w:rsidP="00FD22FB">
            <w:r>
              <w:t>LC – MS/MS</w:t>
            </w:r>
          </w:p>
        </w:tc>
        <w:tc>
          <w:tcPr>
            <w:tcW w:w="6911" w:type="dxa"/>
          </w:tcPr>
          <w:p w:rsidR="00E50DAF" w:rsidRPr="00E50DAF" w:rsidRDefault="00E50DAF" w:rsidP="00FD22FB">
            <w:pPr>
              <w:cnfStyle w:val="000000000000" w:firstRow="0" w:lastRow="0" w:firstColumn="0" w:lastColumn="0" w:oddVBand="0" w:evenVBand="0" w:oddHBand="0" w:evenHBand="0" w:firstRowFirstColumn="0" w:firstRowLastColumn="0" w:lastRowFirstColumn="0" w:lastRowLastColumn="0"/>
            </w:pPr>
            <w:r w:rsidRPr="00E50DAF">
              <w:t>liquid chromatography with tand</w:t>
            </w:r>
            <w:r w:rsidR="00977809">
              <w:t>em mass spectrometric detection</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977809" w:rsidP="00FD22FB">
            <w:r>
              <w:t>LFT</w:t>
            </w:r>
          </w:p>
        </w:tc>
        <w:tc>
          <w:tcPr>
            <w:tcW w:w="6911" w:type="dxa"/>
          </w:tcPr>
          <w:p w:rsidR="00E50DAF" w:rsidRPr="00E50DAF" w:rsidRDefault="00977809" w:rsidP="00FD22FB">
            <w:pPr>
              <w:cnfStyle w:val="000000000000" w:firstRow="0" w:lastRow="0" w:firstColumn="0" w:lastColumn="0" w:oddVBand="0" w:evenVBand="0" w:oddHBand="0" w:evenHBand="0" w:firstRowFirstColumn="0" w:firstRowLastColumn="0" w:lastRowFirstColumn="0" w:lastRowLastColumn="0"/>
            </w:pPr>
            <w:r>
              <w:t>liver function test</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E50DAF" w:rsidP="00FD22FB">
            <w:r w:rsidRPr="00E50DAF">
              <w:t xml:space="preserve">LLOQ </w:t>
            </w:r>
          </w:p>
        </w:tc>
        <w:tc>
          <w:tcPr>
            <w:tcW w:w="6911" w:type="dxa"/>
          </w:tcPr>
          <w:p w:rsidR="00E50DAF" w:rsidRPr="00E50DAF" w:rsidRDefault="00E50DAF" w:rsidP="00FD22FB">
            <w:pPr>
              <w:cnfStyle w:val="000000000000" w:firstRow="0" w:lastRow="0" w:firstColumn="0" w:lastColumn="0" w:oddVBand="0" w:evenVBand="0" w:oddHBand="0" w:evenHBand="0" w:firstRowFirstColumn="0" w:firstRowLastColumn="0" w:lastRowFirstColumn="0" w:lastRowLastColumn="0"/>
            </w:pPr>
            <w:r w:rsidRPr="00E50DAF">
              <w:t xml:space="preserve">lower limit of quantitation </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E50DAF" w:rsidP="00FD22FB">
            <w:r w:rsidRPr="00E50DAF">
              <w:t xml:space="preserve">LS </w:t>
            </w:r>
          </w:p>
        </w:tc>
        <w:tc>
          <w:tcPr>
            <w:tcW w:w="6911" w:type="dxa"/>
          </w:tcPr>
          <w:p w:rsidR="00E50DAF" w:rsidRPr="00E50DAF" w:rsidRDefault="00E50DAF" w:rsidP="00FD22FB">
            <w:pPr>
              <w:cnfStyle w:val="000000000000" w:firstRow="0" w:lastRow="0" w:firstColumn="0" w:lastColumn="0" w:oddVBand="0" w:evenVBand="0" w:oddHBand="0" w:evenHBand="0" w:firstRowFirstColumn="0" w:firstRowLastColumn="0" w:lastRowFirstColumn="0" w:lastRowLastColumn="0"/>
            </w:pPr>
            <w:r w:rsidRPr="00E50DAF">
              <w:t xml:space="preserve">least squares </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977809" w:rsidP="00FD22FB">
            <w:r>
              <w:t>LUM</w:t>
            </w:r>
          </w:p>
        </w:tc>
        <w:tc>
          <w:tcPr>
            <w:tcW w:w="6911" w:type="dxa"/>
          </w:tcPr>
          <w:p w:rsidR="00E50DAF" w:rsidRPr="00E50DAF" w:rsidRDefault="00977809" w:rsidP="00FD22FB">
            <w:pPr>
              <w:cnfStyle w:val="000000000000" w:firstRow="0" w:lastRow="0" w:firstColumn="0" w:lastColumn="0" w:oddVBand="0" w:evenVBand="0" w:oddHBand="0" w:evenHBand="0" w:firstRowFirstColumn="0" w:firstRowLastColumn="0" w:lastRowFirstColumn="0" w:lastRowLastColumn="0"/>
            </w:pPr>
            <w:r>
              <w:t>lumacaftor/VX-809</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E50DAF" w:rsidP="00FD22FB">
            <w:r w:rsidRPr="00E50DAF">
              <w:t>M1</w:t>
            </w:r>
          </w:p>
        </w:tc>
        <w:tc>
          <w:tcPr>
            <w:tcW w:w="6911" w:type="dxa"/>
          </w:tcPr>
          <w:p w:rsidR="00E50DAF" w:rsidRPr="00E50DAF" w:rsidRDefault="00E50DAF" w:rsidP="00FD22FB">
            <w:pPr>
              <w:cnfStyle w:val="000000000000" w:firstRow="0" w:lastRow="0" w:firstColumn="0" w:lastColumn="0" w:oddVBand="0" w:evenVBand="0" w:oddHBand="0" w:evenHBand="0" w:firstRowFirstColumn="0" w:firstRowLastColumn="0" w:lastRowFirstColumn="0" w:lastRowLastColumn="0"/>
            </w:pPr>
            <w:r w:rsidRPr="00E50DAF">
              <w:t>hydroxymethyl-ivacaftor</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977809" w:rsidP="00FD22FB">
            <w:r>
              <w:t>M6</w:t>
            </w:r>
          </w:p>
        </w:tc>
        <w:tc>
          <w:tcPr>
            <w:tcW w:w="6911" w:type="dxa"/>
          </w:tcPr>
          <w:p w:rsidR="00E50DAF" w:rsidRPr="00E50DAF" w:rsidRDefault="00977809" w:rsidP="00FD22FB">
            <w:pPr>
              <w:cnfStyle w:val="000000000000" w:firstRow="0" w:lastRow="0" w:firstColumn="0" w:lastColumn="0" w:oddVBand="0" w:evenVBand="0" w:oddHBand="0" w:evenHBand="0" w:firstRowFirstColumn="0" w:firstRowLastColumn="0" w:lastRowFirstColumn="0" w:lastRowLastColumn="0"/>
            </w:pPr>
            <w:r>
              <w:t>ivacaftor carboxylate</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977809" w:rsidP="00FD22FB">
            <w:r>
              <w:t>MAA</w:t>
            </w:r>
          </w:p>
        </w:tc>
        <w:tc>
          <w:tcPr>
            <w:tcW w:w="6911" w:type="dxa"/>
          </w:tcPr>
          <w:p w:rsidR="00E50DAF" w:rsidRPr="00E50DAF" w:rsidRDefault="00E50DAF" w:rsidP="00FD22FB">
            <w:pPr>
              <w:cnfStyle w:val="000000000000" w:firstRow="0" w:lastRow="0" w:firstColumn="0" w:lastColumn="0" w:oddVBand="0" w:evenVBand="0" w:oddHBand="0" w:evenHBand="0" w:firstRowFirstColumn="0" w:firstRowLastColumn="0" w:lastRowFirstColumn="0" w:lastRowLastColumn="0"/>
            </w:pPr>
            <w:r w:rsidRPr="00E50DAF">
              <w:t>Mark</w:t>
            </w:r>
            <w:r w:rsidR="00977809">
              <w:t>eting Authorization Application</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E50DAF" w:rsidP="00FD22FB">
            <w:r w:rsidRPr="00E50DAF">
              <w:t>MCID</w:t>
            </w:r>
          </w:p>
        </w:tc>
        <w:tc>
          <w:tcPr>
            <w:tcW w:w="6911" w:type="dxa"/>
          </w:tcPr>
          <w:p w:rsidR="00E50DAF" w:rsidRPr="00E50DAF" w:rsidRDefault="00E50DAF" w:rsidP="00FD22FB">
            <w:pPr>
              <w:cnfStyle w:val="000000000000" w:firstRow="0" w:lastRow="0" w:firstColumn="0" w:lastColumn="0" w:oddVBand="0" w:evenVBand="0" w:oddHBand="0" w:evenHBand="0" w:firstRowFirstColumn="0" w:firstRowLastColumn="0" w:lastRowFirstColumn="0" w:lastRowLastColumn="0"/>
            </w:pPr>
            <w:r w:rsidRPr="00E50DAF">
              <w:t xml:space="preserve">minimal </w:t>
            </w:r>
            <w:r w:rsidR="00977809">
              <w:t>clinically important difference</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977809" w:rsidP="00FD22FB">
            <w:r>
              <w:t>MedDRA</w:t>
            </w:r>
          </w:p>
        </w:tc>
        <w:tc>
          <w:tcPr>
            <w:tcW w:w="6911" w:type="dxa"/>
          </w:tcPr>
          <w:p w:rsidR="00E50DAF" w:rsidRPr="00E50DAF" w:rsidRDefault="00E50DAF" w:rsidP="00FD22FB">
            <w:pPr>
              <w:cnfStyle w:val="000000000000" w:firstRow="0" w:lastRow="0" w:firstColumn="0" w:lastColumn="0" w:oddVBand="0" w:evenVBand="0" w:oddHBand="0" w:evenHBand="0" w:firstRowFirstColumn="0" w:firstRowLastColumn="0" w:lastRowFirstColumn="0" w:lastRowLastColumn="0"/>
            </w:pPr>
            <w:r w:rsidRPr="00E50DAF">
              <w:t>Medical Dicti</w:t>
            </w:r>
            <w:r w:rsidR="00977809">
              <w:t>onary for Regulatory Activities</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977809" w:rsidP="00FD22FB">
            <w:r>
              <w:t>MHRA</w:t>
            </w:r>
          </w:p>
        </w:tc>
        <w:tc>
          <w:tcPr>
            <w:tcW w:w="6911" w:type="dxa"/>
          </w:tcPr>
          <w:p w:rsidR="00E50DAF" w:rsidRPr="00E50DAF" w:rsidRDefault="00E50DAF" w:rsidP="00FD22FB">
            <w:pPr>
              <w:cnfStyle w:val="000000000000" w:firstRow="0" w:lastRow="0" w:firstColumn="0" w:lastColumn="0" w:oddVBand="0" w:evenVBand="0" w:oddHBand="0" w:evenHBand="0" w:firstRowFirstColumn="0" w:firstRowLastColumn="0" w:lastRowFirstColumn="0" w:lastRowLastColumn="0"/>
            </w:pPr>
            <w:r w:rsidRPr="00E50DAF">
              <w:t>Medicines and Healthcare Products Reg</w:t>
            </w:r>
            <w:r w:rsidR="00977809">
              <w:t>ulatory Agency (United Kingdom)</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977809" w:rsidP="00FD22FB">
            <w:r>
              <w:lastRenderedPageBreak/>
              <w:t>min</w:t>
            </w:r>
          </w:p>
        </w:tc>
        <w:tc>
          <w:tcPr>
            <w:tcW w:w="6911" w:type="dxa"/>
          </w:tcPr>
          <w:p w:rsidR="00E50DAF" w:rsidRPr="00E50DAF" w:rsidRDefault="00977809" w:rsidP="00FD22FB">
            <w:pPr>
              <w:cnfStyle w:val="000000000000" w:firstRow="0" w:lastRow="0" w:firstColumn="0" w:lastColumn="0" w:oddVBand="0" w:evenVBand="0" w:oddHBand="0" w:evenHBand="0" w:firstRowFirstColumn="0" w:firstRowLastColumn="0" w:lastRowFirstColumn="0" w:lastRowLastColumn="0"/>
            </w:pPr>
            <w:r>
              <w:t>minute/s</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E50DAF" w:rsidP="00FD22FB">
            <w:r w:rsidRPr="00E50DAF">
              <w:t>MMRM</w:t>
            </w:r>
          </w:p>
        </w:tc>
        <w:tc>
          <w:tcPr>
            <w:tcW w:w="6911" w:type="dxa"/>
          </w:tcPr>
          <w:p w:rsidR="00E50DAF" w:rsidRPr="00E50DAF" w:rsidRDefault="00E50DAF" w:rsidP="00FD22FB">
            <w:pPr>
              <w:cnfStyle w:val="000000000000" w:firstRow="0" w:lastRow="0" w:firstColumn="0" w:lastColumn="0" w:oddVBand="0" w:evenVBand="0" w:oddHBand="0" w:evenHBand="0" w:firstRowFirstColumn="0" w:firstRowLastColumn="0" w:lastRowFirstColumn="0" w:lastRowLastColumn="0"/>
            </w:pPr>
            <w:r w:rsidRPr="00E50DAF">
              <w:t>mixed-effe</w:t>
            </w:r>
            <w:r w:rsidR="00977809">
              <w:t>cts model for repeated measures</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977809" w:rsidP="00FD22FB">
            <w:r>
              <w:t>MTD</w:t>
            </w:r>
          </w:p>
        </w:tc>
        <w:tc>
          <w:tcPr>
            <w:tcW w:w="6911" w:type="dxa"/>
          </w:tcPr>
          <w:p w:rsidR="00E50DAF" w:rsidRPr="00E50DAF" w:rsidRDefault="00977809" w:rsidP="00FD22FB">
            <w:pPr>
              <w:cnfStyle w:val="000000000000" w:firstRow="0" w:lastRow="0" w:firstColumn="0" w:lastColumn="0" w:oddVBand="0" w:evenVBand="0" w:oddHBand="0" w:evenHBand="0" w:firstRowFirstColumn="0" w:firstRowLastColumn="0" w:lastRowFirstColumn="0" w:lastRowLastColumn="0"/>
            </w:pPr>
            <w:r>
              <w:t>maximum tolerated dose</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977809" w:rsidP="00FD22FB">
            <w:r>
              <w:t>NCA</w:t>
            </w:r>
          </w:p>
        </w:tc>
        <w:tc>
          <w:tcPr>
            <w:tcW w:w="6911" w:type="dxa"/>
          </w:tcPr>
          <w:p w:rsidR="00E50DAF" w:rsidRPr="00E50DAF" w:rsidRDefault="00977809" w:rsidP="00FD22FB">
            <w:pPr>
              <w:cnfStyle w:val="000000000000" w:firstRow="0" w:lastRow="0" w:firstColumn="0" w:lastColumn="0" w:oddVBand="0" w:evenVBand="0" w:oddHBand="0" w:evenHBand="0" w:firstRowFirstColumn="0" w:firstRowLastColumn="0" w:lastRowFirstColumn="0" w:lastRowLastColumn="0"/>
            </w:pPr>
            <w:r>
              <w:t>non-compartmental analysis</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977809" w:rsidP="00FD22FB">
            <w:r>
              <w:t>NONMEM</w:t>
            </w:r>
          </w:p>
        </w:tc>
        <w:tc>
          <w:tcPr>
            <w:tcW w:w="6911" w:type="dxa"/>
          </w:tcPr>
          <w:p w:rsidR="00E50DAF" w:rsidRPr="00E50DAF" w:rsidRDefault="00E50DAF" w:rsidP="00FD22FB">
            <w:pPr>
              <w:cnfStyle w:val="000000000000" w:firstRow="0" w:lastRow="0" w:firstColumn="0" w:lastColumn="0" w:oddVBand="0" w:evenVBand="0" w:oddHBand="0" w:evenHBand="0" w:firstRowFirstColumn="0" w:firstRowLastColumn="0" w:lastRowFirstColumn="0" w:lastRowLastColumn="0"/>
            </w:pPr>
            <w:r w:rsidRPr="00E50DAF">
              <w:t>no</w:t>
            </w:r>
            <w:r w:rsidR="00977809">
              <w:t>nlinear mixed-effects modelling</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977809" w:rsidP="00FD22FB">
            <w:r>
              <w:t>NPD</w:t>
            </w:r>
          </w:p>
        </w:tc>
        <w:tc>
          <w:tcPr>
            <w:tcW w:w="6911" w:type="dxa"/>
          </w:tcPr>
          <w:p w:rsidR="00E50DAF" w:rsidRPr="00E50DAF" w:rsidRDefault="00977809" w:rsidP="00FD22FB">
            <w:pPr>
              <w:cnfStyle w:val="000000000000" w:firstRow="0" w:lastRow="0" w:firstColumn="0" w:lastColumn="0" w:oddVBand="0" w:evenVBand="0" w:oddHBand="0" w:evenHBand="0" w:firstRowFirstColumn="0" w:firstRowLastColumn="0" w:lastRowFirstColumn="0" w:lastRowLastColumn="0"/>
            </w:pPr>
            <w:r>
              <w:t>Nasal potential difference</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977809" w:rsidP="00FD22FB">
            <w:r>
              <w:t>OATP</w:t>
            </w:r>
          </w:p>
        </w:tc>
        <w:tc>
          <w:tcPr>
            <w:tcW w:w="6911" w:type="dxa"/>
          </w:tcPr>
          <w:p w:rsidR="00E50DAF" w:rsidRPr="00E50DAF" w:rsidRDefault="00E50DAF" w:rsidP="00FD22FB">
            <w:pPr>
              <w:cnfStyle w:val="000000000000" w:firstRow="0" w:lastRow="0" w:firstColumn="0" w:lastColumn="0" w:oddVBand="0" w:evenVBand="0" w:oddHBand="0" w:evenHBand="0" w:firstRowFirstColumn="0" w:firstRowLastColumn="0" w:lastRowFirstColumn="0" w:lastRowLastColumn="0"/>
            </w:pPr>
            <w:r w:rsidRPr="00E50DAF">
              <w:t>organic</w:t>
            </w:r>
            <w:r w:rsidR="00977809">
              <w:t xml:space="preserve"> anion-transporting polypeptide</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977809" w:rsidP="00FD22FB">
            <w:r>
              <w:t>PD</w:t>
            </w:r>
          </w:p>
        </w:tc>
        <w:tc>
          <w:tcPr>
            <w:tcW w:w="6911" w:type="dxa"/>
          </w:tcPr>
          <w:p w:rsidR="00E50DAF" w:rsidRPr="00E50DAF" w:rsidRDefault="00977809" w:rsidP="00FD22FB">
            <w:pPr>
              <w:cnfStyle w:val="000000000000" w:firstRow="0" w:lastRow="0" w:firstColumn="0" w:lastColumn="0" w:oddVBand="0" w:evenVBand="0" w:oddHBand="0" w:evenHBand="0" w:firstRowFirstColumn="0" w:firstRowLastColumn="0" w:lastRowFirstColumn="0" w:lastRowLastColumn="0"/>
            </w:pPr>
            <w:r>
              <w:t>pharmacodynamics</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977809" w:rsidP="00FD22FB">
            <w:r>
              <w:t>P-gp</w:t>
            </w:r>
          </w:p>
        </w:tc>
        <w:tc>
          <w:tcPr>
            <w:tcW w:w="6911" w:type="dxa"/>
          </w:tcPr>
          <w:p w:rsidR="00E50DAF" w:rsidRPr="00E50DAF" w:rsidRDefault="00977809" w:rsidP="00FD22FB">
            <w:pPr>
              <w:cnfStyle w:val="000000000000" w:firstRow="0" w:lastRow="0" w:firstColumn="0" w:lastColumn="0" w:oddVBand="0" w:evenVBand="0" w:oddHBand="0" w:evenHBand="0" w:firstRowFirstColumn="0" w:firstRowLastColumn="0" w:lastRowFirstColumn="0" w:lastRowLastColumn="0"/>
            </w:pPr>
            <w:r>
              <w:t>P-glycoprotein</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977809" w:rsidP="00FD22FB">
            <w:r>
              <w:t>PK</w:t>
            </w:r>
          </w:p>
        </w:tc>
        <w:tc>
          <w:tcPr>
            <w:tcW w:w="6911" w:type="dxa"/>
          </w:tcPr>
          <w:p w:rsidR="00E50DAF" w:rsidRPr="00E50DAF" w:rsidRDefault="00977809" w:rsidP="00FD22FB">
            <w:pPr>
              <w:cnfStyle w:val="000000000000" w:firstRow="0" w:lastRow="0" w:firstColumn="0" w:lastColumn="0" w:oddVBand="0" w:evenVBand="0" w:oddHBand="0" w:evenHBand="0" w:firstRowFirstColumn="0" w:firstRowLastColumn="0" w:lastRowFirstColumn="0" w:lastRowLastColumn="0"/>
            </w:pPr>
            <w:r>
              <w:t>pharmacokinetics</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E50DAF" w:rsidP="00FD22FB">
            <w:r w:rsidRPr="00E50DAF">
              <w:t>PO</w:t>
            </w:r>
          </w:p>
        </w:tc>
        <w:tc>
          <w:tcPr>
            <w:tcW w:w="6911" w:type="dxa"/>
          </w:tcPr>
          <w:p w:rsidR="00E50DAF" w:rsidRPr="00E50DAF" w:rsidRDefault="00977809" w:rsidP="00FD22FB">
            <w:pPr>
              <w:cnfStyle w:val="000000000000" w:firstRow="0" w:lastRow="0" w:firstColumn="0" w:lastColumn="0" w:oddVBand="0" w:evenVBand="0" w:oddHBand="0" w:evenHBand="0" w:firstRowFirstColumn="0" w:firstRowLastColumn="0" w:lastRowFirstColumn="0" w:lastRowLastColumn="0"/>
            </w:pPr>
            <w:r>
              <w:t>orally</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977809" w:rsidP="00FD22FB">
            <w:r>
              <w:t>popPK</w:t>
            </w:r>
          </w:p>
        </w:tc>
        <w:tc>
          <w:tcPr>
            <w:tcW w:w="6911" w:type="dxa"/>
          </w:tcPr>
          <w:p w:rsidR="00E50DAF" w:rsidRPr="00E50DAF" w:rsidRDefault="00977809" w:rsidP="00FD22FB">
            <w:pPr>
              <w:cnfStyle w:val="000000000000" w:firstRow="0" w:lastRow="0" w:firstColumn="0" w:lastColumn="0" w:oddVBand="0" w:evenVBand="0" w:oddHBand="0" w:evenHBand="0" w:firstRowFirstColumn="0" w:firstRowLastColumn="0" w:lastRowFirstColumn="0" w:lastRowLastColumn="0"/>
            </w:pPr>
            <w:r>
              <w:t>population pharmacokinetics</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E50DAF" w:rsidP="00FD22FB">
            <w:r w:rsidRPr="00E50DAF">
              <w:t>ppFEF</w:t>
            </w:r>
          </w:p>
        </w:tc>
        <w:tc>
          <w:tcPr>
            <w:tcW w:w="6911" w:type="dxa"/>
          </w:tcPr>
          <w:p w:rsidR="00E50DAF" w:rsidRPr="00E50DAF" w:rsidRDefault="00E50DAF" w:rsidP="00FD22FB">
            <w:pPr>
              <w:cnfStyle w:val="000000000000" w:firstRow="0" w:lastRow="0" w:firstColumn="0" w:lastColumn="0" w:oddVBand="0" w:evenVBand="0" w:oddHBand="0" w:evenHBand="0" w:firstRowFirstColumn="0" w:firstRowLastColumn="0" w:lastRowFirstColumn="0" w:lastRowLastColumn="0"/>
            </w:pPr>
            <w:r w:rsidRPr="00E50DAF">
              <w:t>25%-75% percent p</w:t>
            </w:r>
            <w:r w:rsidR="00977809">
              <w:t>redicted forced expiratory flow</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977809" w:rsidP="00FD22FB">
            <w:r>
              <w:t>pp</w:t>
            </w:r>
            <w:r w:rsidR="00A8789D" w:rsidRPr="001D064D">
              <w:t>FEV</w:t>
            </w:r>
            <w:r w:rsidR="00A8789D" w:rsidRPr="00A8789D">
              <w:rPr>
                <w:vertAlign w:val="subscript"/>
              </w:rPr>
              <w:t>1</w:t>
            </w:r>
          </w:p>
        </w:tc>
        <w:tc>
          <w:tcPr>
            <w:tcW w:w="6911" w:type="dxa"/>
          </w:tcPr>
          <w:p w:rsidR="00E50DAF" w:rsidRPr="00E50DAF" w:rsidRDefault="00977809" w:rsidP="00FD22FB">
            <w:pPr>
              <w:cnfStyle w:val="000000000000" w:firstRow="0" w:lastRow="0" w:firstColumn="0" w:lastColumn="0" w:oddVBand="0" w:evenVBand="0" w:oddHBand="0" w:evenHBand="0" w:firstRowFirstColumn="0" w:firstRowLastColumn="0" w:lastRowFirstColumn="0" w:lastRowLastColumn="0"/>
            </w:pPr>
            <w:r>
              <w:t xml:space="preserve">percent predicted </w:t>
            </w:r>
            <w:r w:rsidR="00A8789D" w:rsidRPr="001D064D">
              <w:t>FEV</w:t>
            </w:r>
            <w:r w:rsidR="00A8789D" w:rsidRPr="00A8789D">
              <w:rPr>
                <w:vertAlign w:val="subscript"/>
              </w:rPr>
              <w:t>1</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977809" w:rsidP="00FD22FB">
            <w:r>
              <w:t>ppFVC</w:t>
            </w:r>
          </w:p>
        </w:tc>
        <w:tc>
          <w:tcPr>
            <w:tcW w:w="6911" w:type="dxa"/>
          </w:tcPr>
          <w:p w:rsidR="00E50DAF" w:rsidRPr="00E50DAF" w:rsidRDefault="00977809" w:rsidP="00FD22FB">
            <w:pPr>
              <w:cnfStyle w:val="000000000000" w:firstRow="0" w:lastRow="0" w:firstColumn="0" w:lastColumn="0" w:oddVBand="0" w:evenVBand="0" w:oddHBand="0" w:evenHBand="0" w:firstRowFirstColumn="0" w:firstRowLastColumn="0" w:lastRowFirstColumn="0" w:lastRowLastColumn="0"/>
            </w:pPr>
            <w:r>
              <w:t>predicted forced vital capacity</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977809" w:rsidP="00FD22FB">
            <w:r>
              <w:t>PT</w:t>
            </w:r>
          </w:p>
        </w:tc>
        <w:tc>
          <w:tcPr>
            <w:tcW w:w="6911" w:type="dxa"/>
          </w:tcPr>
          <w:p w:rsidR="00E50DAF" w:rsidRPr="00E50DAF" w:rsidRDefault="00977809" w:rsidP="00FD22FB">
            <w:pPr>
              <w:cnfStyle w:val="000000000000" w:firstRow="0" w:lastRow="0" w:firstColumn="0" w:lastColumn="0" w:oddVBand="0" w:evenVBand="0" w:oddHBand="0" w:evenHBand="0" w:firstRowFirstColumn="0" w:firstRowLastColumn="0" w:lastRowFirstColumn="0" w:lastRowLastColumn="0"/>
            </w:pPr>
            <w:r>
              <w:t>preferred term</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977809" w:rsidP="00FD22FB">
            <w:r>
              <w:t>Q/F</w:t>
            </w:r>
          </w:p>
        </w:tc>
        <w:tc>
          <w:tcPr>
            <w:tcW w:w="6911" w:type="dxa"/>
          </w:tcPr>
          <w:p w:rsidR="00E50DAF" w:rsidRPr="00E50DAF" w:rsidRDefault="00977809" w:rsidP="00FD22FB">
            <w:pPr>
              <w:cnfStyle w:val="000000000000" w:firstRow="0" w:lastRow="0" w:firstColumn="0" w:lastColumn="0" w:oddVBand="0" w:evenVBand="0" w:oddHBand="0" w:evenHBand="0" w:firstRowFirstColumn="0" w:firstRowLastColumn="0" w:lastRowFirstColumn="0" w:lastRowLastColumn="0"/>
            </w:pPr>
            <w:r>
              <w:t>inter-compartmental clearance</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977809" w:rsidP="00FD22FB">
            <w:r>
              <w:t>q12h</w:t>
            </w:r>
          </w:p>
        </w:tc>
        <w:tc>
          <w:tcPr>
            <w:tcW w:w="6911" w:type="dxa"/>
          </w:tcPr>
          <w:p w:rsidR="00E50DAF" w:rsidRPr="00E50DAF" w:rsidRDefault="00977809" w:rsidP="00FD22FB">
            <w:pPr>
              <w:cnfStyle w:val="000000000000" w:firstRow="0" w:lastRow="0" w:firstColumn="0" w:lastColumn="0" w:oddVBand="0" w:evenVBand="0" w:oddHBand="0" w:evenHBand="0" w:firstRowFirstColumn="0" w:firstRowLastColumn="0" w:lastRowFirstColumn="0" w:lastRowLastColumn="0"/>
            </w:pPr>
            <w:r>
              <w:t>every 12 hours</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977809" w:rsidP="00FD22FB">
            <w:r>
              <w:t>QD</w:t>
            </w:r>
          </w:p>
        </w:tc>
        <w:tc>
          <w:tcPr>
            <w:tcW w:w="6911" w:type="dxa"/>
          </w:tcPr>
          <w:p w:rsidR="00E50DAF" w:rsidRPr="00E50DAF" w:rsidRDefault="00977809" w:rsidP="00FD22FB">
            <w:pPr>
              <w:cnfStyle w:val="000000000000" w:firstRow="0" w:lastRow="0" w:firstColumn="0" w:lastColumn="0" w:oddVBand="0" w:evenVBand="0" w:oddHBand="0" w:evenHBand="0" w:firstRowFirstColumn="0" w:firstRowLastColumn="0" w:lastRowFirstColumn="0" w:lastRowLastColumn="0"/>
            </w:pPr>
            <w:r>
              <w:t>once daily</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977809" w:rsidP="00FD22FB">
            <w:r>
              <w:t>SAE</w:t>
            </w:r>
          </w:p>
        </w:tc>
        <w:tc>
          <w:tcPr>
            <w:tcW w:w="6911" w:type="dxa"/>
          </w:tcPr>
          <w:p w:rsidR="00E50DAF" w:rsidRPr="00E50DAF" w:rsidRDefault="00977809" w:rsidP="00FD22FB">
            <w:pPr>
              <w:cnfStyle w:val="000000000000" w:firstRow="0" w:lastRow="0" w:firstColumn="0" w:lastColumn="0" w:oddVBand="0" w:evenVBand="0" w:oddHBand="0" w:evenHBand="0" w:firstRowFirstColumn="0" w:firstRowLastColumn="0" w:lastRowFirstColumn="0" w:lastRowLastColumn="0"/>
            </w:pPr>
            <w:r>
              <w:t>serious adverse event</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977809" w:rsidP="00FD22FB">
            <w:r>
              <w:t>SD</w:t>
            </w:r>
          </w:p>
        </w:tc>
        <w:tc>
          <w:tcPr>
            <w:tcW w:w="6911" w:type="dxa"/>
          </w:tcPr>
          <w:p w:rsidR="00E50DAF" w:rsidRPr="00E50DAF" w:rsidRDefault="00977809" w:rsidP="00FD22FB">
            <w:pPr>
              <w:cnfStyle w:val="000000000000" w:firstRow="0" w:lastRow="0" w:firstColumn="0" w:lastColumn="0" w:oddVBand="0" w:evenVBand="0" w:oddHBand="0" w:evenHBand="0" w:firstRowFirstColumn="0" w:firstRowLastColumn="0" w:lastRowFirstColumn="0" w:lastRowLastColumn="0"/>
            </w:pPr>
            <w:r>
              <w:t>standard deviation</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977809" w:rsidP="00FD22FB">
            <w:r>
              <w:t>SDD</w:t>
            </w:r>
          </w:p>
        </w:tc>
        <w:tc>
          <w:tcPr>
            <w:tcW w:w="6911" w:type="dxa"/>
          </w:tcPr>
          <w:p w:rsidR="00E50DAF" w:rsidRPr="00E50DAF" w:rsidRDefault="00977809" w:rsidP="00FD22FB">
            <w:pPr>
              <w:cnfStyle w:val="000000000000" w:firstRow="0" w:lastRow="0" w:firstColumn="0" w:lastColumn="0" w:oddVBand="0" w:evenVBand="0" w:oddHBand="0" w:evenHBand="0" w:firstRowFirstColumn="0" w:firstRowLastColumn="0" w:lastRowFirstColumn="0" w:lastRowLastColumn="0"/>
            </w:pPr>
            <w:r>
              <w:t>spray-dried dispersion</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977809" w:rsidP="00FD22FB">
            <w:r>
              <w:t>SOC</w:t>
            </w:r>
          </w:p>
        </w:tc>
        <w:tc>
          <w:tcPr>
            <w:tcW w:w="6911" w:type="dxa"/>
          </w:tcPr>
          <w:p w:rsidR="00E50DAF" w:rsidRPr="00E50DAF" w:rsidRDefault="00977809" w:rsidP="00FD22FB">
            <w:pPr>
              <w:cnfStyle w:val="000000000000" w:firstRow="0" w:lastRow="0" w:firstColumn="0" w:lastColumn="0" w:oddVBand="0" w:evenVBand="0" w:oddHBand="0" w:evenHBand="0" w:firstRowFirstColumn="0" w:firstRowLastColumn="0" w:lastRowFirstColumn="0" w:lastRowLastColumn="0"/>
            </w:pPr>
            <w:r>
              <w:t>system organ class</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977809" w:rsidP="00FD22FB">
            <w:r>
              <w:t>T1/2</w:t>
            </w:r>
          </w:p>
        </w:tc>
        <w:tc>
          <w:tcPr>
            <w:tcW w:w="6911" w:type="dxa"/>
          </w:tcPr>
          <w:p w:rsidR="00E50DAF" w:rsidRPr="00E50DAF" w:rsidRDefault="00977809" w:rsidP="00FD22FB">
            <w:pPr>
              <w:cnfStyle w:val="000000000000" w:firstRow="0" w:lastRow="0" w:firstColumn="0" w:lastColumn="0" w:oddVBand="0" w:evenVBand="0" w:oddHBand="0" w:evenHBand="0" w:firstRowFirstColumn="0" w:firstRowLastColumn="0" w:lastRowFirstColumn="0" w:lastRowLastColumn="0"/>
            </w:pPr>
            <w:r>
              <w:t>terminal phase half-life</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511EB7" w:rsidP="00FD22FB">
            <w:r w:rsidRPr="001E1E4D">
              <w:t>T</w:t>
            </w:r>
            <w:r w:rsidRPr="00511EB7">
              <w:rPr>
                <w:vertAlign w:val="subscript"/>
              </w:rPr>
              <w:t>max</w:t>
            </w:r>
          </w:p>
        </w:tc>
        <w:tc>
          <w:tcPr>
            <w:tcW w:w="6911" w:type="dxa"/>
          </w:tcPr>
          <w:p w:rsidR="00E50DAF" w:rsidRPr="00E50DAF" w:rsidRDefault="00E50DAF" w:rsidP="00FD22FB">
            <w:pPr>
              <w:cnfStyle w:val="000000000000" w:firstRow="0" w:lastRow="0" w:firstColumn="0" w:lastColumn="0" w:oddVBand="0" w:evenVBand="0" w:oddHBand="0" w:evenHBand="0" w:firstRowFirstColumn="0" w:firstRowLastColumn="0" w:lastRowFirstColumn="0" w:lastRowLastColumn="0"/>
            </w:pPr>
            <w:r w:rsidRPr="00E50DAF">
              <w:t>ti</w:t>
            </w:r>
            <w:r w:rsidR="00977809">
              <w:t>me of the maximum concentration</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977809" w:rsidP="00FD22FB">
            <w:r>
              <w:lastRenderedPageBreak/>
              <w:t>TSWG</w:t>
            </w:r>
          </w:p>
        </w:tc>
        <w:tc>
          <w:tcPr>
            <w:tcW w:w="6911" w:type="dxa"/>
          </w:tcPr>
          <w:p w:rsidR="00E50DAF" w:rsidRPr="00E50DAF" w:rsidRDefault="00977809" w:rsidP="00FD22FB">
            <w:pPr>
              <w:cnfStyle w:val="000000000000" w:firstRow="0" w:lastRow="0" w:firstColumn="0" w:lastColumn="0" w:oddVBand="0" w:evenVBand="0" w:oddHBand="0" w:evenHBand="0" w:firstRowFirstColumn="0" w:firstRowLastColumn="0" w:lastRowFirstColumn="0" w:lastRowLastColumn="0"/>
            </w:pPr>
            <w:r>
              <w:t>twin screw wet granulation</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977809" w:rsidP="00FD22FB">
            <w:r>
              <w:t>UK</w:t>
            </w:r>
          </w:p>
        </w:tc>
        <w:tc>
          <w:tcPr>
            <w:tcW w:w="6911" w:type="dxa"/>
          </w:tcPr>
          <w:p w:rsidR="00E50DAF" w:rsidRPr="00E50DAF" w:rsidRDefault="00977809" w:rsidP="00FD22FB">
            <w:pPr>
              <w:cnfStyle w:val="000000000000" w:firstRow="0" w:lastRow="0" w:firstColumn="0" w:lastColumn="0" w:oddVBand="0" w:evenVBand="0" w:oddHBand="0" w:evenHBand="0" w:firstRowFirstColumn="0" w:firstRowLastColumn="0" w:lastRowFirstColumn="0" w:lastRowLastColumn="0"/>
            </w:pPr>
            <w:r>
              <w:t>United Kingdom</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977809" w:rsidP="00FD22FB">
            <w:r>
              <w:t>ULN</w:t>
            </w:r>
          </w:p>
        </w:tc>
        <w:tc>
          <w:tcPr>
            <w:tcW w:w="6911" w:type="dxa"/>
          </w:tcPr>
          <w:p w:rsidR="00E50DAF" w:rsidRPr="00E50DAF" w:rsidRDefault="00977809" w:rsidP="00FD22FB">
            <w:pPr>
              <w:cnfStyle w:val="000000000000" w:firstRow="0" w:lastRow="0" w:firstColumn="0" w:lastColumn="0" w:oddVBand="0" w:evenVBand="0" w:oddHBand="0" w:evenHBand="0" w:firstRowFirstColumn="0" w:firstRowLastColumn="0" w:lastRowFirstColumn="0" w:lastRowLastColumn="0"/>
            </w:pPr>
            <w:r>
              <w:t>upper limit of normal</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977809" w:rsidP="00FD22FB">
            <w:r>
              <w:t>ULOQ</w:t>
            </w:r>
          </w:p>
        </w:tc>
        <w:tc>
          <w:tcPr>
            <w:tcW w:w="6911" w:type="dxa"/>
          </w:tcPr>
          <w:p w:rsidR="00E50DAF" w:rsidRPr="00E50DAF" w:rsidRDefault="00977809" w:rsidP="00FD22FB">
            <w:pPr>
              <w:cnfStyle w:val="000000000000" w:firstRow="0" w:lastRow="0" w:firstColumn="0" w:lastColumn="0" w:oddVBand="0" w:evenVBand="0" w:oddHBand="0" w:evenHBand="0" w:firstRowFirstColumn="0" w:firstRowLastColumn="0" w:lastRowFirstColumn="0" w:lastRowLastColumn="0"/>
            </w:pPr>
            <w:r>
              <w:t>upper limit of quantitation</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977809" w:rsidP="00FD22FB">
            <w:r>
              <w:t>US</w:t>
            </w:r>
          </w:p>
        </w:tc>
        <w:tc>
          <w:tcPr>
            <w:tcW w:w="6911" w:type="dxa"/>
          </w:tcPr>
          <w:p w:rsidR="00E50DAF" w:rsidRPr="00E50DAF" w:rsidRDefault="00977809" w:rsidP="00FD22FB">
            <w:pPr>
              <w:cnfStyle w:val="000000000000" w:firstRow="0" w:lastRow="0" w:firstColumn="0" w:lastColumn="0" w:oddVBand="0" w:evenVBand="0" w:oddHBand="0" w:evenHBand="0" w:firstRowFirstColumn="0" w:firstRowLastColumn="0" w:lastRowFirstColumn="0" w:lastRowLastColumn="0"/>
            </w:pPr>
            <w:r>
              <w:t>United States</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977809" w:rsidP="00FD22FB">
            <w:r>
              <w:t>Vc/F</w:t>
            </w:r>
          </w:p>
        </w:tc>
        <w:tc>
          <w:tcPr>
            <w:tcW w:w="6911" w:type="dxa"/>
          </w:tcPr>
          <w:p w:rsidR="00E50DAF" w:rsidRPr="00E50DAF" w:rsidRDefault="00977809" w:rsidP="00FD22FB">
            <w:pPr>
              <w:cnfStyle w:val="000000000000" w:firstRow="0" w:lastRow="0" w:firstColumn="0" w:lastColumn="0" w:oddVBand="0" w:evenVBand="0" w:oddHBand="0" w:evenHBand="0" w:firstRowFirstColumn="0" w:firstRowLastColumn="0" w:lastRowFirstColumn="0" w:lastRowLastColumn="0"/>
            </w:pPr>
            <w:r>
              <w:t>central volume of distribution</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E50DAF" w:rsidP="00FD22FB">
            <w:r w:rsidRPr="00E50DAF">
              <w:t>Vd</w:t>
            </w:r>
          </w:p>
        </w:tc>
        <w:tc>
          <w:tcPr>
            <w:tcW w:w="6911" w:type="dxa"/>
          </w:tcPr>
          <w:p w:rsidR="00E50DAF" w:rsidRPr="00E50DAF" w:rsidRDefault="00977809" w:rsidP="00E50DAF">
            <w:pPr>
              <w:cnfStyle w:val="000000000000" w:firstRow="0" w:lastRow="0" w:firstColumn="0" w:lastColumn="0" w:oddVBand="0" w:evenVBand="0" w:oddHBand="0" w:evenHBand="0" w:firstRowFirstColumn="0" w:firstRowLastColumn="0" w:lastRowFirstColumn="0" w:lastRowLastColumn="0"/>
            </w:pPr>
            <w:r>
              <w:t>apparent volume of distribution</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E50DAF" w:rsidP="00FD22FB">
            <w:r w:rsidRPr="00E50DAF">
              <w:t>Vertex</w:t>
            </w:r>
          </w:p>
        </w:tc>
        <w:tc>
          <w:tcPr>
            <w:tcW w:w="6911" w:type="dxa"/>
          </w:tcPr>
          <w:p w:rsidR="00E50DAF" w:rsidRPr="00E50DAF" w:rsidRDefault="00E50DAF" w:rsidP="00E50DAF">
            <w:pPr>
              <w:cnfStyle w:val="000000000000" w:firstRow="0" w:lastRow="0" w:firstColumn="0" w:lastColumn="0" w:oddVBand="0" w:evenVBand="0" w:oddHBand="0" w:evenHBand="0" w:firstRowFirstColumn="0" w:firstRowLastColumn="0" w:lastRowFirstColumn="0" w:lastRowLastColumn="0"/>
            </w:pPr>
            <w:r w:rsidRPr="00E50DAF">
              <w:t>Vert</w:t>
            </w:r>
            <w:r w:rsidR="00977809">
              <w:t>ex Pharmaceuticals Incorporated</w:t>
            </w:r>
          </w:p>
        </w:tc>
      </w:tr>
      <w:tr w:rsidR="00E50DAF" w:rsidTr="001D064D">
        <w:tc>
          <w:tcPr>
            <w:cnfStyle w:val="001000000000" w:firstRow="0" w:lastRow="0" w:firstColumn="1" w:lastColumn="0" w:oddVBand="0" w:evenVBand="0" w:oddHBand="0" w:evenHBand="0" w:firstRowFirstColumn="0" w:firstRowLastColumn="0" w:lastRowFirstColumn="0" w:lastRowLastColumn="0"/>
            <w:tcW w:w="1890" w:type="dxa"/>
          </w:tcPr>
          <w:p w:rsidR="00E50DAF" w:rsidRPr="00E50DAF" w:rsidRDefault="00E50DAF" w:rsidP="00FD22FB">
            <w:r w:rsidRPr="00E50DAF">
              <w:t>Vp/F</w:t>
            </w:r>
          </w:p>
        </w:tc>
        <w:tc>
          <w:tcPr>
            <w:tcW w:w="6911" w:type="dxa"/>
          </w:tcPr>
          <w:p w:rsidR="00E50DAF" w:rsidRPr="00E50DAF" w:rsidRDefault="00E50DAF" w:rsidP="00FD22FB">
            <w:pPr>
              <w:cnfStyle w:val="000000000000" w:firstRow="0" w:lastRow="0" w:firstColumn="0" w:lastColumn="0" w:oddVBand="0" w:evenVBand="0" w:oddHBand="0" w:evenHBand="0" w:firstRowFirstColumn="0" w:firstRowLastColumn="0" w:lastRowFirstColumn="0" w:lastRowLastColumn="0"/>
            </w:pPr>
            <w:r w:rsidRPr="00E50DAF">
              <w:t>peripheral volume of distribution</w:t>
            </w:r>
          </w:p>
        </w:tc>
      </w:tr>
      <w:tr w:rsidR="00F476C2" w:rsidTr="001D064D">
        <w:tc>
          <w:tcPr>
            <w:cnfStyle w:val="001000000000" w:firstRow="0" w:lastRow="0" w:firstColumn="1" w:lastColumn="0" w:oddVBand="0" w:evenVBand="0" w:oddHBand="0" w:evenHBand="0" w:firstRowFirstColumn="0" w:firstRowLastColumn="0" w:lastRowFirstColumn="0" w:lastRowLastColumn="0"/>
            <w:tcW w:w="1890" w:type="dxa"/>
          </w:tcPr>
          <w:p w:rsidR="00F476C2" w:rsidRPr="00E50DAF" w:rsidRDefault="00F476C2" w:rsidP="00FD22FB">
            <w:r>
              <w:t>VX-770</w:t>
            </w:r>
          </w:p>
        </w:tc>
        <w:tc>
          <w:tcPr>
            <w:tcW w:w="6911" w:type="dxa"/>
          </w:tcPr>
          <w:p w:rsidR="00F476C2" w:rsidRPr="00E50DAF" w:rsidRDefault="00F476C2" w:rsidP="00FD22FB">
            <w:pPr>
              <w:cnfStyle w:val="000000000000" w:firstRow="0" w:lastRow="0" w:firstColumn="0" w:lastColumn="0" w:oddVBand="0" w:evenVBand="0" w:oddHBand="0" w:evenHBand="0" w:firstRowFirstColumn="0" w:firstRowLastColumn="0" w:lastRowFirstColumn="0" w:lastRowLastColumn="0"/>
            </w:pPr>
            <w:r>
              <w:t>ivacaftor</w:t>
            </w:r>
          </w:p>
        </w:tc>
      </w:tr>
      <w:tr w:rsidR="000019F6" w:rsidTr="001D064D">
        <w:tc>
          <w:tcPr>
            <w:cnfStyle w:val="001000000000" w:firstRow="0" w:lastRow="0" w:firstColumn="1" w:lastColumn="0" w:oddVBand="0" w:evenVBand="0" w:oddHBand="0" w:evenHBand="0" w:firstRowFirstColumn="0" w:firstRowLastColumn="0" w:lastRowFirstColumn="0" w:lastRowLastColumn="0"/>
            <w:tcW w:w="1890" w:type="dxa"/>
          </w:tcPr>
          <w:p w:rsidR="000019F6" w:rsidRPr="00E50DAF" w:rsidRDefault="000019F6" w:rsidP="00FD22FB">
            <w:r w:rsidRPr="001E1E4D">
              <w:t>VX-809</w:t>
            </w:r>
          </w:p>
        </w:tc>
        <w:tc>
          <w:tcPr>
            <w:tcW w:w="6911" w:type="dxa"/>
          </w:tcPr>
          <w:p w:rsidR="000019F6" w:rsidRPr="00E50DAF" w:rsidRDefault="000019F6" w:rsidP="00FD22FB">
            <w:pPr>
              <w:cnfStyle w:val="000000000000" w:firstRow="0" w:lastRow="0" w:firstColumn="0" w:lastColumn="0" w:oddVBand="0" w:evenVBand="0" w:oddHBand="0" w:evenHBand="0" w:firstRowFirstColumn="0" w:firstRowLastColumn="0" w:lastRowFirstColumn="0" w:lastRowLastColumn="0"/>
            </w:pPr>
            <w:r>
              <w:t>lumacaftor</w:t>
            </w:r>
          </w:p>
        </w:tc>
      </w:tr>
    </w:tbl>
    <w:p w:rsidR="0094614A" w:rsidRDefault="0094614A" w:rsidP="00ED23AB">
      <w:pPr>
        <w:pStyle w:val="Heading2"/>
        <w:pageBreakBefore/>
        <w:spacing w:before="120"/>
        <w:rPr>
          <w:lang w:eastAsia="en-AU"/>
        </w:rPr>
      </w:pPr>
      <w:bookmarkStart w:id="7" w:name="_Toc461121033"/>
      <w:bookmarkStart w:id="8" w:name="_Toc351718900"/>
      <w:bookmarkStart w:id="9" w:name="_Toc355338635"/>
      <w:r>
        <w:rPr>
          <w:lang w:eastAsia="en-AU"/>
        </w:rPr>
        <w:lastRenderedPageBreak/>
        <w:t>Introduction</w:t>
      </w:r>
      <w:bookmarkEnd w:id="7"/>
    </w:p>
    <w:p w:rsidR="00FD22FB" w:rsidRPr="00FD22FB" w:rsidRDefault="00FD22FB" w:rsidP="00FD22FB">
      <w:r w:rsidRPr="00FD22FB">
        <w:t xml:space="preserve">This is a Category 1 application for </w:t>
      </w:r>
      <w:r w:rsidR="00980975" w:rsidRPr="00FD22FB">
        <w:t>new chemical entity</w:t>
      </w:r>
      <w:r w:rsidR="00980975">
        <w:t xml:space="preserve"> (l</w:t>
      </w:r>
      <w:r w:rsidR="00980975" w:rsidRPr="00980975">
        <w:t>umacaftor</w:t>
      </w:r>
      <w:r w:rsidR="00980975">
        <w:t>)</w:t>
      </w:r>
      <w:r w:rsidRPr="00FD22FB">
        <w:t>.</w:t>
      </w:r>
      <w:r w:rsidR="00980975">
        <w:t xml:space="preserve"> </w:t>
      </w:r>
      <w:r w:rsidR="00511EB7">
        <w:t>Orkambi</w:t>
      </w:r>
      <w:r w:rsidR="00980975">
        <w:t xml:space="preserve"> 200/125</w:t>
      </w:r>
      <w:r w:rsidRPr="00FD22FB">
        <w:t xml:space="preserve"> is a fixed combination medicinal product containing </w:t>
      </w:r>
      <w:r w:rsidR="00511EB7">
        <w:t>200 mg</w:t>
      </w:r>
      <w:r w:rsidRPr="00FD22FB">
        <w:t xml:space="preserve"> lumacaftor (CFTR corrector) and 125mg ivacaftor (CFTR potentiator) for the tre</w:t>
      </w:r>
      <w:r w:rsidR="00980975">
        <w:t xml:space="preserve">atment of Cystic Fibrosis (CF). </w:t>
      </w:r>
      <w:r w:rsidRPr="00FD22FB">
        <w:t xml:space="preserve">Ivacaftor 150 mg is already approved in Australia as a mono therapy under the </w:t>
      </w:r>
      <w:r w:rsidR="002164D3" w:rsidRPr="00FD22FB">
        <w:t>trade name</w:t>
      </w:r>
      <w:r w:rsidRPr="00FD22FB">
        <w:t xml:space="preserve"> Kalydeco, indicated for the treatment of Cystic Fibrosis in patients aged 6 years and older who have a G55JD or other gating (Class </w:t>
      </w:r>
      <w:r w:rsidR="00980975">
        <w:t>III) mutation in the CFTR gene.</w:t>
      </w:r>
    </w:p>
    <w:p w:rsidR="00FD22FB" w:rsidRPr="00FD22FB" w:rsidRDefault="00FD22FB" w:rsidP="00FD22FB">
      <w:r w:rsidRPr="00FD22FB">
        <w:t>Lumacaftor is not currently registered in Australia or any other country as an active substa</w:t>
      </w:r>
      <w:r w:rsidR="00980975">
        <w:t>nce in a prescription medicine.</w:t>
      </w:r>
    </w:p>
    <w:p w:rsidR="00980975" w:rsidRDefault="00980975" w:rsidP="00FD22FB">
      <w:r>
        <w:t>The proposed indication is:</w:t>
      </w:r>
    </w:p>
    <w:p w:rsidR="00FD22FB" w:rsidRPr="00980975" w:rsidRDefault="00980975" w:rsidP="00980975">
      <w:pPr>
        <w:ind w:left="567"/>
        <w:rPr>
          <w:i/>
        </w:rPr>
      </w:pPr>
      <w:r>
        <w:rPr>
          <w:i/>
        </w:rPr>
        <w:t>‘</w:t>
      </w:r>
      <w:r w:rsidR="00511EB7">
        <w:rPr>
          <w:i/>
        </w:rPr>
        <w:t>Orkambi</w:t>
      </w:r>
      <w:r w:rsidR="00FD22FB" w:rsidRPr="00980975">
        <w:rPr>
          <w:i/>
        </w:rPr>
        <w:t xml:space="preserve"> is indicated for the treatment of cystic fibrosis (CF) in patients aged 12 years and older who are homozygous for the F508del mutation in the CFTR gene.</w:t>
      </w:r>
      <w:r>
        <w:rPr>
          <w:i/>
        </w:rPr>
        <w:t>’</w:t>
      </w:r>
    </w:p>
    <w:p w:rsidR="00586F98" w:rsidRDefault="00586F98" w:rsidP="006B4C50">
      <w:pPr>
        <w:pStyle w:val="Heading2"/>
      </w:pPr>
      <w:bookmarkStart w:id="10" w:name="_Toc461121034"/>
      <w:r w:rsidRPr="0094614A">
        <w:t>Clinical rationale</w:t>
      </w:r>
      <w:bookmarkEnd w:id="10"/>
    </w:p>
    <w:p w:rsidR="00FD22FB" w:rsidRPr="00FD22FB" w:rsidRDefault="00980975" w:rsidP="00FD22FB">
      <w:r w:rsidRPr="00980975">
        <w:t>Cystic Fibrosis</w:t>
      </w:r>
      <w:r>
        <w:t xml:space="preserve"> (CF)</w:t>
      </w:r>
      <w:r w:rsidRPr="00980975">
        <w:t xml:space="preserve"> </w:t>
      </w:r>
      <w:r w:rsidR="00FD22FB" w:rsidRPr="00FD22FB">
        <w:t>is caused by mutations in the CF transmembrane conductance regulator (CFTR) gene that result in absent or deficient function of the CFTR protein at the cell surface (Rommens JM, 1989). F508del-CFTR has been character</w:t>
      </w:r>
      <w:r w:rsidR="002D7E74">
        <w:t>ise</w:t>
      </w:r>
      <w:r w:rsidR="00FD22FB" w:rsidRPr="00FD22FB">
        <w:t xml:space="preserve">d as a </w:t>
      </w:r>
      <w:r>
        <w:t>‘</w:t>
      </w:r>
      <w:r w:rsidR="00FD22FB" w:rsidRPr="00FD22FB">
        <w:t>severe</w:t>
      </w:r>
      <w:r>
        <w:t>’</w:t>
      </w:r>
      <w:r w:rsidR="00FD22FB" w:rsidRPr="00FD22FB">
        <w:t xml:space="preserve"> CFTR mutation, based upon the F508del-CFTR homozygote clinical phenotype (Johansen, 1991; Kerem, 1990, Mckone, 2006) which is character</w:t>
      </w:r>
      <w:r w:rsidR="002D7E74">
        <w:t>ise</w:t>
      </w:r>
      <w:r w:rsidR="00FD22FB" w:rsidRPr="00FD22FB">
        <w:t>d by an early onset of clinical manifestations, a high incidence of pancreatic insufficiency, colonization with Pseudomonas aeruginosa, a more rapid rate of lung function decline, and shorter life expectancy (Kerem, 1996; Guidance for development of COPD drugs, 2007). These patients demonstrate progression of disease with advancing age and hav</w:t>
      </w:r>
      <w:r>
        <w:t>e a decreased life expectancy.</w:t>
      </w:r>
    </w:p>
    <w:p w:rsidR="00FD22FB" w:rsidRPr="00FD22FB" w:rsidRDefault="00FD22FB" w:rsidP="00FD22FB">
      <w:r w:rsidRPr="00FD22FB">
        <w:t>Despite advances in CF treatment, the predicted median age of survival of individuals born today with CF is approximately 40 years of age (US and UK CF patient registry) while the median age at death is generally in the 20s. The focus of most pharmacologic treatments for CF is management of</w:t>
      </w:r>
      <w:r w:rsidR="00C57926">
        <w:t xml:space="preserve"> </w:t>
      </w:r>
      <w:r w:rsidRPr="00FD22FB">
        <w:t>the downstream effects of diminished CFTR function: controlling airway infection and inflammation, mobilizing secretions to reduce airway obstruction and correcting nutritional deficits caused by pancreatic insufficiency. Relatively few of the recommended pharmacological treatments are specifical</w:t>
      </w:r>
      <w:r w:rsidR="00980975">
        <w:t xml:space="preserve">ly approved for CF and only one; </w:t>
      </w:r>
      <w:r w:rsidRPr="00FD22FB">
        <w:t xml:space="preserve">ivacaftor (IVA; also known as VX-770; approved as Kalydeco) targets the molecular defect in the CFTR protein that is the underlying cause of CF. Kalydeco is currently indicated for treatment of CF in a subset of patients with Class III or </w:t>
      </w:r>
      <w:r w:rsidR="00980975">
        <w:t>‘</w:t>
      </w:r>
      <w:r w:rsidRPr="00FD22FB">
        <w:t>gating</w:t>
      </w:r>
      <w:r w:rsidR="00980975">
        <w:t>’</w:t>
      </w:r>
      <w:r w:rsidRPr="00FD22FB">
        <w:t xml:space="preserve"> CFTR mutations, including the G551D-CFTR mutation. Given that approximately 5% of patients with CF have these mutations (Illeck B, 1999), an approved CFTR modulator therapy is not yet available to the great majority of patients. Approximately 44 to 52% of total CF patients in US, EU, Canada (US, EU and Canada CF Registry) and </w:t>
      </w:r>
      <w:r w:rsidR="00C57926" w:rsidRPr="00FD22FB">
        <w:t>Australia</w:t>
      </w:r>
      <w:r w:rsidRPr="00FD22FB">
        <w:t xml:space="preserve"> are homozygous for the F508del-CFTR mutation. Given that patients with CF who are homozygous for the F508del-CFTR mutation have a high unmet medical need and that none of the currently approved treatments for this population treat the underlying cause of CF, there is a substantial need to improve the treatment and outlook for these patients.</w:t>
      </w:r>
    </w:p>
    <w:p w:rsidR="00FD22FB" w:rsidRPr="00FD22FB" w:rsidRDefault="00FD22FB" w:rsidP="00FD22FB">
      <w:r w:rsidRPr="00FD22FB">
        <w:t>Lumacaftor (LUM; also known as V</w:t>
      </w:r>
      <w:r w:rsidR="00980975">
        <w:t>X-809) is a CFTR corrector and i</w:t>
      </w:r>
      <w:r w:rsidRPr="00FD22FB">
        <w:t xml:space="preserve">vacaftor (IVA) is a CFTR potentiator. LUM acts on CFTR to facilitate the cellular processing and trafficking of CFTR, allowing the protein to reach the cell surface, where it exhibits improved chloride channel function compared to uncorrected F508del-CFTR. The channel gating activity of F508del-CFTR that has been delivered to the cell surface by LUM can be potentiated by IVA to further enhance chloride transport. The combination of a CFTR corrector and potentiator is a novel approach to enhance the amount and function of the defective CFTR protein in patients with CF who </w:t>
      </w:r>
      <w:r w:rsidR="00980975">
        <w:t>have the F508del-CFTR mutation.</w:t>
      </w:r>
    </w:p>
    <w:p w:rsidR="00FD22FB" w:rsidRPr="00FD22FB" w:rsidRDefault="00FD22FB" w:rsidP="00FD22FB">
      <w:r w:rsidRPr="00FD22FB">
        <w:lastRenderedPageBreak/>
        <w:t xml:space="preserve">In </w:t>
      </w:r>
      <w:r w:rsidR="00980975" w:rsidRPr="00980975">
        <w:t xml:space="preserve">human bronchial epithelial </w:t>
      </w:r>
      <w:r w:rsidR="00980975">
        <w:t>(</w:t>
      </w:r>
      <w:r w:rsidRPr="00FD22FB">
        <w:t>HBE</w:t>
      </w:r>
      <w:r w:rsidR="00980975">
        <w:t>)</w:t>
      </w:r>
      <w:r w:rsidRPr="00FD22FB">
        <w:t xml:space="preserve"> cells derived from homozygous F508del-CFTR donors, treatment with IVA enhanced chloride transport, while treatment with LUM resulted in an improvement in the cellular processing and trafficking of F508del-CFTR and a greater enhancement in chloride transport. Chloride transport following treatment with both IVA and LUM was further enhanced to a degree exceeding that of either IVA or LUM alone. A modest restoration of chloride secretion through the action of the combination of LUM and IVA in vitro has been shown to improve fluid regulation and ciliary beat frequency in primary cultures of human bronchial epithelial (HBE) cells derived from donors with CF who are homozygous for the F508del-CFTR mutation. In individuals with CF, this would be expected to improve the mucociliary clearance to alleviate the cycle of mucus plugging, infection, and inflammation that leads to irreversible structural changes in the lungs for patients with CF. Consistent with nonclinical observations, </w:t>
      </w:r>
      <w:r w:rsidR="00980975">
        <w:t>Phase II</w:t>
      </w:r>
      <w:r w:rsidRPr="00FD22FB">
        <w:t xml:space="preserve"> studies evaluating LUM monotherapy or IVA monotherapy in subjects homozygous for the F508del-CFTR mutation did not result in clinically meaningful benefit (</w:t>
      </w:r>
      <w:r w:rsidR="00980975">
        <w:t>Studies</w:t>
      </w:r>
      <w:r w:rsidRPr="00FD22FB">
        <w:t xml:space="preserve"> VX09-809-102 and VX08-770-104). In contrast, LUM/IVA combination therapy was beneficial in this population, consistent with the in vitro findings. The sponsors state that this supports the hypothesis that both CFTR correction and potentiation are required for maximal benefit.</w:t>
      </w:r>
    </w:p>
    <w:p w:rsidR="00586F98" w:rsidRDefault="00586F98" w:rsidP="00586F98">
      <w:pPr>
        <w:pStyle w:val="Heading2"/>
        <w:rPr>
          <w:lang w:eastAsia="en-AU"/>
        </w:rPr>
      </w:pPr>
      <w:bookmarkStart w:id="11" w:name="_Toc461121035"/>
      <w:r>
        <w:rPr>
          <w:lang w:eastAsia="en-AU"/>
        </w:rPr>
        <w:t>Contents of the clinical dossier</w:t>
      </w:r>
      <w:bookmarkEnd w:id="8"/>
      <w:bookmarkEnd w:id="9"/>
      <w:bookmarkEnd w:id="11"/>
    </w:p>
    <w:p w:rsidR="00586F98" w:rsidRDefault="00586F98" w:rsidP="00586F98">
      <w:pPr>
        <w:pStyle w:val="Heading3"/>
      </w:pPr>
      <w:bookmarkStart w:id="12" w:name="_Toc461121036"/>
      <w:r>
        <w:t>Scope of the clinical dossier</w:t>
      </w:r>
      <w:bookmarkEnd w:id="12"/>
    </w:p>
    <w:p w:rsidR="00FD22FB" w:rsidRPr="00FD22FB" w:rsidRDefault="00FD22FB" w:rsidP="00FD22FB">
      <w:r w:rsidRPr="00FD22FB">
        <w:t xml:space="preserve">Vertex began the clinical development of LUM in the US in 2007 and subsequently expanded the development to include the EU, Canada, and Australia. </w:t>
      </w:r>
      <w:proofErr w:type="gramStart"/>
      <w:r w:rsidRPr="00FD22FB">
        <w:t>US</w:t>
      </w:r>
      <w:proofErr w:type="gramEnd"/>
      <w:r w:rsidRPr="00FD22FB">
        <w:t xml:space="preserve"> Fast Track (FDA, 17 January 2008) and Breakthrough designations (FDA, 07 December 2012) were granted to LUM. The LUM/IVA</w:t>
      </w:r>
      <w:r>
        <w:t xml:space="preserve"> </w:t>
      </w:r>
      <w:r w:rsidRPr="00FD22FB">
        <w:t xml:space="preserve">combination development program consists of 17 clinical studies: 15 completed studies and 2 ongoing studies. The </w:t>
      </w:r>
      <w:r w:rsidR="00703C13">
        <w:t xml:space="preserve">foregoing </w:t>
      </w:r>
      <w:r w:rsidRPr="00FD22FB">
        <w:t xml:space="preserve">studies evaluated LUM monotherapy and/or LUM/ IVA combination therapy in healthy subjects and in subjects with CF who were homozygous or heterozygous for the F508del-CFTR mutation. Studies were also conducted in subjects with hepatic impairment </w:t>
      </w:r>
      <w:r w:rsidR="004E6042">
        <w:t>(</w:t>
      </w:r>
      <w:r w:rsidR="00980975">
        <w:t>Study</w:t>
      </w:r>
      <w:r w:rsidRPr="00FD22FB">
        <w:t xml:space="preserve"> 010</w:t>
      </w:r>
      <w:r w:rsidR="004E6042">
        <w:t>)</w:t>
      </w:r>
      <w:r w:rsidRPr="00FD22FB">
        <w:t xml:space="preserve"> and subjects with CF who are pancreatic insufficient </w:t>
      </w:r>
      <w:r w:rsidR="004E6042">
        <w:t>(</w:t>
      </w:r>
      <w:r w:rsidR="00980975">
        <w:t>Study</w:t>
      </w:r>
      <w:r w:rsidRPr="00FD22FB">
        <w:t xml:space="preserve"> 002</w:t>
      </w:r>
      <w:r w:rsidR="004E6042">
        <w:t>)</w:t>
      </w:r>
      <w:r w:rsidRPr="00FD22FB">
        <w:t>). The studies in subjects with CF were developed with consultation from the US Cystic Fibrosis Foundation (CFF), the CFF Therapeutics Development Network (TDN), the European Cystic Fibrosis Society (ECFS) Clinical Trials Network</w:t>
      </w:r>
      <w:r w:rsidR="004E6042">
        <w:t xml:space="preserve"> (CTN) and regulatory agencies.</w:t>
      </w:r>
    </w:p>
    <w:p w:rsidR="00FD22FB" w:rsidRPr="00FD22FB" w:rsidRDefault="00FD22FB" w:rsidP="00FD22FB">
      <w:r w:rsidRPr="00FD22FB">
        <w:t>The submission contained the following clinical information:</w:t>
      </w:r>
    </w:p>
    <w:p w:rsidR="00FD22FB" w:rsidRPr="00FD22FB" w:rsidRDefault="00FD22FB" w:rsidP="00820498">
      <w:pPr>
        <w:pStyle w:val="ListBullet"/>
      </w:pPr>
      <w:r w:rsidRPr="00FD22FB">
        <w:t>Sixteen clinical pharmacology studies, including 16 that provided pharmacokinetic data and 4 that</w:t>
      </w:r>
      <w:r w:rsidR="00975A10">
        <w:t xml:space="preserve"> provided pharmacodynamic data</w:t>
      </w:r>
    </w:p>
    <w:p w:rsidR="00FD22FB" w:rsidRPr="00FD22FB" w:rsidRDefault="00FD22FB" w:rsidP="00FD22FB">
      <w:pPr>
        <w:pStyle w:val="ListBullet"/>
      </w:pPr>
      <w:r w:rsidRPr="00FD22FB">
        <w:t>Four popul</w:t>
      </w:r>
      <w:r w:rsidR="00975A10">
        <w:t>ation pharmacokinetic analyses</w:t>
      </w:r>
    </w:p>
    <w:p w:rsidR="00FD22FB" w:rsidRPr="00FD22FB" w:rsidRDefault="00FD22FB" w:rsidP="00FD22FB">
      <w:pPr>
        <w:pStyle w:val="ListBullet"/>
      </w:pPr>
      <w:r w:rsidRPr="00FD22FB">
        <w:t>Two pivotal efficacy/safety</w:t>
      </w:r>
      <w:r w:rsidR="00975A10">
        <w:t xml:space="preserve"> studies specific for </w:t>
      </w:r>
      <w:r w:rsidR="00511EB7">
        <w:t>Orkambi</w:t>
      </w:r>
      <w:r w:rsidR="00975A10">
        <w:t>- Studies 103 and 104</w:t>
      </w:r>
    </w:p>
    <w:p w:rsidR="00FD22FB" w:rsidRPr="00FD22FB" w:rsidRDefault="00975A10" w:rsidP="00FD22FB">
      <w:pPr>
        <w:pStyle w:val="ListBullet"/>
      </w:pPr>
      <w:r>
        <w:t xml:space="preserve">Ongoing long-term open </w:t>
      </w:r>
      <w:r w:rsidR="00FD22FB" w:rsidRPr="00FD22FB">
        <w:t xml:space="preserve">label </w:t>
      </w:r>
      <w:r w:rsidR="00980975">
        <w:t>Study</w:t>
      </w:r>
      <w:r>
        <w:t xml:space="preserve"> 105</w:t>
      </w:r>
    </w:p>
    <w:p w:rsidR="00FD22FB" w:rsidRPr="00FD22FB" w:rsidRDefault="00975A10" w:rsidP="00FD22FB">
      <w:pPr>
        <w:pStyle w:val="ListBullet"/>
      </w:pPr>
      <w:r w:rsidRPr="00FD22FB">
        <w:t xml:space="preserve">This module also includes reference to the Kalydeco (ivacaftor) approved clinical information for ivacaftor alone for the treatment of CF and subsequent file updates. Submission ID </w:t>
      </w:r>
      <w:r>
        <w:t>(</w:t>
      </w:r>
      <w:r w:rsidRPr="00FD22FB">
        <w:t>PM-2012-01491-3-5</w:t>
      </w:r>
      <w:r>
        <w:t>)</w:t>
      </w:r>
      <w:r w:rsidRPr="00FD22FB">
        <w:t xml:space="preserve">. </w:t>
      </w:r>
      <w:r>
        <w:t xml:space="preserve">Some clinical studies are cross </w:t>
      </w:r>
      <w:r w:rsidRPr="00FD22FB">
        <w:t xml:space="preserve">referenced to the Kalydeco </w:t>
      </w:r>
      <w:proofErr w:type="gramStart"/>
      <w:r w:rsidRPr="00FD22FB">
        <w:t>application have</w:t>
      </w:r>
      <w:proofErr w:type="gramEnd"/>
      <w:r w:rsidRPr="00FD22FB">
        <w:t xml:space="preserve"> been previously evaluated by TGA</w:t>
      </w:r>
      <w:r>
        <w:t>.</w:t>
      </w:r>
    </w:p>
    <w:p w:rsidR="00FD22FB" w:rsidRPr="00FD22FB" w:rsidRDefault="00975A10" w:rsidP="00FD22FB">
      <w:r>
        <w:t xml:space="preserve">The submission also contains; </w:t>
      </w:r>
      <w:r w:rsidR="00FD22FB" w:rsidRPr="00FD22FB">
        <w:t>Clinical Overview, Summary of Clinical Efficacy, Summary of Clinical Safety and literature</w:t>
      </w:r>
      <w:r w:rsidR="00FD22FB">
        <w:t xml:space="preserve"> </w:t>
      </w:r>
      <w:r w:rsidR="00FD22FB" w:rsidRPr="00FD22FB">
        <w:t>references. This module includes reference to the Kalydeco (ivacaftor) approved CMC,</w:t>
      </w:r>
      <w:r w:rsidR="00FD22FB">
        <w:t xml:space="preserve"> </w:t>
      </w:r>
      <w:r w:rsidR="00FD22FB" w:rsidRPr="00FD22FB">
        <w:t>nonclinical and clinical informati</w:t>
      </w:r>
      <w:r>
        <w:t>on and subsequent file updates.</w:t>
      </w:r>
    </w:p>
    <w:p w:rsidR="00FD22FB" w:rsidRPr="0094614A" w:rsidRDefault="00FD22FB" w:rsidP="003E4A33">
      <w:pPr>
        <w:pStyle w:val="Comment"/>
        <w:ind w:left="1440" w:hanging="1440"/>
      </w:pPr>
      <w:r w:rsidRPr="00975A10">
        <w:rPr>
          <w:b/>
        </w:rPr>
        <w:lastRenderedPageBreak/>
        <w:t>Comments:</w:t>
      </w:r>
      <w:r w:rsidRPr="00FD22FB">
        <w:t xml:space="preserve"> </w:t>
      </w:r>
      <w:r w:rsidR="00703C13">
        <w:tab/>
      </w:r>
      <w:r w:rsidRPr="00FD22FB">
        <w:t>The clinical overview was written by Charlotte McKee who was Head of Cystic Fibrosis Clinical Development at Vertex Pharmaceuticals. The report was well-written and the evaluators have no major disagreements with its contents.</w:t>
      </w:r>
    </w:p>
    <w:p w:rsidR="00586F98" w:rsidRDefault="00586F98" w:rsidP="00586F98">
      <w:pPr>
        <w:pStyle w:val="Heading3"/>
      </w:pPr>
      <w:bookmarkStart w:id="13" w:name="_Toc461121037"/>
      <w:r>
        <w:t>Paediatric data</w:t>
      </w:r>
      <w:bookmarkEnd w:id="13"/>
    </w:p>
    <w:p w:rsidR="00FD22FB" w:rsidRPr="00FD22FB" w:rsidRDefault="00FD22FB" w:rsidP="00FD22FB">
      <w:r w:rsidRPr="00FD22FB">
        <w:t>The submission includ</w:t>
      </w:r>
      <w:r w:rsidR="00975A10">
        <w:t>ed paediatric pharmacokinetic /pharmacodynamic /efficacy /</w:t>
      </w:r>
      <w:r w:rsidRPr="00FD22FB">
        <w:t xml:space="preserve">safety data for adolescents (aged </w:t>
      </w:r>
      <w:r w:rsidR="00975A10">
        <w:t xml:space="preserve">12 to 17 </w:t>
      </w:r>
      <w:r w:rsidRPr="00FD22FB">
        <w:t>years).</w:t>
      </w:r>
    </w:p>
    <w:p w:rsidR="00FD22FB" w:rsidRPr="00FD22FB" w:rsidRDefault="00FD22FB" w:rsidP="003E4A33">
      <w:pPr>
        <w:pStyle w:val="Comment"/>
        <w:ind w:left="1440" w:hanging="1440"/>
      </w:pPr>
      <w:r w:rsidRPr="00975A10">
        <w:rPr>
          <w:b/>
        </w:rPr>
        <w:t>Comments:</w:t>
      </w:r>
      <w:r w:rsidRPr="00FD22FB">
        <w:t xml:space="preserve"> </w:t>
      </w:r>
      <w:r w:rsidR="00703C13">
        <w:tab/>
      </w:r>
      <w:r w:rsidRPr="00FD22FB">
        <w:t xml:space="preserve">Data in this submission did not include PK, PD, </w:t>
      </w:r>
      <w:proofErr w:type="gramStart"/>
      <w:r w:rsidRPr="00FD22FB">
        <w:t>efficacy</w:t>
      </w:r>
      <w:proofErr w:type="gramEnd"/>
      <w:r w:rsidRPr="00FD22FB">
        <w:t xml:space="preserve"> or safety data for children aged </w:t>
      </w:r>
      <w:r w:rsidR="00511EB7">
        <w:t xml:space="preserve">&lt; </w:t>
      </w:r>
      <w:r w:rsidRPr="00FD22FB">
        <w:t xml:space="preserve">12 years. However, as the proposed indication is only for children aged </w:t>
      </w:r>
      <w:r w:rsidR="00052908">
        <w:t>&gt; </w:t>
      </w:r>
      <w:r w:rsidR="00975A10">
        <w:t>12 </w:t>
      </w:r>
      <w:r w:rsidRPr="00FD22FB">
        <w:t>years, this is not a limitation of the submission. Evaluation of lumacaftor in combination with ivacaftor in children 6 to 11 years of age is ongoing and further evaluation in children less than 6 years is planned.</w:t>
      </w:r>
    </w:p>
    <w:p w:rsidR="00586F98" w:rsidRDefault="00586F98" w:rsidP="00586F98">
      <w:pPr>
        <w:pStyle w:val="Heading3"/>
      </w:pPr>
      <w:bookmarkStart w:id="14" w:name="_Toc461121038"/>
      <w:r>
        <w:t>Good clinical practice</w:t>
      </w:r>
      <w:bookmarkEnd w:id="14"/>
    </w:p>
    <w:p w:rsidR="00FD22FB" w:rsidRPr="00FD22FB" w:rsidRDefault="00FD22FB" w:rsidP="00FD22FB">
      <w:r w:rsidRPr="00FD22FB">
        <w:t>The submitted clinical studies were conducted in full compliance with the guidelines of Good Clinical Practice and of the World Medical Assembly Declaration of Helsinki.</w:t>
      </w:r>
    </w:p>
    <w:p w:rsidR="00586F98" w:rsidRDefault="00586F98" w:rsidP="00586F98">
      <w:pPr>
        <w:pStyle w:val="Heading2"/>
      </w:pPr>
      <w:bookmarkStart w:id="15" w:name="_Toc355338639"/>
      <w:bookmarkStart w:id="16" w:name="_Toc461121039"/>
      <w:r>
        <w:t>Pharmacokinetics</w:t>
      </w:r>
      <w:bookmarkEnd w:id="15"/>
      <w:bookmarkEnd w:id="16"/>
    </w:p>
    <w:p w:rsidR="00C73267" w:rsidRPr="00C73267" w:rsidRDefault="00C73267" w:rsidP="00C73267">
      <w:pPr>
        <w:pStyle w:val="Heading3"/>
      </w:pPr>
      <w:bookmarkStart w:id="17" w:name="_Toc461121040"/>
      <w:r w:rsidRPr="00C73267">
        <w:t>Studies</w:t>
      </w:r>
      <w:r>
        <w:t xml:space="preserve"> providing pharmacokinetic data</w:t>
      </w:r>
      <w:bookmarkEnd w:id="17"/>
    </w:p>
    <w:p w:rsidR="00C73267" w:rsidRDefault="00C73267" w:rsidP="00C73267">
      <w:r w:rsidRPr="00C73267">
        <w:t xml:space="preserve">Summaries of the pharmacokinetic studies </w:t>
      </w:r>
      <w:r w:rsidR="00975A10">
        <w:t>were provided</w:t>
      </w:r>
      <w:r w:rsidR="00637DA3">
        <w:t>. Table 1</w:t>
      </w:r>
      <w:r w:rsidRPr="00C73267">
        <w:t xml:space="preserve"> shows the studies relating to each pharmacokinetic topic.</w:t>
      </w:r>
    </w:p>
    <w:p w:rsidR="00C73267" w:rsidRPr="00C73267" w:rsidRDefault="00761E27" w:rsidP="00511EB7">
      <w:pPr>
        <w:pStyle w:val="Tabletitle"/>
      </w:pPr>
      <w:proofErr w:type="gramStart"/>
      <w:r>
        <w:t>Table 1</w:t>
      </w:r>
      <w:r w:rsidR="00511EB7">
        <w:t>.</w:t>
      </w:r>
      <w:proofErr w:type="gramEnd"/>
      <w:r w:rsidR="00511EB7">
        <w:t xml:space="preserve"> Sum</w:t>
      </w:r>
      <w:r w:rsidR="00337378">
        <w:t>mary of pharmacokinetic studies</w:t>
      </w:r>
    </w:p>
    <w:tbl>
      <w:tblPr>
        <w:tblStyle w:val="TableTGAblue"/>
        <w:tblW w:w="0" w:type="auto"/>
        <w:tblLook w:val="04A0" w:firstRow="1" w:lastRow="0" w:firstColumn="1" w:lastColumn="0" w:noHBand="0" w:noVBand="1"/>
      </w:tblPr>
      <w:tblGrid>
        <w:gridCol w:w="1584"/>
        <w:gridCol w:w="1964"/>
        <w:gridCol w:w="1637"/>
        <w:gridCol w:w="4057"/>
      </w:tblGrid>
      <w:tr w:rsidR="00C73267" w:rsidRPr="00511EB7" w:rsidTr="002164D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84" w:type="dxa"/>
          </w:tcPr>
          <w:p w:rsidR="00C73267" w:rsidRPr="00511EB7" w:rsidRDefault="00C73267" w:rsidP="00052908">
            <w:pPr>
              <w:ind w:left="0" w:right="0"/>
              <w:rPr>
                <w:sz w:val="18"/>
                <w:szCs w:val="18"/>
              </w:rPr>
            </w:pPr>
            <w:r w:rsidRPr="00511EB7">
              <w:rPr>
                <w:sz w:val="18"/>
                <w:szCs w:val="18"/>
              </w:rPr>
              <w:t xml:space="preserve">PK topic </w:t>
            </w:r>
          </w:p>
        </w:tc>
        <w:tc>
          <w:tcPr>
            <w:tcW w:w="1964" w:type="dxa"/>
          </w:tcPr>
          <w:p w:rsidR="00C73267" w:rsidRPr="00511EB7" w:rsidRDefault="00C73267" w:rsidP="00052908">
            <w:pPr>
              <w:ind w:left="0" w:right="0"/>
              <w:cnfStyle w:val="100000000000" w:firstRow="1" w:lastRow="0" w:firstColumn="0" w:lastColumn="0" w:oddVBand="0" w:evenVBand="0" w:oddHBand="0" w:evenHBand="0" w:firstRowFirstColumn="0" w:firstRowLastColumn="0" w:lastRowFirstColumn="0" w:lastRowLastColumn="0"/>
              <w:rPr>
                <w:sz w:val="18"/>
                <w:szCs w:val="18"/>
              </w:rPr>
            </w:pPr>
            <w:r w:rsidRPr="00511EB7">
              <w:rPr>
                <w:sz w:val="18"/>
                <w:szCs w:val="18"/>
              </w:rPr>
              <w:t xml:space="preserve">Subtopic </w:t>
            </w:r>
          </w:p>
        </w:tc>
        <w:tc>
          <w:tcPr>
            <w:tcW w:w="1637" w:type="dxa"/>
          </w:tcPr>
          <w:p w:rsidR="00C73267" w:rsidRPr="00511EB7" w:rsidRDefault="00C73267" w:rsidP="00052908">
            <w:pPr>
              <w:ind w:left="0" w:right="0"/>
              <w:cnfStyle w:val="100000000000" w:firstRow="1" w:lastRow="0" w:firstColumn="0" w:lastColumn="0" w:oddVBand="0" w:evenVBand="0" w:oddHBand="0" w:evenHBand="0" w:firstRowFirstColumn="0" w:firstRowLastColumn="0" w:lastRowFirstColumn="0" w:lastRowLastColumn="0"/>
              <w:rPr>
                <w:sz w:val="18"/>
                <w:szCs w:val="18"/>
              </w:rPr>
            </w:pPr>
            <w:r w:rsidRPr="00511EB7">
              <w:rPr>
                <w:sz w:val="18"/>
                <w:szCs w:val="18"/>
              </w:rPr>
              <w:t xml:space="preserve">Study ID </w:t>
            </w:r>
          </w:p>
        </w:tc>
        <w:tc>
          <w:tcPr>
            <w:tcW w:w="4057" w:type="dxa"/>
          </w:tcPr>
          <w:p w:rsidR="00C73267" w:rsidRPr="00511EB7" w:rsidRDefault="00C73267" w:rsidP="00052908">
            <w:pPr>
              <w:ind w:left="0" w:right="0"/>
              <w:cnfStyle w:val="100000000000" w:firstRow="1" w:lastRow="0" w:firstColumn="0" w:lastColumn="0" w:oddVBand="0" w:evenVBand="0" w:oddHBand="0" w:evenHBand="0" w:firstRowFirstColumn="0" w:firstRowLastColumn="0" w:lastRowFirstColumn="0" w:lastRowLastColumn="0"/>
              <w:rPr>
                <w:sz w:val="18"/>
                <w:szCs w:val="18"/>
              </w:rPr>
            </w:pPr>
          </w:p>
        </w:tc>
      </w:tr>
      <w:tr w:rsidR="00C73267" w:rsidRPr="00511EB7" w:rsidTr="0021120B">
        <w:tc>
          <w:tcPr>
            <w:cnfStyle w:val="001000000000" w:firstRow="0" w:lastRow="0" w:firstColumn="1" w:lastColumn="0" w:oddVBand="0" w:evenVBand="0" w:oddHBand="0" w:evenHBand="0" w:firstRowFirstColumn="0" w:firstRowLastColumn="0" w:lastRowFirstColumn="0" w:lastRowLastColumn="0"/>
            <w:tcW w:w="1584" w:type="dxa"/>
          </w:tcPr>
          <w:p w:rsidR="00C73267" w:rsidRPr="00511EB7" w:rsidRDefault="00511EB7" w:rsidP="00052908">
            <w:pPr>
              <w:ind w:left="0" w:right="0"/>
              <w:rPr>
                <w:sz w:val="18"/>
                <w:szCs w:val="18"/>
              </w:rPr>
            </w:pPr>
            <w:r w:rsidRPr="00511EB7">
              <w:rPr>
                <w:sz w:val="18"/>
                <w:szCs w:val="18"/>
              </w:rPr>
              <w:t>PK in healthy adults</w:t>
            </w:r>
          </w:p>
        </w:tc>
        <w:tc>
          <w:tcPr>
            <w:tcW w:w="1964" w:type="dxa"/>
          </w:tcPr>
          <w:p w:rsidR="00C73267" w:rsidRPr="00511EB7" w:rsidRDefault="00C73267"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 xml:space="preserve">General PK </w:t>
            </w:r>
          </w:p>
        </w:tc>
        <w:tc>
          <w:tcPr>
            <w:tcW w:w="1637" w:type="dxa"/>
          </w:tcPr>
          <w:p w:rsidR="00C73267" w:rsidRPr="00511EB7" w:rsidRDefault="00511EB7"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VX07-809-001</w:t>
            </w:r>
          </w:p>
        </w:tc>
        <w:tc>
          <w:tcPr>
            <w:tcW w:w="4057" w:type="dxa"/>
          </w:tcPr>
          <w:p w:rsidR="00C73267" w:rsidRPr="00511EB7" w:rsidRDefault="00C73267"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Safety, tolerability and PKs of single ascending and descending doses of LUM</w:t>
            </w:r>
            <w:r w:rsidR="00511EB7" w:rsidRPr="00511EB7">
              <w:rPr>
                <w:sz w:val="18"/>
                <w:szCs w:val="18"/>
              </w:rPr>
              <w:t xml:space="preserve"> suspension in the fasted state</w:t>
            </w:r>
          </w:p>
        </w:tc>
      </w:tr>
      <w:tr w:rsidR="00C73267" w:rsidRPr="00511EB7" w:rsidTr="0021120B">
        <w:tc>
          <w:tcPr>
            <w:cnfStyle w:val="001000000000" w:firstRow="0" w:lastRow="0" w:firstColumn="1" w:lastColumn="0" w:oddVBand="0" w:evenVBand="0" w:oddHBand="0" w:evenHBand="0" w:firstRowFirstColumn="0" w:firstRowLastColumn="0" w:lastRowFirstColumn="0" w:lastRowLastColumn="0"/>
            <w:tcW w:w="1584" w:type="dxa"/>
          </w:tcPr>
          <w:p w:rsidR="00C73267" w:rsidRPr="00511EB7" w:rsidRDefault="00C73267" w:rsidP="00052908">
            <w:pPr>
              <w:ind w:left="0" w:right="0"/>
              <w:rPr>
                <w:sz w:val="18"/>
                <w:szCs w:val="18"/>
              </w:rPr>
            </w:pPr>
          </w:p>
        </w:tc>
        <w:tc>
          <w:tcPr>
            <w:tcW w:w="1964" w:type="dxa"/>
          </w:tcPr>
          <w:p w:rsidR="00C73267" w:rsidRPr="00511EB7" w:rsidRDefault="00511EB7"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Single dose</w:t>
            </w:r>
          </w:p>
        </w:tc>
        <w:tc>
          <w:tcPr>
            <w:tcW w:w="1637" w:type="dxa"/>
          </w:tcPr>
          <w:p w:rsidR="00C73267" w:rsidRPr="00511EB7" w:rsidRDefault="00511EB7"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VX08-809-004</w:t>
            </w:r>
          </w:p>
        </w:tc>
        <w:tc>
          <w:tcPr>
            <w:tcW w:w="4057" w:type="dxa"/>
          </w:tcPr>
          <w:p w:rsidR="00C73267" w:rsidRPr="00511EB7" w:rsidRDefault="00C73267"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 xml:space="preserve">PKs, route and rate of elimination and total recovery of LUM and total radioactivity after a single, oral dose of </w:t>
            </w:r>
            <w:r w:rsidRPr="00511EB7">
              <w:rPr>
                <w:sz w:val="18"/>
                <w:szCs w:val="18"/>
                <w:vertAlign w:val="superscript"/>
              </w:rPr>
              <w:t>14</w:t>
            </w:r>
            <w:r w:rsidRPr="00511EB7">
              <w:rPr>
                <w:sz w:val="18"/>
                <w:szCs w:val="18"/>
              </w:rPr>
              <w:t>C</w:t>
            </w:r>
            <w:r w:rsidR="00511EB7" w:rsidRPr="00511EB7">
              <w:rPr>
                <w:sz w:val="18"/>
                <w:szCs w:val="18"/>
              </w:rPr>
              <w:t>-LUM</w:t>
            </w:r>
          </w:p>
        </w:tc>
      </w:tr>
      <w:tr w:rsidR="00C73267" w:rsidRPr="00511EB7" w:rsidTr="0021120B">
        <w:tc>
          <w:tcPr>
            <w:cnfStyle w:val="001000000000" w:firstRow="0" w:lastRow="0" w:firstColumn="1" w:lastColumn="0" w:oddVBand="0" w:evenVBand="0" w:oddHBand="0" w:evenHBand="0" w:firstRowFirstColumn="0" w:firstRowLastColumn="0" w:lastRowFirstColumn="0" w:lastRowLastColumn="0"/>
            <w:tcW w:w="1584" w:type="dxa"/>
          </w:tcPr>
          <w:p w:rsidR="00C73267" w:rsidRPr="00511EB7" w:rsidRDefault="00C73267" w:rsidP="00052908">
            <w:pPr>
              <w:ind w:left="0" w:right="0"/>
              <w:rPr>
                <w:sz w:val="18"/>
                <w:szCs w:val="18"/>
              </w:rPr>
            </w:pPr>
          </w:p>
        </w:tc>
        <w:tc>
          <w:tcPr>
            <w:tcW w:w="1964" w:type="dxa"/>
          </w:tcPr>
          <w:p w:rsidR="00C73267" w:rsidRPr="00511EB7" w:rsidRDefault="00511EB7"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Multi-dose</w:t>
            </w:r>
          </w:p>
        </w:tc>
        <w:tc>
          <w:tcPr>
            <w:tcW w:w="1637" w:type="dxa"/>
          </w:tcPr>
          <w:p w:rsidR="00C73267" w:rsidRPr="00511EB7" w:rsidRDefault="00511EB7"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VX12-809-008</w:t>
            </w:r>
          </w:p>
        </w:tc>
        <w:tc>
          <w:tcPr>
            <w:tcW w:w="4057" w:type="dxa"/>
          </w:tcPr>
          <w:p w:rsidR="00C73267" w:rsidRPr="00511EB7" w:rsidRDefault="00C73267"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 xml:space="preserve">Safety, tolerability and PK of multiple ascending doses of LUM administered for 7 days. Evaluate the effects of LUM in combination </w:t>
            </w:r>
            <w:r w:rsidR="00511EB7" w:rsidRPr="00511EB7">
              <w:rPr>
                <w:sz w:val="18"/>
                <w:szCs w:val="18"/>
              </w:rPr>
              <w:t>with IVA on the QT/QTc interval</w:t>
            </w:r>
          </w:p>
        </w:tc>
      </w:tr>
      <w:tr w:rsidR="00C73267" w:rsidRPr="00511EB7" w:rsidTr="0021120B">
        <w:tc>
          <w:tcPr>
            <w:cnfStyle w:val="001000000000" w:firstRow="0" w:lastRow="0" w:firstColumn="1" w:lastColumn="0" w:oddVBand="0" w:evenVBand="0" w:oddHBand="0" w:evenHBand="0" w:firstRowFirstColumn="0" w:firstRowLastColumn="0" w:lastRowFirstColumn="0" w:lastRowLastColumn="0"/>
            <w:tcW w:w="1584" w:type="dxa"/>
          </w:tcPr>
          <w:p w:rsidR="00C73267" w:rsidRPr="00511EB7" w:rsidRDefault="00C73267" w:rsidP="00052908">
            <w:pPr>
              <w:ind w:left="0" w:right="0"/>
              <w:rPr>
                <w:sz w:val="18"/>
                <w:szCs w:val="18"/>
              </w:rPr>
            </w:pPr>
          </w:p>
        </w:tc>
        <w:tc>
          <w:tcPr>
            <w:tcW w:w="1964" w:type="dxa"/>
          </w:tcPr>
          <w:p w:rsidR="00C73267" w:rsidRPr="00511EB7" w:rsidRDefault="00511EB7"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Bioequivalence† - Single dose</w:t>
            </w:r>
          </w:p>
        </w:tc>
        <w:tc>
          <w:tcPr>
            <w:tcW w:w="1637" w:type="dxa"/>
          </w:tcPr>
          <w:p w:rsidR="00C73267" w:rsidRPr="00511EB7" w:rsidRDefault="00511EB7"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VX08-809-003</w:t>
            </w:r>
          </w:p>
        </w:tc>
        <w:tc>
          <w:tcPr>
            <w:tcW w:w="4057" w:type="dxa"/>
          </w:tcPr>
          <w:p w:rsidR="00C73267" w:rsidRPr="00511EB7" w:rsidRDefault="00C73267"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BA of a capsule formulation of LUM relative t</w:t>
            </w:r>
            <w:r w:rsidR="00511EB7" w:rsidRPr="00511EB7">
              <w:rPr>
                <w:sz w:val="18"/>
                <w:szCs w:val="18"/>
              </w:rPr>
              <w:t>o the suspension formulation</w:t>
            </w:r>
          </w:p>
        </w:tc>
      </w:tr>
      <w:tr w:rsidR="00C73267" w:rsidRPr="00511EB7" w:rsidTr="0021120B">
        <w:tc>
          <w:tcPr>
            <w:cnfStyle w:val="001000000000" w:firstRow="0" w:lastRow="0" w:firstColumn="1" w:lastColumn="0" w:oddVBand="0" w:evenVBand="0" w:oddHBand="0" w:evenHBand="0" w:firstRowFirstColumn="0" w:firstRowLastColumn="0" w:lastRowFirstColumn="0" w:lastRowLastColumn="0"/>
            <w:tcW w:w="1584" w:type="dxa"/>
          </w:tcPr>
          <w:p w:rsidR="00C73267" w:rsidRPr="00511EB7" w:rsidRDefault="00C73267" w:rsidP="00052908">
            <w:pPr>
              <w:ind w:left="0" w:right="0"/>
              <w:rPr>
                <w:sz w:val="18"/>
                <w:szCs w:val="18"/>
              </w:rPr>
            </w:pPr>
          </w:p>
        </w:tc>
        <w:tc>
          <w:tcPr>
            <w:tcW w:w="1964" w:type="dxa"/>
          </w:tcPr>
          <w:p w:rsidR="00C73267" w:rsidRPr="00511EB7" w:rsidRDefault="00C73267"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p>
        </w:tc>
        <w:tc>
          <w:tcPr>
            <w:tcW w:w="1637" w:type="dxa"/>
          </w:tcPr>
          <w:p w:rsidR="00C73267" w:rsidRPr="00511EB7" w:rsidRDefault="00511EB7"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VX12-809-007</w:t>
            </w:r>
          </w:p>
        </w:tc>
        <w:tc>
          <w:tcPr>
            <w:tcW w:w="4057" w:type="dxa"/>
          </w:tcPr>
          <w:p w:rsidR="00C73267" w:rsidRPr="00511EB7" w:rsidRDefault="00C73267"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Relative BA of a new tablet formulation (Form 1 HDL) of LUM compared to a reference tablet formulation of LUM (Form 1)at 2 different doses</w:t>
            </w:r>
          </w:p>
        </w:tc>
      </w:tr>
      <w:tr w:rsidR="00C73267" w:rsidRPr="00511EB7" w:rsidTr="0021120B">
        <w:tc>
          <w:tcPr>
            <w:cnfStyle w:val="001000000000" w:firstRow="0" w:lastRow="0" w:firstColumn="1" w:lastColumn="0" w:oddVBand="0" w:evenVBand="0" w:oddHBand="0" w:evenHBand="0" w:firstRowFirstColumn="0" w:firstRowLastColumn="0" w:lastRowFirstColumn="0" w:lastRowLastColumn="0"/>
            <w:tcW w:w="1584" w:type="dxa"/>
          </w:tcPr>
          <w:p w:rsidR="00C73267" w:rsidRPr="00511EB7" w:rsidRDefault="00C73267" w:rsidP="00052908">
            <w:pPr>
              <w:ind w:left="0" w:right="0"/>
              <w:rPr>
                <w:sz w:val="18"/>
                <w:szCs w:val="18"/>
              </w:rPr>
            </w:pPr>
          </w:p>
        </w:tc>
        <w:tc>
          <w:tcPr>
            <w:tcW w:w="1964" w:type="dxa"/>
          </w:tcPr>
          <w:p w:rsidR="00C73267" w:rsidRPr="00511EB7" w:rsidRDefault="00511EB7"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Food effect</w:t>
            </w:r>
          </w:p>
        </w:tc>
        <w:tc>
          <w:tcPr>
            <w:tcW w:w="1637" w:type="dxa"/>
          </w:tcPr>
          <w:p w:rsidR="00C73267" w:rsidRPr="00511EB7" w:rsidRDefault="00511EB7"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VX13-809-012</w:t>
            </w:r>
          </w:p>
        </w:tc>
        <w:tc>
          <w:tcPr>
            <w:tcW w:w="4057" w:type="dxa"/>
          </w:tcPr>
          <w:p w:rsidR="00C73267" w:rsidRPr="00511EB7" w:rsidRDefault="00C73267"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 xml:space="preserve">Effect of food on the relative BA </w:t>
            </w:r>
            <w:r w:rsidR="00511EB7" w:rsidRPr="00511EB7">
              <w:rPr>
                <w:sz w:val="18"/>
                <w:szCs w:val="18"/>
              </w:rPr>
              <w:t>of 2 FDCs of LUM and IVA tablet</w:t>
            </w:r>
          </w:p>
        </w:tc>
      </w:tr>
      <w:tr w:rsidR="00C73267" w:rsidRPr="00511EB7" w:rsidTr="0021120B">
        <w:tc>
          <w:tcPr>
            <w:cnfStyle w:val="001000000000" w:firstRow="0" w:lastRow="0" w:firstColumn="1" w:lastColumn="0" w:oddVBand="0" w:evenVBand="0" w:oddHBand="0" w:evenHBand="0" w:firstRowFirstColumn="0" w:firstRowLastColumn="0" w:lastRowFirstColumn="0" w:lastRowLastColumn="0"/>
            <w:tcW w:w="1584" w:type="dxa"/>
          </w:tcPr>
          <w:p w:rsidR="00C73267" w:rsidRPr="00511EB7" w:rsidRDefault="00511EB7" w:rsidP="00052908">
            <w:pPr>
              <w:ind w:left="0" w:right="0"/>
              <w:rPr>
                <w:sz w:val="18"/>
                <w:szCs w:val="18"/>
              </w:rPr>
            </w:pPr>
            <w:r w:rsidRPr="00511EB7">
              <w:rPr>
                <w:sz w:val="18"/>
                <w:szCs w:val="18"/>
              </w:rPr>
              <w:lastRenderedPageBreak/>
              <w:t>PK in special populations</w:t>
            </w:r>
          </w:p>
        </w:tc>
        <w:tc>
          <w:tcPr>
            <w:tcW w:w="1964" w:type="dxa"/>
          </w:tcPr>
          <w:p w:rsidR="00C73267" w:rsidRPr="00511EB7" w:rsidRDefault="00511EB7"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Target population</w:t>
            </w:r>
            <w:r w:rsidR="000019F6">
              <w:rPr>
                <w:sz w:val="18"/>
                <w:szCs w:val="18"/>
              </w:rPr>
              <w:t xml:space="preserve"> </w:t>
            </w:r>
            <w:r w:rsidRPr="00511EB7">
              <w:rPr>
                <w:sz w:val="18"/>
                <w:szCs w:val="18"/>
              </w:rPr>
              <w:t>Multi-dose</w:t>
            </w:r>
          </w:p>
        </w:tc>
        <w:tc>
          <w:tcPr>
            <w:tcW w:w="1637" w:type="dxa"/>
          </w:tcPr>
          <w:p w:rsidR="00C73267" w:rsidRPr="00511EB7" w:rsidRDefault="00511EB7"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VX08-809-101</w:t>
            </w:r>
          </w:p>
        </w:tc>
        <w:tc>
          <w:tcPr>
            <w:tcW w:w="4057" w:type="dxa"/>
          </w:tcPr>
          <w:p w:rsidR="00C73267" w:rsidRPr="00511EB7" w:rsidRDefault="00C73267"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Safety, tolerability and PKS of LUM in subjects with CF who are homozyg</w:t>
            </w:r>
            <w:r w:rsidR="00511EB7" w:rsidRPr="00511EB7">
              <w:rPr>
                <w:sz w:val="18"/>
                <w:szCs w:val="18"/>
              </w:rPr>
              <w:t xml:space="preserve">ous for the </w:t>
            </w:r>
            <w:r w:rsidR="00D13AF6">
              <w:t>Δ</w:t>
            </w:r>
            <w:r w:rsidR="00511EB7" w:rsidRPr="00511EB7">
              <w:rPr>
                <w:sz w:val="18"/>
                <w:szCs w:val="18"/>
              </w:rPr>
              <w:t>F508-CFTR mutation</w:t>
            </w:r>
          </w:p>
        </w:tc>
      </w:tr>
      <w:tr w:rsidR="00C73267" w:rsidRPr="00511EB7" w:rsidTr="0021120B">
        <w:tc>
          <w:tcPr>
            <w:cnfStyle w:val="001000000000" w:firstRow="0" w:lastRow="0" w:firstColumn="1" w:lastColumn="0" w:oddVBand="0" w:evenVBand="0" w:oddHBand="0" w:evenHBand="0" w:firstRowFirstColumn="0" w:firstRowLastColumn="0" w:lastRowFirstColumn="0" w:lastRowLastColumn="0"/>
            <w:tcW w:w="1584" w:type="dxa"/>
          </w:tcPr>
          <w:p w:rsidR="00C73267" w:rsidRPr="00511EB7" w:rsidRDefault="00C73267" w:rsidP="00052908">
            <w:pPr>
              <w:ind w:left="0" w:right="0"/>
              <w:rPr>
                <w:sz w:val="18"/>
                <w:szCs w:val="18"/>
              </w:rPr>
            </w:pPr>
          </w:p>
        </w:tc>
        <w:tc>
          <w:tcPr>
            <w:tcW w:w="1964" w:type="dxa"/>
          </w:tcPr>
          <w:p w:rsidR="00C73267" w:rsidRPr="00511EB7" w:rsidRDefault="00C73267"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p>
        </w:tc>
        <w:tc>
          <w:tcPr>
            <w:tcW w:w="1637" w:type="dxa"/>
          </w:tcPr>
          <w:p w:rsidR="00C73267" w:rsidRPr="00511EB7" w:rsidRDefault="00511EB7"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VX09-809-102</w:t>
            </w:r>
          </w:p>
        </w:tc>
        <w:tc>
          <w:tcPr>
            <w:tcW w:w="4057" w:type="dxa"/>
          </w:tcPr>
          <w:p w:rsidR="00C73267" w:rsidRPr="00511EB7" w:rsidRDefault="00C73267"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Evaluate the safety, tolerability and PK when LUM is administered alone or in combination wit</w:t>
            </w:r>
            <w:r w:rsidR="00511EB7" w:rsidRPr="00511EB7">
              <w:rPr>
                <w:sz w:val="18"/>
                <w:szCs w:val="18"/>
              </w:rPr>
              <w:t>h IVA. Effect on sweat chloride</w:t>
            </w:r>
          </w:p>
        </w:tc>
      </w:tr>
      <w:tr w:rsidR="00C73267" w:rsidRPr="00511EB7" w:rsidTr="0021120B">
        <w:tc>
          <w:tcPr>
            <w:cnfStyle w:val="001000000000" w:firstRow="0" w:lastRow="0" w:firstColumn="1" w:lastColumn="0" w:oddVBand="0" w:evenVBand="0" w:oddHBand="0" w:evenHBand="0" w:firstRowFirstColumn="0" w:firstRowLastColumn="0" w:lastRowFirstColumn="0" w:lastRowLastColumn="0"/>
            <w:tcW w:w="1584" w:type="dxa"/>
          </w:tcPr>
          <w:p w:rsidR="00C73267" w:rsidRPr="00511EB7" w:rsidRDefault="00C73267" w:rsidP="00052908">
            <w:pPr>
              <w:ind w:left="0" w:right="0"/>
              <w:rPr>
                <w:sz w:val="18"/>
                <w:szCs w:val="18"/>
              </w:rPr>
            </w:pPr>
          </w:p>
        </w:tc>
        <w:tc>
          <w:tcPr>
            <w:tcW w:w="1964" w:type="dxa"/>
          </w:tcPr>
          <w:p w:rsidR="00C73267" w:rsidRPr="00511EB7" w:rsidRDefault="00C73267"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p>
        </w:tc>
        <w:tc>
          <w:tcPr>
            <w:tcW w:w="1637" w:type="dxa"/>
          </w:tcPr>
          <w:p w:rsidR="00C73267" w:rsidRPr="00511EB7" w:rsidRDefault="00511EB7"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VX12-809-103</w:t>
            </w:r>
          </w:p>
        </w:tc>
        <w:tc>
          <w:tcPr>
            <w:tcW w:w="4057" w:type="dxa"/>
          </w:tcPr>
          <w:p w:rsidR="00C73267" w:rsidRPr="00511EB7" w:rsidRDefault="0021120B"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PKs of LUM and its metabolite, M28 (M28-LUM), and IVA and its metabolites, M1 (M1-IVA) and M6 (M6</w:t>
            </w:r>
            <w:r w:rsidR="00511EB7" w:rsidRPr="00511EB7">
              <w:rPr>
                <w:sz w:val="18"/>
                <w:szCs w:val="18"/>
              </w:rPr>
              <w:t>-IVA)</w:t>
            </w:r>
          </w:p>
        </w:tc>
      </w:tr>
      <w:tr w:rsidR="00C73267" w:rsidRPr="00511EB7" w:rsidTr="0021120B">
        <w:tc>
          <w:tcPr>
            <w:cnfStyle w:val="001000000000" w:firstRow="0" w:lastRow="0" w:firstColumn="1" w:lastColumn="0" w:oddVBand="0" w:evenVBand="0" w:oddHBand="0" w:evenHBand="0" w:firstRowFirstColumn="0" w:firstRowLastColumn="0" w:lastRowFirstColumn="0" w:lastRowLastColumn="0"/>
            <w:tcW w:w="1584" w:type="dxa"/>
          </w:tcPr>
          <w:p w:rsidR="00C73267" w:rsidRPr="00511EB7" w:rsidRDefault="00C73267" w:rsidP="00052908">
            <w:pPr>
              <w:ind w:left="0" w:right="0"/>
              <w:rPr>
                <w:sz w:val="18"/>
                <w:szCs w:val="18"/>
              </w:rPr>
            </w:pPr>
          </w:p>
        </w:tc>
        <w:tc>
          <w:tcPr>
            <w:tcW w:w="1964" w:type="dxa"/>
          </w:tcPr>
          <w:p w:rsidR="00C73267" w:rsidRPr="00511EB7" w:rsidRDefault="00C73267"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p>
        </w:tc>
        <w:tc>
          <w:tcPr>
            <w:tcW w:w="1637" w:type="dxa"/>
          </w:tcPr>
          <w:p w:rsidR="00C73267" w:rsidRPr="00511EB7" w:rsidRDefault="00511EB7"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VX12-809-104</w:t>
            </w:r>
          </w:p>
        </w:tc>
        <w:tc>
          <w:tcPr>
            <w:tcW w:w="4057" w:type="dxa"/>
          </w:tcPr>
          <w:p w:rsidR="00C73267" w:rsidRPr="00511EB7" w:rsidRDefault="0021120B"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To investigate the PK of LUM and its metabolite, M28 (M28-LUM), and IVA and its metabolit</w:t>
            </w:r>
            <w:r w:rsidR="00511EB7" w:rsidRPr="00511EB7">
              <w:rPr>
                <w:sz w:val="18"/>
                <w:szCs w:val="18"/>
              </w:rPr>
              <w:t>es, M1 (M1-IVA) and M6 (M6-IVA)</w:t>
            </w:r>
          </w:p>
        </w:tc>
      </w:tr>
      <w:tr w:rsidR="00C73267" w:rsidRPr="00511EB7" w:rsidTr="0021120B">
        <w:tc>
          <w:tcPr>
            <w:cnfStyle w:val="001000000000" w:firstRow="0" w:lastRow="0" w:firstColumn="1" w:lastColumn="0" w:oddVBand="0" w:evenVBand="0" w:oddHBand="0" w:evenHBand="0" w:firstRowFirstColumn="0" w:firstRowLastColumn="0" w:lastRowFirstColumn="0" w:lastRowLastColumn="0"/>
            <w:tcW w:w="1584" w:type="dxa"/>
          </w:tcPr>
          <w:p w:rsidR="00C73267" w:rsidRPr="00511EB7" w:rsidRDefault="00C73267" w:rsidP="00052908">
            <w:pPr>
              <w:ind w:left="0" w:right="0"/>
              <w:rPr>
                <w:sz w:val="18"/>
                <w:szCs w:val="18"/>
              </w:rPr>
            </w:pPr>
          </w:p>
        </w:tc>
        <w:tc>
          <w:tcPr>
            <w:tcW w:w="1964" w:type="dxa"/>
          </w:tcPr>
          <w:p w:rsidR="00C73267" w:rsidRPr="00511EB7" w:rsidRDefault="00511EB7"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Hepatic impairment</w:t>
            </w:r>
          </w:p>
        </w:tc>
        <w:tc>
          <w:tcPr>
            <w:tcW w:w="1637" w:type="dxa"/>
          </w:tcPr>
          <w:p w:rsidR="00C73267" w:rsidRPr="00511EB7" w:rsidRDefault="00511EB7"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VX13-809-010</w:t>
            </w:r>
          </w:p>
        </w:tc>
        <w:tc>
          <w:tcPr>
            <w:tcW w:w="4057" w:type="dxa"/>
          </w:tcPr>
          <w:p w:rsidR="00C73267" w:rsidRPr="00511EB7" w:rsidRDefault="0021120B"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PK of multiple doses of LUM in combination with IVA in subjects with moderate hepatic impairment to the</w:t>
            </w:r>
            <w:r w:rsidR="00511EB7" w:rsidRPr="00511EB7">
              <w:rPr>
                <w:sz w:val="18"/>
                <w:szCs w:val="18"/>
              </w:rPr>
              <w:t xml:space="preserve"> PK in matched healthy subjects</w:t>
            </w:r>
          </w:p>
        </w:tc>
      </w:tr>
      <w:tr w:rsidR="00C73267" w:rsidRPr="00511EB7" w:rsidTr="0021120B">
        <w:tc>
          <w:tcPr>
            <w:cnfStyle w:val="001000000000" w:firstRow="0" w:lastRow="0" w:firstColumn="1" w:lastColumn="0" w:oddVBand="0" w:evenVBand="0" w:oddHBand="0" w:evenHBand="0" w:firstRowFirstColumn="0" w:firstRowLastColumn="0" w:lastRowFirstColumn="0" w:lastRowLastColumn="0"/>
            <w:tcW w:w="1584" w:type="dxa"/>
          </w:tcPr>
          <w:p w:rsidR="00C73267" w:rsidRPr="00511EB7" w:rsidRDefault="00C73267" w:rsidP="00052908">
            <w:pPr>
              <w:ind w:left="0" w:right="0"/>
              <w:rPr>
                <w:sz w:val="18"/>
                <w:szCs w:val="18"/>
              </w:rPr>
            </w:pPr>
          </w:p>
        </w:tc>
        <w:tc>
          <w:tcPr>
            <w:tcW w:w="1964" w:type="dxa"/>
          </w:tcPr>
          <w:p w:rsidR="00C73267" w:rsidRPr="00511EB7" w:rsidRDefault="00511EB7"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Children-adolescents</w:t>
            </w:r>
          </w:p>
        </w:tc>
        <w:tc>
          <w:tcPr>
            <w:tcW w:w="1637" w:type="dxa"/>
          </w:tcPr>
          <w:p w:rsidR="00C73267" w:rsidRPr="00511EB7" w:rsidRDefault="0021120B"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 xml:space="preserve">VX13-809-011 </w:t>
            </w:r>
            <w:r w:rsidR="00511EB7" w:rsidRPr="00511EB7">
              <w:rPr>
                <w:sz w:val="18"/>
                <w:szCs w:val="18"/>
              </w:rPr>
              <w:t>Part A</w:t>
            </w:r>
          </w:p>
        </w:tc>
        <w:tc>
          <w:tcPr>
            <w:tcW w:w="4057" w:type="dxa"/>
          </w:tcPr>
          <w:p w:rsidR="00C73267" w:rsidRPr="00511EB7" w:rsidRDefault="0021120B"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PK of multiple doses of LUM in combination with IVA in subjects 6 through 11 years of age (inclusive) with CF who are homozygou</w:t>
            </w:r>
            <w:r w:rsidR="00511EB7" w:rsidRPr="00511EB7">
              <w:rPr>
                <w:sz w:val="18"/>
                <w:szCs w:val="18"/>
              </w:rPr>
              <w:t>s for the F508del-CFTR mutation</w:t>
            </w:r>
          </w:p>
        </w:tc>
      </w:tr>
      <w:tr w:rsidR="00C73267" w:rsidRPr="00511EB7" w:rsidTr="0021120B">
        <w:tc>
          <w:tcPr>
            <w:cnfStyle w:val="001000000000" w:firstRow="0" w:lastRow="0" w:firstColumn="1" w:lastColumn="0" w:oddVBand="0" w:evenVBand="0" w:oddHBand="0" w:evenHBand="0" w:firstRowFirstColumn="0" w:firstRowLastColumn="0" w:lastRowFirstColumn="0" w:lastRowLastColumn="0"/>
            <w:tcW w:w="1584" w:type="dxa"/>
          </w:tcPr>
          <w:p w:rsidR="00C73267" w:rsidRPr="00511EB7" w:rsidRDefault="00C73267" w:rsidP="00052908">
            <w:pPr>
              <w:ind w:left="0" w:right="0"/>
              <w:rPr>
                <w:sz w:val="18"/>
                <w:szCs w:val="18"/>
              </w:rPr>
            </w:pPr>
          </w:p>
        </w:tc>
        <w:tc>
          <w:tcPr>
            <w:tcW w:w="1964" w:type="dxa"/>
          </w:tcPr>
          <w:p w:rsidR="00C73267" w:rsidRPr="00511EB7" w:rsidRDefault="0021120B"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 xml:space="preserve">Other special </w:t>
            </w:r>
            <w:r w:rsidR="00511EB7" w:rsidRPr="00511EB7">
              <w:rPr>
                <w:sz w:val="18"/>
                <w:szCs w:val="18"/>
              </w:rPr>
              <w:t>populations</w:t>
            </w:r>
          </w:p>
        </w:tc>
        <w:tc>
          <w:tcPr>
            <w:tcW w:w="1637" w:type="dxa"/>
          </w:tcPr>
          <w:p w:rsidR="00C73267" w:rsidRPr="00511EB7" w:rsidRDefault="00511EB7"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VX07-809-002</w:t>
            </w:r>
          </w:p>
        </w:tc>
        <w:tc>
          <w:tcPr>
            <w:tcW w:w="4057" w:type="dxa"/>
          </w:tcPr>
          <w:p w:rsidR="00C73267" w:rsidRPr="00511EB7" w:rsidRDefault="0021120B"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LUM PKs in pancreati</w:t>
            </w:r>
            <w:r w:rsidR="00511EB7" w:rsidRPr="00511EB7">
              <w:rPr>
                <w:sz w:val="18"/>
                <w:szCs w:val="18"/>
              </w:rPr>
              <w:t>c-insufficient subjects with CF</w:t>
            </w:r>
          </w:p>
        </w:tc>
      </w:tr>
      <w:tr w:rsidR="00C73267" w:rsidRPr="00511EB7" w:rsidTr="0021120B">
        <w:tc>
          <w:tcPr>
            <w:cnfStyle w:val="001000000000" w:firstRow="0" w:lastRow="0" w:firstColumn="1" w:lastColumn="0" w:oddVBand="0" w:evenVBand="0" w:oddHBand="0" w:evenHBand="0" w:firstRowFirstColumn="0" w:firstRowLastColumn="0" w:lastRowFirstColumn="0" w:lastRowLastColumn="0"/>
            <w:tcW w:w="1584" w:type="dxa"/>
          </w:tcPr>
          <w:p w:rsidR="00C73267" w:rsidRPr="00511EB7" w:rsidRDefault="00511EB7" w:rsidP="00052908">
            <w:pPr>
              <w:ind w:left="0" w:right="0"/>
              <w:rPr>
                <w:sz w:val="18"/>
                <w:szCs w:val="18"/>
              </w:rPr>
            </w:pPr>
            <w:r w:rsidRPr="00511EB7">
              <w:rPr>
                <w:sz w:val="18"/>
                <w:szCs w:val="18"/>
              </w:rPr>
              <w:t>PK interactions</w:t>
            </w:r>
          </w:p>
        </w:tc>
        <w:tc>
          <w:tcPr>
            <w:tcW w:w="1964" w:type="dxa"/>
          </w:tcPr>
          <w:p w:rsidR="00C73267" w:rsidRPr="00511EB7" w:rsidRDefault="0021120B"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Ciproflo</w:t>
            </w:r>
            <w:r w:rsidR="00511EB7" w:rsidRPr="00511EB7">
              <w:rPr>
                <w:sz w:val="18"/>
                <w:szCs w:val="18"/>
              </w:rPr>
              <w:t>xacin, itraconazole or rifampin</w:t>
            </w:r>
          </w:p>
        </w:tc>
        <w:tc>
          <w:tcPr>
            <w:tcW w:w="1637" w:type="dxa"/>
          </w:tcPr>
          <w:p w:rsidR="00C73267" w:rsidRPr="00511EB7" w:rsidRDefault="00511EB7"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VX12-809-009</w:t>
            </w:r>
          </w:p>
        </w:tc>
        <w:tc>
          <w:tcPr>
            <w:tcW w:w="4057" w:type="dxa"/>
          </w:tcPr>
          <w:p w:rsidR="00C73267" w:rsidRPr="00511EB7" w:rsidRDefault="0021120B"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PK of LUM and IVA in the absence and presence of ciproflo</w:t>
            </w:r>
            <w:r w:rsidR="00511EB7" w:rsidRPr="00511EB7">
              <w:rPr>
                <w:sz w:val="18"/>
                <w:szCs w:val="18"/>
              </w:rPr>
              <w:t>xacin, itraconazole or rifampin</w:t>
            </w:r>
          </w:p>
        </w:tc>
      </w:tr>
      <w:tr w:rsidR="0021120B" w:rsidRPr="00511EB7" w:rsidTr="0021120B">
        <w:tc>
          <w:tcPr>
            <w:cnfStyle w:val="001000000000" w:firstRow="0" w:lastRow="0" w:firstColumn="1" w:lastColumn="0" w:oddVBand="0" w:evenVBand="0" w:oddHBand="0" w:evenHBand="0" w:firstRowFirstColumn="0" w:firstRowLastColumn="0" w:lastRowFirstColumn="0" w:lastRowLastColumn="0"/>
            <w:tcW w:w="1584" w:type="dxa"/>
          </w:tcPr>
          <w:p w:rsidR="0021120B" w:rsidRPr="00511EB7" w:rsidRDefault="0021120B" w:rsidP="00052908">
            <w:pPr>
              <w:ind w:left="0" w:right="0"/>
              <w:rPr>
                <w:sz w:val="18"/>
                <w:szCs w:val="18"/>
              </w:rPr>
            </w:pPr>
          </w:p>
        </w:tc>
        <w:tc>
          <w:tcPr>
            <w:tcW w:w="1964" w:type="dxa"/>
          </w:tcPr>
          <w:p w:rsidR="0021120B" w:rsidRPr="00511EB7" w:rsidRDefault="00511EB7"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Interaction between LUM and IVA</w:t>
            </w:r>
          </w:p>
        </w:tc>
        <w:tc>
          <w:tcPr>
            <w:tcW w:w="1637" w:type="dxa"/>
          </w:tcPr>
          <w:p w:rsidR="0021120B" w:rsidRPr="00511EB7" w:rsidRDefault="00511EB7"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VX08-809-005</w:t>
            </w:r>
          </w:p>
        </w:tc>
        <w:tc>
          <w:tcPr>
            <w:tcW w:w="4057" w:type="dxa"/>
          </w:tcPr>
          <w:p w:rsidR="0021120B" w:rsidRPr="00511EB7" w:rsidRDefault="0021120B"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PKs following c</w:t>
            </w:r>
            <w:r w:rsidR="00511EB7" w:rsidRPr="00511EB7">
              <w:rPr>
                <w:sz w:val="18"/>
                <w:szCs w:val="18"/>
              </w:rPr>
              <w:t>o-administration of IVA and LUM</w:t>
            </w:r>
          </w:p>
        </w:tc>
      </w:tr>
      <w:tr w:rsidR="0021120B" w:rsidRPr="00511EB7" w:rsidTr="0021120B">
        <w:tc>
          <w:tcPr>
            <w:cnfStyle w:val="001000000000" w:firstRow="0" w:lastRow="0" w:firstColumn="1" w:lastColumn="0" w:oddVBand="0" w:evenVBand="0" w:oddHBand="0" w:evenHBand="0" w:firstRowFirstColumn="0" w:firstRowLastColumn="0" w:lastRowFirstColumn="0" w:lastRowLastColumn="0"/>
            <w:tcW w:w="1584" w:type="dxa"/>
          </w:tcPr>
          <w:p w:rsidR="0021120B" w:rsidRPr="00511EB7" w:rsidRDefault="0021120B" w:rsidP="00052908">
            <w:pPr>
              <w:ind w:left="0" w:right="0"/>
              <w:rPr>
                <w:sz w:val="18"/>
                <w:szCs w:val="18"/>
              </w:rPr>
            </w:pPr>
          </w:p>
        </w:tc>
        <w:tc>
          <w:tcPr>
            <w:tcW w:w="1964" w:type="dxa"/>
          </w:tcPr>
          <w:p w:rsidR="0021120B" w:rsidRPr="00511EB7" w:rsidRDefault="0021120B"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p>
        </w:tc>
        <w:tc>
          <w:tcPr>
            <w:tcW w:w="1637" w:type="dxa"/>
          </w:tcPr>
          <w:p w:rsidR="0021120B" w:rsidRPr="00511EB7" w:rsidRDefault="00511EB7"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VX10-809-006</w:t>
            </w:r>
          </w:p>
        </w:tc>
        <w:tc>
          <w:tcPr>
            <w:tcW w:w="4057" w:type="dxa"/>
          </w:tcPr>
          <w:p w:rsidR="0021120B" w:rsidRPr="00511EB7" w:rsidRDefault="0021120B"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PKs following c</w:t>
            </w:r>
            <w:r w:rsidR="00511EB7" w:rsidRPr="00511EB7">
              <w:rPr>
                <w:sz w:val="18"/>
                <w:szCs w:val="18"/>
              </w:rPr>
              <w:t>o-administration of IVA and LUM</w:t>
            </w:r>
          </w:p>
        </w:tc>
      </w:tr>
      <w:tr w:rsidR="0021120B" w:rsidRPr="00511EB7" w:rsidTr="0021120B">
        <w:tc>
          <w:tcPr>
            <w:cnfStyle w:val="001000000000" w:firstRow="0" w:lastRow="0" w:firstColumn="1" w:lastColumn="0" w:oddVBand="0" w:evenVBand="0" w:oddHBand="0" w:evenHBand="0" w:firstRowFirstColumn="0" w:firstRowLastColumn="0" w:lastRowFirstColumn="0" w:lastRowLastColumn="0"/>
            <w:tcW w:w="1584" w:type="dxa"/>
          </w:tcPr>
          <w:p w:rsidR="0021120B" w:rsidRPr="00511EB7" w:rsidRDefault="00511EB7" w:rsidP="00052908">
            <w:pPr>
              <w:ind w:left="0" w:right="0"/>
              <w:rPr>
                <w:sz w:val="18"/>
                <w:szCs w:val="18"/>
              </w:rPr>
            </w:pPr>
            <w:r w:rsidRPr="00511EB7">
              <w:rPr>
                <w:sz w:val="18"/>
                <w:szCs w:val="18"/>
              </w:rPr>
              <w:t>Population PK analyses</w:t>
            </w:r>
          </w:p>
        </w:tc>
        <w:tc>
          <w:tcPr>
            <w:tcW w:w="1964" w:type="dxa"/>
          </w:tcPr>
          <w:p w:rsidR="0021120B" w:rsidRPr="00511EB7" w:rsidRDefault="00511EB7"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Target population</w:t>
            </w:r>
          </w:p>
        </w:tc>
        <w:tc>
          <w:tcPr>
            <w:tcW w:w="1637" w:type="dxa"/>
          </w:tcPr>
          <w:p w:rsidR="0021120B" w:rsidRPr="00511EB7" w:rsidRDefault="00511EB7"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K050</w:t>
            </w:r>
          </w:p>
        </w:tc>
        <w:tc>
          <w:tcPr>
            <w:tcW w:w="4057" w:type="dxa"/>
          </w:tcPr>
          <w:p w:rsidR="0021120B" w:rsidRPr="00511EB7" w:rsidRDefault="0021120B"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PopPK and exposure-response of LUM and IVA i</w:t>
            </w:r>
            <w:r w:rsidR="00511EB7" w:rsidRPr="00511EB7">
              <w:rPr>
                <w:sz w:val="18"/>
                <w:szCs w:val="18"/>
              </w:rPr>
              <w:t>n subjects with cystic fibrosis</w:t>
            </w:r>
          </w:p>
        </w:tc>
      </w:tr>
      <w:tr w:rsidR="0021120B" w:rsidRPr="00511EB7" w:rsidTr="0021120B">
        <w:tc>
          <w:tcPr>
            <w:cnfStyle w:val="001000000000" w:firstRow="0" w:lastRow="0" w:firstColumn="1" w:lastColumn="0" w:oddVBand="0" w:evenVBand="0" w:oddHBand="0" w:evenHBand="0" w:firstRowFirstColumn="0" w:firstRowLastColumn="0" w:lastRowFirstColumn="0" w:lastRowLastColumn="0"/>
            <w:tcW w:w="1584" w:type="dxa"/>
          </w:tcPr>
          <w:p w:rsidR="0021120B" w:rsidRPr="00511EB7" w:rsidRDefault="0021120B" w:rsidP="00052908">
            <w:pPr>
              <w:ind w:left="0" w:right="0"/>
              <w:rPr>
                <w:sz w:val="18"/>
                <w:szCs w:val="18"/>
              </w:rPr>
            </w:pPr>
          </w:p>
        </w:tc>
        <w:tc>
          <w:tcPr>
            <w:tcW w:w="1964" w:type="dxa"/>
          </w:tcPr>
          <w:p w:rsidR="0021120B" w:rsidRPr="00511EB7" w:rsidRDefault="0021120B"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p>
        </w:tc>
        <w:tc>
          <w:tcPr>
            <w:tcW w:w="1637" w:type="dxa"/>
          </w:tcPr>
          <w:p w:rsidR="0021120B" w:rsidRPr="00511EB7" w:rsidRDefault="00511EB7"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J178</w:t>
            </w:r>
          </w:p>
        </w:tc>
        <w:tc>
          <w:tcPr>
            <w:tcW w:w="4057" w:type="dxa"/>
          </w:tcPr>
          <w:p w:rsidR="0021120B" w:rsidRPr="00511EB7" w:rsidRDefault="0021120B"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 xml:space="preserve">Characterise the popPK of IVA in subjects with </w:t>
            </w:r>
            <w:r w:rsidR="00511EB7" w:rsidRPr="00511EB7">
              <w:rPr>
                <w:sz w:val="18"/>
                <w:szCs w:val="18"/>
              </w:rPr>
              <w:t>CF and the R117H-CFTR mutation</w:t>
            </w:r>
          </w:p>
        </w:tc>
      </w:tr>
      <w:tr w:rsidR="0021120B" w:rsidRPr="00511EB7" w:rsidTr="0021120B">
        <w:tc>
          <w:tcPr>
            <w:cnfStyle w:val="001000000000" w:firstRow="0" w:lastRow="0" w:firstColumn="1" w:lastColumn="0" w:oddVBand="0" w:evenVBand="0" w:oddHBand="0" w:evenHBand="0" w:firstRowFirstColumn="0" w:firstRowLastColumn="0" w:lastRowFirstColumn="0" w:lastRowLastColumn="0"/>
            <w:tcW w:w="1584" w:type="dxa"/>
          </w:tcPr>
          <w:p w:rsidR="0021120B" w:rsidRPr="00511EB7" w:rsidRDefault="0021120B" w:rsidP="00052908">
            <w:pPr>
              <w:ind w:left="0" w:right="0"/>
              <w:rPr>
                <w:sz w:val="18"/>
                <w:szCs w:val="18"/>
              </w:rPr>
            </w:pPr>
          </w:p>
        </w:tc>
        <w:tc>
          <w:tcPr>
            <w:tcW w:w="1964" w:type="dxa"/>
          </w:tcPr>
          <w:p w:rsidR="0021120B" w:rsidRPr="00511EB7" w:rsidRDefault="00511EB7"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Other</w:t>
            </w:r>
          </w:p>
        </w:tc>
        <w:tc>
          <w:tcPr>
            <w:tcW w:w="1637" w:type="dxa"/>
          </w:tcPr>
          <w:p w:rsidR="0021120B" w:rsidRPr="00511EB7" w:rsidRDefault="00511EB7"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K272</w:t>
            </w:r>
          </w:p>
        </w:tc>
        <w:tc>
          <w:tcPr>
            <w:tcW w:w="4057" w:type="dxa"/>
          </w:tcPr>
          <w:p w:rsidR="0021120B" w:rsidRPr="00511EB7" w:rsidRDefault="0021120B" w:rsidP="00052908">
            <w:pPr>
              <w:ind w:left="0" w:right="0"/>
              <w:cnfStyle w:val="000000000000" w:firstRow="0" w:lastRow="0" w:firstColumn="0" w:lastColumn="0" w:oddVBand="0" w:evenVBand="0" w:oddHBand="0" w:evenHBand="0" w:firstRowFirstColumn="0" w:firstRowLastColumn="0" w:lastRowFirstColumn="0" w:lastRowLastColumn="0"/>
              <w:rPr>
                <w:sz w:val="18"/>
                <w:szCs w:val="18"/>
              </w:rPr>
            </w:pPr>
            <w:r w:rsidRPr="00511EB7">
              <w:rPr>
                <w:sz w:val="18"/>
                <w:szCs w:val="18"/>
              </w:rPr>
              <w:t xml:space="preserve">Pooled </w:t>
            </w:r>
            <w:r w:rsidR="00511EB7">
              <w:rPr>
                <w:sz w:val="18"/>
                <w:szCs w:val="18"/>
              </w:rPr>
              <w:t>Phase III</w:t>
            </w:r>
            <w:r w:rsidRPr="00511EB7">
              <w:rPr>
                <w:sz w:val="18"/>
                <w:szCs w:val="18"/>
              </w:rPr>
              <w:t xml:space="preserve"> VX12-809-103 and VX12</w:t>
            </w:r>
            <w:r w:rsidR="00511EB7" w:rsidRPr="00511EB7">
              <w:rPr>
                <w:sz w:val="18"/>
                <w:szCs w:val="18"/>
              </w:rPr>
              <w:t>-809-104 PKs and PK/PD Analyses</w:t>
            </w:r>
          </w:p>
        </w:tc>
      </w:tr>
    </w:tbl>
    <w:p w:rsidR="00C73267" w:rsidRPr="001E1E4D" w:rsidRDefault="001E1E4D" w:rsidP="00820498">
      <w:pPr>
        <w:pStyle w:val="TableDescription"/>
      </w:pPr>
      <w:r w:rsidRPr="001E1E4D">
        <w:t>* Indicates the primary aim of the study. † Bioequivalence of different formulations. § Subjects who would be eligible to receive the drug if approved for the proposed indication.</w:t>
      </w:r>
    </w:p>
    <w:p w:rsidR="001E1E4D" w:rsidRPr="001E1E4D" w:rsidRDefault="001E1E4D" w:rsidP="00820498">
      <w:r w:rsidRPr="001E1E4D">
        <w:t>None of the pharmacokinetic studies had deficiencies that excluded th</w:t>
      </w:r>
      <w:r w:rsidR="00511EB7">
        <w:t>eir results from consideration.</w:t>
      </w:r>
    </w:p>
    <w:p w:rsidR="001E1E4D" w:rsidRPr="001E1E4D" w:rsidRDefault="00511EB7" w:rsidP="001E1E4D">
      <w:pPr>
        <w:pStyle w:val="Heading3"/>
      </w:pPr>
      <w:bookmarkStart w:id="18" w:name="_Toc461121041"/>
      <w:r>
        <w:lastRenderedPageBreak/>
        <w:t>Summary of pharmacokinetics</w:t>
      </w:r>
      <w:bookmarkEnd w:id="18"/>
    </w:p>
    <w:p w:rsidR="001E1E4D" w:rsidRPr="001E1E4D" w:rsidRDefault="001E1E4D" w:rsidP="001E1E4D">
      <w:r w:rsidRPr="001E1E4D">
        <w:t>The information in the following summary is derived from conventional pharmacokinetic s</w:t>
      </w:r>
      <w:r w:rsidR="00511EB7">
        <w:t>tudies unless otherwise stated.</w:t>
      </w:r>
    </w:p>
    <w:p w:rsidR="00C73267" w:rsidRPr="001E1E4D" w:rsidRDefault="001E1E4D" w:rsidP="001E1E4D">
      <w:r w:rsidRPr="001E1E4D">
        <w:t xml:space="preserve">As IVA has been previously approved for the treatment of CF by the TGA, the studies contained in this application principally focussed on the PKs of the lumacaftor component of </w:t>
      </w:r>
      <w:r w:rsidR="00511EB7">
        <w:t>Orkambi</w:t>
      </w:r>
      <w:r w:rsidRPr="001E1E4D">
        <w:t xml:space="preserve"> in healthy subjects and patients with CF. In addition, a number of studies examine</w:t>
      </w:r>
      <w:r w:rsidR="00511EB7">
        <w:t xml:space="preserve">d the drug-drug </w:t>
      </w:r>
      <w:r w:rsidRPr="001E1E4D">
        <w:t xml:space="preserve">interaction (DDI) between the two active components of </w:t>
      </w:r>
      <w:r w:rsidR="00511EB7">
        <w:t>Orkambi</w:t>
      </w:r>
      <w:r w:rsidRPr="001E1E4D">
        <w:t xml:space="preserve">. As the sponsor is proposing registration of only the FDC, the following discussion will focus on the PKs of </w:t>
      </w:r>
      <w:r w:rsidR="00511EB7">
        <w:t>Orkambi</w:t>
      </w:r>
      <w:r w:rsidRPr="001E1E4D">
        <w:t xml:space="preserve"> rather than the PKs of its constituent active components. However, where information is not available for the FDC, </w:t>
      </w:r>
      <w:r w:rsidR="00052908" w:rsidRPr="001E1E4D">
        <w:t>and then</w:t>
      </w:r>
      <w:r w:rsidRPr="001E1E4D">
        <w:t xml:space="preserve"> studies regarding the free combination of LUM/IVA will be discussed.</w:t>
      </w:r>
    </w:p>
    <w:p w:rsidR="00C73267" w:rsidRPr="001E1E4D" w:rsidRDefault="001E1E4D" w:rsidP="001E1E4D">
      <w:pPr>
        <w:pStyle w:val="Heading4"/>
      </w:pPr>
      <w:r w:rsidRPr="001E1E4D">
        <w:t>Physicochemical characteristics of the active substance</w:t>
      </w:r>
    </w:p>
    <w:p w:rsidR="00511EB7" w:rsidRDefault="001E1E4D" w:rsidP="00511EB7">
      <w:pPr>
        <w:pStyle w:val="Heading5"/>
      </w:pPr>
      <w:r>
        <w:t>L</w:t>
      </w:r>
      <w:r w:rsidR="00511EB7">
        <w:t>umacaftor</w:t>
      </w:r>
    </w:p>
    <w:p w:rsidR="00C73267" w:rsidRPr="001E1E4D" w:rsidRDefault="001E1E4D" w:rsidP="001E1E4D">
      <w:r w:rsidRPr="001E1E4D">
        <w:t>Molecular weight: 452.41</w:t>
      </w:r>
    </w:p>
    <w:p w:rsidR="001E1E4D" w:rsidRDefault="00511EB7" w:rsidP="00511EB7">
      <w:pPr>
        <w:pStyle w:val="FigureTitle"/>
      </w:pPr>
      <w:proofErr w:type="gramStart"/>
      <w:r>
        <w:t>Figure 1.</w:t>
      </w:r>
      <w:proofErr w:type="gramEnd"/>
      <w:r>
        <w:t xml:space="preserve"> </w:t>
      </w:r>
      <w:r w:rsidR="001E1E4D" w:rsidRPr="001E1E4D">
        <w:t>Structural formul</w:t>
      </w:r>
      <w:r>
        <w:t>a of lumacaftor</w:t>
      </w:r>
    </w:p>
    <w:p w:rsidR="001E1E4D" w:rsidRDefault="001E1E4D" w:rsidP="00586F98">
      <w:r>
        <w:rPr>
          <w:noProof/>
          <w:lang w:eastAsia="en-AU"/>
        </w:rPr>
        <w:drawing>
          <wp:inline distT="0" distB="0" distL="0" distR="0" wp14:anchorId="41F1D6B6" wp14:editId="75C6D736">
            <wp:extent cx="3350362" cy="1770452"/>
            <wp:effectExtent l="0" t="0" r="2540" b="1270"/>
            <wp:docPr id="3" name="Picture 3" descr="Figure 1. Structural formula of lumacaf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353286" cy="1771997"/>
                    </a:xfrm>
                    <a:prstGeom prst="rect">
                      <a:avLst/>
                    </a:prstGeom>
                  </pic:spPr>
                </pic:pic>
              </a:graphicData>
            </a:graphic>
          </wp:inline>
        </w:drawing>
      </w:r>
    </w:p>
    <w:p w:rsidR="001E1E4D" w:rsidRPr="001E1E4D" w:rsidRDefault="00511EB7" w:rsidP="001E1E4D">
      <w:r>
        <w:t xml:space="preserve">Lumacaftor </w:t>
      </w:r>
      <w:r w:rsidR="001E1E4D" w:rsidRPr="001E1E4D">
        <w:t>is a white to off-white powder that is practically insoluble in water (0.02 mg/mL)</w:t>
      </w:r>
      <w:r>
        <w:t>.</w:t>
      </w:r>
    </w:p>
    <w:p w:rsidR="001E1E4D" w:rsidRPr="001E1E4D" w:rsidRDefault="001E1E4D" w:rsidP="00511EB7">
      <w:pPr>
        <w:pStyle w:val="Heading5"/>
      </w:pPr>
      <w:r>
        <w:t>I</w:t>
      </w:r>
      <w:r w:rsidRPr="001E1E4D">
        <w:t>vacaftor</w:t>
      </w:r>
    </w:p>
    <w:p w:rsidR="001E1E4D" w:rsidRPr="001E1E4D" w:rsidRDefault="001E1E4D" w:rsidP="001E1E4D">
      <w:r w:rsidRPr="001E1E4D">
        <w:t>Molecular weight: 392.49</w:t>
      </w:r>
    </w:p>
    <w:p w:rsidR="001E1E4D" w:rsidRPr="001E1E4D" w:rsidRDefault="00511EB7" w:rsidP="00511EB7">
      <w:pPr>
        <w:pStyle w:val="FigureTitle"/>
      </w:pPr>
      <w:proofErr w:type="gramStart"/>
      <w:r>
        <w:t>Figure 2.</w:t>
      </w:r>
      <w:proofErr w:type="gramEnd"/>
      <w:r>
        <w:t xml:space="preserve"> Structural formula of ivacaftor</w:t>
      </w:r>
    </w:p>
    <w:p w:rsidR="001E1E4D" w:rsidRDefault="001E1E4D" w:rsidP="00586F98">
      <w:r>
        <w:rPr>
          <w:noProof/>
          <w:lang w:eastAsia="en-AU"/>
        </w:rPr>
        <w:drawing>
          <wp:inline distT="0" distB="0" distL="0" distR="0" wp14:anchorId="683B1D50" wp14:editId="3EE07914">
            <wp:extent cx="2640787" cy="1733230"/>
            <wp:effectExtent l="0" t="0" r="7620" b="635"/>
            <wp:docPr id="4" name="Picture 4" descr="Figure 2. Structural formula of ivacaf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640296" cy="1732908"/>
                    </a:xfrm>
                    <a:prstGeom prst="rect">
                      <a:avLst/>
                    </a:prstGeom>
                  </pic:spPr>
                </pic:pic>
              </a:graphicData>
            </a:graphic>
          </wp:inline>
        </w:drawing>
      </w:r>
    </w:p>
    <w:p w:rsidR="001E1E4D" w:rsidRPr="001E1E4D" w:rsidRDefault="001E1E4D" w:rsidP="001E1E4D">
      <w:r w:rsidRPr="001E1E4D">
        <w:t>I</w:t>
      </w:r>
      <w:r w:rsidR="00511EB7">
        <w:t>vacaftor</w:t>
      </w:r>
      <w:r w:rsidRPr="001E1E4D">
        <w:t xml:space="preserve"> is a white to off-white powder that is practically insoluble in water (</w:t>
      </w:r>
      <w:r w:rsidR="00511EB7">
        <w:t xml:space="preserve">&lt; 0.05 </w:t>
      </w:r>
      <w:r w:rsidR="000019F6">
        <w:t>µg</w:t>
      </w:r>
      <w:r w:rsidR="00511EB7">
        <w:t xml:space="preserve">/mL). </w:t>
      </w:r>
      <w:r w:rsidRPr="001E1E4D">
        <w:t>The pKa values of IVA are 9.40 and 11.60. The log D value of IVA is 5.68 at pH</w:t>
      </w:r>
      <w:r w:rsidR="00511EB7">
        <w:t xml:space="preserve"> = </w:t>
      </w:r>
      <w:r w:rsidRPr="001E1E4D">
        <w:t>7.4 and 25°C.</w:t>
      </w:r>
    </w:p>
    <w:p w:rsidR="001E1E4D" w:rsidRPr="001E1E4D" w:rsidRDefault="001E1E4D" w:rsidP="001E1E4D">
      <w:pPr>
        <w:pStyle w:val="Heading4"/>
      </w:pPr>
      <w:r w:rsidRPr="001E1E4D">
        <w:t>Pharm</w:t>
      </w:r>
      <w:r w:rsidR="00511EB7">
        <w:t>acokinetics in healthy subjects</w:t>
      </w:r>
    </w:p>
    <w:p w:rsidR="00511EB7" w:rsidRDefault="00511EB7" w:rsidP="00511EB7">
      <w:pPr>
        <w:pStyle w:val="Heading5"/>
      </w:pPr>
      <w:r>
        <w:t>Methods</w:t>
      </w:r>
    </w:p>
    <w:p w:rsidR="001E1E4D" w:rsidRPr="001E1E4D" w:rsidRDefault="001E1E4D" w:rsidP="001E1E4D">
      <w:r w:rsidRPr="001E1E4D">
        <w:t xml:space="preserve">The concentrations of lumacaftor (VX-809) in plasma were determined using a validated LC-MS/MS method. The lower limit of quantitation (LLOQ) for the assay was </w:t>
      </w:r>
      <w:proofErr w:type="gramStart"/>
      <w:r w:rsidRPr="001E1E4D">
        <w:t>2.00 ng/mL</w:t>
      </w:r>
      <w:proofErr w:type="gramEnd"/>
      <w:r w:rsidRPr="001E1E4D">
        <w:t xml:space="preserve"> and the </w:t>
      </w:r>
      <w:r w:rsidRPr="001E1E4D">
        <w:lastRenderedPageBreak/>
        <w:t>upper limit of quantitation (ULOQ) was 2</w:t>
      </w:r>
      <w:r w:rsidR="00511EB7">
        <w:t>,</w:t>
      </w:r>
      <w:r w:rsidRPr="001E1E4D">
        <w:t>000 ng/mL. In general, the PK parameters were generated by non-compartmental (NONME</w:t>
      </w:r>
      <w:r w:rsidR="00511EB7">
        <w:t>N) analysis using WinNonlin 5.1</w:t>
      </w:r>
      <w:r w:rsidRPr="001E1E4D">
        <w:t xml:space="preserve">. Summary statistics were generated for the PK with WinNonlin using the bioequivalence module. Geometric least square mean ratio and 90% CI for </w:t>
      </w:r>
      <w:r w:rsidR="00511EB7" w:rsidRPr="001E1E4D">
        <w:t>AUC</w:t>
      </w:r>
      <w:r w:rsidR="00511EB7" w:rsidRPr="00511EB7">
        <w:rPr>
          <w:vertAlign w:val="subscript"/>
        </w:rPr>
        <w:t>0-inf</w:t>
      </w:r>
      <w:r w:rsidRPr="001E1E4D">
        <w:t xml:space="preserve"> and </w:t>
      </w:r>
      <w:r w:rsidR="00511EB7" w:rsidRPr="001E1E4D">
        <w:t>C</w:t>
      </w:r>
      <w:r w:rsidR="00511EB7" w:rsidRPr="00511EB7">
        <w:rPr>
          <w:vertAlign w:val="subscript"/>
        </w:rPr>
        <w:t>max</w:t>
      </w:r>
      <w:r w:rsidRPr="001E1E4D">
        <w:t xml:space="preserve"> were estimated using linear mixed effects modelling app</w:t>
      </w:r>
      <w:r w:rsidR="00511EB7">
        <w:t>roach after log</w:t>
      </w:r>
      <w:r w:rsidR="00CE3A83">
        <w:t xml:space="preserve"> </w:t>
      </w:r>
      <w:r w:rsidR="00511EB7">
        <w:t>transformation.</w:t>
      </w:r>
    </w:p>
    <w:p w:rsidR="001E1E4D" w:rsidRPr="001E1E4D" w:rsidRDefault="00511EB7" w:rsidP="001E1E4D">
      <w:pPr>
        <w:pStyle w:val="Heading5"/>
      </w:pPr>
      <w:r>
        <w:t>Absorption</w:t>
      </w:r>
    </w:p>
    <w:p w:rsidR="001E1E4D" w:rsidRPr="001E1E4D" w:rsidRDefault="001E1E4D" w:rsidP="001E1E4D">
      <w:pPr>
        <w:pStyle w:val="Heading6"/>
      </w:pPr>
      <w:r w:rsidRPr="001E1E4D">
        <w:t>Sit</w:t>
      </w:r>
      <w:r w:rsidR="00511EB7">
        <w:t>es and mechanisms of absorption</w:t>
      </w:r>
    </w:p>
    <w:p w:rsidR="001E1E4D" w:rsidRDefault="00511EB7" w:rsidP="001E1E4D">
      <w:r>
        <w:t>Fixed Dose Combination:</w:t>
      </w:r>
    </w:p>
    <w:p w:rsidR="00CE3A83" w:rsidRPr="001E1E4D" w:rsidRDefault="001E1E4D" w:rsidP="001E1E4D">
      <w:r w:rsidRPr="001E1E4D">
        <w:t xml:space="preserve">As described in the section outlining formulation development of this report, the sponsor is applying for the registration of </w:t>
      </w:r>
      <w:proofErr w:type="gramStart"/>
      <w:r w:rsidRPr="001E1E4D">
        <w:t>a single</w:t>
      </w:r>
      <w:proofErr w:type="gramEnd"/>
      <w:r w:rsidRPr="001E1E4D">
        <w:t xml:space="preserve"> dose strength (200 mg LUM/125 mg IVA) of the </w:t>
      </w:r>
      <w:r w:rsidR="00511EB7">
        <w:t>Orkambi</w:t>
      </w:r>
      <w:r w:rsidRPr="001E1E4D">
        <w:t xml:space="preserve"> FDC tablet. Following a single oral dose of 400 mg/250 mg </w:t>
      </w:r>
      <w:r w:rsidR="00511EB7">
        <w:t>Orkambi</w:t>
      </w:r>
      <w:r w:rsidRPr="001E1E4D">
        <w:t xml:space="preserve"> (</w:t>
      </w:r>
      <w:r w:rsidR="00511EB7">
        <w:t>that is, 2 × 200 </w:t>
      </w:r>
      <w:r w:rsidRPr="001E1E4D">
        <w:t>mg LUM/125 mg IVA) to healthy males in the fed state (</w:t>
      </w:r>
      <w:r w:rsidR="00980975">
        <w:t>Study</w:t>
      </w:r>
      <w:r w:rsidR="00CE3A83">
        <w:t xml:space="preserve"> VX12-809-007)</w:t>
      </w:r>
      <w:r w:rsidRPr="001E1E4D">
        <w:t xml:space="preserve"> the median </w:t>
      </w:r>
      <w:r w:rsidR="00511EB7" w:rsidRPr="001E1E4D">
        <w:t>T</w:t>
      </w:r>
      <w:r w:rsidR="00511EB7" w:rsidRPr="00511EB7">
        <w:rPr>
          <w:vertAlign w:val="subscript"/>
        </w:rPr>
        <w:t>max</w:t>
      </w:r>
      <w:r w:rsidRPr="001E1E4D">
        <w:t xml:space="preserve"> values for both the lumacaftor and IVA components occurred at 4.00 h following dosing. A second dosage strength of the FDC (</w:t>
      </w:r>
      <w:r w:rsidR="00511EB7">
        <w:t>200 mg</w:t>
      </w:r>
      <w:r w:rsidRPr="001E1E4D">
        <w:t xml:space="preserve">/ 83 mg) was also used in some </w:t>
      </w:r>
      <w:r w:rsidR="00511EB7">
        <w:t>Phase III</w:t>
      </w:r>
      <w:r w:rsidRPr="001E1E4D">
        <w:t xml:space="preserve"> trials and foll</w:t>
      </w:r>
      <w:r w:rsidR="00511EB7">
        <w:t>owing a single oral dose of 600 </w:t>
      </w:r>
      <w:r w:rsidRPr="001E1E4D">
        <w:t xml:space="preserve">mg/250 mg </w:t>
      </w:r>
      <w:r w:rsidR="00511EB7">
        <w:t>Orkambi</w:t>
      </w:r>
      <w:r w:rsidRPr="001E1E4D">
        <w:t xml:space="preserve"> (</w:t>
      </w:r>
      <w:r w:rsidR="00511EB7">
        <w:t>that is</w:t>
      </w:r>
      <w:r w:rsidR="00CE3A83">
        <w:t xml:space="preserve"> </w:t>
      </w:r>
      <w:r w:rsidRPr="001E1E4D">
        <w:t xml:space="preserve">3 × 200 mg LUM/83 mg IVA) to healthy subjects in the fed state </w:t>
      </w:r>
      <w:r w:rsidRPr="00402228">
        <w:t>(</w:t>
      </w:r>
      <w:r w:rsidR="00980975" w:rsidRPr="00402228">
        <w:t>Study</w:t>
      </w:r>
      <w:r w:rsidR="00402228" w:rsidRPr="00402228">
        <w:t xml:space="preserve"> VX13-809-012</w:t>
      </w:r>
      <w:r w:rsidRPr="001E1E4D">
        <w:t xml:space="preserve">), the median </w:t>
      </w:r>
      <w:r w:rsidR="00511EB7" w:rsidRPr="001E1E4D">
        <w:t>T</w:t>
      </w:r>
      <w:r w:rsidR="00511EB7" w:rsidRPr="00511EB7">
        <w:rPr>
          <w:vertAlign w:val="subscript"/>
        </w:rPr>
        <w:t>max</w:t>
      </w:r>
      <w:r w:rsidRPr="001E1E4D">
        <w:t xml:space="preserve"> for the lumacaftor component also occurred at 4 h following dosing whereas for the IVA component the median </w:t>
      </w:r>
      <w:r w:rsidR="00511EB7" w:rsidRPr="001E1E4D">
        <w:t>T</w:t>
      </w:r>
      <w:r w:rsidR="00511EB7" w:rsidRPr="00511EB7">
        <w:rPr>
          <w:vertAlign w:val="subscript"/>
        </w:rPr>
        <w:t>max</w:t>
      </w:r>
      <w:r w:rsidRPr="001E1E4D">
        <w:t xml:space="preserve"> occurred slightly earlier at 3 h.</w:t>
      </w:r>
    </w:p>
    <w:p w:rsidR="00B7404C" w:rsidRPr="00B7404C" w:rsidRDefault="00511EB7" w:rsidP="00B7404C">
      <w:pPr>
        <w:pStyle w:val="Heading5"/>
      </w:pPr>
      <w:r>
        <w:t>Bioavailability</w:t>
      </w:r>
    </w:p>
    <w:p w:rsidR="00B7404C" w:rsidRPr="00B7404C" w:rsidRDefault="00511EB7" w:rsidP="00B7404C">
      <w:pPr>
        <w:pStyle w:val="Heading6"/>
      </w:pPr>
      <w:r>
        <w:t>Absolute bioavailability</w:t>
      </w:r>
    </w:p>
    <w:p w:rsidR="00B7404C" w:rsidRPr="00B7404C" w:rsidRDefault="00B7404C" w:rsidP="00B7404C">
      <w:r w:rsidRPr="00B7404C">
        <w:t xml:space="preserve">The absolute bioavailability of the FDC </w:t>
      </w:r>
      <w:r w:rsidR="00511EB7">
        <w:t>Orkambi</w:t>
      </w:r>
      <w:r w:rsidRPr="00B7404C">
        <w:t xml:space="preserve"> is unknown. This is in part due to the poor solubility of the LUM component and the resulting inability to develop an IV formulation suitable for human administration. The bioavailability of IVA has been previously discussed in TGA </w:t>
      </w:r>
      <w:r w:rsidR="00511EB7">
        <w:t>(</w:t>
      </w:r>
      <w:r w:rsidRPr="00B7404C">
        <w:t>Su</w:t>
      </w:r>
      <w:r w:rsidR="00511EB7">
        <w:t xml:space="preserve">bmission No. </w:t>
      </w:r>
      <w:proofErr w:type="gramStart"/>
      <w:r w:rsidR="00511EB7">
        <w:t>PM-2012-01491-3-5).</w:t>
      </w:r>
      <w:proofErr w:type="gramEnd"/>
    </w:p>
    <w:p w:rsidR="00B7404C" w:rsidRPr="00B7404C" w:rsidRDefault="00B7404C" w:rsidP="00B7404C">
      <w:pPr>
        <w:pStyle w:val="Heading6"/>
      </w:pPr>
      <w:r w:rsidRPr="00B7404C">
        <w:t>Bioavailability relative to an oral so</w:t>
      </w:r>
      <w:r w:rsidR="00511EB7">
        <w:t>lution or micronised suspension</w:t>
      </w:r>
    </w:p>
    <w:p w:rsidR="00B7404C" w:rsidRPr="00B7404C" w:rsidRDefault="00402228" w:rsidP="00B7404C">
      <w:r>
        <w:t>Study VX08-809-003</w:t>
      </w:r>
      <w:r w:rsidR="00B7404C" w:rsidRPr="00B7404C">
        <w:t xml:space="preserve"> examined the bioavailability of a capsule formulation of LUM relative to the suspension formulation, used in the initial </w:t>
      </w:r>
      <w:r w:rsidR="00511EB7">
        <w:t>Phase I</w:t>
      </w:r>
      <w:r w:rsidR="00B7404C" w:rsidRPr="00B7404C">
        <w:t xml:space="preserve"> trials, following a 200 mg</w:t>
      </w:r>
      <w:r w:rsidR="00511EB7">
        <w:t xml:space="preserve"> </w:t>
      </w:r>
      <w:r w:rsidR="00B7404C" w:rsidRPr="00B7404C">
        <w:t xml:space="preserve">oral dose in healthy fasted males. The results indicated that the capsule formulation had higher oral bioavailability as the LUM </w:t>
      </w:r>
      <w:r w:rsidR="00511EB7" w:rsidRPr="001E1E4D">
        <w:t>C</w:t>
      </w:r>
      <w:r w:rsidR="00511EB7" w:rsidRPr="00511EB7">
        <w:rPr>
          <w:vertAlign w:val="subscript"/>
        </w:rPr>
        <w:t>max</w:t>
      </w:r>
      <w:r w:rsidR="00B7404C" w:rsidRPr="00B7404C">
        <w:t xml:space="preserve"> and </w:t>
      </w:r>
      <w:r w:rsidR="00511EB7" w:rsidRPr="001E1E4D">
        <w:t>AUC</w:t>
      </w:r>
      <w:r w:rsidR="00511EB7" w:rsidRPr="00511EB7">
        <w:rPr>
          <w:vertAlign w:val="subscript"/>
        </w:rPr>
        <w:t>0-inf</w:t>
      </w:r>
      <w:r w:rsidR="00B7404C" w:rsidRPr="00B7404C">
        <w:t xml:space="preserve"> values were approximately 1.4 times higher following oral administration of the capsule formulation compared to the </w:t>
      </w:r>
      <w:r w:rsidR="00B7404C" w:rsidRPr="00402228">
        <w:t>su</w:t>
      </w:r>
      <w:r w:rsidRPr="00402228">
        <w:t>spension</w:t>
      </w:r>
      <w:r w:rsidR="00B7404C" w:rsidRPr="00402228">
        <w:t>. The</w:t>
      </w:r>
      <w:r w:rsidR="00B7404C" w:rsidRPr="00B7404C">
        <w:t xml:space="preserve"> median </w:t>
      </w:r>
      <w:r w:rsidR="00511EB7" w:rsidRPr="001E1E4D">
        <w:t>T</w:t>
      </w:r>
      <w:r w:rsidR="00511EB7" w:rsidRPr="00511EB7">
        <w:rPr>
          <w:vertAlign w:val="subscript"/>
        </w:rPr>
        <w:t>max</w:t>
      </w:r>
      <w:r w:rsidR="00B7404C" w:rsidRPr="00B7404C">
        <w:t xml:space="preserve"> values for the suspensio</w:t>
      </w:r>
      <w:r w:rsidR="00511EB7">
        <w:t>n and capsule formulations of 3 </w:t>
      </w:r>
      <w:r w:rsidR="00B7404C" w:rsidRPr="00B7404C">
        <w:t>h and 4 h, respectively, indicated that the capsule was more slowl</w:t>
      </w:r>
      <w:r w:rsidR="00511EB7">
        <w:t>y absorbed than the suspension.</w:t>
      </w:r>
    </w:p>
    <w:p w:rsidR="00B7404C" w:rsidRPr="00B7404C" w:rsidRDefault="00B7404C" w:rsidP="00B7404C">
      <w:pPr>
        <w:pStyle w:val="Heading6"/>
      </w:pPr>
      <w:r w:rsidRPr="00B7404C">
        <w:t>Bioequivalence of clinica</w:t>
      </w:r>
      <w:r w:rsidR="00511EB7">
        <w:t>l trial and market formulations</w:t>
      </w:r>
    </w:p>
    <w:p w:rsidR="00B7404C" w:rsidRPr="00D24E3F" w:rsidRDefault="00B7404C" w:rsidP="00D24E3F">
      <w:pPr>
        <w:pStyle w:val="Heading7"/>
        <w:rPr>
          <w:sz w:val="20"/>
          <w:szCs w:val="20"/>
        </w:rPr>
      </w:pPr>
      <w:r w:rsidRPr="00D24E3F">
        <w:rPr>
          <w:sz w:val="20"/>
          <w:szCs w:val="20"/>
        </w:rPr>
        <w:t>FDC ver</w:t>
      </w:r>
      <w:r w:rsidR="00D24E3F">
        <w:rPr>
          <w:sz w:val="20"/>
          <w:szCs w:val="20"/>
        </w:rPr>
        <w:t>ses free combination of LUM/IVA</w:t>
      </w:r>
    </w:p>
    <w:p w:rsidR="00B7404C" w:rsidRDefault="00B7404C" w:rsidP="00B7404C">
      <w:r w:rsidRPr="00B7404C">
        <w:t>A single study (Part B of Study VX12-809-007) examined the bioequivalence of the 200 mg LUM/125 mg IVA FDC (</w:t>
      </w:r>
      <w:r w:rsidR="00511EB7">
        <w:t xml:space="preserve">that is; </w:t>
      </w:r>
      <w:r w:rsidRPr="00B7404C">
        <w:t>proposed marketing formulation) and the free combination (</w:t>
      </w:r>
      <w:r w:rsidR="00511EB7">
        <w:t xml:space="preserve">that is </w:t>
      </w:r>
      <w:r w:rsidRPr="00B7404C">
        <w:t>For</w:t>
      </w:r>
      <w:r w:rsidR="00402228">
        <w:t xml:space="preserve">m 1 of lumacaftor and film </w:t>
      </w:r>
      <w:r w:rsidRPr="00B7404C">
        <w:t xml:space="preserve">coated IVA tablets) in healthy males in the fed state. Following a 400 mg LUM/250 mg IVA dose, the fixed and free formulations were essentially bioequivalent in regards to LUM exposure as the GLSM ratios (fixed/free) and 90% CIs were 1.00 (0.96, 1.04) for </w:t>
      </w:r>
      <w:r w:rsidR="00511EB7" w:rsidRPr="001E1E4D">
        <w:t>AUC</w:t>
      </w:r>
      <w:r w:rsidR="00511EB7" w:rsidRPr="00511EB7">
        <w:rPr>
          <w:vertAlign w:val="subscript"/>
        </w:rPr>
        <w:t>0-inf</w:t>
      </w:r>
      <w:r w:rsidRPr="00B7404C">
        <w:t xml:space="preserve"> and 0.93 (0.86, 1.00) for </w:t>
      </w:r>
      <w:r w:rsidR="00511EB7" w:rsidRPr="001E1E4D">
        <w:t>C</w:t>
      </w:r>
      <w:r w:rsidR="00511EB7" w:rsidRPr="00511EB7">
        <w:rPr>
          <w:vertAlign w:val="subscript"/>
        </w:rPr>
        <w:t>max</w:t>
      </w:r>
      <w:r w:rsidRPr="00B7404C">
        <w:t xml:space="preserve">. The median </w:t>
      </w:r>
      <w:r w:rsidR="00511EB7" w:rsidRPr="001E1E4D">
        <w:t>T</w:t>
      </w:r>
      <w:r w:rsidR="00511EB7" w:rsidRPr="00511EB7">
        <w:rPr>
          <w:vertAlign w:val="subscript"/>
        </w:rPr>
        <w:t>max</w:t>
      </w:r>
      <w:r w:rsidR="00511EB7">
        <w:t xml:space="preserve"> and mean t½</w:t>
      </w:r>
      <w:r w:rsidRPr="00B7404C">
        <w:t xml:space="preserve"> of LUM were also comparable for both formulations with </w:t>
      </w:r>
      <w:r w:rsidR="00511EB7" w:rsidRPr="001E1E4D">
        <w:t>T</w:t>
      </w:r>
      <w:r w:rsidR="00511EB7" w:rsidRPr="00511EB7">
        <w:rPr>
          <w:vertAlign w:val="subscript"/>
        </w:rPr>
        <w:t>max</w:t>
      </w:r>
      <w:r w:rsidRPr="00B7404C">
        <w:t xml:space="preserve"> values of 4.00 h and </w:t>
      </w:r>
      <w:r w:rsidR="00511EB7">
        <w:t>t½</w:t>
      </w:r>
      <w:r w:rsidRPr="00B7404C">
        <w:t xml:space="preserve"> values of 26.61 h for the fixed and 26.95 h for the free combinations. For the IVA component, although the GLSM ratio (fixed/free) for </w:t>
      </w:r>
      <w:r w:rsidR="00511EB7" w:rsidRPr="001E1E4D">
        <w:t>AUC</w:t>
      </w:r>
      <w:r w:rsidR="00511EB7" w:rsidRPr="00511EB7">
        <w:rPr>
          <w:vertAlign w:val="subscript"/>
        </w:rPr>
        <w:t>0-inf</w:t>
      </w:r>
      <w:r w:rsidRPr="00B7404C">
        <w:t xml:space="preserve"> indicated that the two formulations were similar (GLSM ratio: 1.14; 90% CI: 1.06 to 1.23), IVA </w:t>
      </w:r>
      <w:r w:rsidR="00511EB7" w:rsidRPr="001E1E4D">
        <w:t>C</w:t>
      </w:r>
      <w:r w:rsidR="00511EB7" w:rsidRPr="00511EB7">
        <w:rPr>
          <w:vertAlign w:val="subscript"/>
        </w:rPr>
        <w:t>max</w:t>
      </w:r>
      <w:r w:rsidRPr="00B7404C">
        <w:t xml:space="preserve"> for the fixed combination was slightly higher than that of the free combination (GLSM ratio: 1.20; 90% CI: 1.09 to 1.33) (</w:t>
      </w:r>
      <w:r w:rsidRPr="00761E27">
        <w:t xml:space="preserve">Table </w:t>
      </w:r>
      <w:r w:rsidR="00761E27">
        <w:t>2).</w:t>
      </w:r>
    </w:p>
    <w:p w:rsidR="00D24E3F" w:rsidRDefault="00D24E3F" w:rsidP="00761E27">
      <w:pPr>
        <w:pStyle w:val="Tabletitle"/>
      </w:pPr>
      <w:proofErr w:type="gramStart"/>
      <w:r>
        <w:lastRenderedPageBreak/>
        <w:t xml:space="preserve">Table </w:t>
      </w:r>
      <w:r w:rsidR="00761E27">
        <w:t>2</w:t>
      </w:r>
      <w:r>
        <w:t>.</w:t>
      </w:r>
      <w:proofErr w:type="gramEnd"/>
      <w:r>
        <w:t xml:space="preserve"> </w:t>
      </w:r>
      <w:r w:rsidR="003B23A6">
        <w:t xml:space="preserve">Summary of relative </w:t>
      </w:r>
      <w:r w:rsidR="00761E27">
        <w:t>bioavailability</w:t>
      </w:r>
      <w:r w:rsidR="00B50E2F">
        <w:t xml:space="preserve"> of i</w:t>
      </w:r>
      <w:r w:rsidR="003B23A6">
        <w:t>vacaftor between co</w:t>
      </w:r>
      <w:r w:rsidR="00761E27">
        <w:t>-formulation</w:t>
      </w:r>
      <w:r w:rsidR="00B50E2F">
        <w:t xml:space="preserve"> versus co dose</w:t>
      </w:r>
      <w:r w:rsidR="003B23A6">
        <w:t>, Part B</w:t>
      </w:r>
    </w:p>
    <w:p w:rsidR="00D24E3F" w:rsidRDefault="00D24E3F" w:rsidP="00B7404C">
      <w:r>
        <w:rPr>
          <w:noProof/>
          <w:lang w:eastAsia="en-AU"/>
        </w:rPr>
        <w:drawing>
          <wp:inline distT="0" distB="0" distL="0" distR="0" wp14:anchorId="4491C723" wp14:editId="27915F82">
            <wp:extent cx="5479085" cy="723520"/>
            <wp:effectExtent l="0" t="0" r="7620" b="635"/>
            <wp:docPr id="5" name="Picture 5" descr="Table 2. Summary of relative bioavailability of Ivacaftor between co-formulation versus co dose , Part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BEBA8EAE-BF5A-486C-A8C5-ECC9F3942E4B}">
                          <a14:imgProps xmlns:a14="http://schemas.microsoft.com/office/drawing/2010/main">
                            <a14:imgLayer r:embed="rId18">
                              <a14:imgEffect>
                                <a14:sharpenSoften amount="25000"/>
                              </a14:imgEffect>
                            </a14:imgLayer>
                          </a14:imgProps>
                        </a:ext>
                      </a:extLst>
                    </a:blip>
                    <a:stretch>
                      <a:fillRect/>
                    </a:stretch>
                  </pic:blipFill>
                  <pic:spPr>
                    <a:xfrm>
                      <a:off x="0" y="0"/>
                      <a:ext cx="5503722" cy="726773"/>
                    </a:xfrm>
                    <a:prstGeom prst="rect">
                      <a:avLst/>
                    </a:prstGeom>
                  </pic:spPr>
                </pic:pic>
              </a:graphicData>
            </a:graphic>
          </wp:inline>
        </w:drawing>
      </w:r>
    </w:p>
    <w:p w:rsidR="00761E27" w:rsidRPr="00B7404C" w:rsidRDefault="00761E27" w:rsidP="00761E27">
      <w:pPr>
        <w:pStyle w:val="TableDescription"/>
      </w:pPr>
      <w:r>
        <w:t>AUC</w:t>
      </w:r>
      <w:r w:rsidRPr="00761E27">
        <w:rPr>
          <w:vertAlign w:val="subscript"/>
        </w:rPr>
        <w:t>0-∞</w:t>
      </w:r>
      <w:r>
        <w:t>: area under the concentration versus time curve for the time of dosing extrapolated to infinity; C</w:t>
      </w:r>
      <w:r w:rsidRPr="00761E27">
        <w:rPr>
          <w:vertAlign w:val="subscript"/>
        </w:rPr>
        <w:t>max</w:t>
      </w:r>
      <w:r>
        <w:t>: maximum observed concentration; CIs: confidence interval; GLSM: geometric least squares mean (Co-Form/Co-Dose); N: number of subjects. Notes: co-formulation was dosed as 2 tablets of the 200 mg VX-809/125 mg VX-770 CG co-formulation. For Co-Dose, ivacaftor was dosed as one 100 mg tablet and one 150 mg tablet.</w:t>
      </w:r>
    </w:p>
    <w:p w:rsidR="002227DB" w:rsidRPr="002227DB" w:rsidRDefault="00B7404C" w:rsidP="002227DB">
      <w:pPr>
        <w:pStyle w:val="Comment"/>
      </w:pPr>
      <w:r w:rsidRPr="002227DB">
        <w:rPr>
          <w:b/>
        </w:rPr>
        <w:t>Comment</w:t>
      </w:r>
      <w:r w:rsidRPr="002227DB">
        <w:t xml:space="preserve">: </w:t>
      </w:r>
      <w:r w:rsidR="00703C13">
        <w:tab/>
      </w:r>
      <w:r w:rsidRPr="002227DB">
        <w:t>The small</w:t>
      </w:r>
      <w:r w:rsidR="002227DB">
        <w:t xml:space="preserve"> </w:t>
      </w:r>
      <w:r w:rsidR="002227DB" w:rsidRPr="002227DB">
        <w:t xml:space="preserve">difference in </w:t>
      </w:r>
      <w:r w:rsidR="00511EB7" w:rsidRPr="001E1E4D">
        <w:t>C</w:t>
      </w:r>
      <w:r w:rsidR="00511EB7" w:rsidRPr="00511EB7">
        <w:rPr>
          <w:vertAlign w:val="subscript"/>
        </w:rPr>
        <w:t>max</w:t>
      </w:r>
      <w:r w:rsidR="002227DB" w:rsidRPr="002227DB">
        <w:t xml:space="preserve"> regarding the IVA component is unlikely </w:t>
      </w:r>
      <w:r w:rsidR="00511EB7">
        <w:t>to be of clinical significance.</w:t>
      </w:r>
    </w:p>
    <w:p w:rsidR="002227DB" w:rsidRPr="002227DB" w:rsidRDefault="002227DB" w:rsidP="002227DB">
      <w:r w:rsidRPr="002227DB">
        <w:t xml:space="preserve">Two </w:t>
      </w:r>
      <w:r w:rsidR="00980975">
        <w:t>Studies</w:t>
      </w:r>
      <w:r w:rsidRPr="002227DB">
        <w:t xml:space="preserve"> (VX07-809-003 and VX12-809-007) examined the bioequivalence of the various formulations of LUM used duri</w:t>
      </w:r>
      <w:r w:rsidR="00511EB7">
        <w:t>ng the initial clinical trials.</w:t>
      </w:r>
    </w:p>
    <w:p w:rsidR="002227DB" w:rsidRPr="002227DB" w:rsidRDefault="002227DB" w:rsidP="002227DB">
      <w:pPr>
        <w:pStyle w:val="Heading7"/>
        <w:rPr>
          <w:sz w:val="20"/>
          <w:szCs w:val="20"/>
        </w:rPr>
      </w:pPr>
      <w:r w:rsidRPr="002227DB">
        <w:rPr>
          <w:sz w:val="20"/>
          <w:szCs w:val="20"/>
        </w:rPr>
        <w:t>Suspension form of LUM verses ea</w:t>
      </w:r>
      <w:r w:rsidR="00511EB7">
        <w:rPr>
          <w:sz w:val="20"/>
          <w:szCs w:val="20"/>
        </w:rPr>
        <w:t>rly tablet form of LUM</w:t>
      </w:r>
    </w:p>
    <w:p w:rsidR="002227DB" w:rsidRPr="002227DB" w:rsidRDefault="00980975" w:rsidP="002227DB">
      <w:r>
        <w:t>Study</w:t>
      </w:r>
      <w:r w:rsidR="0076110B">
        <w:t xml:space="preserve"> VX07-809-003</w:t>
      </w:r>
      <w:r w:rsidR="002227DB" w:rsidRPr="002227DB">
        <w:t xml:space="preserve"> compared LUM PKs following a 200 mg dose of the suspension and early tablet formulations of LUM in healthy males in the fasted state</w:t>
      </w:r>
      <w:r w:rsidR="00511EB7">
        <w:t>.</w:t>
      </w:r>
    </w:p>
    <w:p w:rsidR="002227DB" w:rsidRPr="002227DB" w:rsidRDefault="002227DB" w:rsidP="002227DB">
      <w:r w:rsidRPr="002227DB">
        <w:t xml:space="preserve">The second </w:t>
      </w:r>
      <w:r w:rsidR="00980975">
        <w:t>Study</w:t>
      </w:r>
      <w:r w:rsidRPr="002227DB">
        <w:t>, VX12-809-007 w</w:t>
      </w:r>
      <w:r w:rsidR="00511EB7">
        <w:t xml:space="preserve">as a 2 </w:t>
      </w:r>
      <w:r w:rsidRPr="002227DB">
        <w:t xml:space="preserve">part study, in which Part A examined the relative bioavailability of a new HDL tablet formulation of LUM, used during later trials, and the tablet formulation used in the </w:t>
      </w:r>
      <w:r w:rsidR="00980975">
        <w:t>Phase II</w:t>
      </w:r>
      <w:r w:rsidRPr="002227DB">
        <w:t xml:space="preserve"> </w:t>
      </w:r>
      <w:r w:rsidR="00980975">
        <w:t>Study</w:t>
      </w:r>
      <w:r w:rsidRPr="002227DB">
        <w:t xml:space="preserve">, VX07-809-002, as well as several early </w:t>
      </w:r>
      <w:r w:rsidR="00511EB7">
        <w:t>Phase I</w:t>
      </w:r>
      <w:r w:rsidRPr="002227DB">
        <w:t xml:space="preserve"> studies at 2 different dose levels under fed conditions. At both dose levels (</w:t>
      </w:r>
      <w:r w:rsidR="00511EB7">
        <w:t>that is</w:t>
      </w:r>
      <w:r w:rsidRPr="002227DB">
        <w:t xml:space="preserve">400 and 600 mg LUM) the </w:t>
      </w:r>
      <w:r w:rsidR="00511EB7" w:rsidRPr="001E1E4D">
        <w:t>C</w:t>
      </w:r>
      <w:r w:rsidR="00511EB7" w:rsidRPr="00511EB7">
        <w:rPr>
          <w:vertAlign w:val="subscript"/>
        </w:rPr>
        <w:t>max</w:t>
      </w:r>
      <w:r w:rsidRPr="002227DB">
        <w:t xml:space="preserve">, </w:t>
      </w:r>
      <w:r w:rsidR="00511EB7" w:rsidRPr="001E1E4D">
        <w:t>AUC</w:t>
      </w:r>
      <w:r w:rsidR="00511EB7" w:rsidRPr="00511EB7">
        <w:rPr>
          <w:vertAlign w:val="subscript"/>
        </w:rPr>
        <w:t>0-inf</w:t>
      </w:r>
      <w:r w:rsidRPr="002227DB">
        <w:t xml:space="preserve">, </w:t>
      </w:r>
      <w:r w:rsidR="00511EB7" w:rsidRPr="001E1E4D">
        <w:t>T</w:t>
      </w:r>
      <w:r w:rsidR="00511EB7" w:rsidRPr="00511EB7">
        <w:rPr>
          <w:vertAlign w:val="subscript"/>
        </w:rPr>
        <w:t>max</w:t>
      </w:r>
      <w:r w:rsidRPr="002227DB">
        <w:t xml:space="preserve"> and </w:t>
      </w:r>
      <w:r w:rsidR="00511EB7">
        <w:t>t½</w:t>
      </w:r>
      <w:r w:rsidRPr="002227DB">
        <w:t xml:space="preserve"> values for LUM were similar for the two LUM formulations (Tables 4.8.3 and 4.8.5, p178). For instance, the GLSM rati</w:t>
      </w:r>
      <w:r w:rsidR="00511EB7">
        <w:t>os (90% </w:t>
      </w:r>
      <w:r w:rsidRPr="002227DB">
        <w:t xml:space="preserve">CI) for </w:t>
      </w:r>
      <w:r w:rsidR="00511EB7" w:rsidRPr="001E1E4D">
        <w:t>C</w:t>
      </w:r>
      <w:r w:rsidR="00511EB7" w:rsidRPr="00511EB7">
        <w:rPr>
          <w:vertAlign w:val="subscript"/>
        </w:rPr>
        <w:t>max</w:t>
      </w:r>
      <w:r w:rsidRPr="002227DB">
        <w:t xml:space="preserve"> and AUC were 0.98 (0.93, 1.03) and 0.96 (0.90, 1.02), respectively,</w:t>
      </w:r>
      <w:r w:rsidR="00DE2C52">
        <w:t xml:space="preserve"> following a 400 mg dose of LUM</w:t>
      </w:r>
      <w:r w:rsidRPr="002227DB">
        <w:t xml:space="preserve"> and 1.01 (0.95, 1.07) and 1.15 (1.06, 1.24), respectively following a 600 mg dose</w:t>
      </w:r>
      <w:r w:rsidR="00511EB7">
        <w:t>.</w:t>
      </w:r>
    </w:p>
    <w:p w:rsidR="002227DB" w:rsidRPr="002227DB" w:rsidRDefault="002227DB" w:rsidP="002227DB">
      <w:pPr>
        <w:pStyle w:val="Heading6"/>
      </w:pPr>
      <w:r w:rsidRPr="002227DB">
        <w:t>Bioequivalence of diffe</w:t>
      </w:r>
      <w:r w:rsidR="00511EB7">
        <w:t>rent dosage forms and strengths</w:t>
      </w:r>
    </w:p>
    <w:p w:rsidR="002227DB" w:rsidRPr="002227DB" w:rsidRDefault="00DE2C52" w:rsidP="002227DB">
      <w:r>
        <w:t>Study VX13-809-012</w:t>
      </w:r>
      <w:r w:rsidR="002227DB" w:rsidRPr="002227DB">
        <w:t xml:space="preserve"> examined the PKs of LUM and IVA following doses of the FDC proposed for commercialisation and the FDC used in some </w:t>
      </w:r>
      <w:r w:rsidR="00511EB7">
        <w:t>Phase III</w:t>
      </w:r>
      <w:r w:rsidR="002227DB" w:rsidRPr="002227DB">
        <w:t xml:space="preserve"> trials under both fed and fasted conditions. The dose administered for the 200 mg LUM/125 mg IVA strength FDC tablets was 400 mg/250 mg, whereas, for the 200 mg LUM/83 mg IVA strength FDC tablets the dose</w:t>
      </w:r>
      <w:r w:rsidR="002227DB">
        <w:t xml:space="preserve"> </w:t>
      </w:r>
      <w:r w:rsidR="00511EB7">
        <w:t>administered was 600 mg/250 mg.</w:t>
      </w:r>
    </w:p>
    <w:p w:rsidR="001E1E4D" w:rsidRDefault="002227DB" w:rsidP="002227DB">
      <w:r w:rsidRPr="002227DB">
        <w:t xml:space="preserve">When administered in the fasted condition, the mean values of LUM AUC and </w:t>
      </w:r>
      <w:r w:rsidR="00511EB7" w:rsidRPr="001E1E4D">
        <w:t>C</w:t>
      </w:r>
      <w:r w:rsidR="00511EB7" w:rsidRPr="00511EB7">
        <w:rPr>
          <w:vertAlign w:val="subscript"/>
        </w:rPr>
        <w:t>max</w:t>
      </w:r>
      <w:r w:rsidRPr="002227DB">
        <w:t xml:space="preserve"> increased in a less than dose proportional manner (</w:t>
      </w:r>
      <w:r w:rsidRPr="00D8332A">
        <w:t xml:space="preserve">Table </w:t>
      </w:r>
      <w:r w:rsidR="00D8332A">
        <w:t>3</w:t>
      </w:r>
      <w:r w:rsidRPr="002227DB">
        <w:t xml:space="preserve">). For instance, dose normalised </w:t>
      </w:r>
      <w:r w:rsidR="00511EB7" w:rsidRPr="001E1E4D">
        <w:t>AUC</w:t>
      </w:r>
      <w:r w:rsidR="00511EB7" w:rsidRPr="00511EB7">
        <w:rPr>
          <w:vertAlign w:val="subscript"/>
        </w:rPr>
        <w:t>0-inf</w:t>
      </w:r>
      <w:r w:rsidR="00511EB7">
        <w:t xml:space="preserve"> was approximately 1.24 </w:t>
      </w:r>
      <w:r w:rsidRPr="002227DB">
        <w:t>fold higher following the 400 mg dose than following the 600 mg dose of LUM. IVA exposure (</w:t>
      </w:r>
      <w:r w:rsidR="00511EB7" w:rsidRPr="001E1E4D">
        <w:t>C</w:t>
      </w:r>
      <w:r w:rsidR="00511EB7" w:rsidRPr="00511EB7">
        <w:rPr>
          <w:vertAlign w:val="subscript"/>
        </w:rPr>
        <w:t>max</w:t>
      </w:r>
      <w:r w:rsidRPr="002227DB">
        <w:t xml:space="preserve"> and AUC) was lower by approximately 34 to 37% following 250 mg IVA dosed with 600 mg LUM compared to when 250 mg IVA was co-administered with 400 mg </w:t>
      </w:r>
      <w:r w:rsidRPr="00D8332A">
        <w:t>lumacaftor (</w:t>
      </w:r>
      <w:r w:rsidR="00D8332A" w:rsidRPr="00D8332A">
        <w:t>Table 4</w:t>
      </w:r>
      <w:r w:rsidRPr="00D8332A">
        <w:t>).</w:t>
      </w:r>
      <w:r w:rsidRPr="002227DB">
        <w:t xml:space="preserve"> By contrast, under fed conditions the increase in LUM exposure was approximately proportional to dose, whereas, IVA exposure was comparable following doses of both formulations of FDC.</w:t>
      </w:r>
    </w:p>
    <w:p w:rsidR="00DE2C52" w:rsidRDefault="00DE2C52" w:rsidP="00AB3949">
      <w:pPr>
        <w:pStyle w:val="Tabletitle"/>
      </w:pPr>
      <w:proofErr w:type="gramStart"/>
      <w:r>
        <w:lastRenderedPageBreak/>
        <w:t xml:space="preserve">Table </w:t>
      </w:r>
      <w:r w:rsidR="002164D3">
        <w:t>3.</w:t>
      </w:r>
      <w:proofErr w:type="gramEnd"/>
      <w:r w:rsidR="00AB3949">
        <w:t xml:space="preserve"> Summary of lumacaftor PK parameters by FDC and fasting status</w:t>
      </w:r>
      <w:r w:rsidR="00D8332A">
        <w:t xml:space="preserve"> Study VX13-809-012</w:t>
      </w:r>
    </w:p>
    <w:p w:rsidR="00AB3949" w:rsidRDefault="00AB3949" w:rsidP="00AB3949">
      <w:r>
        <w:rPr>
          <w:noProof/>
          <w:lang w:eastAsia="en-AU"/>
        </w:rPr>
        <w:drawing>
          <wp:inline distT="0" distB="0" distL="0" distR="0" wp14:anchorId="0F09D73F" wp14:editId="07933746">
            <wp:extent cx="5076749" cy="2730922"/>
            <wp:effectExtent l="0" t="0" r="0" b="0"/>
            <wp:docPr id="6" name="Picture 6" descr="Table 3. Summary of lumacaftor PK parameters by FDC and fasting status Study VX13-809-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073556" cy="2729204"/>
                    </a:xfrm>
                    <a:prstGeom prst="rect">
                      <a:avLst/>
                    </a:prstGeom>
                  </pic:spPr>
                </pic:pic>
              </a:graphicData>
            </a:graphic>
          </wp:inline>
        </w:drawing>
      </w:r>
    </w:p>
    <w:p w:rsidR="00AB3949" w:rsidRDefault="00AB3949" w:rsidP="00D8332A">
      <w:pPr>
        <w:pStyle w:val="TableDescription"/>
      </w:pPr>
      <w:r>
        <w:t>AUC</w:t>
      </w:r>
      <w:r w:rsidRPr="00761E27">
        <w:rPr>
          <w:vertAlign w:val="subscript"/>
        </w:rPr>
        <w:t>0-∞</w:t>
      </w:r>
      <w:r>
        <w:t>: area under the concentration versus time curve (AUC) from the time of dosing extrapolated to infinity; AUC</w:t>
      </w:r>
      <w:r w:rsidRPr="00AB3949">
        <w:rPr>
          <w:vertAlign w:val="subscript"/>
        </w:rPr>
        <w:t>0-</w:t>
      </w:r>
      <w:proofErr w:type="gramStart"/>
      <w:r w:rsidRPr="00AB3949">
        <w:rPr>
          <w:vertAlign w:val="subscript"/>
        </w:rPr>
        <w:t>tlast</w:t>
      </w:r>
      <w:r>
        <w:t xml:space="preserve"> :</w:t>
      </w:r>
      <w:proofErr w:type="gramEnd"/>
      <w:r>
        <w:t xml:space="preserve"> AUC from the time of dosing to the time of last measurable concentration; C</w:t>
      </w:r>
      <w:r w:rsidRPr="00761E27">
        <w:rPr>
          <w:vertAlign w:val="subscript"/>
        </w:rPr>
        <w:t>max</w:t>
      </w:r>
      <w:r>
        <w:t>: maximum observed concentration; FDC: fixed dose combination; max: maximum; min: minimum; n: number of subjects; SD: standard deviation; t</w:t>
      </w:r>
      <w:r w:rsidRPr="00AB3949">
        <w:rPr>
          <w:vertAlign w:val="subscript"/>
        </w:rPr>
        <w:t>max</w:t>
      </w:r>
      <w:r>
        <w:t>: time of maximum concentration; t</w:t>
      </w:r>
      <w:r w:rsidRPr="00AB3949">
        <w:rPr>
          <w:vertAlign w:val="subscript"/>
        </w:rPr>
        <w:t>½</w:t>
      </w:r>
      <w:r w:rsidR="00D8332A">
        <w:t>: terminal phase half-</w:t>
      </w:r>
      <w:r>
        <w:t xml:space="preserve">life. </w:t>
      </w:r>
      <w:r w:rsidRPr="00AB3949">
        <w:rPr>
          <w:vertAlign w:val="superscript"/>
        </w:rPr>
        <w:t>a</w:t>
      </w:r>
      <w:r>
        <w:t xml:space="preserve"> dosed as formulation A tablets (200 mg lumacaftor/ 125 mg ivacaftor) in Part A. </w:t>
      </w:r>
      <w:r w:rsidRPr="00AB3949">
        <w:rPr>
          <w:vertAlign w:val="superscript"/>
        </w:rPr>
        <w:t>b</w:t>
      </w:r>
      <w:r>
        <w:t xml:space="preserve"> dosed as formulation B tablets (200 mg lumacaftor/ 83 mg ivacaftor) in Part B. </w:t>
      </w:r>
      <w:r w:rsidRPr="00D8332A">
        <w:rPr>
          <w:vertAlign w:val="superscript"/>
        </w:rPr>
        <w:t>c</w:t>
      </w:r>
      <w:r>
        <w:t xml:space="preserve"> there were missing values for AUC</w:t>
      </w:r>
      <w:r w:rsidRPr="00761E27">
        <w:rPr>
          <w:vertAlign w:val="subscript"/>
        </w:rPr>
        <w:t>0-∞</w:t>
      </w:r>
      <w:r w:rsidR="00D8332A">
        <w:t xml:space="preserve"> and t</w:t>
      </w:r>
      <w:r w:rsidR="00D8332A" w:rsidRPr="00AB3949">
        <w:rPr>
          <w:vertAlign w:val="subscript"/>
        </w:rPr>
        <w:t>½</w:t>
      </w:r>
      <w:r w:rsidR="00D8332A">
        <w:t xml:space="preserve"> (n &lt; 14) as some of the values could not be estimated due to insufficient data in the terminal phase.</w:t>
      </w:r>
    </w:p>
    <w:p w:rsidR="00D8332A" w:rsidRDefault="00205AF9" w:rsidP="00D8332A">
      <w:pPr>
        <w:pStyle w:val="Tabletitle"/>
      </w:pPr>
      <w:proofErr w:type="gramStart"/>
      <w:r>
        <w:t>Table 4.</w:t>
      </w:r>
      <w:proofErr w:type="gramEnd"/>
      <w:r>
        <w:t xml:space="preserve"> </w:t>
      </w:r>
      <w:r w:rsidR="00D8332A">
        <w:t>Summary of ivacaftor PK parameters by FDC and fasting status Study VX13-809-012</w:t>
      </w:r>
    </w:p>
    <w:p w:rsidR="00D8332A" w:rsidRDefault="00D8332A" w:rsidP="00B50E2F">
      <w:r w:rsidRPr="00B50E2F">
        <w:rPr>
          <w:noProof/>
          <w:lang w:eastAsia="en-AU"/>
        </w:rPr>
        <w:drawing>
          <wp:inline distT="0" distB="0" distL="0" distR="0" wp14:anchorId="35BC326D" wp14:editId="0FE749B4">
            <wp:extent cx="5244998" cy="3042210"/>
            <wp:effectExtent l="0" t="0" r="0" b="6350"/>
            <wp:docPr id="7" name="Picture 7" descr="Table 4. Summary of ivacaftor PK parameters by FDC and fasting status Study VX13-809-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244316" cy="3041814"/>
                    </a:xfrm>
                    <a:prstGeom prst="rect">
                      <a:avLst/>
                    </a:prstGeom>
                  </pic:spPr>
                </pic:pic>
              </a:graphicData>
            </a:graphic>
          </wp:inline>
        </w:drawing>
      </w:r>
    </w:p>
    <w:p w:rsidR="00D8332A" w:rsidRPr="00D8332A" w:rsidRDefault="00D8332A" w:rsidP="00D8332A">
      <w:pPr>
        <w:pStyle w:val="TableDescription"/>
      </w:pPr>
      <w:r>
        <w:t>AUC</w:t>
      </w:r>
      <w:r w:rsidRPr="00761E27">
        <w:rPr>
          <w:vertAlign w:val="subscript"/>
        </w:rPr>
        <w:t>0-∞</w:t>
      </w:r>
      <w:r>
        <w:t>: area under the concentration versus time curve (AUC) from the time of dosing extrapolated to infinity; AUC</w:t>
      </w:r>
      <w:r w:rsidRPr="00AB3949">
        <w:rPr>
          <w:vertAlign w:val="subscript"/>
        </w:rPr>
        <w:t>0-</w:t>
      </w:r>
      <w:proofErr w:type="gramStart"/>
      <w:r w:rsidRPr="00AB3949">
        <w:rPr>
          <w:vertAlign w:val="subscript"/>
        </w:rPr>
        <w:t>tlast</w:t>
      </w:r>
      <w:r>
        <w:t xml:space="preserve"> :</w:t>
      </w:r>
      <w:proofErr w:type="gramEnd"/>
      <w:r>
        <w:t xml:space="preserve"> AUC from the time of dosing to the time of last measurable concentration; C</w:t>
      </w:r>
      <w:r w:rsidRPr="00761E27">
        <w:rPr>
          <w:vertAlign w:val="subscript"/>
        </w:rPr>
        <w:t>max</w:t>
      </w:r>
      <w:r>
        <w:t>: maximum observed concentration; FDC: fixed dose combination; max: maximum; min: minimum; n: number of subjects; SD: standard deviation; t</w:t>
      </w:r>
      <w:r w:rsidRPr="00AB3949">
        <w:rPr>
          <w:vertAlign w:val="subscript"/>
        </w:rPr>
        <w:t>max</w:t>
      </w:r>
      <w:r>
        <w:t>: time of maximum concentration; t</w:t>
      </w:r>
      <w:r w:rsidRPr="00AB3949">
        <w:rPr>
          <w:vertAlign w:val="subscript"/>
        </w:rPr>
        <w:t>½</w:t>
      </w:r>
      <w:r>
        <w:t xml:space="preserve">: terminal phase half-life. </w:t>
      </w:r>
      <w:r w:rsidRPr="00AB3949">
        <w:rPr>
          <w:vertAlign w:val="superscript"/>
        </w:rPr>
        <w:t>a</w:t>
      </w:r>
      <w:r>
        <w:t xml:space="preserve"> dosed as formulation A tablets (200 mg lumacaftor/ 125 mg ivacaftor) in Part A. </w:t>
      </w:r>
      <w:r w:rsidRPr="00AB3949">
        <w:rPr>
          <w:vertAlign w:val="superscript"/>
        </w:rPr>
        <w:t>b</w:t>
      </w:r>
      <w:r>
        <w:t xml:space="preserve"> dosed as formulation B tablets (200 mg lumacaftor/ </w:t>
      </w:r>
      <w:r>
        <w:lastRenderedPageBreak/>
        <w:t xml:space="preserve">83 mg ivacaftor) in Part B. </w:t>
      </w:r>
      <w:r w:rsidRPr="00D8332A">
        <w:rPr>
          <w:vertAlign w:val="superscript"/>
        </w:rPr>
        <w:t>c</w:t>
      </w:r>
      <w:r>
        <w:t xml:space="preserve"> there were missing values for AUC</w:t>
      </w:r>
      <w:r w:rsidRPr="00761E27">
        <w:rPr>
          <w:vertAlign w:val="subscript"/>
        </w:rPr>
        <w:t>0-∞</w:t>
      </w:r>
      <w:r>
        <w:t xml:space="preserve"> and t</w:t>
      </w:r>
      <w:r w:rsidRPr="00AB3949">
        <w:rPr>
          <w:vertAlign w:val="subscript"/>
        </w:rPr>
        <w:t>½</w:t>
      </w:r>
      <w:r>
        <w:t xml:space="preserve"> (n &lt; 14) as some of the values could not be estimated due to insufficient data in the terminal phase.</w:t>
      </w:r>
    </w:p>
    <w:p w:rsidR="002227DB" w:rsidRPr="002227DB" w:rsidRDefault="002227DB" w:rsidP="002227DB">
      <w:pPr>
        <w:pStyle w:val="Heading6"/>
      </w:pPr>
      <w:r w:rsidRPr="002227DB">
        <w:t xml:space="preserve">Bioequivalence </w:t>
      </w:r>
      <w:r w:rsidR="00511EB7">
        <w:t>to relevant registered products</w:t>
      </w:r>
    </w:p>
    <w:p w:rsidR="002227DB" w:rsidRPr="002227DB" w:rsidRDefault="00511EB7" w:rsidP="002227DB">
      <w:r>
        <w:t>Not applicable.</w:t>
      </w:r>
    </w:p>
    <w:p w:rsidR="002227DB" w:rsidRPr="002227DB" w:rsidRDefault="00511EB7" w:rsidP="002227DB">
      <w:pPr>
        <w:pStyle w:val="Heading6"/>
      </w:pPr>
      <w:r>
        <w:t>Influence of food</w:t>
      </w:r>
    </w:p>
    <w:p w:rsidR="002227DB" w:rsidRPr="002227DB" w:rsidRDefault="002227DB" w:rsidP="002227DB">
      <w:r w:rsidRPr="002227DB">
        <w:t>Earl</w:t>
      </w:r>
      <w:r w:rsidR="00D8332A">
        <w:t>y clinical trials, VX08-809-003 and Part C of VX07-809-001</w:t>
      </w:r>
      <w:r w:rsidRPr="002227DB">
        <w:t xml:space="preserve"> examined the effect of food on the PKs of LUM following tablet and suspension formulations of LUM; however, the most relevant study regarding food for the current application was </w:t>
      </w:r>
      <w:r w:rsidR="00980975">
        <w:t>Study</w:t>
      </w:r>
      <w:r w:rsidRPr="002227DB">
        <w:t xml:space="preserve"> VX13-809-012 which evaluated the effect of food on the relative bioavailability of the 2 FDCs of LUM and IVA in healthy subjects.</w:t>
      </w:r>
    </w:p>
    <w:p w:rsidR="002227DB" w:rsidRDefault="002227DB" w:rsidP="002227DB">
      <w:r w:rsidRPr="002227DB">
        <w:t>For the LUM component, following administration of a single oral dose of 600 mg LUM/250 mg IVA (</w:t>
      </w:r>
      <w:r w:rsidR="00511EB7">
        <w:t xml:space="preserve">that is; </w:t>
      </w:r>
      <w:r w:rsidRPr="002227DB">
        <w:t xml:space="preserve">3 × 200 mg/83 mg tablets) under fed conditions, the GLSM (90% CI) values for </w:t>
      </w:r>
      <w:r w:rsidR="00511EB7" w:rsidRPr="001E1E4D">
        <w:t>C</w:t>
      </w:r>
      <w:r w:rsidR="00511EB7" w:rsidRPr="00511EB7">
        <w:rPr>
          <w:vertAlign w:val="subscript"/>
        </w:rPr>
        <w:t>max</w:t>
      </w:r>
      <w:r w:rsidRPr="002227DB">
        <w:t xml:space="preserve"> and </w:t>
      </w:r>
      <w:r w:rsidR="00511EB7" w:rsidRPr="001E1E4D">
        <w:t>AUC</w:t>
      </w:r>
      <w:r w:rsidR="00511EB7" w:rsidRPr="00511EB7">
        <w:rPr>
          <w:vertAlign w:val="subscript"/>
        </w:rPr>
        <w:t>0-inf</w:t>
      </w:r>
      <w:r w:rsidR="00511EB7">
        <w:t xml:space="preserve"> were approximately 2.8 </w:t>
      </w:r>
      <w:r w:rsidRPr="002227DB">
        <w:t>f</w:t>
      </w:r>
      <w:r w:rsidR="00511EB7">
        <w:t xml:space="preserve">old higher (2.45, 3.26) and 2.0 </w:t>
      </w:r>
      <w:r w:rsidRPr="002227DB">
        <w:t>fold higher (1.70, 2.24), respectively, than in the fasted state (</w:t>
      </w:r>
      <w:r w:rsidR="00205AF9">
        <w:t>Table 5).</w:t>
      </w:r>
      <w:r w:rsidRPr="002227DB">
        <w:t xml:space="preserve">The median </w:t>
      </w:r>
      <w:r w:rsidR="00511EB7" w:rsidRPr="001E1E4D">
        <w:t>T</w:t>
      </w:r>
      <w:r w:rsidR="00511EB7" w:rsidRPr="00511EB7">
        <w:rPr>
          <w:vertAlign w:val="subscript"/>
        </w:rPr>
        <w:t>max</w:t>
      </w:r>
      <w:r w:rsidRPr="002227DB">
        <w:t xml:space="preserve"> ranged from 3.00 h to 4.00 h and the mean </w:t>
      </w:r>
      <w:r w:rsidR="00511EB7">
        <w:t>t½</w:t>
      </w:r>
      <w:r w:rsidRPr="002227DB">
        <w:t xml:space="preserve"> ranged from 22.7 h to 25.3 h (</w:t>
      </w:r>
      <w:r w:rsidRPr="0057618D">
        <w:t xml:space="preserve">Table </w:t>
      </w:r>
      <w:r w:rsidR="00D8332A">
        <w:t>3</w:t>
      </w:r>
      <w:r w:rsidRPr="002227DB">
        <w:t>). Following administration of 400 mg LUM/250 mg IVA (</w:t>
      </w:r>
      <w:r w:rsidR="00511EB7">
        <w:t>that is</w:t>
      </w:r>
      <w:r w:rsidRPr="002227DB">
        <w:t xml:space="preserve">2 × 200 mg/125 mg tablets) GLSM (90% CI) values for LUM </w:t>
      </w:r>
      <w:r w:rsidR="00511EB7" w:rsidRPr="001E1E4D">
        <w:t>C</w:t>
      </w:r>
      <w:r w:rsidR="00511EB7" w:rsidRPr="00511EB7">
        <w:rPr>
          <w:vertAlign w:val="subscript"/>
        </w:rPr>
        <w:t>max</w:t>
      </w:r>
      <w:r w:rsidRPr="002227DB">
        <w:t xml:space="preserve"> and </w:t>
      </w:r>
      <w:r w:rsidR="00511EB7" w:rsidRPr="001E1E4D">
        <w:t>AUC</w:t>
      </w:r>
      <w:r w:rsidR="00511EB7" w:rsidRPr="00511EB7">
        <w:rPr>
          <w:vertAlign w:val="subscript"/>
        </w:rPr>
        <w:t>0-inf</w:t>
      </w:r>
      <w:r w:rsidR="00511EB7">
        <w:t xml:space="preserve"> were approximately 2.2 fold (1.93, 2.57) and 1.6 </w:t>
      </w:r>
      <w:r w:rsidRPr="002227DB">
        <w:t xml:space="preserve">fold (1.42, 1.88) higher in the fed state compared to the fasted. The median </w:t>
      </w:r>
      <w:r w:rsidR="00511EB7" w:rsidRPr="001E1E4D">
        <w:t>T</w:t>
      </w:r>
      <w:r w:rsidR="00511EB7" w:rsidRPr="00511EB7">
        <w:rPr>
          <w:vertAlign w:val="subscript"/>
        </w:rPr>
        <w:t>max</w:t>
      </w:r>
      <w:r w:rsidR="00511EB7">
        <w:t xml:space="preserve"> ranged from 3.51 h to 4.00 </w:t>
      </w:r>
      <w:r w:rsidRPr="002227DB">
        <w:t xml:space="preserve">h and the mean </w:t>
      </w:r>
      <w:r w:rsidR="00511EB7">
        <w:t>t½ ranged from 26.1 h to 26.40 h.</w:t>
      </w:r>
    </w:p>
    <w:p w:rsidR="00037B46" w:rsidRDefault="00205AF9" w:rsidP="00037B46">
      <w:pPr>
        <w:pStyle w:val="Tabletitle"/>
      </w:pPr>
      <w:proofErr w:type="gramStart"/>
      <w:r>
        <w:t>Table 5.</w:t>
      </w:r>
      <w:proofErr w:type="gramEnd"/>
      <w:r>
        <w:t xml:space="preserve"> </w:t>
      </w:r>
      <w:r w:rsidR="00037B46">
        <w:t>Effect of food on lumacaftor bioavailability for the FDC tablet formulations</w:t>
      </w:r>
      <w:r w:rsidR="00795F30">
        <w:t xml:space="preserve"> Study VX13-809-012</w:t>
      </w:r>
    </w:p>
    <w:p w:rsidR="00037B46" w:rsidRDefault="00037B46" w:rsidP="00B50E2F">
      <w:r w:rsidRPr="00B50E2F">
        <w:rPr>
          <w:noProof/>
          <w:lang w:eastAsia="en-AU"/>
        </w:rPr>
        <w:drawing>
          <wp:inline distT="0" distB="0" distL="0" distR="0" wp14:anchorId="37034A85" wp14:editId="144E98C6">
            <wp:extent cx="5266944" cy="1560388"/>
            <wp:effectExtent l="0" t="0" r="0" b="1905"/>
            <wp:docPr id="8" name="Picture 8" descr="Table 5. Effect of food on lumacaftor bioavailability for the FDC tablet formulations Study VX13-809-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269722" cy="1561211"/>
                    </a:xfrm>
                    <a:prstGeom prst="rect">
                      <a:avLst/>
                    </a:prstGeom>
                  </pic:spPr>
                </pic:pic>
              </a:graphicData>
            </a:graphic>
          </wp:inline>
        </w:drawing>
      </w:r>
    </w:p>
    <w:p w:rsidR="00037B46" w:rsidRPr="00D8332A" w:rsidRDefault="00037B46" w:rsidP="00037B46">
      <w:pPr>
        <w:pStyle w:val="TableDescription"/>
      </w:pPr>
      <w:r>
        <w:t>AUC</w:t>
      </w:r>
      <w:r w:rsidRPr="00761E27">
        <w:rPr>
          <w:vertAlign w:val="subscript"/>
        </w:rPr>
        <w:t>0-∞</w:t>
      </w:r>
      <w:r>
        <w:t>: area under the concentration versus time curve (AUC) from the time of dosing extrapolated to infinity; AUC</w:t>
      </w:r>
      <w:r w:rsidRPr="00AB3949">
        <w:rPr>
          <w:vertAlign w:val="subscript"/>
        </w:rPr>
        <w:t>0-tlast</w:t>
      </w:r>
      <w:r>
        <w:t xml:space="preserve"> : AUC from the time of dosing to the time of last measurable concentration; C</w:t>
      </w:r>
      <w:r w:rsidRPr="00761E27">
        <w:rPr>
          <w:vertAlign w:val="subscript"/>
        </w:rPr>
        <w:t>max</w:t>
      </w:r>
      <w:r>
        <w:t>: maximum observed concentration; FDC: fixed dose combination; Formulation A: 200 mg lumacaftor/ 125 mg ivacaftor, Formulation B: 200 mg lumacaftor/ 83 mg ivacaftor; GLSMR: geometric least squares mean ratio;; n: number of subjects; Notes: For C</w:t>
      </w:r>
      <w:r w:rsidRPr="00037B46">
        <w:rPr>
          <w:vertAlign w:val="subscript"/>
        </w:rPr>
        <w:t>max</w:t>
      </w:r>
      <w:r>
        <w:t xml:space="preserve"> and AUC</w:t>
      </w:r>
      <w:r w:rsidRPr="00AB3949">
        <w:rPr>
          <w:vertAlign w:val="subscript"/>
        </w:rPr>
        <w:t>0-tlast</w:t>
      </w:r>
      <w:r>
        <w:rPr>
          <w:vertAlign w:val="subscript"/>
        </w:rPr>
        <w:t xml:space="preserve"> </w:t>
      </w:r>
      <w:r w:rsidRPr="00037B46">
        <w:t>n = 14 for both</w:t>
      </w:r>
      <w:r>
        <w:t xml:space="preserve"> Formulation A and Formulation B in the fed and fasted conditions; for AUC</w:t>
      </w:r>
      <w:r w:rsidRPr="00761E27">
        <w:rPr>
          <w:vertAlign w:val="subscript"/>
        </w:rPr>
        <w:t>0-∞</w:t>
      </w:r>
      <w:r>
        <w:rPr>
          <w:vertAlign w:val="subscript"/>
        </w:rPr>
        <w:t xml:space="preserve"> n = 12 for Formulation A in the fed condition, </w:t>
      </w:r>
      <w:r>
        <w:t>n = 11 for Formulation A in the fasted condition n = 11 for For</w:t>
      </w:r>
      <w:r w:rsidR="00795F30">
        <w:t>mulation B in the fed condition</w:t>
      </w:r>
      <w:r>
        <w:t xml:space="preserve"> and n = 12 for Formulation B in the fasted condition</w:t>
      </w:r>
      <w:r w:rsidR="00795F30">
        <w:t>.</w:t>
      </w:r>
    </w:p>
    <w:p w:rsidR="002227DB" w:rsidRDefault="002227DB" w:rsidP="002227DB">
      <w:r w:rsidRPr="002227DB">
        <w:t>For the IVA component, following administration of a single oral dose of 600 mg LUM/250 mg IVA (</w:t>
      </w:r>
      <w:r w:rsidR="00511EB7">
        <w:t>that is</w:t>
      </w:r>
      <w:r w:rsidRPr="002227DB">
        <w:t xml:space="preserve">3 × 200 mg/83 mg) under fed conditions, the GLSM (90% CI) values for </w:t>
      </w:r>
      <w:r w:rsidR="00511EB7" w:rsidRPr="001E1E4D">
        <w:t>C</w:t>
      </w:r>
      <w:r w:rsidR="00511EB7" w:rsidRPr="00511EB7">
        <w:rPr>
          <w:vertAlign w:val="subscript"/>
        </w:rPr>
        <w:t>max</w:t>
      </w:r>
      <w:r w:rsidRPr="002227DB">
        <w:t xml:space="preserve"> and </w:t>
      </w:r>
      <w:r w:rsidR="00511EB7" w:rsidRPr="001E1E4D">
        <w:t>AUC</w:t>
      </w:r>
      <w:r w:rsidR="00511EB7" w:rsidRPr="00511EB7">
        <w:rPr>
          <w:vertAlign w:val="subscript"/>
        </w:rPr>
        <w:t>0-inf</w:t>
      </w:r>
      <w:r w:rsidR="00511EB7">
        <w:t xml:space="preserve"> were approximately 5.2 </w:t>
      </w:r>
      <w:r w:rsidRPr="002227DB">
        <w:t>f</w:t>
      </w:r>
      <w:r w:rsidR="00511EB7">
        <w:t xml:space="preserve">old higher (4.15, 6.48) and 3.4 </w:t>
      </w:r>
      <w:r w:rsidRPr="002227DB">
        <w:t>fold higher (3.01, 3.83), respectively, than in the fasted state (</w:t>
      </w:r>
      <w:r w:rsidR="00795F30">
        <w:t>Table 6</w:t>
      </w:r>
      <w:r w:rsidRPr="002227DB">
        <w:t xml:space="preserve">). The median </w:t>
      </w:r>
      <w:r w:rsidR="00511EB7" w:rsidRPr="001E1E4D">
        <w:t>T</w:t>
      </w:r>
      <w:r w:rsidR="00511EB7" w:rsidRPr="00511EB7">
        <w:rPr>
          <w:vertAlign w:val="subscript"/>
        </w:rPr>
        <w:t>max</w:t>
      </w:r>
      <w:r w:rsidRPr="002227DB">
        <w:t xml:space="preserve"> ranged from 3.00 h to 3.02 h and the mean </w:t>
      </w:r>
      <w:r w:rsidR="00511EB7">
        <w:t>t½</w:t>
      </w:r>
      <w:r w:rsidRPr="002227DB">
        <w:t xml:space="preserve"> ranged from 13.44 h to 8.18 h </w:t>
      </w:r>
      <w:r w:rsidRPr="0057618D">
        <w:t>(</w:t>
      </w:r>
      <w:r w:rsidR="0057618D" w:rsidRPr="0057618D">
        <w:t>Table 4</w:t>
      </w:r>
      <w:r w:rsidRPr="0057618D">
        <w:t>).</w:t>
      </w:r>
      <w:r w:rsidRPr="002227DB">
        <w:t xml:space="preserve"> Following administration of 400 mg LUM/250 mg IVA (</w:t>
      </w:r>
      <w:r w:rsidR="00511EB7">
        <w:t>that is</w:t>
      </w:r>
      <w:r w:rsidRPr="002227DB">
        <w:t xml:space="preserve">2 × 200 mg/125 mg) GLSM (90% CI) values for IVA </w:t>
      </w:r>
      <w:r w:rsidR="00511EB7" w:rsidRPr="001E1E4D">
        <w:t>C</w:t>
      </w:r>
      <w:r w:rsidR="00511EB7" w:rsidRPr="00511EB7">
        <w:rPr>
          <w:vertAlign w:val="subscript"/>
        </w:rPr>
        <w:t>max</w:t>
      </w:r>
      <w:r w:rsidRPr="002227DB">
        <w:t xml:space="preserve"> and </w:t>
      </w:r>
      <w:r w:rsidR="00511EB7" w:rsidRPr="001E1E4D">
        <w:t>AUC</w:t>
      </w:r>
      <w:r w:rsidR="00511EB7" w:rsidRPr="00511EB7">
        <w:rPr>
          <w:vertAlign w:val="subscript"/>
        </w:rPr>
        <w:t>0-inf</w:t>
      </w:r>
      <w:r w:rsidR="00511EB7">
        <w:t xml:space="preserve"> were approximately 3.7 fold (3.00, 4.56) and 2.5 </w:t>
      </w:r>
      <w:r w:rsidRPr="002227DB">
        <w:t xml:space="preserve">fold (2.22, 2.88) higher in the fed state compared to the fasted. The median </w:t>
      </w:r>
      <w:r w:rsidR="00511EB7" w:rsidRPr="001E1E4D">
        <w:t>T</w:t>
      </w:r>
      <w:r w:rsidR="00511EB7" w:rsidRPr="00511EB7">
        <w:rPr>
          <w:vertAlign w:val="subscript"/>
        </w:rPr>
        <w:t>max</w:t>
      </w:r>
      <w:r w:rsidRPr="002227DB">
        <w:t xml:space="preserve"> ranged from 3.00 h to 4.00 h and the mean </w:t>
      </w:r>
      <w:r w:rsidR="00511EB7">
        <w:t>t½</w:t>
      </w:r>
      <w:r w:rsidRPr="002227DB">
        <w:t xml:space="preserve"> ranged from 12.66 h to 9.43 h.</w:t>
      </w:r>
    </w:p>
    <w:p w:rsidR="00795F30" w:rsidRDefault="00795F30" w:rsidP="00795F30">
      <w:pPr>
        <w:pStyle w:val="Tabletitle"/>
      </w:pPr>
      <w:proofErr w:type="gramStart"/>
      <w:r>
        <w:lastRenderedPageBreak/>
        <w:t>Table 6</w:t>
      </w:r>
      <w:r w:rsidR="006B0155">
        <w:t>.</w:t>
      </w:r>
      <w:proofErr w:type="gramEnd"/>
      <w:r>
        <w:t xml:space="preserve"> </w:t>
      </w:r>
      <w:r w:rsidR="00B50E2F">
        <w:t>Effect of f</w:t>
      </w:r>
      <w:r>
        <w:t>ood on Ivacaftor bioavailability for the FDC tablet formulations Study VX13-809-012</w:t>
      </w:r>
    </w:p>
    <w:p w:rsidR="00795F30" w:rsidRDefault="00795F30" w:rsidP="00B50E2F">
      <w:r w:rsidRPr="00B50E2F">
        <w:rPr>
          <w:noProof/>
          <w:lang w:eastAsia="en-AU"/>
        </w:rPr>
        <w:drawing>
          <wp:inline distT="0" distB="0" distL="0" distR="0" wp14:anchorId="2647B035" wp14:editId="273FB7A6">
            <wp:extent cx="5288890" cy="1530727"/>
            <wp:effectExtent l="0" t="0" r="7620" b="0"/>
            <wp:docPr id="9" name="Picture 9" descr="Table 6. Effect of Food on Ivacaftor bioavailability for the FDC tablet formulations Study VX13-809-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285564" cy="1529764"/>
                    </a:xfrm>
                    <a:prstGeom prst="rect">
                      <a:avLst/>
                    </a:prstGeom>
                  </pic:spPr>
                </pic:pic>
              </a:graphicData>
            </a:graphic>
          </wp:inline>
        </w:drawing>
      </w:r>
    </w:p>
    <w:p w:rsidR="00795F30" w:rsidRPr="00795F30" w:rsidRDefault="00795F30" w:rsidP="00795F30">
      <w:pPr>
        <w:pStyle w:val="TableDescription"/>
      </w:pPr>
      <w:r>
        <w:t>AUC</w:t>
      </w:r>
      <w:r w:rsidRPr="00761E27">
        <w:rPr>
          <w:vertAlign w:val="subscript"/>
        </w:rPr>
        <w:t>0-∞</w:t>
      </w:r>
      <w:r>
        <w:t>: area under the concentration versus time curve (AUC) from the time of dosing extrapolated to infinity; AUC</w:t>
      </w:r>
      <w:r w:rsidRPr="00AB3949">
        <w:rPr>
          <w:vertAlign w:val="subscript"/>
        </w:rPr>
        <w:t>0-tlast</w:t>
      </w:r>
      <w:r>
        <w:t xml:space="preserve"> : AUC from the time of dosing to the time of last measurable concentration; C</w:t>
      </w:r>
      <w:r w:rsidRPr="00761E27">
        <w:rPr>
          <w:vertAlign w:val="subscript"/>
        </w:rPr>
        <w:t>max</w:t>
      </w:r>
      <w:r>
        <w:t>: maximum observed concentration; FDC: fixed dose combination; Formulation A: 200 mg lumacaftor/ 125 mg ivacaftor, Formulation B: 200 mg lumacaftor/ 83 mg ivacaftor; GLSMR: geometric least squares mean ratio;; n: number of subjects; Notes: For C</w:t>
      </w:r>
      <w:r w:rsidRPr="00037B46">
        <w:rPr>
          <w:vertAlign w:val="subscript"/>
        </w:rPr>
        <w:t>max</w:t>
      </w:r>
      <w:r>
        <w:t xml:space="preserve"> and AUC</w:t>
      </w:r>
      <w:r w:rsidRPr="00AB3949">
        <w:rPr>
          <w:vertAlign w:val="subscript"/>
        </w:rPr>
        <w:t>0-tlast</w:t>
      </w:r>
      <w:r>
        <w:rPr>
          <w:vertAlign w:val="subscript"/>
        </w:rPr>
        <w:t xml:space="preserve"> </w:t>
      </w:r>
      <w:r w:rsidRPr="00037B46">
        <w:t>n = 14 for both</w:t>
      </w:r>
      <w:r>
        <w:t xml:space="preserve"> Formulation A and Formulation B in the fed and fasted conditions; for AUC</w:t>
      </w:r>
      <w:r w:rsidRPr="00761E27">
        <w:rPr>
          <w:vertAlign w:val="subscript"/>
        </w:rPr>
        <w:t>0-∞</w:t>
      </w:r>
      <w:r>
        <w:rPr>
          <w:vertAlign w:val="subscript"/>
        </w:rPr>
        <w:t xml:space="preserve"> n = 12 for Formulation A in the fed condition, </w:t>
      </w:r>
      <w:r>
        <w:t>n = 14 for Formulation A  and Formulation B in the fed condition and Formulation B in the fasted condition and n = 13 for Formulation A in the fasted condition.</w:t>
      </w:r>
    </w:p>
    <w:p w:rsidR="002227DB" w:rsidRPr="002227DB" w:rsidRDefault="00511EB7" w:rsidP="002227DB">
      <w:pPr>
        <w:pStyle w:val="Heading6"/>
      </w:pPr>
      <w:r>
        <w:t>Dose proportionality</w:t>
      </w:r>
    </w:p>
    <w:p w:rsidR="002227DB" w:rsidRPr="002227DB" w:rsidRDefault="002227DB" w:rsidP="002227DB">
      <w:r w:rsidRPr="002227DB">
        <w:t>Studies VX12-809-00</w:t>
      </w:r>
      <w:r w:rsidR="0057618D">
        <w:t>8 and VX07-809-001</w:t>
      </w:r>
      <w:r w:rsidRPr="002227DB">
        <w:t xml:space="preserve"> examined dose proportionality following a single administration of a range of LUM doses of both the LUM tablet and suspension formulations; however, the study most relevant to the current application was </w:t>
      </w:r>
      <w:r w:rsidR="00980975">
        <w:t>Study</w:t>
      </w:r>
      <w:r w:rsidRPr="002227DB">
        <w:t xml:space="preserve"> VX13-809-012. The results for this study in regards to dose proportionality have already been discussed </w:t>
      </w:r>
      <w:r w:rsidR="00511EB7">
        <w:t>above.</w:t>
      </w:r>
    </w:p>
    <w:p w:rsidR="002227DB" w:rsidRPr="002227DB" w:rsidRDefault="002227DB" w:rsidP="002227DB">
      <w:pPr>
        <w:pStyle w:val="Heading6"/>
      </w:pPr>
      <w:r w:rsidRPr="002227DB">
        <w:t>Bioavai</w:t>
      </w:r>
      <w:r w:rsidR="00511EB7">
        <w:t>lability during multiple dosing</w:t>
      </w:r>
    </w:p>
    <w:p w:rsidR="00795496" w:rsidRDefault="002227DB" w:rsidP="002227DB">
      <w:r w:rsidRPr="002227DB">
        <w:t xml:space="preserve">No studies specifically examined the bioavailability of LUM and IVA following multiple </w:t>
      </w:r>
      <w:proofErr w:type="gramStart"/>
      <w:r w:rsidRPr="002227DB">
        <w:t>dose</w:t>
      </w:r>
      <w:proofErr w:type="gramEnd"/>
      <w:r w:rsidRPr="002227DB">
        <w:t xml:space="preserve"> of the FDC formulations in healthy subjects; however, a number of </w:t>
      </w:r>
      <w:r w:rsidR="00980975">
        <w:t>Studies</w:t>
      </w:r>
      <w:r w:rsidRPr="002227DB">
        <w:t xml:space="preserve"> (VX08-809-005, VX10-809-006, VX12-809-008 Part B</w:t>
      </w:r>
      <w:r w:rsidR="00795F30">
        <w:t>, VX12-809-009</w:t>
      </w:r>
      <w:r w:rsidRPr="002227DB">
        <w:t xml:space="preserve"> and VX13-809-010) examined the PKs of LUM and IVA following multiple doses of the free combination in healthy subjects. The dose, duration and principal PK results for LUM and IVA from these studies </w:t>
      </w:r>
      <w:r w:rsidR="005204D4">
        <w:t>were</w:t>
      </w:r>
      <w:r w:rsidRPr="002227DB">
        <w:t xml:space="preserve"> summarised. These studies examined a range of LUM and IVA dose strengths and 2 dose regimens for LUM administration (QD and q12h) and q12h dosing for IVA. Across these studies the median </w:t>
      </w:r>
      <w:r w:rsidR="00511EB7" w:rsidRPr="001E1E4D">
        <w:t>T</w:t>
      </w:r>
      <w:r w:rsidR="00511EB7" w:rsidRPr="00511EB7">
        <w:rPr>
          <w:vertAlign w:val="subscript"/>
        </w:rPr>
        <w:t>max</w:t>
      </w:r>
      <w:r w:rsidRPr="002227DB">
        <w:t xml:space="preserve"> values for LUM after multiple doses ranged from 2.00 h to 6.00 h and for IVA ranged from 2.00 h to 4.00 h. LUM </w:t>
      </w:r>
      <w:r w:rsidR="00511EB7">
        <w:t>t½</w:t>
      </w:r>
      <w:r w:rsidRPr="002227DB">
        <w:t xml:space="preserve"> values (where calculated) ranged from 22.4 h to 26.3 h and for LUM ranged from 4.9 h to 11.9 h. Following multiple doses of LUM/IVA, the accumulation ratios for LUM,</w:t>
      </w:r>
      <w:r w:rsidR="00511EB7">
        <w:t xml:space="preserve"> based on AUC, ranged from 1.55 fold to 1.9 </w:t>
      </w:r>
      <w:r w:rsidRPr="002227DB">
        <w:t xml:space="preserve">fold </w:t>
      </w:r>
      <w:r w:rsidR="00511EB7">
        <w:t xml:space="preserve">and for IVA ranged from 0.38 fold to 0.74 </w:t>
      </w:r>
      <w:r w:rsidRPr="002227DB">
        <w:t>fold. Steady levels of LUM and IVA were attained following approximately 7 days for LUM (</w:t>
      </w:r>
      <w:r w:rsidR="006B0155" w:rsidRPr="006B0155">
        <w:t>Figure 3</w:t>
      </w:r>
      <w:r w:rsidR="005204D4">
        <w:t>)</w:t>
      </w:r>
      <w:r w:rsidRPr="002227DB">
        <w:t xml:space="preserve"> and from 7 to 14 days for IVA (</w:t>
      </w:r>
      <w:r w:rsidR="00295A83">
        <w:t>Figure</w:t>
      </w:r>
      <w:r w:rsidRPr="006B0155">
        <w:t xml:space="preserve"> </w:t>
      </w:r>
      <w:r w:rsidR="00295A83">
        <w:t>4</w:t>
      </w:r>
      <w:r w:rsidR="00511EB7">
        <w:t>).</w:t>
      </w:r>
    </w:p>
    <w:p w:rsidR="00795496" w:rsidRDefault="005204D4" w:rsidP="005204D4">
      <w:pPr>
        <w:pStyle w:val="FigureTitle"/>
        <w:keepNext/>
      </w:pPr>
      <w:proofErr w:type="gramStart"/>
      <w:r>
        <w:lastRenderedPageBreak/>
        <w:t>Figure</w:t>
      </w:r>
      <w:r w:rsidR="006B0155">
        <w:t xml:space="preserve"> 3.</w:t>
      </w:r>
      <w:proofErr w:type="gramEnd"/>
      <w:r w:rsidR="006B0155">
        <w:t xml:space="preserve"> </w:t>
      </w:r>
      <w:r>
        <w:t xml:space="preserve">Study VX08-809-005. Mean </w:t>
      </w:r>
      <w:r w:rsidR="00B50E2F">
        <w:t>lumacaftor</w:t>
      </w:r>
      <w:r w:rsidR="00B50E2F" w:rsidRPr="00B50E2F">
        <w:t xml:space="preserve"> </w:t>
      </w:r>
      <w:r w:rsidR="00B50E2F">
        <w:t>(VX-809)</w:t>
      </w:r>
      <w:r>
        <w:t xml:space="preserve"> trough plasma concentration-time profiles after administration of VX-809 alone and with </w:t>
      </w:r>
      <w:r w:rsidR="00B50E2F">
        <w:t>ivacaftor (</w:t>
      </w:r>
      <w:r>
        <w:t>VX-770</w:t>
      </w:r>
      <w:r w:rsidR="00B50E2F">
        <w:t>)</w:t>
      </w:r>
      <w:r>
        <w:t xml:space="preserve"> for 14 days</w:t>
      </w:r>
    </w:p>
    <w:p w:rsidR="005204D4" w:rsidRDefault="005204D4" w:rsidP="002227DB">
      <w:r>
        <w:rPr>
          <w:noProof/>
          <w:lang w:eastAsia="en-AU"/>
        </w:rPr>
        <w:drawing>
          <wp:inline distT="0" distB="0" distL="0" distR="0" wp14:anchorId="52751F57" wp14:editId="724023BF">
            <wp:extent cx="3619500" cy="2657475"/>
            <wp:effectExtent l="0" t="0" r="0" b="9525"/>
            <wp:docPr id="11" name="Picture 11" descr="Figure 3. Study VX08-809-005. Mean lumacaftor (VX-809) trough plasma concentration-time profiles after administration of VX-809 alone and with ivacaftor (VX-770) for 14 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3619500" cy="2657475"/>
                    </a:xfrm>
                    <a:prstGeom prst="rect">
                      <a:avLst/>
                    </a:prstGeom>
                  </pic:spPr>
                </pic:pic>
              </a:graphicData>
            </a:graphic>
          </wp:inline>
        </w:drawing>
      </w:r>
    </w:p>
    <w:p w:rsidR="005204D4" w:rsidRDefault="005204D4" w:rsidP="005204D4">
      <w:pPr>
        <w:pStyle w:val="FigureTitle"/>
        <w:keepNext/>
      </w:pPr>
      <w:proofErr w:type="gramStart"/>
      <w:r>
        <w:t>Figure</w:t>
      </w:r>
      <w:r w:rsidR="00295A83">
        <w:t xml:space="preserve"> 4.</w:t>
      </w:r>
      <w:proofErr w:type="gramEnd"/>
      <w:r>
        <w:t xml:space="preserve"> Study VX08-005 Mean </w:t>
      </w:r>
      <w:r w:rsidR="00295A83">
        <w:t>ivacaftor (</w:t>
      </w:r>
      <w:r>
        <w:t>VX-770</w:t>
      </w:r>
      <w:r w:rsidR="00295A83">
        <w:t>)</w:t>
      </w:r>
      <w:r>
        <w:t xml:space="preserve"> trough plasma concentrations time profiles after administration of VX-770 alone and with </w:t>
      </w:r>
      <w:r w:rsidR="00295A83">
        <w:t>lumacaftor (</w:t>
      </w:r>
      <w:r>
        <w:t>VX-809</w:t>
      </w:r>
      <w:r w:rsidR="00295A83">
        <w:t>)</w:t>
      </w:r>
      <w:r>
        <w:t xml:space="preserve"> for 14 days</w:t>
      </w:r>
    </w:p>
    <w:p w:rsidR="005204D4" w:rsidRDefault="005204D4" w:rsidP="002227DB">
      <w:r>
        <w:rPr>
          <w:noProof/>
          <w:lang w:eastAsia="en-AU"/>
        </w:rPr>
        <w:drawing>
          <wp:inline distT="0" distB="0" distL="0" distR="0" wp14:anchorId="21A839BE" wp14:editId="4DBC0251">
            <wp:extent cx="3877056" cy="2857534"/>
            <wp:effectExtent l="0" t="0" r="9525" b="0"/>
            <wp:docPr id="12" name="Picture 12" descr="Figure 4. Study VX08-005 Mean ivacaftor (VX-770) trough plasma concentrations time profiles after administration of VX-770 alone and with lumacaftor (VX-809) for 14 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Lst>
                    </a:blip>
                    <a:stretch>
                      <a:fillRect/>
                    </a:stretch>
                  </pic:blipFill>
                  <pic:spPr>
                    <a:xfrm>
                      <a:off x="0" y="0"/>
                      <a:ext cx="3878771" cy="2858798"/>
                    </a:xfrm>
                    <a:prstGeom prst="rect">
                      <a:avLst/>
                    </a:prstGeom>
                  </pic:spPr>
                </pic:pic>
              </a:graphicData>
            </a:graphic>
          </wp:inline>
        </w:drawing>
      </w:r>
    </w:p>
    <w:p w:rsidR="002227DB" w:rsidRPr="002227DB" w:rsidRDefault="00511EB7" w:rsidP="002227DB">
      <w:pPr>
        <w:pStyle w:val="Heading6"/>
      </w:pPr>
      <w:r>
        <w:t>Effect of administration timing</w:t>
      </w:r>
    </w:p>
    <w:p w:rsidR="002227DB" w:rsidRPr="002227DB" w:rsidRDefault="002227DB" w:rsidP="002227DB">
      <w:r w:rsidRPr="002227DB">
        <w:t xml:space="preserve">The pooled analysis of Cohorts 2 and 3 undertaken in </w:t>
      </w:r>
      <w:r w:rsidR="00980975">
        <w:t>Study</w:t>
      </w:r>
      <w:r w:rsidRPr="002227DB">
        <w:t xml:space="preserve"> VX09-809-102 examined the effect of LUM dose strength and the timing of LUM dose on the PKs of LUM and IVA</w:t>
      </w:r>
      <w:r>
        <w:t xml:space="preserve"> </w:t>
      </w:r>
      <w:r w:rsidRPr="002227DB">
        <w:t>following administration of the free combination to the target population (</w:t>
      </w:r>
      <w:r w:rsidR="00511EB7">
        <w:t xml:space="preserve">that is; </w:t>
      </w:r>
      <w:r w:rsidRPr="002227DB">
        <w:t>patients with CF who</w:t>
      </w:r>
      <w:r>
        <w:t xml:space="preserve"> </w:t>
      </w:r>
      <w:r w:rsidRPr="002227DB">
        <w:t xml:space="preserve">were homozygous for the F508del-CFTR mutation). Following doses of 400 mg LUM QD/250 mg IVA q12h, 600 mg LUM QD/250 mg IVA q12h or 400 mg LUM q12h/250 mg IVA q12h, the LUM </w:t>
      </w:r>
      <w:r w:rsidR="00511EB7" w:rsidRPr="002227DB">
        <w:t>AUC</w:t>
      </w:r>
      <w:r w:rsidR="00511EB7" w:rsidRPr="00511EB7">
        <w:rPr>
          <w:vertAlign w:val="subscript"/>
        </w:rPr>
        <w:t>0-24</w:t>
      </w:r>
      <w:r w:rsidRPr="002227DB">
        <w:t xml:space="preserve"> values were 219, 290 and 371 </w:t>
      </w:r>
      <w:r w:rsidR="00511EB7">
        <w:t>µ</w:t>
      </w:r>
      <w:r w:rsidRPr="002227DB">
        <w:t xml:space="preserve">g.h/mL, respectively, and the LUM </w:t>
      </w:r>
      <w:r w:rsidR="00511EB7" w:rsidRPr="002227DB">
        <w:t>C</w:t>
      </w:r>
      <w:r w:rsidR="00511EB7" w:rsidRPr="00511EB7">
        <w:rPr>
          <w:vertAlign w:val="subscript"/>
        </w:rPr>
        <w:t>min</w:t>
      </w:r>
      <w:r w:rsidRPr="002227DB">
        <w:t xml:space="preserve"> values were 4.08, 5.33 and 9.76 </w:t>
      </w:r>
      <w:r w:rsidR="00511EB7">
        <w:t>µ</w:t>
      </w:r>
      <w:r w:rsidR="00511EB7" w:rsidRPr="002227DB">
        <w:t>g</w:t>
      </w:r>
      <w:r w:rsidRPr="002227DB">
        <w:t xml:space="preserve">/mL </w:t>
      </w:r>
      <w:r w:rsidRPr="006B0155">
        <w:t xml:space="preserve">(Table </w:t>
      </w:r>
      <w:r w:rsidR="006B0155" w:rsidRPr="006B0155">
        <w:t>7</w:t>
      </w:r>
      <w:r w:rsidRPr="002227DB">
        <w:t xml:space="preserve">). The corresponding IVA </w:t>
      </w:r>
      <w:r w:rsidR="00511EB7" w:rsidRPr="002227DB">
        <w:t>AUC</w:t>
      </w:r>
      <w:r w:rsidR="00511EB7" w:rsidRPr="00511EB7">
        <w:rPr>
          <w:vertAlign w:val="subscript"/>
        </w:rPr>
        <w:t>τ</w:t>
      </w:r>
      <w:r w:rsidRPr="002227DB">
        <w:t xml:space="preserve"> values were 3.8, 3.83 and 2.56 </w:t>
      </w:r>
      <w:r w:rsidR="00511EB7">
        <w:t>µ</w:t>
      </w:r>
      <w:r w:rsidR="00511EB7" w:rsidRPr="002227DB">
        <w:t>g</w:t>
      </w:r>
      <w:r w:rsidRPr="002227DB">
        <w:t xml:space="preserve">.h/mL, respectively, and IVA </w:t>
      </w:r>
      <w:r w:rsidR="00511EB7" w:rsidRPr="002227DB">
        <w:t>C</w:t>
      </w:r>
      <w:r w:rsidR="00511EB7" w:rsidRPr="00511EB7">
        <w:rPr>
          <w:vertAlign w:val="subscript"/>
        </w:rPr>
        <w:t>min</w:t>
      </w:r>
      <w:r w:rsidRPr="002227DB">
        <w:t xml:space="preserve"> values were 0.125, 0.102 and 0.078 </w:t>
      </w:r>
      <w:r w:rsidR="00511EB7">
        <w:t>µ</w:t>
      </w:r>
      <w:r w:rsidR="00511EB7" w:rsidRPr="002227DB">
        <w:t>g</w:t>
      </w:r>
      <w:r w:rsidR="00052908">
        <w:t>/mL</w:t>
      </w:r>
      <w:r w:rsidRPr="002227DB">
        <w:t xml:space="preserve"> respectively. These results indicate that compared to the 600 mg LUM QD/250 mg IVA q12h dose, the LUM AUC and </w:t>
      </w:r>
      <w:r w:rsidR="00511EB7" w:rsidRPr="002227DB">
        <w:t>C</w:t>
      </w:r>
      <w:r w:rsidR="00511EB7" w:rsidRPr="00511EB7">
        <w:rPr>
          <w:vertAlign w:val="subscript"/>
        </w:rPr>
        <w:t>min</w:t>
      </w:r>
      <w:r w:rsidRPr="002227DB">
        <w:t xml:space="preserve"> values were 1.28</w:t>
      </w:r>
      <w:r w:rsidR="00511EB7">
        <w:t xml:space="preserve"> fold</w:t>
      </w:r>
      <w:r w:rsidRPr="002227DB">
        <w:t xml:space="preserve"> and 1.83</w:t>
      </w:r>
      <w:r w:rsidR="00511EB7">
        <w:t xml:space="preserve"> fold</w:t>
      </w:r>
      <w:r w:rsidRPr="002227DB">
        <w:t xml:space="preserve"> higher, respectively, following the 400 mg LUM </w:t>
      </w:r>
      <w:r w:rsidRPr="002227DB">
        <w:lastRenderedPageBreak/>
        <w:t xml:space="preserve">q12h/250 mg IVA q12h dose, whereas, the IVA AUC and </w:t>
      </w:r>
      <w:r w:rsidR="00511EB7" w:rsidRPr="002227DB">
        <w:t>C</w:t>
      </w:r>
      <w:r w:rsidR="00511EB7" w:rsidRPr="00511EB7">
        <w:rPr>
          <w:vertAlign w:val="subscript"/>
        </w:rPr>
        <w:t>min</w:t>
      </w:r>
      <w:r w:rsidRPr="002227DB">
        <w:t xml:space="preserve"> values were 33% and 24% lower following twice daily dosing with 400 mg </w:t>
      </w:r>
      <w:r w:rsidRPr="006B0155">
        <w:t xml:space="preserve">LUM (Table </w:t>
      </w:r>
      <w:r w:rsidR="00295A83">
        <w:t>8</w:t>
      </w:r>
      <w:r w:rsidRPr="00295A83">
        <w:t>)</w:t>
      </w:r>
      <w:r w:rsidR="00511EB7" w:rsidRPr="00295A83">
        <w:t>.</w:t>
      </w:r>
    </w:p>
    <w:p w:rsidR="002227DB" w:rsidRDefault="002227DB" w:rsidP="002227DB">
      <w:r w:rsidRPr="002227DB">
        <w:t xml:space="preserve">During </w:t>
      </w:r>
      <w:r w:rsidR="00980975">
        <w:t>Study</w:t>
      </w:r>
      <w:r w:rsidRPr="002227DB">
        <w:t xml:space="preserve"> VX08-809-005, evening PK samples were collected in addition to the samples taken after the morning dose of IVA to allow an assessment of the potential diurnal variation of IVA; however, no discernible differences in plasma</w:t>
      </w:r>
      <w:r w:rsidR="00204B0C">
        <w:t xml:space="preserve"> exposures to IVA were observed</w:t>
      </w:r>
      <w:r w:rsidR="00511EB7">
        <w:t>.</w:t>
      </w:r>
    </w:p>
    <w:p w:rsidR="00204B0C" w:rsidRDefault="00204B0C" w:rsidP="00204B0C">
      <w:pPr>
        <w:pStyle w:val="Tabletitle"/>
      </w:pPr>
      <w:proofErr w:type="gramStart"/>
      <w:r>
        <w:t>Table</w:t>
      </w:r>
      <w:r w:rsidR="006B0155">
        <w:t xml:space="preserve"> 7.</w:t>
      </w:r>
      <w:proofErr w:type="gramEnd"/>
      <w:r w:rsidR="006B0155">
        <w:t xml:space="preserve"> </w:t>
      </w:r>
      <w:r>
        <w:t xml:space="preserve">Effect of </w:t>
      </w:r>
      <w:r w:rsidR="008D012F">
        <w:t>timing</w:t>
      </w:r>
      <w:r>
        <w:t xml:space="preserve"> of LUM administration on LUM and IVA PK parameters by Treatment (Cohort 2 and Cohort 3)</w:t>
      </w:r>
      <w:r w:rsidR="00295A83">
        <w:t xml:space="preserve"> </w:t>
      </w:r>
      <w:r>
        <w:t>Study VX09-809-102</w:t>
      </w:r>
    </w:p>
    <w:p w:rsidR="00204B0C" w:rsidRDefault="00204B0C" w:rsidP="002227DB">
      <w:r>
        <w:rPr>
          <w:noProof/>
          <w:lang w:eastAsia="en-AU"/>
        </w:rPr>
        <w:drawing>
          <wp:inline distT="0" distB="0" distL="0" distR="0" wp14:anchorId="40B1C487" wp14:editId="7ECD467B">
            <wp:extent cx="5632704" cy="1300456"/>
            <wp:effectExtent l="0" t="0" r="6350" b="0"/>
            <wp:docPr id="13" name="Picture 13" descr="Table 7. Effect of timing of LUM administration on LUM and IVA PK parameters by Treatment (Cohort 2 and Cohort 3) Study VX09-809-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644792" cy="1303247"/>
                    </a:xfrm>
                    <a:prstGeom prst="rect">
                      <a:avLst/>
                    </a:prstGeom>
                  </pic:spPr>
                </pic:pic>
              </a:graphicData>
            </a:graphic>
          </wp:inline>
        </w:drawing>
      </w:r>
    </w:p>
    <w:p w:rsidR="00204B0C" w:rsidRDefault="00204B0C" w:rsidP="00204B0C">
      <w:pPr>
        <w:pStyle w:val="Tabletitle"/>
      </w:pPr>
      <w:proofErr w:type="gramStart"/>
      <w:r>
        <w:t>Table</w:t>
      </w:r>
      <w:r w:rsidR="00295A83">
        <w:t xml:space="preserve"> 8.</w:t>
      </w:r>
      <w:proofErr w:type="gramEnd"/>
      <w:r>
        <w:t xml:space="preserve"> Study VX09-809-102 Relative LUM and IVA AUC and C</w:t>
      </w:r>
      <w:r w:rsidRPr="00204B0C">
        <w:rPr>
          <w:vertAlign w:val="subscript"/>
        </w:rPr>
        <w:t>min</w:t>
      </w:r>
      <w:r>
        <w:t xml:space="preserve"> following different LUM doses and timing of LUM doses</w:t>
      </w:r>
    </w:p>
    <w:p w:rsidR="00204B0C" w:rsidRDefault="00204B0C" w:rsidP="00204B0C">
      <w:r>
        <w:rPr>
          <w:noProof/>
          <w:lang w:eastAsia="en-AU"/>
        </w:rPr>
        <w:drawing>
          <wp:inline distT="0" distB="0" distL="0" distR="0" wp14:anchorId="2415DBEA" wp14:editId="75A263D1">
            <wp:extent cx="4601261" cy="1666482"/>
            <wp:effectExtent l="0" t="0" r="8890" b="0"/>
            <wp:docPr id="14" name="Picture 14" descr="Table 8. Study VX09-809-102 Relative LUM and IVA AUC and Cmin following different LUM doses and timing of LUM d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598367" cy="1665434"/>
                    </a:xfrm>
                    <a:prstGeom prst="rect">
                      <a:avLst/>
                    </a:prstGeom>
                  </pic:spPr>
                </pic:pic>
              </a:graphicData>
            </a:graphic>
          </wp:inline>
        </w:drawing>
      </w:r>
    </w:p>
    <w:p w:rsidR="00204B0C" w:rsidRPr="00204B0C" w:rsidRDefault="00204B0C" w:rsidP="00204B0C">
      <w:pPr>
        <w:pStyle w:val="TableDescription"/>
      </w:pPr>
      <w:proofErr w:type="gramStart"/>
      <w:r w:rsidRPr="00204B0C">
        <w:rPr>
          <w:vertAlign w:val="superscript"/>
        </w:rPr>
        <w:t>a</w:t>
      </w:r>
      <w:proofErr w:type="gramEnd"/>
      <w:r>
        <w:t xml:space="preserve"> values represent the ratio of test: reference</w:t>
      </w:r>
    </w:p>
    <w:p w:rsidR="002227DB" w:rsidRPr="002227DB" w:rsidRDefault="00511EB7" w:rsidP="002227DB">
      <w:pPr>
        <w:pStyle w:val="Heading5"/>
      </w:pPr>
      <w:r>
        <w:t>Distribution</w:t>
      </w:r>
    </w:p>
    <w:p w:rsidR="002227DB" w:rsidRPr="002227DB" w:rsidRDefault="00511EB7" w:rsidP="002227DB">
      <w:pPr>
        <w:pStyle w:val="Heading6"/>
      </w:pPr>
      <w:r>
        <w:t>Volume of distribution</w:t>
      </w:r>
    </w:p>
    <w:p w:rsidR="002227DB" w:rsidRDefault="002227DB" w:rsidP="002227DB">
      <w:r w:rsidRPr="002227DB">
        <w:t>The apparent volume of distribution (</w:t>
      </w:r>
      <w:proofErr w:type="gramStart"/>
      <w:r w:rsidRPr="002227DB">
        <w:t>Vd</w:t>
      </w:r>
      <w:proofErr w:type="gramEnd"/>
      <w:r w:rsidRPr="002227DB">
        <w:t>) for LUM and IVA were determined in both healthy subjects and subjects with moderate hepatic impairment following adminis</w:t>
      </w:r>
      <w:r w:rsidR="00511EB7">
        <w:t>tration of LUM (200 </w:t>
      </w:r>
      <w:r w:rsidRPr="002227DB">
        <w:t xml:space="preserve">mg q12h) and IVA (250 mg q12h) tablets for 10 days in the fed state in </w:t>
      </w:r>
      <w:r w:rsidR="00980975">
        <w:t>Study</w:t>
      </w:r>
      <w:r w:rsidRPr="002227DB">
        <w:t xml:space="preserve"> VX13-809-010). The mean Vd (SD) values for LUM and IVA in healthy subjects were 50.1 (17.4) L and 1000 (550) L, </w:t>
      </w:r>
      <w:r w:rsidRPr="006B0155">
        <w:t xml:space="preserve">respectively (Table </w:t>
      </w:r>
      <w:r w:rsidR="00295A83">
        <w:t>9).</w:t>
      </w:r>
    </w:p>
    <w:p w:rsidR="008D012F" w:rsidRDefault="008D012F" w:rsidP="008D012F">
      <w:pPr>
        <w:pStyle w:val="Tabletitle"/>
      </w:pPr>
      <w:proofErr w:type="gramStart"/>
      <w:r w:rsidRPr="006B0155">
        <w:lastRenderedPageBreak/>
        <w:t xml:space="preserve">Table </w:t>
      </w:r>
      <w:r w:rsidR="006B0155" w:rsidRPr="006B0155">
        <w:t>9.</w:t>
      </w:r>
      <w:proofErr w:type="gramEnd"/>
      <w:r w:rsidR="006B0155" w:rsidRPr="006B0155">
        <w:t xml:space="preserve"> </w:t>
      </w:r>
      <w:r>
        <w:t>Study VX13-809-010. Summary of pharmacokinetic parameters for total lumacaftor, ivacaftor, M28-lumacaftor, M1-ivacaftor and M6-ivacaftor in subjects with moderate hepatic impairment and in matched healthy subjects on Day 10</w:t>
      </w:r>
    </w:p>
    <w:p w:rsidR="008D012F" w:rsidRPr="008D012F" w:rsidRDefault="00850FC0" w:rsidP="008D012F">
      <w:r>
        <w:rPr>
          <w:noProof/>
          <w:lang w:eastAsia="en-AU"/>
        </w:rPr>
        <w:drawing>
          <wp:inline distT="0" distB="0" distL="0" distR="0" wp14:anchorId="71DC3186" wp14:editId="2764D166">
            <wp:extent cx="5208422" cy="4150601"/>
            <wp:effectExtent l="0" t="0" r="0" b="2540"/>
            <wp:docPr id="17" name="Picture 17" descr="Table 9. Study VX13-809-010. Summary of pharmacokinetic parameters for total lumacaftor, ivacaftor, M28-lumacaftor, M1-ivacaftor and M6-ivacaftor in subjects with moderate hepatic impairment and in matched healthy subjects on Da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211577" cy="4153115"/>
                    </a:xfrm>
                    <a:prstGeom prst="rect">
                      <a:avLst/>
                    </a:prstGeom>
                  </pic:spPr>
                </pic:pic>
              </a:graphicData>
            </a:graphic>
          </wp:inline>
        </w:drawing>
      </w:r>
    </w:p>
    <w:p w:rsidR="002227DB" w:rsidRPr="002227DB" w:rsidRDefault="00661535" w:rsidP="00661535">
      <w:pPr>
        <w:pStyle w:val="Heading6"/>
      </w:pPr>
      <w:r>
        <w:t>Plasma protein binding</w:t>
      </w:r>
    </w:p>
    <w:p w:rsidR="002227DB" w:rsidRPr="002227DB" w:rsidRDefault="002227DB" w:rsidP="002227DB">
      <w:r w:rsidRPr="002227DB">
        <w:t xml:space="preserve">In vitro studies indicated that the plasma protein binding of LUM was greater than 98% in all of the species examined and the mean protein binding values of </w:t>
      </w:r>
      <w:r w:rsidRPr="00661535">
        <w:rPr>
          <w:vertAlign w:val="superscript"/>
        </w:rPr>
        <w:t>14</w:t>
      </w:r>
      <w:r w:rsidRPr="002227DB">
        <w:t xml:space="preserve">C-LUM ranged from 99.97% to 100.00% in human plasma. LUM was highly bound to human serum albumin (HSA), with </w:t>
      </w:r>
      <w:r w:rsidR="00511EB7">
        <w:t xml:space="preserve">&gt; </w:t>
      </w:r>
      <w:r w:rsidRPr="002227DB">
        <w:t>98% binding at all test article and HSA concentrations, whereas, alpha-1-acid glycoprotein and human gamma-globulin binding appeared to play a minimal role. IVA was also highly bound (</w:t>
      </w:r>
      <w:r w:rsidR="00661535">
        <w:t>&gt; </w:t>
      </w:r>
      <w:r w:rsidRPr="002227DB">
        <w:t>98%) to proteins in human plasma at all concentrations tested.</w:t>
      </w:r>
    </w:p>
    <w:p w:rsidR="002227DB" w:rsidRPr="002227DB" w:rsidRDefault="00661535" w:rsidP="002227DB">
      <w:pPr>
        <w:pStyle w:val="Heading6"/>
      </w:pPr>
      <w:r>
        <w:t>Erythrocyte distribution</w:t>
      </w:r>
    </w:p>
    <w:p w:rsidR="002227DB" w:rsidRPr="002227DB" w:rsidRDefault="002227DB" w:rsidP="002227DB">
      <w:r w:rsidRPr="002227DB">
        <w:t xml:space="preserve">The mass balance </w:t>
      </w:r>
      <w:r w:rsidR="00980975">
        <w:t>Study</w:t>
      </w:r>
      <w:r w:rsidRPr="002227DB">
        <w:t xml:space="preserve">, VX08-809-004 examined the rate of elimination and total recovery of LUM and total radioactivity after a single, oral dose of </w:t>
      </w:r>
      <w:r w:rsidR="00661535" w:rsidRPr="00661535">
        <w:rPr>
          <w:vertAlign w:val="superscript"/>
        </w:rPr>
        <w:t>14</w:t>
      </w:r>
      <w:r w:rsidR="00661535" w:rsidRPr="002227DB">
        <w:t>C-LUM</w:t>
      </w:r>
      <w:r w:rsidRPr="002227DB">
        <w:t xml:space="preserve"> in healthy males. Results from this study</w:t>
      </w:r>
      <w:r w:rsidR="00661535">
        <w:t xml:space="preserve"> </w:t>
      </w:r>
      <w:r w:rsidRPr="002227DB">
        <w:t>showed that the radioactivity in plasma (</w:t>
      </w:r>
      <w:r w:rsidR="00511EB7" w:rsidRPr="001E1E4D">
        <w:t>AUC</w:t>
      </w:r>
      <w:r w:rsidR="00511EB7" w:rsidRPr="00511EB7">
        <w:rPr>
          <w:vertAlign w:val="subscript"/>
        </w:rPr>
        <w:t>0-inf</w:t>
      </w:r>
      <w:r w:rsidR="00661535">
        <w:t xml:space="preserve"> </w:t>
      </w:r>
      <w:r w:rsidR="00511EB7">
        <w:t>=</w:t>
      </w:r>
      <w:r w:rsidR="00661535">
        <w:t xml:space="preserve"> </w:t>
      </w:r>
      <w:r w:rsidRPr="002227DB">
        <w:t xml:space="preserve">356 </w:t>
      </w:r>
      <w:r w:rsidR="00511EB7">
        <w:t>µ</w:t>
      </w:r>
      <w:r w:rsidR="00511EB7" w:rsidRPr="002227DB">
        <w:t>g</w:t>
      </w:r>
      <w:r w:rsidRPr="002227DB">
        <w:t xml:space="preserve">.h/mL) was higher than that observed in whole blood (204 </w:t>
      </w:r>
      <w:r w:rsidR="00511EB7">
        <w:t>µ</w:t>
      </w:r>
      <w:r w:rsidR="00511EB7" w:rsidRPr="002227DB">
        <w:t>g</w:t>
      </w:r>
      <w:r w:rsidRPr="002227DB">
        <w:t>.h/mL), suggesting that LUM does not partition into human red blood cells</w:t>
      </w:r>
      <w:r w:rsidR="00661535">
        <w:t>.</w:t>
      </w:r>
    </w:p>
    <w:p w:rsidR="002227DB" w:rsidRPr="002227DB" w:rsidRDefault="00661535" w:rsidP="002227DB">
      <w:pPr>
        <w:pStyle w:val="Heading6"/>
      </w:pPr>
      <w:r>
        <w:t>Tissue distribution</w:t>
      </w:r>
    </w:p>
    <w:p w:rsidR="002227DB" w:rsidRPr="002227DB" w:rsidRDefault="002227DB" w:rsidP="002227DB">
      <w:r w:rsidRPr="002227DB">
        <w:t xml:space="preserve">The </w:t>
      </w:r>
      <w:proofErr w:type="gramStart"/>
      <w:r w:rsidRPr="002227DB">
        <w:t>Vd</w:t>
      </w:r>
      <w:proofErr w:type="gramEnd"/>
      <w:r w:rsidRPr="002227DB">
        <w:t xml:space="preserve"> values generated in healthy subjects in </w:t>
      </w:r>
      <w:r w:rsidR="00980975">
        <w:t>Study</w:t>
      </w:r>
      <w:r w:rsidR="004C250E">
        <w:t xml:space="preserve"> VX13-809-010</w:t>
      </w:r>
      <w:r w:rsidRPr="002227DB">
        <w:t xml:space="preserve"> suggest that LUM (Vd</w:t>
      </w:r>
      <w:r w:rsidR="00661535">
        <w:t xml:space="preserve"> </w:t>
      </w:r>
      <w:r w:rsidR="00511EB7">
        <w:t>=</w:t>
      </w:r>
      <w:r w:rsidR="00661535">
        <w:t xml:space="preserve"> </w:t>
      </w:r>
      <w:r w:rsidRPr="002227DB">
        <w:t>50.1) would be primarily distributed within the circulatory system, with a relatively low distribution into tissue in comparison to IVA (Vd</w:t>
      </w:r>
      <w:r w:rsidR="00661535">
        <w:t xml:space="preserve"> </w:t>
      </w:r>
      <w:r w:rsidR="00511EB7">
        <w:t>=</w:t>
      </w:r>
      <w:r w:rsidR="00661535">
        <w:t xml:space="preserve"> </w:t>
      </w:r>
      <w:r w:rsidRPr="002227DB">
        <w:t>1000 L), which would demon</w:t>
      </w:r>
      <w:r w:rsidR="00661535">
        <w:t>strate high tissue penetration.</w:t>
      </w:r>
    </w:p>
    <w:p w:rsidR="002227DB" w:rsidRPr="002227DB" w:rsidRDefault="00661535" w:rsidP="002227DB">
      <w:pPr>
        <w:pStyle w:val="Heading5"/>
      </w:pPr>
      <w:r>
        <w:lastRenderedPageBreak/>
        <w:t>Metabolism</w:t>
      </w:r>
    </w:p>
    <w:p w:rsidR="002227DB" w:rsidRPr="002227DB" w:rsidRDefault="002227DB" w:rsidP="002227DB">
      <w:r w:rsidRPr="002227DB">
        <w:t xml:space="preserve">IVA metabolism has been previously discussed </w:t>
      </w:r>
      <w:r w:rsidR="00661535">
        <w:t>(</w:t>
      </w:r>
      <w:r w:rsidRPr="002227DB">
        <w:t>as part of TGA Submission No. PM-2012-01491-3-5</w:t>
      </w:r>
      <w:r w:rsidR="00661535">
        <w:t>)</w:t>
      </w:r>
      <w:r w:rsidRPr="002227DB">
        <w:t xml:space="preserve"> therefore, the following sections will primarily </w:t>
      </w:r>
      <w:r w:rsidR="00661535">
        <w:t>focus on the metabolism of LUM.</w:t>
      </w:r>
    </w:p>
    <w:p w:rsidR="002227DB" w:rsidRPr="002227DB" w:rsidRDefault="002227DB" w:rsidP="002227DB">
      <w:pPr>
        <w:pStyle w:val="Heading6"/>
      </w:pPr>
      <w:r w:rsidRPr="002227DB">
        <w:t>Interconversion between enantiomers</w:t>
      </w:r>
    </w:p>
    <w:p w:rsidR="002227DB" w:rsidRDefault="00661535" w:rsidP="002227DB">
      <w:r>
        <w:t>Not applicable.</w:t>
      </w:r>
    </w:p>
    <w:p w:rsidR="002227DB" w:rsidRPr="002227DB" w:rsidRDefault="002227DB" w:rsidP="002227DB">
      <w:pPr>
        <w:pStyle w:val="Heading6"/>
      </w:pPr>
      <w:r w:rsidRPr="002227DB">
        <w:t>Sites</w:t>
      </w:r>
      <w:r w:rsidR="00661535">
        <w:t xml:space="preserve"> of metabolism and mechanisms /</w:t>
      </w:r>
      <w:r w:rsidRPr="002227DB">
        <w:t>e</w:t>
      </w:r>
      <w:r w:rsidR="00661535">
        <w:t>nzyme systems involved</w:t>
      </w:r>
    </w:p>
    <w:p w:rsidR="002227DB" w:rsidRPr="002227DB" w:rsidRDefault="002227DB" w:rsidP="002227DB">
      <w:r w:rsidRPr="002227DB">
        <w:t xml:space="preserve">Results from </w:t>
      </w:r>
      <w:r w:rsidR="00980975">
        <w:t>Study</w:t>
      </w:r>
      <w:r w:rsidRPr="002227DB">
        <w:t xml:space="preserve"> VX08-809-004 indicate that LUM is poorly metabolised in man, as the majority of 200 mg </w:t>
      </w:r>
      <w:r w:rsidR="00661535" w:rsidRPr="00661535">
        <w:rPr>
          <w:vertAlign w:val="superscript"/>
        </w:rPr>
        <w:t>14</w:t>
      </w:r>
      <w:r w:rsidR="00661535" w:rsidRPr="002227DB">
        <w:t>C-LUM</w:t>
      </w:r>
      <w:r w:rsidRPr="002227DB">
        <w:t xml:space="preserve"> dose administered was excreted unchanged from body in the faeces. The proposed metabolic pathway for LUM in man </w:t>
      </w:r>
      <w:r w:rsidR="004C250E">
        <w:t>was provided</w:t>
      </w:r>
      <w:r w:rsidRPr="002227DB">
        <w:t xml:space="preserve"> and it is believed that </w:t>
      </w:r>
      <w:r w:rsidR="00661535" w:rsidRPr="00661535">
        <w:rPr>
          <w:vertAlign w:val="superscript"/>
        </w:rPr>
        <w:t>14</w:t>
      </w:r>
      <w:r w:rsidR="00661535" w:rsidRPr="002227DB">
        <w:t>C-LUM</w:t>
      </w:r>
      <w:r w:rsidRPr="002227DB">
        <w:t xml:space="preserve"> is mainly metabolised via oxidation and glucuronidation.</w:t>
      </w:r>
    </w:p>
    <w:p w:rsidR="002227DB" w:rsidRPr="002227DB" w:rsidRDefault="002227DB" w:rsidP="002227DB">
      <w:r w:rsidRPr="002227DB">
        <w:t xml:space="preserve">In contrast to LUM, IVA is extensively metabolised </w:t>
      </w:r>
      <w:r w:rsidR="00661535">
        <w:t>in humans, primarily via CYP3A.</w:t>
      </w:r>
    </w:p>
    <w:p w:rsidR="002227DB" w:rsidRPr="002227DB" w:rsidRDefault="00661535" w:rsidP="002227DB">
      <w:pPr>
        <w:pStyle w:val="Heading6"/>
      </w:pPr>
      <w:r>
        <w:t>Non-renal clearance</w:t>
      </w:r>
    </w:p>
    <w:p w:rsidR="002227DB" w:rsidRPr="002227DB" w:rsidRDefault="002227DB" w:rsidP="002227DB">
      <w:r w:rsidRPr="002227DB">
        <w:t>As stated in the previous section LUM is primarily excreted via the faecal route with a CL/F (SD) in healthy males of 1.09 (0.29) L/h</w:t>
      </w:r>
      <w:r w:rsidR="00661535">
        <w:t>.</w:t>
      </w:r>
    </w:p>
    <w:p w:rsidR="002227DB" w:rsidRPr="002227DB" w:rsidRDefault="002227DB" w:rsidP="007F4B4F">
      <w:pPr>
        <w:pStyle w:val="Heading6"/>
      </w:pPr>
      <w:r w:rsidRPr="002227DB">
        <w:t>M</w:t>
      </w:r>
      <w:r w:rsidR="00661535">
        <w:t>etabolites identified in humans</w:t>
      </w:r>
    </w:p>
    <w:p w:rsidR="002227DB" w:rsidRPr="002227DB" w:rsidRDefault="002227DB" w:rsidP="002227DB">
      <w:r w:rsidRPr="002227DB">
        <w:t xml:space="preserve">The results of </w:t>
      </w:r>
      <w:r w:rsidR="00980975">
        <w:t>Study</w:t>
      </w:r>
      <w:r w:rsidR="00031FFF">
        <w:t xml:space="preserve"> VX08-809-004</w:t>
      </w:r>
      <w:r w:rsidRPr="002227DB">
        <w:t xml:space="preserve"> indicate that based on the ratio of LUM </w:t>
      </w:r>
      <w:r w:rsidR="00511EB7" w:rsidRPr="002227DB">
        <w:t>AUC</w:t>
      </w:r>
      <w:r w:rsidR="00511EB7" w:rsidRPr="00511EB7">
        <w:rPr>
          <w:vertAlign w:val="subscript"/>
        </w:rPr>
        <w:t>0-24</w:t>
      </w:r>
      <w:r w:rsidR="00661535" w:rsidRPr="00661535">
        <w:t xml:space="preserve"> </w:t>
      </w:r>
      <w:r w:rsidRPr="002227DB">
        <w:t xml:space="preserve">6h/total radioactivity </w:t>
      </w:r>
      <w:r w:rsidR="00511EB7" w:rsidRPr="002227DB">
        <w:t>AUC</w:t>
      </w:r>
      <w:r w:rsidR="00511EB7" w:rsidRPr="00511EB7">
        <w:rPr>
          <w:vertAlign w:val="subscript"/>
        </w:rPr>
        <w:t>0-24</w:t>
      </w:r>
      <w:r w:rsidRPr="002227DB">
        <w:t>6h approximately 52% of the radioactivity in plasma was associated with unchanged LUM. A major metabolite of LUM in plasma was identified as M28-LUM (M28) and it represented a further 13% of the circulating total radioactivity with a LUM/M28 AUC ratio of approximately 25%. Additional metabolites identified in plasma included O-VX-809-glucuronide-1 (M14), O-VX-809-glucuronide-2 (M16), VX-809-glucuronide-2 (M21), and O-VX-809-1 (M22); however, no other parent/metabolite ratios exceeded 5.4% and they were therefor</w:t>
      </w:r>
      <w:r w:rsidR="00661535">
        <w:t>e considered minor metabolites.</w:t>
      </w:r>
    </w:p>
    <w:p w:rsidR="00661535" w:rsidRPr="00661535" w:rsidRDefault="00661535" w:rsidP="00661535">
      <w:pPr>
        <w:pStyle w:val="Heading7"/>
        <w:rPr>
          <w:sz w:val="20"/>
          <w:szCs w:val="20"/>
        </w:rPr>
      </w:pPr>
      <w:r w:rsidRPr="00661535">
        <w:rPr>
          <w:sz w:val="20"/>
          <w:szCs w:val="20"/>
        </w:rPr>
        <w:t>Active metabolites</w:t>
      </w:r>
    </w:p>
    <w:p w:rsidR="002227DB" w:rsidRPr="002227DB" w:rsidRDefault="002227DB" w:rsidP="002227DB">
      <w:r w:rsidRPr="002227DB">
        <w:t>The activity of the various circulating metabolites of LUM is not clear from the information provided in the evaluation materials, whereas, the activity of the metabolites of IVA have been discussed in p</w:t>
      </w:r>
      <w:r w:rsidR="00661535">
        <w:t>revious submissions to the TGA.</w:t>
      </w:r>
    </w:p>
    <w:p w:rsidR="002227DB" w:rsidRPr="007F4B4F" w:rsidRDefault="002227DB" w:rsidP="007F4B4F">
      <w:pPr>
        <w:pStyle w:val="Heading7"/>
        <w:rPr>
          <w:sz w:val="20"/>
          <w:szCs w:val="20"/>
        </w:rPr>
      </w:pPr>
      <w:r w:rsidRPr="007F4B4F">
        <w:rPr>
          <w:sz w:val="20"/>
          <w:szCs w:val="20"/>
        </w:rPr>
        <w:t xml:space="preserve">Other metabolites </w:t>
      </w:r>
    </w:p>
    <w:p w:rsidR="002227DB" w:rsidRPr="002227DB" w:rsidRDefault="00661535" w:rsidP="002227DB">
      <w:r>
        <w:t>Not applicable.</w:t>
      </w:r>
    </w:p>
    <w:p w:rsidR="002227DB" w:rsidRPr="002227DB" w:rsidRDefault="00661535" w:rsidP="007F4B4F">
      <w:pPr>
        <w:pStyle w:val="Heading6"/>
      </w:pPr>
      <w:r>
        <w:t>Pharmacokinetics of metabolites</w:t>
      </w:r>
    </w:p>
    <w:p w:rsidR="007F4B4F" w:rsidRPr="007F4B4F" w:rsidRDefault="00031FFF" w:rsidP="007F4B4F">
      <w:r>
        <w:t>Study VX08-809-005</w:t>
      </w:r>
      <w:r w:rsidR="002227DB" w:rsidRPr="007F4B4F">
        <w:t xml:space="preserve"> examined the PKs of the LUM metabolite, M28 (M28-LUM), and IVA metabolites, M1 and M6 (M1-IVA and M6-IVA) following single and 14 days dosing with a free combination of LUM 200 mg QD/IVA 150 mg q12h in healthy subjects. Following a single dose of the free combination, the </w:t>
      </w:r>
      <w:r w:rsidR="00511EB7" w:rsidRPr="001E1E4D">
        <w:t>C</w:t>
      </w:r>
      <w:r w:rsidR="00511EB7" w:rsidRPr="00511EB7">
        <w:rPr>
          <w:vertAlign w:val="subscript"/>
        </w:rPr>
        <w:t>max</w:t>
      </w:r>
      <w:r w:rsidR="002227DB" w:rsidRPr="007F4B4F">
        <w:t xml:space="preserve"> and </w:t>
      </w:r>
      <w:r w:rsidR="00511EB7" w:rsidRPr="002227DB">
        <w:t>AUC</w:t>
      </w:r>
      <w:r w:rsidR="00511EB7" w:rsidRPr="00511EB7">
        <w:rPr>
          <w:vertAlign w:val="subscript"/>
        </w:rPr>
        <w:t>0-24</w:t>
      </w:r>
      <w:r w:rsidR="002227DB" w:rsidRPr="007F4B4F">
        <w:t xml:space="preserve"> values</w:t>
      </w:r>
      <w:r w:rsidR="00661535">
        <w:t xml:space="preserve"> for: M28 were </w:t>
      </w:r>
      <w:proofErr w:type="gramStart"/>
      <w:r w:rsidR="00661535">
        <w:t>0.232 </w:t>
      </w:r>
      <w:r w:rsidR="00511EB7">
        <w:t>µ</w:t>
      </w:r>
      <w:r w:rsidR="00511EB7" w:rsidRPr="002227DB">
        <w:t>g</w:t>
      </w:r>
      <w:r w:rsidR="002227DB" w:rsidRPr="007F4B4F">
        <w:t>/mL</w:t>
      </w:r>
      <w:proofErr w:type="gramEnd"/>
      <w:r w:rsidR="002227DB" w:rsidRPr="007F4B4F">
        <w:t xml:space="preserve"> and 3.76 </w:t>
      </w:r>
      <w:r w:rsidR="00511EB7">
        <w:t>µ</w:t>
      </w:r>
      <w:r w:rsidR="00511EB7" w:rsidRPr="002227DB">
        <w:t>g</w:t>
      </w:r>
      <w:r w:rsidR="002227DB" w:rsidRPr="007F4B4F">
        <w:t xml:space="preserve">.h/mL, respectively; for M1 were 5.34 </w:t>
      </w:r>
      <w:r w:rsidR="00511EB7">
        <w:t>µ</w:t>
      </w:r>
      <w:r w:rsidR="00511EB7" w:rsidRPr="002227DB">
        <w:t>g</w:t>
      </w:r>
      <w:r w:rsidR="002227DB" w:rsidRPr="007F4B4F">
        <w:t xml:space="preserve">/mL and 87.6 </w:t>
      </w:r>
      <w:r w:rsidR="00511EB7">
        <w:t>µ</w:t>
      </w:r>
      <w:r w:rsidR="00511EB7" w:rsidRPr="002227DB">
        <w:t>g</w:t>
      </w:r>
      <w:r>
        <w:t>.h/mL, respectively</w:t>
      </w:r>
      <w:r w:rsidR="002227DB" w:rsidRPr="007F4B4F">
        <w:t xml:space="preserve"> and for M6 were 1.06 </w:t>
      </w:r>
      <w:r w:rsidR="00511EB7">
        <w:t>µ</w:t>
      </w:r>
      <w:r w:rsidR="00511EB7" w:rsidRPr="002227DB">
        <w:t>g</w:t>
      </w:r>
      <w:r w:rsidR="002227DB" w:rsidRPr="007F4B4F">
        <w:t xml:space="preserve">/mL and 22.0 </w:t>
      </w:r>
      <w:r w:rsidR="00511EB7">
        <w:t>µ</w:t>
      </w:r>
      <w:r w:rsidR="00511EB7" w:rsidRPr="002227DB">
        <w:t>g</w:t>
      </w:r>
      <w:r w:rsidR="002227DB" w:rsidRPr="007F4B4F">
        <w:t>.h/mL, respectively</w:t>
      </w:r>
      <w:r w:rsidR="007F4B4F" w:rsidRPr="007F4B4F">
        <w:t xml:space="preserve">. The parent/metabolite AUC ratios (SD) for M28, M1 and M6 were 0.041 (0.011), 5.14 (1.09) and 1.42(0.55), respectively. Following 14 days of dosing, accumulation ratios (SD) for M28, M1 and M6 were 7.30 (1.63), 0.89 (0.27) and 3.36 (1.24), respectively. The parent/metabolite AUC ratios (SD) for M28, M1 and M6 following multiple doses were 0.154 (0.038), 8.43 (1.85) and 9.43 (5.05), respectively. Similar values for the metabolites were identified in </w:t>
      </w:r>
      <w:r w:rsidR="00980975">
        <w:t>Study</w:t>
      </w:r>
      <w:r w:rsidR="007F4B4F" w:rsidRPr="007F4B4F">
        <w:t xml:space="preserve"> VX10-809-006</w:t>
      </w:r>
      <w:r w:rsidR="00661535">
        <w:t>.</w:t>
      </w:r>
    </w:p>
    <w:p w:rsidR="007F4B4F" w:rsidRPr="007F4B4F" w:rsidRDefault="007F4B4F" w:rsidP="007F4B4F">
      <w:pPr>
        <w:pStyle w:val="Heading6"/>
      </w:pPr>
      <w:r w:rsidRPr="007F4B4F">
        <w:t>Conse</w:t>
      </w:r>
      <w:r w:rsidR="00661535">
        <w:t>quences of genetic polymorphism</w:t>
      </w:r>
    </w:p>
    <w:p w:rsidR="007F4B4F" w:rsidRPr="007F4B4F" w:rsidRDefault="00661535" w:rsidP="007F4B4F">
      <w:r>
        <w:t>Not examined.</w:t>
      </w:r>
    </w:p>
    <w:p w:rsidR="007F4B4F" w:rsidRPr="007F4B4F" w:rsidRDefault="00661535" w:rsidP="007F4B4F">
      <w:pPr>
        <w:pStyle w:val="Heading5"/>
      </w:pPr>
      <w:r>
        <w:lastRenderedPageBreak/>
        <w:t>Excretion</w:t>
      </w:r>
    </w:p>
    <w:p w:rsidR="007F4B4F" w:rsidRPr="007F4B4F" w:rsidRDefault="007F4B4F" w:rsidP="007F4B4F">
      <w:pPr>
        <w:pStyle w:val="Heading6"/>
      </w:pPr>
      <w:r w:rsidRPr="007F4B4F">
        <w:t>Rou</w:t>
      </w:r>
      <w:r w:rsidR="00661535">
        <w:t>tes and mechanisms of excretion</w:t>
      </w:r>
    </w:p>
    <w:p w:rsidR="007F4B4F" w:rsidRPr="007F4B4F" w:rsidRDefault="007F4B4F" w:rsidP="007F4B4F">
      <w:r w:rsidRPr="007F4B4F">
        <w:t xml:space="preserve">Following a single dose of 200 mg </w:t>
      </w:r>
      <w:r w:rsidR="00661535" w:rsidRPr="00661535">
        <w:rPr>
          <w:vertAlign w:val="superscript"/>
        </w:rPr>
        <w:t>14</w:t>
      </w:r>
      <w:r w:rsidR="00661535" w:rsidRPr="002227DB">
        <w:t>C-LUM</w:t>
      </w:r>
      <w:r w:rsidRPr="007F4B4F">
        <w:t xml:space="preserve"> to healthy males, individual faecal recoveries of administered radioactivity ranged from 81% to 93% of the administered dose (mean of 90%) and individual urinary recoveries ranged from 6.9% to 13% (mean of 8.6%) through the last collection interval. As stated previously, unchanged </w:t>
      </w:r>
      <w:r w:rsidR="00661535" w:rsidRPr="00661535">
        <w:rPr>
          <w:vertAlign w:val="superscript"/>
        </w:rPr>
        <w:t>14</w:t>
      </w:r>
      <w:r w:rsidR="00661535" w:rsidRPr="002227DB">
        <w:t>C-LUM</w:t>
      </w:r>
      <w:r w:rsidRPr="007F4B4F">
        <w:t xml:space="preserve"> was the major component excreted in faeces and accounted for 42% of the radioactive dose, while a monohydroxylated metabolite (M22) accounted for a </w:t>
      </w:r>
      <w:r w:rsidR="00661535">
        <w:t xml:space="preserve">further 14%, through 216 h post </w:t>
      </w:r>
      <w:r w:rsidRPr="007F4B4F">
        <w:t xml:space="preserve">dose. By contrast, only small amounts of unchanged </w:t>
      </w:r>
      <w:r w:rsidR="00661535">
        <w:t xml:space="preserve">LUM, mean of 0.12% (range 0.08% to </w:t>
      </w:r>
      <w:r w:rsidRPr="007F4B4F">
        <w:t>0.15%) of the dose, were excreted in urine). The majority of the radioactivity excreted in urine was associated with M20 (structure not elucidated), with a mean of 3.2% of the radioacti</w:t>
      </w:r>
      <w:r w:rsidR="00661535">
        <w:t>ve dose through a 120 h period.</w:t>
      </w:r>
    </w:p>
    <w:p w:rsidR="002227DB" w:rsidRPr="007F4B4F" w:rsidRDefault="007F4B4F" w:rsidP="007F4B4F">
      <w:pPr>
        <w:pStyle w:val="Heading6"/>
      </w:pPr>
      <w:r w:rsidRPr="007F4B4F">
        <w:t>Mass balance studies</w:t>
      </w:r>
    </w:p>
    <w:p w:rsidR="007F4B4F" w:rsidRPr="007F4B4F" w:rsidRDefault="007F4B4F" w:rsidP="007F4B4F">
      <w:r w:rsidRPr="007F4B4F">
        <w:t xml:space="preserve">Following a single dose of 200 mg </w:t>
      </w:r>
      <w:r w:rsidR="00661535" w:rsidRPr="00661535">
        <w:rPr>
          <w:vertAlign w:val="superscript"/>
        </w:rPr>
        <w:t>14</w:t>
      </w:r>
      <w:r w:rsidR="00661535" w:rsidRPr="002227DB">
        <w:t>C-LUM</w:t>
      </w:r>
      <w:r w:rsidRPr="007F4B4F">
        <w:t xml:space="preserve"> to healthy males, most of the administered radioactivity was re</w:t>
      </w:r>
      <w:r w:rsidR="00661535">
        <w:t xml:space="preserve">covered in the first 216 h post </w:t>
      </w:r>
      <w:r w:rsidRPr="007F4B4F">
        <w:t>dose (rang</w:t>
      </w:r>
      <w:r w:rsidR="00661535">
        <w:t>e of 89% to 100%; mean of 96%)</w:t>
      </w:r>
      <w:r w:rsidRPr="007F4B4F">
        <w:t>. The overall mean recovery of radioactivity in urine and faeces samples ranged from 94% to 100% (mean of 98</w:t>
      </w:r>
      <w:r w:rsidR="00661535">
        <w:t>%) over the 480 h study period.</w:t>
      </w:r>
    </w:p>
    <w:p w:rsidR="007F4B4F" w:rsidRPr="007F4B4F" w:rsidRDefault="00661535" w:rsidP="007F4B4F">
      <w:pPr>
        <w:pStyle w:val="Heading6"/>
      </w:pPr>
      <w:r>
        <w:t>Renal clearance</w:t>
      </w:r>
    </w:p>
    <w:p w:rsidR="007F4B4F" w:rsidRPr="007F4B4F" w:rsidRDefault="007F4B4F" w:rsidP="007F4B4F">
      <w:r w:rsidRPr="007F4B4F">
        <w:t xml:space="preserve">The results of the mass balance </w:t>
      </w:r>
      <w:r w:rsidR="00980975">
        <w:t>Study</w:t>
      </w:r>
      <w:r w:rsidRPr="007F4B4F">
        <w:t xml:space="preserve"> VX08-809-004) indicate that renal clearance is not an important elimina</w:t>
      </w:r>
      <w:r w:rsidR="00661535">
        <w:t>tion pathway for LUM in humans.</w:t>
      </w:r>
    </w:p>
    <w:p w:rsidR="007F4B4F" w:rsidRPr="007F4B4F" w:rsidRDefault="007F4B4F" w:rsidP="007F4B4F">
      <w:r w:rsidRPr="007F4B4F">
        <w:t>Most of the radioactivity excreted in faeces was associated with unchanged LUM and a monohydroxylated metabolite (M22), accounting for means of 42% and 14% of the radioactive dose, respec</w:t>
      </w:r>
      <w:r w:rsidR="00C41440">
        <w:t>tively, through 216 h post-dose.</w:t>
      </w:r>
      <w:r w:rsidRPr="007F4B4F">
        <w:t xml:space="preserve"> These findings showed that the majority of LUM was excreted uncha</w:t>
      </w:r>
      <w:r w:rsidR="00661535">
        <w:t>nged from body into the faeces.</w:t>
      </w:r>
    </w:p>
    <w:p w:rsidR="007F4B4F" w:rsidRPr="007F4B4F" w:rsidRDefault="007F4B4F" w:rsidP="007F4B4F">
      <w:pPr>
        <w:pStyle w:val="Heading5"/>
      </w:pPr>
      <w:r w:rsidRPr="007F4B4F">
        <w:t xml:space="preserve">Intra- and inter-individual </w:t>
      </w:r>
      <w:r w:rsidR="00661535">
        <w:t>variability of pharmacokinetics</w:t>
      </w:r>
    </w:p>
    <w:p w:rsidR="007F4B4F" w:rsidRPr="007F4B4F" w:rsidRDefault="007F4B4F" w:rsidP="007F4B4F">
      <w:r w:rsidRPr="007F4B4F">
        <w:t xml:space="preserve">The PopPK </w:t>
      </w:r>
      <w:r w:rsidR="00980975">
        <w:t>Study</w:t>
      </w:r>
      <w:r w:rsidR="00C41440">
        <w:t>, K050</w:t>
      </w:r>
      <w:r w:rsidRPr="007F4B4F">
        <w:t xml:space="preserve"> characterised the PKs of LUM and IVA based on data taken from studies, which had been conducted in healthy subjects and patients with CF. In this stud</w:t>
      </w:r>
      <w:r w:rsidR="00661535">
        <w:t xml:space="preserve">y LUM PK was described by a two compartment model with zero </w:t>
      </w:r>
      <w:r w:rsidRPr="007F4B4F">
        <w:t>order delivery to the absorption c</w:t>
      </w:r>
      <w:r w:rsidR="00661535">
        <w:t xml:space="preserve">ompartment and subsequent first </w:t>
      </w:r>
      <w:r w:rsidRPr="007F4B4F">
        <w:t>order absorption and an absorption lag time. IVA PK was describ</w:t>
      </w:r>
      <w:r w:rsidR="00661535">
        <w:t xml:space="preserve">ed by a two compartment model with zero </w:t>
      </w:r>
      <w:r w:rsidRPr="007F4B4F">
        <w:t>order delivery to the absorption c</w:t>
      </w:r>
      <w:r w:rsidR="00661535">
        <w:t xml:space="preserve">ompartment and subsequent first </w:t>
      </w:r>
      <w:r w:rsidRPr="007F4B4F">
        <w:t>order absorption. The modelling provided inter-individual variability estimates on: CL/F of 0.0829 for LUM and 0.152 for IVA; Vc/F of 0.213 for LUM and 0.255 for IVA; and Vp/F of 0.089 for LUM and 0.068 for IVA. The intra-subject variability on bioavailability was 0</w:t>
      </w:r>
      <w:r w:rsidR="00661535">
        <w:t>.139 for LUM and 0.187 for IVA.</w:t>
      </w:r>
    </w:p>
    <w:p w:rsidR="007F4B4F" w:rsidRPr="007F4B4F" w:rsidRDefault="007F4B4F" w:rsidP="007F4B4F">
      <w:pPr>
        <w:pStyle w:val="Heading4"/>
      </w:pPr>
      <w:r w:rsidRPr="007F4B4F">
        <w:t>Pharmacoki</w:t>
      </w:r>
      <w:r w:rsidR="00661535">
        <w:t>netics in the target population</w:t>
      </w:r>
    </w:p>
    <w:p w:rsidR="00850FC0" w:rsidRDefault="007F4B4F" w:rsidP="007F4B4F">
      <w:r w:rsidRPr="007F4B4F">
        <w:t xml:space="preserve">A number of studies examined the PKs of LUM and IVA following co-administration to subjects with CF who were either homozygous or heterozygous for the F508del-CFTR mutation. One such </w:t>
      </w:r>
      <w:r w:rsidR="00980975">
        <w:t>Study</w:t>
      </w:r>
      <w:r w:rsidRPr="007F4B4F">
        <w:t>, VX09-809-102, examined a range of LUM doses (200 to 600 mg QD and 400 mg q12h) in combination with either 150 mg or 250 mg IVA q12h in both homozygou</w:t>
      </w:r>
      <w:r w:rsidR="00850FC0">
        <w:t>s and heterozygous CF subjects.</w:t>
      </w:r>
    </w:p>
    <w:p w:rsidR="00850FC0" w:rsidRDefault="00850FC0" w:rsidP="003E1098">
      <w:pPr>
        <w:pStyle w:val="Heading5"/>
      </w:pPr>
      <w:r>
        <w:t>Study VX</w:t>
      </w:r>
      <w:r w:rsidR="00AB32E7">
        <w:t>09</w:t>
      </w:r>
      <w:r w:rsidR="003E1098">
        <w:t>-809-102</w:t>
      </w:r>
    </w:p>
    <w:p w:rsidR="003E1098" w:rsidRDefault="003E1098" w:rsidP="003E1098">
      <w:pPr>
        <w:pStyle w:val="Heading6"/>
      </w:pPr>
      <w:r w:rsidRPr="003E1098">
        <w:t>Methodology</w:t>
      </w:r>
    </w:p>
    <w:p w:rsidR="003E1098" w:rsidRDefault="003E1098" w:rsidP="003E1098">
      <w:r>
        <w:t>Phase II</w:t>
      </w:r>
      <w:r w:rsidRPr="003E1098">
        <w:t>, mult</w:t>
      </w:r>
      <w:r>
        <w:t xml:space="preserve">i-centre, double-blind, placebo controlled, multiple </w:t>
      </w:r>
      <w:r w:rsidRPr="003E1098">
        <w:t>dose study of LUM monotherapy, and LUM and IVA combination therapy in subjects with CF who are homozygous or heterozygous for the F508del-CFTR mutation.</w:t>
      </w:r>
    </w:p>
    <w:p w:rsidR="003E1098" w:rsidRDefault="003E1098" w:rsidP="003E1098">
      <w:pPr>
        <w:pStyle w:val="Heading6"/>
      </w:pPr>
      <w:r>
        <w:lastRenderedPageBreak/>
        <w:t>Entry criteria</w:t>
      </w:r>
    </w:p>
    <w:p w:rsidR="003E1098" w:rsidRDefault="003E1098" w:rsidP="003E1098">
      <w:r w:rsidRPr="003E1098">
        <w:t>Male and female subjects 18 years or older who are homozygous or heterozygous for the F508del-CFTR mutation.</w:t>
      </w:r>
    </w:p>
    <w:p w:rsidR="003E1098" w:rsidRDefault="003E1098" w:rsidP="003E1098">
      <w:pPr>
        <w:pStyle w:val="Heading6"/>
      </w:pPr>
      <w:r>
        <w:t>Treatments</w:t>
      </w:r>
    </w:p>
    <w:p w:rsidR="003E1098" w:rsidRPr="003E1098" w:rsidRDefault="003E1098" w:rsidP="00ED400A">
      <w:pPr>
        <w:pStyle w:val="Heading7"/>
      </w:pPr>
      <w:r>
        <w:t>Cohort 1</w:t>
      </w:r>
    </w:p>
    <w:p w:rsidR="003E1098" w:rsidRPr="003E1098" w:rsidRDefault="003E1098" w:rsidP="003E1098">
      <w:r w:rsidRPr="003E1098">
        <w:t>Treatments grou</w:t>
      </w:r>
      <w:r>
        <w:t>ps in Cohort 1 were as follows:</w:t>
      </w:r>
    </w:p>
    <w:p w:rsidR="003E1098" w:rsidRPr="003E1098" w:rsidRDefault="003E1098" w:rsidP="003E1098">
      <w:pPr>
        <w:pStyle w:val="ListBullet"/>
      </w:pPr>
      <w:r w:rsidRPr="003E1098">
        <w:t>Group 1 (N = 20): Subjects homozygous for the F508del-CFTR mutation received 200 mg of LUM alone QD (Day 1 through Day 14), followed by 200 mg of LUM QD in combination with 150 mg of IV</w:t>
      </w:r>
      <w:r>
        <w:t>A q12h (Day 15 through Day 21)</w:t>
      </w:r>
    </w:p>
    <w:p w:rsidR="003E1098" w:rsidRPr="003E1098" w:rsidRDefault="003E1098" w:rsidP="003E1098">
      <w:pPr>
        <w:pStyle w:val="ListBullet"/>
      </w:pPr>
      <w:r w:rsidRPr="003E1098">
        <w:t>Group 2 (N = 20): Subjects homozygous for the F508del-CFTR mutation received 200 mg of LUM alone QD (Day 1 through Day 14), followed by 200 mg of LUM QD in combination with 250 mg of IV</w:t>
      </w:r>
      <w:r>
        <w:t>A q12h (Day 15 through Day 21)</w:t>
      </w:r>
    </w:p>
    <w:p w:rsidR="003E1098" w:rsidRDefault="003E1098" w:rsidP="003E1098">
      <w:pPr>
        <w:pStyle w:val="ListBullet"/>
      </w:pPr>
      <w:r w:rsidRPr="003E1098">
        <w:t>Group 3 (N = 20): Subjects homozygous for the F508del-CFTR mutation received LUM-matched placebo QD (Day 1 through Day 14), followed by LUM-matched placebo QD in combination with IVA matched placebo q12h (Day 15 through Day 21).</w:t>
      </w:r>
    </w:p>
    <w:p w:rsidR="003E1098" w:rsidRPr="003E1098" w:rsidRDefault="003E1098" w:rsidP="00ED400A">
      <w:pPr>
        <w:pStyle w:val="Heading7"/>
      </w:pPr>
      <w:r>
        <w:t>Cohort 2</w:t>
      </w:r>
    </w:p>
    <w:p w:rsidR="003E1098" w:rsidRPr="003E1098" w:rsidRDefault="003E1098" w:rsidP="003E1098">
      <w:r w:rsidRPr="003E1098">
        <w:t>Treatment Grou</w:t>
      </w:r>
      <w:r>
        <w:t>ps in Cohort 2 were as follows:</w:t>
      </w:r>
    </w:p>
    <w:p w:rsidR="003E1098" w:rsidRPr="003E1098" w:rsidRDefault="003E1098" w:rsidP="005E35C0">
      <w:pPr>
        <w:pStyle w:val="ListBullet"/>
      </w:pPr>
      <w:r w:rsidRPr="003E1098">
        <w:t>Group 1 (N = 20): Subjects homozygous for the F508del-CFTR mutation received 200 mg of LUM alone QD (Day 1 through Day 28), followed by 200 mg of LUM QD in combination with 250 mg of IV</w:t>
      </w:r>
      <w:r w:rsidR="005E35C0">
        <w:t>A q12h (Day 29 through Day 56)</w:t>
      </w:r>
    </w:p>
    <w:p w:rsidR="003E1098" w:rsidRPr="003E1098" w:rsidRDefault="003E1098" w:rsidP="005E35C0">
      <w:pPr>
        <w:pStyle w:val="ListBullet"/>
      </w:pPr>
      <w:r w:rsidRPr="003E1098">
        <w:t>Group 2 (N = 20): Subjects homozygous for the F508del-CFTR mutation received 400 mg of LUM alone QD (Day 1 through Day 28), followed by 400 mg of LUM QD in combination with 250 mg of IV</w:t>
      </w:r>
      <w:r w:rsidR="005E35C0">
        <w:t>A q12h (Day 29 through Day 56)</w:t>
      </w:r>
    </w:p>
    <w:p w:rsidR="003E1098" w:rsidRPr="003E1098" w:rsidRDefault="003E1098" w:rsidP="005E35C0">
      <w:pPr>
        <w:pStyle w:val="ListBullet"/>
      </w:pPr>
      <w:r w:rsidRPr="003E1098">
        <w:t>Group 3 (N = 20): Subjects homozygous for the F508del-CFTR mutation received 600 mg of LUM alone QD (Day 1 through Day 28), followed by 600 mg of LUM QD in combination with 250 mg of IV</w:t>
      </w:r>
      <w:r w:rsidR="005E35C0">
        <w:t>A q12h (Day 29 through Day 56)</w:t>
      </w:r>
    </w:p>
    <w:p w:rsidR="003E1098" w:rsidRPr="003E1098" w:rsidRDefault="003E1098" w:rsidP="005E35C0">
      <w:pPr>
        <w:pStyle w:val="ListBullet"/>
      </w:pPr>
      <w:r w:rsidRPr="003E1098">
        <w:t>Group 4 (N = 20): Subjects heterozygous for the F508del-CFTR mutation received 600 mg of LUM alone QD (Day 1 through Day 28), followed by 600 mg of LUM QD in combination with 250 mg of IV</w:t>
      </w:r>
      <w:r w:rsidR="005E35C0">
        <w:t>A q12h (Day 29 through Day 56)</w:t>
      </w:r>
    </w:p>
    <w:p w:rsidR="003E1098" w:rsidRPr="003E1098" w:rsidRDefault="003E1098" w:rsidP="005E35C0">
      <w:pPr>
        <w:pStyle w:val="ListBullet"/>
      </w:pPr>
      <w:r w:rsidRPr="003E1098">
        <w:t>Group 5 (N = 20): Subjects homozygous or heterozygous for the F508del-CFTR mutation received LUM matched placebo QD (Day 1 through Day 28), followed by LUM matched placebo in combination with IVA matched place</w:t>
      </w:r>
      <w:r w:rsidR="005E35C0">
        <w:t>bo q12h (Day 29 through Day 56)</w:t>
      </w:r>
    </w:p>
    <w:p w:rsidR="00F21B6F" w:rsidRPr="00F21B6F" w:rsidRDefault="00F21B6F" w:rsidP="00ED400A">
      <w:pPr>
        <w:pStyle w:val="Heading7"/>
      </w:pPr>
      <w:r>
        <w:t>Cohort 3</w:t>
      </w:r>
    </w:p>
    <w:p w:rsidR="00F21B6F" w:rsidRPr="00F21B6F" w:rsidRDefault="00F21B6F" w:rsidP="00F21B6F">
      <w:r w:rsidRPr="00F21B6F">
        <w:t>Treatment grou</w:t>
      </w:r>
      <w:r>
        <w:t>ps in Cohort 3 were as follows:</w:t>
      </w:r>
    </w:p>
    <w:p w:rsidR="003E1098" w:rsidRPr="00F21B6F" w:rsidRDefault="00F21B6F" w:rsidP="00F21B6F">
      <w:pPr>
        <w:pStyle w:val="ListBullet"/>
      </w:pPr>
      <w:r w:rsidRPr="00F21B6F">
        <w:t>Group 1 (N = 10): Subjects homozygous for the F508del-CFTR mutation received 400 mg of LUM alone q12h (Day 1 through Day 28), followed by 400 mg of LUM q12h in combination with 250 mg of IVA q12h (Day 29 through Day 56).</w:t>
      </w:r>
    </w:p>
    <w:p w:rsidR="003E1098" w:rsidRPr="00F21B6F" w:rsidRDefault="00F21B6F" w:rsidP="00F21B6F">
      <w:pPr>
        <w:pStyle w:val="ListBullet"/>
      </w:pPr>
      <w:r w:rsidRPr="00F21B6F">
        <w:t>Group 2 (N = 3): Subjects homozygous for the F508del-CFTR mutation received LUM matched placebo q12h (Day 1 through Day 28), followed by LUM matched placebo q12h in combination with IVA matched placebo q12h (Day 29 through Day 56).</w:t>
      </w:r>
    </w:p>
    <w:p w:rsidR="00F21B6F" w:rsidRPr="00F21B6F" w:rsidRDefault="00F21B6F" w:rsidP="00ED400A">
      <w:pPr>
        <w:pStyle w:val="Heading7"/>
      </w:pPr>
      <w:r>
        <w:t>Cohort 4</w:t>
      </w:r>
    </w:p>
    <w:p w:rsidR="00F21B6F" w:rsidRPr="00F21B6F" w:rsidRDefault="00F21B6F" w:rsidP="00F21B6F">
      <w:r w:rsidRPr="00F21B6F">
        <w:t>Subjects were stratified by sex (male versus female) and forced expiratory volume in 1 second (</w:t>
      </w:r>
      <w:r w:rsidR="00A8789D" w:rsidRPr="001D064D">
        <w:t>FEV</w:t>
      </w:r>
      <w:r w:rsidR="00A8789D" w:rsidRPr="00A8789D">
        <w:rPr>
          <w:vertAlign w:val="subscript"/>
        </w:rPr>
        <w:t>1</w:t>
      </w:r>
      <w:r w:rsidRPr="00F21B6F">
        <w:t>) severity collected at the Screening Visit (&lt;70% versus ≥70% predicted), and then randomised (1:1) to 1 of the followin</w:t>
      </w:r>
      <w:r>
        <w:t>g treatment groups in Cohort 4:</w:t>
      </w:r>
    </w:p>
    <w:p w:rsidR="00F21B6F" w:rsidRPr="00F21B6F" w:rsidRDefault="00F21B6F" w:rsidP="00F21B6F">
      <w:pPr>
        <w:pStyle w:val="ListBullet"/>
      </w:pPr>
      <w:r w:rsidRPr="00F21B6F">
        <w:lastRenderedPageBreak/>
        <w:t xml:space="preserve">Group 1 (N = 60): Subjects heterozygous for the F508del-CFTR mutation received 400 mg of LUM q12h in combination with 250 mg of IVA q12h (Day 1 through Day 56). </w:t>
      </w:r>
    </w:p>
    <w:p w:rsidR="003E1098" w:rsidRPr="00F21B6F" w:rsidRDefault="00F21B6F" w:rsidP="00F21B6F">
      <w:pPr>
        <w:pStyle w:val="ListBullet"/>
      </w:pPr>
      <w:r w:rsidRPr="00F21B6F">
        <w:t>Group 2 (N = 60): Subjects heterozygous for the F508del-CFTR mutation received LUM in combination with IVA matched placebo q12h (Day 1 through Day 56).</w:t>
      </w:r>
    </w:p>
    <w:p w:rsidR="00F21B6F" w:rsidRPr="00F21B6F" w:rsidRDefault="00F21B6F" w:rsidP="00F21B6F">
      <w:pPr>
        <w:pStyle w:val="Heading6"/>
        <w:rPr>
          <w:rFonts w:eastAsiaTheme="minorHAnsi"/>
        </w:rPr>
      </w:pPr>
      <w:r>
        <w:rPr>
          <w:rFonts w:eastAsiaTheme="minorHAnsi"/>
        </w:rPr>
        <w:t>Sampling and analysis</w:t>
      </w:r>
    </w:p>
    <w:p w:rsidR="00F21B6F" w:rsidRPr="00F21B6F" w:rsidRDefault="00F21B6F" w:rsidP="00F21B6F">
      <w:r>
        <w:t>PK</w:t>
      </w:r>
    </w:p>
    <w:p w:rsidR="00F21B6F" w:rsidRPr="00F21B6F" w:rsidRDefault="00F21B6F" w:rsidP="00F21B6F">
      <w:r w:rsidRPr="00F21B6F">
        <w:t>For the evaluation of plasma concentrations of LUM and its metabolite, M28-LUM, as well as of IVA and its 2 metabolites, M1-IVA and M6-IVA, whole blood samples were collected from all subjects at the time points outlined be</w:t>
      </w:r>
      <w:r>
        <w:t>low:</w:t>
      </w:r>
    </w:p>
    <w:p w:rsidR="00F21B6F" w:rsidRPr="00F21B6F" w:rsidRDefault="00F21B6F" w:rsidP="00F21B6F">
      <w:pPr>
        <w:rPr>
          <w:i/>
        </w:rPr>
      </w:pPr>
      <w:r w:rsidRPr="00F21B6F">
        <w:rPr>
          <w:i/>
        </w:rPr>
        <w:t>Cohort 1</w:t>
      </w:r>
    </w:p>
    <w:p w:rsidR="00F21B6F" w:rsidRPr="00F21B6F" w:rsidRDefault="00F21B6F" w:rsidP="00F21B6F">
      <w:pPr>
        <w:pStyle w:val="ListBullet"/>
      </w:pPr>
      <w:r>
        <w:t>Monotherapy Period</w:t>
      </w:r>
    </w:p>
    <w:p w:rsidR="00F21B6F" w:rsidRPr="00F21B6F" w:rsidRDefault="00F21B6F" w:rsidP="00F21B6F">
      <w:pPr>
        <w:pStyle w:val="ListBullet2"/>
      </w:pPr>
      <w:r w:rsidRPr="00F21B6F">
        <w:t>Day 1: Pre-morning dose, 2 to 3 h, and 4</w:t>
      </w:r>
      <w:r>
        <w:t xml:space="preserve"> to 5 h after the morning dose</w:t>
      </w:r>
    </w:p>
    <w:p w:rsidR="00F21B6F" w:rsidRPr="00F21B6F" w:rsidRDefault="00F21B6F" w:rsidP="00F21B6F">
      <w:pPr>
        <w:pStyle w:val="ListBullet2"/>
      </w:pPr>
      <w:r>
        <w:t>Day 7: Pre-morning dose</w:t>
      </w:r>
    </w:p>
    <w:p w:rsidR="00F21B6F" w:rsidRPr="00F21B6F" w:rsidRDefault="00F21B6F" w:rsidP="00F21B6F">
      <w:pPr>
        <w:pStyle w:val="ListBullet2"/>
      </w:pPr>
      <w:r w:rsidRPr="00F21B6F">
        <w:t xml:space="preserve">Day 14: Pre-morning dose and up </w:t>
      </w:r>
      <w:r>
        <w:t>to 12 h after the morning dose</w:t>
      </w:r>
    </w:p>
    <w:p w:rsidR="00F21B6F" w:rsidRPr="00F21B6F" w:rsidRDefault="00F21B6F" w:rsidP="00F21B6F">
      <w:pPr>
        <w:pStyle w:val="ListBullet2"/>
      </w:pPr>
      <w:r w:rsidRPr="00F21B6F">
        <w:t>Day 15: Pre-morning dose (24 h after the last do</w:t>
      </w:r>
      <w:r>
        <w:t>se)</w:t>
      </w:r>
    </w:p>
    <w:p w:rsidR="00F21B6F" w:rsidRPr="00F21B6F" w:rsidRDefault="00F21B6F" w:rsidP="00F21B6F">
      <w:pPr>
        <w:pStyle w:val="ListBullet"/>
      </w:pPr>
      <w:r>
        <w:t>Combination Therapy Period</w:t>
      </w:r>
    </w:p>
    <w:p w:rsidR="00F21B6F" w:rsidRPr="00F21B6F" w:rsidRDefault="00F21B6F" w:rsidP="00F21B6F">
      <w:pPr>
        <w:pStyle w:val="ListBullet2"/>
      </w:pPr>
      <w:r w:rsidRPr="00F21B6F">
        <w:t xml:space="preserve">Day 21: Pre-morning dose and up </w:t>
      </w:r>
      <w:r>
        <w:t>to 12 h after the morning dose</w:t>
      </w:r>
    </w:p>
    <w:p w:rsidR="00F21B6F" w:rsidRPr="00F21B6F" w:rsidRDefault="00F21B6F" w:rsidP="00F21B6F">
      <w:pPr>
        <w:pStyle w:val="ListBullet2"/>
      </w:pPr>
      <w:r w:rsidRPr="00F21B6F">
        <w:t>Day 22: 24 h after the last morning dose (note that study drug was not adminis</w:t>
      </w:r>
      <w:r>
        <w:t>tered in the evening of Day 21)</w:t>
      </w:r>
    </w:p>
    <w:p w:rsidR="00F21B6F" w:rsidRPr="00F21B6F" w:rsidRDefault="00F21B6F" w:rsidP="00F21B6F">
      <w:pPr>
        <w:pStyle w:val="ListBullet2"/>
      </w:pPr>
      <w:r w:rsidRPr="00F21B6F">
        <w:t xml:space="preserve">Day 23: Between 30 h (afternoon or evening of Day 22) and 60 h (afternoon or evening </w:t>
      </w:r>
      <w:r>
        <w:t>of Day 23) after the last dose</w:t>
      </w:r>
    </w:p>
    <w:p w:rsidR="00F21B6F" w:rsidRDefault="00F21B6F" w:rsidP="00F21B6F">
      <w:pPr>
        <w:pStyle w:val="ListBullet2"/>
      </w:pPr>
      <w:r w:rsidRPr="00F21B6F">
        <w:t>Day 26, 27, or 28 (Safety Follow-up Visit): Between 120 h (morning of Day 26) to 180 h (afternoon or evening of Day 28) after the last dose.</w:t>
      </w:r>
    </w:p>
    <w:p w:rsidR="00F21B6F" w:rsidRPr="00F21B6F" w:rsidRDefault="00F21B6F" w:rsidP="00F21B6F">
      <w:pPr>
        <w:rPr>
          <w:i/>
        </w:rPr>
      </w:pPr>
      <w:r w:rsidRPr="00F21B6F">
        <w:rPr>
          <w:i/>
        </w:rPr>
        <w:t>Cohort 2</w:t>
      </w:r>
    </w:p>
    <w:p w:rsidR="00F21B6F" w:rsidRPr="00F21B6F" w:rsidRDefault="00F21B6F" w:rsidP="00F21B6F">
      <w:pPr>
        <w:pStyle w:val="ListBullet"/>
      </w:pPr>
      <w:r>
        <w:t>Monotherapy Period</w:t>
      </w:r>
    </w:p>
    <w:p w:rsidR="00F21B6F" w:rsidRPr="00F21B6F" w:rsidRDefault="00F21B6F" w:rsidP="00F21B6F">
      <w:pPr>
        <w:pStyle w:val="ListBullet2"/>
      </w:pPr>
      <w:r w:rsidRPr="00F21B6F">
        <w:t>Day 1: Pre-morning dose and 3</w:t>
      </w:r>
      <w:r>
        <w:t xml:space="preserve"> to 5 h after the morning dose</w:t>
      </w:r>
    </w:p>
    <w:p w:rsidR="00F21B6F" w:rsidRPr="00F21B6F" w:rsidRDefault="00F21B6F" w:rsidP="00F21B6F">
      <w:pPr>
        <w:pStyle w:val="ListBullet2"/>
      </w:pPr>
      <w:r>
        <w:t>Day 14: Pre-morning dose</w:t>
      </w:r>
    </w:p>
    <w:p w:rsidR="00F21B6F" w:rsidRPr="00F21B6F" w:rsidRDefault="00F21B6F" w:rsidP="00F21B6F">
      <w:pPr>
        <w:pStyle w:val="ListBullet2"/>
      </w:pPr>
      <w:r w:rsidRPr="00F21B6F">
        <w:t xml:space="preserve">Day 28: Pre-morning dose and up </w:t>
      </w:r>
      <w:r>
        <w:t>to 12 h after the morning dose</w:t>
      </w:r>
    </w:p>
    <w:p w:rsidR="00F21B6F" w:rsidRPr="00F21B6F" w:rsidRDefault="00F21B6F" w:rsidP="00F21B6F">
      <w:pPr>
        <w:pStyle w:val="ListBullet2"/>
      </w:pPr>
      <w:r w:rsidRPr="00F21B6F">
        <w:t xml:space="preserve">Day 29: Pre- morning </w:t>
      </w:r>
      <w:r>
        <w:t>dose (24 h after the last dose).</w:t>
      </w:r>
    </w:p>
    <w:p w:rsidR="00F21B6F" w:rsidRPr="00F21B6F" w:rsidRDefault="00F21B6F" w:rsidP="00F21B6F">
      <w:pPr>
        <w:pStyle w:val="ListBullet"/>
      </w:pPr>
      <w:r>
        <w:t>Combination Therapy Period</w:t>
      </w:r>
    </w:p>
    <w:p w:rsidR="00F21B6F" w:rsidRPr="00F21B6F" w:rsidRDefault="00F21B6F" w:rsidP="00F21B6F">
      <w:pPr>
        <w:pStyle w:val="ListBullet2"/>
      </w:pPr>
      <w:r w:rsidRPr="00F21B6F">
        <w:t>Day 42: Pre-mor</w:t>
      </w:r>
      <w:r>
        <w:t>ning dose</w:t>
      </w:r>
    </w:p>
    <w:p w:rsidR="00F21B6F" w:rsidRPr="00F21B6F" w:rsidRDefault="00F21B6F" w:rsidP="00F21B6F">
      <w:pPr>
        <w:pStyle w:val="ListBullet2"/>
      </w:pPr>
      <w:r w:rsidRPr="00F21B6F">
        <w:t xml:space="preserve">Day 56: Pre-morning dose and up </w:t>
      </w:r>
      <w:r>
        <w:t>to 12 h after the morning dose</w:t>
      </w:r>
    </w:p>
    <w:p w:rsidR="00F21B6F" w:rsidRPr="00F21B6F" w:rsidRDefault="00F21B6F" w:rsidP="00F21B6F">
      <w:pPr>
        <w:pStyle w:val="ListBullet2"/>
      </w:pPr>
      <w:r w:rsidRPr="00F21B6F">
        <w:t>Day 57: 24 h after the last morning dose (note that study drug was not adminis</w:t>
      </w:r>
      <w:r>
        <w:t>tered in the evening of Day 56)</w:t>
      </w:r>
    </w:p>
    <w:p w:rsidR="00F21B6F" w:rsidRPr="00F21B6F" w:rsidRDefault="00F21B6F" w:rsidP="00F21B6F">
      <w:pPr>
        <w:pStyle w:val="ListBullet2"/>
      </w:pPr>
      <w:r w:rsidRPr="00F21B6F">
        <w:t xml:space="preserve">Day 58: Between 30 h (afternoon or evening of Day 57) and 60 h (afternoon or evening </w:t>
      </w:r>
      <w:r>
        <w:t>of Day 58) after the last dose</w:t>
      </w:r>
    </w:p>
    <w:p w:rsidR="00F21B6F" w:rsidRPr="00F21B6F" w:rsidRDefault="00F21B6F" w:rsidP="00F21B6F">
      <w:pPr>
        <w:pStyle w:val="ListBullet2"/>
      </w:pPr>
      <w:r w:rsidRPr="00F21B6F">
        <w:t xml:space="preserve">Day 61, 62, or 63 (Safety Follow-up Visit): Between 120 h (morning of Day 61) to 180 h (afternoon or evening </w:t>
      </w:r>
      <w:r>
        <w:t>of Day 63) after the last dose.</w:t>
      </w:r>
    </w:p>
    <w:p w:rsidR="00F21B6F" w:rsidRPr="00F21B6F" w:rsidRDefault="00F21B6F" w:rsidP="00ED400A">
      <w:pPr>
        <w:keepNext/>
        <w:rPr>
          <w:i/>
        </w:rPr>
      </w:pPr>
      <w:r w:rsidRPr="00F21B6F">
        <w:rPr>
          <w:i/>
        </w:rPr>
        <w:lastRenderedPageBreak/>
        <w:t>Cohort 3</w:t>
      </w:r>
    </w:p>
    <w:p w:rsidR="00F21B6F" w:rsidRPr="00F21B6F" w:rsidRDefault="00F21B6F" w:rsidP="00F21B6F">
      <w:pPr>
        <w:pStyle w:val="ListBullet"/>
      </w:pPr>
      <w:r>
        <w:t>Monotherapy Period</w:t>
      </w:r>
    </w:p>
    <w:p w:rsidR="00F21B6F" w:rsidRPr="00F21B6F" w:rsidRDefault="00F21B6F" w:rsidP="00F21B6F">
      <w:pPr>
        <w:pStyle w:val="ListBullet2"/>
      </w:pPr>
      <w:r w:rsidRPr="00F21B6F">
        <w:t>Day 1: Before the morning dose, and 3</w:t>
      </w:r>
      <w:r>
        <w:t xml:space="preserve"> to 5 h after the morning dose</w:t>
      </w:r>
    </w:p>
    <w:p w:rsidR="00F21B6F" w:rsidRPr="00F21B6F" w:rsidRDefault="00F21B6F" w:rsidP="00F21B6F">
      <w:pPr>
        <w:pStyle w:val="ListBullet2"/>
      </w:pPr>
      <w:r w:rsidRPr="00F21B6F">
        <w:t>D</w:t>
      </w:r>
      <w:r>
        <w:t>ay 14: Before the morning dose</w:t>
      </w:r>
    </w:p>
    <w:p w:rsidR="00F21B6F" w:rsidRPr="00F21B6F" w:rsidRDefault="00F21B6F" w:rsidP="00F21B6F">
      <w:pPr>
        <w:pStyle w:val="ListBullet2"/>
      </w:pPr>
      <w:r w:rsidRPr="00F21B6F">
        <w:t xml:space="preserve">Day 28: Before the morning dose and up </w:t>
      </w:r>
      <w:r>
        <w:t>to 12 h after the morning dose</w:t>
      </w:r>
    </w:p>
    <w:p w:rsidR="00F21B6F" w:rsidRPr="00F21B6F" w:rsidRDefault="00F21B6F" w:rsidP="00F21B6F">
      <w:pPr>
        <w:pStyle w:val="ListBullet2"/>
      </w:pPr>
      <w:r w:rsidRPr="00F21B6F">
        <w:t>Day 29: Before the morning d</w:t>
      </w:r>
      <w:r>
        <w:t>ose (24 h after the last dose).</w:t>
      </w:r>
    </w:p>
    <w:p w:rsidR="00F21B6F" w:rsidRPr="00F21B6F" w:rsidRDefault="00F21B6F" w:rsidP="00F21B6F">
      <w:pPr>
        <w:pStyle w:val="ListBullet"/>
      </w:pPr>
      <w:r w:rsidRPr="00F21B6F">
        <w:t>Combination</w:t>
      </w:r>
      <w:r>
        <w:t xml:space="preserve"> Therapy Period</w:t>
      </w:r>
    </w:p>
    <w:p w:rsidR="00F21B6F" w:rsidRPr="0081607E" w:rsidRDefault="00F21B6F" w:rsidP="0081607E">
      <w:pPr>
        <w:pStyle w:val="ListBullet2"/>
      </w:pPr>
      <w:r w:rsidRPr="0081607E">
        <w:t>Day 42: Before the morning dose</w:t>
      </w:r>
    </w:p>
    <w:p w:rsidR="0081607E" w:rsidRPr="0081607E" w:rsidRDefault="0081607E" w:rsidP="0081607E">
      <w:pPr>
        <w:pStyle w:val="ListBullet2"/>
      </w:pPr>
      <w:r w:rsidRPr="0081607E">
        <w:t xml:space="preserve">Day 56: Before the morning dose and up </w:t>
      </w:r>
      <w:r>
        <w:t>to 12 h after the morning dose</w:t>
      </w:r>
    </w:p>
    <w:p w:rsidR="0081607E" w:rsidRPr="0081607E" w:rsidRDefault="0081607E" w:rsidP="0081607E">
      <w:pPr>
        <w:pStyle w:val="ListBullet2"/>
      </w:pPr>
      <w:r w:rsidRPr="0081607E">
        <w:t>Day 57: 24 h after the last morning dose (note that study drug was not administ</w:t>
      </w:r>
      <w:r>
        <w:t>ered in the evening of Day 56)</w:t>
      </w:r>
    </w:p>
    <w:p w:rsidR="0081607E" w:rsidRPr="0081607E" w:rsidRDefault="0081607E" w:rsidP="0081607E">
      <w:pPr>
        <w:pStyle w:val="ListBullet2"/>
      </w:pPr>
      <w:r w:rsidRPr="0081607E">
        <w:t xml:space="preserve">Day 57 or 58: Between 30 h (afternoon or evening of Day 57) and 60 h (afternoon or evening </w:t>
      </w:r>
      <w:r>
        <w:t>of Day 58) after the last dose</w:t>
      </w:r>
    </w:p>
    <w:p w:rsidR="0081607E" w:rsidRPr="0081607E" w:rsidRDefault="0081607E" w:rsidP="0081607E">
      <w:pPr>
        <w:pStyle w:val="ListBullet2"/>
      </w:pPr>
      <w:r w:rsidRPr="0081607E">
        <w:t xml:space="preserve">Day 61, 62, or 63 (Safety Follow-up Visit): Between 120 h (morning of Day 61) to 180 h (afternoon or evening </w:t>
      </w:r>
      <w:r>
        <w:t>of Day 63) after the last dose.</w:t>
      </w:r>
    </w:p>
    <w:p w:rsidR="0081607E" w:rsidRPr="0081607E" w:rsidRDefault="0081607E" w:rsidP="0081607E">
      <w:pPr>
        <w:rPr>
          <w:i/>
        </w:rPr>
      </w:pPr>
      <w:r w:rsidRPr="0081607E">
        <w:rPr>
          <w:i/>
        </w:rPr>
        <w:t>Cohort 4</w:t>
      </w:r>
    </w:p>
    <w:p w:rsidR="0081607E" w:rsidRPr="0081607E" w:rsidRDefault="0081607E" w:rsidP="00923C89">
      <w:pPr>
        <w:pStyle w:val="ListBullet"/>
      </w:pPr>
      <w:r w:rsidRPr="0081607E">
        <w:t>L</w:t>
      </w:r>
      <w:r>
        <w:t>UM and IVA Combination Therapy:</w:t>
      </w:r>
    </w:p>
    <w:p w:rsidR="0081607E" w:rsidRPr="0081607E" w:rsidRDefault="0081607E" w:rsidP="00923C89">
      <w:pPr>
        <w:pStyle w:val="ListBullet2"/>
      </w:pPr>
      <w:r w:rsidRPr="0081607E">
        <w:t xml:space="preserve">Day 1: Before the morning dose, and 2, 4, </w:t>
      </w:r>
      <w:r w:rsidR="00923C89">
        <w:t>and 6 h after the morning dose</w:t>
      </w:r>
    </w:p>
    <w:p w:rsidR="0081607E" w:rsidRPr="0081607E" w:rsidRDefault="0081607E" w:rsidP="00923C89">
      <w:pPr>
        <w:pStyle w:val="ListBullet2"/>
      </w:pPr>
      <w:r w:rsidRPr="0081607E">
        <w:t>Days 7 a</w:t>
      </w:r>
      <w:r w:rsidR="00923C89">
        <w:t>nd 14: Before the morning dose</w:t>
      </w:r>
    </w:p>
    <w:p w:rsidR="0081607E" w:rsidRPr="0081607E" w:rsidRDefault="0081607E" w:rsidP="00923C89">
      <w:pPr>
        <w:pStyle w:val="ListBullet2"/>
      </w:pPr>
      <w:r w:rsidRPr="0081607E">
        <w:t xml:space="preserve">Day 28: Pre-morning dose and up </w:t>
      </w:r>
      <w:r w:rsidR="00923C89">
        <w:t>to 12 h after the morning dose</w:t>
      </w:r>
    </w:p>
    <w:p w:rsidR="0081607E" w:rsidRPr="0081607E" w:rsidRDefault="0081607E" w:rsidP="00923C89">
      <w:pPr>
        <w:pStyle w:val="ListBullet2"/>
      </w:pPr>
      <w:r w:rsidRPr="0081607E">
        <w:t>Days 42 and 56: Before the</w:t>
      </w:r>
      <w:r w:rsidR="00923C89">
        <w:t xml:space="preserve"> morning dose</w:t>
      </w:r>
    </w:p>
    <w:p w:rsidR="00F21B6F" w:rsidRDefault="0081607E" w:rsidP="00923C89">
      <w:pPr>
        <w:pStyle w:val="ListBullet2"/>
      </w:pPr>
      <w:r w:rsidRPr="0081607E">
        <w:t>Day 56: Before the morning dose</w:t>
      </w:r>
      <w:r w:rsidR="00923C89">
        <w:t>.</w:t>
      </w:r>
    </w:p>
    <w:p w:rsidR="00923C89" w:rsidRPr="00923C89" w:rsidRDefault="00923C89" w:rsidP="00923C89">
      <w:pPr>
        <w:pStyle w:val="Heading6"/>
        <w:rPr>
          <w:rFonts w:eastAsiaTheme="minorHAnsi"/>
        </w:rPr>
      </w:pPr>
      <w:r>
        <w:rPr>
          <w:rFonts w:eastAsiaTheme="minorHAnsi"/>
        </w:rPr>
        <w:t>Efficacy Assessments</w:t>
      </w:r>
    </w:p>
    <w:p w:rsidR="00923C89" w:rsidRPr="00923C89" w:rsidRDefault="00923C89" w:rsidP="00923C89">
      <w:r w:rsidRPr="00923C89">
        <w:t>Efficacy assessments included sweat chloride tests, spirometry measurements (</w:t>
      </w:r>
      <w:r w:rsidR="00A8789D" w:rsidRPr="001D064D">
        <w:t>FEV</w:t>
      </w:r>
      <w:r w:rsidR="00A8789D" w:rsidRPr="00A8789D">
        <w:rPr>
          <w:vertAlign w:val="subscript"/>
        </w:rPr>
        <w:t>1</w:t>
      </w:r>
      <w:r w:rsidRPr="00923C89">
        <w:t xml:space="preserve">; FVC; FEF25%-75% and </w:t>
      </w:r>
      <w:r w:rsidR="00A8789D" w:rsidRPr="001D064D">
        <w:t>FEV</w:t>
      </w:r>
      <w:r w:rsidR="00A8789D" w:rsidRPr="00A8789D">
        <w:rPr>
          <w:vertAlign w:val="subscript"/>
        </w:rPr>
        <w:t>1</w:t>
      </w:r>
      <w:r w:rsidRPr="00923C89">
        <w:t>/FVC); CFQ-R (Cohort 2, Cohort 3, and Cohort 4); and for Cohort 4 only, BMI a</w:t>
      </w:r>
      <w:r>
        <w:t>nd weight.</w:t>
      </w:r>
    </w:p>
    <w:p w:rsidR="00923C89" w:rsidRPr="00923C89" w:rsidRDefault="00923C89" w:rsidP="00923C89">
      <w:pPr>
        <w:pStyle w:val="Heading6"/>
        <w:rPr>
          <w:rFonts w:eastAsiaTheme="minorHAnsi"/>
        </w:rPr>
      </w:pPr>
      <w:r>
        <w:rPr>
          <w:rFonts w:eastAsiaTheme="minorHAnsi"/>
        </w:rPr>
        <w:t>Study participants</w:t>
      </w:r>
    </w:p>
    <w:p w:rsidR="00923C89" w:rsidRDefault="00923C89" w:rsidP="00923C89">
      <w:r>
        <w:t>Enrolled:</w:t>
      </w:r>
    </w:p>
    <w:p w:rsidR="00923C89" w:rsidRDefault="00052908" w:rsidP="00923C89">
      <w:pPr>
        <w:pStyle w:val="ListBullet"/>
      </w:pPr>
      <w:r>
        <w:t>Cohort 1;</w:t>
      </w:r>
      <w:r w:rsidR="00923C89" w:rsidRPr="00923C89">
        <w:t xml:space="preserve"> Sixty-two, predominantly white (n = 61) subjects (31 females) with a mean age (</w:t>
      </w:r>
      <w:r w:rsidR="003E4A33">
        <w:t>range) of 29.1 years (18 to</w:t>
      </w:r>
      <w:r w:rsidR="00923C89">
        <w:t xml:space="preserve"> 52)</w:t>
      </w:r>
    </w:p>
    <w:p w:rsidR="00923C89" w:rsidRDefault="00923C89" w:rsidP="00923C89">
      <w:pPr>
        <w:pStyle w:val="ListBullet"/>
      </w:pPr>
      <w:r w:rsidRPr="00923C89">
        <w:t>Pooled Cohorts 2 and 3 - One hundred and twenty-four, predominantly white (n = 123) subjects (53 female) with a mean age (</w:t>
      </w:r>
      <w:r w:rsidR="00052908">
        <w:t>range) of 28.3 years (18 to</w:t>
      </w:r>
      <w:r>
        <w:t xml:space="preserve"> 63)</w:t>
      </w:r>
    </w:p>
    <w:p w:rsidR="00923C89" w:rsidRPr="00923C89" w:rsidRDefault="00052908" w:rsidP="00923C89">
      <w:pPr>
        <w:pStyle w:val="ListBullet"/>
      </w:pPr>
      <w:r>
        <w:t>Cohort 4;</w:t>
      </w:r>
      <w:r w:rsidR="00923C89" w:rsidRPr="00923C89">
        <w:t xml:space="preserve"> One hundred and twenty-five, predominantly white (n = 120) subjects (60 female) with a mean </w:t>
      </w:r>
      <w:r>
        <w:t xml:space="preserve">age (range) of 29.9 years (18 to </w:t>
      </w:r>
      <w:r w:rsidR="00923C89" w:rsidRPr="00923C89">
        <w:t>58). A total of 62 subjects received 400 mg LUM q12h + 250 mg IVA q12h an</w:t>
      </w:r>
      <w:r w:rsidR="00923C89">
        <w:t>d 63 subjects received placebo.</w:t>
      </w:r>
    </w:p>
    <w:p w:rsidR="00923C89" w:rsidRDefault="00923C89" w:rsidP="00923C89">
      <w:r>
        <w:t>Completed:</w:t>
      </w:r>
    </w:p>
    <w:p w:rsidR="00923C89" w:rsidRPr="00923C89" w:rsidRDefault="00923C89" w:rsidP="00923C89">
      <w:r w:rsidRPr="00923C89">
        <w:t>In Cohorts 1, 2, 3 and 4, 61, 100, 13 and 118 subjects completed treatment, respectively. The numbers of subjects who discontinued due to an AE in the 4 cohorts were 1, 6, 13 and 4, resp</w:t>
      </w:r>
      <w:r>
        <w:t>ectively.</w:t>
      </w:r>
    </w:p>
    <w:p w:rsidR="00923C89" w:rsidRDefault="00923C89" w:rsidP="00923C89">
      <w:r>
        <w:t>Analysed:</w:t>
      </w:r>
    </w:p>
    <w:p w:rsidR="00923C89" w:rsidRPr="00923C89" w:rsidRDefault="00923C89" w:rsidP="00923C89">
      <w:r w:rsidRPr="00923C89">
        <w:lastRenderedPageBreak/>
        <w:t>The FAS included 62 subjects in Cohort 1, 109 subjects in Cohort 2, 15 subjects in Cohort 3 and 125 subjects in Cohort 4. A total of 39 subjects in Cohort 1, 79 subjects in Cohort 2, and 11 subjects</w:t>
      </w:r>
      <w:r>
        <w:t xml:space="preserve"> </w:t>
      </w:r>
      <w:r w:rsidRPr="00923C89">
        <w:t>in Cohort 3, and 56 subjects in Cohort 4 in the PK Analysis Set were included in PK parameter listing, summary, and statistical</w:t>
      </w:r>
      <w:r>
        <w:t xml:space="preserve"> assessments, where applicable.</w:t>
      </w:r>
    </w:p>
    <w:p w:rsidR="00923C89" w:rsidRPr="00923C89" w:rsidRDefault="00923C89" w:rsidP="00923C89">
      <w:pPr>
        <w:pStyle w:val="Heading6"/>
        <w:rPr>
          <w:rFonts w:eastAsiaTheme="minorHAnsi"/>
        </w:rPr>
      </w:pPr>
      <w:r>
        <w:t>Results</w:t>
      </w:r>
    </w:p>
    <w:p w:rsidR="00923C89" w:rsidRPr="00923C89" w:rsidRDefault="00923C89" w:rsidP="00923C89">
      <w:r>
        <w:t>PK</w:t>
      </w:r>
    </w:p>
    <w:p w:rsidR="0081607E" w:rsidRPr="0081607E" w:rsidRDefault="00923C89" w:rsidP="0081607E">
      <w:r w:rsidRPr="00923C89">
        <w:t xml:space="preserve">The PK Analysis Set included all randomised subjects who received at least 1 dose of study drug and for whom the primary PK data was considered to be sufficient and interpretable. A separate statistical analysis excluding subjects who did not finish the treatment period </w:t>
      </w:r>
      <w:proofErr w:type="gramStart"/>
      <w:r w:rsidRPr="00923C89">
        <w:t>or</w:t>
      </w:r>
      <w:proofErr w:type="gramEnd"/>
      <w:r w:rsidRPr="00923C89">
        <w:t xml:space="preserve"> had missing values for the PK parameters analysed was performed.</w:t>
      </w:r>
    </w:p>
    <w:p w:rsidR="007F4B4F" w:rsidRDefault="007F4B4F" w:rsidP="007F4B4F">
      <w:r w:rsidRPr="007F4B4F">
        <w:t>Following mult</w:t>
      </w:r>
      <w:r w:rsidR="00661535">
        <w:t>iple doses of 200 mg LUM QD/250 </w:t>
      </w:r>
      <w:r w:rsidRPr="007F4B4F">
        <w:t xml:space="preserve">mg IVA q12h in homozygous subjects the </w:t>
      </w:r>
      <w:r w:rsidR="00511EB7" w:rsidRPr="001E1E4D">
        <w:t>C</w:t>
      </w:r>
      <w:r w:rsidR="00511EB7" w:rsidRPr="00511EB7">
        <w:rPr>
          <w:vertAlign w:val="subscript"/>
        </w:rPr>
        <w:t>max</w:t>
      </w:r>
      <w:r w:rsidRPr="007F4B4F">
        <w:t xml:space="preserve">, </w:t>
      </w:r>
      <w:r w:rsidR="00511EB7" w:rsidRPr="002227DB">
        <w:t>AUC</w:t>
      </w:r>
      <w:r w:rsidR="00511EB7" w:rsidRPr="00511EB7">
        <w:rPr>
          <w:vertAlign w:val="subscript"/>
        </w:rPr>
        <w:t>τ</w:t>
      </w:r>
      <w:r w:rsidRPr="007F4B4F">
        <w:t xml:space="preserve">, </w:t>
      </w:r>
      <w:r w:rsidR="00511EB7" w:rsidRPr="002227DB">
        <w:t>C</w:t>
      </w:r>
      <w:r w:rsidR="00511EB7" w:rsidRPr="00511EB7">
        <w:rPr>
          <w:vertAlign w:val="subscript"/>
        </w:rPr>
        <w:t>min</w:t>
      </w:r>
      <w:r w:rsidRPr="007F4B4F">
        <w:t xml:space="preserve"> and </w:t>
      </w:r>
      <w:r w:rsidR="00511EB7" w:rsidRPr="001E1E4D">
        <w:t>T</w:t>
      </w:r>
      <w:r w:rsidR="00511EB7" w:rsidRPr="00511EB7">
        <w:rPr>
          <w:vertAlign w:val="subscript"/>
        </w:rPr>
        <w:t>max</w:t>
      </w:r>
      <w:r w:rsidR="00661535">
        <w:t xml:space="preserve"> of LUM were 1.13, 1.23, 1.25 </w:t>
      </w:r>
      <w:r w:rsidRPr="007F4B4F">
        <w:t>and 1.39</w:t>
      </w:r>
      <w:r w:rsidR="00511EB7">
        <w:t xml:space="preserve"> fold</w:t>
      </w:r>
      <w:r w:rsidRPr="007F4B4F">
        <w:t xml:space="preserve"> higher than following dosing with 200 mg LUM QD/150 mg IVA q12h (</w:t>
      </w:r>
      <w:r w:rsidRPr="00791AA8">
        <w:t xml:space="preserve">Table </w:t>
      </w:r>
      <w:r w:rsidR="00791AA8" w:rsidRPr="00791AA8">
        <w:t>10</w:t>
      </w:r>
      <w:r w:rsidRPr="007F4B4F">
        <w:t>). When administered in combination with 200 mg LUM QD, the IVA exposures (</w:t>
      </w:r>
      <w:r w:rsidR="00511EB7" w:rsidRPr="002227DB">
        <w:t>AUC</w:t>
      </w:r>
      <w:r w:rsidR="00511EB7" w:rsidRPr="00511EB7">
        <w:rPr>
          <w:vertAlign w:val="subscript"/>
        </w:rPr>
        <w:t>τ</w:t>
      </w:r>
      <w:r w:rsidRPr="007F4B4F">
        <w:t xml:space="preserve">, </w:t>
      </w:r>
      <w:r w:rsidR="00511EB7" w:rsidRPr="001E1E4D">
        <w:t>C</w:t>
      </w:r>
      <w:r w:rsidR="00511EB7" w:rsidRPr="00511EB7">
        <w:rPr>
          <w:vertAlign w:val="subscript"/>
        </w:rPr>
        <w:t>max</w:t>
      </w:r>
      <w:r w:rsidRPr="007F4B4F">
        <w:t xml:space="preserve">, and </w:t>
      </w:r>
      <w:r w:rsidR="00511EB7" w:rsidRPr="002227DB">
        <w:t>C</w:t>
      </w:r>
      <w:r w:rsidR="00511EB7" w:rsidRPr="00511EB7">
        <w:rPr>
          <w:vertAlign w:val="subscript"/>
        </w:rPr>
        <w:t>min</w:t>
      </w:r>
      <w:r w:rsidRPr="007F4B4F">
        <w:t xml:space="preserve">) increased in a greater than dose proportional manner with increasing IVA doses from 150 mg q12h to 250 mg q12h, for example IVA </w:t>
      </w:r>
      <w:r w:rsidR="00511EB7" w:rsidRPr="001E1E4D">
        <w:t>C</w:t>
      </w:r>
      <w:r w:rsidR="00511EB7" w:rsidRPr="00511EB7">
        <w:rPr>
          <w:vertAlign w:val="subscript"/>
        </w:rPr>
        <w:t>max</w:t>
      </w:r>
      <w:r w:rsidRPr="007F4B4F">
        <w:t xml:space="preserve"> and </w:t>
      </w:r>
      <w:r w:rsidR="00511EB7" w:rsidRPr="002227DB">
        <w:t>AUC</w:t>
      </w:r>
      <w:r w:rsidR="00511EB7" w:rsidRPr="00511EB7">
        <w:rPr>
          <w:vertAlign w:val="subscript"/>
        </w:rPr>
        <w:t>τ</w:t>
      </w:r>
      <w:r w:rsidR="00661535">
        <w:t xml:space="preserve"> increased by approximately 2</w:t>
      </w:r>
      <w:r w:rsidRPr="007F4B4F">
        <w:t xml:space="preserve"> and 2.3</w:t>
      </w:r>
      <w:r w:rsidR="00511EB7">
        <w:t xml:space="preserve"> fold</w:t>
      </w:r>
      <w:r w:rsidRPr="007F4B4F">
        <w:t>, respectively, for a 1.67</w:t>
      </w:r>
      <w:r w:rsidR="00511EB7">
        <w:t xml:space="preserve"> fold</w:t>
      </w:r>
      <w:r w:rsidRPr="007F4B4F">
        <w:t xml:space="preserve"> increase in IVA dose (</w:t>
      </w:r>
      <w:r w:rsidRPr="00791AA8">
        <w:t xml:space="preserve">Table </w:t>
      </w:r>
      <w:r w:rsidR="00791AA8" w:rsidRPr="00791AA8">
        <w:t>11</w:t>
      </w:r>
      <w:r w:rsidRPr="007F4B4F">
        <w:t xml:space="preserve">). When IVA dose was fixed at 250 mg IVA q12h and LUM dose was increased from 200 mg QD to 600 mg QD in heterozygous subjects the </w:t>
      </w:r>
      <w:r w:rsidR="00511EB7" w:rsidRPr="002227DB">
        <w:t>AUC</w:t>
      </w:r>
      <w:r w:rsidR="00511EB7" w:rsidRPr="00511EB7">
        <w:rPr>
          <w:vertAlign w:val="subscript"/>
        </w:rPr>
        <w:t>0-24</w:t>
      </w:r>
      <w:r w:rsidRPr="007F4B4F">
        <w:t xml:space="preserve">h of LUM increased in a less than dose proportional manner; the coefficient of the log dose in the power model was estimated as 0.773 in combination therapy period </w:t>
      </w:r>
      <w:r w:rsidRPr="007F1BD1">
        <w:t xml:space="preserve">(Table </w:t>
      </w:r>
      <w:r w:rsidR="00C31493" w:rsidRPr="007F1BD1">
        <w:t>12</w:t>
      </w:r>
      <w:r w:rsidRPr="007F1BD1">
        <w:t xml:space="preserve">). For </w:t>
      </w:r>
      <w:r w:rsidRPr="007F4B4F">
        <w:t xml:space="preserve">IVA, there was a decreasing trend in exposure when IVA was administered in combination with increasing doses of LUM ranging from 200 mg QD to 400 mg q12h; accordingly, IVA </w:t>
      </w:r>
      <w:r w:rsidRPr="00C31493">
        <w:t>CLss/F</w:t>
      </w:r>
      <w:r w:rsidRPr="007F4B4F">
        <w:t xml:space="preserve"> increased with increasing doses of LUM during combination therapy (50.2 L/h for 200 mg LUM QD + 250 mg IVA q12h, 72.8 L/h for 400 mg LUM QD + 250 mg IVA q12h, 83.0 L/h for 600 mg LUM QD + 250 mg IVA q12h, and 102 L/h for 400 mg LUM q12h + 250 mg IVA q12h) in homozygous subjects (</w:t>
      </w:r>
      <w:r w:rsidR="007F1BD1">
        <w:t>Table </w:t>
      </w:r>
      <w:r w:rsidR="00C31493" w:rsidRPr="00C31493">
        <w:t>13</w:t>
      </w:r>
      <w:r w:rsidR="00661535">
        <w:t>).</w:t>
      </w:r>
    </w:p>
    <w:p w:rsidR="00694D97" w:rsidRDefault="00694D97" w:rsidP="00694D97">
      <w:pPr>
        <w:pStyle w:val="Tabletitle"/>
      </w:pPr>
      <w:proofErr w:type="gramStart"/>
      <w:r>
        <w:t xml:space="preserve">Table </w:t>
      </w:r>
      <w:r w:rsidR="00791AA8">
        <w:t>10.</w:t>
      </w:r>
      <w:proofErr w:type="gramEnd"/>
      <w:r w:rsidR="00791AA8">
        <w:t xml:space="preserve"> </w:t>
      </w:r>
      <w:r>
        <w:t>Study VX09-809-102 Summary of lumacaftor PK parameters by treatmen</w:t>
      </w:r>
      <w:r w:rsidR="00791AA8">
        <w:t>t cohort (C</w:t>
      </w:r>
      <w:r>
        <w:t>ohort 1)</w:t>
      </w:r>
    </w:p>
    <w:p w:rsidR="00694D97" w:rsidRDefault="00694D97" w:rsidP="00694D97">
      <w:r>
        <w:rPr>
          <w:noProof/>
          <w:lang w:eastAsia="en-AU"/>
        </w:rPr>
        <w:drawing>
          <wp:inline distT="0" distB="0" distL="0" distR="0" wp14:anchorId="61C2094C" wp14:editId="6BEBA13E">
            <wp:extent cx="5353407" cy="2055571"/>
            <wp:effectExtent l="0" t="0" r="0" b="1905"/>
            <wp:docPr id="15" name="Picture 15" descr="Table 10. Study VX09-809-102 Summary of lumacaftor PK parameters by treatment cohort (Coho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350679" cy="2054524"/>
                    </a:xfrm>
                    <a:prstGeom prst="rect">
                      <a:avLst/>
                    </a:prstGeom>
                  </pic:spPr>
                </pic:pic>
              </a:graphicData>
            </a:graphic>
          </wp:inline>
        </w:drawing>
      </w:r>
    </w:p>
    <w:p w:rsidR="00694D97" w:rsidRDefault="00694D97" w:rsidP="000F1730">
      <w:pPr>
        <w:pStyle w:val="TableDescription"/>
      </w:pPr>
      <w:r>
        <w:t>AUC</w:t>
      </w:r>
      <w:r w:rsidRPr="00694D97">
        <w:rPr>
          <w:vertAlign w:val="subscript"/>
        </w:rPr>
        <w:t>τ</w:t>
      </w:r>
      <w:r>
        <w:t xml:space="preserve">: AUC from the time of dosing to the end of the dosing interval, τ (24 hours); CLss/F: </w:t>
      </w:r>
      <w:r w:rsidR="000F1730">
        <w:t>apparent</w:t>
      </w:r>
      <w:r>
        <w:t xml:space="preserve"> </w:t>
      </w:r>
      <w:r w:rsidR="000F1730">
        <w:t>clearance</w:t>
      </w:r>
      <w:r>
        <w:t xml:space="preserve"> at steady state; C</w:t>
      </w:r>
      <w:r w:rsidRPr="000F1730">
        <w:rPr>
          <w:vertAlign w:val="subscript"/>
        </w:rPr>
        <w:t>max</w:t>
      </w:r>
      <w:r>
        <w:t xml:space="preserve"> maximum observed concentration; C</w:t>
      </w:r>
      <w:r w:rsidRPr="000F1730">
        <w:rPr>
          <w:vertAlign w:val="subscript"/>
        </w:rPr>
        <w:t>min</w:t>
      </w:r>
      <w:r w:rsidR="000F1730">
        <w:t>:</w:t>
      </w:r>
      <w:r>
        <w:t xml:space="preserve"> </w:t>
      </w:r>
      <w:r w:rsidR="000F1730">
        <w:t>minimum</w:t>
      </w:r>
      <w:r>
        <w:t xml:space="preserve"> observed concentration; IVA: ivacaftor;</w:t>
      </w:r>
      <w:r w:rsidR="000F1730">
        <w:t xml:space="preserve"> q12h: every 12 hours; qd once daily; t</w:t>
      </w:r>
      <w:r w:rsidR="000F1730" w:rsidRPr="000F1730">
        <w:rPr>
          <w:vertAlign w:val="subscript"/>
        </w:rPr>
        <w:t>max</w:t>
      </w:r>
      <w:r w:rsidR="000F1730">
        <w:t xml:space="preserve">: time of maximum concentration. </w:t>
      </w:r>
      <w:proofErr w:type="gramStart"/>
      <w:r w:rsidR="000F1730" w:rsidRPr="000F1730">
        <w:rPr>
          <w:vertAlign w:val="superscript"/>
        </w:rPr>
        <w:t>a</w:t>
      </w:r>
      <w:proofErr w:type="gramEnd"/>
      <w:r w:rsidR="000F1730">
        <w:t xml:space="preserve"> Mean SD values are presented </w:t>
      </w:r>
      <w:r w:rsidR="000F1730" w:rsidRPr="000F1730">
        <w:rPr>
          <w:vertAlign w:val="superscript"/>
        </w:rPr>
        <w:t>b</w:t>
      </w:r>
      <w:r w:rsidR="000F1730">
        <w:t xml:space="preserve"> Median (minimum, maximum) values are presented.</w:t>
      </w:r>
    </w:p>
    <w:p w:rsidR="00791AA8" w:rsidRDefault="00791AA8" w:rsidP="00791AA8">
      <w:pPr>
        <w:pStyle w:val="Tabletitle"/>
      </w:pPr>
      <w:proofErr w:type="gramStart"/>
      <w:r>
        <w:lastRenderedPageBreak/>
        <w:t>Table 11.</w:t>
      </w:r>
      <w:proofErr w:type="gramEnd"/>
      <w:r>
        <w:t xml:space="preserve"> Study VX09-809-102. Summary of Ivacaftor, M1-Ivacaftor and M6-Ivacaftor PK parameters</w:t>
      </w:r>
      <w:r w:rsidR="007F1BD1">
        <w:t xml:space="preserve"> on Day 21 by treatment group (C</w:t>
      </w:r>
      <w:r>
        <w:t>ohort 1)</w:t>
      </w:r>
    </w:p>
    <w:p w:rsidR="00791AA8" w:rsidRDefault="00791AA8" w:rsidP="00791AA8">
      <w:r>
        <w:rPr>
          <w:noProof/>
          <w:lang w:eastAsia="en-AU"/>
        </w:rPr>
        <w:drawing>
          <wp:inline distT="0" distB="0" distL="0" distR="0" wp14:anchorId="4995B24C" wp14:editId="0EE5E14F">
            <wp:extent cx="4908499" cy="3949349"/>
            <wp:effectExtent l="0" t="0" r="6985" b="0"/>
            <wp:docPr id="10" name="Picture 10" descr="Table 11. Study VX09-809-102. Summary of Ivacaftor, M1-Ivacaftor and M6-Ivacaftor PK parameters on Day 21 by treatment group (Coho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911655" cy="3951888"/>
                    </a:xfrm>
                    <a:prstGeom prst="rect">
                      <a:avLst/>
                    </a:prstGeom>
                  </pic:spPr>
                </pic:pic>
              </a:graphicData>
            </a:graphic>
          </wp:inline>
        </w:drawing>
      </w:r>
    </w:p>
    <w:p w:rsidR="00791AA8" w:rsidRDefault="00C31493" w:rsidP="00C31493">
      <w:pPr>
        <w:pStyle w:val="Tabletitle"/>
      </w:pPr>
      <w:proofErr w:type="gramStart"/>
      <w:r>
        <w:t>Table 12.</w:t>
      </w:r>
      <w:proofErr w:type="gramEnd"/>
      <w:r>
        <w:t xml:space="preserve"> Study VX09-809-102. Summary of lumacaftor PK parameters by treatment (Cohort 2 and Cohort 3)</w:t>
      </w:r>
    </w:p>
    <w:p w:rsidR="00791AA8" w:rsidRDefault="00C31493" w:rsidP="00791AA8">
      <w:r>
        <w:rPr>
          <w:noProof/>
          <w:lang w:eastAsia="en-AU"/>
        </w:rPr>
        <w:drawing>
          <wp:inline distT="0" distB="0" distL="0" distR="0" wp14:anchorId="2401430E" wp14:editId="5F764221">
            <wp:extent cx="5454411" cy="3781958"/>
            <wp:effectExtent l="0" t="0" r="0" b="9525"/>
            <wp:docPr id="18" name="Picture 18" descr="Table 12. Study VX09-809-102. Summary of lumacaftor PK parameters by treatment (Cohort 2 and Cohor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457074" cy="3783804"/>
                    </a:xfrm>
                    <a:prstGeom prst="rect">
                      <a:avLst/>
                    </a:prstGeom>
                  </pic:spPr>
                </pic:pic>
              </a:graphicData>
            </a:graphic>
          </wp:inline>
        </w:drawing>
      </w:r>
    </w:p>
    <w:p w:rsidR="00791AA8" w:rsidRDefault="007F1BD1" w:rsidP="00C31493">
      <w:pPr>
        <w:pStyle w:val="Tabletitle"/>
      </w:pPr>
      <w:proofErr w:type="gramStart"/>
      <w:r>
        <w:lastRenderedPageBreak/>
        <w:t>Table 13.</w:t>
      </w:r>
      <w:proofErr w:type="gramEnd"/>
      <w:r w:rsidR="00C31493">
        <w:t xml:space="preserve"> Study VX09-809-102. Summary of ivacaftor, M1-Ivacaftor and M6-ivacaftor PK parameters</w:t>
      </w:r>
      <w:r>
        <w:t xml:space="preserve"> on Day 56 by treatment group (C</w:t>
      </w:r>
      <w:r w:rsidR="00C31493">
        <w:t>ohort</w:t>
      </w:r>
      <w:r>
        <w:t xml:space="preserve"> 2 and C</w:t>
      </w:r>
      <w:r w:rsidR="00C31493">
        <w:t>ohort 3)</w:t>
      </w:r>
    </w:p>
    <w:p w:rsidR="00791AA8" w:rsidRPr="00791AA8" w:rsidRDefault="00C31493" w:rsidP="00791AA8">
      <w:r>
        <w:rPr>
          <w:noProof/>
          <w:lang w:eastAsia="en-AU"/>
        </w:rPr>
        <w:drawing>
          <wp:inline distT="0" distB="0" distL="0" distR="0" wp14:anchorId="56D3E838" wp14:editId="1A808C54">
            <wp:extent cx="5397484" cy="3350361"/>
            <wp:effectExtent l="0" t="0" r="0" b="2540"/>
            <wp:docPr id="19" name="Picture 19" descr="Table 13. Study VX09-809-102. Summary of ivacaftor, M1-Ivacaftor and M6-ivacaftor PK parameters on Day 56 by treatment group (Cohort 2 and Cohor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401299" cy="3352729"/>
                    </a:xfrm>
                    <a:prstGeom prst="rect">
                      <a:avLst/>
                    </a:prstGeom>
                  </pic:spPr>
                </pic:pic>
              </a:graphicData>
            </a:graphic>
          </wp:inline>
        </w:drawing>
      </w:r>
    </w:p>
    <w:p w:rsidR="0089573F" w:rsidRPr="0089573F" w:rsidRDefault="007F4B4F" w:rsidP="0089573F">
      <w:pPr>
        <w:pStyle w:val="Heading5"/>
      </w:pPr>
      <w:r w:rsidRPr="0089573F">
        <w:t>Study K272</w:t>
      </w:r>
    </w:p>
    <w:p w:rsidR="007F4B4F" w:rsidRPr="007F4B4F" w:rsidRDefault="0089573F" w:rsidP="007F4B4F">
      <w:r w:rsidRPr="007F4B4F">
        <w:t>Study K272</w:t>
      </w:r>
      <w:r w:rsidR="007F4B4F" w:rsidRPr="007F4B4F">
        <w:t xml:space="preserve"> provided a pooled PK analysis of sparse PK data from two </w:t>
      </w:r>
      <w:r w:rsidR="00661535">
        <w:t>Phase </w:t>
      </w:r>
      <w:r w:rsidR="00511EB7">
        <w:t>III</w:t>
      </w:r>
      <w:r w:rsidR="007F4B4F" w:rsidRPr="007F4B4F">
        <w:t xml:space="preserve"> </w:t>
      </w:r>
      <w:r w:rsidR="00980975">
        <w:t>Studies</w:t>
      </w:r>
      <w:r w:rsidR="007F4B4F" w:rsidRPr="007F4B4F">
        <w:t xml:space="preserve">, VX12-809-103 and </w:t>
      </w:r>
      <w:r w:rsidR="00C31493">
        <w:t>VX12-809-104</w:t>
      </w:r>
      <w:r w:rsidR="007F4B4F" w:rsidRPr="007F4B4F">
        <w:t xml:space="preserve">, in which the FDC tablets proposed for commercialisation were administered to patients with CF. This analysis indicated that the mean steady state LUM </w:t>
      </w:r>
      <w:r w:rsidR="00661535" w:rsidRPr="007F4B4F">
        <w:t>C</w:t>
      </w:r>
      <w:r w:rsidR="00661535" w:rsidRPr="00661535">
        <w:rPr>
          <w:vertAlign w:val="subscript"/>
        </w:rPr>
        <w:t>trough</w:t>
      </w:r>
      <w:r w:rsidR="007F4B4F" w:rsidRPr="007F4B4F">
        <w:t xml:space="preserve"> at each visit (except Day 1) appear higher in the LUM 400 mg q12h/IVA 250 mg q12h than the LUM 600 mg QD/IVA 250 mg q12h group and the mean steady state IVA </w:t>
      </w:r>
      <w:r w:rsidR="00661535">
        <w:t xml:space="preserve"> </w:t>
      </w:r>
      <w:r w:rsidR="00661535" w:rsidRPr="007F4B4F">
        <w:t>C</w:t>
      </w:r>
      <w:r w:rsidR="00661535" w:rsidRPr="00661535">
        <w:rPr>
          <w:vertAlign w:val="subscript"/>
        </w:rPr>
        <w:t>trough</w:t>
      </w:r>
      <w:r w:rsidR="007F4B4F" w:rsidRPr="007F4B4F">
        <w:t xml:space="preserve"> at each visit (except Day 1) appear lower in the LUM 400 mg q12h/IVA 250 mg q12h compared to the LUM 600 mg QD/IVA 250 mg q12h group (Table 4.18.1, p251). In addition, following administration of the FDC proposed for commercialisation at a dose of 400 mg LUM q12</w:t>
      </w:r>
      <w:r w:rsidR="00AB32E7">
        <w:t>h/250 mg IVA q12h, the mean LUM</w:t>
      </w:r>
      <w:r w:rsidR="00661535">
        <w:t xml:space="preserve"> </w:t>
      </w:r>
      <w:r w:rsidR="00661535" w:rsidRPr="007F4B4F">
        <w:t>C</w:t>
      </w:r>
      <w:r w:rsidR="00661535" w:rsidRPr="00661535">
        <w:rPr>
          <w:vertAlign w:val="subscript"/>
        </w:rPr>
        <w:t>trough</w:t>
      </w:r>
      <w:r w:rsidR="007F4B4F" w:rsidRPr="007F4B4F">
        <w:t xml:space="preserve"> increased </w:t>
      </w:r>
      <w:proofErr w:type="gramStart"/>
      <w:r w:rsidR="007F4B4F" w:rsidRPr="007F4B4F">
        <w:t xml:space="preserve">from 0.48 </w:t>
      </w:r>
      <w:r w:rsidR="00511EB7">
        <w:t>µ</w:t>
      </w:r>
      <w:r w:rsidR="00511EB7" w:rsidRPr="002227DB">
        <w:t>g</w:t>
      </w:r>
      <w:r w:rsidR="007F4B4F" w:rsidRPr="007F4B4F">
        <w:t>/mL on Day 1</w:t>
      </w:r>
      <w:proofErr w:type="gramEnd"/>
      <w:r w:rsidR="007F4B4F" w:rsidRPr="007F4B4F">
        <w:t xml:space="preserve"> to 14.1 </w:t>
      </w:r>
      <w:r w:rsidR="00511EB7">
        <w:t>µ</w:t>
      </w:r>
      <w:r w:rsidR="00511EB7" w:rsidRPr="002227DB">
        <w:t>g</w:t>
      </w:r>
      <w:r w:rsidR="007F4B4F" w:rsidRPr="007F4B4F">
        <w:t xml:space="preserve">/mL by Day 15 of dosing and thereafter remained relatively stable. For the IVA component, although IVA </w:t>
      </w:r>
      <w:r w:rsidR="00661535" w:rsidRPr="007F4B4F">
        <w:t>C</w:t>
      </w:r>
      <w:r w:rsidR="00661535" w:rsidRPr="00661535">
        <w:rPr>
          <w:vertAlign w:val="subscript"/>
        </w:rPr>
        <w:t>trough</w:t>
      </w:r>
      <w:r w:rsidR="007F4B4F" w:rsidRPr="007F4B4F">
        <w:t xml:space="preserve"> increased from Day 1 (0.042 </w:t>
      </w:r>
      <w:r w:rsidR="00511EB7">
        <w:t>µ</w:t>
      </w:r>
      <w:r w:rsidR="00511EB7" w:rsidRPr="002227DB">
        <w:t>g</w:t>
      </w:r>
      <w:r w:rsidR="007F4B4F" w:rsidRPr="007F4B4F">
        <w:t xml:space="preserve">/mL) to Day 15 (0.115 </w:t>
      </w:r>
      <w:r w:rsidR="00511EB7">
        <w:t>µ</w:t>
      </w:r>
      <w:r w:rsidR="00511EB7" w:rsidRPr="002227DB">
        <w:t>g</w:t>
      </w:r>
      <w:r w:rsidR="007F4B4F" w:rsidRPr="007F4B4F">
        <w:t xml:space="preserve">/mL) and then remained relatively stable, the magnitude of change for IVA </w:t>
      </w:r>
      <w:r w:rsidR="00661535" w:rsidRPr="007F4B4F">
        <w:t>C</w:t>
      </w:r>
      <w:r w:rsidR="00661535" w:rsidRPr="00661535">
        <w:rPr>
          <w:vertAlign w:val="subscript"/>
        </w:rPr>
        <w:t>trough</w:t>
      </w:r>
      <w:r w:rsidR="007F4B4F" w:rsidRPr="007F4B4F">
        <w:t xml:space="preserve"> (</w:t>
      </w:r>
      <w:r w:rsidR="00661535">
        <w:t xml:space="preserve">approximately </w:t>
      </w:r>
      <w:r w:rsidR="007F4B4F" w:rsidRPr="007F4B4F">
        <w:t>2.7</w:t>
      </w:r>
      <w:r w:rsidR="00511EB7">
        <w:t xml:space="preserve"> fold</w:t>
      </w:r>
      <w:r w:rsidR="007F4B4F" w:rsidRPr="007F4B4F">
        <w:t>) was considerably smaller than that seen for the LUM component (</w:t>
      </w:r>
      <w:r w:rsidR="00661535">
        <w:t xml:space="preserve">approximately </w:t>
      </w:r>
      <w:r w:rsidR="007F4B4F" w:rsidRPr="007F4B4F">
        <w:t>29</w:t>
      </w:r>
      <w:r w:rsidR="00511EB7">
        <w:t xml:space="preserve"> fold</w:t>
      </w:r>
      <w:r w:rsidR="007F4B4F" w:rsidRPr="007F4B4F">
        <w:t>)</w:t>
      </w:r>
      <w:r w:rsidR="00661535">
        <w:t>.</w:t>
      </w:r>
    </w:p>
    <w:p w:rsidR="007F4B4F" w:rsidRPr="007F4B4F" w:rsidRDefault="007F4B4F" w:rsidP="0089573F">
      <w:pPr>
        <w:pStyle w:val="Heading4"/>
      </w:pPr>
      <w:r w:rsidRPr="007F4B4F">
        <w:t>PKs in target populati</w:t>
      </w:r>
      <w:r w:rsidR="00661535">
        <w:t>on compared to healthy subjects</w:t>
      </w:r>
    </w:p>
    <w:p w:rsidR="007F4B4F" w:rsidRDefault="007F4B4F" w:rsidP="007F4B4F">
      <w:r w:rsidRPr="007F4B4F">
        <w:t xml:space="preserve">PopPK analysis, </w:t>
      </w:r>
      <w:r w:rsidR="00980975">
        <w:t>Study</w:t>
      </w:r>
      <w:r w:rsidRPr="007F4B4F">
        <w:t xml:space="preserve"> K050 estimated the effects of indi</w:t>
      </w:r>
      <w:r w:rsidR="00661535">
        <w:t xml:space="preserve">vidual </w:t>
      </w:r>
      <w:r w:rsidRPr="007F4B4F">
        <w:t>specific covariate factors, such as body weight and disease status, on the PKs of LUM and IVA. Results indicated that for the LUM component, bioavailability was 1.81 times higher in healthy subjects and zero order dose duration (D1) was increased by a fac</w:t>
      </w:r>
      <w:r w:rsidR="00661535">
        <w:t xml:space="preserve">tor of 1.34, whereas, the first </w:t>
      </w:r>
      <w:r w:rsidRPr="007F4B4F">
        <w:t>order absorption rate (Ka) and the oral absorption lag time (ALAG) were decreased by factors of 0.663 and 0.514, respectively, in healthy subjects compared to subjects with CF. For the IVA component, bioavailability was 1.53 times higher in healthy subjects than in subject with CF.</w:t>
      </w:r>
    </w:p>
    <w:p w:rsidR="007F4B4F" w:rsidRPr="007F4B4F" w:rsidRDefault="007F4B4F" w:rsidP="007F4B4F">
      <w:pPr>
        <w:pStyle w:val="Heading4"/>
      </w:pPr>
      <w:r w:rsidRPr="007F4B4F">
        <w:t>Pharmacokineti</w:t>
      </w:r>
      <w:r w:rsidR="00661535">
        <w:t>cs in other special populations</w:t>
      </w:r>
    </w:p>
    <w:p w:rsidR="007F4B4F" w:rsidRPr="007F4B4F" w:rsidRDefault="007F4B4F" w:rsidP="007F4B4F">
      <w:pPr>
        <w:pStyle w:val="Heading5"/>
      </w:pPr>
      <w:r w:rsidRPr="007F4B4F">
        <w:t>Pharmacokinetics in subjects</w:t>
      </w:r>
      <w:r w:rsidR="00661535">
        <w:t xml:space="preserve"> with impaired hepatic function</w:t>
      </w:r>
    </w:p>
    <w:p w:rsidR="007F4B4F" w:rsidRPr="007F4B4F" w:rsidRDefault="007F4B4F" w:rsidP="007F4B4F">
      <w:r w:rsidRPr="007F4B4F">
        <w:t xml:space="preserve">Study VX13-809-010 examined the PK of LUM and IVA following multiple doses of LUM (200 mg q12h) and IVA (250 mg q12h) tablets in subjects with moderate hepatic impairment and matched healthy subjects. The results indicated that following multiple doses of the study drugs, </w:t>
      </w:r>
      <w:r w:rsidRPr="007F4B4F">
        <w:lastRenderedPageBreak/>
        <w:t xml:space="preserve">LUM </w:t>
      </w:r>
      <w:r w:rsidR="00511EB7" w:rsidRPr="001E1E4D">
        <w:t>C</w:t>
      </w:r>
      <w:r w:rsidR="00511EB7" w:rsidRPr="00511EB7">
        <w:rPr>
          <w:vertAlign w:val="subscript"/>
        </w:rPr>
        <w:t>max</w:t>
      </w:r>
      <w:r w:rsidRPr="007F4B4F">
        <w:t xml:space="preserve"> and </w:t>
      </w:r>
      <w:r w:rsidR="00511EB7" w:rsidRPr="002227DB">
        <w:t>AUC</w:t>
      </w:r>
      <w:r w:rsidR="00511EB7" w:rsidRPr="00511EB7">
        <w:rPr>
          <w:vertAlign w:val="subscript"/>
        </w:rPr>
        <w:t>τ</w:t>
      </w:r>
      <w:r w:rsidRPr="007F4B4F">
        <w:t xml:space="preserve"> values were higher in subjects with moderate hepatic impairment (</w:t>
      </w:r>
      <w:r w:rsidR="00511EB7" w:rsidRPr="001E1E4D">
        <w:t>C</w:t>
      </w:r>
      <w:r w:rsidR="00511EB7" w:rsidRPr="00511EB7">
        <w:rPr>
          <w:vertAlign w:val="subscript"/>
        </w:rPr>
        <w:t>max</w:t>
      </w:r>
      <w:r w:rsidRPr="007F4B4F">
        <w:t xml:space="preserve">: 23 </w:t>
      </w:r>
      <w:r w:rsidR="00511EB7">
        <w:t>µ</w:t>
      </w:r>
      <w:r w:rsidR="00511EB7" w:rsidRPr="002227DB">
        <w:t>g</w:t>
      </w:r>
      <w:r w:rsidRPr="007F4B4F">
        <w:t xml:space="preserve">/mL; AUC: 219 </w:t>
      </w:r>
      <w:r w:rsidR="00511EB7">
        <w:t>µ</w:t>
      </w:r>
      <w:r w:rsidR="00511EB7" w:rsidRPr="002227DB">
        <w:t>g</w:t>
      </w:r>
      <w:r w:rsidRPr="007F4B4F">
        <w:t>.h/mL) than in healthy subjects (</w:t>
      </w:r>
      <w:r w:rsidR="00511EB7" w:rsidRPr="001E1E4D">
        <w:t>C</w:t>
      </w:r>
      <w:r w:rsidR="00511EB7" w:rsidRPr="00511EB7">
        <w:rPr>
          <w:vertAlign w:val="subscript"/>
        </w:rPr>
        <w:t>max</w:t>
      </w:r>
      <w:r w:rsidRPr="007F4B4F">
        <w:t xml:space="preserve">: 18 </w:t>
      </w:r>
      <w:r w:rsidR="00511EB7">
        <w:t>µ</w:t>
      </w:r>
      <w:r w:rsidR="00511EB7" w:rsidRPr="002227DB">
        <w:t>g</w:t>
      </w:r>
      <w:r w:rsidRPr="007F4B4F">
        <w:t xml:space="preserve">/mL; AUC: 153 </w:t>
      </w:r>
      <w:r w:rsidR="00511EB7">
        <w:t>µ</w:t>
      </w:r>
      <w:r w:rsidR="00511EB7" w:rsidRPr="002227DB">
        <w:t>g</w:t>
      </w:r>
      <w:r w:rsidRPr="007F4B4F">
        <w:t xml:space="preserve">.h/mL). Similarly, IVA </w:t>
      </w:r>
      <w:r w:rsidR="00511EB7" w:rsidRPr="001E1E4D">
        <w:t>C</w:t>
      </w:r>
      <w:r w:rsidR="00511EB7" w:rsidRPr="00511EB7">
        <w:rPr>
          <w:vertAlign w:val="subscript"/>
        </w:rPr>
        <w:t>max</w:t>
      </w:r>
      <w:r w:rsidRPr="007F4B4F">
        <w:t xml:space="preserve"> and </w:t>
      </w:r>
      <w:r w:rsidR="00511EB7" w:rsidRPr="002227DB">
        <w:t>AUC</w:t>
      </w:r>
      <w:r w:rsidR="00511EB7" w:rsidRPr="00511EB7">
        <w:rPr>
          <w:vertAlign w:val="subscript"/>
        </w:rPr>
        <w:t>τ</w:t>
      </w:r>
      <w:r w:rsidRPr="007F4B4F">
        <w:t xml:space="preserve"> values were higher in subjects with moderate hepatic impairment (</w:t>
      </w:r>
      <w:r w:rsidR="00511EB7" w:rsidRPr="001E1E4D">
        <w:t>C</w:t>
      </w:r>
      <w:r w:rsidR="00511EB7" w:rsidRPr="00511EB7">
        <w:rPr>
          <w:vertAlign w:val="subscript"/>
        </w:rPr>
        <w:t>max</w:t>
      </w:r>
      <w:r w:rsidRPr="007F4B4F">
        <w:t xml:space="preserve">: 0.77 </w:t>
      </w:r>
      <w:r w:rsidR="00511EB7">
        <w:t>µ</w:t>
      </w:r>
      <w:r w:rsidR="00511EB7" w:rsidRPr="002227DB">
        <w:t>g</w:t>
      </w:r>
      <w:r w:rsidRPr="007F4B4F">
        <w:t xml:space="preserve">/mL; AUC: 6.7 </w:t>
      </w:r>
      <w:r w:rsidR="00511EB7">
        <w:t>µ</w:t>
      </w:r>
      <w:r w:rsidR="00511EB7" w:rsidRPr="002227DB">
        <w:t>g</w:t>
      </w:r>
      <w:r w:rsidRPr="007F4B4F">
        <w:t>.h/mL) than in healthy subjects (</w:t>
      </w:r>
      <w:r w:rsidR="00511EB7" w:rsidRPr="001E1E4D">
        <w:t>C</w:t>
      </w:r>
      <w:r w:rsidR="00511EB7" w:rsidRPr="00511EB7">
        <w:rPr>
          <w:vertAlign w:val="subscript"/>
        </w:rPr>
        <w:t>max</w:t>
      </w:r>
      <w:r w:rsidRPr="007F4B4F">
        <w:t xml:space="preserve">: 0.58 </w:t>
      </w:r>
      <w:r w:rsidR="00511EB7">
        <w:t>µ</w:t>
      </w:r>
      <w:r w:rsidR="00511EB7" w:rsidRPr="002227DB">
        <w:t>g</w:t>
      </w:r>
      <w:r w:rsidRPr="007F4B4F">
        <w:t xml:space="preserve">/mL; AUC: 3.71 </w:t>
      </w:r>
      <w:r w:rsidR="00511EB7">
        <w:t>µ</w:t>
      </w:r>
      <w:r w:rsidR="00511EB7" w:rsidRPr="002227DB">
        <w:t>g</w:t>
      </w:r>
      <w:r w:rsidRPr="007F4B4F">
        <w:t xml:space="preserve">.h/mL). By contrast, the CLss/F values for both LUM and IVA were lower in subjects with moderate hepatic impairment than in healthy subjects (0.987 L/h in subjects with moderate hepatic impairment versus 1.48 L/h in healthy subjects for LUM; 52.4 L/h in subjects with moderate hepatic impairment versus 74.7 L/h in healthy subjects for IVA), whereas, the median </w:t>
      </w:r>
      <w:r w:rsidR="00511EB7" w:rsidRPr="001E1E4D">
        <w:t>T</w:t>
      </w:r>
      <w:r w:rsidR="00511EB7" w:rsidRPr="00511EB7">
        <w:rPr>
          <w:vertAlign w:val="subscript"/>
        </w:rPr>
        <w:t>max</w:t>
      </w:r>
      <w:r w:rsidRPr="007F4B4F">
        <w:t xml:space="preserve"> values for both LUM and IVA were prolonged from 2.00 h to 4.00 h in the group with hepatic impairment compared to healthy subjects. For the metabolites M1-IVA and M6-IVA, the </w:t>
      </w:r>
      <w:r w:rsidR="00511EB7" w:rsidRPr="001E1E4D">
        <w:t>C</w:t>
      </w:r>
      <w:r w:rsidR="00511EB7" w:rsidRPr="00511EB7">
        <w:rPr>
          <w:vertAlign w:val="subscript"/>
        </w:rPr>
        <w:t>max</w:t>
      </w:r>
      <w:r w:rsidRPr="007F4B4F">
        <w:t xml:space="preserve"> and </w:t>
      </w:r>
      <w:r w:rsidR="00511EB7" w:rsidRPr="002227DB">
        <w:t>AUC</w:t>
      </w:r>
      <w:r w:rsidR="00511EB7" w:rsidRPr="00511EB7">
        <w:rPr>
          <w:vertAlign w:val="subscript"/>
        </w:rPr>
        <w:t>τ</w:t>
      </w:r>
      <w:r w:rsidRPr="007F4B4F">
        <w:t xml:space="preserve"> values for were similar in subjects with moderate hepatic impairment and matched healthy subjects; however, the exposures of M28-LUM were lower in subjects with moderate hepatic impai</w:t>
      </w:r>
      <w:r w:rsidR="00661535">
        <w:t>rment than in healthy subjects.</w:t>
      </w:r>
    </w:p>
    <w:p w:rsidR="007F4B4F" w:rsidRPr="007F4B4F" w:rsidRDefault="007F4B4F" w:rsidP="007F4B4F">
      <w:pPr>
        <w:pStyle w:val="Heading5"/>
      </w:pPr>
      <w:r w:rsidRPr="007F4B4F">
        <w:t>Pharmacokinetics in subjec</w:t>
      </w:r>
      <w:r w:rsidR="00661535">
        <w:t>ts with impaired renal function</w:t>
      </w:r>
    </w:p>
    <w:p w:rsidR="007F4B4F" w:rsidRPr="007F4B4F" w:rsidRDefault="007F4B4F" w:rsidP="007F4B4F">
      <w:r w:rsidRPr="007F4B4F">
        <w:t>The effect of renal impairment on the PKs of LUM and IVA has not been examined for either of the FDC tablets, the free combination or for when LUM or IVA were administered alone. However, the results of the Mass Balance study suggest that renal clearance only plays a minor role in the elimination of LUM and previously submitted studies indicated that there was negligible urinary excretion of IVA as unchanged parent and minimal urinary excretion of parent drug plus metabolites. Therefore, the sponsor indicates that renal impairment is unlikely to affect the PKs of either the LUM or IVA component of the FDC.</w:t>
      </w:r>
    </w:p>
    <w:p w:rsidR="007F4B4F" w:rsidRPr="007F4B4F" w:rsidRDefault="007F4B4F" w:rsidP="007F4B4F">
      <w:pPr>
        <w:pStyle w:val="Heading5"/>
      </w:pPr>
      <w:r w:rsidRPr="007F4B4F">
        <w:t>Ph</w:t>
      </w:r>
      <w:r w:rsidR="00661535">
        <w:t>armacokinetics according to age</w:t>
      </w:r>
    </w:p>
    <w:p w:rsidR="007F4B4F" w:rsidRDefault="00FB69BC" w:rsidP="007F4B4F">
      <w:r>
        <w:t>Study VX13-809-011 Part A</w:t>
      </w:r>
      <w:r w:rsidR="007F4B4F" w:rsidRPr="007F4B4F">
        <w:t xml:space="preserve"> examined the PKs of LUM and IVA following 14 days of dosing with LUM 200 mg q12h/IVA 2</w:t>
      </w:r>
      <w:r w:rsidR="00661535">
        <w:t xml:space="preserve">50 mg q12h in subjects aged 6 to </w:t>
      </w:r>
      <w:r w:rsidR="007F4B4F" w:rsidRPr="007F4B4F">
        <w:t>11 years old with CF who were homozygous for the F508del-CFTR mutation. For the LUM component, C4h increased from 15</w:t>
      </w:r>
      <w:r w:rsidR="00661535">
        <w:t>,</w:t>
      </w:r>
      <w:r w:rsidR="007F4B4F" w:rsidRPr="007F4B4F">
        <w:t xml:space="preserve">200 ng/mL on Day 1 </w:t>
      </w:r>
      <w:proofErr w:type="gramStart"/>
      <w:r w:rsidR="007F4B4F" w:rsidRPr="007F4B4F">
        <w:t>to 24</w:t>
      </w:r>
      <w:r w:rsidR="00661535">
        <w:t>,</w:t>
      </w:r>
      <w:r w:rsidR="007F4B4F" w:rsidRPr="007F4B4F">
        <w:t>500 ng/mL on Day 14</w:t>
      </w:r>
      <w:proofErr w:type="gramEnd"/>
      <w:r w:rsidR="007F4B4F" w:rsidRPr="007F4B4F">
        <w:t xml:space="preserve"> and the mean C12h increased from 8</w:t>
      </w:r>
      <w:r w:rsidR="00661535">
        <w:t>,</w:t>
      </w:r>
      <w:r w:rsidR="007F4B4F" w:rsidRPr="007F4B4F">
        <w:t>320 ng/mL on Day 1 to 13</w:t>
      </w:r>
      <w:r w:rsidR="00661535">
        <w:t>,</w:t>
      </w:r>
      <w:r w:rsidR="007F4B4F" w:rsidRPr="007F4B4F">
        <w:t>100 ng/mL on Day 14 (</w:t>
      </w:r>
      <w:r w:rsidR="007F4B4F" w:rsidRPr="00FB69BC">
        <w:t xml:space="preserve">Table </w:t>
      </w:r>
      <w:r w:rsidRPr="00FB69BC">
        <w:t>14</w:t>
      </w:r>
      <w:r w:rsidR="007F4B4F" w:rsidRPr="007F4B4F">
        <w:t xml:space="preserve">). Median LUM </w:t>
      </w:r>
      <w:r w:rsidR="00511EB7" w:rsidRPr="001E1E4D">
        <w:t>T</w:t>
      </w:r>
      <w:r w:rsidR="00511EB7" w:rsidRPr="00511EB7">
        <w:rPr>
          <w:vertAlign w:val="subscript"/>
        </w:rPr>
        <w:t>max</w:t>
      </w:r>
      <w:r w:rsidR="007F4B4F" w:rsidRPr="007F4B4F">
        <w:t xml:space="preserve"> values were approximately 4 hours on both Days 1 and 14. The mean M28-LUM C4h increased </w:t>
      </w:r>
      <w:proofErr w:type="gramStart"/>
      <w:r w:rsidR="007F4B4F" w:rsidRPr="007F4B4F">
        <w:t>from 176 ng/mL on Day 1</w:t>
      </w:r>
      <w:proofErr w:type="gramEnd"/>
      <w:r w:rsidR="007F4B4F" w:rsidRPr="007F4B4F">
        <w:t xml:space="preserve"> to 2040 ng/mL on Day 14 and the mean C12h increased approximately 6</w:t>
      </w:r>
      <w:r w:rsidR="00511EB7">
        <w:t xml:space="preserve"> fold</w:t>
      </w:r>
      <w:r w:rsidR="007F4B4F" w:rsidRPr="007F4B4F">
        <w:t xml:space="preserve"> from 306 ng/mL on Day 1 to 1</w:t>
      </w:r>
      <w:r w:rsidR="00A0441B">
        <w:t>,</w:t>
      </w:r>
      <w:r w:rsidR="007F4B4F" w:rsidRPr="007F4B4F">
        <w:t xml:space="preserve">800 ng/mL on Day 14. LUM appeared to reach steady state by approximately Day 7; however, M28-LUM levels still appear to be increasing from Day 7 to Day 14, which is consistent with the adult CF population. For the IVA component, the mean C4h decreased </w:t>
      </w:r>
      <w:proofErr w:type="gramStart"/>
      <w:r w:rsidR="007F4B4F" w:rsidRPr="007F4B4F">
        <w:t>from 1</w:t>
      </w:r>
      <w:r w:rsidR="00A0441B">
        <w:t>,</w:t>
      </w:r>
      <w:r w:rsidR="007F4B4F" w:rsidRPr="007F4B4F">
        <w:t>920 ng/mL on Day 1</w:t>
      </w:r>
      <w:proofErr w:type="gramEnd"/>
      <w:r w:rsidR="007F4B4F" w:rsidRPr="007F4B4F">
        <w:t xml:space="preserve"> to 622 ng/mL on Day 14 and decreased from 3</w:t>
      </w:r>
      <w:r w:rsidR="00A0441B">
        <w:t>,</w:t>
      </w:r>
      <w:r w:rsidR="007F4B4F" w:rsidRPr="007F4B4F">
        <w:t>940 ng/mL on Day 1 to 2</w:t>
      </w:r>
      <w:r w:rsidR="00A0441B">
        <w:t>,</w:t>
      </w:r>
      <w:r w:rsidR="007F4B4F" w:rsidRPr="007F4B4F">
        <w:t>380 ng/mL on Day 14 for M1-IVA (</w:t>
      </w:r>
      <w:r w:rsidR="007F4B4F" w:rsidRPr="00FB69BC">
        <w:t xml:space="preserve">Table </w:t>
      </w:r>
      <w:r w:rsidRPr="00FB69BC">
        <w:t>15</w:t>
      </w:r>
      <w:r w:rsidR="007F4B4F" w:rsidRPr="007F4B4F">
        <w:t xml:space="preserve">). The mean C12h decreased </w:t>
      </w:r>
      <w:proofErr w:type="gramStart"/>
      <w:r w:rsidR="007F4B4F" w:rsidRPr="007F4B4F">
        <w:t>from 788 ng/mL on Day 1</w:t>
      </w:r>
      <w:proofErr w:type="gramEnd"/>
      <w:r w:rsidR="007F4B4F" w:rsidRPr="007F4B4F">
        <w:t xml:space="preserve"> to 222 ng/mL on Day 14 for IVA and decreased from 1</w:t>
      </w:r>
      <w:r w:rsidR="00A0441B">
        <w:t>,</w:t>
      </w:r>
      <w:r w:rsidR="007F4B4F" w:rsidRPr="007F4B4F">
        <w:t xml:space="preserve">770 ng/mL on Day 1 to 704 ng/mL on Day 14 for M1-IVA. Median </w:t>
      </w:r>
      <w:r w:rsidR="00511EB7" w:rsidRPr="001E1E4D">
        <w:t>T</w:t>
      </w:r>
      <w:r w:rsidR="00511EB7" w:rsidRPr="00511EB7">
        <w:rPr>
          <w:vertAlign w:val="subscript"/>
        </w:rPr>
        <w:t>max</w:t>
      </w:r>
      <w:r w:rsidR="007F4B4F" w:rsidRPr="007F4B4F">
        <w:t xml:space="preserve"> values for both IVA and M1-IVA occurred at approximately 4 hours on both Days 1 and 14. The mean M6-IVA C4h increased </w:t>
      </w:r>
      <w:proofErr w:type="gramStart"/>
      <w:r w:rsidR="007F4B4F" w:rsidRPr="007F4B4F">
        <w:t>from 1</w:t>
      </w:r>
      <w:r w:rsidR="00A0441B">
        <w:t>,</w:t>
      </w:r>
      <w:r w:rsidR="007F4B4F" w:rsidRPr="007F4B4F">
        <w:t>810 ng/mL on Day 1</w:t>
      </w:r>
      <w:proofErr w:type="gramEnd"/>
      <w:r w:rsidR="007F4B4F" w:rsidRPr="007F4B4F">
        <w:t xml:space="preserve"> to 4</w:t>
      </w:r>
      <w:r w:rsidR="00A0441B">
        <w:t>,</w:t>
      </w:r>
      <w:r w:rsidR="007F4B4F" w:rsidRPr="007F4B4F">
        <w:t>240 ng/mL on Day 14 and mean C12h decreased from 2</w:t>
      </w:r>
      <w:r w:rsidR="00A0441B">
        <w:t>,</w:t>
      </w:r>
      <w:r w:rsidR="007F4B4F" w:rsidRPr="007F4B4F">
        <w:t>800 ng/mL on Day 1 to 2</w:t>
      </w:r>
      <w:r w:rsidR="00A0441B">
        <w:t>,</w:t>
      </w:r>
      <w:r w:rsidR="007F4B4F" w:rsidRPr="007F4B4F">
        <w:t xml:space="preserve">340 ng/mL on Day 14. The median </w:t>
      </w:r>
      <w:r w:rsidR="00511EB7" w:rsidRPr="001E1E4D">
        <w:t>T</w:t>
      </w:r>
      <w:r w:rsidR="00511EB7" w:rsidRPr="00511EB7">
        <w:rPr>
          <w:vertAlign w:val="subscript"/>
        </w:rPr>
        <w:t>max</w:t>
      </w:r>
      <w:r w:rsidR="007F4B4F" w:rsidRPr="007F4B4F">
        <w:t xml:space="preserve"> decreased from 6.42 hours on Day 1 to 4.13 hours on Day 14 for M6-IVA. IVA, M1-IVA, and M6-IVA all appear to reach steady state by approximately Day 7, whi</w:t>
      </w:r>
      <w:r w:rsidR="00A0441B">
        <w:t xml:space="preserve">ch is consistent with the adult </w:t>
      </w:r>
      <w:r w:rsidR="007F4B4F" w:rsidRPr="007F4B4F">
        <w:t>CF population. The shape of the trough concentration versus time profile is also consistent with previous LUM and IVA interaction studies in adults, which showed a rapid decrease in the levels of IVA due to the indu</w:t>
      </w:r>
      <w:r w:rsidR="00A0441B">
        <w:t>ction of its metabolism by LUM.</w:t>
      </w:r>
    </w:p>
    <w:p w:rsidR="00FB69BC" w:rsidRDefault="00FB69BC" w:rsidP="00FB69BC">
      <w:pPr>
        <w:pStyle w:val="Tabletitle"/>
      </w:pPr>
      <w:proofErr w:type="gramStart"/>
      <w:r>
        <w:lastRenderedPageBreak/>
        <w:t>Table 14.</w:t>
      </w:r>
      <w:proofErr w:type="gramEnd"/>
      <w:r>
        <w:t xml:space="preserve"> Study VX13-809-011 Part A. Summary of pharmacokinetic parameters for lumacaftor and M28-lumacaftor on Day 1 and Day 14</w:t>
      </w:r>
    </w:p>
    <w:p w:rsidR="00FB69BC" w:rsidRDefault="00FB69BC" w:rsidP="00FB69BC">
      <w:r>
        <w:rPr>
          <w:noProof/>
          <w:lang w:eastAsia="en-AU"/>
        </w:rPr>
        <w:drawing>
          <wp:inline distT="0" distB="0" distL="0" distR="0" wp14:anchorId="50944024" wp14:editId="626D85CF">
            <wp:extent cx="5105724" cy="2370125"/>
            <wp:effectExtent l="0" t="0" r="0" b="0"/>
            <wp:docPr id="20" name="Picture 20" descr="Table 14. Study VX13-809-011 Part A. Summary of pharmacokinetic parameters for lumacaftor and M28-lumacaftor on Day 1 and Day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102513" cy="2368634"/>
                    </a:xfrm>
                    <a:prstGeom prst="rect">
                      <a:avLst/>
                    </a:prstGeom>
                  </pic:spPr>
                </pic:pic>
              </a:graphicData>
            </a:graphic>
          </wp:inline>
        </w:drawing>
      </w:r>
    </w:p>
    <w:p w:rsidR="00FB69BC" w:rsidRDefault="00FB69BC" w:rsidP="00FB69BC">
      <w:pPr>
        <w:pStyle w:val="Tabletitle"/>
      </w:pPr>
      <w:proofErr w:type="gramStart"/>
      <w:r>
        <w:t>Table 15.</w:t>
      </w:r>
      <w:proofErr w:type="gramEnd"/>
      <w:r>
        <w:t xml:space="preserve"> Study VX13-809-011 Part A. Summary of pharmacokinetic parameters</w:t>
      </w:r>
      <w:r w:rsidR="00540B24">
        <w:t xml:space="preserve"> for ivacaftor, M1-</w:t>
      </w:r>
      <w:r>
        <w:t>ivacaftor and M6-iva</w:t>
      </w:r>
      <w:r w:rsidR="00540B24">
        <w:t>caftor on Day 1 and Day 14</w:t>
      </w:r>
    </w:p>
    <w:p w:rsidR="00FB69BC" w:rsidRPr="00FB69BC" w:rsidRDefault="00540B24" w:rsidP="00FB69BC">
      <w:r>
        <w:rPr>
          <w:noProof/>
          <w:lang w:eastAsia="en-AU"/>
        </w:rPr>
        <w:drawing>
          <wp:inline distT="0" distB="0" distL="0" distR="0" wp14:anchorId="1EB34326" wp14:editId="5E23C053">
            <wp:extent cx="4841333" cy="2406701"/>
            <wp:effectExtent l="0" t="0" r="0" b="0"/>
            <wp:docPr id="21" name="Picture 21" descr="Table 15. Study VX13-809-011 Part A. Summary of pharmacokinetic parameters for ivacaftor, M1-ivacaftor and M6-ivacaftor on Day 1 and Day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838288" cy="2405187"/>
                    </a:xfrm>
                    <a:prstGeom prst="rect">
                      <a:avLst/>
                    </a:prstGeom>
                  </pic:spPr>
                </pic:pic>
              </a:graphicData>
            </a:graphic>
          </wp:inline>
        </w:drawing>
      </w:r>
    </w:p>
    <w:p w:rsidR="007F4B4F" w:rsidRPr="007F4B4F" w:rsidRDefault="007F4B4F" w:rsidP="007F4B4F">
      <w:r w:rsidRPr="007F4B4F">
        <w:t xml:space="preserve">PopPK analysis undertaken in </w:t>
      </w:r>
      <w:r w:rsidR="00980975">
        <w:t>Study</w:t>
      </w:r>
      <w:r w:rsidR="00540B24">
        <w:t xml:space="preserve"> K050</w:t>
      </w:r>
      <w:r w:rsidRPr="007F4B4F">
        <w:t xml:space="preserve"> indicated that LUM CL/F decreased with increasing age, such that the typical 12 year old has an 11% greater CL/F when compared to the reference 18 year old, and the typical 50 year old subject has a CL/F that is 24% lower than the reference 18 year old</w:t>
      </w:r>
      <w:r w:rsidR="00A0441B">
        <w:t>.</w:t>
      </w:r>
    </w:p>
    <w:p w:rsidR="007F4B4F" w:rsidRPr="007F4B4F" w:rsidRDefault="007F4B4F" w:rsidP="007F4B4F">
      <w:pPr>
        <w:pStyle w:val="Heading5"/>
      </w:pPr>
      <w:r w:rsidRPr="007F4B4F">
        <w:t>Pharmacokine</w:t>
      </w:r>
      <w:r w:rsidR="00A0441B">
        <w:t>tics related to genetic factors</w:t>
      </w:r>
    </w:p>
    <w:p w:rsidR="007F4B4F" w:rsidRPr="007F4B4F" w:rsidRDefault="00A0441B" w:rsidP="007F4B4F">
      <w:pPr>
        <w:pStyle w:val="Heading6"/>
      </w:pPr>
      <w:r>
        <w:t>Homozygous verses heterozygous</w:t>
      </w:r>
    </w:p>
    <w:p w:rsidR="007F4B4F" w:rsidRPr="007F4B4F" w:rsidRDefault="007F4B4F" w:rsidP="007F4B4F">
      <w:r w:rsidRPr="007F4B4F">
        <w:t>Study VX09-809-102</w:t>
      </w:r>
      <w:r w:rsidR="00540B24">
        <w:t xml:space="preserve"> (described above) </w:t>
      </w:r>
      <w:r w:rsidRPr="007F4B4F">
        <w:t xml:space="preserve">examined the PKs of a free combination of LUM and IVA in patients homozygous and heterozygous for the F508del CFTR mutation following doses of 600 mg LUM QD + 250 mg IVA. In homozygous patients, the LUM mean </w:t>
      </w:r>
      <w:r w:rsidR="00511EB7" w:rsidRPr="001E1E4D">
        <w:t>C</w:t>
      </w:r>
      <w:r w:rsidR="00511EB7" w:rsidRPr="00511EB7">
        <w:rPr>
          <w:vertAlign w:val="subscript"/>
        </w:rPr>
        <w:t>max</w:t>
      </w:r>
      <w:r w:rsidRPr="007F4B4F">
        <w:t xml:space="preserve"> </w:t>
      </w:r>
      <w:r w:rsidR="00511EB7" w:rsidRPr="002227DB">
        <w:t>C</w:t>
      </w:r>
      <w:r w:rsidR="00511EB7" w:rsidRPr="00511EB7">
        <w:rPr>
          <w:vertAlign w:val="subscript"/>
        </w:rPr>
        <w:t>min</w:t>
      </w:r>
      <w:r w:rsidRPr="007F4B4F">
        <w:t xml:space="preserve"> </w:t>
      </w:r>
      <w:r w:rsidR="00511EB7" w:rsidRPr="002227DB">
        <w:t>AUC</w:t>
      </w:r>
      <w:r w:rsidR="00511EB7" w:rsidRPr="00511EB7">
        <w:rPr>
          <w:vertAlign w:val="subscript"/>
        </w:rPr>
        <w:t>0-24</w:t>
      </w:r>
      <w:r w:rsidRPr="007F4B4F">
        <w:t xml:space="preserve"> and CLss/F were 27.7 </w:t>
      </w:r>
      <w:r w:rsidR="00511EB7">
        <w:t>µ</w:t>
      </w:r>
      <w:r w:rsidR="00511EB7" w:rsidRPr="002227DB">
        <w:t>g</w:t>
      </w:r>
      <w:r w:rsidRPr="007F4B4F">
        <w:t xml:space="preserve">/mL, 5.33 </w:t>
      </w:r>
      <w:r w:rsidR="00511EB7">
        <w:t>µ</w:t>
      </w:r>
      <w:r w:rsidR="00511EB7" w:rsidRPr="002227DB">
        <w:t>g</w:t>
      </w:r>
      <w:r w:rsidRPr="007F4B4F">
        <w:t xml:space="preserve">/mL, 290 </w:t>
      </w:r>
      <w:r w:rsidR="00511EB7">
        <w:t>µ</w:t>
      </w:r>
      <w:r w:rsidR="00511EB7" w:rsidRPr="002227DB">
        <w:t>g</w:t>
      </w:r>
      <w:r w:rsidRPr="007F4B4F">
        <w:t xml:space="preserve">.h/mL and 2.60 L/h, respectively and the median </w:t>
      </w:r>
      <w:r w:rsidR="00511EB7" w:rsidRPr="001E1E4D">
        <w:t>T</w:t>
      </w:r>
      <w:r w:rsidR="00511EB7" w:rsidRPr="00511EB7">
        <w:rPr>
          <w:vertAlign w:val="subscript"/>
        </w:rPr>
        <w:t>max</w:t>
      </w:r>
      <w:r w:rsidRPr="007F4B4F">
        <w:t xml:space="preserve"> occurred at 4 h (</w:t>
      </w:r>
      <w:r w:rsidRPr="006270EA">
        <w:t>Table</w:t>
      </w:r>
      <w:r w:rsidR="006270EA" w:rsidRPr="006270EA">
        <w:t xml:space="preserve"> 12 above</w:t>
      </w:r>
      <w:r w:rsidRPr="007F4B4F">
        <w:t>). In heterozygous patients these</w:t>
      </w:r>
      <w:r w:rsidR="00A0441B">
        <w:t xml:space="preserve"> values were 29.5 </w:t>
      </w:r>
      <w:r w:rsidR="00511EB7">
        <w:t>µ</w:t>
      </w:r>
      <w:r w:rsidR="00511EB7" w:rsidRPr="002227DB">
        <w:t>g</w:t>
      </w:r>
      <w:r w:rsidRPr="007F4B4F">
        <w:t xml:space="preserve">/mL, 5.32 </w:t>
      </w:r>
      <w:r w:rsidR="00511EB7">
        <w:t>µ</w:t>
      </w:r>
      <w:r w:rsidR="00511EB7" w:rsidRPr="002227DB">
        <w:t>g</w:t>
      </w:r>
      <w:r w:rsidRPr="007F4B4F">
        <w:t xml:space="preserve">/mL, 306 </w:t>
      </w:r>
      <w:r w:rsidR="00511EB7">
        <w:t>µ</w:t>
      </w:r>
      <w:r w:rsidR="00511EB7" w:rsidRPr="002227DB">
        <w:t>g</w:t>
      </w:r>
      <w:r w:rsidRPr="007F4B4F">
        <w:t xml:space="preserve">.h/mL and 3.01 L/h, respectively and the median </w:t>
      </w:r>
      <w:r w:rsidR="00511EB7" w:rsidRPr="001E1E4D">
        <w:t>T</w:t>
      </w:r>
      <w:r w:rsidR="00511EB7" w:rsidRPr="00511EB7">
        <w:rPr>
          <w:vertAlign w:val="subscript"/>
        </w:rPr>
        <w:t>max</w:t>
      </w:r>
      <w:r w:rsidR="00A0441B">
        <w:t xml:space="preserve"> was 4.00 </w:t>
      </w:r>
      <w:r w:rsidRPr="007F4B4F">
        <w:t xml:space="preserve">h. These results indicate that for the LUM component of the free combination, the PKs of LUM are similar in both heterozygous and homozygous patients. By contrast, for the IVA component both the IVA </w:t>
      </w:r>
      <w:r w:rsidR="00511EB7" w:rsidRPr="001E1E4D">
        <w:t>C</w:t>
      </w:r>
      <w:r w:rsidR="00511EB7" w:rsidRPr="00511EB7">
        <w:rPr>
          <w:vertAlign w:val="subscript"/>
        </w:rPr>
        <w:t>max</w:t>
      </w:r>
      <w:r w:rsidRPr="007F4B4F">
        <w:t xml:space="preserve"> and </w:t>
      </w:r>
      <w:r w:rsidR="00511EB7" w:rsidRPr="002227DB">
        <w:t>AUC</w:t>
      </w:r>
      <w:r w:rsidR="00511EB7" w:rsidRPr="00511EB7">
        <w:rPr>
          <w:vertAlign w:val="subscript"/>
        </w:rPr>
        <w:t>τ</w:t>
      </w:r>
      <w:r w:rsidRPr="007F4B4F">
        <w:t xml:space="preserve"> were slig</w:t>
      </w:r>
      <w:r w:rsidR="00A0441B">
        <w:t>htly higher (approximately 1.20</w:t>
      </w:r>
      <w:r w:rsidRPr="007F4B4F">
        <w:t xml:space="preserve"> and 1.1</w:t>
      </w:r>
      <w:r w:rsidR="00511EB7">
        <w:t xml:space="preserve"> fold</w:t>
      </w:r>
      <w:r w:rsidRPr="007F4B4F">
        <w:t>, respectively) in homozygous compared to heterozygous patients, whereas, CLss/F was higher (</w:t>
      </w:r>
      <w:r w:rsidR="00661535">
        <w:t xml:space="preserve">approximately </w:t>
      </w:r>
      <w:r w:rsidRPr="007F4B4F">
        <w:lastRenderedPageBreak/>
        <w:t>1.35</w:t>
      </w:r>
      <w:r w:rsidR="00511EB7">
        <w:t xml:space="preserve"> fold</w:t>
      </w:r>
      <w:r w:rsidRPr="007F4B4F">
        <w:t xml:space="preserve">) in the heterozygous group. In spite of these differences, the median </w:t>
      </w:r>
      <w:r w:rsidR="00511EB7" w:rsidRPr="001E1E4D">
        <w:t>T</w:t>
      </w:r>
      <w:r w:rsidR="00511EB7" w:rsidRPr="00511EB7">
        <w:rPr>
          <w:vertAlign w:val="subscript"/>
        </w:rPr>
        <w:t>max</w:t>
      </w:r>
      <w:r w:rsidRPr="007F4B4F">
        <w:t xml:space="preserve"> and mean </w:t>
      </w:r>
      <w:r w:rsidR="00511EB7" w:rsidRPr="002227DB">
        <w:t>C</w:t>
      </w:r>
      <w:r w:rsidR="00511EB7" w:rsidRPr="00511EB7">
        <w:rPr>
          <w:vertAlign w:val="subscript"/>
        </w:rPr>
        <w:t>min</w:t>
      </w:r>
      <w:r w:rsidRPr="007F4B4F">
        <w:t xml:space="preserve"> of IVA were similar in both groups suggesting that the differences identified in IVA PKs are unlikel</w:t>
      </w:r>
      <w:r w:rsidR="00A0441B">
        <w:t>y to be clinically significant.</w:t>
      </w:r>
    </w:p>
    <w:p w:rsidR="007F4B4F" w:rsidRPr="007F4B4F" w:rsidRDefault="007F4B4F" w:rsidP="00D1092B">
      <w:pPr>
        <w:pStyle w:val="Heading5"/>
      </w:pPr>
      <w:r w:rsidRPr="007F4B4F">
        <w:t>Pharmacokinetics</w:t>
      </w:r>
      <w:r w:rsidR="00A0441B">
        <w:t xml:space="preserve"> {in other special population /</w:t>
      </w:r>
      <w:r w:rsidRPr="007F4B4F">
        <w:t xml:space="preserve">according to </w:t>
      </w:r>
      <w:r w:rsidR="00A0441B">
        <w:t>other population characteristic</w:t>
      </w:r>
    </w:p>
    <w:p w:rsidR="00D1092B" w:rsidRDefault="00A0441B" w:rsidP="00D1092B">
      <w:pPr>
        <w:pStyle w:val="Heading6"/>
      </w:pPr>
      <w:r>
        <w:t>Gender</w:t>
      </w:r>
    </w:p>
    <w:p w:rsidR="00D1092B" w:rsidRPr="00D1092B" w:rsidRDefault="006270EA" w:rsidP="00D1092B">
      <w:r>
        <w:t>Study VX07-809-001</w:t>
      </w:r>
      <w:r w:rsidR="00D1092B" w:rsidRPr="00D1092B">
        <w:t xml:space="preserve"> examined the effect of gender on LUM PKs following administration of the suspension formulation of LUM to healthy males and females under fasted conditions. The results indicated that following single doses the median values for both dose-normalised </w:t>
      </w:r>
      <w:r w:rsidR="00511EB7" w:rsidRPr="001E1E4D">
        <w:t>C</w:t>
      </w:r>
      <w:r w:rsidR="00511EB7" w:rsidRPr="00511EB7">
        <w:rPr>
          <w:vertAlign w:val="subscript"/>
        </w:rPr>
        <w:t>max</w:t>
      </w:r>
      <w:r w:rsidR="00D1092B" w:rsidRPr="00D1092B">
        <w:t xml:space="preserve"> and </w:t>
      </w:r>
      <w:r w:rsidR="00511EB7" w:rsidRPr="001E1E4D">
        <w:t>AUC</w:t>
      </w:r>
      <w:r w:rsidR="00511EB7" w:rsidRPr="00511EB7">
        <w:rPr>
          <w:vertAlign w:val="subscript"/>
        </w:rPr>
        <w:t>0-inf</w:t>
      </w:r>
      <w:r w:rsidR="00D1092B" w:rsidRPr="00D1092B">
        <w:t xml:space="preserve"> were 37% and 16% higher, respectively, in females (</w:t>
      </w:r>
      <w:r w:rsidR="00511EB7" w:rsidRPr="001E1E4D">
        <w:t>C</w:t>
      </w:r>
      <w:r w:rsidR="00511EB7" w:rsidRPr="00511EB7">
        <w:rPr>
          <w:vertAlign w:val="subscript"/>
        </w:rPr>
        <w:t>max</w:t>
      </w:r>
      <w:r w:rsidR="00661535">
        <w:t xml:space="preserve"> </w:t>
      </w:r>
      <w:r w:rsidR="00511EB7">
        <w:t>=</w:t>
      </w:r>
      <w:r w:rsidR="00661535">
        <w:t xml:space="preserve"> </w:t>
      </w:r>
      <w:r w:rsidR="00A0441B">
        <w:t>36.7 </w:t>
      </w:r>
      <w:r w:rsidR="00D1092B" w:rsidRPr="00D1092B">
        <w:t xml:space="preserve">ng/mL, </w:t>
      </w:r>
      <w:r w:rsidR="00511EB7" w:rsidRPr="001E1E4D">
        <w:t>AUC</w:t>
      </w:r>
      <w:r w:rsidR="00511EB7" w:rsidRPr="00511EB7">
        <w:rPr>
          <w:vertAlign w:val="subscript"/>
        </w:rPr>
        <w:t>0-inf</w:t>
      </w:r>
      <w:r w:rsidR="00661535">
        <w:t xml:space="preserve"> </w:t>
      </w:r>
      <w:r w:rsidR="00511EB7">
        <w:t>=</w:t>
      </w:r>
      <w:r w:rsidR="00661535">
        <w:t xml:space="preserve"> </w:t>
      </w:r>
      <w:r w:rsidR="00D1092B" w:rsidRPr="00D1092B">
        <w:t>1</w:t>
      </w:r>
      <w:r w:rsidR="00A0441B">
        <w:t>,</w:t>
      </w:r>
      <w:r w:rsidR="00D1092B" w:rsidRPr="00D1092B">
        <w:t>024 ng.h/mL) compared to males (</w:t>
      </w:r>
      <w:r w:rsidR="00511EB7" w:rsidRPr="001E1E4D">
        <w:t>C</w:t>
      </w:r>
      <w:r w:rsidR="00511EB7" w:rsidRPr="00511EB7">
        <w:rPr>
          <w:vertAlign w:val="subscript"/>
        </w:rPr>
        <w:t>max</w:t>
      </w:r>
      <w:r w:rsidR="00661535">
        <w:t xml:space="preserve"> </w:t>
      </w:r>
      <w:r w:rsidR="00511EB7">
        <w:t>=</w:t>
      </w:r>
      <w:r w:rsidR="00661535">
        <w:t xml:space="preserve"> </w:t>
      </w:r>
      <w:r w:rsidR="00D1092B" w:rsidRPr="00D1092B">
        <w:t xml:space="preserve">26.7 ng/mL, </w:t>
      </w:r>
      <w:r w:rsidR="00511EB7" w:rsidRPr="001E1E4D">
        <w:t>AUC</w:t>
      </w:r>
      <w:r w:rsidR="00511EB7" w:rsidRPr="00511EB7">
        <w:rPr>
          <w:vertAlign w:val="subscript"/>
        </w:rPr>
        <w:t>0-inf</w:t>
      </w:r>
      <w:r w:rsidR="00661535">
        <w:t xml:space="preserve"> </w:t>
      </w:r>
      <w:r w:rsidR="00511EB7">
        <w:t>=</w:t>
      </w:r>
      <w:r w:rsidR="00661535">
        <w:t xml:space="preserve"> </w:t>
      </w:r>
      <w:r w:rsidR="00A0441B">
        <w:t>881 </w:t>
      </w:r>
      <w:r w:rsidR="00D1092B" w:rsidRPr="00D1092B">
        <w:t xml:space="preserve">ng.h/mL). Statistical assessment of gender effect demonstrated that the difference in </w:t>
      </w:r>
      <w:r w:rsidR="00511EB7" w:rsidRPr="001E1E4D">
        <w:t>AUC</w:t>
      </w:r>
      <w:r w:rsidR="00511EB7" w:rsidRPr="00511EB7">
        <w:rPr>
          <w:vertAlign w:val="subscript"/>
        </w:rPr>
        <w:t>0-inf</w:t>
      </w:r>
      <w:r w:rsidR="00D1092B" w:rsidRPr="00D1092B">
        <w:t xml:space="preserve"> was not statistically significant, whereas, the difference in </w:t>
      </w:r>
      <w:r w:rsidR="00511EB7" w:rsidRPr="001E1E4D">
        <w:t>C</w:t>
      </w:r>
      <w:r w:rsidR="00511EB7" w:rsidRPr="00511EB7">
        <w:rPr>
          <w:vertAlign w:val="subscript"/>
        </w:rPr>
        <w:t>max</w:t>
      </w:r>
      <w:r w:rsidR="00A0441B">
        <w:t xml:space="preserve"> was (p</w:t>
      </w:r>
      <w:r w:rsidR="00661535">
        <w:t xml:space="preserve"> </w:t>
      </w:r>
      <w:r w:rsidR="00511EB7">
        <w:t>=</w:t>
      </w:r>
      <w:r w:rsidR="00661535">
        <w:t xml:space="preserve"> </w:t>
      </w:r>
      <w:r w:rsidR="00D1092B" w:rsidRPr="00D1092B">
        <w:t>0.0467). By contrast, gender was not identified as a significant covariate of either LUM or IVA PKs in the</w:t>
      </w:r>
      <w:r>
        <w:t xml:space="preserve"> PopPK analysis K050 </w:t>
      </w:r>
      <w:r w:rsidR="00D1092B" w:rsidRPr="00D1092B">
        <w:t xml:space="preserve">and the pooled analysis, K272, indicated that mean steady state LUM and IVA, </w:t>
      </w:r>
      <w:r w:rsidR="00661535" w:rsidRPr="007F4B4F">
        <w:t>C</w:t>
      </w:r>
      <w:r w:rsidR="00661535" w:rsidRPr="00661535">
        <w:rPr>
          <w:vertAlign w:val="subscript"/>
        </w:rPr>
        <w:t>trough</w:t>
      </w:r>
      <w:r w:rsidR="00D1092B" w:rsidRPr="00D1092B">
        <w:t xml:space="preserve"> and C</w:t>
      </w:r>
      <w:r w:rsidR="00D1092B" w:rsidRPr="00D13AF6">
        <w:rPr>
          <w:vertAlign w:val="subscript"/>
        </w:rPr>
        <w:t>3-6h</w:t>
      </w:r>
      <w:proofErr w:type="gramStart"/>
      <w:r w:rsidR="00D1092B" w:rsidRPr="00D1092B">
        <w:t>,ave</w:t>
      </w:r>
      <w:proofErr w:type="gramEnd"/>
      <w:r w:rsidR="00D1092B" w:rsidRPr="00D1092B">
        <w:t xml:space="preserve"> in the LUM 400 mg q12h/IVA 250 mg q12h and the LUM 600 mg QD/IVA 250 mg q12h groups were similar in both males and females. Therefore, gender is unlikely to aff</w:t>
      </w:r>
      <w:r w:rsidR="00A0441B">
        <w:t>ect the PKs of the FDC tablets.</w:t>
      </w:r>
    </w:p>
    <w:p w:rsidR="00D1092B" w:rsidRDefault="00A0441B" w:rsidP="00D1092B">
      <w:pPr>
        <w:pStyle w:val="Heading6"/>
      </w:pPr>
      <w:r>
        <w:t>Body weight</w:t>
      </w:r>
    </w:p>
    <w:p w:rsidR="00D1092B" w:rsidRPr="00D1092B" w:rsidRDefault="00D1092B" w:rsidP="00D1092B">
      <w:r w:rsidRPr="00D1092B">
        <w:t>PopPK analysis, K050 indicated that body weight was an important predictor of variability in LUM CL/F. For example, LUM CL/F was 39% and 131% of the reference value of 1.67 L/h for the typical 20 kg and 100 kg subject, respectively, when compared to the reference subject (70 kg). Body weight was also an important predictor of variability in IVA CL/F. IVA CL/F was 39% and 131% of the reference value of 25.1 L/h for the typical 20 kg and 100 kg subject, respectively, when compared to the reference subject (70 kg)</w:t>
      </w:r>
      <w:r w:rsidR="00A0441B">
        <w:t>.</w:t>
      </w:r>
    </w:p>
    <w:p w:rsidR="00D1092B" w:rsidRDefault="00D1092B" w:rsidP="00D1092B">
      <w:pPr>
        <w:pStyle w:val="Heading6"/>
      </w:pPr>
      <w:r w:rsidRPr="00D1092B">
        <w:t>Pancreati</w:t>
      </w:r>
      <w:r w:rsidR="00A0441B">
        <w:t>c insufficient subjects with CF</w:t>
      </w:r>
    </w:p>
    <w:p w:rsidR="007F4B4F" w:rsidRPr="00D1092B" w:rsidRDefault="00750835" w:rsidP="00D1092B">
      <w:r>
        <w:t>Study VX07-809-002</w:t>
      </w:r>
      <w:r w:rsidR="00D1092B" w:rsidRPr="00D1092B">
        <w:t xml:space="preserve"> evalua</w:t>
      </w:r>
      <w:r w:rsidR="00A0441B">
        <w:t xml:space="preserve">ted the PK of LUM in pancreatic </w:t>
      </w:r>
      <w:r w:rsidR="00D1092B" w:rsidRPr="00D1092B">
        <w:t xml:space="preserve">insufficient subjects with CF following a single oral dose of 200 mg LUM in the fed and fasted states. The results indicated that the median </w:t>
      </w:r>
      <w:r w:rsidR="00511EB7" w:rsidRPr="001E1E4D">
        <w:t>T</w:t>
      </w:r>
      <w:r w:rsidR="00511EB7" w:rsidRPr="00511EB7">
        <w:rPr>
          <w:vertAlign w:val="subscript"/>
        </w:rPr>
        <w:t>max</w:t>
      </w:r>
      <w:r w:rsidR="00D1092B" w:rsidRPr="00D1092B">
        <w:t xml:space="preserve"> of LUM was prolonged under fed conditions compared to </w:t>
      </w:r>
      <w:proofErr w:type="gramStart"/>
      <w:r w:rsidR="00D1092B" w:rsidRPr="00D1092B">
        <w:t>fasted</w:t>
      </w:r>
      <w:proofErr w:type="gramEnd"/>
      <w:r w:rsidR="00D1092B" w:rsidRPr="00D1092B">
        <w:t xml:space="preserve"> (6 h </w:t>
      </w:r>
      <w:r w:rsidR="001C171F">
        <w:t>versus</w:t>
      </w:r>
      <w:r w:rsidR="00D1092B" w:rsidRPr="00D1092B">
        <w:t xml:space="preserve">. 4 h). In addition, </w:t>
      </w:r>
      <w:r w:rsidR="00511EB7" w:rsidRPr="001E1E4D">
        <w:t>C</w:t>
      </w:r>
      <w:r w:rsidR="00511EB7" w:rsidRPr="00511EB7">
        <w:rPr>
          <w:vertAlign w:val="subscript"/>
        </w:rPr>
        <w:t>max</w:t>
      </w:r>
      <w:r w:rsidR="00D1092B" w:rsidRPr="00D1092B">
        <w:t xml:space="preserve"> decreased significantly (by 23%) with food, whereas </w:t>
      </w:r>
      <w:r w:rsidR="00511EB7" w:rsidRPr="001E1E4D">
        <w:t>AUC</w:t>
      </w:r>
      <w:r w:rsidR="00511EB7" w:rsidRPr="00511EB7">
        <w:rPr>
          <w:vertAlign w:val="subscript"/>
        </w:rPr>
        <w:t>0-inf</w:t>
      </w:r>
      <w:r w:rsidR="00D1092B" w:rsidRPr="00D1092B">
        <w:t xml:space="preserve"> increased by 12% (Table 4.4.2, p129). However, the difference in </w:t>
      </w:r>
      <w:r w:rsidR="00511EB7" w:rsidRPr="001E1E4D">
        <w:t>AUC</w:t>
      </w:r>
      <w:r w:rsidR="00511EB7" w:rsidRPr="00511EB7">
        <w:rPr>
          <w:vertAlign w:val="subscript"/>
        </w:rPr>
        <w:t>0-inf</w:t>
      </w:r>
      <w:r w:rsidR="00D1092B" w:rsidRPr="00D1092B">
        <w:t xml:space="preserve"> was not statistically si</w:t>
      </w:r>
      <w:r>
        <w:t xml:space="preserve">gnificant and the 90% CI was 98 to </w:t>
      </w:r>
      <w:r w:rsidR="00D1092B" w:rsidRPr="00D1092B">
        <w:t>128%, which was clos</w:t>
      </w:r>
      <w:r w:rsidR="00A0441B">
        <w:t xml:space="preserve">e to the acceptable range of 80 to </w:t>
      </w:r>
      <w:r w:rsidR="00D1092B" w:rsidRPr="00D1092B">
        <w:t>125%</w:t>
      </w:r>
      <w:r w:rsidR="00A0441B">
        <w:t>.</w:t>
      </w:r>
    </w:p>
    <w:p w:rsidR="00D1092B" w:rsidRPr="00D1092B" w:rsidRDefault="00A0441B" w:rsidP="00D1092B">
      <w:pPr>
        <w:pStyle w:val="Heading4"/>
      </w:pPr>
      <w:r>
        <w:t>Pharmac</w:t>
      </w:r>
      <w:r w:rsidR="002E1D03">
        <w:t>okinetic interactions</w:t>
      </w:r>
    </w:p>
    <w:p w:rsidR="00D1092B" w:rsidRPr="00D1092B" w:rsidRDefault="00D1092B" w:rsidP="00D1092B">
      <w:pPr>
        <w:pStyle w:val="Heading5"/>
      </w:pPr>
      <w:r w:rsidRPr="00D1092B">
        <w:t>Pharmacokinetic interaction</w:t>
      </w:r>
      <w:r w:rsidR="00A0441B">
        <w:t>s demonstrated in human studies</w:t>
      </w:r>
    </w:p>
    <w:p w:rsidR="00D1092B" w:rsidRDefault="00D1092B" w:rsidP="00D1092B">
      <w:r w:rsidRPr="00D1092B">
        <w:t>Interaction between LUM and IVA Study VX08-809-005 examined the drug-drug interaction between LUM and IVA in healthy subjects following doses of 200 mg LUM QD given alone, 150 mg IVA q12h alone or co-administration of both for 14 days. On Days 1 and 14 of Periods 1 and 3, mean LUM plasma concentration time profiles were similar after the administration of LUM alone or in combination with IVA (</w:t>
      </w:r>
      <w:r w:rsidRPr="000022CC">
        <w:t xml:space="preserve">Figure </w:t>
      </w:r>
      <w:r w:rsidR="000022CC" w:rsidRPr="000022CC">
        <w:t>5</w:t>
      </w:r>
      <w:r w:rsidRPr="00D1092B">
        <w:t>), whereas, the M28 metabolite showed slightly higher concentrations on Day 1 and Day 14 of the combination treatment period compared to when LUM was administered alone (</w:t>
      </w:r>
      <w:r w:rsidRPr="002B336A">
        <w:t xml:space="preserve">Figure </w:t>
      </w:r>
      <w:r w:rsidR="0089782E">
        <w:t xml:space="preserve">6). </w:t>
      </w:r>
      <w:r w:rsidRPr="00D1092B">
        <w:t xml:space="preserve">Following administration of either LUM alone or in combination with IVA, the </w:t>
      </w:r>
      <w:r w:rsidR="00661535" w:rsidRPr="007F4B4F">
        <w:t>C</w:t>
      </w:r>
      <w:r w:rsidR="00661535" w:rsidRPr="00661535">
        <w:rPr>
          <w:vertAlign w:val="subscript"/>
        </w:rPr>
        <w:t>trough</w:t>
      </w:r>
      <w:r w:rsidRPr="00D1092B">
        <w:t xml:space="preserve"> plasma concentrations for both LUM and M28 demonstrated accumulation over time (approximately 2</w:t>
      </w:r>
      <w:r w:rsidR="00511EB7">
        <w:t xml:space="preserve"> fold</w:t>
      </w:r>
      <w:r w:rsidR="002E1D03">
        <w:t xml:space="preserve"> for LUM and 6</w:t>
      </w:r>
      <w:r w:rsidRPr="00D1092B">
        <w:t xml:space="preserve"> to 7</w:t>
      </w:r>
      <w:r w:rsidR="00511EB7">
        <w:t xml:space="preserve"> fold</w:t>
      </w:r>
      <w:r w:rsidRPr="00D1092B">
        <w:t xml:space="preserve"> for M28 on Day 14 based on AUC) and steady state appeared to be reached by Day 7 for LUM (</w:t>
      </w:r>
      <w:r w:rsidRPr="002B336A">
        <w:t xml:space="preserve">Figure </w:t>
      </w:r>
      <w:r w:rsidR="002B336A" w:rsidRPr="002B336A">
        <w:t>3 above</w:t>
      </w:r>
      <w:r w:rsidRPr="00D1092B">
        <w:t>), whereas trough plasma concentrations were still increasing on Day 14 for M28 (</w:t>
      </w:r>
      <w:r w:rsidRPr="002B336A">
        <w:t xml:space="preserve">Figure </w:t>
      </w:r>
      <w:r w:rsidR="002B336A" w:rsidRPr="002B336A">
        <w:t>7</w:t>
      </w:r>
      <w:r w:rsidR="002E1D03">
        <w:t>).</w:t>
      </w:r>
    </w:p>
    <w:p w:rsidR="000022CC" w:rsidRDefault="000022CC" w:rsidP="002B336A">
      <w:pPr>
        <w:pStyle w:val="FigureTitle"/>
        <w:keepNext/>
      </w:pPr>
      <w:proofErr w:type="gramStart"/>
      <w:r>
        <w:lastRenderedPageBreak/>
        <w:t>Figure 5.</w:t>
      </w:r>
      <w:proofErr w:type="gramEnd"/>
      <w:r>
        <w:t xml:space="preserve"> </w:t>
      </w:r>
      <w:r w:rsidR="002B336A">
        <w:t>Study VX08-809-05 M</w:t>
      </w:r>
      <w:r>
        <w:t xml:space="preserve">ean </w:t>
      </w:r>
      <w:r w:rsidR="0089782E">
        <w:t>lumacaftor (</w:t>
      </w:r>
      <w:r>
        <w:t>VX809</w:t>
      </w:r>
      <w:r w:rsidR="0089782E">
        <w:t>)</w:t>
      </w:r>
      <w:r>
        <w:t xml:space="preserve"> plasma co</w:t>
      </w:r>
      <w:r w:rsidR="002B336A">
        <w:t>ncentration time profiles on Day</w:t>
      </w:r>
      <w:r>
        <w:t xml:space="preserve"> 1 and Day 14 after administration of VX-809</w:t>
      </w:r>
      <w:r w:rsidR="002B336A">
        <w:t xml:space="preserve"> alone and with </w:t>
      </w:r>
      <w:r w:rsidR="0089782E">
        <w:t>ivacaftor (</w:t>
      </w:r>
      <w:r w:rsidR="002B336A">
        <w:t>VX-770</w:t>
      </w:r>
      <w:r w:rsidR="0089782E">
        <w:t>)</w:t>
      </w:r>
      <w:r w:rsidR="002B336A">
        <w:t xml:space="preserve"> for 14 Days</w:t>
      </w:r>
    </w:p>
    <w:p w:rsidR="002B336A" w:rsidRDefault="002B336A" w:rsidP="002B336A">
      <w:pPr>
        <w:pStyle w:val="FigureTitle"/>
      </w:pPr>
      <w:r>
        <w:rPr>
          <w:noProof/>
          <w:lang w:eastAsia="en-AU"/>
        </w:rPr>
        <w:drawing>
          <wp:inline distT="0" distB="0" distL="0" distR="0" wp14:anchorId="1C9620D9" wp14:editId="4676DF80">
            <wp:extent cx="5398618" cy="2910330"/>
            <wp:effectExtent l="0" t="0" r="0" b="4445"/>
            <wp:docPr id="23" name="Picture 23" descr="Figure 5. Study VX08-809-05 Mean lumacaftor (VX809) plasma concentration time profiles on Day 1 and Day 14 after administration of VX-809 alone and with ivacaftor (VX-770) for 14 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403469" cy="2912945"/>
                    </a:xfrm>
                    <a:prstGeom prst="rect">
                      <a:avLst/>
                    </a:prstGeom>
                  </pic:spPr>
                </pic:pic>
              </a:graphicData>
            </a:graphic>
          </wp:inline>
        </w:drawing>
      </w:r>
    </w:p>
    <w:p w:rsidR="002B336A" w:rsidRDefault="002B336A" w:rsidP="002B336A">
      <w:pPr>
        <w:pStyle w:val="FigureTitle"/>
      </w:pPr>
      <w:proofErr w:type="gramStart"/>
      <w:r>
        <w:t>Figure 6.</w:t>
      </w:r>
      <w:proofErr w:type="gramEnd"/>
      <w:r>
        <w:t xml:space="preserve"> Study VX08-809-05 Mean M28 plasma concentration time profiles on Day 1 and Day 14 after administration of </w:t>
      </w:r>
      <w:r w:rsidR="0089782E">
        <w:t>lumacaftor (</w:t>
      </w:r>
      <w:r>
        <w:t>VX-809</w:t>
      </w:r>
      <w:r w:rsidR="0089782E">
        <w:t>)</w:t>
      </w:r>
      <w:r>
        <w:t xml:space="preserve"> alone and with </w:t>
      </w:r>
      <w:r w:rsidR="00D13AF6">
        <w:t>ivacaftor (</w:t>
      </w:r>
      <w:r>
        <w:t>VX-770</w:t>
      </w:r>
      <w:r w:rsidR="0089782E">
        <w:t>)</w:t>
      </w:r>
      <w:r>
        <w:t xml:space="preserve"> for 14 Days</w:t>
      </w:r>
    </w:p>
    <w:p w:rsidR="002B336A" w:rsidRDefault="002B336A" w:rsidP="002B336A">
      <w:pPr>
        <w:pStyle w:val="FigureTitle"/>
      </w:pPr>
      <w:r>
        <w:rPr>
          <w:noProof/>
          <w:lang w:eastAsia="en-AU"/>
        </w:rPr>
        <w:drawing>
          <wp:inline distT="0" distB="0" distL="0" distR="0" wp14:anchorId="596913F4" wp14:editId="2F2F6B68">
            <wp:extent cx="5157216" cy="2827606"/>
            <wp:effectExtent l="0" t="0" r="5715" b="0"/>
            <wp:docPr id="24" name="Picture 24" descr="Figure 6. Study VX08-809-05 Mean M28 plasma concentration time profiles on Day 1 and Day 14 after administration of lumacaftor (VX-809) alone and with ivacaftor(VX-770) for 14 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153972" cy="2825827"/>
                    </a:xfrm>
                    <a:prstGeom prst="rect">
                      <a:avLst/>
                    </a:prstGeom>
                  </pic:spPr>
                </pic:pic>
              </a:graphicData>
            </a:graphic>
          </wp:inline>
        </w:drawing>
      </w:r>
    </w:p>
    <w:p w:rsidR="002B336A" w:rsidRDefault="002B336A" w:rsidP="002B336A">
      <w:pPr>
        <w:pStyle w:val="FigureTitle"/>
        <w:keepNext/>
      </w:pPr>
      <w:proofErr w:type="gramStart"/>
      <w:r>
        <w:lastRenderedPageBreak/>
        <w:t>Figure 7</w:t>
      </w:r>
      <w:r w:rsidR="00D74F5A">
        <w:t>.</w:t>
      </w:r>
      <w:proofErr w:type="gramEnd"/>
      <w:r>
        <w:t xml:space="preserve"> Study VX08-809-05 Mean M28 trough plasma concentration time profiles after administration of </w:t>
      </w:r>
      <w:r w:rsidR="00D74F5A">
        <w:t>lumacaftor (</w:t>
      </w:r>
      <w:r>
        <w:t>VX-809</w:t>
      </w:r>
      <w:r w:rsidR="00D74F5A">
        <w:t>)</w:t>
      </w:r>
      <w:r>
        <w:t xml:space="preserve"> alone and with </w:t>
      </w:r>
      <w:r w:rsidR="00D74F5A">
        <w:t>ivacaftor (</w:t>
      </w:r>
      <w:r>
        <w:t>VX-770</w:t>
      </w:r>
      <w:r w:rsidR="00D74F5A">
        <w:t>)</w:t>
      </w:r>
      <w:r>
        <w:t xml:space="preserve"> for 14 days</w:t>
      </w:r>
    </w:p>
    <w:p w:rsidR="002B336A" w:rsidRPr="00D1092B" w:rsidRDefault="002B336A" w:rsidP="002B336A">
      <w:pPr>
        <w:pStyle w:val="FigureTitle"/>
      </w:pPr>
      <w:r>
        <w:rPr>
          <w:noProof/>
          <w:lang w:eastAsia="en-AU"/>
        </w:rPr>
        <w:drawing>
          <wp:inline distT="0" distB="0" distL="0" distR="0" wp14:anchorId="4938409C" wp14:editId="0E13739F">
            <wp:extent cx="3676650" cy="2762250"/>
            <wp:effectExtent l="0" t="0" r="0" b="0"/>
            <wp:docPr id="25" name="Picture 25" descr="Figure 7. Study VX08-809-05 Mean M28 trough plasma concentration time profiles after administration of lumacaftor (VX-809) alone and with ivacaftor (VX-770) for 14 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3676650" cy="2762250"/>
                    </a:xfrm>
                    <a:prstGeom prst="rect">
                      <a:avLst/>
                    </a:prstGeom>
                  </pic:spPr>
                </pic:pic>
              </a:graphicData>
            </a:graphic>
          </wp:inline>
        </w:drawing>
      </w:r>
    </w:p>
    <w:p w:rsidR="00D1092B" w:rsidRDefault="00D1092B" w:rsidP="00D1092B">
      <w:r w:rsidRPr="00D1092B">
        <w:t>Following a single dose, the plasma concentration-time profiles of IVA and M1 were comparable after the administration of IVA alone or in combination with LUM (</w:t>
      </w:r>
      <w:r w:rsidRPr="00EE42EC">
        <w:t xml:space="preserve">Figure </w:t>
      </w:r>
      <w:r w:rsidR="00D74F5A">
        <w:t>8</w:t>
      </w:r>
      <w:r w:rsidRPr="00D1092B">
        <w:t>), whereas, following 14</w:t>
      </w:r>
      <w:r w:rsidR="002E1D03">
        <w:t xml:space="preserve"> days of dosing there was a 70 to</w:t>
      </w:r>
      <w:r w:rsidRPr="00D1092B">
        <w:t xml:space="preserve"> 80% reduction in IVA and M1 plasma concentrations when IVA was co-administered with LUM compared to when IVA was administered alone. Th</w:t>
      </w:r>
      <w:r w:rsidR="002E1D03">
        <w:t>e sponsor believes that the 70 to</w:t>
      </w:r>
      <w:r w:rsidRPr="00D1092B">
        <w:t xml:space="preserve"> 80% decrease </w:t>
      </w:r>
      <w:r w:rsidR="002E1D03">
        <w:t xml:space="preserve">in IVA exposure following multi </w:t>
      </w:r>
      <w:r w:rsidRPr="00D1092B">
        <w:t>dose co-administration with LUM</w:t>
      </w:r>
      <w:r w:rsidR="002E1D03">
        <w:t xml:space="preserve"> most likely results from a LUM </w:t>
      </w:r>
      <w:r w:rsidRPr="00D1092B">
        <w:t xml:space="preserve">mediated induction of CYP3A, the enzyme that is primarily responsible for the metabolism of IVA. When IVA was administered alone, </w:t>
      </w:r>
      <w:r w:rsidR="00661535" w:rsidRPr="007F4B4F">
        <w:t>C</w:t>
      </w:r>
      <w:r w:rsidR="00661535" w:rsidRPr="00661535">
        <w:rPr>
          <w:vertAlign w:val="subscript"/>
        </w:rPr>
        <w:t>trough</w:t>
      </w:r>
      <w:r w:rsidRPr="00D1092B">
        <w:t xml:space="preserve"> values for IVA, M1, and M6 demonstrated significant accumulation over time (</w:t>
      </w:r>
      <w:r w:rsidRPr="00EE42EC">
        <w:t xml:space="preserve">Figure </w:t>
      </w:r>
      <w:r w:rsidR="00EE42EC" w:rsidRPr="00EE42EC">
        <w:t xml:space="preserve">4 </w:t>
      </w:r>
      <w:r w:rsidR="00EE42EC">
        <w:t>above</w:t>
      </w:r>
      <w:r w:rsidRPr="00D1092B">
        <w:t>) with accumulation ratios of approximately 3</w:t>
      </w:r>
      <w:r w:rsidR="00511EB7">
        <w:t xml:space="preserve"> fold</w:t>
      </w:r>
      <w:r w:rsidR="00EE42EC">
        <w:t xml:space="preserve"> for IVA and </w:t>
      </w:r>
      <w:proofErr w:type="gramStart"/>
      <w:r w:rsidR="00EE42EC">
        <w:t xml:space="preserve">M1 </w:t>
      </w:r>
      <w:r w:rsidRPr="00D1092B">
        <w:t>,</w:t>
      </w:r>
      <w:proofErr w:type="gramEnd"/>
      <w:r w:rsidRPr="00D1092B">
        <w:t xml:space="preserve"> and 4</w:t>
      </w:r>
      <w:r w:rsidR="00511EB7">
        <w:t xml:space="preserve"> fold</w:t>
      </w:r>
      <w:r w:rsidRPr="00D1092B">
        <w:t xml:space="preserve"> for M6 on Day 14. Steady state appeared to be reached by Day 7 to 14 for all 3 compounds. Following co-administra</w:t>
      </w:r>
      <w:r w:rsidR="002E1D03">
        <w:t>tion of IVA and LUM, IVA and M1</w:t>
      </w:r>
      <w:r w:rsidR="00661535">
        <w:t xml:space="preserve"> </w:t>
      </w:r>
      <w:r w:rsidR="00661535" w:rsidRPr="007F4B4F">
        <w:t>C</w:t>
      </w:r>
      <w:r w:rsidR="00661535" w:rsidRPr="00661535">
        <w:rPr>
          <w:vertAlign w:val="subscript"/>
        </w:rPr>
        <w:t>trough</w:t>
      </w:r>
      <w:r w:rsidRPr="00D1092B">
        <w:t xml:space="preserve"> values initially increased; however, following continued co-administration,</w:t>
      </w:r>
      <w:r w:rsidR="002E1D03">
        <w:t xml:space="preserve"> IVA and M1</w:t>
      </w:r>
      <w:r w:rsidR="00661535">
        <w:t xml:space="preserve"> </w:t>
      </w:r>
      <w:r w:rsidR="00661535" w:rsidRPr="007F4B4F">
        <w:t>C</w:t>
      </w:r>
      <w:r w:rsidR="00661535" w:rsidRPr="00661535">
        <w:rPr>
          <w:vertAlign w:val="subscript"/>
        </w:rPr>
        <w:t>trough</w:t>
      </w:r>
      <w:r w:rsidRPr="00D1092B">
        <w:t xml:space="preserve"> values decreased to levels that were significantly lower than those seen when IVA was administ</w:t>
      </w:r>
      <w:r w:rsidR="002E1D03">
        <w:t xml:space="preserve">ered alone, indicating that LUM </w:t>
      </w:r>
      <w:r w:rsidRPr="00D1092B">
        <w:t xml:space="preserve">mediated induction occurred within the first few days of co-administration and reached a maximal effect by Day 7. By contrast, M6 </w:t>
      </w:r>
      <w:r w:rsidR="00661535" w:rsidRPr="007F4B4F">
        <w:t>C</w:t>
      </w:r>
      <w:r w:rsidR="00661535" w:rsidRPr="00661535">
        <w:rPr>
          <w:vertAlign w:val="subscript"/>
        </w:rPr>
        <w:t>trough</w:t>
      </w:r>
      <w:r w:rsidRPr="00D1092B">
        <w:t xml:space="preserve"> values were similar</w:t>
      </w:r>
      <w:r w:rsidR="002E1D03">
        <w:t>,</w:t>
      </w:r>
      <w:r w:rsidRPr="00D1092B">
        <w:t xml:space="preserve"> through to Day 7 following both administration of IVA alone and when it was co-administered; however, at later time </w:t>
      </w:r>
      <w:r w:rsidR="002E1D03">
        <w:t>points M6</w:t>
      </w:r>
      <w:r w:rsidR="00661535">
        <w:t xml:space="preserve"> </w:t>
      </w:r>
      <w:r w:rsidR="00661535" w:rsidRPr="007F4B4F">
        <w:t>C</w:t>
      </w:r>
      <w:r w:rsidR="00661535" w:rsidRPr="00661535">
        <w:rPr>
          <w:vertAlign w:val="subscript"/>
        </w:rPr>
        <w:t>trough</w:t>
      </w:r>
      <w:r w:rsidRPr="00D1092B">
        <w:t xml:space="preserve"> values decreased by approximately 25% when the two drugs were co-administered compared to w</w:t>
      </w:r>
      <w:r w:rsidR="002E1D03">
        <w:t>hen IVA was administered alone.</w:t>
      </w:r>
    </w:p>
    <w:p w:rsidR="00EE42EC" w:rsidRDefault="00D74F5A" w:rsidP="00EE42EC">
      <w:pPr>
        <w:pStyle w:val="FigureTitle"/>
        <w:keepNext/>
      </w:pPr>
      <w:proofErr w:type="gramStart"/>
      <w:r>
        <w:lastRenderedPageBreak/>
        <w:t>Figure 8.</w:t>
      </w:r>
      <w:proofErr w:type="gramEnd"/>
      <w:r w:rsidR="00EE42EC">
        <w:t xml:space="preserve"> Study VX08-809-05 Mean VX-770 plasma concentration time profiles on Day 1 and Day 14 after administration of </w:t>
      </w:r>
      <w:r>
        <w:t>ivacaftor (</w:t>
      </w:r>
      <w:r w:rsidR="00EE42EC">
        <w:t>VX-770</w:t>
      </w:r>
      <w:r>
        <w:t>)</w:t>
      </w:r>
      <w:r w:rsidR="00EE42EC">
        <w:t xml:space="preserve"> alone and with VX-809 for 14 days</w:t>
      </w:r>
    </w:p>
    <w:p w:rsidR="00EE42EC" w:rsidRPr="00EE42EC" w:rsidRDefault="00EE42EC" w:rsidP="00EE42EC">
      <w:r>
        <w:rPr>
          <w:noProof/>
          <w:lang w:eastAsia="en-AU"/>
        </w:rPr>
        <w:drawing>
          <wp:inline distT="0" distB="0" distL="0" distR="0" wp14:anchorId="1B47512A" wp14:editId="1A0166CA">
            <wp:extent cx="5731510" cy="6330992"/>
            <wp:effectExtent l="0" t="0" r="2540" b="0"/>
            <wp:docPr id="26" name="Picture 26" descr="Figure 8. Study VX08-809-05 Mean VX-770 plasma concentration time profiles on Day 1 and Day 14 after administration of ivacaftor (VX-770) alone and with VX-809 for 14 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731510" cy="6330992"/>
                    </a:xfrm>
                    <a:prstGeom prst="rect">
                      <a:avLst/>
                    </a:prstGeom>
                  </pic:spPr>
                </pic:pic>
              </a:graphicData>
            </a:graphic>
          </wp:inline>
        </w:drawing>
      </w:r>
    </w:p>
    <w:p w:rsidR="00D1092B" w:rsidRPr="00D1092B" w:rsidRDefault="00D1092B" w:rsidP="00D1092B">
      <w:r w:rsidRPr="00D1092B">
        <w:t xml:space="preserve">In contrast to the preceding </w:t>
      </w:r>
      <w:r w:rsidR="00980975">
        <w:t>Study</w:t>
      </w:r>
      <w:r w:rsidRPr="00D1092B">
        <w:t xml:space="preserve"> VX08-809-005, when 200 mg LUM QD was co-administered wi</w:t>
      </w:r>
      <w:r w:rsidR="00EE42EC">
        <w:t xml:space="preserve">th 250 mg IVA q12h for 14 days </w:t>
      </w:r>
      <w:r w:rsidR="00F22BFD">
        <w:t>(</w:t>
      </w:r>
      <w:r w:rsidR="00980975" w:rsidRPr="00EE42EC">
        <w:t>Study</w:t>
      </w:r>
      <w:r w:rsidRPr="00EE42EC">
        <w:t xml:space="preserve"> VX10-809-006</w:t>
      </w:r>
      <w:r w:rsidR="00F22BFD">
        <w:t>)</w:t>
      </w:r>
      <w:r w:rsidR="00EE42EC">
        <w:t>,</w:t>
      </w:r>
      <w:r w:rsidRPr="00D1092B">
        <w:t xml:space="preserve"> LUM exposure decreased compared to when LUM was administered alone (GLSM ratios for </w:t>
      </w:r>
      <w:r w:rsidR="00511EB7" w:rsidRPr="001E1E4D">
        <w:t>C</w:t>
      </w:r>
      <w:r w:rsidR="00511EB7" w:rsidRPr="00511EB7">
        <w:rPr>
          <w:vertAlign w:val="subscript"/>
        </w:rPr>
        <w:t>max</w:t>
      </w:r>
      <w:r w:rsidRPr="00D1092B">
        <w:t xml:space="preserve"> by 39% and for </w:t>
      </w:r>
      <w:r w:rsidR="00511EB7" w:rsidRPr="002227DB">
        <w:t>AUC</w:t>
      </w:r>
      <w:r w:rsidR="00511EB7" w:rsidRPr="00511EB7">
        <w:rPr>
          <w:vertAlign w:val="subscript"/>
        </w:rPr>
        <w:t>0-24</w:t>
      </w:r>
      <w:r w:rsidRPr="00D1092B">
        <w:t>h by 32%). Whereas, when IVA (250 mg q12h) was administered alone for 14 days IVA exposure increased by approximately 2.5</w:t>
      </w:r>
      <w:r w:rsidR="00511EB7">
        <w:t xml:space="preserve"> fold</w:t>
      </w:r>
      <w:r w:rsidRPr="00D1092B">
        <w:t>; however, following co-administration for 14 days IVA exposure decreased (0.63</w:t>
      </w:r>
      <w:r w:rsidR="00511EB7">
        <w:t xml:space="preserve"> fold</w:t>
      </w:r>
      <w:r w:rsidRPr="00D1092B">
        <w:t>). Similar results were identified for Cohort 2 of this study following do</w:t>
      </w:r>
      <w:r w:rsidR="002E1D03">
        <w:t>sing with 400 mg LUM QD and 150 </w:t>
      </w:r>
      <w:r w:rsidRPr="00D1092B">
        <w:t xml:space="preserve">mg IVA q12h </w:t>
      </w:r>
      <w:r w:rsidR="002E1D03">
        <w:t>either alone or in combination.</w:t>
      </w:r>
    </w:p>
    <w:p w:rsidR="00D1092B" w:rsidRDefault="002E1D03" w:rsidP="00D1092B">
      <w:pPr>
        <w:pStyle w:val="Heading6"/>
      </w:pPr>
      <w:r>
        <w:t>Interactions with other drugs</w:t>
      </w:r>
    </w:p>
    <w:p w:rsidR="00D1092B" w:rsidRPr="00D1092B" w:rsidRDefault="00D1092B" w:rsidP="00D1092B">
      <w:r w:rsidRPr="00D1092B">
        <w:t xml:space="preserve">Study VX12-809-009 assessed the PKs of LUM and IVA following co-administration in the absence and presence of ciprofloxacin, </w:t>
      </w:r>
      <w:r w:rsidR="002E1D03">
        <w:t xml:space="preserve">itraconazole, </w:t>
      </w:r>
      <w:proofErr w:type="gramStart"/>
      <w:r w:rsidR="002E1D03">
        <w:t>rifampin</w:t>
      </w:r>
      <w:proofErr w:type="gramEnd"/>
      <w:r w:rsidR="002E1D03">
        <w:t xml:space="preserve"> and long </w:t>
      </w:r>
      <w:r w:rsidRPr="00D1092B">
        <w:t>acting bronchodilators, such</w:t>
      </w:r>
      <w:r w:rsidR="002E1D03">
        <w:t xml:space="preserve"> as indacaterol and tiotropium.</w:t>
      </w:r>
    </w:p>
    <w:p w:rsidR="00D1092B" w:rsidRPr="00D1092B" w:rsidRDefault="00D1092B" w:rsidP="00D1092B">
      <w:r w:rsidRPr="00D1092B">
        <w:lastRenderedPageBreak/>
        <w:t xml:space="preserve">Following co-administration of 200 mg LUM q12h and 250 mg IVA q12h, mean LUM </w:t>
      </w:r>
      <w:r w:rsidR="00511EB7" w:rsidRPr="002227DB">
        <w:t>AUC</w:t>
      </w:r>
      <w:r w:rsidR="00511EB7" w:rsidRPr="00511EB7">
        <w:rPr>
          <w:vertAlign w:val="subscript"/>
        </w:rPr>
        <w:t>τ</w:t>
      </w:r>
      <w:r w:rsidR="002E1D03">
        <w:t xml:space="preserve"> (90% </w:t>
      </w:r>
      <w:r w:rsidRPr="00D1092B">
        <w:t>CI) values were approximately 14% (79, 95) lower i</w:t>
      </w:r>
      <w:r w:rsidR="0058502C">
        <w:t>n the presence of ciprofloxacin</w:t>
      </w:r>
      <w:r w:rsidR="002E1D03">
        <w:t xml:space="preserve"> whereas, the M28 </w:t>
      </w:r>
      <w:r w:rsidRPr="00D1092B">
        <w:t xml:space="preserve">LUM concentration versus time profiles were similar in both its absence and presence. By contrast, the mean IVA </w:t>
      </w:r>
      <w:r w:rsidR="00511EB7" w:rsidRPr="002227DB">
        <w:t>AUC</w:t>
      </w:r>
      <w:r w:rsidR="00511EB7" w:rsidRPr="00511EB7">
        <w:rPr>
          <w:vertAlign w:val="subscript"/>
        </w:rPr>
        <w:t>τ</w:t>
      </w:r>
      <w:r w:rsidRPr="00D1092B">
        <w:t xml:space="preserve"> was approximately 28% (111, 148) higher in the presence of ciprofloxacin. The mean plasma concentrations for the metabolites M1-IVA and M6-IVA were also higher by 126 % and 112%, respectively, in the presence</w:t>
      </w:r>
      <w:r w:rsidR="002E1D03">
        <w:t xml:space="preserve"> of ciprofloxacin.</w:t>
      </w:r>
    </w:p>
    <w:p w:rsidR="00D1092B" w:rsidRPr="00D1092B" w:rsidRDefault="00D1092B" w:rsidP="00D1092B">
      <w:r w:rsidRPr="00D1092B">
        <w:t xml:space="preserve">LUM and M28-LUM mean plasma concentrations were similar in the absence and presence of the CYP3A inhibitor itraconazole, whereas, the mean IVA </w:t>
      </w:r>
      <w:r w:rsidR="00511EB7" w:rsidRPr="002227DB">
        <w:t>AUC</w:t>
      </w:r>
      <w:r w:rsidR="00511EB7" w:rsidRPr="00511EB7">
        <w:rPr>
          <w:vertAlign w:val="subscript"/>
        </w:rPr>
        <w:t>τ</w:t>
      </w:r>
      <w:r w:rsidRPr="00D1092B">
        <w:t xml:space="preserve"> was approximately 4.2</w:t>
      </w:r>
      <w:r w:rsidR="00511EB7">
        <w:t xml:space="preserve"> fold</w:t>
      </w:r>
      <w:r w:rsidRPr="00D1092B">
        <w:t xml:space="preserve"> (3.78, 4.88) higher in its presence. The mean plasma con</w:t>
      </w:r>
      <w:r w:rsidR="002E1D03">
        <w:t>centration of the metabolite M1-</w:t>
      </w:r>
      <w:r w:rsidRPr="00D1092B">
        <w:t>IVA was higher (2.4</w:t>
      </w:r>
      <w:r w:rsidR="00511EB7">
        <w:t xml:space="preserve"> fold</w:t>
      </w:r>
      <w:r w:rsidRPr="00D1092B">
        <w:t xml:space="preserve">) in the presence of itraconazole; however, </w:t>
      </w:r>
      <w:r w:rsidR="002E1D03">
        <w:t>there was no change for M6-IVA.</w:t>
      </w:r>
    </w:p>
    <w:p w:rsidR="00D1092B" w:rsidRPr="00D1092B" w:rsidRDefault="00D1092B" w:rsidP="00D1092B">
      <w:r w:rsidRPr="00D1092B">
        <w:t xml:space="preserve">The CYP3A inducer rifampin had little to no effect on mean LUM </w:t>
      </w:r>
      <w:r w:rsidR="00511EB7" w:rsidRPr="002227DB">
        <w:t>AUC</w:t>
      </w:r>
      <w:r w:rsidR="00511EB7" w:rsidRPr="00511EB7">
        <w:rPr>
          <w:vertAlign w:val="subscript"/>
        </w:rPr>
        <w:t>τ</w:t>
      </w:r>
      <w:r w:rsidRPr="00D1092B">
        <w:t xml:space="preserve">, whereas, the mean M28-LUM </w:t>
      </w:r>
      <w:r w:rsidR="00511EB7" w:rsidRPr="002227DB">
        <w:t>AUC</w:t>
      </w:r>
      <w:r w:rsidR="00511EB7" w:rsidRPr="00511EB7">
        <w:rPr>
          <w:vertAlign w:val="subscript"/>
        </w:rPr>
        <w:t>τ</w:t>
      </w:r>
      <w:r w:rsidRPr="00D1092B">
        <w:t xml:space="preserve"> was approximately 35% (132, 140) higher in the presence of rifampin. By contrast, the mean IVA </w:t>
      </w:r>
      <w:r w:rsidR="00511EB7" w:rsidRPr="002227DB">
        <w:t>AUC</w:t>
      </w:r>
      <w:r w:rsidR="00511EB7" w:rsidRPr="00511EB7">
        <w:rPr>
          <w:vertAlign w:val="subscript"/>
        </w:rPr>
        <w:t>τ</w:t>
      </w:r>
      <w:r w:rsidRPr="00D1092B">
        <w:t xml:space="preserve"> was approximately 67% (38, 49) lower in the presence of rifampin. The mean plasma concentrations of M1-IVA were also lower (approximately 35%); however, the mean plasma concentrations of M6-IVA were higher (approximately 29</w:t>
      </w:r>
      <w:r w:rsidR="002E1D03">
        <w:t>%) in the presence of rifampin.</w:t>
      </w:r>
    </w:p>
    <w:p w:rsidR="00D1092B" w:rsidRPr="00D1092B" w:rsidRDefault="00D1092B" w:rsidP="00D1092B">
      <w:r w:rsidRPr="00D1092B">
        <w:t>Although no statistical analysis was undertaken to determine the effects of bronchodilators on LUM and IVA exposure, visual inspection of the concentration versus time profiles and summary of PK parameters indicate no effect of bronchodilator treatments on t</w:t>
      </w:r>
      <w:r w:rsidR="002E1D03">
        <w:t>he PK parameters of LUM or IVA.</w:t>
      </w:r>
    </w:p>
    <w:p w:rsidR="00D1092B" w:rsidRPr="00D1092B" w:rsidRDefault="00D1092B" w:rsidP="00D1092B">
      <w:pPr>
        <w:pStyle w:val="Heading5"/>
      </w:pPr>
      <w:r w:rsidRPr="00D1092B">
        <w:t>Clinical im</w:t>
      </w:r>
      <w:r w:rsidR="002E1D03">
        <w:t>plications of in vitro findings</w:t>
      </w:r>
    </w:p>
    <w:p w:rsidR="00D1092B" w:rsidRPr="00D1092B" w:rsidRDefault="00D1092B" w:rsidP="00D1092B">
      <w:r w:rsidRPr="00D1092B">
        <w:t>In vitro studies have established that LUM is an inducer of CYP3A, whereas, IVA is a weak inhibitor of CYP3A when given as monotherapy. The net effect of lumacaftor/ivacaftor therapy is expected to be strong CYP3A induction. In addition, both LUM and IVA have been shown to have no inhibitory effect on the inducible enzyme CYP2D6 and neither compound is a substrate for P-gp. By contrast, in vitro studies of interactions with digoxin, a sensitive P-gp probe substrate, indicated that both L</w:t>
      </w:r>
      <w:r w:rsidR="002E1D03">
        <w:t>UM and IVA are P-gp inhibitors.</w:t>
      </w:r>
    </w:p>
    <w:p w:rsidR="00D1092B" w:rsidRPr="00D1092B" w:rsidRDefault="00D1092B" w:rsidP="00D1092B">
      <w:pPr>
        <w:pStyle w:val="Heading3"/>
      </w:pPr>
      <w:bookmarkStart w:id="19" w:name="_Toc461121042"/>
      <w:r w:rsidRPr="00D1092B">
        <w:t>Evaluator’s overall conclusions on pharmacokinetics</w:t>
      </w:r>
      <w:bookmarkEnd w:id="19"/>
    </w:p>
    <w:p w:rsidR="00D1092B" w:rsidRDefault="00DA4E52" w:rsidP="00D1092B">
      <w:pPr>
        <w:pStyle w:val="Heading4"/>
      </w:pPr>
      <w:r>
        <w:t>Absorption</w:t>
      </w:r>
    </w:p>
    <w:p w:rsidR="00D1092B" w:rsidRPr="00D1092B" w:rsidRDefault="00D1092B" w:rsidP="00DA4E52">
      <w:pPr>
        <w:pStyle w:val="ListBullet"/>
      </w:pPr>
      <w:r w:rsidRPr="00D1092B">
        <w:t xml:space="preserve">Following a single oral dose of either 400 mg/250 mg or 600 mg/250 mg </w:t>
      </w:r>
      <w:r w:rsidR="00511EB7">
        <w:t>Orkambi</w:t>
      </w:r>
      <w:r w:rsidRPr="00D1092B">
        <w:t xml:space="preserve"> to healthy fed males the median LUM </w:t>
      </w:r>
      <w:r w:rsidR="00511EB7" w:rsidRPr="001E1E4D">
        <w:t>T</w:t>
      </w:r>
      <w:r w:rsidR="00511EB7" w:rsidRPr="00511EB7">
        <w:rPr>
          <w:vertAlign w:val="subscript"/>
        </w:rPr>
        <w:t>max</w:t>
      </w:r>
      <w:r w:rsidRPr="00D1092B">
        <w:t xml:space="preserve"> occurred at 4 h following drug administration, whereas, the median </w:t>
      </w:r>
      <w:r w:rsidR="00511EB7" w:rsidRPr="001E1E4D">
        <w:t>T</w:t>
      </w:r>
      <w:r w:rsidR="00511EB7" w:rsidRPr="00511EB7">
        <w:rPr>
          <w:vertAlign w:val="subscript"/>
        </w:rPr>
        <w:t>max</w:t>
      </w:r>
      <w:r w:rsidRPr="00D1092B">
        <w:t xml:space="preserve"> of the IVA component occurred at 4.00 h and 3.0</w:t>
      </w:r>
      <w:r w:rsidR="00D13AF6">
        <w:t>0 h after dosing, respectively</w:t>
      </w:r>
    </w:p>
    <w:p w:rsidR="00D1092B" w:rsidRPr="00D1092B" w:rsidRDefault="00D1092B" w:rsidP="00DA4E52">
      <w:pPr>
        <w:pStyle w:val="ListBullet"/>
      </w:pPr>
      <w:r w:rsidRPr="00D1092B">
        <w:t xml:space="preserve">The absolute bioavailability of the FDC </w:t>
      </w:r>
      <w:r w:rsidR="00511EB7">
        <w:t>Orkambi</w:t>
      </w:r>
      <w:r w:rsidR="00D13AF6">
        <w:t xml:space="preserve"> is unknown</w:t>
      </w:r>
    </w:p>
    <w:p w:rsidR="00D1092B" w:rsidRPr="00D1092B" w:rsidRDefault="00D1092B" w:rsidP="00DA4E52">
      <w:pPr>
        <w:pStyle w:val="ListBullet"/>
      </w:pPr>
      <w:r w:rsidRPr="00D1092B">
        <w:t xml:space="preserve">LUM </w:t>
      </w:r>
      <w:r w:rsidR="00511EB7" w:rsidRPr="001E1E4D">
        <w:t>C</w:t>
      </w:r>
      <w:r w:rsidR="00511EB7" w:rsidRPr="00511EB7">
        <w:rPr>
          <w:vertAlign w:val="subscript"/>
        </w:rPr>
        <w:t>max</w:t>
      </w:r>
      <w:r w:rsidRPr="00D1092B">
        <w:t xml:space="preserve"> and </w:t>
      </w:r>
      <w:r w:rsidR="00511EB7" w:rsidRPr="001E1E4D">
        <w:t>AUC</w:t>
      </w:r>
      <w:r w:rsidR="00511EB7" w:rsidRPr="00511EB7">
        <w:rPr>
          <w:vertAlign w:val="subscript"/>
        </w:rPr>
        <w:t>0-inf</w:t>
      </w:r>
      <w:r w:rsidRPr="00D1092B">
        <w:t xml:space="preserve"> values were approximately 1.4 higher following oral administration of a capsule formulation compared to a suspension. The median </w:t>
      </w:r>
      <w:r w:rsidR="00511EB7" w:rsidRPr="001E1E4D">
        <w:t>T</w:t>
      </w:r>
      <w:r w:rsidR="00511EB7" w:rsidRPr="00511EB7">
        <w:rPr>
          <w:vertAlign w:val="subscript"/>
        </w:rPr>
        <w:t>max</w:t>
      </w:r>
      <w:r w:rsidRPr="00D1092B">
        <w:t xml:space="preserve"> values for the suspension and capsule formulation</w:t>
      </w:r>
      <w:r w:rsidR="00DA4E52">
        <w:t>s of 3 h and 4 h, respectiv</w:t>
      </w:r>
      <w:r w:rsidR="00D13AF6">
        <w:t>ely</w:t>
      </w:r>
    </w:p>
    <w:p w:rsidR="007F4B4F" w:rsidRPr="00D1092B" w:rsidRDefault="00D1092B" w:rsidP="00DA4E52">
      <w:pPr>
        <w:pStyle w:val="ListBullet"/>
      </w:pPr>
      <w:r w:rsidRPr="00D1092B">
        <w:t xml:space="preserve">Following a 400 mg LUM/250 mg IVA dose, the fixed and free combinations of LUM/IVA were bioequivalent in regards to LUM </w:t>
      </w:r>
      <w:r w:rsidR="00511EB7" w:rsidRPr="001E1E4D">
        <w:t>AUC</w:t>
      </w:r>
      <w:r w:rsidR="00511EB7" w:rsidRPr="00511EB7">
        <w:rPr>
          <w:vertAlign w:val="subscript"/>
        </w:rPr>
        <w:t>0-inf</w:t>
      </w:r>
      <w:r w:rsidRPr="00D1092B">
        <w:t xml:space="preserve"> and </w:t>
      </w:r>
      <w:r w:rsidR="00511EB7" w:rsidRPr="001E1E4D">
        <w:t>C</w:t>
      </w:r>
      <w:r w:rsidR="00511EB7" w:rsidRPr="00511EB7">
        <w:rPr>
          <w:vertAlign w:val="subscript"/>
        </w:rPr>
        <w:t>max</w:t>
      </w:r>
      <w:r w:rsidRPr="00D1092B">
        <w:t xml:space="preserve">. The median </w:t>
      </w:r>
      <w:r w:rsidR="00511EB7" w:rsidRPr="001E1E4D">
        <w:t>T</w:t>
      </w:r>
      <w:r w:rsidR="00511EB7" w:rsidRPr="00511EB7">
        <w:rPr>
          <w:vertAlign w:val="subscript"/>
        </w:rPr>
        <w:t>max</w:t>
      </w:r>
      <w:r w:rsidRPr="00D1092B">
        <w:t xml:space="preserve"> and mean </w:t>
      </w:r>
      <w:r w:rsidR="00511EB7">
        <w:t>t½</w:t>
      </w:r>
      <w:r w:rsidRPr="00D1092B">
        <w:t xml:space="preserve"> of LUM were also similar with </w:t>
      </w:r>
      <w:r w:rsidR="00511EB7" w:rsidRPr="001E1E4D">
        <w:t>T</w:t>
      </w:r>
      <w:r w:rsidR="00511EB7" w:rsidRPr="00511EB7">
        <w:rPr>
          <w:vertAlign w:val="subscript"/>
        </w:rPr>
        <w:t>max</w:t>
      </w:r>
      <w:r w:rsidRPr="00D1092B">
        <w:t xml:space="preserve"> values of 4.00 h and </w:t>
      </w:r>
      <w:r w:rsidR="00511EB7">
        <w:t>t½</w:t>
      </w:r>
      <w:r w:rsidRPr="00D1092B">
        <w:t xml:space="preserve"> values of 26.61 h for the fixed and 26.95 h for the free combinations. For the IVA component, although the </w:t>
      </w:r>
      <w:r w:rsidR="00511EB7" w:rsidRPr="001E1E4D">
        <w:t>AUC</w:t>
      </w:r>
      <w:r w:rsidR="00511EB7" w:rsidRPr="00511EB7">
        <w:rPr>
          <w:vertAlign w:val="subscript"/>
        </w:rPr>
        <w:t>0-inf</w:t>
      </w:r>
      <w:r w:rsidRPr="00D1092B">
        <w:t xml:space="preserve"> was similar for both formulations, IVA </w:t>
      </w:r>
      <w:r w:rsidR="00511EB7" w:rsidRPr="001E1E4D">
        <w:t>C</w:t>
      </w:r>
      <w:r w:rsidR="00511EB7" w:rsidRPr="00511EB7">
        <w:rPr>
          <w:vertAlign w:val="subscript"/>
        </w:rPr>
        <w:t>max</w:t>
      </w:r>
      <w:r w:rsidRPr="00D1092B">
        <w:t xml:space="preserve"> for the fixed combination was 1.2</w:t>
      </w:r>
      <w:r w:rsidR="00511EB7">
        <w:t xml:space="preserve"> fold</w:t>
      </w:r>
      <w:r w:rsidRPr="00D1092B">
        <w:t xml:space="preserve"> higher (90% CI: 1.09, 1.33</w:t>
      </w:r>
      <w:r w:rsidR="00D13AF6">
        <w:t>) than for the free combination</w:t>
      </w:r>
    </w:p>
    <w:p w:rsidR="00D1092B" w:rsidRPr="00D1092B" w:rsidRDefault="00D1092B" w:rsidP="00DA4E52">
      <w:pPr>
        <w:pStyle w:val="ListBullet"/>
      </w:pPr>
      <w:r w:rsidRPr="00D1092B">
        <w:t>Following administration of the FDC tablets at doses of 400 mg LUM/250 mg IVA and 600 mg LUM/250 mg IVA under fed conditions, the increase in LUM exposure was approximately proportional to dose, wherea</w:t>
      </w:r>
      <w:r w:rsidR="00D13AF6">
        <w:t>s, IVA exposure was comparable</w:t>
      </w:r>
    </w:p>
    <w:p w:rsidR="00D1092B" w:rsidRPr="00D1092B" w:rsidRDefault="00D1092B" w:rsidP="00DA4E52">
      <w:pPr>
        <w:pStyle w:val="ListBullet"/>
      </w:pPr>
      <w:r w:rsidRPr="00D1092B">
        <w:lastRenderedPageBreak/>
        <w:t xml:space="preserve">Following administration of a single oral dose of 600 mg LUM/250 mg IVA under fed conditions, the GLSM (90% CI) values for LUM </w:t>
      </w:r>
      <w:r w:rsidR="00511EB7" w:rsidRPr="001E1E4D">
        <w:t>C</w:t>
      </w:r>
      <w:r w:rsidR="00511EB7" w:rsidRPr="00511EB7">
        <w:rPr>
          <w:vertAlign w:val="subscript"/>
        </w:rPr>
        <w:t>max</w:t>
      </w:r>
      <w:r w:rsidRPr="00D1092B">
        <w:t xml:space="preserve"> and </w:t>
      </w:r>
      <w:r w:rsidR="00511EB7" w:rsidRPr="001E1E4D">
        <w:t>AUC</w:t>
      </w:r>
      <w:r w:rsidR="00511EB7" w:rsidRPr="00511EB7">
        <w:rPr>
          <w:vertAlign w:val="subscript"/>
        </w:rPr>
        <w:t>0-inf</w:t>
      </w:r>
      <w:r w:rsidRPr="00D1092B">
        <w:t xml:space="preserve"> were approximately 2.8</w:t>
      </w:r>
      <w:r w:rsidR="00511EB7">
        <w:t xml:space="preserve"> fold</w:t>
      </w:r>
      <w:r w:rsidRPr="00D1092B">
        <w:t xml:space="preserve"> higher (2.45, 3.26) and 2.0</w:t>
      </w:r>
      <w:r w:rsidR="00511EB7">
        <w:t xml:space="preserve"> fold</w:t>
      </w:r>
      <w:r w:rsidRPr="00D1092B">
        <w:t xml:space="preserve"> higher (1.70, 2.24), respectively, than in the fasted state. The IVA </w:t>
      </w:r>
      <w:r w:rsidR="00511EB7" w:rsidRPr="001E1E4D">
        <w:t>C</w:t>
      </w:r>
      <w:r w:rsidR="00511EB7" w:rsidRPr="00511EB7">
        <w:rPr>
          <w:vertAlign w:val="subscript"/>
        </w:rPr>
        <w:t>max</w:t>
      </w:r>
      <w:r w:rsidRPr="00D1092B">
        <w:t xml:space="preserve"> and </w:t>
      </w:r>
      <w:r w:rsidR="00511EB7" w:rsidRPr="001E1E4D">
        <w:t>AUC</w:t>
      </w:r>
      <w:r w:rsidR="00511EB7" w:rsidRPr="00511EB7">
        <w:rPr>
          <w:vertAlign w:val="subscript"/>
        </w:rPr>
        <w:t>0-inf</w:t>
      </w:r>
      <w:r w:rsidRPr="00D1092B">
        <w:t xml:space="preserve"> were approximately 5.2</w:t>
      </w:r>
      <w:r w:rsidR="00511EB7">
        <w:t xml:space="preserve"> fold</w:t>
      </w:r>
      <w:r w:rsidRPr="00D1092B">
        <w:t xml:space="preserve"> higher (4.15, 6.48) and 3.4</w:t>
      </w:r>
      <w:r w:rsidR="00511EB7">
        <w:t xml:space="preserve"> fold</w:t>
      </w:r>
      <w:r w:rsidRPr="00D1092B">
        <w:t xml:space="preserve"> higher (3.01, 3.83), respectively, in the fed compared to the fasted state. The median </w:t>
      </w:r>
      <w:r w:rsidR="00511EB7" w:rsidRPr="001E1E4D">
        <w:t>T</w:t>
      </w:r>
      <w:r w:rsidR="00511EB7" w:rsidRPr="00511EB7">
        <w:rPr>
          <w:vertAlign w:val="subscript"/>
        </w:rPr>
        <w:t>max</w:t>
      </w:r>
      <w:r w:rsidRPr="00D1092B">
        <w:t xml:space="preserve"> and mean </w:t>
      </w:r>
      <w:r w:rsidR="00511EB7">
        <w:t>t½</w:t>
      </w:r>
      <w:r w:rsidRPr="00D1092B">
        <w:t xml:space="preserve"> of LUM ranged from 3.00 h to 4.00 h and 22.7 h to 25.3 h, respectively, whereas for the IVA they ranged from 3.00 h to 3.02 h and 1</w:t>
      </w:r>
      <w:r w:rsidR="00D13AF6">
        <w:t>3.44 h to 8.18 h, respectively</w:t>
      </w:r>
    </w:p>
    <w:p w:rsidR="00D1092B" w:rsidRPr="00D1092B" w:rsidRDefault="00D1092B" w:rsidP="00DA4E52">
      <w:pPr>
        <w:pStyle w:val="ListBullet"/>
      </w:pPr>
      <w:r w:rsidRPr="00D1092B">
        <w:t>When 400 mg LUM/250 mg IVA was administered with food, LUM and IVA exposure was 1.6- to 3.7</w:t>
      </w:r>
      <w:r w:rsidR="00511EB7">
        <w:t xml:space="preserve"> fold</w:t>
      </w:r>
      <w:r w:rsidRPr="00D1092B">
        <w:t xml:space="preserve"> higher than in the fasted state; therefore, the FDC sh</w:t>
      </w:r>
      <w:r w:rsidR="00D13AF6">
        <w:t>ould be administered with food</w:t>
      </w:r>
    </w:p>
    <w:p w:rsidR="007F4B4F" w:rsidRPr="00D1092B" w:rsidRDefault="00D1092B" w:rsidP="00DA4E52">
      <w:pPr>
        <w:pStyle w:val="ListBullet"/>
      </w:pPr>
      <w:r w:rsidRPr="00D1092B">
        <w:t xml:space="preserve">In the target population, compared to the 600 mg LUM QD/250 mg IVA q12h dose, the LUM AUC and </w:t>
      </w:r>
      <w:r w:rsidR="00511EB7" w:rsidRPr="002227DB">
        <w:t>C</w:t>
      </w:r>
      <w:r w:rsidR="00511EB7" w:rsidRPr="00511EB7">
        <w:rPr>
          <w:vertAlign w:val="subscript"/>
        </w:rPr>
        <w:t>min</w:t>
      </w:r>
      <w:r w:rsidRPr="00D1092B">
        <w:t xml:space="preserve"> values were 1.28</w:t>
      </w:r>
      <w:r w:rsidR="00511EB7">
        <w:t xml:space="preserve"> fold</w:t>
      </w:r>
      <w:r w:rsidRPr="00D1092B">
        <w:t xml:space="preserve"> and 1.83</w:t>
      </w:r>
      <w:r w:rsidR="00511EB7">
        <w:t xml:space="preserve"> fold</w:t>
      </w:r>
      <w:r w:rsidRPr="00D1092B">
        <w:t xml:space="preserve"> higher, respectively, following a dose of 400 mg LUM q12h/250 mg IVA q12h, whereas, the IVA AUC and </w:t>
      </w:r>
      <w:r w:rsidR="00511EB7" w:rsidRPr="002227DB">
        <w:t>C</w:t>
      </w:r>
      <w:r w:rsidR="00511EB7" w:rsidRPr="00511EB7">
        <w:rPr>
          <w:vertAlign w:val="subscript"/>
        </w:rPr>
        <w:t>min</w:t>
      </w:r>
      <w:r w:rsidRPr="00D1092B">
        <w:t xml:space="preserve"> values were 33% and 24% lower following twi</w:t>
      </w:r>
      <w:r w:rsidR="00D13AF6">
        <w:t>ce daily dosing with 400 mg LUM</w:t>
      </w:r>
    </w:p>
    <w:p w:rsidR="00D1092B" w:rsidRPr="00D1092B" w:rsidRDefault="00D1092B" w:rsidP="00DA4E52">
      <w:pPr>
        <w:pStyle w:val="ListBullet"/>
      </w:pPr>
      <w:r w:rsidRPr="00D1092B">
        <w:t>No discernible differences in plasma exposures to IVA were observed following morning and</w:t>
      </w:r>
      <w:r w:rsidR="00DA4E52">
        <w:t xml:space="preserve"> evening dosing.</w:t>
      </w:r>
    </w:p>
    <w:p w:rsidR="00D1092B" w:rsidRDefault="00DA4E52" w:rsidP="00D1092B">
      <w:pPr>
        <w:pStyle w:val="Heading4"/>
      </w:pPr>
      <w:r>
        <w:t>Distribution</w:t>
      </w:r>
    </w:p>
    <w:p w:rsidR="00D1092B" w:rsidRPr="00D1092B" w:rsidRDefault="00D1092B" w:rsidP="00DA4E52">
      <w:pPr>
        <w:pStyle w:val="ListBullet"/>
      </w:pPr>
      <w:r w:rsidRPr="00D1092B">
        <w:t>The mean Vd (SD) values for LUM and IVA in healthy subjects were 50.1 (17.4) L and 1</w:t>
      </w:r>
      <w:r w:rsidR="00DA4E52">
        <w:t>,</w:t>
      </w:r>
      <w:r w:rsidRPr="00D1092B">
        <w:t>000 (550)</w:t>
      </w:r>
      <w:r w:rsidR="00D13AF6">
        <w:t xml:space="preserve"> L, respectively</w:t>
      </w:r>
    </w:p>
    <w:p w:rsidR="00D1092B" w:rsidRPr="00D1092B" w:rsidRDefault="00D1092B" w:rsidP="00DA4E52">
      <w:pPr>
        <w:pStyle w:val="ListBullet"/>
      </w:pPr>
      <w:r w:rsidRPr="00D1092B">
        <w:t>In vitro studies indicated that the plasma protein binding of LUM was greater than 98% and the</w:t>
      </w:r>
      <w:r w:rsidR="00DA4E52">
        <w:t xml:space="preserve"> </w:t>
      </w:r>
      <w:r w:rsidRPr="00D1092B">
        <w:t xml:space="preserve">mean protein binding values of </w:t>
      </w:r>
      <w:r w:rsidR="00661535" w:rsidRPr="00661535">
        <w:rPr>
          <w:vertAlign w:val="superscript"/>
        </w:rPr>
        <w:t>14</w:t>
      </w:r>
      <w:r w:rsidR="00661535" w:rsidRPr="002227DB">
        <w:t>C-LUM</w:t>
      </w:r>
      <w:r w:rsidRPr="00D1092B">
        <w:t xml:space="preserve"> ranged from 99.97% to 100.00% in human plasma. LUM was highly bound to human serum albumin (HSA), with </w:t>
      </w:r>
      <w:r w:rsidR="00511EB7">
        <w:t xml:space="preserve">&gt; </w:t>
      </w:r>
      <w:r w:rsidRPr="00D1092B">
        <w:t>98% binding, whereas, binding to alpha-1-acid glycoprotein and human gamma-globulin played a minor role. IVA was also highly bound (</w:t>
      </w:r>
      <w:r w:rsidR="00511EB7">
        <w:t xml:space="preserve">&gt; </w:t>
      </w:r>
      <w:r w:rsidRPr="00D1092B">
        <w:t>98%) to proteins in human plasm</w:t>
      </w:r>
      <w:r w:rsidR="00D13AF6">
        <w:t>a at all concentrations tested</w:t>
      </w:r>
    </w:p>
    <w:p w:rsidR="00D1092B" w:rsidRPr="00D1092B" w:rsidRDefault="00D1092B" w:rsidP="00DA4E52">
      <w:pPr>
        <w:pStyle w:val="ListBullet"/>
      </w:pPr>
      <w:r w:rsidRPr="00D1092B">
        <w:t>A mass balance study indicates that LUM does not parti</w:t>
      </w:r>
      <w:r w:rsidR="00D13AF6">
        <w:t>tion into human red blood cells</w:t>
      </w:r>
    </w:p>
    <w:p w:rsidR="00D1092B" w:rsidRPr="00D1092B" w:rsidRDefault="00D1092B" w:rsidP="00DA4E52">
      <w:pPr>
        <w:pStyle w:val="ListBullet"/>
      </w:pPr>
      <w:r w:rsidRPr="00D1092B">
        <w:t xml:space="preserve">Based on the </w:t>
      </w:r>
      <w:proofErr w:type="gramStart"/>
      <w:r w:rsidRPr="00D1092B">
        <w:t>Vd</w:t>
      </w:r>
      <w:proofErr w:type="gramEnd"/>
      <w:r w:rsidRPr="00D1092B">
        <w:t xml:space="preserve"> values, LUM is primarily distributed within the circulatory system, whereas, IVA</w:t>
      </w:r>
      <w:r w:rsidR="0058502C">
        <w:t xml:space="preserve"> </w:t>
      </w:r>
      <w:r w:rsidRPr="00D1092B">
        <w:t>(Vd</w:t>
      </w:r>
      <w:r w:rsidR="00661535">
        <w:t xml:space="preserve"> </w:t>
      </w:r>
      <w:r w:rsidR="00511EB7">
        <w:t>=</w:t>
      </w:r>
      <w:r w:rsidR="00661535">
        <w:t xml:space="preserve"> </w:t>
      </w:r>
      <w:r w:rsidRPr="00D1092B">
        <w:t>1</w:t>
      </w:r>
      <w:r w:rsidR="003E4A33">
        <w:t>,</w:t>
      </w:r>
      <w:r w:rsidRPr="00D1092B">
        <w:t>000 L) demons</w:t>
      </w:r>
      <w:r w:rsidR="00DA4E52">
        <w:t>trates high tissue penetration.</w:t>
      </w:r>
    </w:p>
    <w:p w:rsidR="00D1092B" w:rsidRDefault="00DA4E52" w:rsidP="00D1092B">
      <w:pPr>
        <w:pStyle w:val="Heading4"/>
      </w:pPr>
      <w:r>
        <w:t>Metabolism</w:t>
      </w:r>
    </w:p>
    <w:p w:rsidR="00D1092B" w:rsidRPr="00D1092B" w:rsidRDefault="00D1092B" w:rsidP="000570F4">
      <w:pPr>
        <w:pStyle w:val="ListBullet"/>
      </w:pPr>
      <w:r w:rsidRPr="00D1092B">
        <w:t xml:space="preserve">LUM is poorly metabolised in man, as the majority of 200 mg </w:t>
      </w:r>
      <w:r w:rsidR="00661535" w:rsidRPr="00661535">
        <w:rPr>
          <w:vertAlign w:val="superscript"/>
        </w:rPr>
        <w:t>14</w:t>
      </w:r>
      <w:r w:rsidR="00661535" w:rsidRPr="002227DB">
        <w:t>C-LUM</w:t>
      </w:r>
      <w:r w:rsidRPr="00D1092B">
        <w:t xml:space="preserve"> dose administered was</w:t>
      </w:r>
      <w:r w:rsidR="00DA4E52">
        <w:t xml:space="preserve"> </w:t>
      </w:r>
      <w:r w:rsidRPr="00D1092B">
        <w:t xml:space="preserve">excreted unchanged from body in the faeces. It is believed that </w:t>
      </w:r>
      <w:r w:rsidR="00661535" w:rsidRPr="00661535">
        <w:rPr>
          <w:vertAlign w:val="superscript"/>
        </w:rPr>
        <w:t>14</w:t>
      </w:r>
      <w:r w:rsidR="00661535" w:rsidRPr="002227DB">
        <w:t>C-LUM</w:t>
      </w:r>
      <w:r w:rsidRPr="00D1092B">
        <w:t xml:space="preserve"> is mainly metabolised via oxidation and glucuronidation. In contrast to LUM, IVA is extensively metabolised </w:t>
      </w:r>
      <w:r w:rsidR="00D13AF6">
        <w:t>in humans, primarily via CYP3A</w:t>
      </w:r>
    </w:p>
    <w:p w:rsidR="00D1092B" w:rsidRPr="00D1092B" w:rsidRDefault="00D1092B" w:rsidP="000570F4">
      <w:pPr>
        <w:pStyle w:val="ListBullet"/>
      </w:pPr>
      <w:r w:rsidRPr="00D1092B">
        <w:t>LUM is primarily excreted via the faecal route with a CL/F (SD) in h</w:t>
      </w:r>
      <w:r w:rsidR="00D13AF6">
        <w:t>ealthy males of 1.09 (0.29) L/h</w:t>
      </w:r>
    </w:p>
    <w:p w:rsidR="00D1092B" w:rsidRPr="00D1092B" w:rsidRDefault="00D1092B" w:rsidP="000570F4">
      <w:pPr>
        <w:pStyle w:val="ListBullet"/>
      </w:pPr>
      <w:r w:rsidRPr="00D1092B">
        <w:t>A major metabolite of LUM in plasma was identified as M28 and it represented a 13% of the</w:t>
      </w:r>
      <w:r w:rsidR="00DA4E52">
        <w:t xml:space="preserve"> </w:t>
      </w:r>
      <w:r w:rsidRPr="00D1092B">
        <w:t>circulating total radioactivity and the LUM/M28 AUC ratio was approximately 25%. Additional metabolites identified in plasma included O-VX-809-glucuronide-1 (M14), O-VX-809-glucuronide-2 (M16), VX-809-glucuronide-2 (M21), and O-VX-809-1 (M22); however, no other parent/metabolite ratios exceeded 5.4% and they were therefor</w:t>
      </w:r>
      <w:r w:rsidR="00DA4E52">
        <w:t>e considered</w:t>
      </w:r>
      <w:r w:rsidR="00D13AF6">
        <w:t xml:space="preserve"> minor metabolites</w:t>
      </w:r>
    </w:p>
    <w:p w:rsidR="00D1092B" w:rsidRPr="00D1092B" w:rsidRDefault="00D1092B" w:rsidP="000570F4">
      <w:pPr>
        <w:pStyle w:val="ListBullet"/>
      </w:pPr>
      <w:r w:rsidRPr="00D1092B">
        <w:t xml:space="preserve">Following a single dose of the free combination the </w:t>
      </w:r>
      <w:r w:rsidR="00511EB7" w:rsidRPr="001E1E4D">
        <w:t>C</w:t>
      </w:r>
      <w:r w:rsidR="00511EB7" w:rsidRPr="00511EB7">
        <w:rPr>
          <w:vertAlign w:val="subscript"/>
        </w:rPr>
        <w:t>max</w:t>
      </w:r>
      <w:r w:rsidRPr="00D1092B">
        <w:t xml:space="preserve"> and </w:t>
      </w:r>
      <w:r w:rsidR="00511EB7" w:rsidRPr="002227DB">
        <w:t>AUC</w:t>
      </w:r>
      <w:r w:rsidR="00511EB7" w:rsidRPr="00511EB7">
        <w:rPr>
          <w:vertAlign w:val="subscript"/>
        </w:rPr>
        <w:t>0-24</w:t>
      </w:r>
      <w:r w:rsidRPr="00D1092B">
        <w:t xml:space="preserve"> values for: M28 were </w:t>
      </w:r>
      <w:proofErr w:type="gramStart"/>
      <w:r w:rsidRPr="00D1092B">
        <w:t>0.232</w:t>
      </w:r>
      <w:r w:rsidR="000570F4">
        <w:t> </w:t>
      </w:r>
      <w:r w:rsidR="00511EB7">
        <w:t>µ</w:t>
      </w:r>
      <w:r w:rsidR="00511EB7" w:rsidRPr="002227DB">
        <w:t>g</w:t>
      </w:r>
      <w:r w:rsidRPr="00D1092B">
        <w:t>/mL</w:t>
      </w:r>
      <w:proofErr w:type="gramEnd"/>
      <w:r w:rsidRPr="00D1092B">
        <w:t xml:space="preserve"> and 3.76 </w:t>
      </w:r>
      <w:r w:rsidR="00511EB7">
        <w:t>µ</w:t>
      </w:r>
      <w:r w:rsidR="00511EB7" w:rsidRPr="002227DB">
        <w:t>g</w:t>
      </w:r>
      <w:r w:rsidRPr="00D1092B">
        <w:t xml:space="preserve">.h/mL, respectively; M1 were 5.34 </w:t>
      </w:r>
      <w:r w:rsidR="00511EB7">
        <w:t>µ</w:t>
      </w:r>
      <w:r w:rsidR="00511EB7" w:rsidRPr="002227DB">
        <w:t>g</w:t>
      </w:r>
      <w:r w:rsidRPr="00D1092B">
        <w:t xml:space="preserve">/mL and 87.6 </w:t>
      </w:r>
      <w:r w:rsidR="00511EB7">
        <w:t>µ</w:t>
      </w:r>
      <w:r w:rsidR="00511EB7" w:rsidRPr="002227DB">
        <w:t>g</w:t>
      </w:r>
      <w:r w:rsidRPr="00D1092B">
        <w:t xml:space="preserve">.h/mL, respectively; and for M6 were 1.06 </w:t>
      </w:r>
      <w:r w:rsidR="00511EB7">
        <w:t>µ</w:t>
      </w:r>
      <w:r w:rsidR="00511EB7" w:rsidRPr="002227DB">
        <w:t>g</w:t>
      </w:r>
      <w:r w:rsidRPr="00D1092B">
        <w:t xml:space="preserve">/mL and 22.0 </w:t>
      </w:r>
      <w:r w:rsidR="00511EB7">
        <w:t>µ</w:t>
      </w:r>
      <w:r w:rsidR="00511EB7" w:rsidRPr="002227DB">
        <w:t>g</w:t>
      </w:r>
      <w:r w:rsidRPr="00D1092B">
        <w:t xml:space="preserve">.h/mL, respectively. The parent/metabolite AUC ratios (SD) for M28, M1 and M6 were 0.041 (0.011), 5.14 (1.09) and 1.42(0.55), respectively. Following 14 days of dosing accumulation ratios (SD) for M28, M1 and M6 were 7.30 (1.63), 0.89 (0.27) and 3.36 (1.24), respectively. The parent/metabolite </w:t>
      </w:r>
      <w:r w:rsidRPr="00D1092B">
        <w:lastRenderedPageBreak/>
        <w:t>AUC ratios (SD) for M28, M1 and M6 following multiple doses were 0.154 (0.038), 8.43 (1.85)</w:t>
      </w:r>
      <w:r w:rsidR="000570F4">
        <w:t xml:space="preserve"> and 9.43 (5.05), respectively.</w:t>
      </w:r>
    </w:p>
    <w:p w:rsidR="00D1092B" w:rsidRDefault="000570F4" w:rsidP="00D1092B">
      <w:pPr>
        <w:pStyle w:val="Heading4"/>
      </w:pPr>
      <w:r>
        <w:t>Excretion</w:t>
      </w:r>
    </w:p>
    <w:p w:rsidR="00D1092B" w:rsidRPr="00D1092B" w:rsidRDefault="00D1092B" w:rsidP="000570F4">
      <w:pPr>
        <w:pStyle w:val="ListBullet"/>
      </w:pPr>
      <w:r w:rsidRPr="00D1092B">
        <w:t>Individual faecal recoveries of administered radioactivity ranged from 81% to 93% of the</w:t>
      </w:r>
      <w:r w:rsidR="000570F4">
        <w:t xml:space="preserve"> </w:t>
      </w:r>
      <w:r w:rsidRPr="00D1092B">
        <w:t xml:space="preserve">administered dose (mean of 90%) and individual urinary recoveries ranged from 6.9% to 13% (mean of 8.6%) through the last collection interval following a single dose of 200 mg </w:t>
      </w:r>
      <w:r w:rsidR="00661535" w:rsidRPr="00661535">
        <w:rPr>
          <w:vertAlign w:val="superscript"/>
        </w:rPr>
        <w:t>14</w:t>
      </w:r>
      <w:r w:rsidR="00661535" w:rsidRPr="002227DB">
        <w:t>C-LUM</w:t>
      </w:r>
      <w:r w:rsidR="00D13AF6">
        <w:t xml:space="preserve"> to healthy males</w:t>
      </w:r>
    </w:p>
    <w:p w:rsidR="00D1092B" w:rsidRPr="00D1092B" w:rsidRDefault="00D1092B" w:rsidP="000570F4">
      <w:pPr>
        <w:pStyle w:val="ListBullet"/>
      </w:pPr>
      <w:r w:rsidRPr="00D1092B">
        <w:t>Unchanged LUM accounted for 42% of the radioactive dose excreted in faeces, while amonohydroxylated metabolite (M22) accounted for a further 14%, through 21</w:t>
      </w:r>
      <w:r w:rsidR="00D13AF6">
        <w:t>6 h post-dose</w:t>
      </w:r>
    </w:p>
    <w:p w:rsidR="00D1092B" w:rsidRPr="00D1092B" w:rsidRDefault="00D1092B" w:rsidP="000570F4">
      <w:pPr>
        <w:pStyle w:val="ListBullet"/>
      </w:pPr>
      <w:r w:rsidRPr="00D1092B">
        <w:t>Only small amounts of unchanged LUM, mean of 0.12% (range 0.08%-0.15%) of the dose, were</w:t>
      </w:r>
      <w:r w:rsidR="000570F4">
        <w:t xml:space="preserve"> </w:t>
      </w:r>
      <w:r w:rsidRPr="00D1092B">
        <w:t>excreted in urine, whereas, the majority of the radioactivity excreted in urine was associated with M20 with a mean of 3.2% of the radioactive dose thr</w:t>
      </w:r>
      <w:r w:rsidR="00D13AF6">
        <w:t>ough a 120 h period</w:t>
      </w:r>
    </w:p>
    <w:p w:rsidR="00D1092B" w:rsidRPr="00D1092B" w:rsidRDefault="00D1092B" w:rsidP="000570F4">
      <w:pPr>
        <w:pStyle w:val="ListBullet"/>
      </w:pPr>
      <w:r w:rsidRPr="00D1092B">
        <w:t xml:space="preserve">Following a single dose of 200 mg </w:t>
      </w:r>
      <w:r w:rsidR="00661535" w:rsidRPr="00661535">
        <w:rPr>
          <w:vertAlign w:val="superscript"/>
        </w:rPr>
        <w:t>14</w:t>
      </w:r>
      <w:r w:rsidR="00661535" w:rsidRPr="002227DB">
        <w:t>C-LUM</w:t>
      </w:r>
      <w:r w:rsidRPr="00D1092B">
        <w:t xml:space="preserve"> to healthy males, most of the administered</w:t>
      </w:r>
      <w:r w:rsidR="000570F4">
        <w:t xml:space="preserve"> </w:t>
      </w:r>
      <w:r w:rsidRPr="00D1092B">
        <w:t>radioactivity was recovered in the first 216 h post-dose (range of 89% to 100%; mean of 96%). The overall mean recovery of radioactivity in urine and faeces samples ranged from 94% to 100% (mean of 98</w:t>
      </w:r>
      <w:r w:rsidR="00D13AF6">
        <w:t>%) over the 480 h study period</w:t>
      </w:r>
    </w:p>
    <w:p w:rsidR="007F4B4F" w:rsidRPr="00D1092B" w:rsidRDefault="00D1092B" w:rsidP="000570F4">
      <w:pPr>
        <w:pStyle w:val="ListBullet"/>
      </w:pPr>
      <w:r w:rsidRPr="00D1092B">
        <w:t>Renal clearance is not likely to be an important elimination pathway for LUM in humans.</w:t>
      </w:r>
    </w:p>
    <w:p w:rsidR="00D1092B" w:rsidRDefault="00D1092B" w:rsidP="00D1092B">
      <w:pPr>
        <w:pStyle w:val="Heading4"/>
      </w:pPr>
      <w:r w:rsidRPr="00D1092B">
        <w:t>Intra- a</w:t>
      </w:r>
      <w:r w:rsidR="000570F4">
        <w:t>nd inter-individual variability</w:t>
      </w:r>
    </w:p>
    <w:p w:rsidR="00D1092B" w:rsidRPr="00D1092B" w:rsidRDefault="00D1092B" w:rsidP="000570F4">
      <w:r w:rsidRPr="00D1092B">
        <w:t>The PopPK analyses provided inter-individual variability estimates on: CL/F of 0.0829 for LUMand 0.152 for IVA; Vc/F of 0.213 for LUM and 0.255 for IVA; and Vp/F of 0.089 for LUM and 0.068 for IVA. The intra-subject variability on bioavailability was 0.139 for LUM and 0.187 f</w:t>
      </w:r>
      <w:r w:rsidR="000570F4">
        <w:t>or IVA.</w:t>
      </w:r>
    </w:p>
    <w:p w:rsidR="00D1092B" w:rsidRDefault="00D1092B" w:rsidP="00D1092B">
      <w:pPr>
        <w:pStyle w:val="Heading4"/>
      </w:pPr>
      <w:r w:rsidRPr="00D1092B">
        <w:t>Pharmacoki</w:t>
      </w:r>
      <w:r w:rsidR="00CA706D">
        <w:t>netics in the target population</w:t>
      </w:r>
    </w:p>
    <w:p w:rsidR="00D1092B" w:rsidRPr="00D1092B" w:rsidRDefault="00D1092B" w:rsidP="000570F4">
      <w:pPr>
        <w:pStyle w:val="ListBullet"/>
      </w:pPr>
      <w:r w:rsidRPr="00D1092B">
        <w:t>A pooled PK analysis indicated that following dosing with the FDC proposed for commercialisation at a dose of 400 mg LUM q12</w:t>
      </w:r>
      <w:r w:rsidR="000570F4">
        <w:t>h/250 mg IVA q12h, the mean LUM</w:t>
      </w:r>
      <w:r w:rsidR="00661535">
        <w:t xml:space="preserve"> </w:t>
      </w:r>
      <w:r w:rsidR="00661535" w:rsidRPr="007F4B4F">
        <w:t>C</w:t>
      </w:r>
      <w:r w:rsidR="00661535" w:rsidRPr="00661535">
        <w:rPr>
          <w:vertAlign w:val="subscript"/>
        </w:rPr>
        <w:t>trough</w:t>
      </w:r>
      <w:r w:rsidRPr="00D1092B">
        <w:t xml:space="preserve"> increased </w:t>
      </w:r>
      <w:proofErr w:type="gramStart"/>
      <w:r w:rsidRPr="00D1092B">
        <w:t xml:space="preserve">from 0.48 </w:t>
      </w:r>
      <w:r w:rsidR="00511EB7">
        <w:t>µ</w:t>
      </w:r>
      <w:r w:rsidR="00511EB7" w:rsidRPr="002227DB">
        <w:t>g</w:t>
      </w:r>
      <w:r w:rsidRPr="00D1092B">
        <w:t>/mL on Day 1</w:t>
      </w:r>
      <w:proofErr w:type="gramEnd"/>
      <w:r w:rsidRPr="00D1092B">
        <w:t xml:space="preserve"> to 14.1 </w:t>
      </w:r>
      <w:r w:rsidR="00511EB7">
        <w:t>µ</w:t>
      </w:r>
      <w:r w:rsidR="00511EB7" w:rsidRPr="002227DB">
        <w:t>g</w:t>
      </w:r>
      <w:r w:rsidRPr="00D1092B">
        <w:t xml:space="preserve">/mL by Day 15 of dosing and thereafter remained relatively stable. For </w:t>
      </w:r>
      <w:r w:rsidR="000570F4">
        <w:t>the IVA component, although IVA</w:t>
      </w:r>
      <w:r w:rsidR="00661535">
        <w:t xml:space="preserve"> </w:t>
      </w:r>
      <w:r w:rsidR="00661535" w:rsidRPr="007F4B4F">
        <w:t>C</w:t>
      </w:r>
      <w:r w:rsidR="00661535" w:rsidRPr="00661535">
        <w:rPr>
          <w:vertAlign w:val="subscript"/>
        </w:rPr>
        <w:t>trough</w:t>
      </w:r>
      <w:r w:rsidRPr="00D1092B">
        <w:t xml:space="preserve"> increased from Day 1 (0.042 </w:t>
      </w:r>
      <w:r w:rsidR="00511EB7">
        <w:t>µ</w:t>
      </w:r>
      <w:r w:rsidR="00511EB7" w:rsidRPr="002227DB">
        <w:t>g</w:t>
      </w:r>
      <w:r w:rsidRPr="00D1092B">
        <w:t xml:space="preserve">/mL) to Day 15 (0.115 </w:t>
      </w:r>
      <w:r w:rsidR="00511EB7">
        <w:t>µ</w:t>
      </w:r>
      <w:r w:rsidR="00511EB7" w:rsidRPr="002227DB">
        <w:t>g</w:t>
      </w:r>
      <w:r w:rsidRPr="00D1092B">
        <w:t xml:space="preserve">/mL) and then remained relatively stable, the magnitude of change for IVA </w:t>
      </w:r>
      <w:r w:rsidR="00661535" w:rsidRPr="007F4B4F">
        <w:t>C</w:t>
      </w:r>
      <w:r w:rsidR="00661535" w:rsidRPr="00661535">
        <w:rPr>
          <w:vertAlign w:val="subscript"/>
        </w:rPr>
        <w:t>trough</w:t>
      </w:r>
      <w:r w:rsidRPr="00D1092B">
        <w:t xml:space="preserve"> (</w:t>
      </w:r>
      <w:r w:rsidR="00661535">
        <w:t xml:space="preserve">approximately </w:t>
      </w:r>
      <w:r w:rsidRPr="00D1092B">
        <w:t>2.7</w:t>
      </w:r>
      <w:r w:rsidR="00511EB7">
        <w:t xml:space="preserve"> fold</w:t>
      </w:r>
      <w:r w:rsidRPr="00D1092B">
        <w:t>) was considerably smaller than that seen for the LUM component (</w:t>
      </w:r>
      <w:r w:rsidR="00661535">
        <w:t xml:space="preserve">approximately </w:t>
      </w:r>
      <w:r w:rsidRPr="00D1092B">
        <w:t>29</w:t>
      </w:r>
      <w:r w:rsidR="00511EB7">
        <w:t xml:space="preserve"> fold</w:t>
      </w:r>
      <w:r w:rsidR="00D13AF6">
        <w:t>)</w:t>
      </w:r>
    </w:p>
    <w:p w:rsidR="00D1092B" w:rsidRPr="00D1092B" w:rsidRDefault="00D1092B" w:rsidP="000570F4">
      <w:pPr>
        <w:pStyle w:val="ListBullet"/>
      </w:pPr>
      <w:r w:rsidRPr="00D1092B">
        <w:t xml:space="preserve">Following doses of 600 mg LUM QD + 250 mg IVA of the free combination LUM PKs were similar in both heterozygous and homozygous patients. By contrast for the IVA component both the </w:t>
      </w:r>
      <w:r w:rsidR="00511EB7" w:rsidRPr="001E1E4D">
        <w:t>C</w:t>
      </w:r>
      <w:r w:rsidR="00511EB7" w:rsidRPr="00511EB7">
        <w:rPr>
          <w:vertAlign w:val="subscript"/>
        </w:rPr>
        <w:t>max</w:t>
      </w:r>
      <w:r w:rsidRPr="00D1092B">
        <w:t xml:space="preserve"> and </w:t>
      </w:r>
      <w:r w:rsidR="00511EB7" w:rsidRPr="002227DB">
        <w:t>AUC</w:t>
      </w:r>
      <w:r w:rsidR="00511EB7" w:rsidRPr="00511EB7">
        <w:rPr>
          <w:vertAlign w:val="subscript"/>
        </w:rPr>
        <w:t>τ</w:t>
      </w:r>
      <w:r w:rsidRPr="00D1092B">
        <w:t xml:space="preserve"> of IVA were slig</w:t>
      </w:r>
      <w:r w:rsidR="000570F4">
        <w:t>htly higher (approximately 1.20</w:t>
      </w:r>
      <w:r w:rsidRPr="00D1092B">
        <w:t xml:space="preserve"> and 1.1</w:t>
      </w:r>
      <w:r w:rsidR="00511EB7">
        <w:t xml:space="preserve"> fold</w:t>
      </w:r>
      <w:r w:rsidRPr="00D1092B">
        <w:t>, respectively) in homozygous compared to heterozygous patients, whereas, CLss/F was higher (</w:t>
      </w:r>
      <w:r w:rsidR="00661535">
        <w:t xml:space="preserve">approximately </w:t>
      </w:r>
      <w:r w:rsidRPr="00D1092B">
        <w:t>1.35</w:t>
      </w:r>
      <w:r w:rsidR="00511EB7">
        <w:t xml:space="preserve"> fold</w:t>
      </w:r>
      <w:r w:rsidRPr="00D1092B">
        <w:t xml:space="preserve">) in the heterozygous group. In spite of these differences, the median </w:t>
      </w:r>
      <w:r w:rsidR="00511EB7" w:rsidRPr="001E1E4D">
        <w:t>T</w:t>
      </w:r>
      <w:r w:rsidR="00511EB7" w:rsidRPr="00511EB7">
        <w:rPr>
          <w:vertAlign w:val="subscript"/>
        </w:rPr>
        <w:t>max</w:t>
      </w:r>
      <w:r w:rsidRPr="00D1092B">
        <w:t xml:space="preserve"> and mean </w:t>
      </w:r>
      <w:r w:rsidR="00511EB7" w:rsidRPr="002227DB">
        <w:t>C</w:t>
      </w:r>
      <w:r w:rsidR="00511EB7" w:rsidRPr="00511EB7">
        <w:rPr>
          <w:vertAlign w:val="subscript"/>
        </w:rPr>
        <w:t>min</w:t>
      </w:r>
      <w:r w:rsidRPr="00D1092B">
        <w:t xml:space="preserve"> of IVA were similar in both groups suggesting that the differences identified in IVA PKs between homozygous and heterozygous patients are unlikel</w:t>
      </w:r>
      <w:r w:rsidR="000570F4">
        <w:t>y to be clinically significant.</w:t>
      </w:r>
    </w:p>
    <w:p w:rsidR="00D1092B" w:rsidRDefault="00D1092B" w:rsidP="00D1092B">
      <w:pPr>
        <w:pStyle w:val="Heading4"/>
      </w:pPr>
      <w:r w:rsidRPr="00D1092B">
        <w:t xml:space="preserve">PKs in target population compared </w:t>
      </w:r>
      <w:r w:rsidR="000570F4">
        <w:t>to healthy subjects</w:t>
      </w:r>
    </w:p>
    <w:p w:rsidR="00792792" w:rsidRDefault="00D1092B" w:rsidP="000570F4">
      <w:r w:rsidRPr="00D1092B">
        <w:t>A PopPK analysis indicated that following administration of LUM/IVA, LUM bioavailability was 1.81 times higher in healthy subjects and D1 was increased by a factor of 1.34, whereas, the Ka and the ALAG were decreased by factors of 0.663 and 0.514, respectively, in healthy subjects compared to subjects with CF. For the IVA component, bioavailability was 1.53 times higher in healthy subjects than in subject with CF (</w:t>
      </w:r>
      <w:r w:rsidRPr="00FC768B">
        <w:t xml:space="preserve">Table </w:t>
      </w:r>
      <w:r w:rsidR="00FC768B" w:rsidRPr="00FC768B">
        <w:t>16</w:t>
      </w:r>
      <w:r w:rsidR="00792792" w:rsidRPr="00FC768B">
        <w:t>)</w:t>
      </w:r>
      <w:r w:rsidR="00FC768B">
        <w:t>.</w:t>
      </w:r>
    </w:p>
    <w:p w:rsidR="00792792" w:rsidRDefault="00FC768B" w:rsidP="00792792">
      <w:pPr>
        <w:pStyle w:val="Tabletitle"/>
      </w:pPr>
      <w:proofErr w:type="gramStart"/>
      <w:r>
        <w:lastRenderedPageBreak/>
        <w:t>Table 16.</w:t>
      </w:r>
      <w:proofErr w:type="gramEnd"/>
      <w:r>
        <w:t xml:space="preserve"> </w:t>
      </w:r>
      <w:r w:rsidR="00792792">
        <w:t>Study K050. Parameter estimates from the ivacaftor Phase I/II final population pharmacokinetic model (Run 2023)</w:t>
      </w:r>
    </w:p>
    <w:p w:rsidR="00792792" w:rsidRPr="00792792" w:rsidRDefault="00792792" w:rsidP="00792792">
      <w:r>
        <w:rPr>
          <w:noProof/>
          <w:lang w:eastAsia="en-AU"/>
        </w:rPr>
        <w:drawing>
          <wp:inline distT="0" distB="0" distL="0" distR="0" wp14:anchorId="42D12581" wp14:editId="6C98A2B2">
            <wp:extent cx="5731510" cy="2904332"/>
            <wp:effectExtent l="0" t="0" r="2540" b="0"/>
            <wp:docPr id="22" name="Picture 22" descr="Table 16. Study K050. Parameter estimates from the ivacaftor Phase I/II final population pharmacokinetic model (Run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731510" cy="2904332"/>
                    </a:xfrm>
                    <a:prstGeom prst="rect">
                      <a:avLst/>
                    </a:prstGeom>
                  </pic:spPr>
                </pic:pic>
              </a:graphicData>
            </a:graphic>
          </wp:inline>
        </w:drawing>
      </w:r>
    </w:p>
    <w:p w:rsidR="00D1092B" w:rsidRDefault="00D1092B" w:rsidP="00D1092B">
      <w:pPr>
        <w:pStyle w:val="Heading4"/>
      </w:pPr>
      <w:r w:rsidRPr="00D1092B">
        <w:t>PKs in subjects</w:t>
      </w:r>
      <w:r w:rsidR="00CA706D">
        <w:t xml:space="preserve"> with impaired hepatic function</w:t>
      </w:r>
    </w:p>
    <w:p w:rsidR="00D1092B" w:rsidRPr="00D1092B" w:rsidRDefault="00D1092B" w:rsidP="000570F4">
      <w:r w:rsidRPr="00D1092B">
        <w:t xml:space="preserve">Following multiple doses of LUM/IVA, LUM and IVA AUC was </w:t>
      </w:r>
      <w:r w:rsidR="00661535">
        <w:t xml:space="preserve">approximately </w:t>
      </w:r>
      <w:r w:rsidRPr="00D1092B">
        <w:t>1.43</w:t>
      </w:r>
      <w:r w:rsidR="00511EB7">
        <w:t xml:space="preserve"> fold</w:t>
      </w:r>
      <w:r w:rsidRPr="00D1092B">
        <w:t xml:space="preserve"> and 1.81</w:t>
      </w:r>
      <w:r w:rsidR="00511EB7">
        <w:t xml:space="preserve"> fold</w:t>
      </w:r>
      <w:r w:rsidRPr="00D1092B">
        <w:t xml:space="preserve"> higher, respectively, and CLss/F was </w:t>
      </w:r>
      <w:r w:rsidR="00661535">
        <w:t xml:space="preserve">approximately </w:t>
      </w:r>
      <w:r w:rsidRPr="00D1092B">
        <w:t>1.50</w:t>
      </w:r>
      <w:r w:rsidR="00511EB7">
        <w:t xml:space="preserve"> fold</w:t>
      </w:r>
      <w:r w:rsidR="000570F4">
        <w:t xml:space="preserve"> and 1.43 </w:t>
      </w:r>
      <w:r w:rsidRPr="00D1092B">
        <w:t>fold lower, respectively, in subjects with moderate hepatic impairment than in healthy subjects. Therefore, adequate precautions relating to the effects of moderate hepatic impairment on the PKs of LUM/IVA</w:t>
      </w:r>
      <w:r w:rsidR="000570F4">
        <w:t xml:space="preserve"> need to be provided in the PI.</w:t>
      </w:r>
    </w:p>
    <w:p w:rsidR="00D1092B" w:rsidRDefault="00D1092B" w:rsidP="00D1092B">
      <w:pPr>
        <w:pStyle w:val="Heading4"/>
      </w:pPr>
      <w:r w:rsidRPr="00D1092B">
        <w:t>Ph</w:t>
      </w:r>
      <w:r w:rsidR="000570F4">
        <w:t>armacokinetics according to age</w:t>
      </w:r>
    </w:p>
    <w:p w:rsidR="00D1092B" w:rsidRPr="00D1092B" w:rsidRDefault="00D1092B" w:rsidP="00D1092B">
      <w:r w:rsidRPr="00D1092B">
        <w:t xml:space="preserve">PopPK analysis indicated that LUM CL/F decreased with increasing age, such that the typical 12 year old has an 11% greater CL/F when compared to the reference 18 year old, and the typical 50 year old subject has a CL/F that is 24% lower </w:t>
      </w:r>
      <w:r w:rsidR="000570F4">
        <w:t>than the reference 18 year old.</w:t>
      </w:r>
    </w:p>
    <w:p w:rsidR="00D1092B" w:rsidRDefault="00792792" w:rsidP="00D1092B">
      <w:pPr>
        <w:pStyle w:val="Heading4"/>
      </w:pPr>
      <w:r>
        <w:t>Gender, Body weight</w:t>
      </w:r>
    </w:p>
    <w:p w:rsidR="00D1092B" w:rsidRPr="00D1092B" w:rsidRDefault="00D1092B" w:rsidP="00D1092B">
      <w:r w:rsidRPr="00D1092B">
        <w:t>The PKs of both LUM and IVA were not affected by gender. Body weight was an important predictor of variability in LUM CL/F. For example, LUM CL/F was 39% and 131% of the reference value of 1.67 L/h for the typical 20 kg and 100 kg subject, respectively, when compared to the reference subject (70 kg). Body weight was also an important predictor of variability in IVA CL/F. IVA CL/F was 39% and 131% of the reference value of 25.1 L/h for the typical 20 kg and 100 kg subject, respectively, when compared to</w:t>
      </w:r>
      <w:r w:rsidR="000570F4">
        <w:t xml:space="preserve"> the reference subject (70 kg).</w:t>
      </w:r>
    </w:p>
    <w:p w:rsidR="00D1092B" w:rsidRDefault="00792792" w:rsidP="00D1092B">
      <w:pPr>
        <w:pStyle w:val="Heading4"/>
      </w:pPr>
      <w:r>
        <w:t>Interaction between LUM and IVA</w:t>
      </w:r>
    </w:p>
    <w:p w:rsidR="00D1092B" w:rsidRPr="00D1092B" w:rsidRDefault="00D1092B" w:rsidP="00D1092B">
      <w:r w:rsidRPr="00D1092B">
        <w:t>Co-administration of 150 mg IVA q12h and 200 mg LUM QD had little effect on LUM and M28 exposure, accumulation and attainment of steady state compared to when LUM was administered alone. By contrast, following 14 days of co-administra</w:t>
      </w:r>
      <w:r w:rsidR="000570F4">
        <w:t>tion of LUM/IVA there was a 70 to</w:t>
      </w:r>
      <w:r w:rsidRPr="00D1092B">
        <w:t xml:space="preserve"> 80% reduction in IVA and M1 exposure compared to w</w:t>
      </w:r>
      <w:r w:rsidR="000570F4">
        <w:t>hen IVA was administered alone.</w:t>
      </w:r>
    </w:p>
    <w:p w:rsidR="00D1092B" w:rsidRPr="00D1092B" w:rsidRDefault="00D1092B" w:rsidP="00D1092B">
      <w:r w:rsidRPr="00D1092B">
        <w:t xml:space="preserve">When 200 mg LUM QD was co-administered with 250 mg IVA q12h for 14 days, LUM exposure decreased compared to when LUM was administered alone (GLSM ratios for </w:t>
      </w:r>
      <w:r w:rsidR="00511EB7" w:rsidRPr="001E1E4D">
        <w:t>C</w:t>
      </w:r>
      <w:r w:rsidR="00511EB7" w:rsidRPr="00511EB7">
        <w:rPr>
          <w:vertAlign w:val="subscript"/>
        </w:rPr>
        <w:t>max</w:t>
      </w:r>
      <w:r w:rsidRPr="00D1092B">
        <w:t xml:space="preserve"> by 39% and for </w:t>
      </w:r>
      <w:r w:rsidR="00511EB7" w:rsidRPr="002227DB">
        <w:t>AUC</w:t>
      </w:r>
      <w:r w:rsidR="00511EB7" w:rsidRPr="00511EB7">
        <w:rPr>
          <w:vertAlign w:val="subscript"/>
        </w:rPr>
        <w:t>0-24</w:t>
      </w:r>
      <w:r w:rsidRPr="00D1092B">
        <w:t>h by 32%). Whereas, when IVA (250 mg q12h) was administered alone for 14 days IVA exposure increased by approximately 2.5</w:t>
      </w:r>
      <w:r w:rsidR="00511EB7">
        <w:t xml:space="preserve"> fold</w:t>
      </w:r>
      <w:r w:rsidRPr="00D1092B">
        <w:t>; however, following co-administration for 14 days IVA exposure decreased (0.63</w:t>
      </w:r>
      <w:r w:rsidR="00511EB7">
        <w:t xml:space="preserve"> fold</w:t>
      </w:r>
      <w:r w:rsidR="000570F4">
        <w:t>).</w:t>
      </w:r>
    </w:p>
    <w:p w:rsidR="00D1092B" w:rsidRDefault="00790BED" w:rsidP="00D1092B">
      <w:pPr>
        <w:pStyle w:val="Heading6"/>
      </w:pPr>
      <w:r>
        <w:lastRenderedPageBreak/>
        <w:t>Ciprofloxacin</w:t>
      </w:r>
    </w:p>
    <w:p w:rsidR="007F4B4F" w:rsidRPr="00CE11AD" w:rsidRDefault="00D1092B" w:rsidP="00CE11AD">
      <w:r w:rsidRPr="00CE11AD">
        <w:t xml:space="preserve">Following co-administration of 200 mg LUM q12h and 250 mg IVA q12h, mean LUM </w:t>
      </w:r>
      <w:r w:rsidR="00511EB7" w:rsidRPr="002227DB">
        <w:t>AUC</w:t>
      </w:r>
      <w:r w:rsidR="00511EB7" w:rsidRPr="00511EB7">
        <w:rPr>
          <w:vertAlign w:val="subscript"/>
        </w:rPr>
        <w:t>τ</w:t>
      </w:r>
      <w:r w:rsidRPr="00CE11AD">
        <w:t xml:space="preserve"> (90% CI) values were approximately 14% (79, 95) lower in the presence of ciprofloxacin, whereas, the M28-LUM concentration versus time profiles were similar in both its absence and presence. By contrast, the mean IVA </w:t>
      </w:r>
      <w:r w:rsidR="00511EB7" w:rsidRPr="002227DB">
        <w:t>AUC</w:t>
      </w:r>
      <w:r w:rsidR="00511EB7" w:rsidRPr="00511EB7">
        <w:rPr>
          <w:vertAlign w:val="subscript"/>
        </w:rPr>
        <w:t>τ</w:t>
      </w:r>
      <w:r w:rsidRPr="00CE11AD">
        <w:t xml:space="preserve"> was approximately 28% (111, 148) higher in the presence of ciprofloxacin. The mean plasma concentrations for the metabolites M1-IVA and M6-IVA were also higher by 126 % and 112%, respectively, in the presence of ciprofloxacin.</w:t>
      </w:r>
    </w:p>
    <w:p w:rsidR="00CE11AD" w:rsidRDefault="00790BED" w:rsidP="00CE11AD">
      <w:pPr>
        <w:pStyle w:val="Heading6"/>
      </w:pPr>
      <w:r>
        <w:t>CYP3A inhibitor itraconazole</w:t>
      </w:r>
    </w:p>
    <w:p w:rsidR="00CE11AD" w:rsidRPr="00CE11AD" w:rsidRDefault="00CE11AD" w:rsidP="00CE11AD">
      <w:r w:rsidRPr="00CE11AD">
        <w:t xml:space="preserve">LUM and M28-LUM mean plasma concentrations were similar in the absence and presence of the itraconazole, whereas, the mean IVA </w:t>
      </w:r>
      <w:r w:rsidR="00511EB7" w:rsidRPr="002227DB">
        <w:t>AUC</w:t>
      </w:r>
      <w:r w:rsidR="00511EB7" w:rsidRPr="00511EB7">
        <w:rPr>
          <w:vertAlign w:val="subscript"/>
        </w:rPr>
        <w:t>τ</w:t>
      </w:r>
      <w:r w:rsidRPr="00CE11AD">
        <w:t xml:space="preserve"> was approximately 4.2</w:t>
      </w:r>
      <w:r w:rsidR="00511EB7">
        <w:t xml:space="preserve"> fold</w:t>
      </w:r>
      <w:r w:rsidRPr="00CE11AD">
        <w:t xml:space="preserve"> (3.78, 4.88) higher in its presence. The mean plasma concentration of the metabolite M1-IVA was higher (2.4</w:t>
      </w:r>
      <w:r w:rsidR="00511EB7">
        <w:t xml:space="preserve"> fold</w:t>
      </w:r>
      <w:r w:rsidRPr="00CE11AD">
        <w:t xml:space="preserve">) in the presence of itraconazole; however, </w:t>
      </w:r>
      <w:r w:rsidR="00790BED">
        <w:t>there was no change for M6-IVA.</w:t>
      </w:r>
    </w:p>
    <w:p w:rsidR="00CE11AD" w:rsidRDefault="00790BED" w:rsidP="00CE11AD">
      <w:pPr>
        <w:pStyle w:val="Heading6"/>
      </w:pPr>
      <w:r>
        <w:t>CYP3A inducer rifampin</w:t>
      </w:r>
    </w:p>
    <w:p w:rsidR="00CE11AD" w:rsidRPr="00CE11AD" w:rsidRDefault="00CE11AD" w:rsidP="00790BED">
      <w:pPr>
        <w:pStyle w:val="ListBullet"/>
      </w:pPr>
      <w:r w:rsidRPr="00CE11AD">
        <w:t xml:space="preserve">Rifampin had little to no effect on mean LUM </w:t>
      </w:r>
      <w:r w:rsidR="00511EB7" w:rsidRPr="002227DB">
        <w:t>AUC</w:t>
      </w:r>
      <w:r w:rsidR="00511EB7" w:rsidRPr="00511EB7">
        <w:rPr>
          <w:vertAlign w:val="subscript"/>
        </w:rPr>
        <w:t>τ</w:t>
      </w:r>
      <w:r w:rsidRPr="00CE11AD">
        <w:t xml:space="preserve">, whereas, the mean M28-LUM </w:t>
      </w:r>
      <w:r w:rsidR="00511EB7" w:rsidRPr="002227DB">
        <w:t>AUC</w:t>
      </w:r>
      <w:r w:rsidR="00511EB7" w:rsidRPr="00511EB7">
        <w:rPr>
          <w:vertAlign w:val="subscript"/>
        </w:rPr>
        <w:t>τ</w:t>
      </w:r>
      <w:r w:rsidRPr="00CE11AD">
        <w:t xml:space="preserve"> was approximately 35% (132, 140) higher in the presence of rifampin. By contrast, the mean IVA </w:t>
      </w:r>
      <w:r w:rsidR="00511EB7" w:rsidRPr="002227DB">
        <w:t>AUC</w:t>
      </w:r>
      <w:r w:rsidR="00511EB7" w:rsidRPr="00511EB7">
        <w:rPr>
          <w:vertAlign w:val="subscript"/>
        </w:rPr>
        <w:t>τ</w:t>
      </w:r>
      <w:r w:rsidRPr="00CE11AD">
        <w:t xml:space="preserve"> was approximately 67% (38, 49) lower in the presence of rifampin. The mean plasma concentration of M1-IVA was also lower (approximately 35%), whereas, M6-IVA </w:t>
      </w:r>
      <w:r w:rsidR="00511EB7" w:rsidRPr="002227DB">
        <w:t>AUC</w:t>
      </w:r>
      <w:r w:rsidR="00511EB7" w:rsidRPr="00511EB7">
        <w:rPr>
          <w:vertAlign w:val="subscript"/>
        </w:rPr>
        <w:t>τ</w:t>
      </w:r>
      <w:r w:rsidRPr="00CE11AD">
        <w:t xml:space="preserve"> was higher (approximately 29</w:t>
      </w:r>
      <w:r w:rsidR="00790BED">
        <w:t>%) in the presence of rifampin.</w:t>
      </w:r>
    </w:p>
    <w:p w:rsidR="00CE11AD" w:rsidRPr="00CE11AD" w:rsidRDefault="00CE11AD" w:rsidP="00790BED">
      <w:pPr>
        <w:pStyle w:val="ListBullet"/>
      </w:pPr>
      <w:r w:rsidRPr="00CE11AD">
        <w:t>In vitro studies have established that LUM is an inducer of CYP3A, whereas, IVA is a weak</w:t>
      </w:r>
      <w:r w:rsidR="0000088C">
        <w:t xml:space="preserve"> </w:t>
      </w:r>
      <w:r w:rsidRPr="00CE11AD">
        <w:t>inhibitor of CYP3A when given as monotherapy. The net effect of lumacaftor/ivacaftor therapy is expected to be strong CYP3A induction. In addition, both LUM and IVA have been shown to have no inhibitory effect on the inducible enzyme CYP2D6 and neither compound is a substrate for P-gp. By contrast, in vitro studies indicated that both L</w:t>
      </w:r>
      <w:r w:rsidR="00790BED">
        <w:t>UM and IVA are P-gp inhibitors.</w:t>
      </w:r>
    </w:p>
    <w:p w:rsidR="00CE11AD" w:rsidRDefault="00790BED" w:rsidP="00CE11AD">
      <w:pPr>
        <w:pStyle w:val="Heading5"/>
      </w:pPr>
      <w:r>
        <w:t>Limitations of the PK studies</w:t>
      </w:r>
    </w:p>
    <w:p w:rsidR="00CE11AD" w:rsidRPr="00CE11AD" w:rsidRDefault="00CE11AD" w:rsidP="00790BED">
      <w:pPr>
        <w:pStyle w:val="ListBullet"/>
      </w:pPr>
      <w:r w:rsidRPr="00CE11AD">
        <w:t xml:space="preserve">No studies specifically examined the bioavailability of LUM and IVA following multiple </w:t>
      </w:r>
      <w:proofErr w:type="gramStart"/>
      <w:r w:rsidRPr="00CE11AD">
        <w:t>dose</w:t>
      </w:r>
      <w:proofErr w:type="gramEnd"/>
      <w:r w:rsidRPr="00CE11AD">
        <w:t xml:space="preserve"> of the</w:t>
      </w:r>
      <w:r w:rsidR="0000088C">
        <w:t xml:space="preserve"> </w:t>
      </w:r>
      <w:r w:rsidRPr="00CE11AD">
        <w:t>FDC fo</w:t>
      </w:r>
      <w:r w:rsidR="00CA706D">
        <w:t>rmulations in healthy subjects.</w:t>
      </w:r>
    </w:p>
    <w:p w:rsidR="00CE11AD" w:rsidRPr="00CE11AD" w:rsidRDefault="00CE11AD" w:rsidP="00790BED">
      <w:pPr>
        <w:pStyle w:val="ListBullet"/>
      </w:pPr>
      <w:r w:rsidRPr="00CE11AD">
        <w:t>The activity of the various circulating metabolites of LUM is not clear from the information</w:t>
      </w:r>
      <w:r w:rsidR="0000088C">
        <w:t xml:space="preserve"> </w:t>
      </w:r>
      <w:r w:rsidRPr="00CE11AD">
        <w:t>provid</w:t>
      </w:r>
      <w:r w:rsidR="00CA706D">
        <w:t>ed in the evaluation materials.</w:t>
      </w:r>
    </w:p>
    <w:p w:rsidR="007F4B4F" w:rsidRPr="00CE11AD" w:rsidRDefault="00CE11AD" w:rsidP="00790BED">
      <w:pPr>
        <w:pStyle w:val="ListBullet"/>
      </w:pPr>
      <w:r w:rsidRPr="00CE11AD">
        <w:t>The effect of renal impairment on the PKs of LUM and IVA has not been examined for either of the</w:t>
      </w:r>
      <w:r w:rsidR="0000088C">
        <w:t xml:space="preserve"> </w:t>
      </w:r>
      <w:r w:rsidRPr="00CE11AD">
        <w:t>FDC tablets, the free combination or for when LUM or IVA were administered alone.</w:t>
      </w:r>
    </w:p>
    <w:p w:rsidR="00586F98" w:rsidRDefault="00586F98" w:rsidP="00586F98">
      <w:pPr>
        <w:pStyle w:val="Heading2"/>
      </w:pPr>
      <w:bookmarkStart w:id="20" w:name="_Toc461121043"/>
      <w:r>
        <w:t>Pharmacodynamics</w:t>
      </w:r>
      <w:bookmarkEnd w:id="20"/>
    </w:p>
    <w:p w:rsidR="0000088C" w:rsidRPr="0000088C" w:rsidRDefault="0000088C" w:rsidP="0000088C">
      <w:pPr>
        <w:pStyle w:val="Heading3"/>
      </w:pPr>
      <w:bookmarkStart w:id="21" w:name="_Toc461121044"/>
      <w:r w:rsidRPr="0000088C">
        <w:t>Studies providing pharmacodynamic data</w:t>
      </w:r>
      <w:bookmarkEnd w:id="21"/>
    </w:p>
    <w:p w:rsidR="0000088C" w:rsidRPr="0000088C" w:rsidRDefault="0000088C" w:rsidP="0000088C">
      <w:r w:rsidRPr="0000088C">
        <w:t xml:space="preserve">Summaries of the pharmacodynamic studies </w:t>
      </w:r>
      <w:r w:rsidR="006040A9">
        <w:t>were provided</w:t>
      </w:r>
      <w:r w:rsidR="00FC768B">
        <w:t>. Table 17</w:t>
      </w:r>
      <w:r w:rsidRPr="0000088C">
        <w:t xml:space="preserve"> shows the studies relating to each pharmacodynamic topic</w:t>
      </w:r>
      <w:r w:rsidR="006040A9">
        <w:t>.</w:t>
      </w:r>
    </w:p>
    <w:p w:rsidR="0000088C" w:rsidRPr="0000088C" w:rsidRDefault="0000088C" w:rsidP="0000088C">
      <w:r w:rsidRPr="0000088C">
        <w:t xml:space="preserve">Note: Almost all of the studies that contain a PD component have been previously summarised; therefore, only a single study, which represented a </w:t>
      </w:r>
      <w:r w:rsidR="006040A9">
        <w:t xml:space="preserve">population exposure </w:t>
      </w:r>
      <w:r w:rsidRPr="0000088C">
        <w:t>response analysis, is included in the following table.</w:t>
      </w:r>
    </w:p>
    <w:p w:rsidR="0000088C" w:rsidRPr="0000088C" w:rsidRDefault="00FC768B" w:rsidP="00792792">
      <w:pPr>
        <w:pStyle w:val="Tabletitle"/>
        <w:pageBreakBefore/>
      </w:pPr>
      <w:proofErr w:type="gramStart"/>
      <w:r>
        <w:lastRenderedPageBreak/>
        <w:t>Table 17</w:t>
      </w:r>
      <w:r w:rsidR="0000088C" w:rsidRPr="0000088C">
        <w:t>.</w:t>
      </w:r>
      <w:proofErr w:type="gramEnd"/>
      <w:r w:rsidR="0000088C" w:rsidRPr="0000088C">
        <w:t xml:space="preserve"> Submitted pharmacodynamic stu</w:t>
      </w:r>
      <w:r w:rsidR="00792792">
        <w:t>dies</w:t>
      </w:r>
    </w:p>
    <w:tbl>
      <w:tblPr>
        <w:tblStyle w:val="TableTGAblue"/>
        <w:tblW w:w="0" w:type="auto"/>
        <w:tblLook w:val="04A0" w:firstRow="1" w:lastRow="0" w:firstColumn="1" w:lastColumn="0" w:noHBand="0" w:noVBand="1"/>
      </w:tblPr>
      <w:tblGrid>
        <w:gridCol w:w="2310"/>
        <w:gridCol w:w="1626"/>
        <w:gridCol w:w="1417"/>
        <w:gridCol w:w="3889"/>
      </w:tblGrid>
      <w:tr w:rsidR="0000088C" w:rsidRPr="006040A9" w:rsidTr="0000088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rsidR="0000088C" w:rsidRPr="00ED400A" w:rsidRDefault="0000088C" w:rsidP="0000088C">
            <w:pPr>
              <w:rPr>
                <w:sz w:val="20"/>
                <w:szCs w:val="20"/>
              </w:rPr>
            </w:pPr>
            <w:r w:rsidRPr="00ED400A">
              <w:rPr>
                <w:sz w:val="20"/>
                <w:szCs w:val="20"/>
              </w:rPr>
              <w:t xml:space="preserve">PD Topic </w:t>
            </w:r>
          </w:p>
        </w:tc>
        <w:tc>
          <w:tcPr>
            <w:tcW w:w="1626" w:type="dxa"/>
          </w:tcPr>
          <w:p w:rsidR="0000088C" w:rsidRPr="00ED400A" w:rsidRDefault="0000088C" w:rsidP="0000088C">
            <w:pPr>
              <w:cnfStyle w:val="100000000000" w:firstRow="1" w:lastRow="0" w:firstColumn="0" w:lastColumn="0" w:oddVBand="0" w:evenVBand="0" w:oddHBand="0" w:evenHBand="0" w:firstRowFirstColumn="0" w:firstRowLastColumn="0" w:lastRowFirstColumn="0" w:lastRowLastColumn="0"/>
              <w:rPr>
                <w:sz w:val="20"/>
                <w:szCs w:val="20"/>
              </w:rPr>
            </w:pPr>
            <w:r w:rsidRPr="00ED400A">
              <w:rPr>
                <w:sz w:val="20"/>
                <w:szCs w:val="20"/>
              </w:rPr>
              <w:t xml:space="preserve">Subtopic </w:t>
            </w:r>
          </w:p>
        </w:tc>
        <w:tc>
          <w:tcPr>
            <w:tcW w:w="1417" w:type="dxa"/>
          </w:tcPr>
          <w:p w:rsidR="0000088C" w:rsidRPr="00ED400A" w:rsidRDefault="0000088C" w:rsidP="0000088C">
            <w:pPr>
              <w:cnfStyle w:val="100000000000" w:firstRow="1" w:lastRow="0" w:firstColumn="0" w:lastColumn="0" w:oddVBand="0" w:evenVBand="0" w:oddHBand="0" w:evenHBand="0" w:firstRowFirstColumn="0" w:firstRowLastColumn="0" w:lastRowFirstColumn="0" w:lastRowLastColumn="0"/>
              <w:rPr>
                <w:sz w:val="20"/>
                <w:szCs w:val="20"/>
              </w:rPr>
            </w:pPr>
            <w:r w:rsidRPr="00ED400A">
              <w:rPr>
                <w:sz w:val="20"/>
                <w:szCs w:val="20"/>
              </w:rPr>
              <w:t xml:space="preserve">Study ID </w:t>
            </w:r>
          </w:p>
        </w:tc>
        <w:tc>
          <w:tcPr>
            <w:tcW w:w="3889" w:type="dxa"/>
          </w:tcPr>
          <w:p w:rsidR="0000088C" w:rsidRPr="00ED400A" w:rsidRDefault="0000088C" w:rsidP="0000088C">
            <w:pPr>
              <w:cnfStyle w:val="100000000000" w:firstRow="1" w:lastRow="0" w:firstColumn="0" w:lastColumn="0" w:oddVBand="0" w:evenVBand="0" w:oddHBand="0" w:evenHBand="0" w:firstRowFirstColumn="0" w:firstRowLastColumn="0" w:lastRowFirstColumn="0" w:lastRowLastColumn="0"/>
              <w:rPr>
                <w:sz w:val="20"/>
                <w:szCs w:val="20"/>
              </w:rPr>
            </w:pPr>
            <w:r w:rsidRPr="00ED400A">
              <w:rPr>
                <w:sz w:val="20"/>
                <w:szCs w:val="20"/>
              </w:rPr>
              <w:t>Primary aim of the study</w:t>
            </w:r>
          </w:p>
        </w:tc>
      </w:tr>
      <w:tr w:rsidR="0000088C" w:rsidRPr="006040A9" w:rsidTr="0000088C">
        <w:tc>
          <w:tcPr>
            <w:cnfStyle w:val="001000000000" w:firstRow="0" w:lastRow="0" w:firstColumn="1" w:lastColumn="0" w:oddVBand="0" w:evenVBand="0" w:oddHBand="0" w:evenHBand="0" w:firstRowFirstColumn="0" w:firstRowLastColumn="0" w:lastRowFirstColumn="0" w:lastRowLastColumn="0"/>
            <w:tcW w:w="2310" w:type="dxa"/>
          </w:tcPr>
          <w:p w:rsidR="0000088C" w:rsidRPr="00ED400A" w:rsidRDefault="0000088C" w:rsidP="0000088C">
            <w:pPr>
              <w:rPr>
                <w:sz w:val="20"/>
                <w:szCs w:val="20"/>
              </w:rPr>
            </w:pPr>
            <w:r w:rsidRPr="00ED400A">
              <w:rPr>
                <w:sz w:val="20"/>
                <w:szCs w:val="20"/>
              </w:rPr>
              <w:t>P</w:t>
            </w:r>
            <w:r w:rsidR="00ED400A" w:rsidRPr="00ED400A">
              <w:rPr>
                <w:sz w:val="20"/>
                <w:szCs w:val="20"/>
              </w:rPr>
              <w:t>opulation PD and PK-PD analyses</w:t>
            </w:r>
          </w:p>
        </w:tc>
        <w:tc>
          <w:tcPr>
            <w:tcW w:w="1626" w:type="dxa"/>
          </w:tcPr>
          <w:p w:rsidR="0000088C" w:rsidRPr="00ED400A" w:rsidRDefault="00ED400A" w:rsidP="0000088C">
            <w:pPr>
              <w:cnfStyle w:val="000000000000" w:firstRow="0" w:lastRow="0" w:firstColumn="0" w:lastColumn="0" w:oddVBand="0" w:evenVBand="0" w:oddHBand="0" w:evenHBand="0" w:firstRowFirstColumn="0" w:firstRowLastColumn="0" w:lastRowFirstColumn="0" w:lastRowLastColumn="0"/>
              <w:rPr>
                <w:sz w:val="20"/>
                <w:szCs w:val="20"/>
              </w:rPr>
            </w:pPr>
            <w:r w:rsidRPr="00ED400A">
              <w:rPr>
                <w:sz w:val="20"/>
                <w:szCs w:val="20"/>
              </w:rPr>
              <w:t>Target population</w:t>
            </w:r>
          </w:p>
        </w:tc>
        <w:tc>
          <w:tcPr>
            <w:tcW w:w="1417" w:type="dxa"/>
          </w:tcPr>
          <w:p w:rsidR="0000088C" w:rsidRPr="00ED400A" w:rsidRDefault="00ED400A" w:rsidP="0000088C">
            <w:pPr>
              <w:cnfStyle w:val="000000000000" w:firstRow="0" w:lastRow="0" w:firstColumn="0" w:lastColumn="0" w:oddVBand="0" w:evenVBand="0" w:oddHBand="0" w:evenHBand="0" w:firstRowFirstColumn="0" w:firstRowLastColumn="0" w:lastRowFirstColumn="0" w:lastRowLastColumn="0"/>
              <w:rPr>
                <w:sz w:val="20"/>
                <w:szCs w:val="20"/>
              </w:rPr>
            </w:pPr>
            <w:r w:rsidRPr="00ED400A">
              <w:rPr>
                <w:sz w:val="20"/>
                <w:szCs w:val="20"/>
              </w:rPr>
              <w:t>K261</w:t>
            </w:r>
          </w:p>
        </w:tc>
        <w:tc>
          <w:tcPr>
            <w:tcW w:w="3889" w:type="dxa"/>
          </w:tcPr>
          <w:p w:rsidR="0000088C" w:rsidRPr="00ED400A" w:rsidRDefault="0000088C" w:rsidP="0000088C">
            <w:pPr>
              <w:cnfStyle w:val="000000000000" w:firstRow="0" w:lastRow="0" w:firstColumn="0" w:lastColumn="0" w:oddVBand="0" w:evenVBand="0" w:oddHBand="0" w:evenHBand="0" w:firstRowFirstColumn="0" w:firstRowLastColumn="0" w:lastRowFirstColumn="0" w:lastRowLastColumn="0"/>
              <w:rPr>
                <w:sz w:val="20"/>
                <w:szCs w:val="20"/>
              </w:rPr>
            </w:pPr>
            <w:r w:rsidRPr="00ED400A">
              <w:rPr>
                <w:sz w:val="20"/>
                <w:szCs w:val="20"/>
              </w:rPr>
              <w:t>Population exposure-response analysis of sweat chloride response to treatment with LUM alone or with LUM in combination with IVA in adults with CF, homozygou</w:t>
            </w:r>
            <w:r w:rsidR="00ED400A" w:rsidRPr="00ED400A">
              <w:rPr>
                <w:sz w:val="20"/>
                <w:szCs w:val="20"/>
              </w:rPr>
              <w:t>s for the F508del-CFTR mutation</w:t>
            </w:r>
          </w:p>
        </w:tc>
      </w:tr>
    </w:tbl>
    <w:p w:rsidR="0000088C" w:rsidRPr="0000088C" w:rsidRDefault="0000088C" w:rsidP="0000088C">
      <w:r w:rsidRPr="0000088C">
        <w:t>None of the pharmacodynamic studies had deficiencies that excluded their results from consideration.</w:t>
      </w:r>
    </w:p>
    <w:p w:rsidR="0000088C" w:rsidRPr="0000088C" w:rsidRDefault="0000088C" w:rsidP="00CB1BAD">
      <w:pPr>
        <w:pStyle w:val="Heading3"/>
      </w:pPr>
      <w:bookmarkStart w:id="22" w:name="_Toc461121045"/>
      <w:r w:rsidRPr="0000088C">
        <w:t>Summary of pharmacodynamics</w:t>
      </w:r>
      <w:bookmarkEnd w:id="22"/>
    </w:p>
    <w:p w:rsidR="0000088C" w:rsidRPr="0000088C" w:rsidRDefault="0000088C" w:rsidP="0000088C">
      <w:r w:rsidRPr="0000088C">
        <w:t xml:space="preserve">The information in the following summary is derived from conventional pharmacodynamic studies in </w:t>
      </w:r>
      <w:r w:rsidR="006040A9">
        <w:t>humans unless otherwise stated.</w:t>
      </w:r>
    </w:p>
    <w:p w:rsidR="0000088C" w:rsidRPr="0000088C" w:rsidRDefault="006040A9" w:rsidP="00CB1BAD">
      <w:pPr>
        <w:pStyle w:val="Heading4"/>
      </w:pPr>
      <w:r>
        <w:t>Mechanism of action</w:t>
      </w:r>
    </w:p>
    <w:p w:rsidR="0000088C" w:rsidRPr="00CB1BAD" w:rsidRDefault="0000088C" w:rsidP="00CB1BAD">
      <w:r w:rsidRPr="00CB1BAD">
        <w:t>Note: The following description of the mechanism of action is taken</w:t>
      </w:r>
      <w:r w:rsidR="006040A9">
        <w:t xml:space="preserve"> directly from the proposed PI.</w:t>
      </w:r>
    </w:p>
    <w:p w:rsidR="00CB1BAD" w:rsidRPr="00CB1BAD" w:rsidRDefault="0000088C" w:rsidP="00491191">
      <w:pPr>
        <w:ind w:left="170"/>
      </w:pPr>
      <w:r w:rsidRPr="00CB1BAD">
        <w:t>The CFTR protein is a chloride channel present at the surface of epithelial cells in multiple organs. The F508del mutation impacts the CFTR protein in multiple ways, p</w:t>
      </w:r>
      <w:r w:rsidR="00C57926">
        <w:t xml:space="preserve">rimarily by causing a defect in </w:t>
      </w:r>
      <w:r w:rsidR="00CB1BAD" w:rsidRPr="00CB1BAD">
        <w:t xml:space="preserve">cellular processing and trafficking that reduces the quantity of CFTR at the cell surface. The small amount of F508del-CFTR that reaches the cell surface has low channel open probability (defective channel gating). Lumacaftor is a CFTR corrector that acts directly on F508del-CFTR to improve its cellular processing and trafficking, thereby increasing the quantity of functional CFTR at the cell surface. </w:t>
      </w:r>
      <w:proofErr w:type="gramStart"/>
      <w:r w:rsidR="00CB1BAD" w:rsidRPr="00CB1BAD">
        <w:t>Ivacaftor is a CFTR potentiator that facilitates increased chloride transport by potentiating the channel open probability (or gating) of the CFTR protein at the cell surface.</w:t>
      </w:r>
      <w:proofErr w:type="gramEnd"/>
      <w:r w:rsidR="00CB1BAD" w:rsidRPr="00CB1BAD">
        <w:t xml:space="preserve"> The combined effect of lumacaftor and ivacaftor is increased quantity and function of F508del-CFTR at the cell surface, resulting in in</w:t>
      </w:r>
      <w:r w:rsidR="006040A9">
        <w:t>creased chloride ion transport.</w:t>
      </w:r>
    </w:p>
    <w:p w:rsidR="00CB1BAD" w:rsidRPr="00CB1BAD" w:rsidRDefault="006040A9" w:rsidP="00CB1BAD">
      <w:pPr>
        <w:pStyle w:val="Heading4"/>
      </w:pPr>
      <w:r>
        <w:t>Pharmacodynamic effects</w:t>
      </w:r>
    </w:p>
    <w:p w:rsidR="00CB1BAD" w:rsidRPr="00CB1BAD" w:rsidRDefault="00CB1BAD" w:rsidP="006040A9">
      <w:pPr>
        <w:pStyle w:val="Heading5"/>
      </w:pPr>
      <w:r w:rsidRPr="00CB1BAD">
        <w:t>End points for</w:t>
      </w:r>
      <w:r w:rsidR="006040A9">
        <w:t xml:space="preserve"> primary PD studies</w:t>
      </w:r>
    </w:p>
    <w:p w:rsidR="00CB1BAD" w:rsidRPr="00CB1BAD" w:rsidRDefault="00CB1BAD" w:rsidP="00CB1BAD">
      <w:r w:rsidRPr="00CB1BAD">
        <w:t>Elevated sweat chloride levels, which occur as a result of CFTR protein dysfunction, are a primary diagnostic marker for CF and a reduction in these levels is thought to occur as a result of impr</w:t>
      </w:r>
      <w:r w:rsidR="006040A9">
        <w:t>oved CFTR function in the skin.</w:t>
      </w:r>
    </w:p>
    <w:p w:rsidR="00CB1BAD" w:rsidRPr="00CB1BAD" w:rsidRDefault="00CB1BAD" w:rsidP="00CB1BAD">
      <w:r w:rsidRPr="00CB1BAD">
        <w:t>An improvement in lung function, which can be determined using spirometry (FEVI), is also an accepted measure of th</w:t>
      </w:r>
      <w:r w:rsidR="006040A9">
        <w:t>e efficacy of treatment for CF.</w:t>
      </w:r>
    </w:p>
    <w:p w:rsidR="00CB1BAD" w:rsidRPr="00CB1BAD" w:rsidRDefault="00CB1BAD" w:rsidP="00CB1BAD">
      <w:r w:rsidRPr="00CB1BAD">
        <w:t>The Cystic Fibrosis Questionnaire-Revised (CFQ-</w:t>
      </w:r>
      <w:r w:rsidR="00471087">
        <w:t xml:space="preserve">R) is </w:t>
      </w:r>
      <w:proofErr w:type="gramStart"/>
      <w:r w:rsidR="00471087">
        <w:t xml:space="preserve">a disease </w:t>
      </w:r>
      <w:r w:rsidR="00AB32E7">
        <w:t xml:space="preserve">specific health </w:t>
      </w:r>
      <w:r w:rsidRPr="00CB1BAD">
        <w:t>related qualify</w:t>
      </w:r>
      <w:proofErr w:type="gramEnd"/>
      <w:r w:rsidRPr="00CB1BAD">
        <w:t xml:space="preserve"> of life measure for children, </w:t>
      </w:r>
      <w:r w:rsidR="006040A9">
        <w:t>adolescents and adults with CF.</w:t>
      </w:r>
    </w:p>
    <w:p w:rsidR="00CB1BAD" w:rsidRPr="00CB1BAD" w:rsidRDefault="006040A9" w:rsidP="006040A9">
      <w:pPr>
        <w:pStyle w:val="Heading5"/>
      </w:pPr>
      <w:r>
        <w:t>Primary pharmacodynamic effects; e</w:t>
      </w:r>
      <w:r w:rsidR="00AB32E7">
        <w:t>ffects on sweat chloride</w:t>
      </w:r>
    </w:p>
    <w:p w:rsidR="00CB1BAD" w:rsidRPr="00CB1BAD" w:rsidRDefault="006040A9" w:rsidP="006040A9">
      <w:pPr>
        <w:pStyle w:val="Heading6"/>
      </w:pPr>
      <w:r>
        <w:t>FDC</w:t>
      </w:r>
    </w:p>
    <w:p w:rsidR="00CB1BAD" w:rsidRPr="00CB1BAD" w:rsidRDefault="00CB1BAD" w:rsidP="00CB1BAD">
      <w:r w:rsidRPr="00CB1BAD">
        <w:t>No PK/PD studies examined the effect of the FDC on sweat chloride in the target population of patients with CF who were homozygous for the F508del-C</w:t>
      </w:r>
      <w:r w:rsidR="006040A9">
        <w:t>FTR mutation.</w:t>
      </w:r>
    </w:p>
    <w:p w:rsidR="0000088C" w:rsidRPr="00CB1BAD" w:rsidRDefault="00CB1BAD" w:rsidP="00CB1BAD">
      <w:r w:rsidRPr="00CB1BAD">
        <w:t xml:space="preserve">In Cohort 4 of </w:t>
      </w:r>
      <w:r w:rsidR="00980975">
        <w:t>Study</w:t>
      </w:r>
      <w:r w:rsidRPr="00CB1BAD">
        <w:t xml:space="preserve"> VX09-809-102 (</w:t>
      </w:r>
      <w:r w:rsidR="00AB32E7">
        <w:t>described above</w:t>
      </w:r>
      <w:r w:rsidRPr="00CB1BAD">
        <w:t>), which examined patients with CF who were heterozygous for the F508del-CFTR mutation (</w:t>
      </w:r>
      <w:r w:rsidR="00511EB7">
        <w:t>that is</w:t>
      </w:r>
      <w:r w:rsidR="006040A9">
        <w:t xml:space="preserve">; </w:t>
      </w:r>
      <w:r w:rsidRPr="00CB1BAD">
        <w:t>not the target population), administration of the FDC at a dose of 400 mg LUM q12h + 250 mg IVA</w:t>
      </w:r>
      <w:r w:rsidR="006040A9">
        <w:t xml:space="preserve"> q12h (2 x </w:t>
      </w:r>
      <w:r w:rsidR="006040A9">
        <w:lastRenderedPageBreak/>
        <w:t>200 mg/125 </w:t>
      </w:r>
      <w:r w:rsidRPr="00CB1BAD">
        <w:t xml:space="preserve">mg FDC strength) for 56 days resulted in a statistically significant reduction in sweat chloride levels in subjects who received </w:t>
      </w:r>
      <w:r w:rsidR="006040A9">
        <w:t xml:space="preserve">the active FDC (-11.82 mmol/L; p </w:t>
      </w:r>
      <w:r w:rsidR="00511EB7">
        <w:t xml:space="preserve">&lt; </w:t>
      </w:r>
      <w:r w:rsidRPr="00CB1BAD">
        <w:t>0.0001) compared to subjects who received a FDC containing the LUM compo</w:t>
      </w:r>
      <w:r w:rsidR="00AB32E7">
        <w:t>nent + placebo (</w:t>
      </w:r>
      <w:r w:rsidR="00AB32E7">
        <w:noBreakHyphen/>
        <w:t>11.03 </w:t>
      </w:r>
      <w:r w:rsidR="006040A9">
        <w:t>mmol/L; p</w:t>
      </w:r>
      <w:r w:rsidR="00661535">
        <w:t xml:space="preserve"> </w:t>
      </w:r>
      <w:r w:rsidR="00511EB7">
        <w:t>=</w:t>
      </w:r>
      <w:r w:rsidR="00661535">
        <w:t xml:space="preserve"> </w:t>
      </w:r>
      <w:r w:rsidR="00511EB7">
        <w:t xml:space="preserve">&lt; </w:t>
      </w:r>
      <w:r w:rsidRPr="00CB1BAD">
        <w:t>0.0001).</w:t>
      </w:r>
    </w:p>
    <w:p w:rsidR="00CB1BAD" w:rsidRPr="00CB1BAD" w:rsidRDefault="006040A9" w:rsidP="006040A9">
      <w:pPr>
        <w:pStyle w:val="Heading6"/>
      </w:pPr>
      <w:r>
        <w:t>Free combination</w:t>
      </w:r>
    </w:p>
    <w:p w:rsidR="00CB1BAD" w:rsidRDefault="00AB32E7" w:rsidP="00CB1BAD">
      <w:r>
        <w:t>Study VX09-809-102</w:t>
      </w:r>
      <w:r w:rsidR="00CB1BAD" w:rsidRPr="00CB1BAD">
        <w:t xml:space="preserve"> also examined the effect of the free combination of LUM/IVA on sweat chloride levels in subjects with CF. In subjects who were homozygous for the F508del-CFTR mutation (study Cohort 1) the primary efficacy endpoint was change in sweat chloride from Day 14 at Day 21. Results indicated that subjects who received a 200 mg LUM QD + 250 mg IVA q12h dose as a free combination (-9.626 mmol/L; 95% Cl: -14.801, -4.</w:t>
      </w:r>
      <w:r w:rsidR="006040A9">
        <w:t>551; p &lt; </w:t>
      </w:r>
      <w:r w:rsidR="00CB1BAD" w:rsidRPr="00CB1BAD">
        <w:t>0.001), but not those who received 200 mg LUM QD + 1</w:t>
      </w:r>
      <w:r w:rsidR="006040A9">
        <w:t>50 mg IVA q12h (-2.679 mmol/L; p </w:t>
      </w:r>
      <w:r w:rsidR="00511EB7">
        <w:t>=</w:t>
      </w:r>
      <w:r w:rsidR="006040A9">
        <w:t> </w:t>
      </w:r>
      <w:r w:rsidR="00CB1BAD" w:rsidRPr="00CB1BAD">
        <w:t>0.267), had an adjusted mean absolute change from Day 14 at Day 21 in sweat chloride values that was statistically significant compared to the combination placebo group (</w:t>
      </w:r>
      <w:r w:rsidR="00511EB7">
        <w:t>that is</w:t>
      </w:r>
      <w:r w:rsidR="006040A9">
        <w:t xml:space="preserve">; </w:t>
      </w:r>
      <w:r w:rsidR="00CB1BAD" w:rsidRPr="00CB1BAD">
        <w:t>subjects who received placebo + placebo) (</w:t>
      </w:r>
      <w:r w:rsidR="00CB1BAD" w:rsidRPr="001B15CD">
        <w:t xml:space="preserve">Table </w:t>
      </w:r>
      <w:r w:rsidR="00FC768B">
        <w:t>18</w:t>
      </w:r>
      <w:r w:rsidR="006040A9">
        <w:t>).</w:t>
      </w:r>
    </w:p>
    <w:p w:rsidR="001B15CD" w:rsidRDefault="00FC768B" w:rsidP="001B15CD">
      <w:pPr>
        <w:pStyle w:val="Tabletitle"/>
      </w:pPr>
      <w:proofErr w:type="gramStart"/>
      <w:r>
        <w:t>Table 18.</w:t>
      </w:r>
      <w:proofErr w:type="gramEnd"/>
      <w:r>
        <w:t xml:space="preserve"> </w:t>
      </w:r>
      <w:r w:rsidR="001B15CD">
        <w:t xml:space="preserve">Study VX09-809-102 Absolute change from baseline at Day 14 in sweat chloride (mmol/L) by ANCOVA, Full </w:t>
      </w:r>
      <w:r>
        <w:t>Analysis</w:t>
      </w:r>
      <w:r w:rsidR="001B15CD">
        <w:t xml:space="preserve"> Set (Cohort 1)</w:t>
      </w:r>
    </w:p>
    <w:p w:rsidR="001B15CD" w:rsidRPr="001B15CD" w:rsidRDefault="001B15CD" w:rsidP="001B15CD">
      <w:r>
        <w:rPr>
          <w:noProof/>
          <w:lang w:eastAsia="en-AU"/>
        </w:rPr>
        <w:drawing>
          <wp:inline distT="0" distB="0" distL="0" distR="0" wp14:anchorId="36A688E4" wp14:editId="2DDE60D4">
            <wp:extent cx="5433338" cy="2333549"/>
            <wp:effectExtent l="0" t="0" r="0" b="0"/>
            <wp:docPr id="27" name="Picture 27" descr="Table 18. Study VX09-809-102 Absolute change from baseline at Day 14 in sweat chloride (mmol/L) by ANCOVA, Full Analysis Set (Coho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441524" cy="2337065"/>
                    </a:xfrm>
                    <a:prstGeom prst="rect">
                      <a:avLst/>
                    </a:prstGeom>
                  </pic:spPr>
                </pic:pic>
              </a:graphicData>
            </a:graphic>
          </wp:inline>
        </w:drawing>
      </w:r>
    </w:p>
    <w:p w:rsidR="00CB1BAD" w:rsidRDefault="00CB1BAD" w:rsidP="00CB1BAD">
      <w:r w:rsidRPr="00CB1BAD">
        <w:t>In addition, s</w:t>
      </w:r>
      <w:r w:rsidR="001B15CD">
        <w:t xml:space="preserve">tatistically significant within </w:t>
      </w:r>
      <w:r w:rsidRPr="00CB1BAD">
        <w:t>group adjusted mean absolute changes from baseline at Day 21 (</w:t>
      </w:r>
      <w:r w:rsidR="00511EB7">
        <w:t>that is</w:t>
      </w:r>
      <w:r w:rsidR="006040A9">
        <w:t xml:space="preserve">; </w:t>
      </w:r>
      <w:r w:rsidRPr="00CB1BAD">
        <w:t>for the entire treatment period) in sweat chloride values were observed for subjects who received either 200 mg LUM QD + 25</w:t>
      </w:r>
      <w:r w:rsidR="006040A9">
        <w:t xml:space="preserve">0 mg IVA q12h (-12.561 mmol/L, p </w:t>
      </w:r>
      <w:r w:rsidR="00511EB7">
        <w:t xml:space="preserve">&lt; </w:t>
      </w:r>
      <w:r w:rsidRPr="00CB1BAD">
        <w:t xml:space="preserve">0.001) or 200 mg LUM QD + 150 g </w:t>
      </w:r>
      <w:r w:rsidR="006040A9">
        <w:t>IVA q12h group (-6.741 mmol/L, p</w:t>
      </w:r>
      <w:r w:rsidR="00661535">
        <w:t xml:space="preserve"> </w:t>
      </w:r>
      <w:r w:rsidR="00511EB7">
        <w:t>=</w:t>
      </w:r>
      <w:r w:rsidR="00661535">
        <w:t xml:space="preserve"> </w:t>
      </w:r>
      <w:r w:rsidRPr="00CB1BAD">
        <w:t>0.003) (</w:t>
      </w:r>
      <w:r w:rsidRPr="001B15CD">
        <w:t xml:space="preserve">Table </w:t>
      </w:r>
      <w:r w:rsidR="00FC768B">
        <w:t>19</w:t>
      </w:r>
      <w:r w:rsidRPr="00CB1BAD">
        <w:t xml:space="preserve">). Although the treatment difference for the 200 mg LUM QD + 250 mg IVA q12h group compared to the combined placebo group in the mean absolute change from baseline at Day 21 in sweat chloride values was statistically significant (-10.86 mmol/L, </w:t>
      </w:r>
      <w:r w:rsidR="00604376">
        <w:t>p</w:t>
      </w:r>
      <w:r w:rsidR="00661535">
        <w:t xml:space="preserve"> </w:t>
      </w:r>
      <w:r w:rsidR="00511EB7">
        <w:t>=</w:t>
      </w:r>
      <w:r w:rsidR="00661535">
        <w:t xml:space="preserve"> </w:t>
      </w:r>
      <w:r w:rsidRPr="00CB1BAD">
        <w:t xml:space="preserve">0.002), the treatment difference for the subjects who were administered 200 mg LUM QD + 150 mg IVA q12h group compared to the combined placebo group was not significant (-5.04 mmol/L, </w:t>
      </w:r>
      <w:r w:rsidR="00604376">
        <w:t>p</w:t>
      </w:r>
      <w:r w:rsidR="00661535">
        <w:t xml:space="preserve"> </w:t>
      </w:r>
      <w:r w:rsidR="00511EB7">
        <w:t>=</w:t>
      </w:r>
      <w:r w:rsidR="00661535">
        <w:t xml:space="preserve"> </w:t>
      </w:r>
      <w:r w:rsidR="006040A9">
        <w:t>0.126).</w:t>
      </w:r>
    </w:p>
    <w:p w:rsidR="001B15CD" w:rsidRDefault="00FC768B" w:rsidP="001B15CD">
      <w:pPr>
        <w:pStyle w:val="Tabletitle"/>
      </w:pPr>
      <w:proofErr w:type="gramStart"/>
      <w:r>
        <w:lastRenderedPageBreak/>
        <w:t>Table 19</w:t>
      </w:r>
      <w:r w:rsidR="001B15CD">
        <w:t>.</w:t>
      </w:r>
      <w:proofErr w:type="gramEnd"/>
      <w:r w:rsidR="001B15CD">
        <w:t xml:space="preserve"> </w:t>
      </w:r>
      <w:proofErr w:type="gramStart"/>
      <w:r w:rsidR="001B15CD">
        <w:t>4.11.15 Study VX09-809-102.</w:t>
      </w:r>
      <w:proofErr w:type="gramEnd"/>
      <w:r w:rsidR="001B15CD">
        <w:t xml:space="preserve"> Absolute change fr</w:t>
      </w:r>
      <w:r>
        <w:t>om baseline at Day 21 in sweat c</w:t>
      </w:r>
      <w:r w:rsidR="001B15CD">
        <w:t>hloride (mmol/L) by ANCOVA, full analysis set (Cohort 1)</w:t>
      </w:r>
    </w:p>
    <w:p w:rsidR="001B15CD" w:rsidRPr="001B15CD" w:rsidRDefault="001B15CD" w:rsidP="001B15CD">
      <w:r>
        <w:rPr>
          <w:noProof/>
          <w:lang w:eastAsia="en-AU"/>
        </w:rPr>
        <w:drawing>
          <wp:inline distT="0" distB="0" distL="0" distR="0" wp14:anchorId="4735823A" wp14:editId="6AD1C369">
            <wp:extent cx="4901184" cy="2280412"/>
            <wp:effectExtent l="0" t="0" r="0" b="5715"/>
            <wp:docPr id="28" name="Picture 28" descr="Table 19. 4.11.15 Study VX09-809-102. Absolute change from baseline at Day 21 in sweat chloride (mmol/L) by ANCOVA, full analysis set (Coho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4898101" cy="2278978"/>
                    </a:xfrm>
                    <a:prstGeom prst="rect">
                      <a:avLst/>
                    </a:prstGeom>
                  </pic:spPr>
                </pic:pic>
              </a:graphicData>
            </a:graphic>
          </wp:inline>
        </w:drawing>
      </w:r>
    </w:p>
    <w:p w:rsidR="0000088C" w:rsidRDefault="00CB1BAD" w:rsidP="00CB1BAD">
      <w:r w:rsidRPr="00CB1BAD">
        <w:t xml:space="preserve">The percentage of subjects who were considered sweat chloride responders to LUM monotherapy or LUM in combination with IVA was higher in the active treatment groups compared to the monotherapy placebo group or combination placebo </w:t>
      </w:r>
      <w:r w:rsidRPr="00FC768B">
        <w:t xml:space="preserve">group (Table </w:t>
      </w:r>
      <w:r w:rsidR="00FC768B" w:rsidRPr="00FC768B">
        <w:t>20)</w:t>
      </w:r>
      <w:r w:rsidRPr="00FC768B">
        <w:t>.</w:t>
      </w:r>
    </w:p>
    <w:p w:rsidR="009A5DDF" w:rsidRDefault="00FC768B" w:rsidP="009A5DDF">
      <w:pPr>
        <w:pStyle w:val="Tabletitle"/>
      </w:pPr>
      <w:proofErr w:type="gramStart"/>
      <w:r>
        <w:lastRenderedPageBreak/>
        <w:t>Table 20.</w:t>
      </w:r>
      <w:proofErr w:type="gramEnd"/>
      <w:r>
        <w:t xml:space="preserve"> Study VX09-809-102. Sweat c</w:t>
      </w:r>
      <w:r w:rsidR="009A5DDF">
        <w:t>hloride responders, full analysis set (cohort 1)</w:t>
      </w:r>
    </w:p>
    <w:p w:rsidR="009A5DDF" w:rsidRPr="009A5DDF" w:rsidRDefault="009A5DDF" w:rsidP="009A5DDF">
      <w:r>
        <w:rPr>
          <w:noProof/>
          <w:lang w:eastAsia="en-AU"/>
        </w:rPr>
        <w:drawing>
          <wp:inline distT="0" distB="0" distL="0" distR="0" wp14:anchorId="0C4272E8" wp14:editId="6C3EE700">
            <wp:extent cx="5252314" cy="5641055"/>
            <wp:effectExtent l="0" t="0" r="5715" b="0"/>
            <wp:docPr id="29" name="Picture 29" descr="Table 20. Study VX09-809-102. Sweat chloride responders, full analysis set (coho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255417" cy="5644387"/>
                    </a:xfrm>
                    <a:prstGeom prst="rect">
                      <a:avLst/>
                    </a:prstGeom>
                  </pic:spPr>
                </pic:pic>
              </a:graphicData>
            </a:graphic>
          </wp:inline>
        </w:drawing>
      </w:r>
    </w:p>
    <w:p w:rsidR="00CB1BAD" w:rsidRPr="00CB1BAD" w:rsidRDefault="00CB1BAD" w:rsidP="00CB1BAD">
      <w:r w:rsidRPr="00CB1BAD">
        <w:t>In a combined population (study Cohorts 2 and 3) of subjects with CF (</w:t>
      </w:r>
      <w:r w:rsidR="00511EB7">
        <w:t>that is</w:t>
      </w:r>
      <w:r w:rsidR="006040A9">
        <w:t xml:space="preserve">; </w:t>
      </w:r>
      <w:r w:rsidRPr="00CB1BAD">
        <w:t>subjects who were homozygous and heterozygous for the F508del-CFTR mutation) who receive</w:t>
      </w:r>
      <w:r w:rsidR="006040A9">
        <w:t>d a range of LUM doses (200 mg to</w:t>
      </w:r>
      <w:r w:rsidRPr="00CB1BAD">
        <w:t xml:space="preserve"> 600 mg) in combination with 250 mg IVA q12h there were no statistically significant adjusted mean absolute changes in sweat chloride values from Day 28 at Day 56 in any active treatment group when analysed within group or in comparison to the combination placebo group</w:t>
      </w:r>
      <w:r w:rsidR="006040A9">
        <w:t>.</w:t>
      </w:r>
    </w:p>
    <w:p w:rsidR="00CB1BAD" w:rsidRDefault="009A5DDF" w:rsidP="00CB1BAD">
      <w:r>
        <w:t>Study K261</w:t>
      </w:r>
      <w:r w:rsidR="00CB1BAD" w:rsidRPr="00CB1BAD">
        <w:t xml:space="preserve"> analysed the relationship between LUM exposure and sweat chloride response following treatment with LUM alone or with LUM in combination with IVA in adult subjects with CF who were homozygous for the F508del-CFTR mutation based on the results of two </w:t>
      </w:r>
      <w:r w:rsidR="00980975">
        <w:t>Phase II</w:t>
      </w:r>
      <w:r w:rsidR="00CB1BAD" w:rsidRPr="00CB1BAD">
        <w:t xml:space="preserve"> </w:t>
      </w:r>
      <w:r w:rsidR="00980975">
        <w:t>Studies</w:t>
      </w:r>
      <w:r>
        <w:t xml:space="preserve"> (VX08-809-101 and VX09-809-10</w:t>
      </w:r>
      <w:r w:rsidRPr="009A5DDF">
        <w:t>2</w:t>
      </w:r>
      <w:r w:rsidR="004E6042" w:rsidRPr="009A5DDF">
        <w:t>)</w:t>
      </w:r>
      <w:r w:rsidR="00CB1BAD" w:rsidRPr="009A5DDF">
        <w:t>.</w:t>
      </w:r>
      <w:r w:rsidR="00CB1BAD" w:rsidRPr="00CB1BAD">
        <w:t xml:space="preserve"> The final structural model for describing sweat chloride response consisted of an </w:t>
      </w:r>
      <w:r w:rsidR="00CC3BC8" w:rsidRPr="00CB1BAD">
        <w:t>E</w:t>
      </w:r>
      <w:r w:rsidR="00CC3BC8" w:rsidRPr="00CC3BC8">
        <w:rPr>
          <w:vertAlign w:val="subscript"/>
        </w:rPr>
        <w:t>max</w:t>
      </w:r>
      <w:r w:rsidR="00CB1BAD" w:rsidRPr="00CB1BAD">
        <w:t xml:space="preserve"> model, parameterised by </w:t>
      </w:r>
      <w:r w:rsidR="00CC3BC8" w:rsidRPr="00CB1BAD">
        <w:t>E</w:t>
      </w:r>
      <w:r w:rsidR="00CC3BC8" w:rsidRPr="00CC3BC8">
        <w:rPr>
          <w:vertAlign w:val="subscript"/>
        </w:rPr>
        <w:t>max</w:t>
      </w:r>
      <w:r w:rsidR="00CB1BAD" w:rsidRPr="00CB1BAD">
        <w:t xml:space="preserve"> and EC50, and an additional term, E</w:t>
      </w:r>
      <w:r w:rsidR="00CB1BAD" w:rsidRPr="00CC3BC8">
        <w:rPr>
          <w:vertAlign w:val="subscript"/>
        </w:rPr>
        <w:t>base</w:t>
      </w:r>
      <w:r>
        <w:t xml:space="preserve">, which is the model </w:t>
      </w:r>
      <w:r w:rsidR="00CB1BAD" w:rsidRPr="00CB1BAD">
        <w:t xml:space="preserve">estimated sweat chloride baseline for each subject. The effect of the presence of IVA on sweat chloride response was statistically significant and was described best by a multiplicative term (E770m) applied to </w:t>
      </w:r>
      <w:r w:rsidR="00CC3BC8" w:rsidRPr="00CB1BAD">
        <w:t>E</w:t>
      </w:r>
      <w:r w:rsidR="00CC3BC8" w:rsidRPr="00CC3BC8">
        <w:rPr>
          <w:vertAlign w:val="subscript"/>
        </w:rPr>
        <w:t>max</w:t>
      </w:r>
      <w:r w:rsidR="00CB1BAD" w:rsidRPr="00CB1BAD">
        <w:t xml:space="preserve">. Covariate analysis uncovered a significant effect of subject weight on </w:t>
      </w:r>
      <w:r w:rsidR="00CC3BC8" w:rsidRPr="00CB1BAD">
        <w:t>E</w:t>
      </w:r>
      <w:r w:rsidR="00CC3BC8" w:rsidRPr="00CC3BC8">
        <w:rPr>
          <w:vertAlign w:val="subscript"/>
        </w:rPr>
        <w:t>max</w:t>
      </w:r>
      <w:r w:rsidR="00CB1BAD" w:rsidRPr="00CB1BAD">
        <w:t xml:space="preserve">, with </w:t>
      </w:r>
      <w:r w:rsidR="00CC3BC8" w:rsidRPr="00CB1BAD">
        <w:t>E</w:t>
      </w:r>
      <w:r w:rsidR="00CC3BC8" w:rsidRPr="00CC3BC8">
        <w:rPr>
          <w:vertAlign w:val="subscript"/>
        </w:rPr>
        <w:t>max</w:t>
      </w:r>
      <w:r w:rsidR="00CB1BAD" w:rsidRPr="00CB1BAD">
        <w:t xml:space="preserve"> decreasing with increasing </w:t>
      </w:r>
      <w:r w:rsidR="00CB1BAD" w:rsidRPr="00CB1BAD">
        <w:lastRenderedPageBreak/>
        <w:t xml:space="preserve">weight; after controlling for the effect of weight on </w:t>
      </w:r>
      <w:r w:rsidR="00CC3BC8" w:rsidRPr="00CB1BAD">
        <w:t>E</w:t>
      </w:r>
      <w:r w:rsidR="00CC3BC8" w:rsidRPr="00CC3BC8">
        <w:rPr>
          <w:vertAlign w:val="subscript"/>
        </w:rPr>
        <w:t>max</w:t>
      </w:r>
      <w:r w:rsidR="00CB1BAD" w:rsidRPr="00CB1BAD">
        <w:t>, no other significant covariate effects remained (</w:t>
      </w:r>
      <w:r w:rsidR="00FC768B">
        <w:t>Table 21</w:t>
      </w:r>
      <w:r w:rsidR="00AA188D">
        <w:t xml:space="preserve"> and </w:t>
      </w:r>
      <w:r w:rsidR="000F299E">
        <w:t>Figure 9</w:t>
      </w:r>
      <w:r w:rsidR="00CC3BC8">
        <w:t>).</w:t>
      </w:r>
    </w:p>
    <w:p w:rsidR="00AA188D" w:rsidRDefault="00FC768B" w:rsidP="00AA188D">
      <w:pPr>
        <w:pStyle w:val="Tabletitle"/>
      </w:pPr>
      <w:r>
        <w:t>Table 21</w:t>
      </w:r>
      <w:r w:rsidR="00AA188D">
        <w:t xml:space="preserve"> Study K261. Correlations between baseline covariates</w:t>
      </w:r>
    </w:p>
    <w:p w:rsidR="00AA188D" w:rsidRDefault="00AA188D" w:rsidP="00AA188D">
      <w:r>
        <w:rPr>
          <w:noProof/>
          <w:lang w:eastAsia="en-AU"/>
        </w:rPr>
        <w:drawing>
          <wp:inline distT="0" distB="0" distL="0" distR="0" wp14:anchorId="4430D818" wp14:editId="20DEFC8B">
            <wp:extent cx="5208422" cy="1456800"/>
            <wp:effectExtent l="0" t="0" r="0" b="0"/>
            <wp:docPr id="30" name="Picture 30" descr="Table 21 Study K261. Correlations between baseline covari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211930" cy="1457781"/>
                    </a:xfrm>
                    <a:prstGeom prst="rect">
                      <a:avLst/>
                    </a:prstGeom>
                  </pic:spPr>
                </pic:pic>
              </a:graphicData>
            </a:graphic>
          </wp:inline>
        </w:drawing>
      </w:r>
    </w:p>
    <w:p w:rsidR="00AA188D" w:rsidRDefault="00AA188D" w:rsidP="00AA188D">
      <w:pPr>
        <w:pStyle w:val="FigureTitle"/>
        <w:keepNext/>
      </w:pPr>
      <w:proofErr w:type="gramStart"/>
      <w:r>
        <w:t>Figure 9.</w:t>
      </w:r>
      <w:proofErr w:type="gramEnd"/>
      <w:r>
        <w:t xml:space="preserve"> Study K261. Predicted sweat chloride response in studies VX12-809-103 and VX12-809-104</w:t>
      </w:r>
    </w:p>
    <w:p w:rsidR="00AA188D" w:rsidRPr="00AA188D" w:rsidRDefault="00AA188D" w:rsidP="00AA188D">
      <w:r>
        <w:rPr>
          <w:noProof/>
          <w:lang w:eastAsia="en-AU"/>
        </w:rPr>
        <w:drawing>
          <wp:inline distT="0" distB="0" distL="0" distR="0" wp14:anchorId="258B2296" wp14:editId="65BA8FE9">
            <wp:extent cx="4955017" cy="3423514"/>
            <wp:effectExtent l="0" t="0" r="0" b="5715"/>
            <wp:docPr id="31" name="Picture 31" descr="Figure 9. Study K261. Predicted sweat chloride response in studies VX12-809-103 and VX12-809-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4951901" cy="3421361"/>
                    </a:xfrm>
                    <a:prstGeom prst="rect">
                      <a:avLst/>
                    </a:prstGeom>
                  </pic:spPr>
                </pic:pic>
              </a:graphicData>
            </a:graphic>
          </wp:inline>
        </w:drawing>
      </w:r>
    </w:p>
    <w:p w:rsidR="00CB1BAD" w:rsidRPr="00CB1BAD" w:rsidRDefault="001C171F" w:rsidP="00CC3BC8">
      <w:pPr>
        <w:pStyle w:val="Heading5"/>
      </w:pPr>
      <w:r w:rsidRPr="001C171F">
        <w:t xml:space="preserve">Primary pharmacodynamic effects; </w:t>
      </w:r>
      <w:r w:rsidR="00CC3BC8">
        <w:t>lung function</w:t>
      </w:r>
    </w:p>
    <w:p w:rsidR="00CB1BAD" w:rsidRPr="00CB1BAD" w:rsidRDefault="00CC3BC8" w:rsidP="00CC3BC8">
      <w:pPr>
        <w:pStyle w:val="Heading6"/>
      </w:pPr>
      <w:r>
        <w:t>FDC</w:t>
      </w:r>
    </w:p>
    <w:p w:rsidR="00CB1BAD" w:rsidRPr="00CB1BAD" w:rsidRDefault="00CB1BAD" w:rsidP="00CB1BAD">
      <w:r w:rsidRPr="00CB1BAD">
        <w:t>No PK/PD studies examined the effects of the FDC on lung function in the target population (homozygous subjects), whereas, following administration of the FDC (400 mg LUM q12h + 250 mg IVA q12h) to heterozygous CF subjects (</w:t>
      </w:r>
      <w:r w:rsidR="00980975">
        <w:t>Study</w:t>
      </w:r>
      <w:r w:rsidR="009A5DDF">
        <w:t xml:space="preserve"> VX09-809-102</w:t>
      </w:r>
      <w:r w:rsidRPr="00CB1BAD">
        <w:t>), there was no statistically significant LS mean absolute change from baseline at Day 56 in pp</w:t>
      </w:r>
      <w:r w:rsidR="00A8789D" w:rsidRPr="001D064D">
        <w:t>FEV</w:t>
      </w:r>
      <w:r w:rsidR="00A8789D" w:rsidRPr="00A8789D">
        <w:rPr>
          <w:vertAlign w:val="subscript"/>
        </w:rPr>
        <w:t>1</w:t>
      </w:r>
      <w:r w:rsidRPr="00CB1BAD">
        <w:t xml:space="preserve"> when analysed within-group or in comparison t</w:t>
      </w:r>
      <w:r w:rsidR="00CC3BC8">
        <w:t xml:space="preserve">o the placebo group. The within </w:t>
      </w:r>
      <w:r w:rsidRPr="00CB1BAD">
        <w:t>group LS mean chang</w:t>
      </w:r>
      <w:r w:rsidR="00CC3BC8">
        <w:t>e was -0.62 percentage points (p</w:t>
      </w:r>
      <w:r w:rsidR="00661535">
        <w:t xml:space="preserve"> </w:t>
      </w:r>
      <w:r w:rsidR="00511EB7">
        <w:t>=</w:t>
      </w:r>
      <w:r w:rsidR="00661535">
        <w:t xml:space="preserve"> </w:t>
      </w:r>
      <w:r w:rsidRPr="00CB1BAD">
        <w:t>0.4550). The LS mean treatment difference compared to the placebo gro</w:t>
      </w:r>
      <w:r w:rsidR="00CC3BC8">
        <w:t>up was 0.60 percentage points (p</w:t>
      </w:r>
      <w:r w:rsidR="00661535">
        <w:t xml:space="preserve"> </w:t>
      </w:r>
      <w:r w:rsidR="00511EB7">
        <w:t>=</w:t>
      </w:r>
      <w:r w:rsidR="00661535">
        <w:t xml:space="preserve"> </w:t>
      </w:r>
      <w:r w:rsidRPr="00CB1BAD">
        <w:t>0.5978). In addition, there was no statistically significant LS mean relative change from baseline at Day 56 in pp</w:t>
      </w:r>
      <w:r w:rsidR="00A8789D" w:rsidRPr="001D064D">
        <w:t>FEV</w:t>
      </w:r>
      <w:r w:rsidR="00A8789D" w:rsidRPr="00A8789D">
        <w:rPr>
          <w:vertAlign w:val="subscript"/>
        </w:rPr>
        <w:t>1</w:t>
      </w:r>
      <w:r w:rsidRPr="00CB1BAD">
        <w:t xml:space="preserve"> following active treatment when analysed within-group or in comparison to the placebo group. The within-group LS mean was -0.69% (</w:t>
      </w:r>
      <w:r w:rsidR="00CC3BC8">
        <w:t>p</w:t>
      </w:r>
      <w:r w:rsidR="00661535">
        <w:t xml:space="preserve"> </w:t>
      </w:r>
      <w:r w:rsidR="00511EB7">
        <w:t>=</w:t>
      </w:r>
      <w:r w:rsidR="00661535">
        <w:t xml:space="preserve"> </w:t>
      </w:r>
      <w:r w:rsidRPr="00CB1BAD">
        <w:t>0.6291). The LS mean treatment difference compared to the placebo group was 1.52% (</w:t>
      </w:r>
      <w:r w:rsidR="00CC3BC8">
        <w:t>p</w:t>
      </w:r>
      <w:r w:rsidR="00661535">
        <w:t xml:space="preserve"> </w:t>
      </w:r>
      <w:r w:rsidR="00511EB7">
        <w:t>=</w:t>
      </w:r>
      <w:r w:rsidR="00661535">
        <w:t xml:space="preserve"> </w:t>
      </w:r>
      <w:r w:rsidRPr="00CB1BAD">
        <w:t>0.4408)</w:t>
      </w:r>
      <w:r w:rsidR="00ED400A">
        <w:t>.</w:t>
      </w:r>
    </w:p>
    <w:p w:rsidR="00CB1BAD" w:rsidRPr="00CB1BAD" w:rsidRDefault="001C171F" w:rsidP="001C171F">
      <w:pPr>
        <w:pStyle w:val="Heading6"/>
      </w:pPr>
      <w:r>
        <w:lastRenderedPageBreak/>
        <w:t>Free combination</w:t>
      </w:r>
    </w:p>
    <w:p w:rsidR="00CB1BAD" w:rsidRDefault="00CB1BAD" w:rsidP="00CB1BAD">
      <w:r w:rsidRPr="00CB1BAD">
        <w:t xml:space="preserve">In the homozygous cohort in </w:t>
      </w:r>
      <w:r w:rsidR="00980975">
        <w:t>Study</w:t>
      </w:r>
      <w:r w:rsidRPr="00CB1BAD">
        <w:t xml:space="preserve"> VX09-809-102</w:t>
      </w:r>
      <w:r w:rsidRPr="00AA188D">
        <w:t>,</w:t>
      </w:r>
      <w:r w:rsidRPr="00CB1BAD">
        <w:t xml:space="preserve"> a s</w:t>
      </w:r>
      <w:r w:rsidR="001C171F">
        <w:t xml:space="preserve">tatistically significant within </w:t>
      </w:r>
      <w:r w:rsidRPr="00CB1BAD">
        <w:t xml:space="preserve">group adjusted mean absolute change from Day 14 at Day 21 in </w:t>
      </w:r>
      <w:r w:rsidR="00A8789D" w:rsidRPr="001D064D">
        <w:t>FEV</w:t>
      </w:r>
      <w:r w:rsidR="00A8789D" w:rsidRPr="00A8789D">
        <w:rPr>
          <w:vertAlign w:val="subscript"/>
        </w:rPr>
        <w:t>1</w:t>
      </w:r>
      <w:r w:rsidRPr="00CB1BAD">
        <w:t xml:space="preserve"> was identified following administration of 200 mg LUM QD + 150 mg IVA q12h group (0.128 L; </w:t>
      </w:r>
      <w:r w:rsidR="00CC3BC8">
        <w:t>p</w:t>
      </w:r>
      <w:r w:rsidR="00661535">
        <w:t xml:space="preserve"> </w:t>
      </w:r>
      <w:r w:rsidR="00511EB7">
        <w:t>=</w:t>
      </w:r>
      <w:r w:rsidR="00661535">
        <w:t xml:space="preserve"> </w:t>
      </w:r>
      <w:r w:rsidRPr="00CB1BAD">
        <w:t xml:space="preserve">0.011). When compared to the combination placebo group the mean absolute change from Day 14 at Day 21 in </w:t>
      </w:r>
      <w:r w:rsidR="00A8789D" w:rsidRPr="001D064D">
        <w:t>FEV</w:t>
      </w:r>
      <w:r w:rsidR="00A8789D" w:rsidRPr="00A8789D">
        <w:rPr>
          <w:vertAlign w:val="subscript"/>
        </w:rPr>
        <w:t>1</w:t>
      </w:r>
      <w:r w:rsidRPr="00CB1BAD">
        <w:t xml:space="preserve"> was 0.174 L (95% CI: 0.042, 0.306), which was also statistically significant (</w:t>
      </w:r>
      <w:r w:rsidR="00CC3BC8">
        <w:t>p</w:t>
      </w:r>
      <w:r w:rsidR="001C171F">
        <w:t> </w:t>
      </w:r>
      <w:r w:rsidR="00511EB7">
        <w:t>=</w:t>
      </w:r>
      <w:r w:rsidR="001C171F">
        <w:t> </w:t>
      </w:r>
      <w:r w:rsidRPr="00CB1BAD">
        <w:t>0.011) (</w:t>
      </w:r>
      <w:r w:rsidRPr="00AA188D">
        <w:t xml:space="preserve">Table </w:t>
      </w:r>
      <w:r w:rsidR="00FC768B">
        <w:t>22</w:t>
      </w:r>
      <w:r w:rsidRPr="00CB1BAD">
        <w:t>). In addition, s</w:t>
      </w:r>
      <w:r w:rsidR="001C171F">
        <w:t xml:space="preserve">tatistically significant within </w:t>
      </w:r>
      <w:r w:rsidRPr="00CB1BAD">
        <w:t>group adjusted mean absolute change from Day 14 at Day 21 in pp</w:t>
      </w:r>
      <w:r w:rsidR="00A8789D" w:rsidRPr="001D064D">
        <w:t>FEV</w:t>
      </w:r>
      <w:r w:rsidR="00A8789D" w:rsidRPr="00A8789D">
        <w:rPr>
          <w:vertAlign w:val="subscript"/>
        </w:rPr>
        <w:t>1</w:t>
      </w:r>
      <w:r w:rsidRPr="00CB1BAD">
        <w:t xml:space="preserve"> was observed for this active treatment group (3.46 percentage points; </w:t>
      </w:r>
      <w:r w:rsidR="00CC3BC8">
        <w:t>p</w:t>
      </w:r>
      <w:r w:rsidR="00661535">
        <w:t xml:space="preserve"> </w:t>
      </w:r>
      <w:r w:rsidR="00511EB7">
        <w:t>=</w:t>
      </w:r>
      <w:r w:rsidR="00661535">
        <w:t xml:space="preserve"> </w:t>
      </w:r>
      <w:r w:rsidRPr="00CB1BAD">
        <w:t xml:space="preserve">0.010). The treatment difference for the 200 mg LUM QD + 150 mg IVA q12h group compared to the combination placebo group in the mean absolute change from Day 14 at Day 21 in percent predicted </w:t>
      </w:r>
      <w:r w:rsidR="00A8789D" w:rsidRPr="001D064D">
        <w:t>FEV</w:t>
      </w:r>
      <w:r w:rsidR="00A8789D" w:rsidRPr="00A8789D">
        <w:rPr>
          <w:vertAlign w:val="subscript"/>
        </w:rPr>
        <w:t>1</w:t>
      </w:r>
      <w:r w:rsidRPr="00CB1BAD">
        <w:t xml:space="preserve"> was 4.90 percentage points (95% CI: 1.37, 8.42), which was statistically significant (</w:t>
      </w:r>
      <w:r w:rsidR="00CC3BC8">
        <w:t>p</w:t>
      </w:r>
      <w:r w:rsidR="00661535">
        <w:t xml:space="preserve"> </w:t>
      </w:r>
      <w:r w:rsidR="00511EB7">
        <w:t>=</w:t>
      </w:r>
      <w:r w:rsidR="00661535">
        <w:t xml:space="preserve"> </w:t>
      </w:r>
      <w:r w:rsidRPr="00CB1BAD">
        <w:t xml:space="preserve">0.007). By contrast, the adjusted mean absolute change from Day 14 at Day 21 in </w:t>
      </w:r>
      <w:r w:rsidR="00A8789D" w:rsidRPr="001D064D">
        <w:t>FEV</w:t>
      </w:r>
      <w:r w:rsidR="00A8789D" w:rsidRPr="00A8789D">
        <w:rPr>
          <w:vertAlign w:val="subscript"/>
        </w:rPr>
        <w:t>1</w:t>
      </w:r>
      <w:r w:rsidRPr="00CB1BAD">
        <w:t xml:space="preserve"> or pp</w:t>
      </w:r>
      <w:r w:rsidR="00A8789D" w:rsidRPr="001D064D">
        <w:t>FEV</w:t>
      </w:r>
      <w:r w:rsidR="00A8789D" w:rsidRPr="00A8789D">
        <w:rPr>
          <w:vertAlign w:val="subscript"/>
        </w:rPr>
        <w:t>1</w:t>
      </w:r>
      <w:r w:rsidRPr="00CB1BAD">
        <w:t xml:space="preserve"> for the 200 mg LUM QD + 250 mg IVA q12h group was not statistically significant when analysed within group or in comparison to</w:t>
      </w:r>
      <w:r w:rsidR="001C171F">
        <w:t xml:space="preserve"> the combination placebo group.</w:t>
      </w:r>
    </w:p>
    <w:p w:rsidR="00AA188D" w:rsidRDefault="00FC768B" w:rsidP="00AA188D">
      <w:pPr>
        <w:pStyle w:val="Tabletitle"/>
      </w:pPr>
      <w:proofErr w:type="gramStart"/>
      <w:r>
        <w:lastRenderedPageBreak/>
        <w:t>Table 22.</w:t>
      </w:r>
      <w:proofErr w:type="gramEnd"/>
      <w:r w:rsidR="00AA188D">
        <w:t xml:space="preserve"> Study VX09-809-102 Absolute change in </w:t>
      </w:r>
      <w:r w:rsidR="00A8789D" w:rsidRPr="001D064D">
        <w:t>FEV</w:t>
      </w:r>
      <w:r w:rsidR="00A8789D" w:rsidRPr="00A8789D">
        <w:rPr>
          <w:vertAlign w:val="subscript"/>
        </w:rPr>
        <w:t>1</w:t>
      </w:r>
      <w:r w:rsidR="00AA188D">
        <w:t xml:space="preserve"> and percent predicted </w:t>
      </w:r>
      <w:r w:rsidR="00A8789D" w:rsidRPr="001D064D">
        <w:t>FEV</w:t>
      </w:r>
      <w:r w:rsidR="00A8789D" w:rsidRPr="00A8789D">
        <w:rPr>
          <w:vertAlign w:val="subscript"/>
        </w:rPr>
        <w:t>1</w:t>
      </w:r>
      <w:r w:rsidR="00AA188D">
        <w:t xml:space="preserve"> by ANCOVA, Full analysis set (cohort 1)</w:t>
      </w:r>
    </w:p>
    <w:p w:rsidR="00AA188D" w:rsidRPr="00AA188D" w:rsidRDefault="00AA188D" w:rsidP="00ED400A">
      <w:r>
        <w:rPr>
          <w:noProof/>
          <w:lang w:eastAsia="en-AU"/>
        </w:rPr>
        <w:drawing>
          <wp:inline distT="0" distB="0" distL="0" distR="0" wp14:anchorId="397BCA98" wp14:editId="5D17F126">
            <wp:extent cx="5181600" cy="7077075"/>
            <wp:effectExtent l="0" t="0" r="0" b="9525"/>
            <wp:docPr id="32" name="Picture 32" descr="Table 22. Study VX09-809-102 Absolute change in FEV1 and percent predicted FEV1 by ANCOVA, Full analysis set (coho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181600" cy="7077075"/>
                    </a:xfrm>
                    <a:prstGeom prst="rect">
                      <a:avLst/>
                    </a:prstGeom>
                  </pic:spPr>
                </pic:pic>
              </a:graphicData>
            </a:graphic>
          </wp:inline>
        </w:drawing>
      </w:r>
    </w:p>
    <w:p w:rsidR="00CB1BAD" w:rsidRPr="00CB1BAD" w:rsidRDefault="001C171F" w:rsidP="00CB1BAD">
      <w:r>
        <w:t xml:space="preserve">The within </w:t>
      </w:r>
      <w:r w:rsidR="00CB1BAD" w:rsidRPr="00CB1BAD">
        <w:t xml:space="preserve">group adjusted mean absolute change from baseline at Day 21 (for entire treatment </w:t>
      </w:r>
      <w:proofErr w:type="gramStart"/>
      <w:r w:rsidR="00CB1BAD" w:rsidRPr="00CB1BAD">
        <w:t>period</w:t>
      </w:r>
      <w:proofErr w:type="gramEnd"/>
      <w:r w:rsidR="00CB1BAD" w:rsidRPr="00CB1BAD">
        <w:t xml:space="preserve">) in </w:t>
      </w:r>
      <w:r w:rsidR="00A8789D" w:rsidRPr="001D064D">
        <w:t>FEV</w:t>
      </w:r>
      <w:r w:rsidR="00A8789D" w:rsidRPr="00A8789D">
        <w:rPr>
          <w:vertAlign w:val="subscript"/>
        </w:rPr>
        <w:t>1</w:t>
      </w:r>
      <w:r w:rsidR="00CB1BAD" w:rsidRPr="00CB1BAD">
        <w:t xml:space="preserve"> was 0.113 L for in the 200 mg LUM QD + 150 mg IVA q12h group (</w:t>
      </w:r>
      <w:r w:rsidR="00CC3BC8">
        <w:t>p</w:t>
      </w:r>
      <w:r w:rsidR="00661535">
        <w:t xml:space="preserve"> </w:t>
      </w:r>
      <w:r w:rsidR="00511EB7">
        <w:t>=</w:t>
      </w:r>
      <w:r w:rsidR="00661535">
        <w:t xml:space="preserve"> </w:t>
      </w:r>
      <w:r w:rsidR="00CB1BAD" w:rsidRPr="00CB1BAD">
        <w:t>0.050); however, the treatment difference for this active group compared to the combination placebo group was not statistically significant. Similarly, a s</w:t>
      </w:r>
      <w:r>
        <w:t xml:space="preserve">tatistically significant within </w:t>
      </w:r>
      <w:r w:rsidR="00CB1BAD" w:rsidRPr="00CB1BAD">
        <w:t>group adjusted mean absolute change from baseline at Day 21 (entire treatment period) in pp</w:t>
      </w:r>
      <w:r w:rsidR="00A8789D" w:rsidRPr="001D064D">
        <w:t>FEV</w:t>
      </w:r>
      <w:r w:rsidR="00A8789D" w:rsidRPr="00A8789D">
        <w:rPr>
          <w:vertAlign w:val="subscript"/>
        </w:rPr>
        <w:t>1</w:t>
      </w:r>
      <w:r w:rsidR="00CB1BAD" w:rsidRPr="00CB1BAD">
        <w:t xml:space="preserve"> was observed for subjects administered 200 mg LUM QD + 150 mg IVA q12h group (3.08 percentage </w:t>
      </w:r>
      <w:r w:rsidR="00CB1BAD" w:rsidRPr="00CB1BAD">
        <w:lastRenderedPageBreak/>
        <w:t xml:space="preserve">points; </w:t>
      </w:r>
      <w:r w:rsidR="00CC3BC8">
        <w:t>p</w:t>
      </w:r>
      <w:r w:rsidR="00661535">
        <w:t xml:space="preserve"> </w:t>
      </w:r>
      <w:r w:rsidR="00511EB7">
        <w:t>=</w:t>
      </w:r>
      <w:r w:rsidR="00661535">
        <w:t xml:space="preserve"> </w:t>
      </w:r>
      <w:r w:rsidR="00CB1BAD" w:rsidRPr="00CB1BAD">
        <w:t>0.047), whereas, the treatment difference for the 200 mg LUM QD + 150 mg IVA q12h group compared to the combination placebo group was</w:t>
      </w:r>
      <w:r>
        <w:t xml:space="preserve"> not statistically significant.</w:t>
      </w:r>
    </w:p>
    <w:p w:rsidR="00CB1BAD" w:rsidRPr="00CB1BAD" w:rsidRDefault="00CB1BAD" w:rsidP="00CB1BAD">
      <w:r w:rsidRPr="00CB1BAD">
        <w:t xml:space="preserve">The percentage of subjects who were considered </w:t>
      </w:r>
      <w:r w:rsidR="00A8789D" w:rsidRPr="001D064D">
        <w:t>FEV</w:t>
      </w:r>
      <w:r w:rsidR="00A8789D" w:rsidRPr="00A8789D">
        <w:rPr>
          <w:vertAlign w:val="subscript"/>
        </w:rPr>
        <w:t>1</w:t>
      </w:r>
      <w:r w:rsidRPr="00CB1BAD">
        <w:t xml:space="preserve"> responders to LUM monotherapy was similar between the active treatment group and the monotherapy placebo group. The percentage of subjects who were considered </w:t>
      </w:r>
      <w:r w:rsidR="00A8789D" w:rsidRPr="001D064D">
        <w:t>FEV</w:t>
      </w:r>
      <w:r w:rsidR="00A8789D" w:rsidRPr="00A8789D">
        <w:rPr>
          <w:vertAlign w:val="subscript"/>
        </w:rPr>
        <w:t>1</w:t>
      </w:r>
      <w:r w:rsidRPr="00CB1BAD">
        <w:t xml:space="preserve"> responders to LUM in combination with IVA was higher in the active treatment group compared to</w:t>
      </w:r>
      <w:r w:rsidR="001C171F">
        <w:t xml:space="preserve"> the combination placebo group.</w:t>
      </w:r>
    </w:p>
    <w:p w:rsidR="00CB1BAD" w:rsidRPr="00CB1BAD" w:rsidRDefault="00CB1BAD" w:rsidP="00CB1BAD">
      <w:r w:rsidRPr="00CB1BAD">
        <w:t>In the pooled analysis of Cohorts 2 and 3, a s</w:t>
      </w:r>
      <w:r w:rsidR="001C171F">
        <w:t xml:space="preserve">tatistically significant within </w:t>
      </w:r>
      <w:r w:rsidRPr="00CB1BAD">
        <w:t>group adjusted mean relative change from Day 28 at Day 56 in p</w:t>
      </w:r>
      <w:r w:rsidR="00EA198A">
        <w:t xml:space="preserve">ercent </w:t>
      </w:r>
      <w:r w:rsidRPr="00CB1BAD">
        <w:t>p</w:t>
      </w:r>
      <w:r w:rsidR="00EA198A">
        <w:t>redicted</w:t>
      </w:r>
      <w:r w:rsidRPr="00CB1BAD">
        <w:t xml:space="preserve"> </w:t>
      </w:r>
      <w:r w:rsidR="00A8789D" w:rsidRPr="001D064D">
        <w:t>FEV</w:t>
      </w:r>
      <w:r w:rsidR="00A8789D" w:rsidRPr="00A8789D">
        <w:rPr>
          <w:vertAlign w:val="subscript"/>
        </w:rPr>
        <w:t>1</w:t>
      </w:r>
      <w:r w:rsidRPr="00CB1BAD">
        <w:t xml:space="preserve"> was observed in the 600 mg LUM QD + 250 mg IVA q12h homozygous group (9.70%, </w:t>
      </w:r>
      <w:r w:rsidR="00CC3BC8">
        <w:t>p</w:t>
      </w:r>
      <w:r w:rsidR="001C171F">
        <w:t xml:space="preserve"> </w:t>
      </w:r>
      <w:r w:rsidR="00511EB7">
        <w:t xml:space="preserve">&lt; </w:t>
      </w:r>
      <w:r w:rsidRPr="00CB1BAD">
        <w:t xml:space="preserve">0.001) and the 400 mg LUM q12h + 250 mg IVA q12h homozygous group (8.24%, </w:t>
      </w:r>
      <w:r w:rsidR="00CC3BC8">
        <w:t>p</w:t>
      </w:r>
      <w:r w:rsidR="00661535">
        <w:t xml:space="preserve"> </w:t>
      </w:r>
      <w:r w:rsidR="00511EB7">
        <w:t>=</w:t>
      </w:r>
      <w:r w:rsidR="00661535">
        <w:t xml:space="preserve"> </w:t>
      </w:r>
      <w:r w:rsidRPr="00CB1BAD">
        <w:t xml:space="preserve">0.012). When compared to the pooled combination placebo group, the treatment difference in the mean relative change from Day 28 at Day 56 was 11.75% (95% CI: 5.49, 18.01; </w:t>
      </w:r>
      <w:r w:rsidR="001C171F">
        <w:t>p &lt;</w:t>
      </w:r>
      <w:r w:rsidR="00511EB7">
        <w:t xml:space="preserve"> </w:t>
      </w:r>
      <w:r w:rsidRPr="00CB1BAD">
        <w:t xml:space="preserve">0.001) for the 600 mg LUM QD + 250 mg IVA q12h homozygous group, and 10.29% (95% CI: 2.53, 18.05; </w:t>
      </w:r>
      <w:r w:rsidR="00CC3BC8">
        <w:t>p</w:t>
      </w:r>
      <w:r w:rsidR="00661535">
        <w:t xml:space="preserve"> </w:t>
      </w:r>
      <w:r w:rsidR="00511EB7">
        <w:t>=</w:t>
      </w:r>
      <w:r w:rsidR="00661535">
        <w:t xml:space="preserve"> </w:t>
      </w:r>
      <w:r w:rsidRPr="00CB1BAD">
        <w:t>0.010) for the 400 mg LUM q12h + 25</w:t>
      </w:r>
      <w:r w:rsidR="001C171F">
        <w:t>0 mg IVA q12h homozygous group.</w:t>
      </w:r>
    </w:p>
    <w:p w:rsidR="00CB1BAD" w:rsidRDefault="00CB1BAD" w:rsidP="00CB1BAD">
      <w:r w:rsidRPr="00CB1BAD">
        <w:t>A s</w:t>
      </w:r>
      <w:r w:rsidR="00EA198A">
        <w:t>tatistically significant within</w:t>
      </w:r>
      <w:r w:rsidR="00D13AF6">
        <w:t xml:space="preserve"> </w:t>
      </w:r>
      <w:r w:rsidRPr="00CB1BAD">
        <w:t xml:space="preserve">group adjusted mean absolute change from baseline at Day 56 (entire treatment period) in percent predicted </w:t>
      </w:r>
      <w:r w:rsidR="00A8789D" w:rsidRPr="001D064D">
        <w:t>FEV</w:t>
      </w:r>
      <w:r w:rsidR="00A8789D" w:rsidRPr="00A8789D">
        <w:rPr>
          <w:vertAlign w:val="subscript"/>
        </w:rPr>
        <w:t>1</w:t>
      </w:r>
      <w:r w:rsidRPr="00CB1BAD">
        <w:t xml:space="preserve"> was observed in the 600 mg LUM QD + 250 mg IVA q12h homozygous group (3.59 percentage points, </w:t>
      </w:r>
      <w:r w:rsidR="00CC3BC8">
        <w:t>p</w:t>
      </w:r>
      <w:r w:rsidR="00661535">
        <w:t xml:space="preserve"> </w:t>
      </w:r>
      <w:r w:rsidR="00511EB7">
        <w:t>=</w:t>
      </w:r>
      <w:r w:rsidR="00661535">
        <w:t xml:space="preserve"> </w:t>
      </w:r>
      <w:r w:rsidRPr="00CB1BAD">
        <w:t>0.027) (</w:t>
      </w:r>
      <w:r w:rsidRPr="0087197C">
        <w:t xml:space="preserve">Table </w:t>
      </w:r>
      <w:r w:rsidR="0087197C" w:rsidRPr="0087197C">
        <w:t>23</w:t>
      </w:r>
      <w:r w:rsidRPr="0087197C">
        <w:t>).</w:t>
      </w:r>
      <w:r w:rsidRPr="00CB1BAD">
        <w:t xml:space="preserve"> The treatment difference for this active treatment group compared to the pooled combination placebo group in the mean absolute change from baseline at Day 56 was 5.61% (95% CI: 1.21, 10.01; </w:t>
      </w:r>
      <w:r w:rsidR="00CC3BC8">
        <w:t>p</w:t>
      </w:r>
      <w:r w:rsidR="00661535">
        <w:t xml:space="preserve"> </w:t>
      </w:r>
      <w:r w:rsidR="00511EB7">
        <w:t>=</w:t>
      </w:r>
      <w:r w:rsidR="00661535">
        <w:t xml:space="preserve"> </w:t>
      </w:r>
      <w:r w:rsidR="001C171F">
        <w:t>0.013).</w:t>
      </w:r>
    </w:p>
    <w:p w:rsidR="00EA198A" w:rsidRDefault="0087197C" w:rsidP="00EA198A">
      <w:pPr>
        <w:pStyle w:val="Tabletitle"/>
      </w:pPr>
      <w:proofErr w:type="gramStart"/>
      <w:r>
        <w:lastRenderedPageBreak/>
        <w:t>Table 23</w:t>
      </w:r>
      <w:r w:rsidR="00EA198A">
        <w:t>.</w:t>
      </w:r>
      <w:proofErr w:type="gramEnd"/>
      <w:r w:rsidR="00EA198A">
        <w:t xml:space="preserve"> Study VX09-809-102. Absolute change in percent predicted </w:t>
      </w:r>
      <w:r w:rsidR="00A8789D" w:rsidRPr="001D064D">
        <w:t>FEV</w:t>
      </w:r>
      <w:r w:rsidR="00A8789D" w:rsidRPr="00A8789D">
        <w:rPr>
          <w:vertAlign w:val="subscript"/>
        </w:rPr>
        <w:t>1</w:t>
      </w:r>
      <w:r w:rsidR="00EA198A">
        <w:t xml:space="preserve"> by ANCOVA, full analysis set (Cohort 2 and Cohort 3 pooled)</w:t>
      </w:r>
    </w:p>
    <w:p w:rsidR="00EA198A" w:rsidRPr="00EA198A" w:rsidRDefault="00EA198A" w:rsidP="00EA198A">
      <w:r>
        <w:rPr>
          <w:noProof/>
          <w:lang w:eastAsia="en-AU"/>
        </w:rPr>
        <w:drawing>
          <wp:inline distT="0" distB="0" distL="0" distR="0" wp14:anchorId="1C0CD8F1" wp14:editId="33EB4548">
            <wp:extent cx="5076825" cy="4962525"/>
            <wp:effectExtent l="0" t="0" r="9525" b="9525"/>
            <wp:docPr id="33" name="Picture 33" descr="Table 23. Study VX09-809-102. Absolute change in percent predicted FEV1 by ANCOVA, full analysis set (Cohort 2 and Cohort 3 poo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076825" cy="4962525"/>
                    </a:xfrm>
                    <a:prstGeom prst="rect">
                      <a:avLst/>
                    </a:prstGeom>
                  </pic:spPr>
                </pic:pic>
              </a:graphicData>
            </a:graphic>
          </wp:inline>
        </w:drawing>
      </w:r>
    </w:p>
    <w:p w:rsidR="00CB1BAD" w:rsidRPr="00CB1BAD" w:rsidRDefault="00CB1BAD" w:rsidP="00CB1BAD">
      <w:r w:rsidRPr="00CB1BAD">
        <w:t>Similarly, a s</w:t>
      </w:r>
      <w:r w:rsidR="001C171F">
        <w:t xml:space="preserve">tatistically significant within </w:t>
      </w:r>
      <w:r w:rsidRPr="00CB1BAD">
        <w:t>group adjusted mean relative change from baseline at Day 56 (entire treatment period) in pp</w:t>
      </w:r>
      <w:r w:rsidR="00A8789D" w:rsidRPr="001D064D">
        <w:t>FEV</w:t>
      </w:r>
      <w:r w:rsidR="00A8789D" w:rsidRPr="00A8789D">
        <w:rPr>
          <w:vertAlign w:val="subscript"/>
        </w:rPr>
        <w:t>1</w:t>
      </w:r>
      <w:r w:rsidRPr="00CB1BAD">
        <w:t xml:space="preserve"> was also observed for the 600 mg LUM QD + 250 mg IVA q12h homozygous group (5.55%, </w:t>
      </w:r>
      <w:r w:rsidR="00CC3BC8">
        <w:t>p</w:t>
      </w:r>
      <w:r w:rsidR="00661535">
        <w:t xml:space="preserve"> </w:t>
      </w:r>
      <w:r w:rsidR="00511EB7">
        <w:t>=</w:t>
      </w:r>
      <w:r w:rsidR="00661535">
        <w:t xml:space="preserve"> </w:t>
      </w:r>
      <w:r w:rsidRPr="00CB1BAD">
        <w:t xml:space="preserve">0.025) </w:t>
      </w:r>
      <w:r w:rsidR="001C171F">
        <w:t xml:space="preserve">and the treatment </w:t>
      </w:r>
      <w:r w:rsidRPr="00CB1BAD">
        <w:t xml:space="preserve">difference compared to the pooled combination placebo group in the mean relative change from baseline at Day 56 was 7.96% (95% CI: 1.27, 14.66; </w:t>
      </w:r>
      <w:r w:rsidR="00CC3BC8">
        <w:t>p</w:t>
      </w:r>
      <w:r w:rsidR="00661535">
        <w:t xml:space="preserve"> </w:t>
      </w:r>
      <w:r w:rsidR="00511EB7">
        <w:t>=</w:t>
      </w:r>
      <w:r w:rsidR="00661535">
        <w:t xml:space="preserve"> </w:t>
      </w:r>
      <w:r w:rsidR="001C171F">
        <w:t>0.020).</w:t>
      </w:r>
    </w:p>
    <w:p w:rsidR="0000088C" w:rsidRDefault="00CB1BAD" w:rsidP="00CB1BAD">
      <w:r w:rsidRPr="00CB1BAD">
        <w:t xml:space="preserve">The percentage of subjects who were considered percent predicted </w:t>
      </w:r>
      <w:r w:rsidR="00A8789D" w:rsidRPr="001D064D">
        <w:t>FEV</w:t>
      </w:r>
      <w:r w:rsidR="00A8789D" w:rsidRPr="00A8789D">
        <w:rPr>
          <w:vertAlign w:val="subscript"/>
        </w:rPr>
        <w:t>1</w:t>
      </w:r>
      <w:r w:rsidRPr="00CB1BAD">
        <w:t xml:space="preserve"> responders to LUM monotherapy was generally low </w:t>
      </w:r>
      <w:r w:rsidRPr="0087197C">
        <w:t xml:space="preserve">(Table </w:t>
      </w:r>
      <w:r w:rsidR="0087197C" w:rsidRPr="0087197C">
        <w:t>24</w:t>
      </w:r>
      <w:r w:rsidRPr="0087197C">
        <w:t>). The</w:t>
      </w:r>
      <w:r w:rsidRPr="00CB1BAD">
        <w:t xml:space="preserve"> percentage of subjects who were considered pp</w:t>
      </w:r>
      <w:r w:rsidR="00A8789D" w:rsidRPr="001D064D">
        <w:t>FEV</w:t>
      </w:r>
      <w:r w:rsidR="00A8789D" w:rsidRPr="00A8789D">
        <w:rPr>
          <w:vertAlign w:val="subscript"/>
        </w:rPr>
        <w:t>1</w:t>
      </w:r>
      <w:r w:rsidRPr="00CB1BAD">
        <w:t xml:space="preserve"> responders to LUM in combination with IVA was the highest in the 400 mg LUM q12h + 250 mg IVA q12h homozygous group and the 600 mg LUM QD + 250 mg IVA q12h pooled group.</w:t>
      </w:r>
    </w:p>
    <w:p w:rsidR="00EA198A" w:rsidRDefault="0087197C" w:rsidP="00EA198A">
      <w:pPr>
        <w:pStyle w:val="Tabletitle"/>
      </w:pPr>
      <w:proofErr w:type="gramStart"/>
      <w:r>
        <w:lastRenderedPageBreak/>
        <w:t>Table 24.</w:t>
      </w:r>
      <w:proofErr w:type="gramEnd"/>
      <w:r w:rsidR="00EA198A">
        <w:t xml:space="preserve"> Study VX09-809-102. </w:t>
      </w:r>
      <w:r w:rsidR="008C329B">
        <w:t>Percent</w:t>
      </w:r>
      <w:r w:rsidR="00EA198A">
        <w:t xml:space="preserve"> predicted </w:t>
      </w:r>
      <w:r w:rsidR="00A8789D" w:rsidRPr="001D064D">
        <w:t>FEV</w:t>
      </w:r>
      <w:r w:rsidR="00A8789D" w:rsidRPr="00A8789D">
        <w:rPr>
          <w:vertAlign w:val="subscript"/>
        </w:rPr>
        <w:t>1</w:t>
      </w:r>
      <w:r>
        <w:t xml:space="preserve"> responders, full analysis</w:t>
      </w:r>
      <w:r w:rsidR="00EA198A">
        <w:t xml:space="preserve"> set (Cohort 2 and Cohort 3 pooled)</w:t>
      </w:r>
    </w:p>
    <w:p w:rsidR="008C329B" w:rsidRPr="008C329B" w:rsidRDefault="008C329B" w:rsidP="008C329B">
      <w:r>
        <w:rPr>
          <w:noProof/>
          <w:lang w:eastAsia="en-AU"/>
        </w:rPr>
        <w:drawing>
          <wp:inline distT="0" distB="0" distL="0" distR="0" wp14:anchorId="63CDA9AE" wp14:editId="63F35FD6">
            <wp:extent cx="4810125" cy="5848350"/>
            <wp:effectExtent l="0" t="0" r="9525" b="0"/>
            <wp:docPr id="34" name="Picture 34" descr="Table 24. Study VX09-809-102. Percent predicted FEV1 responders, full analysis set (Cohort 2 and Cohort 3 poo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810125" cy="5848350"/>
                    </a:xfrm>
                    <a:prstGeom prst="rect">
                      <a:avLst/>
                    </a:prstGeom>
                  </pic:spPr>
                </pic:pic>
              </a:graphicData>
            </a:graphic>
          </wp:inline>
        </w:drawing>
      </w:r>
    </w:p>
    <w:p w:rsidR="00CB1BAD" w:rsidRPr="00CB1BAD" w:rsidRDefault="001C171F" w:rsidP="001C171F">
      <w:pPr>
        <w:pStyle w:val="Heading6"/>
      </w:pPr>
      <w:r>
        <w:t>LUM alone</w:t>
      </w:r>
    </w:p>
    <w:p w:rsidR="00CB1BAD" w:rsidRPr="00CB1BAD" w:rsidRDefault="00CB1BAD" w:rsidP="00CB1BAD">
      <w:r w:rsidRPr="00CB1BAD">
        <w:t xml:space="preserve">In </w:t>
      </w:r>
      <w:r w:rsidR="00980975">
        <w:t>Study</w:t>
      </w:r>
      <w:r w:rsidRPr="00CB1BAD">
        <w:t xml:space="preserve"> VX08-809-101, an ANCOVA analysis of change and percent change from baseline to Day 28 in </w:t>
      </w:r>
      <w:r w:rsidR="00A8789D" w:rsidRPr="001D064D">
        <w:t>FEV</w:t>
      </w:r>
      <w:r w:rsidR="00A8789D" w:rsidRPr="00A8789D">
        <w:rPr>
          <w:vertAlign w:val="subscript"/>
        </w:rPr>
        <w:t>1</w:t>
      </w:r>
      <w:r w:rsidRPr="00CB1BAD">
        <w:t xml:space="preserve"> did not identify statistically significant results for either change from baseline, percent change from baseline, or difference between treatment and placebo for any LUM treatment group. Results of the repeated measures analyses of both mean change and mean percent change were almost identical to the ANCOVA analyses. The percentage of subjects classified as responders to treatment (having a 10% or greater increase in </w:t>
      </w:r>
      <w:r w:rsidR="00A8789D" w:rsidRPr="001D064D">
        <w:t>FEV</w:t>
      </w:r>
      <w:r w:rsidR="00A8789D" w:rsidRPr="00A8789D">
        <w:rPr>
          <w:vertAlign w:val="subscript"/>
        </w:rPr>
        <w:t>1</w:t>
      </w:r>
      <w:r w:rsidRPr="00CB1BAD">
        <w:t xml:space="preserve">) included 1 subject (5.9%) in the placebo group, 1 subject each in the 25 mg and 100 mg LUM groups (5.9% and 6.3% respectively), and 2 subjects each in the 50 mg and 200 mg groups </w:t>
      </w:r>
      <w:r w:rsidR="001C171F">
        <w:t>(11.8% and 11.1% respectively).</w:t>
      </w:r>
    </w:p>
    <w:p w:rsidR="00CB1BAD" w:rsidRPr="00CB1BAD" w:rsidRDefault="001C171F" w:rsidP="001C171F">
      <w:pPr>
        <w:pStyle w:val="Heading6"/>
      </w:pPr>
      <w:r>
        <w:t>PopPK</w:t>
      </w:r>
    </w:p>
    <w:p w:rsidR="00CB1BAD" w:rsidRPr="00CB1BAD" w:rsidRDefault="00CB1BAD" w:rsidP="00CB1BAD">
      <w:r w:rsidRPr="00CB1BAD">
        <w:t xml:space="preserve">The exposure-response analysis of LUM and IVA in subjects with cystic fibrosis undertaken in </w:t>
      </w:r>
      <w:r w:rsidR="00980975">
        <w:t>Study</w:t>
      </w:r>
      <w:r w:rsidR="003E343E">
        <w:t xml:space="preserve"> K050</w:t>
      </w:r>
      <w:r w:rsidRPr="00CB1BAD">
        <w:t xml:space="preserve"> identified that the effects of LUM on pp</w:t>
      </w:r>
      <w:r w:rsidR="00A8789D" w:rsidRPr="001D064D">
        <w:t>FEV</w:t>
      </w:r>
      <w:r w:rsidR="00A8789D" w:rsidRPr="00A8789D">
        <w:rPr>
          <w:vertAlign w:val="subscript"/>
        </w:rPr>
        <w:t>1</w:t>
      </w:r>
      <w:r w:rsidRPr="00CB1BAD">
        <w:t xml:space="preserve"> could be described using two different </w:t>
      </w:r>
      <w:r w:rsidRPr="00CB1BAD">
        <w:lastRenderedPageBreak/>
        <w:t xml:space="preserve">exposure metrics: predicted </w:t>
      </w:r>
      <w:r w:rsidR="00511EB7" w:rsidRPr="002227DB">
        <w:t>AUC</w:t>
      </w:r>
      <w:r w:rsidR="00511EB7" w:rsidRPr="00511EB7">
        <w:rPr>
          <w:vertAlign w:val="subscript"/>
        </w:rPr>
        <w:t>0-24</w:t>
      </w:r>
      <w:r w:rsidRPr="00CB1BAD">
        <w:t xml:space="preserve"> and observed trough concentrations </w:t>
      </w:r>
      <w:r w:rsidR="00511EB7" w:rsidRPr="002227DB">
        <w:t>C</w:t>
      </w:r>
      <w:r w:rsidR="00511EB7" w:rsidRPr="00511EB7">
        <w:rPr>
          <w:vertAlign w:val="subscript"/>
        </w:rPr>
        <w:t>min</w:t>
      </w:r>
      <w:r w:rsidRPr="00CB1BAD">
        <w:t>. The final model was a linear model, which incorporated a linear slope for drug</w:t>
      </w:r>
      <w:r w:rsidR="003E343E">
        <w:t xml:space="preserve"> effects with no placebo model.</w:t>
      </w:r>
    </w:p>
    <w:p w:rsidR="00CB1BAD" w:rsidRPr="00CB1BAD" w:rsidRDefault="001C171F" w:rsidP="001C171F">
      <w:pPr>
        <w:pStyle w:val="Heading5"/>
      </w:pPr>
      <w:r w:rsidRPr="001C171F">
        <w:t xml:space="preserve">Primary pharmacodynamic effects; </w:t>
      </w:r>
      <w:r>
        <w:t>CFQ-R</w:t>
      </w:r>
    </w:p>
    <w:p w:rsidR="00CB1BAD" w:rsidRPr="00CB1BAD" w:rsidRDefault="001C171F" w:rsidP="001C171F">
      <w:pPr>
        <w:pStyle w:val="Heading6"/>
      </w:pPr>
      <w:r>
        <w:t>FDC</w:t>
      </w:r>
    </w:p>
    <w:p w:rsidR="00CB1BAD" w:rsidRPr="00CB1BAD" w:rsidRDefault="00CB1BAD" w:rsidP="00CB1BAD">
      <w:r w:rsidRPr="00CB1BAD">
        <w:t xml:space="preserve">In Cohort 4 of </w:t>
      </w:r>
      <w:r w:rsidR="00980975">
        <w:t>Study</w:t>
      </w:r>
      <w:r w:rsidRPr="00CB1BAD">
        <w:t xml:space="preserve"> VX09-809-102, a nominally significant improvement in CFQ-R respiratory domain score was observed in the 400 mg LUM q12h + 250 mg IVA q12h </w:t>
      </w:r>
      <w:r w:rsidR="003E343E">
        <w:t xml:space="preserve">group when analysed as a within </w:t>
      </w:r>
      <w:r w:rsidRPr="00CB1BAD">
        <w:t xml:space="preserve">group LS mean change (5.66 points; </w:t>
      </w:r>
      <w:r w:rsidR="00CC3BC8">
        <w:t>p</w:t>
      </w:r>
      <w:r w:rsidR="00661535">
        <w:t xml:space="preserve"> </w:t>
      </w:r>
      <w:r w:rsidR="00511EB7">
        <w:t>=</w:t>
      </w:r>
      <w:r w:rsidR="00661535">
        <w:t xml:space="preserve"> </w:t>
      </w:r>
      <w:r w:rsidRPr="00CB1BAD">
        <w:t xml:space="preserve">0.0030) and as the treatment difference in comparison to the placebo group (6.48 points; </w:t>
      </w:r>
      <w:r w:rsidR="00CC3BC8">
        <w:t>p</w:t>
      </w:r>
      <w:r w:rsidR="00661535">
        <w:t xml:space="preserve"> </w:t>
      </w:r>
      <w:r w:rsidR="00511EB7">
        <w:t>=</w:t>
      </w:r>
      <w:r w:rsidR="00661535">
        <w:t xml:space="preserve"> </w:t>
      </w:r>
      <w:r w:rsidRPr="00CB1BAD">
        <w:t>0.0131). This endpoint was not considered statistically significant within the fram</w:t>
      </w:r>
      <w:r w:rsidR="001C171F">
        <w:t>ework of the testing hierarchy.</w:t>
      </w:r>
    </w:p>
    <w:p w:rsidR="00CB1BAD" w:rsidRPr="00CB1BAD" w:rsidRDefault="001C171F" w:rsidP="001C171F">
      <w:pPr>
        <w:pStyle w:val="Heading6"/>
      </w:pPr>
      <w:r>
        <w:t>Free combination</w:t>
      </w:r>
    </w:p>
    <w:p w:rsidR="00CB1BAD" w:rsidRPr="00CB1BAD" w:rsidRDefault="00CB1BAD" w:rsidP="00CB1BAD">
      <w:r w:rsidRPr="00CB1BAD">
        <w:t>Based on the pooled data from Cohorts 2 and 3 (</w:t>
      </w:r>
      <w:r w:rsidR="00980975">
        <w:t>Study</w:t>
      </w:r>
      <w:r w:rsidR="003E343E">
        <w:t xml:space="preserve"> VX09-809-102)</w:t>
      </w:r>
      <w:r w:rsidRPr="00CB1BAD">
        <w:t xml:space="preserve"> no meaningful correlation between clinical outcomes and biomarker outcomes, between clinical</w:t>
      </w:r>
      <w:r>
        <w:t xml:space="preserve"> </w:t>
      </w:r>
      <w:r w:rsidRPr="00CB1BAD">
        <w:t>outcomes and CFQ-R outcomes, and between biomarker outcomes an</w:t>
      </w:r>
      <w:r w:rsidR="001C171F">
        <w:t>d CFQ-R outcomes were observed.</w:t>
      </w:r>
    </w:p>
    <w:p w:rsidR="00661279" w:rsidRPr="00661279" w:rsidRDefault="001C171F" w:rsidP="001C171F">
      <w:pPr>
        <w:pStyle w:val="Heading6"/>
      </w:pPr>
      <w:r>
        <w:t>LUM alone</w:t>
      </w:r>
    </w:p>
    <w:p w:rsidR="00CB1BAD" w:rsidRPr="00CB1BAD" w:rsidRDefault="00CB1BAD" w:rsidP="00CB1BAD">
      <w:r w:rsidRPr="00CB1BAD">
        <w:t>For the CFQ-R results, at Day 28, the mean change in respiratory domain score in the placeb</w:t>
      </w:r>
      <w:r w:rsidR="001C171F">
        <w:t>o group was +4.5; in the LUM 25, 50, 100</w:t>
      </w:r>
      <w:r w:rsidRPr="00CB1BAD">
        <w:t xml:space="preserve"> and 200 mg treatment</w:t>
      </w:r>
      <w:r w:rsidR="001C171F">
        <w:t xml:space="preserve"> groups, the mean changes were </w:t>
      </w:r>
      <w:r w:rsidR="001C171F">
        <w:noBreakHyphen/>
        <w:t xml:space="preserve">5.2, </w:t>
      </w:r>
      <w:r w:rsidR="001C171F">
        <w:noBreakHyphen/>
        <w:t xml:space="preserve">6.3, </w:t>
      </w:r>
      <w:r w:rsidR="001C171F">
        <w:noBreakHyphen/>
      </w:r>
      <w:r w:rsidRPr="00CB1BAD">
        <w:t>1.30, and +2.2, respectively. There were no clear or susta</w:t>
      </w:r>
      <w:r w:rsidR="001C171F">
        <w:t>ined improvements (that is</w:t>
      </w:r>
      <w:r w:rsidRPr="00CB1BAD">
        <w:t xml:space="preserve">, increase in score of </w:t>
      </w:r>
      <w:r w:rsidR="00A91223">
        <w:t xml:space="preserve">≥ </w:t>
      </w:r>
      <w:r w:rsidRPr="00CB1BAD">
        <w:t>5 points, the minimal clinically important difference) in the respiratory domain or in any other domains of the CFQ</w:t>
      </w:r>
      <w:r w:rsidR="001C171F">
        <w:t>-R in any dose group over time.</w:t>
      </w:r>
    </w:p>
    <w:p w:rsidR="00CB1BAD" w:rsidRPr="00CB1BAD" w:rsidRDefault="00CB1BAD" w:rsidP="00661279">
      <w:pPr>
        <w:pStyle w:val="Heading5"/>
      </w:pPr>
      <w:r w:rsidRPr="00CB1BAD">
        <w:t>Se</w:t>
      </w:r>
      <w:r w:rsidR="001C171F">
        <w:t>condary pharmacodynamic effects</w:t>
      </w:r>
    </w:p>
    <w:p w:rsidR="00661279" w:rsidRDefault="001C171F" w:rsidP="00661279">
      <w:pPr>
        <w:pStyle w:val="Heading6"/>
      </w:pPr>
      <w:r>
        <w:t>Effects on QT interval</w:t>
      </w:r>
    </w:p>
    <w:p w:rsidR="00CB1BAD" w:rsidRPr="00CB1BAD" w:rsidRDefault="008145FC" w:rsidP="00CB1BAD">
      <w:r>
        <w:t>Study VX12-809-008</w:t>
      </w:r>
      <w:r w:rsidR="00CB1BAD" w:rsidRPr="00CB1BAD">
        <w:t xml:space="preserve"> represented a ‘Thorough QT’ study and it examined the effects of therapeutic (600 mg QD/250 mg q12h) and supra</w:t>
      </w:r>
      <w:r w:rsidR="001C171F">
        <w:t xml:space="preserve"> </w:t>
      </w:r>
      <w:r w:rsidR="00CB1BAD" w:rsidRPr="00CB1BAD">
        <w:t>therapeutic (1</w:t>
      </w:r>
      <w:r w:rsidR="001C171F">
        <w:t>,</w:t>
      </w:r>
      <w:r w:rsidR="00CB1BAD" w:rsidRPr="00CB1BAD">
        <w:t>000 mg QD/450 mg q12h) doses of LUM/IVA on QT interval in healthy subjects. The upper limit of</w:t>
      </w:r>
      <w:r w:rsidR="001C171F">
        <w:t xml:space="preserve"> the 2 </w:t>
      </w:r>
      <w:r w:rsidR="00CB1BAD" w:rsidRPr="00CB1BAD">
        <w:t>sided 90% CI for the LS mean diffe</w:t>
      </w:r>
      <w:r w:rsidR="001C171F">
        <w:t xml:space="preserve">rence from placebo for the time matched, baseline </w:t>
      </w:r>
      <w:r w:rsidR="00CB1BAD" w:rsidRPr="00CB1BAD">
        <w:t>adjusted QTcF interval for</w:t>
      </w:r>
      <w:r w:rsidR="001C171F">
        <w:t xml:space="preserve"> both the therapeutic and supra </w:t>
      </w:r>
      <w:r w:rsidR="00CB1BAD" w:rsidRPr="00CB1BAD">
        <w:t>therapeutic dose regimens did not exceed 10 msec, indicating that LUM and IVA combination therapy does not prolong the QTc interval to a clinically significant degr</w:t>
      </w:r>
      <w:r w:rsidR="001C171F">
        <w:t xml:space="preserve">ee at the therapeutic and supra </w:t>
      </w:r>
      <w:r w:rsidR="00CB1BAD" w:rsidRPr="00CB1BAD">
        <w:t>therapeutic dose levels</w:t>
      </w:r>
      <w:r w:rsidR="001C171F">
        <w:t xml:space="preserve">. The sex by </w:t>
      </w:r>
      <w:r w:rsidR="00CB1BAD" w:rsidRPr="00CB1BAD">
        <w:t>treatment interaction effect for the analysis of the QTcF variable was not significant for either dose regimen (</w:t>
      </w:r>
      <w:r w:rsidR="00CC3BC8">
        <w:t>p</w:t>
      </w:r>
      <w:r w:rsidR="00CB1BAD" w:rsidRPr="00CB1BAD">
        <w:t xml:space="preserve"> values</w:t>
      </w:r>
      <w:r w:rsidR="00661535">
        <w:t xml:space="preserve"> </w:t>
      </w:r>
      <w:r w:rsidR="00511EB7">
        <w:t>=</w:t>
      </w:r>
      <w:r w:rsidR="00661535">
        <w:t xml:space="preserve"> </w:t>
      </w:r>
      <w:r w:rsidR="00CB1BAD" w:rsidRPr="00CB1BAD">
        <w:t xml:space="preserve">0.905 </w:t>
      </w:r>
      <w:r w:rsidR="004E6042">
        <w:t>(</w:t>
      </w:r>
      <w:r w:rsidR="00CB1BAD" w:rsidRPr="00CB1BAD">
        <w:t>therapeutic dose regimen</w:t>
      </w:r>
      <w:r w:rsidR="004E6042">
        <w:t>)</w:t>
      </w:r>
      <w:r w:rsidR="00CB1BAD" w:rsidRPr="00CB1BAD">
        <w:t xml:space="preserve"> and 0.754 </w:t>
      </w:r>
      <w:r w:rsidR="004E6042">
        <w:t>(</w:t>
      </w:r>
      <w:r w:rsidR="00CB1BAD" w:rsidRPr="00CB1BAD">
        <w:t>supra</w:t>
      </w:r>
      <w:r w:rsidR="001C171F">
        <w:t xml:space="preserve"> </w:t>
      </w:r>
      <w:r w:rsidR="00CB1BAD" w:rsidRPr="00CB1BAD">
        <w:t>therapeutic dose regimen</w:t>
      </w:r>
      <w:r w:rsidR="004E6042">
        <w:t>)</w:t>
      </w:r>
      <w:r w:rsidR="001C171F">
        <w:t>).</w:t>
      </w:r>
    </w:p>
    <w:p w:rsidR="00CB1BAD" w:rsidRPr="00CB1BAD" w:rsidRDefault="00CB1BAD" w:rsidP="00661279">
      <w:pPr>
        <w:pStyle w:val="Comment"/>
      </w:pPr>
      <w:r w:rsidRPr="00661279">
        <w:rPr>
          <w:b/>
        </w:rPr>
        <w:t>Comment:</w:t>
      </w:r>
      <w:r w:rsidRPr="00CB1BAD">
        <w:t xml:space="preserve"> </w:t>
      </w:r>
      <w:r w:rsidR="00491191">
        <w:tab/>
      </w:r>
      <w:r w:rsidRPr="00CB1BAD">
        <w:t>It should be noted that assay sensitivity could not be demonstrated with moxifloxacin in line with the study protocol; however, assay sensitivity was established according to ICH E14 c</w:t>
      </w:r>
      <w:r w:rsidR="001C171F">
        <w:t>riteria via an ad-hoc analysis.</w:t>
      </w:r>
    </w:p>
    <w:p w:rsidR="00661279" w:rsidRDefault="001C171F" w:rsidP="00661279">
      <w:pPr>
        <w:pStyle w:val="Heading6"/>
      </w:pPr>
      <w:r>
        <w:t>Body weight</w:t>
      </w:r>
    </w:p>
    <w:p w:rsidR="00CB1BAD" w:rsidRPr="00CB1BAD" w:rsidRDefault="00CB1BAD" w:rsidP="00CB1BAD">
      <w:r w:rsidRPr="00CB1BAD">
        <w:t xml:space="preserve">Study VX09-809-102 indicated that treatment with LUM in combination with IVA did not result in any improvement in BMI or weight. Similarly, in the PopPK analysis, </w:t>
      </w:r>
      <w:r w:rsidR="001C171F">
        <w:t xml:space="preserve">Study </w:t>
      </w:r>
      <w:r w:rsidRPr="00CB1BAD">
        <w:t>K050, although several models were investigated to describe placebo and drug effects, there appeared to be a lack of relationship between ch</w:t>
      </w:r>
      <w:r w:rsidR="001C171F">
        <w:t>anges in BMI and drug exposure.</w:t>
      </w:r>
    </w:p>
    <w:p w:rsidR="0000088C" w:rsidRPr="00CB1BAD" w:rsidRDefault="00CB1BAD" w:rsidP="00661279">
      <w:pPr>
        <w:pStyle w:val="Heading4"/>
      </w:pPr>
      <w:r w:rsidRPr="00CB1BAD">
        <w:t>Time course of pharmacodynamic effects</w:t>
      </w:r>
    </w:p>
    <w:p w:rsidR="00661279" w:rsidRPr="00661279" w:rsidRDefault="001C171F" w:rsidP="001C171F">
      <w:pPr>
        <w:pStyle w:val="Heading6"/>
      </w:pPr>
      <w:r>
        <w:t>LUM alone</w:t>
      </w:r>
    </w:p>
    <w:p w:rsidR="00661279" w:rsidRPr="00661279" w:rsidRDefault="00661279" w:rsidP="00661279">
      <w:r w:rsidRPr="00661279">
        <w:t xml:space="preserve">Study VX08-809-101 evaluated the effect of </w:t>
      </w:r>
      <w:r w:rsidR="001C171F">
        <w:t>a range of LUM doses (25 to 200 </w:t>
      </w:r>
      <w:r w:rsidRPr="00661279">
        <w:t>mg) on sweat chloride in subjects with CF who were homozygous for the F508del-CFTR mutation. Reductions from baseline in mean sweat chloride were observed as early as Day 7 in the 50, 100, and 200 mg LUM groups and tended to be largest in the 200 mg group. The magnitude of decreases in these 3 groups did not increase with time, and the decreases w</w:t>
      </w:r>
      <w:r w:rsidR="001C171F">
        <w:t>ere not sustained at follow-up.</w:t>
      </w:r>
    </w:p>
    <w:p w:rsidR="00661279" w:rsidRPr="00661279" w:rsidRDefault="001C171F" w:rsidP="001C171F">
      <w:pPr>
        <w:pStyle w:val="Heading6"/>
      </w:pPr>
      <w:r>
        <w:lastRenderedPageBreak/>
        <w:t>Free combination</w:t>
      </w:r>
    </w:p>
    <w:p w:rsidR="0000088C" w:rsidRDefault="00661279" w:rsidP="00661279">
      <w:r w:rsidRPr="00661279">
        <w:t xml:space="preserve">In homozygous subjects, following co-administration of 400 mg LUM q12h/250 mg IVA q12h, the LS mean difference of absolute change from baseline in sweat chloride was -2.154 and the treatment difference verses combination placebo was -3.78, whereas following administration of 400 mg LUM QD/250 mg IVA q12h these values were -1.04 and -2.67, respectively. However, none of these differences reached statistical significance with </w:t>
      </w:r>
      <w:r w:rsidR="00CC3BC8">
        <w:t>p</w:t>
      </w:r>
      <w:r w:rsidRPr="00661279">
        <w:t xml:space="preserve"> values ranging from 0.365 to 0.664. By contrast when LUM was administered q12h in combination with IVA there were significant differences in both LS mean relative change from Day 28 (</w:t>
      </w:r>
      <w:r w:rsidR="00D13AF6">
        <w:t>Δ</w:t>
      </w:r>
      <w:r w:rsidR="00661535">
        <w:t xml:space="preserve"> </w:t>
      </w:r>
      <w:r w:rsidR="00511EB7">
        <w:t>=</w:t>
      </w:r>
      <w:r w:rsidR="00661535">
        <w:t xml:space="preserve"> </w:t>
      </w:r>
      <w:r w:rsidRPr="00661279">
        <w:t xml:space="preserve">8.24, </w:t>
      </w:r>
      <w:r w:rsidR="00CC3BC8">
        <w:t>p</w:t>
      </w:r>
      <w:r w:rsidR="00661535">
        <w:t xml:space="preserve"> </w:t>
      </w:r>
      <w:r w:rsidR="00511EB7">
        <w:t>=</w:t>
      </w:r>
      <w:r w:rsidR="00661535">
        <w:t xml:space="preserve"> </w:t>
      </w:r>
      <w:r w:rsidRPr="00661279">
        <w:t>0.012) and treatment difference verses placebo (</w:t>
      </w:r>
      <w:r w:rsidR="00D13AF6">
        <w:t>Δ</w:t>
      </w:r>
      <w:r w:rsidR="00661535">
        <w:t xml:space="preserve"> </w:t>
      </w:r>
      <w:r w:rsidR="00511EB7">
        <w:t>=</w:t>
      </w:r>
      <w:r w:rsidR="00661535">
        <w:t xml:space="preserve"> </w:t>
      </w:r>
      <w:r w:rsidRPr="00661279">
        <w:t xml:space="preserve">10.3, </w:t>
      </w:r>
      <w:r w:rsidR="00CC3BC8">
        <w:t>p</w:t>
      </w:r>
      <w:r w:rsidR="00661535">
        <w:t xml:space="preserve"> </w:t>
      </w:r>
      <w:r w:rsidR="00511EB7">
        <w:t>=</w:t>
      </w:r>
      <w:r w:rsidR="00661535">
        <w:t xml:space="preserve"> </w:t>
      </w:r>
      <w:r w:rsidRPr="00661279">
        <w:t>0.010) in pp</w:t>
      </w:r>
      <w:r w:rsidR="00A8789D" w:rsidRPr="001D064D">
        <w:t>FEV</w:t>
      </w:r>
      <w:r w:rsidR="00A8789D" w:rsidRPr="00A8789D">
        <w:rPr>
          <w:vertAlign w:val="subscript"/>
        </w:rPr>
        <w:t>1</w:t>
      </w:r>
      <w:r w:rsidRPr="00661279">
        <w:t>, whereas, there was no significant difference in these measures when LUM was administered QD in combination with IVA (</w:t>
      </w:r>
      <w:r w:rsidRPr="00FA3786">
        <w:t xml:space="preserve">Table </w:t>
      </w:r>
      <w:r w:rsidR="0087197C">
        <w:t>25</w:t>
      </w:r>
      <w:r w:rsidRPr="00661279">
        <w:t>).</w:t>
      </w:r>
    </w:p>
    <w:p w:rsidR="00FA3786" w:rsidRDefault="0087197C" w:rsidP="00FA3786">
      <w:pPr>
        <w:pStyle w:val="Tabletitle"/>
      </w:pPr>
      <w:proofErr w:type="gramStart"/>
      <w:r>
        <w:t>Table 25.</w:t>
      </w:r>
      <w:proofErr w:type="gramEnd"/>
      <w:r>
        <w:t xml:space="preserve"> </w:t>
      </w:r>
      <w:r w:rsidR="00FA3786">
        <w:t xml:space="preserve">Study VX09-809-102 Relative change from Day 28 at Day 56 in percent predicted </w:t>
      </w:r>
      <w:r w:rsidR="00A8789D" w:rsidRPr="001D064D">
        <w:t>FEV</w:t>
      </w:r>
      <w:r w:rsidR="00A8789D" w:rsidRPr="00A8789D">
        <w:rPr>
          <w:vertAlign w:val="subscript"/>
        </w:rPr>
        <w:t>1</w:t>
      </w:r>
      <w:r w:rsidR="00FA3786">
        <w:t xml:space="preserve"> by ANCOVA full analysis set (Cohort 2 and Cohort 3 pooled)</w:t>
      </w:r>
    </w:p>
    <w:p w:rsidR="00FA3786" w:rsidRPr="00FA3786" w:rsidRDefault="00FA3786" w:rsidP="00FA3786">
      <w:r>
        <w:rPr>
          <w:noProof/>
          <w:lang w:eastAsia="en-AU"/>
        </w:rPr>
        <w:drawing>
          <wp:inline distT="0" distB="0" distL="0" distR="0" wp14:anchorId="0AB0769A" wp14:editId="2EC2ADF7">
            <wp:extent cx="5297447" cy="3811219"/>
            <wp:effectExtent l="0" t="0" r="0" b="0"/>
            <wp:docPr id="35" name="Picture 35" descr="Table 25. Study VX09-809-102 Relative change from Day 28 at Day 56 in percent predicted FEV1 by ANCOVA full analysis set (Cohort 2 and Cohort 3 poo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294532" cy="3809122"/>
                    </a:xfrm>
                    <a:prstGeom prst="rect">
                      <a:avLst/>
                    </a:prstGeom>
                  </pic:spPr>
                </pic:pic>
              </a:graphicData>
            </a:graphic>
          </wp:inline>
        </w:drawing>
      </w:r>
    </w:p>
    <w:p w:rsidR="00661279" w:rsidRPr="00661279" w:rsidRDefault="00661279" w:rsidP="00661279">
      <w:pPr>
        <w:pStyle w:val="Heading4"/>
      </w:pPr>
      <w:r w:rsidRPr="00661279">
        <w:t>Relationship between drug concentrat</w:t>
      </w:r>
      <w:r w:rsidR="001C171F">
        <w:t>ion and pharmacodynamic effects</w:t>
      </w:r>
    </w:p>
    <w:p w:rsidR="00661279" w:rsidRPr="00661279" w:rsidRDefault="001C171F" w:rsidP="001C171F">
      <w:pPr>
        <w:pStyle w:val="Heading5"/>
      </w:pPr>
      <w:r>
        <w:t>Sweat Chloride</w:t>
      </w:r>
    </w:p>
    <w:p w:rsidR="00661279" w:rsidRPr="00661279" w:rsidRDefault="001C171F" w:rsidP="001C171F">
      <w:pPr>
        <w:pStyle w:val="Heading6"/>
      </w:pPr>
      <w:r>
        <w:t>FDC</w:t>
      </w:r>
    </w:p>
    <w:p w:rsidR="0000088C" w:rsidRPr="00661279" w:rsidRDefault="00661279" w:rsidP="00661279">
      <w:r w:rsidRPr="00661279">
        <w:t>No PK/PD studies examined the relationship between drug concentration and effect on sweat chloride following doses of the FDC in the target population.</w:t>
      </w:r>
    </w:p>
    <w:p w:rsidR="00661279" w:rsidRPr="00661279" w:rsidRDefault="00661279" w:rsidP="001C171F">
      <w:pPr>
        <w:pStyle w:val="Heading6"/>
      </w:pPr>
      <w:r w:rsidRPr="00661279">
        <w:t>Free combination</w:t>
      </w:r>
    </w:p>
    <w:p w:rsidR="00661279" w:rsidRPr="00661279" w:rsidRDefault="00661279" w:rsidP="00661279">
      <w:r w:rsidRPr="00661279">
        <w:t xml:space="preserve">In the target population, although, LUM AUC and </w:t>
      </w:r>
      <w:r w:rsidR="00511EB7" w:rsidRPr="002227DB">
        <w:t>C</w:t>
      </w:r>
      <w:r w:rsidR="00511EB7" w:rsidRPr="00511EB7">
        <w:rPr>
          <w:vertAlign w:val="subscript"/>
        </w:rPr>
        <w:t>min</w:t>
      </w:r>
      <w:r w:rsidRPr="00661279">
        <w:t xml:space="preserve"> values were 1.28</w:t>
      </w:r>
      <w:r w:rsidR="00511EB7">
        <w:t xml:space="preserve"> fold</w:t>
      </w:r>
      <w:r w:rsidRPr="00661279">
        <w:t xml:space="preserve"> and 1.83</w:t>
      </w:r>
      <w:r w:rsidR="00511EB7">
        <w:t xml:space="preserve"> fold</w:t>
      </w:r>
      <w:r w:rsidRPr="00661279">
        <w:t xml:space="preserve"> higher, respectively, following administration of 400 mg LUM q12h/250 mg IVA q12h than following 600 mg LUM QD/250 mg IVA q12h, the treatment difference for sweat chloride from Day 28 at Day 56 was lower following 400 mg LUM q12h (-3.78) than following 600 mg LUM QD (-4.53). It should be noted that neither of these treatment differences in sweat chloride were statistically significant (</w:t>
      </w:r>
      <w:r w:rsidR="00CC3BC8">
        <w:t>p</w:t>
      </w:r>
      <w:r w:rsidR="00661535">
        <w:t xml:space="preserve"> </w:t>
      </w:r>
      <w:r w:rsidR="00511EB7">
        <w:t>=</w:t>
      </w:r>
      <w:r w:rsidR="00661535">
        <w:t xml:space="preserve"> </w:t>
      </w:r>
      <w:r w:rsidRPr="00661279">
        <w:t>0.365 and 0.161, respectively) and given the relatively minor improvement in sweat chloride following dosing with 600 mg LUM QD (</w:t>
      </w:r>
      <w:r w:rsidR="00661535">
        <w:t xml:space="preserve">approximately </w:t>
      </w:r>
      <w:r w:rsidRPr="00661279">
        <w:t>1.2</w:t>
      </w:r>
      <w:r w:rsidR="00511EB7">
        <w:t xml:space="preserve"> fold</w:t>
      </w:r>
      <w:r w:rsidRPr="00661279">
        <w:t xml:space="preserve">), any difference </w:t>
      </w:r>
      <w:r w:rsidRPr="00661279">
        <w:lastRenderedPageBreak/>
        <w:t>in sweat chloride response between the two dosing regimens is unlikel</w:t>
      </w:r>
      <w:r w:rsidR="001C171F">
        <w:t>y.to be clinically significant.</w:t>
      </w:r>
    </w:p>
    <w:p w:rsidR="00661279" w:rsidRPr="00661279" w:rsidRDefault="001C171F" w:rsidP="001C171F">
      <w:pPr>
        <w:pStyle w:val="Heading6"/>
      </w:pPr>
      <w:r>
        <w:t>LUM alone</w:t>
      </w:r>
    </w:p>
    <w:p w:rsidR="00661279" w:rsidRPr="00661279" w:rsidRDefault="00FA3786" w:rsidP="00661279">
      <w:r>
        <w:t>Study VX08-809-101</w:t>
      </w:r>
      <w:r w:rsidR="00661279" w:rsidRPr="00661279">
        <w:t xml:space="preserve"> evaluated the effect of </w:t>
      </w:r>
      <w:r w:rsidR="001C171F">
        <w:t>a range of LUM doses (25 to 200 </w:t>
      </w:r>
      <w:r w:rsidR="00661279" w:rsidRPr="00661279">
        <w:t>mg) on sweat chloride in subjects with CF who were homozygous for the F508del-CFTR mutation No mean decreases from baseline were seen in the 25 mg group, whereas, mean changes in sweat chloride from baseline to Day 28 were statistically signif</w:t>
      </w:r>
      <w:r w:rsidR="00732A2F">
        <w:t>icant for the 100 mg LUM (-5.29 </w:t>
      </w:r>
      <w:r w:rsidR="00661279" w:rsidRPr="00661279">
        <w:t xml:space="preserve">mmol/L; </w:t>
      </w:r>
      <w:r w:rsidR="00CC3BC8">
        <w:t>p</w:t>
      </w:r>
      <w:r w:rsidR="00511EB7">
        <w:t xml:space="preserve"> = </w:t>
      </w:r>
      <w:r w:rsidR="00661279" w:rsidRPr="00661279">
        <w:t xml:space="preserve">0.0173) and 200 mg (-7.38 mmol/L; </w:t>
      </w:r>
      <w:r w:rsidR="00CC3BC8">
        <w:t>p</w:t>
      </w:r>
      <w:r w:rsidR="00511EB7">
        <w:t xml:space="preserve"> = </w:t>
      </w:r>
      <w:r w:rsidR="00661279" w:rsidRPr="00661279">
        <w:t xml:space="preserve">0.0008) groups. The differences between these treatment groups and the placebo group for the least squares mean change from baseline were also statistically significant: </w:t>
      </w:r>
      <w:r w:rsidR="001C171F">
        <w:noBreakHyphen/>
      </w:r>
      <w:r w:rsidR="00661279" w:rsidRPr="00661279">
        <w:t>6.13 mmol/L (</w:t>
      </w:r>
      <w:r w:rsidR="00CC3BC8">
        <w:t>p</w:t>
      </w:r>
      <w:r w:rsidR="001C171F">
        <w:t> = </w:t>
      </w:r>
      <w:r w:rsidR="00661279" w:rsidRPr="00661279">
        <w:t>0.0498) for t</w:t>
      </w:r>
      <w:r w:rsidR="001C171F">
        <w:t xml:space="preserve">he 100 mg group and </w:t>
      </w:r>
      <w:r w:rsidR="001C171F">
        <w:noBreakHyphen/>
      </w:r>
      <w:r w:rsidR="00661279" w:rsidRPr="00661279">
        <w:t>8.21 mmol/L (</w:t>
      </w:r>
      <w:r w:rsidR="00CC3BC8">
        <w:t>p</w:t>
      </w:r>
      <w:r w:rsidR="00511EB7">
        <w:t xml:space="preserve"> = </w:t>
      </w:r>
      <w:r w:rsidR="00661279" w:rsidRPr="00661279">
        <w:t xml:space="preserve">0.0092) for the 200 mg group. The linear trend was statistically significant (-2.099; </w:t>
      </w:r>
      <w:r w:rsidR="00CC3BC8">
        <w:t>p</w:t>
      </w:r>
      <w:r w:rsidR="00511EB7">
        <w:t xml:space="preserve"> = </w:t>
      </w:r>
      <w:r w:rsidR="00661279" w:rsidRPr="00661279">
        <w:t>0.0013), suggesting a decreasing mean average sweat</w:t>
      </w:r>
      <w:r w:rsidR="001C171F">
        <w:t xml:space="preserve"> chloride with increasing dose.</w:t>
      </w:r>
    </w:p>
    <w:p w:rsidR="00661279" w:rsidRPr="00661279" w:rsidRDefault="001C171F" w:rsidP="001C171F">
      <w:pPr>
        <w:pStyle w:val="Heading5"/>
      </w:pPr>
      <w:r>
        <w:t xml:space="preserve">Pulmonary </w:t>
      </w:r>
      <w:r w:rsidR="00ED400A">
        <w:t>f</w:t>
      </w:r>
      <w:r>
        <w:t>unction</w:t>
      </w:r>
    </w:p>
    <w:p w:rsidR="00661279" w:rsidRDefault="001C171F" w:rsidP="001C171F">
      <w:pPr>
        <w:pStyle w:val="Heading6"/>
      </w:pPr>
      <w:r>
        <w:t>FDC</w:t>
      </w:r>
    </w:p>
    <w:p w:rsidR="00661279" w:rsidRPr="00661279" w:rsidRDefault="00661279" w:rsidP="00661279">
      <w:r w:rsidRPr="00661279">
        <w:t xml:space="preserve">The pooled PK/PD analysis, </w:t>
      </w:r>
      <w:r w:rsidR="00980975">
        <w:t>Study</w:t>
      </w:r>
      <w:r w:rsidRPr="00661279">
        <w:t xml:space="preserve"> K272, which was based on the results of two </w:t>
      </w:r>
      <w:r w:rsidR="00511EB7">
        <w:t>Phase III</w:t>
      </w:r>
      <w:r w:rsidRPr="00661279">
        <w:t xml:space="preserve"> trials, VX12-809-103 and VX12-809-104, could not identify any clear trends between LUM or IVA average trough concentrations versus absolute change in pp</w:t>
      </w:r>
      <w:r w:rsidR="00A8789D" w:rsidRPr="001D064D">
        <w:t>FEV</w:t>
      </w:r>
      <w:r w:rsidR="00A8789D" w:rsidRPr="00A8789D">
        <w:rPr>
          <w:vertAlign w:val="subscript"/>
        </w:rPr>
        <w:t>1</w:t>
      </w:r>
      <w:r w:rsidRPr="00661279">
        <w:t>. In an analysis of pp</w:t>
      </w:r>
      <w:r w:rsidR="00A8789D" w:rsidRPr="001D064D">
        <w:t>FEV</w:t>
      </w:r>
      <w:r w:rsidR="00A8789D" w:rsidRPr="00A8789D">
        <w:rPr>
          <w:vertAlign w:val="subscript"/>
        </w:rPr>
        <w:t>1</w:t>
      </w:r>
      <w:r w:rsidRPr="00661279">
        <w:t xml:space="preserve"> responders, who were defined as </w:t>
      </w:r>
      <w:r w:rsidR="00511EB7">
        <w:t xml:space="preserve">&gt; </w:t>
      </w:r>
      <w:r w:rsidRPr="00661279">
        <w:t xml:space="preserve">5% average relative change in percent predicted </w:t>
      </w:r>
      <w:r w:rsidR="00A8789D" w:rsidRPr="001D064D">
        <w:t>FEV</w:t>
      </w:r>
      <w:r w:rsidR="00A8789D" w:rsidRPr="00A8789D">
        <w:rPr>
          <w:vertAlign w:val="subscript"/>
        </w:rPr>
        <w:t>1</w:t>
      </w:r>
      <w:r w:rsidRPr="00661279">
        <w:t xml:space="preserve"> (pp</w:t>
      </w:r>
      <w:r w:rsidR="00A8789D" w:rsidRPr="001D064D">
        <w:t>FEV</w:t>
      </w:r>
      <w:r w:rsidR="00A8789D" w:rsidRPr="00A8789D">
        <w:rPr>
          <w:vertAlign w:val="subscript"/>
        </w:rPr>
        <w:t>1</w:t>
      </w:r>
      <w:r w:rsidRPr="00661279">
        <w:t xml:space="preserve">) from Week 16 to Week 24 and non-responders as </w:t>
      </w:r>
      <w:r w:rsidR="00511EB7">
        <w:t>&lt;</w:t>
      </w:r>
      <w:r w:rsidR="00661535">
        <w:t xml:space="preserve"> </w:t>
      </w:r>
      <w:r w:rsidRPr="00661279">
        <w:t>5% average relative change in pp</w:t>
      </w:r>
      <w:r w:rsidR="00A8789D" w:rsidRPr="001D064D">
        <w:t>FEV</w:t>
      </w:r>
      <w:r w:rsidR="00A8789D" w:rsidRPr="00A8789D">
        <w:rPr>
          <w:vertAlign w:val="subscript"/>
        </w:rPr>
        <w:t>1</w:t>
      </w:r>
      <w:r w:rsidRPr="00661279">
        <w:t xml:space="preserve"> from Week 16 to Week 24 there was no clear differentiation in exposure between responders and non-responders. In addition, no differentiation in exposure between subjects with and without pulmonary exacerbation events could be identified. Nor was there a clear differentiation in exposure between subjects with and without pulmonary exacerbation hospitalisation visits.</w:t>
      </w:r>
    </w:p>
    <w:p w:rsidR="00661279" w:rsidRPr="00661279" w:rsidRDefault="001C171F" w:rsidP="001C171F">
      <w:pPr>
        <w:pStyle w:val="Heading6"/>
      </w:pPr>
      <w:r>
        <w:t>Free combination</w:t>
      </w:r>
    </w:p>
    <w:p w:rsidR="00661279" w:rsidRPr="00661279" w:rsidRDefault="00661279" w:rsidP="00661279">
      <w:r w:rsidRPr="00661279">
        <w:t xml:space="preserve">Despite evidence of higher LUM AUC and </w:t>
      </w:r>
      <w:r w:rsidR="00511EB7" w:rsidRPr="002227DB">
        <w:t>C</w:t>
      </w:r>
      <w:r w:rsidR="00511EB7" w:rsidRPr="00511EB7">
        <w:rPr>
          <w:vertAlign w:val="subscript"/>
        </w:rPr>
        <w:t>min</w:t>
      </w:r>
      <w:r w:rsidRPr="00661279">
        <w:t xml:space="preserve"> values following administration of 400 mg LUM q12h/250 mg IVA q12h in the target population, following administration of 600 mg LUM QD/250 mg IVA q12h the relative change in pp</w:t>
      </w:r>
      <w:r w:rsidR="00A8789D" w:rsidRPr="001D064D">
        <w:t>FEV</w:t>
      </w:r>
      <w:r w:rsidR="00A8789D" w:rsidRPr="00A8789D">
        <w:rPr>
          <w:vertAlign w:val="subscript"/>
        </w:rPr>
        <w:t>1</w:t>
      </w:r>
      <w:r w:rsidRPr="00661279">
        <w:t xml:space="preserve"> from Day 28 at Day 56 was slightly higher (9.70 </w:t>
      </w:r>
      <w:r w:rsidR="001C171F">
        <w:t>versus</w:t>
      </w:r>
      <w:r w:rsidRPr="00661279">
        <w:t xml:space="preserve"> 8.24 for LUM QD </w:t>
      </w:r>
      <w:r w:rsidR="001C171F">
        <w:t>versus</w:t>
      </w:r>
      <w:r w:rsidRPr="00661279">
        <w:t xml:space="preserve"> q12h dosing) as was the treatment difference (11.75 </w:t>
      </w:r>
      <w:r w:rsidR="001C171F">
        <w:t>versus</w:t>
      </w:r>
      <w:r w:rsidRPr="00661279">
        <w:t xml:space="preserve"> 10.29) </w:t>
      </w:r>
      <w:r w:rsidRPr="00E8084F">
        <w:t xml:space="preserve">(Table </w:t>
      </w:r>
      <w:r w:rsidR="00E8084F">
        <w:t>24</w:t>
      </w:r>
      <w:r w:rsidRPr="00661279">
        <w:t>). Analyses of the absolute change in pp</w:t>
      </w:r>
      <w:r w:rsidR="00A8789D" w:rsidRPr="001D064D">
        <w:t>FEV</w:t>
      </w:r>
      <w:r w:rsidR="00A8789D" w:rsidRPr="00A8789D">
        <w:rPr>
          <w:vertAlign w:val="subscript"/>
        </w:rPr>
        <w:t>1</w:t>
      </w:r>
      <w:r w:rsidRPr="00661279">
        <w:t xml:space="preserve"> and relative change in pp</w:t>
      </w:r>
      <w:r w:rsidR="00A8789D" w:rsidRPr="001D064D">
        <w:t>FEV</w:t>
      </w:r>
      <w:r w:rsidR="00A8789D" w:rsidRPr="00A8789D">
        <w:rPr>
          <w:vertAlign w:val="subscript"/>
        </w:rPr>
        <w:t>1</w:t>
      </w:r>
      <w:r w:rsidRPr="00661279">
        <w:t xml:space="preserve"> from baseline at Day 56 also indicated that 600 mg LUM QD/250 mg IVA q12h provided a slightly superior benefit to lung function in the target population than 400 mg LUM q12h/250 mg IVA q12h although these minor differences are not likely to be clinically </w:t>
      </w:r>
      <w:r w:rsidRPr="00E8084F">
        <w:t>relevant.</w:t>
      </w:r>
    </w:p>
    <w:p w:rsidR="00661279" w:rsidRPr="00661279" w:rsidRDefault="005815E4" w:rsidP="005815E4">
      <w:pPr>
        <w:pStyle w:val="Heading6"/>
      </w:pPr>
      <w:r>
        <w:t>LUM alone</w:t>
      </w:r>
    </w:p>
    <w:p w:rsidR="00661279" w:rsidRPr="00661279" w:rsidRDefault="00E8084F" w:rsidP="00661279">
      <w:r>
        <w:t>Study VX09-809-102</w:t>
      </w:r>
      <w:r w:rsidR="005815E4">
        <w:t xml:space="preserve"> identified a dose </w:t>
      </w:r>
      <w:r w:rsidR="00661279" w:rsidRPr="00661279">
        <w:t>dependent decline in pp</w:t>
      </w:r>
      <w:r w:rsidR="00A8789D" w:rsidRPr="001D064D">
        <w:t>FEV</w:t>
      </w:r>
      <w:r w:rsidR="00A8789D" w:rsidRPr="00A8789D">
        <w:rPr>
          <w:vertAlign w:val="subscript"/>
        </w:rPr>
        <w:t>1</w:t>
      </w:r>
      <w:r w:rsidR="00661279" w:rsidRPr="00661279">
        <w:t xml:space="preserve"> with LUM monotherapy across the dose range evaluated, with a s</w:t>
      </w:r>
      <w:r w:rsidR="005815E4">
        <w:t xml:space="preserve">ignificant within </w:t>
      </w:r>
      <w:r w:rsidR="00661279" w:rsidRPr="00661279">
        <w:t>group decline in the 400 mg LUM q12h group (</w:t>
      </w:r>
      <w:r w:rsidR="00CC3BC8">
        <w:t>p</w:t>
      </w:r>
      <w:r w:rsidR="00661535">
        <w:t xml:space="preserve"> </w:t>
      </w:r>
      <w:r w:rsidR="00511EB7">
        <w:t>=</w:t>
      </w:r>
      <w:r w:rsidR="00661535">
        <w:t xml:space="preserve"> </w:t>
      </w:r>
      <w:r w:rsidR="00661279" w:rsidRPr="00661279">
        <w:t>0.032). By contrast, In addition, there was no clear trend between LUM or IVA average trough concentrations ve</w:t>
      </w:r>
      <w:r w:rsidR="005815E4">
        <w:t>rsus absolute change in pp</w:t>
      </w:r>
      <w:r w:rsidR="00A8789D" w:rsidRPr="001D064D">
        <w:t>FEV</w:t>
      </w:r>
      <w:r w:rsidR="00A8789D" w:rsidRPr="00A8789D">
        <w:rPr>
          <w:vertAlign w:val="subscript"/>
        </w:rPr>
        <w:t>1</w:t>
      </w:r>
      <w:r w:rsidR="005815E4">
        <w:t>.</w:t>
      </w:r>
    </w:p>
    <w:p w:rsidR="00661279" w:rsidRDefault="005815E4" w:rsidP="005815E4">
      <w:pPr>
        <w:pStyle w:val="Heading5"/>
      </w:pPr>
      <w:r>
        <w:t>Liver function</w:t>
      </w:r>
    </w:p>
    <w:p w:rsidR="0000088C" w:rsidRDefault="00E8084F" w:rsidP="00661279">
      <w:r>
        <w:t>Study K050</w:t>
      </w:r>
      <w:r w:rsidR="00661279" w:rsidRPr="00661279">
        <w:t xml:space="preserve"> also explored several models for changes in liver function markers (ALT an</w:t>
      </w:r>
      <w:r w:rsidR="005815E4">
        <w:t xml:space="preserve">d AST); however, a LUM exposure </w:t>
      </w:r>
      <w:r w:rsidR="00661279" w:rsidRPr="00661279">
        <w:t>response relationship could not be identified. A simple offset model was implemented to describe changes in liver function markers in response to LUM and IVA administration as drug effect (as drug effect term, no exposure parameter) and placebo. Changes in ALT and AST for the LUM 400 mg q12h and 600 mg QD dose groups were similar to those observed in placebo subjects.</w:t>
      </w:r>
    </w:p>
    <w:p w:rsidR="001829D6" w:rsidRPr="001829D6" w:rsidRDefault="001829D6" w:rsidP="001829D6">
      <w:r w:rsidRPr="001829D6">
        <w:t xml:space="preserve">In </w:t>
      </w:r>
      <w:r w:rsidR="00980975">
        <w:t>Study</w:t>
      </w:r>
      <w:r w:rsidRPr="001829D6">
        <w:t xml:space="preserve"> K272, li</w:t>
      </w:r>
      <w:r w:rsidR="005815E4">
        <w:t>near regression analysis of LUM</w:t>
      </w:r>
      <w:r w:rsidR="00661535">
        <w:t xml:space="preserve"> </w:t>
      </w:r>
      <w:r w:rsidR="00661535" w:rsidRPr="007F4B4F">
        <w:t>C</w:t>
      </w:r>
      <w:r w:rsidR="00661535" w:rsidRPr="00661535">
        <w:rPr>
          <w:vertAlign w:val="subscript"/>
        </w:rPr>
        <w:t>trough</w:t>
      </w:r>
      <w:r w:rsidRPr="001829D6">
        <w:t>,</w:t>
      </w:r>
      <w:r w:rsidR="005815E4">
        <w:t xml:space="preserve"> </w:t>
      </w:r>
      <w:r w:rsidR="00E8084F" w:rsidRPr="00E8084F">
        <w:rPr>
          <w:vertAlign w:val="subscript"/>
        </w:rPr>
        <w:t>average</w:t>
      </w:r>
      <w:r w:rsidRPr="001829D6">
        <w:t xml:space="preserve"> versus absolute change in creatinine clearance by dose groups did not identify any trends between LUM pre-dose </w:t>
      </w:r>
      <w:r w:rsidRPr="001829D6">
        <w:lastRenderedPageBreak/>
        <w:t>concentration and baseline creatinine clearance. In addition, no clear trends were observed between Day 15 concentrations of LUM or IVA and</w:t>
      </w:r>
      <w:r w:rsidR="005815E4">
        <w:t xml:space="preserve"> absolute change in ALT or AST.</w:t>
      </w:r>
    </w:p>
    <w:p w:rsidR="001829D6" w:rsidRPr="001829D6" w:rsidRDefault="005815E4" w:rsidP="001829D6">
      <w:pPr>
        <w:pStyle w:val="Heading4"/>
      </w:pPr>
      <w:r>
        <w:t xml:space="preserve">Genetic, gender and age </w:t>
      </w:r>
      <w:r w:rsidR="001829D6" w:rsidRPr="001829D6">
        <w:t>related differen</w:t>
      </w:r>
      <w:r>
        <w:t>ces in pharmacodynamic response</w:t>
      </w:r>
    </w:p>
    <w:p w:rsidR="001829D6" w:rsidRPr="001829D6" w:rsidRDefault="001829D6" w:rsidP="001829D6">
      <w:r w:rsidRPr="001829D6">
        <w:t xml:space="preserve">The exposure-response analysis of LUM and IVA in subjects with cystic fibrosis undertaken in </w:t>
      </w:r>
      <w:r w:rsidR="00980975">
        <w:t>Study</w:t>
      </w:r>
      <w:r w:rsidR="00E8084F">
        <w:t xml:space="preserve"> K050 </w:t>
      </w:r>
      <w:r w:rsidRPr="001829D6">
        <w:t xml:space="preserve">identified, using an </w:t>
      </w:r>
      <w:r w:rsidR="00511EB7" w:rsidRPr="002227DB">
        <w:t>AUC</w:t>
      </w:r>
      <w:r w:rsidR="00511EB7" w:rsidRPr="00511EB7">
        <w:rPr>
          <w:vertAlign w:val="subscript"/>
        </w:rPr>
        <w:t>0-24</w:t>
      </w:r>
      <w:r w:rsidRPr="001829D6">
        <w:t xml:space="preserve"> model, that the linear slope of LUM effect (SLOPE809) estimate (bootstrap 95% CI) for the reference covariate effects (male, less than 24 years) was 0.00942 (0.00702, 0.0117) %/</w:t>
      </w:r>
      <w:r w:rsidR="00511EB7">
        <w:t>µ</w:t>
      </w:r>
      <w:r w:rsidR="00511EB7" w:rsidRPr="002227DB">
        <w:t>g</w:t>
      </w:r>
      <w:r w:rsidRPr="001829D6">
        <w:t xml:space="preserve">/mL.h. For a typical subject, this translated to an absolute increase of 4.2% (3.13, 5.22) for a 400 mg q12h LUM dose and an increase of 3.32 % (2.48, 4.13) for the 600 mg QD dose. The slope of the drug effect was affected by age, with the slope decreasing as age increased beyond 24 years, with an effect estimate of -3.17 (-5.35, -1.76). Fitting the model using observed </w:t>
      </w:r>
      <w:r w:rsidR="00511EB7" w:rsidRPr="002227DB">
        <w:t>C</w:t>
      </w:r>
      <w:r w:rsidR="00511EB7" w:rsidRPr="00511EB7">
        <w:rPr>
          <w:vertAlign w:val="subscript"/>
        </w:rPr>
        <w:t>min</w:t>
      </w:r>
      <w:r w:rsidRPr="001829D6">
        <w:t xml:space="preserve"> produced simila</w:t>
      </w:r>
      <w:r w:rsidR="005815E4">
        <w:t>r results.</w:t>
      </w:r>
    </w:p>
    <w:p w:rsidR="001829D6" w:rsidRPr="001829D6" w:rsidRDefault="001829D6" w:rsidP="001829D6">
      <w:r w:rsidRPr="001829D6">
        <w:t>In contrast to these findings, population modelling combined with allometric scaling of data from a population of patients with CF who had the G551D-CFTR mutation and were treated with IVA, indicated that age was not a clinically important covariate of IVA disposition after accounting for body size (</w:t>
      </w:r>
      <w:r w:rsidR="00980975">
        <w:t>Study</w:t>
      </w:r>
      <w:r w:rsidR="00E8084F">
        <w:t xml:space="preserve"> J178</w:t>
      </w:r>
      <w:r w:rsidRPr="001829D6">
        <w:t>). In addition, it should be noted that the approved dosage of IVA for both adolescents and adults who have the G551D-CFTR mutation is identical (</w:t>
      </w:r>
      <w:r w:rsidR="00511EB7">
        <w:t>that is</w:t>
      </w:r>
      <w:r w:rsidRPr="001829D6">
        <w:t>150 mg q12h). Therefore, given the success of this IVA dose extrapolation, the similar weights of these patients to those in the LUM/IVA development group and the expected mature metabolic capacity of the adolescent population, the sponsor has proposed that the IVA dose to be co-administered with LUM should be the same for both the adult and adole</w:t>
      </w:r>
      <w:r w:rsidR="005815E4">
        <w:t>scent populations.</w:t>
      </w:r>
    </w:p>
    <w:p w:rsidR="001829D6" w:rsidRPr="001829D6" w:rsidRDefault="001829D6" w:rsidP="001829D6">
      <w:r w:rsidRPr="001829D6">
        <w:t>For the LUM c</w:t>
      </w:r>
      <w:r w:rsidR="00E8084F">
        <w:t xml:space="preserve">omponent, a population exposure </w:t>
      </w:r>
      <w:r w:rsidRPr="001829D6">
        <w:t xml:space="preserve">response </w:t>
      </w:r>
      <w:r w:rsidR="00980975">
        <w:t>Study</w:t>
      </w:r>
      <w:r w:rsidRPr="001829D6">
        <w:t xml:space="preserve">, K261, which investigated the relationship between sweat chloride response and LUM exposure in the target population following treatment with LUM alone or with a combination of LUM and IVA, indicated that sweat chloride response could be described using an </w:t>
      </w:r>
      <w:r w:rsidR="00CC3BC8" w:rsidRPr="00CB1BAD">
        <w:t>E</w:t>
      </w:r>
      <w:r w:rsidR="00CC3BC8" w:rsidRPr="00CC3BC8">
        <w:rPr>
          <w:vertAlign w:val="subscript"/>
        </w:rPr>
        <w:t>max</w:t>
      </w:r>
      <w:r w:rsidRPr="001829D6">
        <w:t xml:space="preserve"> model. Using this model, the subject’s weight was identified as a significant covariate of response, and once accounted </w:t>
      </w:r>
      <w:r w:rsidR="00D13AF6" w:rsidRPr="001829D6">
        <w:t>for;</w:t>
      </w:r>
      <w:r w:rsidRPr="001829D6">
        <w:t xml:space="preserve"> no other significant covariate effects were identified. Therefore, based on these findings the sponsor believes that differences in age are unlikely to affect the act</w:t>
      </w:r>
      <w:r w:rsidR="005815E4">
        <w:t>ivity of LUM on sweat chloride.</w:t>
      </w:r>
    </w:p>
    <w:p w:rsidR="001829D6" w:rsidRPr="001829D6" w:rsidRDefault="001829D6" w:rsidP="001829D6">
      <w:pPr>
        <w:pStyle w:val="Heading4"/>
      </w:pPr>
      <w:r w:rsidRPr="001829D6">
        <w:t>Pharmacodynamic interact</w:t>
      </w:r>
      <w:r w:rsidR="003273F6">
        <w:t>ions</w:t>
      </w:r>
    </w:p>
    <w:p w:rsidR="003273F6" w:rsidRDefault="003273F6" w:rsidP="003273F6">
      <w:r w:rsidRPr="003273F6">
        <w:t xml:space="preserve">In a review of the spirometry data from Cohorts 1, 2, and 3 in </w:t>
      </w:r>
      <w:r w:rsidR="00980975">
        <w:t>Study</w:t>
      </w:r>
      <w:r w:rsidRPr="003273F6">
        <w:t xml:space="preserve"> VX12-809-009</w:t>
      </w:r>
      <w:r w:rsidR="00471087">
        <w:t>,</w:t>
      </w:r>
      <w:r w:rsidRPr="003273F6">
        <w:t xml:space="preserve"> an asymptomatic, generally mild decline in </w:t>
      </w:r>
      <w:r w:rsidR="00A8789D" w:rsidRPr="001D064D">
        <w:t>FEV</w:t>
      </w:r>
      <w:r w:rsidR="00A8789D" w:rsidRPr="00A8789D">
        <w:rPr>
          <w:vertAlign w:val="subscript"/>
        </w:rPr>
        <w:t>1</w:t>
      </w:r>
      <w:r w:rsidRPr="003273F6">
        <w:t xml:space="preserve"> within 4 h of treatment with LUM in combination with IVA was identified (</w:t>
      </w:r>
      <w:r w:rsidRPr="00DC3314">
        <w:t xml:space="preserve">Table </w:t>
      </w:r>
      <w:r w:rsidR="0087197C">
        <w:t>26</w:t>
      </w:r>
      <w:r w:rsidRPr="003273F6">
        <w:t xml:space="preserve">). None of the subjects had an SAE, required treatment with concomitant medications, or had long term sequelae as a result of the decline </w:t>
      </w:r>
      <w:r w:rsidR="005815E4">
        <w:t xml:space="preserve">in </w:t>
      </w:r>
      <w:r w:rsidR="00A8789D" w:rsidRPr="001D064D">
        <w:t>FEV</w:t>
      </w:r>
      <w:r w:rsidR="00A8789D" w:rsidRPr="00A8789D">
        <w:rPr>
          <w:vertAlign w:val="subscript"/>
        </w:rPr>
        <w:t>1</w:t>
      </w:r>
      <w:r w:rsidR="005815E4">
        <w:t xml:space="preserve">. In Cohort 4, with long </w:t>
      </w:r>
      <w:r w:rsidRPr="003273F6">
        <w:t xml:space="preserve">acting bronchodilators (indacaterol and tiotropium) largely prevented the mild decline observed in </w:t>
      </w:r>
      <w:r w:rsidR="00A8789D" w:rsidRPr="001D064D">
        <w:t>FEV</w:t>
      </w:r>
      <w:r w:rsidR="00A8789D" w:rsidRPr="00A8789D">
        <w:rPr>
          <w:vertAlign w:val="subscript"/>
        </w:rPr>
        <w:t>1</w:t>
      </w:r>
      <w:r w:rsidRPr="003273F6">
        <w:t xml:space="preserve"> following dosing with LUM in combination </w:t>
      </w:r>
      <w:r w:rsidR="00D13AF6" w:rsidRPr="003273F6">
        <w:t>with</w:t>
      </w:r>
      <w:r w:rsidR="005815E4">
        <w:t xml:space="preserve"> and treatment with short </w:t>
      </w:r>
      <w:r w:rsidRPr="003273F6">
        <w:t>acting bronchodilators (albuterol and ipratropium) l</w:t>
      </w:r>
      <w:r w:rsidR="00DC3314">
        <w:t>ed to a reversal of the decline.</w:t>
      </w:r>
    </w:p>
    <w:p w:rsidR="00DC3314" w:rsidRDefault="0087197C" w:rsidP="00DC3314">
      <w:pPr>
        <w:pStyle w:val="Tabletitle"/>
      </w:pPr>
      <w:proofErr w:type="gramStart"/>
      <w:r>
        <w:lastRenderedPageBreak/>
        <w:t>Table 26.</w:t>
      </w:r>
      <w:proofErr w:type="gramEnd"/>
      <w:r>
        <w:t xml:space="preserve"> </w:t>
      </w:r>
      <w:r w:rsidR="00DC3314">
        <w:t xml:space="preserve">Study VX12-809-009 summary of spirometry absolute change from baseline for percent predicted </w:t>
      </w:r>
      <w:r w:rsidR="00A8789D" w:rsidRPr="001D064D">
        <w:t>FEV</w:t>
      </w:r>
      <w:r w:rsidR="00A8789D" w:rsidRPr="00A8789D">
        <w:rPr>
          <w:vertAlign w:val="subscript"/>
        </w:rPr>
        <w:t>1</w:t>
      </w:r>
      <w:r w:rsidR="00DC3314">
        <w:t xml:space="preserve"> safety set (cohort 1, cohort 2 and cohort 3)</w:t>
      </w:r>
    </w:p>
    <w:p w:rsidR="00DC3314" w:rsidRPr="00DC3314" w:rsidRDefault="00DC3314" w:rsidP="00DC3314">
      <w:r>
        <w:rPr>
          <w:noProof/>
          <w:lang w:eastAsia="en-AU"/>
        </w:rPr>
        <w:drawing>
          <wp:inline distT="0" distB="0" distL="0" distR="0" wp14:anchorId="7D98A329" wp14:editId="63B85234">
            <wp:extent cx="4842838" cy="4279392"/>
            <wp:effectExtent l="0" t="0" r="0" b="6985"/>
            <wp:docPr id="36" name="Picture 36" descr="Table 26. Study VX12-809-009 summary of spirometry absolute change from baseline for percent predicted FEV1 safety set (cohort 1, cohort 2 and cohor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BEBA8EAE-BF5A-486C-A8C5-ECC9F3942E4B}">
                          <a14:imgProps xmlns:a14="http://schemas.microsoft.com/office/drawing/2010/main">
                            <a14:imgLayer r:embed="rId50">
                              <a14:imgEffect>
                                <a14:sharpenSoften amount="25000"/>
                              </a14:imgEffect>
                            </a14:imgLayer>
                          </a14:imgProps>
                        </a:ext>
                      </a:extLst>
                    </a:blip>
                    <a:stretch>
                      <a:fillRect/>
                    </a:stretch>
                  </pic:blipFill>
                  <pic:spPr>
                    <a:xfrm>
                      <a:off x="0" y="0"/>
                      <a:ext cx="4839792" cy="4276701"/>
                    </a:xfrm>
                    <a:prstGeom prst="rect">
                      <a:avLst/>
                    </a:prstGeom>
                  </pic:spPr>
                </pic:pic>
              </a:graphicData>
            </a:graphic>
          </wp:inline>
        </w:drawing>
      </w:r>
    </w:p>
    <w:p w:rsidR="003273F6" w:rsidRPr="003273F6" w:rsidRDefault="003273F6" w:rsidP="003273F6">
      <w:pPr>
        <w:pStyle w:val="Heading3"/>
      </w:pPr>
      <w:bookmarkStart w:id="23" w:name="_Toc461121046"/>
      <w:r w:rsidRPr="003273F6">
        <w:t xml:space="preserve">Evaluator’s overall </w:t>
      </w:r>
      <w:r w:rsidR="005815E4">
        <w:t>conclusions on pharmacodynamics</w:t>
      </w:r>
      <w:bookmarkEnd w:id="23"/>
    </w:p>
    <w:p w:rsidR="003273F6" w:rsidRDefault="003273F6" w:rsidP="005815E4">
      <w:pPr>
        <w:pStyle w:val="Heading4"/>
      </w:pPr>
      <w:r w:rsidRPr="003273F6">
        <w:t>Me</w:t>
      </w:r>
      <w:r w:rsidR="005815E4">
        <w:t>chanism of action</w:t>
      </w:r>
    </w:p>
    <w:p w:rsidR="003273F6" w:rsidRPr="003273F6" w:rsidRDefault="003273F6" w:rsidP="003273F6">
      <w:r w:rsidRPr="003273F6">
        <w:t>The combined effect of lumacaftor and ivacaftor is to increase the quantity and function ofF508del-CFTR at the cell surface, resulting in in</w:t>
      </w:r>
      <w:r w:rsidR="005815E4">
        <w:t>creased chloride ion transport.</w:t>
      </w:r>
    </w:p>
    <w:p w:rsidR="003273F6" w:rsidRPr="003273F6" w:rsidRDefault="003273F6" w:rsidP="005815E4">
      <w:pPr>
        <w:pStyle w:val="Heading5"/>
      </w:pPr>
      <w:r w:rsidRPr="003273F6">
        <w:t>P</w:t>
      </w:r>
      <w:r w:rsidR="005815E4">
        <w:t>rimary pharmacodynamic effects</w:t>
      </w:r>
    </w:p>
    <w:p w:rsidR="003273F6" w:rsidRDefault="005815E4" w:rsidP="003273F6">
      <w:pPr>
        <w:pStyle w:val="Heading6"/>
      </w:pPr>
      <w:r>
        <w:t>Sweat chloride</w:t>
      </w:r>
    </w:p>
    <w:p w:rsidR="003273F6" w:rsidRPr="00C57926" w:rsidRDefault="003273F6" w:rsidP="005815E4">
      <w:pPr>
        <w:pStyle w:val="ListBullet"/>
      </w:pPr>
      <w:r w:rsidRPr="00C57926">
        <w:t>No PK/PD studies examined the effect of the FDC on sweat chloride in the target population.</w:t>
      </w:r>
    </w:p>
    <w:p w:rsidR="001829D6" w:rsidRPr="00C57926" w:rsidRDefault="003273F6" w:rsidP="005815E4">
      <w:pPr>
        <w:pStyle w:val="ListBullet"/>
      </w:pPr>
      <w:r w:rsidRPr="00C57926">
        <w:t>In patients with CF who were heterozygous for the F508del-CFTR mutation (</w:t>
      </w:r>
      <w:r w:rsidR="00511EB7">
        <w:t>that is</w:t>
      </w:r>
      <w:r w:rsidR="005815E4">
        <w:t xml:space="preserve">; </w:t>
      </w:r>
      <w:r w:rsidRPr="00C57926">
        <w:t>not the target</w:t>
      </w:r>
      <w:r w:rsidR="00C57926" w:rsidRPr="00C57926">
        <w:t xml:space="preserve"> </w:t>
      </w:r>
      <w:r w:rsidRPr="00C57926">
        <w:t xml:space="preserve">population), administration of the FDC at a dose of 400 mg LUM q12h + 250 mg IVA q12h resulted in a statistically significant reduction in sweat chloride levels in subjects who received the active FDC (-11.82 mmol/L; </w:t>
      </w:r>
      <w:r w:rsidR="001C171F">
        <w:t>p &lt;</w:t>
      </w:r>
      <w:r w:rsidR="00511EB7">
        <w:t xml:space="preserve"> </w:t>
      </w:r>
      <w:r w:rsidRPr="00C57926">
        <w:t xml:space="preserve">0.0001) compared to subjects who received a FDC containing the LUM component + placebo (-11.03 mmol/L; </w:t>
      </w:r>
      <w:r w:rsidR="00CC3BC8">
        <w:t>p</w:t>
      </w:r>
      <w:r w:rsidR="00661535">
        <w:t xml:space="preserve"> </w:t>
      </w:r>
      <w:r w:rsidR="00511EB7">
        <w:t>=</w:t>
      </w:r>
      <w:r w:rsidR="00661535">
        <w:t xml:space="preserve"> </w:t>
      </w:r>
      <w:r w:rsidR="00511EB7">
        <w:t xml:space="preserve">&lt; </w:t>
      </w:r>
      <w:r w:rsidRPr="00C57926">
        <w:t>0.0001).</w:t>
      </w:r>
    </w:p>
    <w:p w:rsidR="00C57926" w:rsidRPr="00C57926" w:rsidRDefault="00C57926" w:rsidP="005F7A8E">
      <w:pPr>
        <w:pStyle w:val="ListBullet"/>
      </w:pPr>
      <w:r w:rsidRPr="00C57926">
        <w:t>In subjects who were homozygous for the F508del-CFTR mutation, dosing with 200 mg LUM QD +250 mg IVA q12h dose of the free combination, but not 200 mg LUM QD + 150 mg IVA q12h, resulted in a statistically significant decrease in adjusted mean absolute change from Day 14 at Day 21 in sweat chloride values compared to placebo (</w:t>
      </w:r>
      <w:r w:rsidR="00D13AF6">
        <w:t>Δ</w:t>
      </w:r>
      <w:r w:rsidR="00661535">
        <w:t xml:space="preserve"> </w:t>
      </w:r>
      <w:r w:rsidR="00511EB7">
        <w:t>=</w:t>
      </w:r>
      <w:r w:rsidR="00661535">
        <w:t xml:space="preserve"> </w:t>
      </w:r>
      <w:r w:rsidRPr="00C57926">
        <w:t xml:space="preserve">-9.626 mmol/L; 95% Cl: -14.801, -4.551; </w:t>
      </w:r>
      <w:r w:rsidR="001C171F">
        <w:t>p &lt;</w:t>
      </w:r>
      <w:r w:rsidR="00511EB7">
        <w:t xml:space="preserve"> </w:t>
      </w:r>
      <w:r w:rsidR="005815E4">
        <w:t>0.001).</w:t>
      </w:r>
    </w:p>
    <w:p w:rsidR="00C57926" w:rsidRPr="00C57926" w:rsidRDefault="00C57926" w:rsidP="005815E4">
      <w:pPr>
        <w:pStyle w:val="ListBullet"/>
      </w:pPr>
      <w:r w:rsidRPr="00C57926">
        <w:t>Statistically significant within-group adjusted mean absolute changes from baseline in sweat</w:t>
      </w:r>
      <w:r>
        <w:t xml:space="preserve"> </w:t>
      </w:r>
      <w:r w:rsidRPr="00C57926">
        <w:t xml:space="preserve">chloride levels over the entire treatment period were observed for subjects who received </w:t>
      </w:r>
      <w:r w:rsidRPr="00C57926">
        <w:lastRenderedPageBreak/>
        <w:t xml:space="preserve">either 200 mg LUM QD + 250 mg IVA q12h (-12.561 mmol/L, </w:t>
      </w:r>
      <w:r w:rsidR="001C171F">
        <w:t>p &lt;</w:t>
      </w:r>
      <w:r w:rsidR="00511EB7">
        <w:t xml:space="preserve"> </w:t>
      </w:r>
      <w:r w:rsidRPr="00C57926">
        <w:t xml:space="preserve">0.001) or 200 mg LUM QD + 150 g IVA q12h group (-6.741 mmol/L, </w:t>
      </w:r>
      <w:r w:rsidR="00CC3BC8">
        <w:t>p</w:t>
      </w:r>
      <w:r w:rsidR="00661535">
        <w:t xml:space="preserve"> </w:t>
      </w:r>
      <w:r w:rsidR="00511EB7">
        <w:t>=</w:t>
      </w:r>
      <w:r w:rsidR="00661535">
        <w:t xml:space="preserve"> </w:t>
      </w:r>
      <w:r w:rsidRPr="00C57926">
        <w:t xml:space="preserve">0.003) as a free combination. However, although the treatment difference for the 200 mg LUM QD + 250 mg IVA q12h group compared to the combined placebo group in the mean absolute change from baseline at Day 21 in sweat chloride values was statistically significant (-10.86 mmol/L, </w:t>
      </w:r>
      <w:r w:rsidR="00CC3BC8">
        <w:t>p</w:t>
      </w:r>
      <w:r w:rsidR="00661535">
        <w:t xml:space="preserve"> </w:t>
      </w:r>
      <w:r w:rsidR="00511EB7">
        <w:t>=</w:t>
      </w:r>
      <w:r w:rsidR="00661535">
        <w:t xml:space="preserve"> </w:t>
      </w:r>
      <w:r w:rsidRPr="00C57926">
        <w:t xml:space="preserve">0.002), the treatment difference for the subjects who were administered 200 mg LUM QD + 150 mg IVA q12h group compared to the combined placebo group was not significant (-5.04 mmol/L, </w:t>
      </w:r>
      <w:r w:rsidR="00CC3BC8">
        <w:t>p</w:t>
      </w:r>
      <w:r w:rsidR="005815E4">
        <w:t> </w:t>
      </w:r>
      <w:r w:rsidR="00511EB7">
        <w:t>=</w:t>
      </w:r>
      <w:r w:rsidR="00661535">
        <w:t xml:space="preserve"> </w:t>
      </w:r>
      <w:r w:rsidR="005815E4">
        <w:t>0.126).</w:t>
      </w:r>
    </w:p>
    <w:p w:rsidR="00C57926" w:rsidRPr="00C57926" w:rsidRDefault="00C57926" w:rsidP="005815E4">
      <w:pPr>
        <w:pStyle w:val="ListBullet"/>
      </w:pPr>
      <w:r w:rsidRPr="00C57926">
        <w:t>The percentage of subjects who were considered sweat chloride responders to LUM monotherapy</w:t>
      </w:r>
      <w:r w:rsidR="00B34EC5">
        <w:t xml:space="preserve"> </w:t>
      </w:r>
      <w:r w:rsidRPr="00C57926">
        <w:t>or LUM in combination with IVA was higher in the active treatment groups compared to the monotherapy placebo grou</w:t>
      </w:r>
      <w:r w:rsidR="005815E4">
        <w:t>p or combination placebo group.</w:t>
      </w:r>
    </w:p>
    <w:p w:rsidR="00C57926" w:rsidRPr="00C57926" w:rsidRDefault="005815E4" w:rsidP="005815E4">
      <w:pPr>
        <w:pStyle w:val="ListBullet"/>
      </w:pPr>
      <w:r>
        <w:t>I</w:t>
      </w:r>
      <w:r w:rsidR="00C57926" w:rsidRPr="00C57926">
        <w:t>n a combined population of homozygous and heterozygous subjects who received a range of LUM</w:t>
      </w:r>
      <w:r w:rsidR="00B34EC5">
        <w:t xml:space="preserve"> </w:t>
      </w:r>
      <w:r>
        <w:t>doses (200 mg to</w:t>
      </w:r>
      <w:r w:rsidR="00C57926" w:rsidRPr="00C57926">
        <w:t xml:space="preserve"> 600 mg) in combination with 250 mg IVA q12h there were no statistically significant adjusted mean absolute changes in sweat chloride values from Day 28 at Day 56 in any active treatment group when analysed within group or in comparison to the combination placebo </w:t>
      </w:r>
      <w:r>
        <w:t>group.</w:t>
      </w:r>
    </w:p>
    <w:p w:rsidR="00C57926" w:rsidRPr="00C57926" w:rsidRDefault="00C57926" w:rsidP="005815E4">
      <w:pPr>
        <w:pStyle w:val="ListBullet"/>
      </w:pPr>
      <w:r w:rsidRPr="00C57926">
        <w:t>Population exposure-response analysis of sweat chloride response to treatment identified a final</w:t>
      </w:r>
      <w:r w:rsidR="00B34EC5">
        <w:t xml:space="preserve"> </w:t>
      </w:r>
      <w:r w:rsidRPr="00C57926">
        <w:t xml:space="preserve">structural model that consisted of an </w:t>
      </w:r>
      <w:r w:rsidR="00CC3BC8" w:rsidRPr="00CB1BAD">
        <w:t>E</w:t>
      </w:r>
      <w:r w:rsidR="00CC3BC8" w:rsidRPr="00CC3BC8">
        <w:rPr>
          <w:vertAlign w:val="subscript"/>
        </w:rPr>
        <w:t>max</w:t>
      </w:r>
      <w:r w:rsidRPr="00C57926">
        <w:t xml:space="preserve"> model, parameterised by </w:t>
      </w:r>
      <w:r w:rsidR="00CC3BC8" w:rsidRPr="00CB1BAD">
        <w:t>E</w:t>
      </w:r>
      <w:r w:rsidR="00CC3BC8" w:rsidRPr="00CC3BC8">
        <w:rPr>
          <w:vertAlign w:val="subscript"/>
        </w:rPr>
        <w:t>max</w:t>
      </w:r>
      <w:r w:rsidRPr="00C57926">
        <w:t xml:space="preserve"> and EC50, and an additional term, E</w:t>
      </w:r>
      <w:r w:rsidRPr="005815E4">
        <w:rPr>
          <w:vertAlign w:val="subscript"/>
        </w:rPr>
        <w:t>base</w:t>
      </w:r>
      <w:r w:rsidR="005815E4">
        <w:t xml:space="preserve">, which is the model </w:t>
      </w:r>
      <w:r w:rsidRPr="00C57926">
        <w:t xml:space="preserve">estimated sweat chloride baseline for each subject. The effect of the presence of IVA on sweat chloride response was statistically significant and was described best by a multiplicative term (E770m) applied to </w:t>
      </w:r>
      <w:r w:rsidR="00CC3BC8" w:rsidRPr="00CB1BAD">
        <w:t>E</w:t>
      </w:r>
      <w:r w:rsidR="00CC3BC8" w:rsidRPr="00CC3BC8">
        <w:rPr>
          <w:vertAlign w:val="subscript"/>
        </w:rPr>
        <w:t>max</w:t>
      </w:r>
      <w:r w:rsidR="005815E4">
        <w:t>.</w:t>
      </w:r>
    </w:p>
    <w:p w:rsidR="00B34EC5" w:rsidRDefault="00C57926" w:rsidP="00B34EC5">
      <w:pPr>
        <w:pStyle w:val="Heading6"/>
      </w:pPr>
      <w:r w:rsidRPr="00C57926">
        <w:t>Lung function – target population (homozygous for F508del</w:t>
      </w:r>
      <w:r w:rsidR="008034DD">
        <w:t>-CFTR mutation)</w:t>
      </w:r>
    </w:p>
    <w:p w:rsidR="001829D6" w:rsidRPr="00B34EC5" w:rsidRDefault="00C57926" w:rsidP="008034DD">
      <w:pPr>
        <w:pStyle w:val="ListBullet"/>
      </w:pPr>
      <w:r w:rsidRPr="00B34EC5">
        <w:t xml:space="preserve">No PK/PD studies examined the effects of the FDC on lung function in the target </w:t>
      </w:r>
      <w:r w:rsidR="00D13AF6" w:rsidRPr="00B34EC5">
        <w:t>population (</w:t>
      </w:r>
      <w:r w:rsidRPr="00B34EC5">
        <w:t>homozygous subjects).</w:t>
      </w:r>
    </w:p>
    <w:p w:rsidR="00B34EC5" w:rsidRPr="00B34EC5" w:rsidRDefault="00B34EC5" w:rsidP="008034DD">
      <w:pPr>
        <w:pStyle w:val="ListBullet"/>
      </w:pPr>
      <w:r w:rsidRPr="00B34EC5">
        <w:t xml:space="preserve">In the target population administered the free combination (200 mg LUM QD + 150 mg IVA q12h)statistically significant decreases in adjusted mean absolute change from Day 14 at Day 21 in </w:t>
      </w:r>
      <w:r w:rsidR="00A8789D" w:rsidRPr="001D064D">
        <w:t>FEV</w:t>
      </w:r>
      <w:r w:rsidR="00A8789D" w:rsidRPr="00A8789D">
        <w:rPr>
          <w:vertAlign w:val="subscript"/>
        </w:rPr>
        <w:t>1</w:t>
      </w:r>
      <w:r w:rsidRPr="00B34EC5">
        <w:t xml:space="preserve"> and pp</w:t>
      </w:r>
      <w:r w:rsidR="00A8789D" w:rsidRPr="001D064D">
        <w:t>FEV</w:t>
      </w:r>
      <w:r w:rsidR="00A8789D" w:rsidRPr="00A8789D">
        <w:rPr>
          <w:vertAlign w:val="subscript"/>
        </w:rPr>
        <w:t>1</w:t>
      </w:r>
      <w:r w:rsidRPr="00B34EC5">
        <w:t xml:space="preserve"> compared to placebo (</w:t>
      </w:r>
      <w:r w:rsidR="00D13AF6">
        <w:t>Δ</w:t>
      </w:r>
      <w:r w:rsidR="00661535">
        <w:t xml:space="preserve"> </w:t>
      </w:r>
      <w:r w:rsidR="00511EB7">
        <w:t>=</w:t>
      </w:r>
      <w:r w:rsidR="00661535">
        <w:t xml:space="preserve"> </w:t>
      </w:r>
      <w:r w:rsidRPr="00B34EC5">
        <w:t>0</w:t>
      </w:r>
      <w:r w:rsidR="005815E4">
        <w:t>.174 L and 4.9%, respectively).</w:t>
      </w:r>
    </w:p>
    <w:p w:rsidR="00B34EC5" w:rsidRPr="00B34EC5" w:rsidRDefault="00B34EC5" w:rsidP="008034DD">
      <w:pPr>
        <w:pStyle w:val="ListBullet"/>
      </w:pPr>
      <w:r w:rsidRPr="00B34EC5">
        <w:t>Following administration of 200 mg LUM QD + 250 mg IVA q12h to the target population absolute</w:t>
      </w:r>
      <w:r>
        <w:t xml:space="preserve"> </w:t>
      </w:r>
      <w:r w:rsidRPr="00B34EC5">
        <w:t xml:space="preserve">changes from Day 14 at Day 21 in </w:t>
      </w:r>
      <w:r w:rsidR="00A8789D" w:rsidRPr="001D064D">
        <w:t>FEV</w:t>
      </w:r>
      <w:r w:rsidR="00A8789D" w:rsidRPr="00A8789D">
        <w:rPr>
          <w:vertAlign w:val="subscript"/>
        </w:rPr>
        <w:t>1</w:t>
      </w:r>
      <w:r w:rsidRPr="00B34EC5">
        <w:t xml:space="preserve"> and pp</w:t>
      </w:r>
      <w:r w:rsidR="00A8789D" w:rsidRPr="001D064D">
        <w:t>FEV</w:t>
      </w:r>
      <w:r w:rsidR="00A8789D" w:rsidRPr="00A8789D">
        <w:rPr>
          <w:vertAlign w:val="subscript"/>
        </w:rPr>
        <w:t>1</w:t>
      </w:r>
      <w:r w:rsidRPr="00B34EC5">
        <w:t xml:space="preserve"> were not signif</w:t>
      </w:r>
      <w:r w:rsidR="005815E4">
        <w:t>icantly different from placebo.</w:t>
      </w:r>
    </w:p>
    <w:p w:rsidR="00B34EC5" w:rsidRPr="00B34EC5" w:rsidRDefault="00B34EC5" w:rsidP="008034DD">
      <w:pPr>
        <w:pStyle w:val="ListBullet"/>
      </w:pPr>
      <w:r w:rsidRPr="00B34EC5">
        <w:t xml:space="preserve">Over the entire treatment period (from Day 1 to 21) there were no treatment differences in </w:t>
      </w:r>
      <w:r w:rsidR="00A8789D" w:rsidRPr="001D064D">
        <w:t>FEV</w:t>
      </w:r>
      <w:r w:rsidR="00A8789D" w:rsidRPr="00A8789D">
        <w:rPr>
          <w:vertAlign w:val="subscript"/>
        </w:rPr>
        <w:t>1</w:t>
      </w:r>
      <w:r w:rsidRPr="00B34EC5">
        <w:t>or pp</w:t>
      </w:r>
      <w:r w:rsidR="00A8789D" w:rsidRPr="001D064D">
        <w:t>FEV</w:t>
      </w:r>
      <w:r w:rsidR="00A8789D" w:rsidRPr="00A8789D">
        <w:rPr>
          <w:vertAlign w:val="subscript"/>
        </w:rPr>
        <w:t>1</w:t>
      </w:r>
      <w:r w:rsidRPr="00B34EC5">
        <w:t xml:space="preserve"> following administration of 200 mg LUM QD + 150 mg IVA q12h compared to plac</w:t>
      </w:r>
      <w:r w:rsidR="005815E4">
        <w:t>ebo.</w:t>
      </w:r>
    </w:p>
    <w:p w:rsidR="00B34EC5" w:rsidRPr="00B34EC5" w:rsidRDefault="00B34EC5" w:rsidP="008034DD">
      <w:pPr>
        <w:pStyle w:val="ListBullet"/>
      </w:pPr>
      <w:r w:rsidRPr="00B34EC5">
        <w:t xml:space="preserve">The percentage of subjects who were considered </w:t>
      </w:r>
      <w:r w:rsidR="00A8789D" w:rsidRPr="001D064D">
        <w:t>FEV</w:t>
      </w:r>
      <w:r w:rsidR="00A8789D" w:rsidRPr="00A8789D">
        <w:rPr>
          <w:vertAlign w:val="subscript"/>
        </w:rPr>
        <w:t>1</w:t>
      </w:r>
      <w:r w:rsidRPr="00B34EC5">
        <w:t xml:space="preserve"> responders was similar in both the LUM</w:t>
      </w:r>
      <w:r>
        <w:t xml:space="preserve"> </w:t>
      </w:r>
      <w:r w:rsidRPr="00B34EC5">
        <w:t xml:space="preserve">monotherapy and the placebo monotherapy groups, whereas, following administration of LUM in combination with IVA the percentage of </w:t>
      </w:r>
      <w:r w:rsidR="00A8789D" w:rsidRPr="001D064D">
        <w:t>FEV</w:t>
      </w:r>
      <w:r w:rsidR="00A8789D" w:rsidRPr="00A8789D">
        <w:rPr>
          <w:vertAlign w:val="subscript"/>
        </w:rPr>
        <w:t>1</w:t>
      </w:r>
      <w:r w:rsidRPr="00B34EC5">
        <w:t xml:space="preserve"> responders was higher in the active treatment group than in</w:t>
      </w:r>
      <w:r w:rsidR="005815E4">
        <w:t xml:space="preserve"> the combination placebo group.</w:t>
      </w:r>
    </w:p>
    <w:p w:rsidR="00B34EC5" w:rsidRPr="00B34EC5" w:rsidRDefault="00B34EC5" w:rsidP="008034DD">
      <w:pPr>
        <w:pStyle w:val="ListBullet"/>
      </w:pPr>
      <w:r w:rsidRPr="00B34EC5">
        <w:t xml:space="preserve">Following administration of the free combination as either 600 mg LUM QD + 250 mg IVA q12h or400 mg LUM q12h + 250 mg IVA q12h, statistically significant differences in the mean relative change from Day 28 at Day 56 compared to placebo were identified. In addition, statistically significant differences in absolute change from baseline at Day 56 in </w:t>
      </w:r>
      <w:r w:rsidR="00A8789D" w:rsidRPr="001D064D">
        <w:t>FEV</w:t>
      </w:r>
      <w:r w:rsidR="00A8789D" w:rsidRPr="00A8789D">
        <w:rPr>
          <w:vertAlign w:val="subscript"/>
        </w:rPr>
        <w:t>1</w:t>
      </w:r>
      <w:r w:rsidRPr="00B34EC5">
        <w:t xml:space="preserve"> and pp</w:t>
      </w:r>
      <w:r w:rsidR="00A8789D" w:rsidRPr="001D064D">
        <w:t>FEV</w:t>
      </w:r>
      <w:r w:rsidR="00A8789D" w:rsidRPr="00A8789D">
        <w:rPr>
          <w:vertAlign w:val="subscript"/>
        </w:rPr>
        <w:t>1</w:t>
      </w:r>
      <w:r w:rsidRPr="00B34EC5">
        <w:t xml:space="preserve"> compared to placebo were identified following administration of 600 mg LUM </w:t>
      </w:r>
      <w:r w:rsidR="005815E4">
        <w:t>QD + 250 mg IVA q12h.</w:t>
      </w:r>
    </w:p>
    <w:p w:rsidR="00B34EC5" w:rsidRDefault="00B34EC5" w:rsidP="00B34EC5">
      <w:pPr>
        <w:pStyle w:val="Heading6"/>
      </w:pPr>
      <w:r w:rsidRPr="00B34EC5">
        <w:t>Lung fun</w:t>
      </w:r>
      <w:r w:rsidR="008034DD">
        <w:t>ction – heterozygous population</w:t>
      </w:r>
    </w:p>
    <w:p w:rsidR="001829D6" w:rsidRPr="00B34EC5" w:rsidRDefault="00B34EC5" w:rsidP="00B34EC5">
      <w:r w:rsidRPr="00B34EC5">
        <w:t>Following administration of the FDC (400 mg LUM q12h + 250 mg IVA q12h) to heterozygous CF</w:t>
      </w:r>
      <w:r w:rsidR="008034DD">
        <w:t xml:space="preserve"> </w:t>
      </w:r>
      <w:r w:rsidRPr="00B34EC5">
        <w:t>subjects there was no statistically significant LS mean absolute or relative change from baseline at Day 56 in pp</w:t>
      </w:r>
      <w:r w:rsidR="00A8789D" w:rsidRPr="001D064D">
        <w:t>FEV</w:t>
      </w:r>
      <w:r w:rsidR="00A8789D" w:rsidRPr="00A8789D">
        <w:rPr>
          <w:vertAlign w:val="subscript"/>
        </w:rPr>
        <w:t>1</w:t>
      </w:r>
      <w:r w:rsidRPr="00B34EC5">
        <w:t xml:space="preserve"> compared to placebo.</w:t>
      </w:r>
    </w:p>
    <w:p w:rsidR="00B34EC5" w:rsidRDefault="008034DD" w:rsidP="00B34EC5">
      <w:pPr>
        <w:pStyle w:val="Heading6"/>
      </w:pPr>
      <w:r>
        <w:lastRenderedPageBreak/>
        <w:t>CFQ-R</w:t>
      </w:r>
    </w:p>
    <w:p w:rsidR="00B34EC5" w:rsidRPr="00B34EC5" w:rsidRDefault="00B34EC5" w:rsidP="00B34EC5">
      <w:r w:rsidRPr="00B34EC5">
        <w:t>Following treatment with LUM alone there were no clear or sustained improvements in any CF</w:t>
      </w:r>
      <w:r w:rsidR="008034DD">
        <w:t>Q-R domain compared to placebo.</w:t>
      </w:r>
    </w:p>
    <w:p w:rsidR="00B34EC5" w:rsidRPr="00B34EC5" w:rsidRDefault="00B34EC5" w:rsidP="008034DD">
      <w:pPr>
        <w:pStyle w:val="Heading5"/>
      </w:pPr>
      <w:r w:rsidRPr="00B34EC5">
        <w:t>Se</w:t>
      </w:r>
      <w:r w:rsidR="008034DD">
        <w:t>condary pharmacodynamic effects</w:t>
      </w:r>
    </w:p>
    <w:p w:rsidR="00B34EC5" w:rsidRDefault="008034DD" w:rsidP="008034DD">
      <w:pPr>
        <w:pStyle w:val="Heading6"/>
      </w:pPr>
      <w:r>
        <w:t>Effects on QT interval</w:t>
      </w:r>
    </w:p>
    <w:p w:rsidR="00B34EC5" w:rsidRPr="00B34EC5" w:rsidRDefault="00B34EC5" w:rsidP="00B34EC5">
      <w:r w:rsidRPr="00B34EC5">
        <w:t>Following therapeutic and</w:t>
      </w:r>
      <w:r w:rsidR="008034DD">
        <w:t xml:space="preserve"> supra </w:t>
      </w:r>
      <w:r w:rsidRPr="00B34EC5">
        <w:t>therapeutic doses of LUM/IVA, the active combination did not prolong the QTc interval to a</w:t>
      </w:r>
      <w:r w:rsidR="008034DD">
        <w:t xml:space="preserve"> clinically significant degree.</w:t>
      </w:r>
    </w:p>
    <w:p w:rsidR="00B34EC5" w:rsidRDefault="008034DD" w:rsidP="008034DD">
      <w:pPr>
        <w:pStyle w:val="Heading6"/>
      </w:pPr>
      <w:r>
        <w:t>Body weight</w:t>
      </w:r>
    </w:p>
    <w:p w:rsidR="00B34EC5" w:rsidRPr="00B34EC5" w:rsidRDefault="00B34EC5" w:rsidP="00B34EC5">
      <w:r w:rsidRPr="00B34EC5">
        <w:t>Treatment with LUM in combination with IVA did not result in an</w:t>
      </w:r>
      <w:r w:rsidR="008034DD">
        <w:t>y improvement in BMI or weight.</w:t>
      </w:r>
    </w:p>
    <w:p w:rsidR="00B34EC5" w:rsidRDefault="00B34EC5" w:rsidP="008034DD">
      <w:pPr>
        <w:pStyle w:val="Heading5"/>
      </w:pPr>
      <w:r w:rsidRPr="00B34EC5">
        <w:t>Time course of p</w:t>
      </w:r>
      <w:r w:rsidR="008034DD">
        <w:t>harmacodynamic effects</w:t>
      </w:r>
    </w:p>
    <w:p w:rsidR="00B34EC5" w:rsidRPr="00B34EC5" w:rsidRDefault="00B34EC5" w:rsidP="008034DD">
      <w:pPr>
        <w:pStyle w:val="ListBullet"/>
      </w:pPr>
      <w:r w:rsidRPr="00B34EC5">
        <w:t>In subjects with CF who were homozygous for the F508del-CFTR mutation, reductions from baseline in mean sweat chloride were observed as early as Day 7 following administration of 50, 100, and 200 mg LUM alone and tended to be largest in the 200 mg group. The magnitude of decreases in these 3 groups did not increase with time, and the decreases w</w:t>
      </w:r>
      <w:r w:rsidR="008034DD">
        <w:t>ere not sustained at follow-up.</w:t>
      </w:r>
    </w:p>
    <w:p w:rsidR="00B34EC5" w:rsidRPr="00B34EC5" w:rsidRDefault="00B34EC5" w:rsidP="008034DD">
      <w:pPr>
        <w:pStyle w:val="ListBullet"/>
      </w:pPr>
      <w:r w:rsidRPr="00B34EC5">
        <w:t>In homozygous subjects, following co-administration with 400 mg LUM q12h/250 mg IVA q12h as a free combination, the LS mean difference of absolute change in sw</w:t>
      </w:r>
      <w:r w:rsidR="008034DD">
        <w:t xml:space="preserve">eat chloride from baseline was </w:t>
      </w:r>
      <w:r w:rsidR="008034DD">
        <w:noBreakHyphen/>
      </w:r>
      <w:r w:rsidRPr="00B34EC5">
        <w:t xml:space="preserve">2.154 and the treatment difference </w:t>
      </w:r>
      <w:r w:rsidR="008034DD">
        <w:t xml:space="preserve">verses combination placebo was </w:t>
      </w:r>
      <w:r w:rsidR="008034DD">
        <w:noBreakHyphen/>
      </w:r>
      <w:r w:rsidRPr="00B34EC5">
        <w:t>3.78. Following administration of 400 mg LUM QD/250</w:t>
      </w:r>
      <w:r w:rsidR="008034DD">
        <w:t xml:space="preserve"> mg IVA q12h these values were </w:t>
      </w:r>
      <w:r w:rsidR="008034DD">
        <w:noBreakHyphen/>
        <w:t xml:space="preserve">1.04 and </w:t>
      </w:r>
      <w:r w:rsidR="008034DD">
        <w:noBreakHyphen/>
      </w:r>
      <w:r w:rsidRPr="00B34EC5">
        <w:t xml:space="preserve">2.67, respectively. However, none of these differences reached statistical significance with </w:t>
      </w:r>
      <w:r w:rsidR="00CC3BC8">
        <w:t>p</w:t>
      </w:r>
      <w:r w:rsidRPr="00B34EC5">
        <w:t xml:space="preserve"> valu</w:t>
      </w:r>
      <w:r w:rsidR="008034DD">
        <w:t>es ranging from 0.365 to 0.664.</w:t>
      </w:r>
    </w:p>
    <w:p w:rsidR="00B34EC5" w:rsidRPr="00B34EC5" w:rsidRDefault="00B34EC5" w:rsidP="008034DD">
      <w:pPr>
        <w:pStyle w:val="ListBullet"/>
      </w:pPr>
      <w:r w:rsidRPr="00B34EC5">
        <w:t>When LUM was administered q12h in combination with IVA there were significant differences in both LS mean relative change from Day 28 (</w:t>
      </w:r>
      <w:r w:rsidR="00D13AF6">
        <w:t>Δ</w:t>
      </w:r>
      <w:r w:rsidR="00661535">
        <w:t xml:space="preserve"> </w:t>
      </w:r>
      <w:r w:rsidR="00511EB7">
        <w:t>=</w:t>
      </w:r>
      <w:r w:rsidR="00661535">
        <w:t xml:space="preserve"> </w:t>
      </w:r>
      <w:r w:rsidRPr="00B34EC5">
        <w:t xml:space="preserve">8.24, </w:t>
      </w:r>
      <w:r w:rsidR="00CC3BC8">
        <w:t>p</w:t>
      </w:r>
      <w:r w:rsidR="00661535">
        <w:t xml:space="preserve"> </w:t>
      </w:r>
      <w:r w:rsidR="00511EB7">
        <w:t>=</w:t>
      </w:r>
      <w:r w:rsidR="00661535">
        <w:t xml:space="preserve"> </w:t>
      </w:r>
      <w:r w:rsidRPr="00B34EC5">
        <w:t>0.012) and treatment difference verses placebo (</w:t>
      </w:r>
      <w:r w:rsidR="00D13AF6">
        <w:t>Δ</w:t>
      </w:r>
      <w:r w:rsidR="00661535">
        <w:t xml:space="preserve"> </w:t>
      </w:r>
      <w:r w:rsidR="00511EB7">
        <w:t>=</w:t>
      </w:r>
      <w:r w:rsidR="00661535">
        <w:t xml:space="preserve"> </w:t>
      </w:r>
      <w:r w:rsidRPr="00B34EC5">
        <w:t xml:space="preserve">10.3, </w:t>
      </w:r>
      <w:r w:rsidR="00CC3BC8">
        <w:t>p</w:t>
      </w:r>
      <w:r w:rsidR="00661535">
        <w:t xml:space="preserve"> </w:t>
      </w:r>
      <w:r w:rsidR="00511EB7">
        <w:t>=</w:t>
      </w:r>
      <w:r w:rsidR="00661535">
        <w:t xml:space="preserve"> </w:t>
      </w:r>
      <w:r w:rsidRPr="00B34EC5">
        <w:t>0.010) in pp</w:t>
      </w:r>
      <w:r w:rsidR="00A8789D" w:rsidRPr="001D064D">
        <w:t>FEV</w:t>
      </w:r>
      <w:r w:rsidR="00A8789D" w:rsidRPr="00A8789D">
        <w:rPr>
          <w:vertAlign w:val="subscript"/>
        </w:rPr>
        <w:t>1</w:t>
      </w:r>
      <w:r w:rsidRPr="00B34EC5">
        <w:t>, whereas, there was no significant difference in these measures when LUM was administe</w:t>
      </w:r>
      <w:r w:rsidR="008034DD">
        <w:t>red QD in combination with IVA.</w:t>
      </w:r>
    </w:p>
    <w:p w:rsidR="00B34EC5" w:rsidRPr="00B34EC5" w:rsidRDefault="00B34EC5" w:rsidP="008034DD">
      <w:pPr>
        <w:pStyle w:val="Heading5"/>
      </w:pPr>
      <w:r w:rsidRPr="00B34EC5">
        <w:t xml:space="preserve">Relationship between drug concentration </w:t>
      </w:r>
      <w:r w:rsidR="008034DD">
        <w:t>and pharmacodynamic effects</w:t>
      </w:r>
    </w:p>
    <w:p w:rsidR="00B34EC5" w:rsidRDefault="008034DD" w:rsidP="008034DD">
      <w:pPr>
        <w:pStyle w:val="Heading6"/>
      </w:pPr>
      <w:r>
        <w:t xml:space="preserve">Sweat </w:t>
      </w:r>
      <w:r w:rsidR="005F7A8E">
        <w:t>c</w:t>
      </w:r>
      <w:r>
        <w:t>hloride</w:t>
      </w:r>
    </w:p>
    <w:p w:rsidR="00B34EC5" w:rsidRPr="00B34EC5" w:rsidRDefault="00B34EC5" w:rsidP="00B34EC5">
      <w:r w:rsidRPr="00B34EC5">
        <w:t xml:space="preserve">In the target population, although, LUM AUC and </w:t>
      </w:r>
      <w:r w:rsidR="00511EB7" w:rsidRPr="002227DB">
        <w:t>C</w:t>
      </w:r>
      <w:r w:rsidR="00511EB7" w:rsidRPr="00511EB7">
        <w:rPr>
          <w:vertAlign w:val="subscript"/>
        </w:rPr>
        <w:t>min</w:t>
      </w:r>
      <w:r w:rsidRPr="00B34EC5">
        <w:t xml:space="preserve"> values were 1.28</w:t>
      </w:r>
      <w:r w:rsidR="00511EB7">
        <w:t xml:space="preserve"> fold</w:t>
      </w:r>
      <w:r w:rsidRPr="00B34EC5">
        <w:t xml:space="preserve"> and 1.83</w:t>
      </w:r>
      <w:r w:rsidR="00511EB7">
        <w:t xml:space="preserve"> fold</w:t>
      </w:r>
      <w:r w:rsidRPr="00B34EC5">
        <w:t xml:space="preserve"> higher, respectively, following administration of 400 mg LUM q12h/250 mg IVA q12h than following 600 mg LUM QD/250 mg IVA q12h, the treatment difference for sweat chloride from Day 28 at Day 56 was lo</w:t>
      </w:r>
      <w:r w:rsidR="008034DD">
        <w:t>wer following 400 mg LUM q12h (</w:t>
      </w:r>
      <w:r w:rsidR="008034DD">
        <w:noBreakHyphen/>
      </w:r>
      <w:r w:rsidRPr="00B34EC5">
        <w:t>3.78)</w:t>
      </w:r>
      <w:r w:rsidR="008034DD">
        <w:t xml:space="preserve"> than following 600 mg LUM QD (</w:t>
      </w:r>
      <w:r w:rsidR="008034DD">
        <w:noBreakHyphen/>
      </w:r>
      <w:r w:rsidRPr="00B34EC5">
        <w:t>4.53).</w:t>
      </w:r>
      <w:r>
        <w:t xml:space="preserve"> </w:t>
      </w:r>
      <w:r w:rsidRPr="00B34EC5">
        <w:t>It should be noted that neither of these treatment differences were statistically significant (</w:t>
      </w:r>
      <w:r w:rsidR="00CC3BC8">
        <w:t>p</w:t>
      </w:r>
      <w:r w:rsidR="008034DD">
        <w:t> </w:t>
      </w:r>
      <w:r w:rsidR="00511EB7">
        <w:t>=</w:t>
      </w:r>
      <w:r w:rsidR="008034DD">
        <w:t> </w:t>
      </w:r>
      <w:r w:rsidRPr="00B34EC5">
        <w:t>0.365 and 0.161, respectively) and given the relatively minor improvement in sweat chloride following dosing with 600 mg LUM QD (</w:t>
      </w:r>
      <w:r w:rsidR="00661535">
        <w:t xml:space="preserve">approximately </w:t>
      </w:r>
      <w:r w:rsidRPr="00B34EC5">
        <w:t>1.2</w:t>
      </w:r>
      <w:r w:rsidR="00511EB7">
        <w:t xml:space="preserve"> fold</w:t>
      </w:r>
      <w:r w:rsidRPr="00B34EC5">
        <w:t>), any difference in sweat chloride response between the two dosing regimens is unlikely to be clinically s</w:t>
      </w:r>
      <w:r w:rsidR="008034DD">
        <w:t>ignificant.</w:t>
      </w:r>
    </w:p>
    <w:p w:rsidR="00B34EC5" w:rsidRDefault="008034DD" w:rsidP="008034DD">
      <w:pPr>
        <w:pStyle w:val="Heading6"/>
      </w:pPr>
      <w:r>
        <w:t xml:space="preserve">Pulmonary </w:t>
      </w:r>
      <w:r w:rsidR="005F7A8E">
        <w:t>f</w:t>
      </w:r>
      <w:r>
        <w:t>unction</w:t>
      </w:r>
    </w:p>
    <w:p w:rsidR="00B34EC5" w:rsidRPr="00B34EC5" w:rsidRDefault="00B34EC5" w:rsidP="00B34EC5">
      <w:r w:rsidRPr="00B34EC5">
        <w:t xml:space="preserve">Despite evidence of higher LUM AUC and </w:t>
      </w:r>
      <w:r w:rsidR="00511EB7" w:rsidRPr="002227DB">
        <w:t>C</w:t>
      </w:r>
      <w:r w:rsidR="00511EB7" w:rsidRPr="00511EB7">
        <w:rPr>
          <w:vertAlign w:val="subscript"/>
        </w:rPr>
        <w:t>min</w:t>
      </w:r>
      <w:r w:rsidRPr="00B34EC5">
        <w:t xml:space="preserve"> values following administration of 400 mg LUM q12h/250 mg IVA q12h, the greatest improvement in lung function in the target population, based on pp</w:t>
      </w:r>
      <w:r w:rsidR="00A8789D" w:rsidRPr="001D064D">
        <w:t>FEV</w:t>
      </w:r>
      <w:r w:rsidR="00A8789D" w:rsidRPr="00A8789D">
        <w:rPr>
          <w:vertAlign w:val="subscript"/>
        </w:rPr>
        <w:t>1</w:t>
      </w:r>
      <w:r w:rsidRPr="00B34EC5">
        <w:t>, was seen in the group receiving 600 mg LUM QD/250 mg IVA q12h. No clear trends between LUM or IVA average trough concentrations versus absolute change in pp</w:t>
      </w:r>
      <w:r w:rsidR="00A8789D" w:rsidRPr="001D064D">
        <w:t>FEV</w:t>
      </w:r>
      <w:r w:rsidR="00A8789D" w:rsidRPr="00A8789D">
        <w:rPr>
          <w:vertAlign w:val="subscript"/>
        </w:rPr>
        <w:t>1</w:t>
      </w:r>
      <w:r w:rsidRPr="00B34EC5">
        <w:t xml:space="preserve"> were identified. In an analysis of pp</w:t>
      </w:r>
      <w:r w:rsidR="00A8789D" w:rsidRPr="001D064D">
        <w:t>FEV</w:t>
      </w:r>
      <w:r w:rsidR="00A8789D" w:rsidRPr="00A8789D">
        <w:rPr>
          <w:vertAlign w:val="subscript"/>
        </w:rPr>
        <w:t>1</w:t>
      </w:r>
      <w:r w:rsidRPr="00B34EC5">
        <w:t xml:space="preserve"> responders, who were defined as </w:t>
      </w:r>
      <w:r w:rsidR="00511EB7">
        <w:t xml:space="preserve">&gt; </w:t>
      </w:r>
      <w:r w:rsidRPr="00B34EC5">
        <w:t xml:space="preserve">5% average relative change in percent predicted </w:t>
      </w:r>
      <w:r w:rsidR="00A8789D" w:rsidRPr="001D064D">
        <w:t>FEV</w:t>
      </w:r>
      <w:r w:rsidR="00A8789D" w:rsidRPr="00A8789D">
        <w:rPr>
          <w:vertAlign w:val="subscript"/>
        </w:rPr>
        <w:t>1</w:t>
      </w:r>
      <w:r w:rsidRPr="00B34EC5">
        <w:t xml:space="preserve"> (pp</w:t>
      </w:r>
      <w:r w:rsidR="00A8789D" w:rsidRPr="001D064D">
        <w:t>FEV</w:t>
      </w:r>
      <w:r w:rsidR="00A8789D" w:rsidRPr="00A8789D">
        <w:rPr>
          <w:vertAlign w:val="subscript"/>
        </w:rPr>
        <w:t>1</w:t>
      </w:r>
      <w:r w:rsidRPr="00B34EC5">
        <w:t xml:space="preserve">) from Week 16 to Week 24 and non-responders as </w:t>
      </w:r>
      <w:r w:rsidR="00511EB7">
        <w:t xml:space="preserve">&lt; </w:t>
      </w:r>
      <w:r w:rsidRPr="00B34EC5">
        <w:t>5% average relative change in pp</w:t>
      </w:r>
      <w:r w:rsidR="00A8789D" w:rsidRPr="001D064D">
        <w:t>FEV</w:t>
      </w:r>
      <w:r w:rsidR="00A8789D" w:rsidRPr="00A8789D">
        <w:rPr>
          <w:vertAlign w:val="subscript"/>
        </w:rPr>
        <w:t>1</w:t>
      </w:r>
      <w:r w:rsidRPr="00B34EC5">
        <w:t xml:space="preserve"> from Week 16 to Week 24 there was no clear differentiation in exposure between responders and non-responders. In addition, no differentiation in exposure between subjects with and without pulmonary exacerbation events </w:t>
      </w:r>
      <w:r w:rsidRPr="00B34EC5">
        <w:lastRenderedPageBreak/>
        <w:t>could be identified. Nor was there a clear differentiation in exposure between subjects with and without pulmonary exacerbation hospitalisat</w:t>
      </w:r>
      <w:r w:rsidR="008034DD">
        <w:t xml:space="preserve">ion visits. By contrast, a dose </w:t>
      </w:r>
      <w:r w:rsidRPr="00B34EC5">
        <w:t>dependent decline in pp</w:t>
      </w:r>
      <w:r w:rsidR="00A8789D" w:rsidRPr="001D064D">
        <w:t>FEV</w:t>
      </w:r>
      <w:r w:rsidR="00A8789D" w:rsidRPr="00A8789D">
        <w:rPr>
          <w:vertAlign w:val="subscript"/>
        </w:rPr>
        <w:t>1</w:t>
      </w:r>
      <w:r w:rsidRPr="00B34EC5">
        <w:t xml:space="preserve"> was identified following a range of LUM doses when administered as a monother</w:t>
      </w:r>
      <w:r w:rsidR="008034DD">
        <w:t xml:space="preserve">apy, with a significant within </w:t>
      </w:r>
      <w:r w:rsidRPr="00B34EC5">
        <w:t>group decline identified in the 400 mg LUM q12h group (</w:t>
      </w:r>
      <w:r w:rsidR="00CC3BC8">
        <w:t>p</w:t>
      </w:r>
      <w:r w:rsidR="00661535">
        <w:t xml:space="preserve"> </w:t>
      </w:r>
      <w:r w:rsidR="00511EB7">
        <w:t>=</w:t>
      </w:r>
      <w:r w:rsidR="00661535">
        <w:t xml:space="preserve"> </w:t>
      </w:r>
      <w:r w:rsidRPr="00B34EC5">
        <w:t xml:space="preserve">0.032). However, there were no clear trends between LUM </w:t>
      </w:r>
      <w:proofErr w:type="gramStart"/>
      <w:r w:rsidRPr="00B34EC5">
        <w:t>or</w:t>
      </w:r>
      <w:proofErr w:type="gramEnd"/>
      <w:r w:rsidRPr="00B34EC5">
        <w:t xml:space="preserve"> IVA average trough concentrations</w:t>
      </w:r>
      <w:r w:rsidR="008034DD">
        <w:t xml:space="preserve"> and absolute change in pp</w:t>
      </w:r>
      <w:r w:rsidR="00A8789D" w:rsidRPr="001D064D">
        <w:t>FEV</w:t>
      </w:r>
      <w:r w:rsidR="00A8789D" w:rsidRPr="00A8789D">
        <w:rPr>
          <w:vertAlign w:val="subscript"/>
        </w:rPr>
        <w:t>1</w:t>
      </w:r>
      <w:r w:rsidR="008034DD">
        <w:t>.</w:t>
      </w:r>
    </w:p>
    <w:p w:rsidR="00B34EC5" w:rsidRDefault="008034DD" w:rsidP="008034DD">
      <w:pPr>
        <w:pStyle w:val="Heading6"/>
      </w:pPr>
      <w:r>
        <w:t>Liver function</w:t>
      </w:r>
    </w:p>
    <w:p w:rsidR="00B34EC5" w:rsidRPr="00B34EC5" w:rsidRDefault="00B34EC5" w:rsidP="00B34EC5">
      <w:r w:rsidRPr="00B34EC5">
        <w:t xml:space="preserve">Linear regression analysis of LUM </w:t>
      </w:r>
      <w:r w:rsidR="00661535" w:rsidRPr="007F4B4F">
        <w:t>C</w:t>
      </w:r>
      <w:r w:rsidR="00661535" w:rsidRPr="00661535">
        <w:rPr>
          <w:vertAlign w:val="subscript"/>
        </w:rPr>
        <w:t>trough</w:t>
      </w:r>
      <w:r w:rsidRPr="00B34EC5">
        <w:t>,</w:t>
      </w:r>
      <w:r w:rsidR="008034DD">
        <w:t xml:space="preserve"> </w:t>
      </w:r>
      <w:r w:rsidRPr="00DC3314">
        <w:rPr>
          <w:vertAlign w:val="subscript"/>
        </w:rPr>
        <w:t>ave</w:t>
      </w:r>
      <w:r w:rsidRPr="00B34EC5">
        <w:t xml:space="preserve"> versus absolute change in creatinine clearance by dose groups did not identify any trends between LUM pre-dose concentration and baseline creatinine clearance. In addition, no clear trends were observed between Day 15 concentrations of LUM or IVA and absolute change in ALT or AST.</w:t>
      </w:r>
    </w:p>
    <w:p w:rsidR="00B34EC5" w:rsidRDefault="008034DD" w:rsidP="008034DD">
      <w:pPr>
        <w:pStyle w:val="Heading6"/>
      </w:pPr>
      <w:r>
        <w:t xml:space="preserve">Genetic, gender and age </w:t>
      </w:r>
      <w:r w:rsidR="00B34EC5" w:rsidRPr="00B34EC5">
        <w:t>related differen</w:t>
      </w:r>
      <w:r>
        <w:t>ces in pharmacodynamic response</w:t>
      </w:r>
    </w:p>
    <w:p w:rsidR="00B34EC5" w:rsidRPr="00B34EC5" w:rsidRDefault="008034DD" w:rsidP="00B34EC5">
      <w:r>
        <w:t>An exposure</w:t>
      </w:r>
      <w:r w:rsidR="00DC3314">
        <w:t xml:space="preserve"> </w:t>
      </w:r>
      <w:r w:rsidR="00B34EC5" w:rsidRPr="00B34EC5">
        <w:t xml:space="preserve">response analysis of LUM and IVA based on </w:t>
      </w:r>
      <w:r w:rsidR="00511EB7" w:rsidRPr="002227DB">
        <w:t>AUC</w:t>
      </w:r>
      <w:r w:rsidR="00511EB7" w:rsidRPr="00511EB7">
        <w:rPr>
          <w:vertAlign w:val="subscript"/>
        </w:rPr>
        <w:t>0-24</w:t>
      </w:r>
      <w:r w:rsidR="00B34EC5" w:rsidRPr="00B34EC5">
        <w:t xml:space="preserve"> identified that the linear slope of LUM effect (SLOPE809) estimate (bootstrap 95% CI) for the reference covariate effects (male, less than 24 years) was 0.00942 (0.00702, 0.0117) %/</w:t>
      </w:r>
      <w:r w:rsidR="00511EB7">
        <w:t>µ</w:t>
      </w:r>
      <w:r w:rsidR="00511EB7" w:rsidRPr="002227DB">
        <w:t>g</w:t>
      </w:r>
      <w:r w:rsidR="00B34EC5" w:rsidRPr="00B34EC5">
        <w:t xml:space="preserve">/mL.h. For the typical subject, this translates to an absolute increase of 4.2% (3.13, 5.22) for a 400 mg q12h LUM dose and an increase of 3.32 % (2.48, 4.13) for the 600 mg QD dose. The slope of the drug effect was also affected by age with the slope decreasing with </w:t>
      </w:r>
      <w:r>
        <w:t>increasing age beyond 24 years.</w:t>
      </w:r>
    </w:p>
    <w:p w:rsidR="00B34EC5" w:rsidRDefault="00B34EC5" w:rsidP="00B34EC5">
      <w:pPr>
        <w:pStyle w:val="Heading6"/>
      </w:pPr>
      <w:r w:rsidRPr="00B34EC5">
        <w:t>Pharmacody</w:t>
      </w:r>
      <w:r w:rsidR="008034DD">
        <w:t>namic interactions</w:t>
      </w:r>
    </w:p>
    <w:p w:rsidR="00B34EC5" w:rsidRPr="00B34EC5" w:rsidRDefault="00B34EC5" w:rsidP="00B34EC5">
      <w:r w:rsidRPr="00B34EC5">
        <w:t xml:space="preserve">An asymptomatic, generally mild decline in </w:t>
      </w:r>
      <w:r w:rsidR="00A8789D" w:rsidRPr="001D064D">
        <w:t>FEV</w:t>
      </w:r>
      <w:r w:rsidR="00A8789D" w:rsidRPr="00A8789D">
        <w:rPr>
          <w:vertAlign w:val="subscript"/>
        </w:rPr>
        <w:t>1</w:t>
      </w:r>
      <w:r w:rsidRPr="00B34EC5">
        <w:t xml:space="preserve"> within 4 h of treatment with LUM in</w:t>
      </w:r>
      <w:r w:rsidR="008034DD">
        <w:t xml:space="preserve"> </w:t>
      </w:r>
      <w:r w:rsidRPr="00B34EC5">
        <w:t xml:space="preserve">combination with IVA was identified. </w:t>
      </w:r>
      <w:r w:rsidR="00313FF7">
        <w:t>Long acting</w:t>
      </w:r>
      <w:r w:rsidRPr="00B34EC5">
        <w:t xml:space="preserve"> bronchodilators (indacaterol and tiotropium) largely prevented the mild decline observed in </w:t>
      </w:r>
      <w:r w:rsidR="00A8789D" w:rsidRPr="001D064D">
        <w:t>FEV</w:t>
      </w:r>
      <w:r w:rsidR="00A8789D" w:rsidRPr="00A8789D">
        <w:rPr>
          <w:vertAlign w:val="subscript"/>
        </w:rPr>
        <w:t>1</w:t>
      </w:r>
      <w:r w:rsidRPr="00B34EC5">
        <w:t xml:space="preserve"> following dosing with LUM in combination with </w:t>
      </w:r>
      <w:proofErr w:type="gramStart"/>
      <w:r w:rsidRPr="00B34EC5">
        <w:t>IVA,</w:t>
      </w:r>
      <w:proofErr w:type="gramEnd"/>
      <w:r w:rsidRPr="00B34EC5">
        <w:t xml:space="preserve"> and treatment with </w:t>
      </w:r>
      <w:r w:rsidR="00313FF7">
        <w:t>short acting</w:t>
      </w:r>
      <w:r w:rsidRPr="00B34EC5">
        <w:t xml:space="preserve"> bronchodilators (albuterol and ipratropium) le</w:t>
      </w:r>
      <w:r w:rsidR="008034DD">
        <w:t>d to a reversal of the decline.</w:t>
      </w:r>
    </w:p>
    <w:p w:rsidR="00B34EC5" w:rsidRDefault="00B34EC5" w:rsidP="00CA706D">
      <w:pPr>
        <w:pStyle w:val="Heading5"/>
      </w:pPr>
      <w:r w:rsidRPr="00B34EC5">
        <w:t>Limitations of the PD studies</w:t>
      </w:r>
    </w:p>
    <w:p w:rsidR="008034DD" w:rsidRDefault="00B34EC5" w:rsidP="008034DD">
      <w:pPr>
        <w:pStyle w:val="ListBullet"/>
      </w:pPr>
      <w:r w:rsidRPr="00B34EC5">
        <w:t>No PK/PD studies examined the effect of the FDC on sweat chloride in the target population of</w:t>
      </w:r>
      <w:r w:rsidR="008034DD">
        <w:t xml:space="preserve"> </w:t>
      </w:r>
      <w:r w:rsidRPr="00B34EC5">
        <w:t xml:space="preserve">patients with CF who were homozygous </w:t>
      </w:r>
      <w:r w:rsidR="008034DD">
        <w:t>for the F508del-CFTR mutation.</w:t>
      </w:r>
    </w:p>
    <w:p w:rsidR="00B34EC5" w:rsidRPr="00B34EC5" w:rsidRDefault="00B34EC5" w:rsidP="008034DD">
      <w:pPr>
        <w:pStyle w:val="ListBullet"/>
      </w:pPr>
      <w:r w:rsidRPr="00B34EC5">
        <w:t>No PK/PD studies examined the relationship between drug concentration and effect on sweat</w:t>
      </w:r>
      <w:r w:rsidR="008034DD">
        <w:t xml:space="preserve"> </w:t>
      </w:r>
      <w:r w:rsidRPr="00B34EC5">
        <w:t>chloride following doses of th</w:t>
      </w:r>
      <w:r w:rsidR="008034DD">
        <w:t>e FDC in the target population.</w:t>
      </w:r>
    </w:p>
    <w:p w:rsidR="00B34EC5" w:rsidRPr="00661279" w:rsidRDefault="00B34EC5" w:rsidP="008034DD">
      <w:pPr>
        <w:pStyle w:val="ListBullet"/>
      </w:pPr>
      <w:r w:rsidRPr="00B34EC5">
        <w:t>No PK/PD studies examined the effects of the FDC on lung function in the target population</w:t>
      </w:r>
      <w:r w:rsidR="008034DD">
        <w:t xml:space="preserve"> </w:t>
      </w:r>
      <w:r w:rsidRPr="00B34EC5">
        <w:t>(homozygous subjects).</w:t>
      </w:r>
    </w:p>
    <w:p w:rsidR="00586F98" w:rsidRDefault="00C22678" w:rsidP="00586F98">
      <w:pPr>
        <w:pStyle w:val="Heading2"/>
      </w:pPr>
      <w:bookmarkStart w:id="24" w:name="_Toc461121047"/>
      <w:r>
        <w:t>Dosage selection for the pivotal studies</w:t>
      </w:r>
      <w:bookmarkEnd w:id="24"/>
    </w:p>
    <w:p w:rsidR="00B34EC5" w:rsidRPr="00B34EC5" w:rsidRDefault="00B34EC5" w:rsidP="00B34EC5">
      <w:r w:rsidRPr="00B34EC5">
        <w:t>Lumacaftor monotherapy has been investigated in 2 clinical studies in subjects with CF (</w:t>
      </w:r>
      <w:r w:rsidR="00980975">
        <w:t>Study</w:t>
      </w:r>
      <w:r w:rsidRPr="00B34EC5">
        <w:t xml:space="preserve"> VX08-809-101 </w:t>
      </w:r>
      <w:r w:rsidR="004E6042">
        <w:t>(</w:t>
      </w:r>
      <w:r w:rsidR="00980975">
        <w:t>Study</w:t>
      </w:r>
      <w:r w:rsidRPr="00B34EC5">
        <w:t xml:space="preserve"> 101</w:t>
      </w:r>
      <w:r w:rsidR="004E6042">
        <w:t>)</w:t>
      </w:r>
      <w:r w:rsidRPr="00B34EC5">
        <w:t xml:space="preserve"> and VX09-809-102 </w:t>
      </w:r>
      <w:r w:rsidR="004E6042">
        <w:t>(</w:t>
      </w:r>
      <w:r w:rsidR="00980975">
        <w:t>Study</w:t>
      </w:r>
      <w:r w:rsidRPr="00B34EC5">
        <w:t xml:space="preserve"> 102</w:t>
      </w:r>
      <w:r w:rsidR="004E6042">
        <w:t>)</w:t>
      </w:r>
      <w:r w:rsidR="003C1B2B">
        <w:t>).</w:t>
      </w:r>
    </w:p>
    <w:p w:rsidR="00B34EC5" w:rsidRPr="00B34EC5" w:rsidRDefault="00B34EC5" w:rsidP="00B34EC5">
      <w:r w:rsidRPr="00B34EC5">
        <w:t xml:space="preserve">Study 101 </w:t>
      </w:r>
      <w:r w:rsidR="003C1B2B">
        <w:t xml:space="preserve">was a 28 </w:t>
      </w:r>
      <w:r w:rsidRPr="00B34EC5">
        <w:t xml:space="preserve">day, </w:t>
      </w:r>
      <w:r w:rsidR="003C1B2B">
        <w:t>double blind</w:t>
      </w:r>
      <w:r w:rsidRPr="00B34EC5">
        <w:t xml:space="preserve">, </w:t>
      </w:r>
      <w:r w:rsidR="003C1B2B">
        <w:t>placebo controlled</w:t>
      </w:r>
      <w:r w:rsidRPr="00B34EC5">
        <w:t xml:space="preserve">, </w:t>
      </w:r>
      <w:r w:rsidR="003C1B2B">
        <w:t xml:space="preserve">multiple </w:t>
      </w:r>
      <w:proofErr w:type="gramStart"/>
      <w:r w:rsidR="003C1B2B">
        <w:t>dose</w:t>
      </w:r>
      <w:proofErr w:type="gramEnd"/>
      <w:r w:rsidRPr="00B34EC5">
        <w:t xml:space="preserve">, </w:t>
      </w:r>
      <w:r w:rsidR="003C1B2B">
        <w:t>dose finding</w:t>
      </w:r>
      <w:r w:rsidRPr="00B34EC5">
        <w:t xml:space="preserve"> study investigating lumacaftor monotherapy in subjects with CF who are homozygous for the F508del-CFTR mutation. Results from this study showed that lumacaftor monotherapy at doses up to 200 mg was well tolerated but did not show a clinically or statistically significant change in </w:t>
      </w:r>
      <w:r w:rsidR="00A8789D" w:rsidRPr="001D064D">
        <w:t>FEV</w:t>
      </w:r>
      <w:r w:rsidR="00A8789D" w:rsidRPr="00A8789D">
        <w:rPr>
          <w:vertAlign w:val="subscript"/>
        </w:rPr>
        <w:t>1</w:t>
      </w:r>
      <w:r w:rsidRPr="00B34EC5">
        <w:t xml:space="preserve"> despite a dose-dependent decrease observed in sweat chloride levels in subjects who received lumacaftor compared with those who received placebo. Study 102 was a </w:t>
      </w:r>
      <w:r w:rsidR="00980975">
        <w:t>Phase II</w:t>
      </w:r>
      <w:r w:rsidRPr="00B34EC5">
        <w:t xml:space="preserve">, </w:t>
      </w:r>
      <w:r w:rsidR="003C1B2B">
        <w:t>double blind</w:t>
      </w:r>
      <w:r w:rsidRPr="00B34EC5">
        <w:t xml:space="preserve">, </w:t>
      </w:r>
      <w:r w:rsidR="003C1B2B">
        <w:t>placebo controlled</w:t>
      </w:r>
      <w:r w:rsidRPr="00B34EC5">
        <w:t xml:space="preserve">, </w:t>
      </w:r>
      <w:r w:rsidR="003C1B2B">
        <w:t>multiple dose</w:t>
      </w:r>
      <w:r w:rsidRPr="00B34EC5">
        <w:t xml:space="preserve">, </w:t>
      </w:r>
      <w:r w:rsidR="003C1B2B">
        <w:t>dose finding</w:t>
      </w:r>
      <w:r w:rsidRPr="00B34EC5">
        <w:t xml:space="preserve"> study evaluating the safety, tolerability, and efficacy of lumacaftor monotherapy and lumacaftor and ivacaftor combinat</w:t>
      </w:r>
      <w:r w:rsidR="00DC3314">
        <w:t xml:space="preserve">ion therapy in subjects with CF. During the 28 </w:t>
      </w:r>
      <w:r w:rsidRPr="00B34EC5">
        <w:t xml:space="preserve">day period of lumacaftor monotherapy (Cohort 2), all treatment groups either remained stable or demonstrated a modest reduction in </w:t>
      </w:r>
      <w:r w:rsidR="00A8789D" w:rsidRPr="001D064D">
        <w:t>FEV</w:t>
      </w:r>
      <w:r w:rsidR="00A8789D" w:rsidRPr="00A8789D">
        <w:rPr>
          <w:vertAlign w:val="subscript"/>
        </w:rPr>
        <w:t>1</w:t>
      </w:r>
      <w:r w:rsidRPr="00B34EC5">
        <w:t xml:space="preserve">. Results from cohort 3 showed a dose-dependent decline in </w:t>
      </w:r>
      <w:r w:rsidR="00A8789D" w:rsidRPr="001D064D">
        <w:t>FEV</w:t>
      </w:r>
      <w:r w:rsidR="00A8789D" w:rsidRPr="00A8789D">
        <w:rPr>
          <w:vertAlign w:val="subscript"/>
        </w:rPr>
        <w:t>1</w:t>
      </w:r>
      <w:r w:rsidRPr="00B34EC5">
        <w:t xml:space="preserve"> during treatment with lumacaftor </w:t>
      </w:r>
      <w:r w:rsidRPr="00B34EC5">
        <w:lastRenderedPageBreak/>
        <w:t xml:space="preserve">monotherapy. This decline was statistically significant at the highest lumacaftor dose tested (400 mg q12h, within-group analysis). In contrast, during the </w:t>
      </w:r>
      <w:r w:rsidR="00DC3314">
        <w:t>28 day</w:t>
      </w:r>
      <w:r w:rsidRPr="00B34EC5">
        <w:t xml:space="preserve"> period of combination therapy, an increase in </w:t>
      </w:r>
      <w:r w:rsidR="00A8789D" w:rsidRPr="001D064D">
        <w:t>FEV</w:t>
      </w:r>
      <w:r w:rsidR="00A8789D" w:rsidRPr="00A8789D">
        <w:rPr>
          <w:vertAlign w:val="subscript"/>
        </w:rPr>
        <w:t>1</w:t>
      </w:r>
      <w:r w:rsidRPr="00B34EC5">
        <w:t xml:space="preserve"> was observed in the active treatment cohorts, while a decrease in </w:t>
      </w:r>
      <w:r w:rsidR="00A8789D" w:rsidRPr="001D064D">
        <w:t>FEV</w:t>
      </w:r>
      <w:r w:rsidR="00A8789D" w:rsidRPr="00A8789D">
        <w:rPr>
          <w:vertAlign w:val="subscript"/>
        </w:rPr>
        <w:t>1</w:t>
      </w:r>
      <w:r w:rsidRPr="00B34EC5">
        <w:t xml:space="preserve"> was observed in the placebo group. The LUM 600 mg qd/IVA 250 mg q12h dosage demonstrated a significant improvement in </w:t>
      </w:r>
      <w:r w:rsidR="00A8789D" w:rsidRPr="001D064D">
        <w:t>FEV</w:t>
      </w:r>
      <w:r w:rsidR="00A8789D" w:rsidRPr="00A8789D">
        <w:rPr>
          <w:vertAlign w:val="subscript"/>
        </w:rPr>
        <w:t>1</w:t>
      </w:r>
      <w:r w:rsidRPr="00B34EC5">
        <w:t xml:space="preserve"> in subjects with CF who are homozygous for the F508del-CFTR mutation. In subjects who received LUM 200 mg qd and LUM 400 mg qd in combination with IVA 250 mg q12h, a smaller increase in </w:t>
      </w:r>
      <w:r w:rsidR="00A8789D" w:rsidRPr="001D064D">
        <w:t>FEV</w:t>
      </w:r>
      <w:r w:rsidR="00A8789D" w:rsidRPr="00A8789D">
        <w:rPr>
          <w:vertAlign w:val="subscript"/>
        </w:rPr>
        <w:t>1</w:t>
      </w:r>
      <w:r w:rsidRPr="00B34EC5">
        <w:t xml:space="preserve"> was observed during the period of combination therapy; however, the within-group analysis revealed that the increase in </w:t>
      </w:r>
      <w:r w:rsidR="00A8789D" w:rsidRPr="001D064D">
        <w:t>FEV</w:t>
      </w:r>
      <w:r w:rsidR="00A8789D" w:rsidRPr="00A8789D">
        <w:rPr>
          <w:vertAlign w:val="subscript"/>
        </w:rPr>
        <w:t>1</w:t>
      </w:r>
      <w:r w:rsidRPr="00B34EC5">
        <w:t xml:space="preserve"> was not statistically or clinically significant</w:t>
      </w:r>
      <w:r w:rsidR="003C1B2B">
        <w:t>.</w:t>
      </w:r>
    </w:p>
    <w:p w:rsidR="00B34EC5" w:rsidRPr="00B34EC5" w:rsidRDefault="00B34EC5" w:rsidP="00B34EC5">
      <w:r w:rsidRPr="00B34EC5">
        <w:t xml:space="preserve">The results of </w:t>
      </w:r>
      <w:r w:rsidR="00980975">
        <w:t>Study</w:t>
      </w:r>
      <w:r w:rsidRPr="00B34EC5">
        <w:t xml:space="preserve"> 102 were also consistent with in vitro nonclinical studies of airway epithelial cells from patients homozygous for the F508del-CFTR mutation, in which the response to lumacaftor and ivacaftor combination therapy was greater than that observed when either compound was administered alone. Given the lack of efficacy of lumacaftor monotherapy in clinical studies, coupled with a low response in vitro to lumacaftor alone in airway epithelial cells from patients homozygous for the F508del-CFTR mutation, further clinical evaluation of lumacaftor monotherapy was considered unlikely to reveal significant benefit.</w:t>
      </w:r>
    </w:p>
    <w:p w:rsidR="00B34EC5" w:rsidRPr="00B34EC5" w:rsidRDefault="00B34EC5" w:rsidP="00B34EC5">
      <w:r w:rsidRPr="00B34EC5">
        <w:t xml:space="preserve">Study VX08-770-104b was a </w:t>
      </w:r>
      <w:r w:rsidR="00980975">
        <w:t>Phase II</w:t>
      </w:r>
      <w:r w:rsidRPr="00B34EC5">
        <w:t>, random</w:t>
      </w:r>
      <w:r w:rsidR="002D7E74">
        <w:t>ise</w:t>
      </w:r>
      <w:r w:rsidRPr="00B34EC5">
        <w:t xml:space="preserve">d, </w:t>
      </w:r>
      <w:r w:rsidR="003C1B2B">
        <w:t>double blind</w:t>
      </w:r>
      <w:r w:rsidRPr="00B34EC5">
        <w:t xml:space="preserve">, </w:t>
      </w:r>
      <w:r w:rsidR="003C1B2B">
        <w:t>placebo controlled</w:t>
      </w:r>
      <w:r w:rsidRPr="00B34EC5">
        <w:t xml:space="preserve">, </w:t>
      </w:r>
      <w:r w:rsidR="003C1B2B">
        <w:t>parallel group</w:t>
      </w:r>
      <w:r w:rsidRPr="00B34EC5">
        <w:t xml:space="preserve">, </w:t>
      </w:r>
      <w:r w:rsidR="003C1B2B">
        <w:t>multiple dose</w:t>
      </w:r>
      <w:r w:rsidRPr="00B34EC5">
        <w:t xml:space="preserve"> study that evaluated the effects of ivacaftor monotherapy for 16 weeks in subjects with CF homozygous for the F508del-CFTR mutation. No significant benefit was observed from ivacaftor monotherapy treatment in this population. Overall, data from </w:t>
      </w:r>
      <w:r w:rsidR="00980975">
        <w:t>Study</w:t>
      </w:r>
      <w:r w:rsidRPr="00B34EC5">
        <w:t xml:space="preserve"> 102 and </w:t>
      </w:r>
      <w:r w:rsidR="00980975">
        <w:t>Study</w:t>
      </w:r>
      <w:r w:rsidRPr="00B34EC5">
        <w:t xml:space="preserve"> 770-104 were consistent with the hypothesis that the combination of lumacaftor and ivacaftor had additive benefits which were</w:t>
      </w:r>
      <w:r w:rsidR="003C1B2B">
        <w:t xml:space="preserve"> greater than each agent alone.</w:t>
      </w:r>
    </w:p>
    <w:p w:rsidR="00B34EC5" w:rsidRPr="00B34EC5" w:rsidRDefault="00B34EC5" w:rsidP="00B34EC5">
      <w:r w:rsidRPr="00B34EC5">
        <w:t>In the drug interaction study (</w:t>
      </w:r>
      <w:r w:rsidR="00980975">
        <w:t>Study</w:t>
      </w:r>
      <w:r w:rsidR="00B40857">
        <w:t xml:space="preserve"> VX09-809-005</w:t>
      </w:r>
      <w:r w:rsidRPr="00B34EC5">
        <w:t xml:space="preserve">) between LUM 200 mg qd and the approved dosage of ivacaftor (150 mg q12h), a significant 80% reduction in the plasma concentrations of ivacaftor was observed when lumacaftor was administered in combination with ivacaftor. Based on the observed reduction in ivacaftor exposure, the dosage of ivacaftor was increased to 250 mg q12h from the approved ivacaftor dosage of 150 mg q12h when administered alone. In </w:t>
      </w:r>
      <w:r w:rsidR="00980975">
        <w:t>Study</w:t>
      </w:r>
      <w:r w:rsidRPr="00B34EC5">
        <w:t xml:space="preserve"> 102 Cohorts 2 to 3, the IVA 250 mg q12h dosage was shown to be safe and effective in combination with both the LUM 600 mg qd and 400 mg q12h regimens; therefore, the IVA 250 mg q12h dosage was selected for co-administration with lumacaftor in the </w:t>
      </w:r>
      <w:r w:rsidR="00511EB7">
        <w:t>Phase III</w:t>
      </w:r>
      <w:r w:rsidR="003C1B2B">
        <w:t xml:space="preserve"> studies.</w:t>
      </w:r>
    </w:p>
    <w:p w:rsidR="00B34EC5" w:rsidRPr="00B34EC5" w:rsidRDefault="00B34EC5" w:rsidP="00B34EC5">
      <w:r w:rsidRPr="00B34EC5">
        <w:t xml:space="preserve">To explore the potential for an advantageous PK profile and additional efficacy beyond the LUM 600 mg qd regimen, a LUM 400 mg q12h/ IVA 250 mg q12h dosage was added to the </w:t>
      </w:r>
      <w:r w:rsidR="00980975">
        <w:t>Phase II</w:t>
      </w:r>
      <w:r w:rsidRPr="00B34EC5">
        <w:t xml:space="preserve"> study (Cohort 3 of </w:t>
      </w:r>
      <w:r w:rsidR="00980975">
        <w:t>Study</w:t>
      </w:r>
      <w:r w:rsidRPr="00B34EC5">
        <w:t xml:space="preserve"> 102). The pooled analysis of Cohorts 2 and 3 undertaken in </w:t>
      </w:r>
      <w:r w:rsidR="00980975">
        <w:t>Study</w:t>
      </w:r>
      <w:r w:rsidRPr="00B34EC5">
        <w:t xml:space="preserve"> VX09-809-102 examined the effect of LUM dose strength and the timing of LUM dose on the PKs of LUM and IVA following administration of the free combination to the target population (</w:t>
      </w:r>
      <w:r w:rsidR="00511EB7">
        <w:t>that is</w:t>
      </w:r>
      <w:r w:rsidR="003C1B2B">
        <w:t xml:space="preserve">; </w:t>
      </w:r>
      <w:r w:rsidRPr="00B34EC5">
        <w:t xml:space="preserve">patients with CF who were homozygous for the F508del-CFTR mutation). Following doses of 400 mg LUM QD/250 mg IVA q12h, 600 mg LUM QD/250 mg IVA q12h or 400 mg LUM q12h/250 mg IVA q12h the LUM </w:t>
      </w:r>
      <w:r w:rsidR="00511EB7" w:rsidRPr="002227DB">
        <w:t>AUC</w:t>
      </w:r>
      <w:r w:rsidR="00511EB7" w:rsidRPr="00511EB7">
        <w:rPr>
          <w:vertAlign w:val="subscript"/>
        </w:rPr>
        <w:t>0-24</w:t>
      </w:r>
      <w:r w:rsidRPr="00B34EC5">
        <w:t xml:space="preserve"> values were 219, 290 and 371 </w:t>
      </w:r>
      <w:r w:rsidR="00511EB7">
        <w:t>µ</w:t>
      </w:r>
      <w:r w:rsidR="00511EB7" w:rsidRPr="002227DB">
        <w:t>g</w:t>
      </w:r>
      <w:r w:rsidRPr="00B34EC5">
        <w:t xml:space="preserve">.h/mL, respectively, and the LUM </w:t>
      </w:r>
      <w:r w:rsidR="00511EB7" w:rsidRPr="002227DB">
        <w:t>C</w:t>
      </w:r>
      <w:r w:rsidR="00511EB7" w:rsidRPr="00511EB7">
        <w:rPr>
          <w:vertAlign w:val="subscript"/>
        </w:rPr>
        <w:t>min</w:t>
      </w:r>
      <w:r w:rsidRPr="00B34EC5">
        <w:t xml:space="preserve"> values were 4.08, 5.33 and 9.76 </w:t>
      </w:r>
      <w:r w:rsidR="00511EB7">
        <w:t>µ</w:t>
      </w:r>
      <w:r w:rsidR="00511EB7" w:rsidRPr="002227DB">
        <w:t>g</w:t>
      </w:r>
      <w:r w:rsidRPr="00B34EC5">
        <w:t xml:space="preserve">/mL. The corresponding IVA </w:t>
      </w:r>
      <w:r w:rsidR="00511EB7" w:rsidRPr="002227DB">
        <w:t>AUC</w:t>
      </w:r>
      <w:r w:rsidR="00511EB7" w:rsidRPr="00511EB7">
        <w:rPr>
          <w:vertAlign w:val="subscript"/>
        </w:rPr>
        <w:t>τ</w:t>
      </w:r>
      <w:r w:rsidRPr="00B34EC5">
        <w:t xml:space="preserve"> values were 3.8, 3.83 and 2.56 </w:t>
      </w:r>
      <w:r w:rsidR="00D21740">
        <w:t>µ</w:t>
      </w:r>
      <w:r w:rsidR="00511EB7" w:rsidRPr="002227DB">
        <w:t>g</w:t>
      </w:r>
      <w:r w:rsidRPr="00B34EC5">
        <w:t xml:space="preserve">.h/mL, respectively, and IVA </w:t>
      </w:r>
      <w:r w:rsidR="00511EB7" w:rsidRPr="002227DB">
        <w:t>C</w:t>
      </w:r>
      <w:r w:rsidR="00511EB7" w:rsidRPr="00511EB7">
        <w:rPr>
          <w:vertAlign w:val="subscript"/>
        </w:rPr>
        <w:t>min</w:t>
      </w:r>
      <w:r w:rsidRPr="00B34EC5">
        <w:t xml:space="preserve"> val</w:t>
      </w:r>
      <w:r w:rsidR="00D21740">
        <w:t xml:space="preserve">ues were 0.125, 0.102 and </w:t>
      </w:r>
      <w:proofErr w:type="gramStart"/>
      <w:r w:rsidR="00D21740">
        <w:t>0.078 </w:t>
      </w:r>
      <w:r w:rsidR="00511EB7">
        <w:t>µ</w:t>
      </w:r>
      <w:r w:rsidR="00511EB7" w:rsidRPr="002227DB">
        <w:t>g</w:t>
      </w:r>
      <w:r w:rsidRPr="00B34EC5">
        <w:t>/mL, respectively</w:t>
      </w:r>
      <w:proofErr w:type="gramEnd"/>
      <w:r w:rsidRPr="00B34EC5">
        <w:t xml:space="preserve">. These results indicate that compared to the 600 mg LUM QD/250 mg IVA q12h dose, the LUM AUC and </w:t>
      </w:r>
      <w:r w:rsidR="00511EB7" w:rsidRPr="002227DB">
        <w:t>C</w:t>
      </w:r>
      <w:r w:rsidR="00511EB7" w:rsidRPr="00511EB7">
        <w:rPr>
          <w:vertAlign w:val="subscript"/>
        </w:rPr>
        <w:t>min</w:t>
      </w:r>
      <w:r w:rsidRPr="00B34EC5">
        <w:t xml:space="preserve"> values were 1.2</w:t>
      </w:r>
      <w:r w:rsidR="00511EB7">
        <w:t xml:space="preserve"> fold</w:t>
      </w:r>
      <w:r w:rsidRPr="00B34EC5">
        <w:t xml:space="preserve"> and 1.83</w:t>
      </w:r>
      <w:r w:rsidR="00511EB7">
        <w:t xml:space="preserve"> fold</w:t>
      </w:r>
      <w:r w:rsidRPr="00B34EC5">
        <w:t xml:space="preserve"> higher, respectively, following the 400 mg LUM q12h/250 mg IVA q12h dose, whereas, the IVA AUC and </w:t>
      </w:r>
      <w:r w:rsidR="00511EB7" w:rsidRPr="002227DB">
        <w:t>C</w:t>
      </w:r>
      <w:r w:rsidR="00511EB7" w:rsidRPr="00511EB7">
        <w:rPr>
          <w:vertAlign w:val="subscript"/>
        </w:rPr>
        <w:t>min</w:t>
      </w:r>
      <w:r w:rsidRPr="00B34EC5">
        <w:t xml:space="preserve"> values were 33% and 24% lower following twice daily dosing with 400 mg LUM. The regimen of LUM 400 mg q12h/IVA 250 mg q12h was safe and efficacious in Cohort 3 of </w:t>
      </w:r>
      <w:r w:rsidR="00980975">
        <w:t>Study</w:t>
      </w:r>
      <w:r w:rsidRPr="00B34EC5">
        <w:t xml:space="preserve"> 102. The LUM 400 mg q12h regimen could not be differentiated from the LUM 600 mg qd regimen in the </w:t>
      </w:r>
      <w:r w:rsidR="00980975">
        <w:t>Phase II</w:t>
      </w:r>
      <w:r w:rsidRPr="00B34EC5">
        <w:t xml:space="preserve"> study and so both dosage regimens were evaluated in the pivotal </w:t>
      </w:r>
      <w:r w:rsidR="00511EB7">
        <w:t>Phase III</w:t>
      </w:r>
      <w:r w:rsidR="003C1B2B">
        <w:t xml:space="preserve"> studies.</w:t>
      </w:r>
    </w:p>
    <w:p w:rsidR="00B34EC5" w:rsidRPr="00B34EC5" w:rsidRDefault="00471087" w:rsidP="00B34EC5">
      <w:pPr>
        <w:pStyle w:val="Comment"/>
      </w:pPr>
      <w:r>
        <w:rPr>
          <w:b/>
        </w:rPr>
        <w:t>Comment</w:t>
      </w:r>
      <w:r w:rsidR="00B34EC5" w:rsidRPr="00B34EC5">
        <w:rPr>
          <w:b/>
        </w:rPr>
        <w:t>:</w:t>
      </w:r>
      <w:r w:rsidR="00B34EC5" w:rsidRPr="00B34EC5">
        <w:t xml:space="preserve"> Overall, the choice of 2 dosage regimens </w:t>
      </w:r>
      <w:r w:rsidR="004E6042">
        <w:t>(</w:t>
      </w:r>
      <w:r w:rsidR="00B34EC5" w:rsidRPr="00B34EC5">
        <w:t>LUM 600 mg qd/IVA 250 mg q12h and LUM 400 mg q12h/IVA 250 mg q12h</w:t>
      </w:r>
      <w:r w:rsidR="004E6042">
        <w:t>)</w:t>
      </w:r>
      <w:r w:rsidR="00B34EC5" w:rsidRPr="00B34EC5">
        <w:t xml:space="preserve"> for the </w:t>
      </w:r>
      <w:r w:rsidR="00511EB7">
        <w:t>Phase III</w:t>
      </w:r>
      <w:r w:rsidR="003C1B2B">
        <w:t xml:space="preserve"> studies was justified.</w:t>
      </w:r>
    </w:p>
    <w:p w:rsidR="00C22678" w:rsidRDefault="004655EA" w:rsidP="004655EA">
      <w:pPr>
        <w:pStyle w:val="FigureTitle"/>
        <w:keepNext/>
        <w:rPr>
          <w:lang w:eastAsia="ja-JP"/>
        </w:rPr>
      </w:pPr>
      <w:proofErr w:type="gramStart"/>
      <w:r>
        <w:rPr>
          <w:lang w:eastAsia="ja-JP"/>
        </w:rPr>
        <w:lastRenderedPageBreak/>
        <w:t>Figure 1</w:t>
      </w:r>
      <w:r w:rsidR="0087197C">
        <w:rPr>
          <w:lang w:eastAsia="ja-JP"/>
        </w:rPr>
        <w:t>0</w:t>
      </w:r>
      <w:r>
        <w:rPr>
          <w:lang w:eastAsia="ja-JP"/>
        </w:rPr>
        <w:t>.</w:t>
      </w:r>
      <w:proofErr w:type="gramEnd"/>
      <w:r>
        <w:rPr>
          <w:lang w:eastAsia="ja-JP"/>
        </w:rPr>
        <w:t xml:space="preserve"> Phase III Dosing Regimens</w:t>
      </w:r>
    </w:p>
    <w:p w:rsidR="004655EA" w:rsidRDefault="004655EA" w:rsidP="00C22678">
      <w:pPr>
        <w:rPr>
          <w:lang w:eastAsia="ja-JP"/>
        </w:rPr>
      </w:pPr>
      <w:r>
        <w:rPr>
          <w:noProof/>
          <w:lang w:eastAsia="en-AU"/>
        </w:rPr>
        <w:drawing>
          <wp:inline distT="0" distB="0" distL="0" distR="0" wp14:anchorId="31368DE7" wp14:editId="14EE97CF">
            <wp:extent cx="5238750" cy="2209800"/>
            <wp:effectExtent l="0" t="0" r="0" b="0"/>
            <wp:docPr id="16" name="Picture 16" descr="Figure 10. Phase III Dosing Regim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238750" cy="2209800"/>
                    </a:xfrm>
                    <a:prstGeom prst="rect">
                      <a:avLst/>
                    </a:prstGeom>
                  </pic:spPr>
                </pic:pic>
              </a:graphicData>
            </a:graphic>
          </wp:inline>
        </w:drawing>
      </w:r>
    </w:p>
    <w:p w:rsidR="004655EA" w:rsidRPr="00586F98" w:rsidRDefault="004655EA" w:rsidP="004655EA">
      <w:pPr>
        <w:pStyle w:val="TableDescription"/>
        <w:rPr>
          <w:lang w:eastAsia="ja-JP"/>
        </w:rPr>
      </w:pPr>
      <w:r>
        <w:rPr>
          <w:lang w:eastAsia="ja-JP"/>
        </w:rPr>
        <w:t>IVA: ivacaftor; LUM: lumacaftor; qd: daily; q12h: every 12 hours</w:t>
      </w:r>
    </w:p>
    <w:p w:rsidR="00C22678" w:rsidRDefault="00C22678" w:rsidP="00C22678">
      <w:pPr>
        <w:pStyle w:val="Heading2"/>
      </w:pPr>
      <w:bookmarkStart w:id="25" w:name="_Toc461121048"/>
      <w:r>
        <w:t>Clinical efficacy</w:t>
      </w:r>
      <w:bookmarkEnd w:id="25"/>
    </w:p>
    <w:p w:rsidR="00F13E89" w:rsidRPr="003C1B2B" w:rsidRDefault="00D13AF6" w:rsidP="003C1B2B">
      <w:r>
        <w:t>Presented is the assessment of the t</w:t>
      </w:r>
      <w:r w:rsidR="00F13E89" w:rsidRPr="003C1B2B">
        <w:t>reatment of cystic fibrosis (CF) in patients aged 12 years and older who are homozygous for the F5</w:t>
      </w:r>
      <w:r w:rsidR="003C1B2B">
        <w:t>08del mutation in the CFTR gene.</w:t>
      </w:r>
    </w:p>
    <w:p w:rsidR="00F13E89" w:rsidRPr="00F13E89" w:rsidRDefault="00F13E89" w:rsidP="003C1B2B">
      <w:pPr>
        <w:pStyle w:val="Heading3"/>
      </w:pPr>
      <w:bookmarkStart w:id="26" w:name="_Toc461121049"/>
      <w:r w:rsidRPr="00F13E89">
        <w:t>Pivotal efficacy studies</w:t>
      </w:r>
      <w:bookmarkEnd w:id="26"/>
    </w:p>
    <w:p w:rsidR="00F13E89" w:rsidRPr="00F13E89" w:rsidRDefault="003C1B2B" w:rsidP="003C1B2B">
      <w:pPr>
        <w:pStyle w:val="Heading4"/>
      </w:pPr>
      <w:r>
        <w:t>Study VX12-809-103</w:t>
      </w:r>
    </w:p>
    <w:p w:rsidR="00F13E89" w:rsidRPr="00F13E89" w:rsidRDefault="00F13E89" w:rsidP="003C1B2B">
      <w:pPr>
        <w:pStyle w:val="Heading5"/>
        <w:rPr>
          <w:rFonts w:eastAsiaTheme="minorHAnsi"/>
        </w:rPr>
      </w:pPr>
      <w:r w:rsidRPr="00F13E89">
        <w:rPr>
          <w:rFonts w:eastAsiaTheme="minorHAnsi"/>
        </w:rPr>
        <w:t xml:space="preserve">Study design, </w:t>
      </w:r>
      <w:r w:rsidR="003C1B2B">
        <w:rPr>
          <w:rFonts w:eastAsiaTheme="minorHAnsi"/>
        </w:rPr>
        <w:t>objectives, locations and dates</w:t>
      </w:r>
    </w:p>
    <w:p w:rsidR="00F13E89" w:rsidRPr="00F13E89" w:rsidRDefault="00F13E89" w:rsidP="00F13E89">
      <w:r w:rsidRPr="00F13E89">
        <w:t xml:space="preserve">This was a </w:t>
      </w:r>
      <w:r w:rsidR="00511EB7">
        <w:t>Phase III</w:t>
      </w:r>
      <w:r w:rsidRPr="00F13E89">
        <w:t>, random</w:t>
      </w:r>
      <w:r w:rsidR="002D7E74">
        <w:t>ise</w:t>
      </w:r>
      <w:r w:rsidRPr="00F13E89">
        <w:t xml:space="preserve">d, </w:t>
      </w:r>
      <w:r w:rsidR="003C1B2B">
        <w:t>double blind</w:t>
      </w:r>
      <w:r w:rsidRPr="00F13E89">
        <w:t xml:space="preserve">, </w:t>
      </w:r>
      <w:r w:rsidR="003C1B2B">
        <w:t>placebo controlled</w:t>
      </w:r>
      <w:r w:rsidRPr="00F13E89">
        <w:t xml:space="preserve">, </w:t>
      </w:r>
      <w:r w:rsidR="003C1B2B">
        <w:t>parallel group</w:t>
      </w:r>
      <w:r w:rsidRPr="00F13E89">
        <w:t xml:space="preserve"> </w:t>
      </w:r>
      <w:r w:rsidR="003C1B2B" w:rsidRPr="00F13E89">
        <w:t>multicentre</w:t>
      </w:r>
      <w:r w:rsidRPr="00F13E89">
        <w:t xml:space="preserve"> study. The primary objective was to evaluate the efficacy of lumacaftor in combination with ivacaftor at Week 24 in subjects with cystic fibrosis (CF) who are homozygous for the F508del mutation on the CFTR gene. The secondary objectives were to evaluate the safety of lumacaftor in combination with ivacaftor through Week 24 and to investigate the pharmacokinetics (PK) of lumacaftor and its metabolite, M28 (M28-lumacaftor), and ivacaftor and its metabolites, M1 (M1-ivacaftor) and M6 (M6-iv</w:t>
      </w:r>
      <w:r w:rsidR="003C1B2B">
        <w:t>acaftor).</w:t>
      </w:r>
    </w:p>
    <w:p w:rsidR="00F13E89" w:rsidRDefault="00F13E89" w:rsidP="00F13E89">
      <w:r w:rsidRPr="00F13E89">
        <w:t>The study in</w:t>
      </w:r>
      <w:r w:rsidR="003C1B2B">
        <w:t xml:space="preserve">cluded a Screening Period (Day </w:t>
      </w:r>
      <w:r w:rsidR="003C1B2B">
        <w:noBreakHyphen/>
        <w:t xml:space="preserve">28 through Day </w:t>
      </w:r>
      <w:r w:rsidR="003C1B2B">
        <w:noBreakHyphen/>
      </w:r>
      <w:r w:rsidRPr="00F13E89">
        <w:t xml:space="preserve">1), a Treatment Period (Day 1 </w:t>
      </w:r>
      <w:r w:rsidR="004E6042">
        <w:t>(</w:t>
      </w:r>
      <w:r w:rsidRPr="00F13E89">
        <w:t>first dose of study drug</w:t>
      </w:r>
      <w:r w:rsidR="004E6042">
        <w:t>)</w:t>
      </w:r>
      <w:r w:rsidRPr="00F13E89">
        <w:t xml:space="preserve"> to Week 24 ± 5 days), and a Safety Follow-up Visit (4 we</w:t>
      </w:r>
      <w:r w:rsidR="003C1B2B">
        <w:t>eks ± 7 days after the Week 24 v</w:t>
      </w:r>
      <w:r w:rsidRPr="00F13E89">
        <w:t>isit). Clinic visits occurred on Day 1 and Day 15 (± 3 days) and at Weeks 4, 8, 16, and 24 (± 5 days). Liver function testing was required while subjects were receiving study drug treatment (Day 1, Day 15, and at a minimum of every 4 weeks after Week 4). Telephone contacts were made</w:t>
      </w:r>
      <w:r>
        <w:t xml:space="preserve"> </w:t>
      </w:r>
      <w:r w:rsidRPr="00F13E89">
        <w:t xml:space="preserve">at Day 3 (± 1 day) and at Week 12 (± 5 days) and Week 20 (± 5 days) to assess the subject's status, any adverse events, concomitant medications, treatments, and procedures. Subjects who prematurely discontinued study drug treatment were to remain in the study through the Week 24 Visit. At the Week 24 Visit, subjects who completed the Treatment Period were offered the opportunity to enrol in Study 105, which included both a </w:t>
      </w:r>
      <w:r w:rsidR="003C1B2B">
        <w:t>double blind</w:t>
      </w:r>
      <w:r w:rsidRPr="00F13E89">
        <w:t xml:space="preserve"> Treatment Cohort (active study drug administered) and an Observational</w:t>
      </w:r>
      <w:r w:rsidR="00A91223">
        <w:t xml:space="preserve"> Cohort</w:t>
      </w:r>
      <w:r w:rsidR="00A91223">
        <w:rPr>
          <w:rStyle w:val="FootnoteReference"/>
        </w:rPr>
        <w:footnoteReference w:id="1"/>
      </w:r>
      <w:r w:rsidR="00A91223">
        <w:t xml:space="preserve"> </w:t>
      </w:r>
      <w:r w:rsidR="00A91223" w:rsidRPr="00A91223">
        <w:t>(no study drug administered)</w:t>
      </w:r>
      <w:r w:rsidR="00A91223">
        <w:t xml:space="preserve"> (</w:t>
      </w:r>
      <w:r w:rsidR="00A91223" w:rsidRPr="00A31C15">
        <w:t xml:space="preserve">Figure </w:t>
      </w:r>
      <w:r w:rsidR="00071D8E">
        <w:t>11</w:t>
      </w:r>
      <w:r w:rsidR="00A91223" w:rsidRPr="00A91223">
        <w:t>)</w:t>
      </w:r>
      <w:r w:rsidR="00A91223">
        <w:t>.</w:t>
      </w:r>
      <w:r w:rsidRPr="00F13E89">
        <w:t xml:space="preserve">The study was conducted from 28, May 2013 to 29 April, 2014 at 96 sites in North America, Europe </w:t>
      </w:r>
      <w:r w:rsidRPr="00A91223">
        <w:t xml:space="preserve">and </w:t>
      </w:r>
      <w:r w:rsidR="00A91223" w:rsidRPr="00A91223">
        <w:t>Australia.</w:t>
      </w:r>
    </w:p>
    <w:p w:rsidR="00A31C15" w:rsidRDefault="00A31C15" w:rsidP="00A31C15">
      <w:pPr>
        <w:pStyle w:val="FigureTitle"/>
        <w:keepNext/>
      </w:pPr>
      <w:proofErr w:type="gramStart"/>
      <w:r>
        <w:lastRenderedPageBreak/>
        <w:t xml:space="preserve">Figure </w:t>
      </w:r>
      <w:r w:rsidR="00071D8E">
        <w:t>11</w:t>
      </w:r>
      <w:r>
        <w:t>.</w:t>
      </w:r>
      <w:proofErr w:type="gramEnd"/>
      <w:r>
        <w:t xml:space="preserve"> Study 103 schematic of study design</w:t>
      </w:r>
    </w:p>
    <w:p w:rsidR="00A31C15" w:rsidRPr="00A31C15" w:rsidRDefault="00A31C15" w:rsidP="00A31C15">
      <w:r>
        <w:rPr>
          <w:noProof/>
          <w:lang w:eastAsia="en-AU"/>
        </w:rPr>
        <w:drawing>
          <wp:inline distT="0" distB="0" distL="0" distR="0" wp14:anchorId="20429F37" wp14:editId="36E2D19B">
            <wp:extent cx="5405933" cy="4156678"/>
            <wp:effectExtent l="0" t="0" r="4445" b="0"/>
            <wp:docPr id="37" name="Picture 37" descr="Figure 11. Study 103 schematic of study design&#10;Screening (Day -1 to Day 1) seperated into 3 groups &#10;1. LUM 600 mg QD / IVA 250 mg q12h (n = 167)&#10;2. LUM 400 mg q12h/IVA 250 mg q12h (n = 167)&#10;3. Placebo group (n = 167)&#10;Treatment period is for 24 weeks&#10;safety follow up up to Week 28&#10;Participants have a safety follow up visit and may be rolled over into the rollover safety study Study 1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409942" cy="4159761"/>
                    </a:xfrm>
                    <a:prstGeom prst="rect">
                      <a:avLst/>
                    </a:prstGeom>
                  </pic:spPr>
                </pic:pic>
              </a:graphicData>
            </a:graphic>
          </wp:inline>
        </w:drawing>
      </w:r>
    </w:p>
    <w:p w:rsidR="00F13E89" w:rsidRPr="00F13E89" w:rsidRDefault="00F13E89" w:rsidP="00A91223">
      <w:pPr>
        <w:pStyle w:val="Heading5"/>
      </w:pPr>
      <w:r w:rsidRPr="00F13E89">
        <w:t>I</w:t>
      </w:r>
      <w:r w:rsidR="00A91223">
        <w:t>nclusion and exclusion criteria</w:t>
      </w:r>
    </w:p>
    <w:p w:rsidR="00F13E89" w:rsidRDefault="00F13E89" w:rsidP="00F13E89">
      <w:r w:rsidRPr="00F13E89">
        <w:t xml:space="preserve">The main inclusion criteria were: Males and females, aged </w:t>
      </w:r>
      <w:r w:rsidR="00511EB7">
        <w:t xml:space="preserve">&gt; </w:t>
      </w:r>
      <w:r w:rsidRPr="00F13E89">
        <w:t xml:space="preserve">12 years with a confirmed diagnosis of CF defined as: sweat chloride value </w:t>
      </w:r>
      <w:r w:rsidR="00511EB7">
        <w:t xml:space="preserve">&gt; </w:t>
      </w:r>
      <w:r w:rsidRPr="00F13E89">
        <w:t>60 mmol/L by quantitat</w:t>
      </w:r>
      <w:r w:rsidR="00A91223">
        <w:t xml:space="preserve">ive pilocarpine iontophoresis or CF </w:t>
      </w:r>
      <w:r w:rsidRPr="00F13E89">
        <w:t xml:space="preserve">causing mutations (all as documented in the subject's medical record) </w:t>
      </w:r>
      <w:r w:rsidR="00A91223">
        <w:t>and</w:t>
      </w:r>
      <w:r w:rsidRPr="00F13E89">
        <w:t xml:space="preserve"> Chronic sino</w:t>
      </w:r>
      <w:r w:rsidR="00A91223">
        <w:t>-pulmonary disease or</w:t>
      </w:r>
      <w:r w:rsidRPr="00F13E89">
        <w:t xml:space="preserve"> gastrointestinal/nutritional abnormalities. Patients had to be homozygous for the F508del-CFTR mutation, genotype to be confirmed at Screening with </w:t>
      </w:r>
      <w:r w:rsidR="00A8789D" w:rsidRPr="001D064D">
        <w:t>FEV</w:t>
      </w:r>
      <w:r w:rsidR="00A8789D" w:rsidRPr="00A8789D">
        <w:rPr>
          <w:vertAlign w:val="subscript"/>
        </w:rPr>
        <w:t>1</w:t>
      </w:r>
      <w:r w:rsidRPr="00F13E89">
        <w:t xml:space="preserve"> </w:t>
      </w:r>
      <w:r w:rsidR="00A91223">
        <w:t xml:space="preserve">≥ </w:t>
      </w:r>
      <w:r w:rsidRPr="00F13E89">
        <w:t xml:space="preserve">40% and </w:t>
      </w:r>
      <w:r w:rsidR="00A91223">
        <w:t xml:space="preserve">≤ </w:t>
      </w:r>
      <w:r w:rsidRPr="00F13E89">
        <w:t xml:space="preserve">90% of predicted normal for age, sex, and height (equations of Hankinson et al or Wang et al) at Screening; Stable CF disease as judged by the investigator. Willing to remain on a stable CF medication regimen through Week 24 or, if applicable, the Safety Follow-up Visit. Able to understand and comply with protocol requirements, restrictions, and instructions and likely to complete the study as planned (as judged by the investigator). Patients with any significant comorbidities or clinically significant diseases or laboratory abnormalities were excluded. The main exclusion criteria </w:t>
      </w:r>
      <w:r w:rsidR="00A31C15">
        <w:t>are</w:t>
      </w:r>
      <w:r w:rsidRPr="00F13E89">
        <w:t xml:space="preserve"> summarised </w:t>
      </w:r>
      <w:r w:rsidR="00A31C15">
        <w:t>below.</w:t>
      </w:r>
    </w:p>
    <w:p w:rsidR="00A31C15" w:rsidRDefault="00A31C15" w:rsidP="00A31C15">
      <w:pPr>
        <w:pStyle w:val="Heading6"/>
      </w:pPr>
      <w:r>
        <w:t>Exclusion criteria</w:t>
      </w:r>
    </w:p>
    <w:p w:rsidR="00A31C15" w:rsidRPr="00A31C15" w:rsidRDefault="00A31C15" w:rsidP="00A31C15">
      <w:r w:rsidRPr="00A31C15">
        <w:t>Subjects who met any of the following exclus</w:t>
      </w:r>
      <w:r>
        <w:t>ion criteria were not eligible:</w:t>
      </w:r>
    </w:p>
    <w:p w:rsidR="00A31C15" w:rsidRPr="00A31C15" w:rsidRDefault="00A31C15" w:rsidP="00A31C15">
      <w:pPr>
        <w:pStyle w:val="Numberbullet0"/>
      </w:pPr>
      <w:r w:rsidRPr="00A31C15">
        <w:t>History of any comorbidity that, in the opinion of the investigator, might have confounded the results of the study or posed an additional risk in administering study drug to the subject. For example: history of cirrhosis with portal hypertension, and/or history of risk factors for Torsades de Pointes (</w:t>
      </w:r>
      <w:r>
        <w:t>for example</w:t>
      </w:r>
      <w:r w:rsidRPr="00A31C15">
        <w:t>, familial long QT syndrome, hypokal</w:t>
      </w:r>
      <w:r w:rsidR="00382215">
        <w:t>a</w:t>
      </w:r>
      <w:r w:rsidRPr="00A31C15">
        <w:t>emia, heart failure, left ventricular hypertrophy, bradycardia, myocardial infarction, cardiom</w:t>
      </w:r>
      <w:r>
        <w:t>yopathy, history of arrhythmia (</w:t>
      </w:r>
      <w:r w:rsidRPr="00A31C15">
        <w:t>vent</w:t>
      </w:r>
      <w:r>
        <w:t>ricular and atrial fibrillation)</w:t>
      </w:r>
      <w:r w:rsidRPr="00A31C15">
        <w:t>, obesity, acute neurologic event</w:t>
      </w:r>
      <w:r>
        <w:t>s (</w:t>
      </w:r>
      <w:r w:rsidRPr="00A31C15">
        <w:t xml:space="preserve">subarachnoid </w:t>
      </w:r>
      <w:r w:rsidR="009130BA" w:rsidRPr="00A31C15">
        <w:t>haemorrhage</w:t>
      </w:r>
      <w:r w:rsidRPr="00A31C15">
        <w:t xml:space="preserve">, intracranial </w:t>
      </w:r>
      <w:r w:rsidR="009130BA" w:rsidRPr="00A31C15">
        <w:t>haemorrhage</w:t>
      </w:r>
      <w:r w:rsidRPr="00A31C15">
        <w:t>, cerebrovascula</w:t>
      </w:r>
      <w:r>
        <w:t>r accident, intracranial trauma), and autonomic neuropathy).</w:t>
      </w:r>
    </w:p>
    <w:p w:rsidR="00A31C15" w:rsidRDefault="00A31C15" w:rsidP="00A31C15">
      <w:pPr>
        <w:pStyle w:val="Numberbullet0"/>
      </w:pPr>
      <w:r w:rsidRPr="00A31C15">
        <w:lastRenderedPageBreak/>
        <w:t xml:space="preserve">Any clinically significant laboratory abnormalities at </w:t>
      </w:r>
      <w:r w:rsidR="00382215">
        <w:t>s</w:t>
      </w:r>
      <w:r w:rsidR="00382215" w:rsidRPr="00A31C15">
        <w:t xml:space="preserve">creening </w:t>
      </w:r>
      <w:r w:rsidRPr="00A31C15">
        <w:t>that would have interfered with the study assessments or posed an undue risk for the subject (as judged by the investigator</w:t>
      </w:r>
      <w:r>
        <w:t>).</w:t>
      </w:r>
    </w:p>
    <w:p w:rsidR="00A31C15" w:rsidRPr="00A31C15" w:rsidRDefault="00A31C15" w:rsidP="00A31C15">
      <w:pPr>
        <w:pStyle w:val="Numberbullet0"/>
      </w:pPr>
      <w:r w:rsidRPr="00A31C15">
        <w:t xml:space="preserve">Any of the following abnormal laboratory values at </w:t>
      </w:r>
      <w:r w:rsidR="00382215">
        <w:t>s</w:t>
      </w:r>
      <w:r w:rsidR="00382215" w:rsidRPr="00A31C15">
        <w:t>creening</w:t>
      </w:r>
      <w:r w:rsidRPr="00A31C15">
        <w:t>: Haemoglobin &lt;</w:t>
      </w:r>
      <w:r>
        <w:t xml:space="preserve"> </w:t>
      </w:r>
      <w:r w:rsidRPr="00A31C15">
        <w:t>10 g/dL Abnormal liver function defined as any 3 or more of the following: ≥</w:t>
      </w:r>
      <w:r>
        <w:t xml:space="preserve"> </w:t>
      </w:r>
      <w:r w:rsidRPr="00A31C15">
        <w:t>3 × upper limit of normal (ULN) aspartate aminotransferase (AST), ≥</w:t>
      </w:r>
      <w:r>
        <w:t xml:space="preserve"> </w:t>
      </w:r>
      <w:r w:rsidRPr="00A31C15">
        <w:t>3 × ULN alanine aminotransferase (ALT), ≥</w:t>
      </w:r>
      <w:r>
        <w:t xml:space="preserve"> </w:t>
      </w:r>
      <w:r w:rsidRPr="00A31C15">
        <w:t>3 × ULN gamma-glutamyl transpeptidase (GGT), ≥</w:t>
      </w:r>
      <w:r>
        <w:t xml:space="preserve"> </w:t>
      </w:r>
      <w:r w:rsidRPr="00A31C15">
        <w:t>3 × ULN alkaline phosphatase (ALP), or ≥</w:t>
      </w:r>
      <w:r>
        <w:t xml:space="preserve"> </w:t>
      </w:r>
      <w:r w:rsidRPr="00A31C15">
        <w:t>2 × ULN total bilirubin. Abnormal renal function defined as glomerular filtration rate (GFR) ≤</w:t>
      </w:r>
      <w:r>
        <w:t xml:space="preserve"> </w:t>
      </w:r>
      <w:r w:rsidRPr="00A31C15">
        <w:t>50 L/min/1.73 m</w:t>
      </w:r>
      <w:r w:rsidRPr="00A31C15">
        <w:rPr>
          <w:vertAlign w:val="superscript"/>
        </w:rPr>
        <w:t>2</w:t>
      </w:r>
      <w:r w:rsidRPr="00A31C15">
        <w:t xml:space="preserve"> (calculated by the Modification of Diet in Renal Disease Study Equation) for subjects ≥</w:t>
      </w:r>
      <w:r>
        <w:t xml:space="preserve"> </w:t>
      </w:r>
      <w:r w:rsidRPr="00A31C15">
        <w:t>18 years of age and ≤</w:t>
      </w:r>
      <w:r>
        <w:t xml:space="preserve"> </w:t>
      </w:r>
      <w:r w:rsidRPr="00A31C15">
        <w:t>45 mL/min/1.73 m</w:t>
      </w:r>
      <w:r w:rsidRPr="00A31C15">
        <w:rPr>
          <w:vertAlign w:val="superscript"/>
        </w:rPr>
        <w:t>2</w:t>
      </w:r>
      <w:r w:rsidRPr="00A31C15">
        <w:t xml:space="preserve"> (calculated by the Counahan-Barratt equation) f</w:t>
      </w:r>
      <w:r>
        <w:t>or subjects aged 12 to 17 years.</w:t>
      </w:r>
    </w:p>
    <w:p w:rsidR="00A31C15" w:rsidRPr="00A31C15" w:rsidRDefault="00A31C15" w:rsidP="00A31C15">
      <w:pPr>
        <w:pStyle w:val="Numberbullet0"/>
      </w:pPr>
      <w:r w:rsidRPr="00A31C15">
        <w:t>An acute upper or lower respiratory infection, pulmonary exacerbation, or changes in therapy (including antibiotics) for pulmonary disease within 4 weeks before Da</w:t>
      </w:r>
      <w:r>
        <w:t>y 1 (first dose of study drug).</w:t>
      </w:r>
    </w:p>
    <w:p w:rsidR="00A31C15" w:rsidRPr="00A31C15" w:rsidRDefault="00A31C15" w:rsidP="00A31C15">
      <w:pPr>
        <w:pStyle w:val="Numberbullet0"/>
      </w:pPr>
      <w:r w:rsidRPr="00A31C15">
        <w:t>Colonization with organisms associated with a more rapid decline in pulmonary status (</w:t>
      </w:r>
      <w:r>
        <w:t>for example,</w:t>
      </w:r>
      <w:r w:rsidRPr="00A31C15">
        <w:t xml:space="preserve"> Burkholderia cenocepacia, Burkholderia dolosa, and Mycobacterium ab</w:t>
      </w:r>
      <w:r>
        <w:t>scessu</w:t>
      </w:r>
      <w:r w:rsidRPr="00A31C15">
        <w:t>s). The investigator used the following suggested criteria as a guide to determine if subjects who had a history of a positive culture in the past should be considered free of colonization:</w:t>
      </w:r>
      <w:r>
        <w:t xml:space="preserve"> </w:t>
      </w:r>
      <w:r w:rsidRPr="00A31C15">
        <w:t>The subject should have had 2 respiratory tract cultures negative for these organisms within the past 12 months, with no subsequent positive cultures.</w:t>
      </w:r>
      <w:r>
        <w:t xml:space="preserve"> </w:t>
      </w:r>
      <w:r w:rsidRPr="00A31C15">
        <w:t>These 2 respiratory tract cultures should have been separated by at least 3 months. One of these 2 respiratory tract cultures should have been obt</w:t>
      </w:r>
      <w:r>
        <w:t>ained within the past 6 months.</w:t>
      </w:r>
    </w:p>
    <w:p w:rsidR="00A31C15" w:rsidRPr="00A31C15" w:rsidRDefault="00A31C15" w:rsidP="00A31C15">
      <w:pPr>
        <w:pStyle w:val="Numberbullet0"/>
      </w:pPr>
      <w:r w:rsidRPr="00A31C15">
        <w:t>A 12-lead ECG demonstrating QTcF &gt;</w:t>
      </w:r>
      <w:r>
        <w:t xml:space="preserve"> </w:t>
      </w:r>
      <w:r w:rsidRPr="00A31C15">
        <w:t>450 msec at Screening. If QTcF exceeded 450 msec for the screening ECG, the ECG was repeated 2 more times during the Screening Period, and the average of the 3 QTcF values was used to deter</w:t>
      </w:r>
      <w:r w:rsidR="009130BA">
        <w:t>mine the subject's eligibility.</w:t>
      </w:r>
    </w:p>
    <w:p w:rsidR="00A31C15" w:rsidRPr="00A31C15" w:rsidRDefault="00A31C15" w:rsidP="009130BA">
      <w:pPr>
        <w:pStyle w:val="Numberbullet0"/>
      </w:pPr>
      <w:r w:rsidRPr="00A31C15">
        <w:t>History of solid organ or</w:t>
      </w:r>
      <w:r w:rsidR="009130BA">
        <w:t xml:space="preserve"> haematological transplantation.</w:t>
      </w:r>
    </w:p>
    <w:p w:rsidR="00A31C15" w:rsidRPr="00A31C15" w:rsidRDefault="00A31C15" w:rsidP="009130BA">
      <w:pPr>
        <w:pStyle w:val="Numberbullet0"/>
      </w:pPr>
      <w:r w:rsidRPr="00A31C15">
        <w:t xml:space="preserve">History of alcohol or drug abuse in the past year, including but not limited to cannabis, cocaine, and opiates </w:t>
      </w:r>
      <w:r w:rsidR="009130BA">
        <w:t>as deemed by the investigator.</w:t>
      </w:r>
    </w:p>
    <w:p w:rsidR="009130BA" w:rsidRDefault="00A31C15" w:rsidP="00A31C15">
      <w:pPr>
        <w:pStyle w:val="Numberbullet0"/>
      </w:pPr>
      <w:r w:rsidRPr="00A31C15">
        <w:t xml:space="preserve">Ongoing or prior participation in an investigational drug study (including studies investigating lumacaftor and/or ivacaftor) within 30 days of screening. A washout period of 5 terminal half-lives of the previous investigational study drug or 30 days, whichever was longer, must have elapsed before screening. A longer duration of the elapsed time was permitted if required by local regulations. Subjects who discontinued from this study or from Study VX12-809-104 after randomization were not eligible </w:t>
      </w:r>
      <w:r w:rsidR="009130BA">
        <w:t>to participate in either study.</w:t>
      </w:r>
      <w:r w:rsidRPr="00A31C15">
        <w:t xml:space="preserve"> Ongoing participation in a non</w:t>
      </w:r>
      <w:r w:rsidR="009130BA">
        <w:t>-</w:t>
      </w:r>
      <w:r w:rsidRPr="00A31C15">
        <w:t>interventional study (including observ</w:t>
      </w:r>
      <w:r w:rsidR="009130BA">
        <w:t>ational studies) was permitted.</w:t>
      </w:r>
    </w:p>
    <w:p w:rsidR="00A31C15" w:rsidRPr="00A31C15" w:rsidRDefault="00A31C15" w:rsidP="00A31C15">
      <w:pPr>
        <w:pStyle w:val="Numberbullet0"/>
      </w:pPr>
      <w:r w:rsidRPr="00A31C15">
        <w:t>Use of strong inhibitors, moderate inducers, or strong inducers of CYP 3A, including consumption of certain herbal medications (</w:t>
      </w:r>
      <w:r w:rsidR="009130BA">
        <w:t>for example</w:t>
      </w:r>
      <w:r w:rsidRPr="00A31C15">
        <w:t xml:space="preserve">, St. John's Wort) and certain fruit and fruit juices within 14 days before Day 1 (the </w:t>
      </w:r>
      <w:r w:rsidR="009130BA">
        <w:t>first dose of the study drug).</w:t>
      </w:r>
    </w:p>
    <w:p w:rsidR="00A31C15" w:rsidRPr="00A31C15" w:rsidRDefault="00A31C15" w:rsidP="009130BA">
      <w:pPr>
        <w:pStyle w:val="Numberbullet0"/>
      </w:pPr>
      <w:r w:rsidRPr="00A31C15">
        <w:t>Pregnant and nursing females: Females of childbearing potential were required to have a negative pregnan</w:t>
      </w:r>
      <w:r w:rsidR="009130BA">
        <w:t>cy test at Screening and Day 1.</w:t>
      </w:r>
    </w:p>
    <w:p w:rsidR="00A31C15" w:rsidRPr="00A31C15" w:rsidRDefault="00A31C15" w:rsidP="009130BA">
      <w:pPr>
        <w:pStyle w:val="Numberbullet0"/>
      </w:pPr>
      <w:r w:rsidRPr="00A31C15">
        <w:t xml:space="preserve">Sexually active subjects of reproductive potential who were not willing to follow </w:t>
      </w:r>
      <w:r w:rsidR="009130BA">
        <w:t>the contraception requirements.</w:t>
      </w:r>
    </w:p>
    <w:p w:rsidR="00A31C15" w:rsidRPr="00A31C15" w:rsidRDefault="00A31C15" w:rsidP="009130BA">
      <w:pPr>
        <w:pStyle w:val="Numberbullet0"/>
      </w:pPr>
      <w:r w:rsidRPr="00A31C15">
        <w:t>History of cataract or lens opacity or evidence of cataract or lens opacity determined to be clinically significant by the ophthalmologist during the ophthalmologic examination at the Screening Visit. The ophthalmologic examination did not need to be repeated if there was documentation of an examination meeting protocol criteria that was conducted within 3 mont</w:t>
      </w:r>
      <w:r w:rsidR="009130BA">
        <w:t>hs before the Screening Visit.</w:t>
      </w:r>
    </w:p>
    <w:p w:rsidR="00A31C15" w:rsidRPr="00A31C15" w:rsidRDefault="00A31C15" w:rsidP="009130BA">
      <w:pPr>
        <w:pStyle w:val="Numberbullet0"/>
      </w:pPr>
      <w:r w:rsidRPr="00A31C15">
        <w:lastRenderedPageBreak/>
        <w:t>The subject or a close relative of the subject was the investigator or a sub</w:t>
      </w:r>
      <w:r w:rsidR="009130BA">
        <w:t>-</w:t>
      </w:r>
      <w:r w:rsidRPr="00A31C15">
        <w:t>investigator,</w:t>
      </w:r>
      <w:r w:rsidR="009130BA">
        <w:t xml:space="preserve"> </w:t>
      </w:r>
      <w:r w:rsidRPr="00A31C15">
        <w:t>research assistant, pharmacist, study coordinator, or other staff directly involved with the conduct of the study. An adult (aged 18 years or older) who was a relative of a study staff member may have been random</w:t>
      </w:r>
      <w:r w:rsidR="002D7E74">
        <w:t>ise</w:t>
      </w:r>
      <w:r w:rsidRPr="00A31C15">
        <w:t>d in the study provided that the adult lived independently of and did not reside with the study staff member; the adult participated in the study at a site other than the site at which the family member was employed.</w:t>
      </w:r>
    </w:p>
    <w:p w:rsidR="00F13E89" w:rsidRPr="00F13E89" w:rsidRDefault="00F00BD8" w:rsidP="00A91223">
      <w:pPr>
        <w:pStyle w:val="Heading5"/>
      </w:pPr>
      <w:r>
        <w:t>Study treatments</w:t>
      </w:r>
    </w:p>
    <w:p w:rsidR="00F13E89" w:rsidRDefault="00F13E89" w:rsidP="00F13E89">
      <w:r w:rsidRPr="00F13E89">
        <w:t>The treatment period lasted approximately 24 weeks. Subjects were random</w:t>
      </w:r>
      <w:r w:rsidR="002D7E74">
        <w:t>ise</w:t>
      </w:r>
      <w:r w:rsidRPr="00F13E89">
        <w:t>d to 1 of 3 treatment groups: 2 LUM/IVA combination treatment groups and 1 placebo group. The dosing regimen for each tr</w:t>
      </w:r>
      <w:r w:rsidR="00F00BD8">
        <w:t xml:space="preserve">eatment group was as follows: LUM 600 mg qd/IVA 250 mg q12h; </w:t>
      </w:r>
      <w:r w:rsidRPr="00F13E89">
        <w:t>LU</w:t>
      </w:r>
      <w:r w:rsidR="00F00BD8">
        <w:t xml:space="preserve">M 400 mg q12h/IVA 250 mg q12h; </w:t>
      </w:r>
      <w:r w:rsidRPr="00F13E89">
        <w:t xml:space="preserve">LUM placebo q12h/IVA placebo q12h (placebo) </w:t>
      </w:r>
      <w:r w:rsidRPr="00D627AD">
        <w:t xml:space="preserve">(Table </w:t>
      </w:r>
      <w:r w:rsidR="00071D8E">
        <w:t>27</w:t>
      </w:r>
      <w:r w:rsidR="00F00BD8">
        <w:t>).</w:t>
      </w:r>
    </w:p>
    <w:p w:rsidR="00D627AD" w:rsidRDefault="00071D8E" w:rsidP="00D627AD">
      <w:pPr>
        <w:pStyle w:val="Tabletitle"/>
      </w:pPr>
      <w:proofErr w:type="gramStart"/>
      <w:r>
        <w:t>Table 27</w:t>
      </w:r>
      <w:r w:rsidR="00D627AD">
        <w:t>.</w:t>
      </w:r>
      <w:proofErr w:type="gramEnd"/>
      <w:r w:rsidR="00D627AD">
        <w:t xml:space="preserve"> Study 103 study drug </w:t>
      </w:r>
      <w:proofErr w:type="gramStart"/>
      <w:r w:rsidR="00D627AD">
        <w:t>administration</w:t>
      </w:r>
      <w:proofErr w:type="gramEnd"/>
    </w:p>
    <w:p w:rsidR="00D627AD" w:rsidRPr="00F13E89" w:rsidRDefault="00D627AD" w:rsidP="00F13E89">
      <w:r>
        <w:rPr>
          <w:noProof/>
          <w:lang w:eastAsia="en-AU"/>
        </w:rPr>
        <w:drawing>
          <wp:inline distT="0" distB="0" distL="0" distR="0" wp14:anchorId="368FEBDE" wp14:editId="4A588534">
            <wp:extent cx="5464454" cy="2561754"/>
            <wp:effectExtent l="0" t="0" r="3175" b="0"/>
            <wp:docPr id="38" name="Picture 38" descr="Table 27. Study 103 study drug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469081" cy="2563923"/>
                    </a:xfrm>
                    <a:prstGeom prst="rect">
                      <a:avLst/>
                    </a:prstGeom>
                  </pic:spPr>
                </pic:pic>
              </a:graphicData>
            </a:graphic>
          </wp:inline>
        </w:drawing>
      </w:r>
    </w:p>
    <w:p w:rsidR="00F13E89" w:rsidRDefault="00F13E89" w:rsidP="00F13E89">
      <w:r w:rsidRPr="00F13E89">
        <w:t>Study drug was to be administered within 3</w:t>
      </w:r>
      <w:r w:rsidR="00F00BD8">
        <w:t xml:space="preserve">0 minutes of consumption of fat </w:t>
      </w:r>
      <w:r w:rsidRPr="00F13E89">
        <w:t xml:space="preserve">containing food such as a standard </w:t>
      </w:r>
      <w:r w:rsidR="00980975">
        <w:t>‘</w:t>
      </w:r>
      <w:r w:rsidRPr="00F13E89">
        <w:t>CF</w:t>
      </w:r>
      <w:r w:rsidR="00980975">
        <w:t>’</w:t>
      </w:r>
      <w:r w:rsidR="00F00BD8">
        <w:t xml:space="preserve"> high fat, high </w:t>
      </w:r>
      <w:r w:rsidRPr="00F13E89">
        <w:t>calorie meal or snack. If subjects missed a dose and recalled the missed dose within 6 hours, they were to take their dose with food. If more than 6 hours elapsed after their usual dosing time, they were to skip that dose and resume their normal schedule for the following dose.</w:t>
      </w:r>
    </w:p>
    <w:p w:rsidR="00F13E89" w:rsidRPr="00F13E89" w:rsidRDefault="00F13E89" w:rsidP="00F13E89">
      <w:r w:rsidRPr="00F13E89">
        <w:t>Information regarding all prior and concomitant medications, including the subject’s CF medications, other medications, herbal and naturopathic remedies administered from 30 days before the Screening Period through the Week 24 Visit or Safety Follow-up Visit, if applicable, was recorded in each subject's source documents and elec</w:t>
      </w:r>
      <w:r w:rsidR="00F00BD8">
        <w:t>tronic case report form (eCRF).</w:t>
      </w:r>
    </w:p>
    <w:p w:rsidR="00F13E89" w:rsidRPr="00F13E89" w:rsidRDefault="00F13E89" w:rsidP="00F13E89">
      <w:r w:rsidRPr="00F13E89">
        <w:t>The use of CYP3A, CYP2C8 and CYP2C9 substrates was not prohibited, but investigators needed to be aware that lumacaftor appears to be a strong inducer of CYP3A and also inhibits CYP2C8 and CYP2C9 in vitro. Therefore, the efficacy of drugs extensively metabol</w:t>
      </w:r>
      <w:r w:rsidR="002D7E74">
        <w:t>ise</w:t>
      </w:r>
      <w:r w:rsidRPr="00F13E89">
        <w:t xml:space="preserve">d by these </w:t>
      </w:r>
      <w:r w:rsidR="00D13AF6" w:rsidRPr="00F13E89">
        <w:t>isoenzyme</w:t>
      </w:r>
      <w:r w:rsidR="00D13AF6">
        <w:t>s</w:t>
      </w:r>
      <w:r w:rsidRPr="00F13E89">
        <w:t xml:space="preserve"> may have been affected. Each investigator evaluated the benefit-risk ratio of using such drugs with lumacaftor. Investigators discussed any concerns regarding the use of CYP3A, CYP2C8 and CYP2C9 substrates with the medical</w:t>
      </w:r>
      <w:r w:rsidR="00F00BD8">
        <w:t xml:space="preserve"> monitor.</w:t>
      </w:r>
    </w:p>
    <w:p w:rsidR="00F13E89" w:rsidRPr="00F13E89" w:rsidRDefault="00F00BD8" w:rsidP="00F00BD8">
      <w:pPr>
        <w:pStyle w:val="Heading5"/>
      </w:pPr>
      <w:r>
        <w:t>Efficacy variables and outcomes</w:t>
      </w:r>
    </w:p>
    <w:p w:rsidR="00F13E89" w:rsidRPr="00F13E89" w:rsidRDefault="00F13E89" w:rsidP="00F13E89">
      <w:r w:rsidRPr="00F13E89">
        <w:t>The main efficacy assessments included spirometry, height, weight, Cystic Fibrosis Questionnaire–Revised (CFQ-R), EuroQol 3-Level (EQ-5D-3L) score, Treatment Satisfaction Questionnaire for Medication (TSQM), and clinical events related to outcomes (</w:t>
      </w:r>
      <w:r w:rsidR="007138B8">
        <w:t>for example, pulmonary exacerbations).</w:t>
      </w:r>
    </w:p>
    <w:p w:rsidR="00F13E89" w:rsidRPr="00F13E89" w:rsidRDefault="00F13E89" w:rsidP="00F13E89">
      <w:r w:rsidRPr="00F13E89">
        <w:lastRenderedPageBreak/>
        <w:t xml:space="preserve">The primary efficacy endpoint was the absolute change from baseline in percent predicted </w:t>
      </w:r>
      <w:r w:rsidR="00A8789D" w:rsidRPr="001D064D">
        <w:t>FEV</w:t>
      </w:r>
      <w:r w:rsidR="00A8789D" w:rsidRPr="00A8789D">
        <w:rPr>
          <w:vertAlign w:val="subscript"/>
        </w:rPr>
        <w:t>1</w:t>
      </w:r>
      <w:r w:rsidRPr="00F13E89">
        <w:t xml:space="preserve"> at Week 24, assessed as the average treatment effect at Week 16 and at Week 24. The primary analysis used an MMRM model that included treatment, visit, and treatment-by-visit interaction as fixed effects, with adjustments for sex (male versus female), age group at baseline (</w:t>
      </w:r>
      <w:r w:rsidR="00511EB7">
        <w:t xml:space="preserve">&lt; </w:t>
      </w:r>
      <w:r w:rsidRPr="00F13E89">
        <w:t xml:space="preserve">18 versus </w:t>
      </w:r>
      <w:r w:rsidR="00A91223">
        <w:t xml:space="preserve">≥ </w:t>
      </w:r>
      <w:r w:rsidRPr="00F13E89">
        <w:t xml:space="preserve">18 years old), and percent predicted </w:t>
      </w:r>
      <w:r w:rsidR="00A8789D" w:rsidRPr="001D064D">
        <w:t>FEV</w:t>
      </w:r>
      <w:r w:rsidR="00A8789D" w:rsidRPr="00A8789D">
        <w:rPr>
          <w:vertAlign w:val="subscript"/>
        </w:rPr>
        <w:t>1</w:t>
      </w:r>
      <w:r w:rsidRPr="00F13E89">
        <w:t xml:space="preserve"> severity at Screening (</w:t>
      </w:r>
      <w:r w:rsidR="00511EB7">
        <w:t xml:space="preserve">&lt; </w:t>
      </w:r>
      <w:r w:rsidRPr="00F13E89">
        <w:t xml:space="preserve">70 versus </w:t>
      </w:r>
      <w:r w:rsidR="00A91223">
        <w:t xml:space="preserve">≥ </w:t>
      </w:r>
      <w:r w:rsidRPr="00F13E89">
        <w:t>70).</w:t>
      </w:r>
    </w:p>
    <w:p w:rsidR="00F13E89" w:rsidRPr="00F13E89" w:rsidRDefault="00F13E89" w:rsidP="00F13E89">
      <w:r w:rsidRPr="00F13E89">
        <w:t xml:space="preserve">The 5 key secondary efficacy endpoints were: (1) relative change from baseline in percent predicted </w:t>
      </w:r>
      <w:r w:rsidR="00A8789D" w:rsidRPr="001D064D">
        <w:t>FEV</w:t>
      </w:r>
      <w:r w:rsidR="00A8789D" w:rsidRPr="00A8789D">
        <w:rPr>
          <w:vertAlign w:val="subscript"/>
        </w:rPr>
        <w:t>1</w:t>
      </w:r>
      <w:r w:rsidRPr="00F13E89">
        <w:t xml:space="preserve"> at Week 24, assessed as the average treatment effect at Week 16 and at Week 24; (2) absolute change from baseline in body mass index (BMI) at Week 24; (3) absolute change from baseline in CFQ-R respiratory domain score at Week 24 (for the pooled </w:t>
      </w:r>
      <w:r w:rsidR="00980975">
        <w:t>‘</w:t>
      </w:r>
      <w:r w:rsidRPr="00F13E89">
        <w:t>Adolescents and Adults</w:t>
      </w:r>
      <w:r w:rsidR="00980975">
        <w:t>’</w:t>
      </w:r>
      <w:r w:rsidRPr="00F13E89">
        <w:t xml:space="preserve"> and </w:t>
      </w:r>
      <w:r w:rsidR="00980975">
        <w:t>‘</w:t>
      </w:r>
      <w:r w:rsidRPr="00F13E89">
        <w:t>Children Ages 12 and 13</w:t>
      </w:r>
      <w:r w:rsidR="00980975">
        <w:t>’</w:t>
      </w:r>
      <w:r w:rsidRPr="00F13E89">
        <w:t xml:space="preserve"> versions); (4) response defined as </w:t>
      </w:r>
      <w:r w:rsidR="00A91223">
        <w:t xml:space="preserve">≥ </w:t>
      </w:r>
      <w:r w:rsidRPr="00F13E89">
        <w:t xml:space="preserve">5% increase in average relative change from baseline in percent predicted </w:t>
      </w:r>
      <w:r w:rsidR="00A8789D" w:rsidRPr="001D064D">
        <w:t>FEV</w:t>
      </w:r>
      <w:r w:rsidR="00A8789D" w:rsidRPr="00A8789D">
        <w:rPr>
          <w:vertAlign w:val="subscript"/>
        </w:rPr>
        <w:t>1</w:t>
      </w:r>
      <w:r w:rsidRPr="00F13E89">
        <w:t xml:space="preserve"> at Week 16 and at Week 24; and (5) number of pulmonary</w:t>
      </w:r>
      <w:r w:rsidR="007138B8">
        <w:t xml:space="preserve"> exacerbations through Week 24.</w:t>
      </w:r>
    </w:p>
    <w:p w:rsidR="00F13E89" w:rsidRPr="00F13E89" w:rsidRDefault="00F13E89" w:rsidP="00F13E89">
      <w:r w:rsidRPr="00F13E89">
        <w:t>Additional efficacy endpoints included assessment of ‘Clinical events of interest’ such as pulmonary exacerbations, count, duration, a</w:t>
      </w:r>
      <w:r w:rsidR="007138B8">
        <w:t xml:space="preserve">nd time to </w:t>
      </w:r>
      <w:r w:rsidRPr="00F13E89">
        <w:t>first event of hosp</w:t>
      </w:r>
      <w:r w:rsidR="007138B8">
        <w:t xml:space="preserve">italizations and count and time to </w:t>
      </w:r>
      <w:r w:rsidRPr="00F13E89">
        <w:t xml:space="preserve">first event of IV courses of antibiotics for pulmonary exacerbations. CF pulmonary exacerbations are a compilation of patient signs and symptoms that often result in the need for aggressive treatment, including the use of intravenous (IV) antibiotics that may require hospitalization. To date, there is no generally accepted objective definition of a pulmonary exacerbation (Mayer-Hamblett, 2007) and large </w:t>
      </w:r>
      <w:r w:rsidR="007138B8" w:rsidRPr="00F13E89">
        <w:t>multicentre</w:t>
      </w:r>
      <w:r w:rsidRPr="00F13E89">
        <w:t xml:space="preserve"> CF clinical studies have used many variations of physician-derived definitions (Fuchs HJ, 1994; Rosenfeld M, 2001; Rabin HR, 2004; Blumer JL, 2005). For data consistency, the protocol specified one definition of pulmonary exacerbation, which was based on the definition used for the other studies, including the ivacaftor monotherapy initial registration studies. Because signs and symptoms in the definition may have occurred without meeting the overall definition of a pulmonary exacerbation, the number and timing of outpatient sick visits to the clinic or hospital for CF that were unrelated to the stud</w:t>
      </w:r>
      <w:r w:rsidR="007138B8">
        <w:t>y protocol were also collected.</w:t>
      </w:r>
    </w:p>
    <w:p w:rsidR="00F13E89" w:rsidRPr="00F13E89" w:rsidRDefault="00F13E89" w:rsidP="00F13E89">
      <w:pPr>
        <w:pStyle w:val="Comment"/>
      </w:pPr>
      <w:r w:rsidRPr="00F13E89">
        <w:rPr>
          <w:b/>
        </w:rPr>
        <w:t>Comment:</w:t>
      </w:r>
      <w:r w:rsidRPr="00F13E89">
        <w:t xml:space="preserve"> Despite the lack of a standard definition, reduction in pulmonary exacerbation rate has served as a key clinical efficacy measure in definitive CF clinical studies, supporting the registration of two chronic CF pulmonary therapies (inhaled recombinant human deoxyribonuclease and inhaled tobramycin (Kerem, 1996). The evaluation of this important efficacy endpoint was adequately addressed in this study</w:t>
      </w:r>
      <w:r w:rsidR="007138B8">
        <w:t>.</w:t>
      </w:r>
    </w:p>
    <w:p w:rsidR="00F13E89" w:rsidRPr="00F13E89" w:rsidRDefault="00F13E89" w:rsidP="00F13E89">
      <w:r w:rsidRPr="00F13E89">
        <w:t xml:space="preserve">Other efficacy endpoints evaluated in this study included Patient Reported Outcomes (PROs) such as EQ-5D-3L, TSQM, CFQ-R (all domains) and Responder analysis in terms of clinically relevant responders for percent </w:t>
      </w:r>
      <w:r w:rsidR="007138B8">
        <w:t xml:space="preserve">predicted </w:t>
      </w:r>
      <w:r w:rsidR="00A8789D" w:rsidRPr="001D064D">
        <w:t>FEV</w:t>
      </w:r>
      <w:r w:rsidR="00A8789D" w:rsidRPr="00A8789D">
        <w:rPr>
          <w:vertAlign w:val="subscript"/>
        </w:rPr>
        <w:t>1</w:t>
      </w:r>
      <w:r w:rsidR="007138B8">
        <w:t>, BMI and weight.</w:t>
      </w:r>
    </w:p>
    <w:p w:rsidR="00F13E89" w:rsidRPr="00F13E89" w:rsidRDefault="00F13E89" w:rsidP="007138B8">
      <w:pPr>
        <w:pStyle w:val="Heading5"/>
      </w:pPr>
      <w:r w:rsidRPr="00F13E89">
        <w:t>Randomi</w:t>
      </w:r>
      <w:r w:rsidR="007138B8">
        <w:t>sation and blinding</w:t>
      </w:r>
    </w:p>
    <w:p w:rsidR="00F13E89" w:rsidRPr="00F13E89" w:rsidRDefault="00F13E89" w:rsidP="00F13E89">
      <w:r w:rsidRPr="00F13E89">
        <w:t>Subjects who met eligibility criteria were random</w:t>
      </w:r>
      <w:r w:rsidR="002D7E74">
        <w:t>ise</w:t>
      </w:r>
      <w:r w:rsidRPr="00F13E89">
        <w:t>d (1:1:1) to 1 of 3 treatment groups: lumacaftor (LUM) 600 mg daily (qd)/ivacaftor (IVA) 250 mg every 12 hours (q12h); LUM 400 mg q12h/IVA 250 mg q12h; LUM placebo q12h/IVA placebo q12h (placebo). Randomization was stratified by age (</w:t>
      </w:r>
      <w:r w:rsidR="00511EB7">
        <w:t xml:space="preserve">&lt; </w:t>
      </w:r>
      <w:r w:rsidRPr="00F13E89">
        <w:t xml:space="preserve">18 versus </w:t>
      </w:r>
      <w:r w:rsidR="00A91223">
        <w:t xml:space="preserve">≥ </w:t>
      </w:r>
      <w:r w:rsidRPr="00F13E89">
        <w:t>18 years old)</w:t>
      </w:r>
      <w:proofErr w:type="gramStart"/>
      <w:r w:rsidRPr="00F13E89">
        <w:t>,</w:t>
      </w:r>
      <w:proofErr w:type="gramEnd"/>
      <w:r w:rsidRPr="00F13E89">
        <w:t xml:space="preserve"> sex (male versus female) and percent predicted </w:t>
      </w:r>
      <w:r w:rsidR="00A8789D" w:rsidRPr="001D064D">
        <w:t>FEV</w:t>
      </w:r>
      <w:r w:rsidR="00A8789D" w:rsidRPr="00A8789D">
        <w:rPr>
          <w:vertAlign w:val="subscript"/>
        </w:rPr>
        <w:t>1</w:t>
      </w:r>
      <w:r w:rsidRPr="00F13E89">
        <w:t xml:space="preserve"> severity collected at the Screening Visit (</w:t>
      </w:r>
      <w:r w:rsidR="00511EB7">
        <w:t xml:space="preserve">&lt; </w:t>
      </w:r>
      <w:r w:rsidRPr="00F13E89">
        <w:t xml:space="preserve">70 versus </w:t>
      </w:r>
      <w:r w:rsidR="00A91223">
        <w:t xml:space="preserve">≥ </w:t>
      </w:r>
      <w:r w:rsidRPr="00F13E89">
        <w:t>70). An interactive web response system (IWRS) was used t</w:t>
      </w:r>
      <w:r w:rsidR="007138B8">
        <w:t>o assign subjects to treatment.</w:t>
      </w:r>
    </w:p>
    <w:p w:rsidR="00F13E89" w:rsidRPr="00D627AD" w:rsidRDefault="00F13E89" w:rsidP="00D627AD">
      <w:r w:rsidRPr="00D627AD">
        <w:t xml:space="preserve">This was a </w:t>
      </w:r>
      <w:r w:rsidR="003C1B2B" w:rsidRPr="00D627AD">
        <w:t>double blind</w:t>
      </w:r>
      <w:r w:rsidRPr="00D627AD">
        <w:t xml:space="preserve"> study. Study drug tablets were administered orally. Subjects received the same number of tablets each day to maintain the blind. Subjects and all site personnel, including the investigator, site monitor, and study team were blinded, with some exceptions</w:t>
      </w:r>
      <w:r w:rsidR="007138B8" w:rsidRPr="00D627AD">
        <w:t>.</w:t>
      </w:r>
      <w:r w:rsidRPr="00D627AD">
        <w:rPr>
          <w:vertAlign w:val="superscript"/>
        </w:rPr>
        <w:footnoteReference w:id="2"/>
      </w:r>
    </w:p>
    <w:p w:rsidR="00F13E89" w:rsidRPr="00D627AD" w:rsidRDefault="00F13E89" w:rsidP="00D627AD">
      <w:r w:rsidRPr="00D627AD">
        <w:lastRenderedPageBreak/>
        <w:t xml:space="preserve">Subjects and their caregivers were not to be informed of their study-related spirometry results during the Treatment Period even if the subject prematurely discontinued study drug treatment. Vertex Drug Metabolism and PK laboratory personnel were not involved in the conduct of the study and were unblinded to the bioanalysis results but remained blinded to subject </w:t>
      </w:r>
      <w:r w:rsidR="007138B8" w:rsidRPr="00D627AD">
        <w:t>number and treatment assignment.</w:t>
      </w:r>
    </w:p>
    <w:p w:rsidR="00F13E89" w:rsidRPr="00F13E89" w:rsidRDefault="007138B8" w:rsidP="007138B8">
      <w:pPr>
        <w:pStyle w:val="Heading5"/>
        <w:rPr>
          <w:lang w:eastAsia="ja-JP"/>
        </w:rPr>
      </w:pPr>
      <w:r>
        <w:rPr>
          <w:lang w:eastAsia="ja-JP"/>
        </w:rPr>
        <w:t>Analysis populations</w:t>
      </w:r>
    </w:p>
    <w:p w:rsidR="00F13E89" w:rsidRPr="00F13E89" w:rsidRDefault="00F13E89" w:rsidP="00F13E89">
      <w:r w:rsidRPr="00F13E89">
        <w:t>A total of 559 subjects were random</w:t>
      </w:r>
      <w:r w:rsidR="002D7E74">
        <w:t>ise</w:t>
      </w:r>
      <w:r w:rsidRPr="00F13E89">
        <w:t>d: 185 subjects to LUM 600 mg qd/IVA 250 mg q12h, 187 subjects to LUM 400 mg q12h/IVA 250 mg q12h, and 187 subjects to placebo. A total of 549</w:t>
      </w:r>
      <w:r>
        <w:t xml:space="preserve"> </w:t>
      </w:r>
      <w:r w:rsidRPr="00F13E89">
        <w:t>subjects received at least 1 dose of study drug (LUM/IVA or placebo). The Full Analysis Set (FAS) defined as all random</w:t>
      </w:r>
      <w:r w:rsidR="002D7E74">
        <w:t>ise</w:t>
      </w:r>
      <w:r w:rsidRPr="00F13E89">
        <w:t>d subjects who received any amount of study drug was used for all efficacy analyses. Per Protocol Set (PPS) was defined as all FAS subjects without important protocol deviations that may have had a substantial impact on efficacy assessments. The criteria</w:t>
      </w:r>
      <w:r w:rsidR="00F87564">
        <w:rPr>
          <w:rStyle w:val="FootnoteReference"/>
        </w:rPr>
        <w:footnoteReference w:id="3"/>
      </w:r>
      <w:r w:rsidRPr="00F13E89">
        <w:t xml:space="preserve"> used for excluding subjects from the PPS were determined </w:t>
      </w:r>
      <w:r w:rsidR="007138B8">
        <w:t>before the final database lock</w:t>
      </w:r>
      <w:r w:rsidRPr="00F13E89">
        <w:t>. The PPS was only used for supportive analyses for primary and key secondary endpoints.</w:t>
      </w:r>
    </w:p>
    <w:p w:rsidR="00F13E89" w:rsidRPr="00F13E89" w:rsidRDefault="00215AB0" w:rsidP="00215AB0">
      <w:pPr>
        <w:pStyle w:val="Heading5"/>
      </w:pPr>
      <w:r>
        <w:t>Sample size</w:t>
      </w:r>
    </w:p>
    <w:p w:rsidR="00F13E89" w:rsidRPr="00F13E89" w:rsidRDefault="00F13E89" w:rsidP="00F13E89">
      <w:r w:rsidRPr="00F13E89">
        <w:t xml:space="preserve">The sample size calculation was based on the protocol-defined efficacy endpoint of absolute change from baseline in percent predicted </w:t>
      </w:r>
      <w:r w:rsidR="00A8789D" w:rsidRPr="001D064D">
        <w:t>FEV</w:t>
      </w:r>
      <w:r w:rsidR="00A8789D" w:rsidRPr="00A8789D">
        <w:rPr>
          <w:vertAlign w:val="subscript"/>
        </w:rPr>
        <w:t>1</w:t>
      </w:r>
      <w:r w:rsidRPr="00F13E89">
        <w:t xml:space="preserve"> at Week 24, </w:t>
      </w:r>
      <w:r w:rsidR="00215AB0">
        <w:t>with the following assumptions:</w:t>
      </w:r>
    </w:p>
    <w:p w:rsidR="00F13E89" w:rsidRPr="00F13E89" w:rsidRDefault="00F13E89" w:rsidP="00F87564">
      <w:pPr>
        <w:pStyle w:val="ListBullet"/>
      </w:pPr>
      <w:r w:rsidRPr="00F13E89">
        <w:t xml:space="preserve">A treatment difference of mean absolute change from baseline in percent predicted </w:t>
      </w:r>
      <w:r w:rsidR="00A8789D" w:rsidRPr="001D064D">
        <w:t>FEV</w:t>
      </w:r>
      <w:r w:rsidR="00A8789D" w:rsidRPr="00A8789D">
        <w:rPr>
          <w:vertAlign w:val="subscript"/>
        </w:rPr>
        <w:t>1</w:t>
      </w:r>
      <w:r w:rsidRPr="00F13E89">
        <w:t xml:space="preserve"> of 5 percentage points between the active and placebo treatment groups, and a common standard deviation (SD) of 8 percentage points; a 10% </w:t>
      </w:r>
      <w:r w:rsidR="00215AB0">
        <w:t xml:space="preserve">missing data/drop-out rate; a 2 </w:t>
      </w:r>
      <w:r w:rsidRPr="00F13E89">
        <w:t>side</w:t>
      </w:r>
      <w:r w:rsidR="00215AB0">
        <w:t xml:space="preserve">d, 2 group, t </w:t>
      </w:r>
      <w:r w:rsidRPr="00F13E89">
        <w:t>test of equal means and an alpha of 0.025 to address the multiplicity across the 2 active doses (a parallel gatekeeping approach with Bonferroni adjusted alpha levels) to ensure a</w:t>
      </w:r>
      <w:r w:rsidR="00215AB0">
        <w:t>n overall Type I error of 0.05.</w:t>
      </w:r>
    </w:p>
    <w:p w:rsidR="00F13E89" w:rsidRPr="00F13E89" w:rsidRDefault="00F13E89" w:rsidP="00F13E89">
      <w:r w:rsidRPr="00F13E89">
        <w:t xml:space="preserve">A total sample size of 501 subjects (167 subjects for each treatment group) had approximately 99% power to detect a treatment difference of 5 percentage points in absolute change of percent predicted </w:t>
      </w:r>
      <w:r w:rsidR="00A8789D" w:rsidRPr="001D064D">
        <w:t>FEV</w:t>
      </w:r>
      <w:r w:rsidR="00A8789D" w:rsidRPr="00A8789D">
        <w:rPr>
          <w:vertAlign w:val="subscript"/>
        </w:rPr>
        <w:t>1</w:t>
      </w:r>
      <w:r w:rsidRPr="00F13E89">
        <w:t xml:space="preserve"> between </w:t>
      </w:r>
      <w:r w:rsidR="00382215">
        <w:t>the</w:t>
      </w:r>
      <w:r w:rsidR="00382215" w:rsidRPr="00F13E89">
        <w:t xml:space="preserve"> </w:t>
      </w:r>
      <w:proofErr w:type="gramStart"/>
      <w:r w:rsidRPr="00F13E89">
        <w:t>dose</w:t>
      </w:r>
      <w:proofErr w:type="gramEnd"/>
      <w:r w:rsidRPr="00F13E89">
        <w:t xml:space="preserve"> of lumacaftor in combination with ivacaftor compared with placebo. The study had approximately 98% power to detect a treatment difference of 6% in relative change of percent predicted </w:t>
      </w:r>
      <w:r w:rsidR="00A8789D" w:rsidRPr="001D064D">
        <w:t>FEV</w:t>
      </w:r>
      <w:r w:rsidR="00A8789D" w:rsidRPr="00A8789D">
        <w:rPr>
          <w:vertAlign w:val="subscript"/>
        </w:rPr>
        <w:t>1</w:t>
      </w:r>
      <w:r w:rsidRPr="00F13E89">
        <w:t xml:space="preserve"> between each active treatment group and the placebo group at the 0.025 level of significance. This was based on the assumption of having a relative change in percent predicted </w:t>
      </w:r>
      <w:r w:rsidR="00A8789D" w:rsidRPr="001D064D">
        <w:t>FEV</w:t>
      </w:r>
      <w:r w:rsidR="00A8789D" w:rsidRPr="00A8789D">
        <w:rPr>
          <w:vertAlign w:val="subscript"/>
        </w:rPr>
        <w:t>1</w:t>
      </w:r>
      <w:r w:rsidRPr="00F13E89">
        <w:t xml:space="preserve"> of 6 for the active treatment groups, an associated SD of 12%, and a sample size of 167 subjects for each treatment group (active and placebo). The assumed mean absolute/relative changes and SD were based on results from </w:t>
      </w:r>
      <w:r w:rsidR="00980975">
        <w:t>Phase II</w:t>
      </w:r>
      <w:r w:rsidRPr="00F13E89">
        <w:t xml:space="preserve"> </w:t>
      </w:r>
      <w:r w:rsidR="00980975">
        <w:t>Study</w:t>
      </w:r>
      <w:r w:rsidRPr="00F13E89">
        <w:t xml:space="preserve"> 102. The power calculation was based on </w:t>
      </w:r>
      <w:r w:rsidR="00C93707">
        <w:t xml:space="preserve">simulation using Splus with a 2 sided t </w:t>
      </w:r>
      <w:r w:rsidRPr="00F13E89">
        <w:t>test for data sample</w:t>
      </w:r>
      <w:r w:rsidR="00C93707">
        <w:t>d from the normal distribution.</w:t>
      </w:r>
    </w:p>
    <w:p w:rsidR="00F13E89" w:rsidRPr="00F13E89" w:rsidRDefault="00C93707" w:rsidP="00C93707">
      <w:pPr>
        <w:pStyle w:val="Heading5"/>
      </w:pPr>
      <w:r>
        <w:lastRenderedPageBreak/>
        <w:t>Statistical methods</w:t>
      </w:r>
    </w:p>
    <w:p w:rsidR="00F13E89" w:rsidRPr="00F87564" w:rsidRDefault="00F13E89" w:rsidP="00F87564">
      <w:r w:rsidRPr="00F87564">
        <w:t xml:space="preserve">The primary analysis for the primary endpoint (absolute change from baseline in percent predicted </w:t>
      </w:r>
      <w:r w:rsidR="00A8789D" w:rsidRPr="001D064D">
        <w:t>FEV</w:t>
      </w:r>
      <w:r w:rsidR="00A8789D" w:rsidRPr="00A8789D">
        <w:rPr>
          <w:vertAlign w:val="subscript"/>
        </w:rPr>
        <w:t>1</w:t>
      </w:r>
      <w:r w:rsidRPr="00F87564">
        <w:t xml:space="preserve"> a</w:t>
      </w:r>
      <w:r w:rsidR="00C93707">
        <w:t xml:space="preserve">t Week 24) was based on a mixed </w:t>
      </w:r>
      <w:r w:rsidRPr="00F87564">
        <w:t xml:space="preserve">effects model for repeated measures (MMRM). The model included absolute change from baseline in percent predicted </w:t>
      </w:r>
      <w:r w:rsidR="00A8789D" w:rsidRPr="001D064D">
        <w:t>FEV</w:t>
      </w:r>
      <w:r w:rsidR="00A8789D" w:rsidRPr="00A8789D">
        <w:rPr>
          <w:vertAlign w:val="subscript"/>
        </w:rPr>
        <w:t>1</w:t>
      </w:r>
      <w:r w:rsidRPr="00F87564">
        <w:t xml:space="preserve"> (including all measurements up to Week 24 </w:t>
      </w:r>
      <w:r w:rsidR="004E6042">
        <w:t>(</w:t>
      </w:r>
      <w:r w:rsidRPr="00F87564">
        <w:t>inclusive</w:t>
      </w:r>
      <w:r w:rsidR="004E6042">
        <w:t>)</w:t>
      </w:r>
      <w:r w:rsidR="00B45941">
        <w:t xml:space="preserve">, both on </w:t>
      </w:r>
      <w:r w:rsidRPr="00F87564">
        <w:t xml:space="preserve">treatment measurements and measurements after treatment discontinuation) as the dependent variable, </w:t>
      </w:r>
      <w:r w:rsidR="00C93707">
        <w:t xml:space="preserve">treatment, visit, and treatment by </w:t>
      </w:r>
      <w:r w:rsidRPr="00F87564">
        <w:t>visit interaction as fixed effects, with adjustment for sex (male versus female), age group at baseline (</w:t>
      </w:r>
      <w:r w:rsidR="00511EB7">
        <w:t xml:space="preserve">&lt; </w:t>
      </w:r>
      <w:r w:rsidRPr="00F87564">
        <w:t xml:space="preserve">18 versus </w:t>
      </w:r>
      <w:r w:rsidR="00A91223">
        <w:t xml:space="preserve">≥ </w:t>
      </w:r>
      <w:r w:rsidRPr="00F87564">
        <w:t xml:space="preserve">18 years old), and percent predicted </w:t>
      </w:r>
      <w:r w:rsidR="00A8789D" w:rsidRPr="001D064D">
        <w:t>FEV</w:t>
      </w:r>
      <w:r w:rsidR="00A8789D" w:rsidRPr="00A8789D">
        <w:rPr>
          <w:vertAlign w:val="subscript"/>
        </w:rPr>
        <w:t>1</w:t>
      </w:r>
      <w:r w:rsidRPr="00F87564">
        <w:t xml:space="preserve"> severity at Screening (</w:t>
      </w:r>
      <w:r w:rsidR="00511EB7">
        <w:t xml:space="preserve">&lt; </w:t>
      </w:r>
      <w:r w:rsidRPr="00F87564">
        <w:t xml:space="preserve">70 versus </w:t>
      </w:r>
      <w:r w:rsidR="00A91223">
        <w:t xml:space="preserve">≥ </w:t>
      </w:r>
      <w:r w:rsidRPr="00F87564">
        <w:t xml:space="preserve">70) as a random effect. The primary result obtained from the model was the average treatment effect at Week 16 and at Week 24. No imputation on missing data was done for the primary analysis using the MMRM. Response, defined as </w:t>
      </w:r>
      <w:r w:rsidR="00A91223">
        <w:t xml:space="preserve">≥ </w:t>
      </w:r>
      <w:r w:rsidRPr="00F87564">
        <w:t xml:space="preserve">3, </w:t>
      </w:r>
      <w:r w:rsidR="00A91223">
        <w:t xml:space="preserve">≥ </w:t>
      </w:r>
      <w:r w:rsidRPr="00F87564">
        <w:t xml:space="preserve">5, and </w:t>
      </w:r>
      <w:r w:rsidR="00A91223">
        <w:t xml:space="preserve">≥ </w:t>
      </w:r>
      <w:r w:rsidRPr="00F87564">
        <w:t xml:space="preserve">10 percentage point increases in average absolute change from baseline in percent predicted </w:t>
      </w:r>
      <w:r w:rsidR="00A8789D" w:rsidRPr="001D064D">
        <w:t>FEV</w:t>
      </w:r>
      <w:r w:rsidR="00A8789D" w:rsidRPr="00A8789D">
        <w:rPr>
          <w:vertAlign w:val="subscript"/>
        </w:rPr>
        <w:t>1</w:t>
      </w:r>
      <w:r w:rsidRPr="00F87564">
        <w:t xml:space="preserve"> at Week 16 and at </w:t>
      </w:r>
      <w:r w:rsidR="00313FF7">
        <w:t xml:space="preserve">Week </w:t>
      </w:r>
      <w:proofErr w:type="gramStart"/>
      <w:r w:rsidR="00313FF7">
        <w:t>24,</w:t>
      </w:r>
      <w:proofErr w:type="gramEnd"/>
      <w:r w:rsidR="00313FF7">
        <w:t xml:space="preserve"> was analysed using a 2 </w:t>
      </w:r>
      <w:r w:rsidRPr="00F87564">
        <w:t>sided Cochran-Mantel-Haenszel test. To assess the robustness of the primary analysis, sensitivity analyses wer</w:t>
      </w:r>
      <w:r w:rsidR="00313FF7">
        <w:t xml:space="preserve">e conducted using MMRM (with on </w:t>
      </w:r>
      <w:r w:rsidRPr="00F87564">
        <w:t>treatment measurements only up to Week 24) and analy</w:t>
      </w:r>
      <w:r w:rsidR="00AA5E22">
        <w:t xml:space="preserve">sis of covariance with multiple </w:t>
      </w:r>
      <w:r w:rsidR="00C93707">
        <w:t>imputation.</w:t>
      </w:r>
    </w:p>
    <w:p w:rsidR="00F13E89" w:rsidRPr="00F87564" w:rsidRDefault="00F13E89" w:rsidP="00F87564">
      <w:r w:rsidRPr="00F87564">
        <w:t>Subgroup analyses of the primary endpoint were performed based on the FAS in a similar manner as the primary analysis for the following subgroups: age (</w:t>
      </w:r>
      <w:r w:rsidR="00511EB7">
        <w:t xml:space="preserve">&lt; </w:t>
      </w:r>
      <w:r w:rsidRPr="00F87564">
        <w:t xml:space="preserve">18, </w:t>
      </w:r>
      <w:r w:rsidR="00A91223">
        <w:t xml:space="preserve">≥ </w:t>
      </w:r>
      <w:r w:rsidRPr="00F87564">
        <w:t xml:space="preserve">18 years old), percent predicted </w:t>
      </w:r>
      <w:r w:rsidR="00A8789D" w:rsidRPr="001D064D">
        <w:t>FEV</w:t>
      </w:r>
      <w:r w:rsidR="00A8789D" w:rsidRPr="00A8789D">
        <w:rPr>
          <w:vertAlign w:val="subscript"/>
        </w:rPr>
        <w:t>1</w:t>
      </w:r>
      <w:r w:rsidRPr="00F87564">
        <w:t xml:space="preserve"> severity at Screening (</w:t>
      </w:r>
      <w:r w:rsidR="00511EB7">
        <w:t xml:space="preserve">&lt; </w:t>
      </w:r>
      <w:r w:rsidRPr="00F87564">
        <w:t xml:space="preserve">70, </w:t>
      </w:r>
      <w:r w:rsidR="00A91223">
        <w:t xml:space="preserve">≥ </w:t>
      </w:r>
      <w:r w:rsidR="00313FF7">
        <w:t>70), sex (female, male)’</w:t>
      </w:r>
      <w:r w:rsidRPr="00F87564">
        <w:t xml:space="preserve"> region (North America, Europe, and Australia), prior use of inhaled treatments (antibiotics, bronchodilators, hypertonic saline, or corticosteroids; yes and no), prior use o</w:t>
      </w:r>
      <w:r w:rsidR="00313FF7">
        <w:t xml:space="preserve">f inhaled bronchodilator (short </w:t>
      </w:r>
      <w:r w:rsidRPr="00F87564">
        <w:t xml:space="preserve">acting only versus </w:t>
      </w:r>
      <w:r w:rsidR="004E6042">
        <w:t>(</w:t>
      </w:r>
      <w:r w:rsidR="00313FF7">
        <w:t xml:space="preserve">short acting and long </w:t>
      </w:r>
      <w:r w:rsidRPr="00F87564">
        <w:t>acting</w:t>
      </w:r>
      <w:r w:rsidR="004E6042">
        <w:t>)</w:t>
      </w:r>
      <w:r w:rsidRPr="00F87564">
        <w:t xml:space="preserve"> or </w:t>
      </w:r>
      <w:r w:rsidR="00313FF7">
        <w:t>long acting</w:t>
      </w:r>
      <w:r w:rsidRPr="00F87564">
        <w:t xml:space="preserve"> only versus </w:t>
      </w:r>
      <w:r w:rsidR="004E6042">
        <w:t>(</w:t>
      </w:r>
      <w:r w:rsidR="00313FF7">
        <w:t>short acting</w:t>
      </w:r>
      <w:r w:rsidRPr="00F87564">
        <w:t xml:space="preserve"> and </w:t>
      </w:r>
      <w:r w:rsidR="00313FF7">
        <w:t>long acting</w:t>
      </w:r>
      <w:r w:rsidR="004E6042">
        <w:t>)</w:t>
      </w:r>
      <w:r w:rsidRPr="00F87564">
        <w:t>) and Pseudomonas aeruginosa status (positive and negative) at baseline.</w:t>
      </w:r>
    </w:p>
    <w:p w:rsidR="00F87564" w:rsidRPr="00F87564" w:rsidRDefault="00F87564" w:rsidP="00F87564">
      <w:r w:rsidRPr="00F87564">
        <w:t xml:space="preserve">The primary analysis for the first 3 key secondary endpoints was similar to the analysis for the primary efficacy endpoint. However, baseline BMI was added as a covariate for absolute change from baseline in BMI and baseline CFQ-R respiratory domain score was added as a covariate for absolute change from baseline in CFQ-R respiratory domain score. Response analyses, similar to those defined for the response of the absolute change from baseline in percent predicted </w:t>
      </w:r>
      <w:r w:rsidR="00A8789D" w:rsidRPr="001D064D">
        <w:t>FEV</w:t>
      </w:r>
      <w:r w:rsidR="00A8789D" w:rsidRPr="00A8789D">
        <w:rPr>
          <w:vertAlign w:val="subscript"/>
        </w:rPr>
        <w:t>1</w:t>
      </w:r>
      <w:r w:rsidRPr="00F87564">
        <w:t xml:space="preserve">, were performed for the response defined as </w:t>
      </w:r>
      <w:r w:rsidR="00A91223">
        <w:t xml:space="preserve">≥ </w:t>
      </w:r>
      <w:r w:rsidRPr="00F87564">
        <w:t xml:space="preserve">5% increase in average relative change from baseline in percent predicted </w:t>
      </w:r>
      <w:r w:rsidR="00A8789D" w:rsidRPr="001D064D">
        <w:t>FEV</w:t>
      </w:r>
      <w:r w:rsidR="00A8789D" w:rsidRPr="00A8789D">
        <w:rPr>
          <w:vertAlign w:val="subscript"/>
        </w:rPr>
        <w:t>1</w:t>
      </w:r>
      <w:r w:rsidRPr="00F87564">
        <w:t xml:space="preserve"> at Week 16 and at Week 24. Regression analysis for a negative binomial distribution, with sex, age group at baseline, and percent predicted </w:t>
      </w:r>
      <w:r w:rsidR="00A8789D" w:rsidRPr="001D064D">
        <w:t>FEV</w:t>
      </w:r>
      <w:r w:rsidR="00A8789D" w:rsidRPr="00A8789D">
        <w:rPr>
          <w:vertAlign w:val="subscript"/>
        </w:rPr>
        <w:t>1</w:t>
      </w:r>
      <w:r w:rsidRPr="00F87564">
        <w:t xml:space="preserve"> severity at Screening as covariates and the log of time sp</w:t>
      </w:r>
      <w:r w:rsidR="00EE38F4">
        <w:t xml:space="preserve">ent in the study as the offset </w:t>
      </w:r>
      <w:r w:rsidRPr="00F87564">
        <w:t>was used for the treatment comparison for the num</w:t>
      </w:r>
      <w:r w:rsidR="00EE38F4">
        <w:t>ber of pulmonary exacerbations.</w:t>
      </w:r>
    </w:p>
    <w:p w:rsidR="00F87564" w:rsidRPr="00F87564" w:rsidRDefault="00F87564" w:rsidP="00F87564">
      <w:r w:rsidRPr="00F87564">
        <w:t>A multiplicity adjustment approach using a simple Bonferroni correction and a hierarchical testing procedure was used to strongly control the overall Type I error rate at 0.05 for the primary endpoint and the 5 key secondary endpoints across the 2 dosing regimens of lumacaftor in combination with ivacaftor (LUM 600 mg qd/IVA 250 mg q12h and LUM 400 m</w:t>
      </w:r>
      <w:r w:rsidR="00EE38F4">
        <w:t>g q12h/IVA 250 mg q12h groups).</w:t>
      </w:r>
    </w:p>
    <w:p w:rsidR="00F87564" w:rsidRPr="00F87564" w:rsidRDefault="00F87564" w:rsidP="00F87564">
      <w:r w:rsidRPr="00F87564">
        <w:t xml:space="preserve">The testing hierarchy was as follows: (1) average absolute change from baseline in percent predicted </w:t>
      </w:r>
      <w:r w:rsidR="00A8789D" w:rsidRPr="001D064D">
        <w:t>FEV</w:t>
      </w:r>
      <w:r w:rsidR="00A8789D" w:rsidRPr="00A8789D">
        <w:rPr>
          <w:vertAlign w:val="subscript"/>
        </w:rPr>
        <w:t>1</w:t>
      </w:r>
      <w:r w:rsidRPr="00F87564">
        <w:t xml:space="preserve"> at Week 16 and at Week 24, (2) average relative change from baseline in percent predicted </w:t>
      </w:r>
      <w:r w:rsidR="00A8789D" w:rsidRPr="001D064D">
        <w:t>FEV</w:t>
      </w:r>
      <w:r w:rsidR="00A8789D" w:rsidRPr="00A8789D">
        <w:rPr>
          <w:vertAlign w:val="subscript"/>
        </w:rPr>
        <w:t>1</w:t>
      </w:r>
      <w:r w:rsidRPr="00F87564">
        <w:t xml:space="preserve"> at Week 16 and at Week 24, (3) absolute change from baseline in BMI at Week 24, (4) absolute change from baseline in the CFQ-R respiratory domain at Week 24, (5) response defined as </w:t>
      </w:r>
      <w:r w:rsidR="00A91223">
        <w:t xml:space="preserve">≥ </w:t>
      </w:r>
      <w:r w:rsidRPr="00F87564">
        <w:t xml:space="preserve">5% increase in average relative change from baseline in percent predicted </w:t>
      </w:r>
      <w:r w:rsidR="00A8789D" w:rsidRPr="001D064D">
        <w:t>FEV</w:t>
      </w:r>
      <w:r w:rsidR="00A8789D" w:rsidRPr="00A8789D">
        <w:rPr>
          <w:vertAlign w:val="subscript"/>
        </w:rPr>
        <w:t>1</w:t>
      </w:r>
      <w:r w:rsidRPr="00F87564">
        <w:t xml:space="preserve"> at Week 16 and at Week 24, and (6) number of pulmonary</w:t>
      </w:r>
      <w:r w:rsidR="00EE38F4">
        <w:t xml:space="preserve"> exacerbations through Week 24.</w:t>
      </w:r>
    </w:p>
    <w:p w:rsidR="00F87564" w:rsidRPr="00F87564" w:rsidRDefault="00F87564" w:rsidP="00F87564">
      <w:r w:rsidRPr="00F87564">
        <w:t>A sensitivity analysis to assess the robustness of the primary analysis of the key secondary variables repeated the primary analysis of the key secondary endpoints based on the on-treatment measurements up t</w:t>
      </w:r>
      <w:r w:rsidR="00EE38F4">
        <w:t xml:space="preserve">o Week 24 only. A Wilcoxon rank </w:t>
      </w:r>
      <w:r w:rsidRPr="00F87564">
        <w:t xml:space="preserve">sum test (stratified by sex, age group at baseline, and percent predicted </w:t>
      </w:r>
      <w:r w:rsidR="00A8789D" w:rsidRPr="001D064D">
        <w:t>FEV</w:t>
      </w:r>
      <w:r w:rsidR="00A8789D" w:rsidRPr="00A8789D">
        <w:rPr>
          <w:vertAlign w:val="subscript"/>
        </w:rPr>
        <w:t>1</w:t>
      </w:r>
      <w:r w:rsidRPr="00F87564">
        <w:t xml:space="preserve"> severity at Screening) was performed for the number of pulmonary exacerbations through Week 24 that included both on-treatment measurements and measurements collected after treatment discontinuation up to Week 24. </w:t>
      </w:r>
      <w:r w:rsidRPr="00F87564">
        <w:lastRenderedPageBreak/>
        <w:t xml:space="preserve">Subgroup analysis of the 5 key secondary endpoints was performed in the same manner as the primary analysis </w:t>
      </w:r>
      <w:r w:rsidR="00EE38F4">
        <w:t>of the key secondary endpoints.</w:t>
      </w:r>
    </w:p>
    <w:p w:rsidR="00F87564" w:rsidRPr="00F87564" w:rsidRDefault="00EE38F4" w:rsidP="00EE38F4">
      <w:pPr>
        <w:pStyle w:val="Heading5"/>
      </w:pPr>
      <w:r>
        <w:t>Participant flow</w:t>
      </w:r>
    </w:p>
    <w:p w:rsidR="00F87564" w:rsidRDefault="00F87564" w:rsidP="00F87564">
      <w:r w:rsidRPr="00F87564">
        <w:t>Of the 559 subjects who were random</w:t>
      </w:r>
      <w:r w:rsidR="002D7E74">
        <w:t>ise</w:t>
      </w:r>
      <w:r w:rsidRPr="00F87564">
        <w:t>d, 549 subjects were included in the FAS</w:t>
      </w:r>
      <w:r w:rsidR="00AA5E22">
        <w:rPr>
          <w:rStyle w:val="FootnoteReference"/>
        </w:rPr>
        <w:footnoteReference w:id="4"/>
      </w:r>
      <w:r w:rsidRPr="00F87564">
        <w:t xml:space="preserve">: 183, 182 and 184 subjects in the LUM 600 mg qd/IVA 250 mg q12h, LUM 400 mg q12h/IVA 250 mg q12h and placebo groups, respectively; 17 subjects were excluded from the PPS due to important protocol deviations (4, 6 and 7 subjects, respectively). A total of 524 (95.4%) subjects completed study drug treatment and the overall treatment discontinuation rate of 4.6% was lower than anticipated in the protocol. The most common reason for discontinuation from study drug treatment across all treatment groups was an adverse event occurring in 8 (4.4%) subjects in the LUM 600 mg qd/IVA 250 mg q12h group, 6 (3.3%) subjects in the LUM 400 mg q12h/IVA 250 mg q12h group, and 4 (2.2%) subjects in the placebo group. The proportion of subjects who discontinued from the study was highest for the LUM 400 mg q12h/IVA 250 mg q12h group (6 </w:t>
      </w:r>
      <w:r w:rsidR="004E6042">
        <w:t>(</w:t>
      </w:r>
      <w:r w:rsidRPr="00F87564">
        <w:t>3.3%</w:t>
      </w:r>
      <w:r w:rsidR="004E6042">
        <w:t>)</w:t>
      </w:r>
      <w:r w:rsidRPr="00F87564">
        <w:t xml:space="preserve"> subjects) compared with the LUM 600 mg qd/IVA 250 mg q12h group (4 </w:t>
      </w:r>
      <w:r w:rsidR="004E6042">
        <w:t>(</w:t>
      </w:r>
      <w:r w:rsidRPr="00F87564">
        <w:t>2.2%</w:t>
      </w:r>
      <w:r w:rsidR="004E6042">
        <w:t>)</w:t>
      </w:r>
      <w:r w:rsidRPr="00F87564">
        <w:t xml:space="preserve"> subjects) and the placebo group (2 </w:t>
      </w:r>
      <w:r w:rsidR="004E6042">
        <w:t>(</w:t>
      </w:r>
      <w:r w:rsidRPr="00F87564">
        <w:t>1.1%</w:t>
      </w:r>
      <w:r w:rsidR="004E6042">
        <w:t>)</w:t>
      </w:r>
      <w:r w:rsidRPr="00F87564">
        <w:t xml:space="preserve"> subjects). Overall, 523 (95.3%) subjects entered the rollover study (</w:t>
      </w:r>
      <w:r w:rsidR="00980975">
        <w:t>Study</w:t>
      </w:r>
      <w:r w:rsidRPr="00F87564">
        <w:t xml:space="preserve"> 105): 170 (92.9%) subjects in the LUM 600 mg qd/IVA 250 mg q12h group, 176 (96.7%) subjects in the LUM 400 mg q12h/IVA 250 mg q12h group, and 177 (96.2%) subjects in the placebo group </w:t>
      </w:r>
      <w:r w:rsidRPr="00562FF4">
        <w:t xml:space="preserve">(Table </w:t>
      </w:r>
      <w:r w:rsidR="00071D8E">
        <w:t>28</w:t>
      </w:r>
      <w:r w:rsidR="00EE38F4">
        <w:t>)</w:t>
      </w:r>
      <w:r w:rsidR="00D13AF6">
        <w:t>.</w:t>
      </w:r>
    </w:p>
    <w:p w:rsidR="00562FF4" w:rsidRDefault="00071D8E" w:rsidP="00562FF4">
      <w:pPr>
        <w:pStyle w:val="Tabletitle"/>
      </w:pPr>
      <w:proofErr w:type="gramStart"/>
      <w:r>
        <w:lastRenderedPageBreak/>
        <w:t>Table 28</w:t>
      </w:r>
      <w:r w:rsidR="00562FF4">
        <w:t>.</w:t>
      </w:r>
      <w:proofErr w:type="gramEnd"/>
      <w:r w:rsidR="00562FF4">
        <w:t xml:space="preserve"> Study 103</w:t>
      </w:r>
      <w:r>
        <w:t xml:space="preserve"> Subject d</w:t>
      </w:r>
      <w:r w:rsidR="00562FF4">
        <w:t>isposition</w:t>
      </w:r>
    </w:p>
    <w:p w:rsidR="00562FF4" w:rsidRPr="00562FF4" w:rsidRDefault="00562FF4" w:rsidP="00562FF4">
      <w:r>
        <w:rPr>
          <w:noProof/>
          <w:lang w:eastAsia="en-AU"/>
        </w:rPr>
        <w:drawing>
          <wp:inline distT="0" distB="0" distL="0" distR="0" wp14:anchorId="40FB08C3" wp14:editId="798BF7C1">
            <wp:extent cx="5731510" cy="6248938"/>
            <wp:effectExtent l="0" t="0" r="2540" b="0"/>
            <wp:docPr id="39" name="Picture 39" descr="Table 28. Study 103 Subject dis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BEBA8EAE-BF5A-486C-A8C5-ECC9F3942E4B}">
                          <a14:imgProps xmlns:a14="http://schemas.microsoft.com/office/drawing/2010/main">
                            <a14:imgLayer r:embed="rId55">
                              <a14:imgEffect>
                                <a14:sharpenSoften amount="25000"/>
                              </a14:imgEffect>
                            </a14:imgLayer>
                          </a14:imgProps>
                        </a:ext>
                      </a:extLst>
                    </a:blip>
                    <a:stretch>
                      <a:fillRect/>
                    </a:stretch>
                  </pic:blipFill>
                  <pic:spPr>
                    <a:xfrm>
                      <a:off x="0" y="0"/>
                      <a:ext cx="5731510" cy="6248938"/>
                    </a:xfrm>
                    <a:prstGeom prst="rect">
                      <a:avLst/>
                    </a:prstGeom>
                  </pic:spPr>
                </pic:pic>
              </a:graphicData>
            </a:graphic>
          </wp:inline>
        </w:drawing>
      </w:r>
    </w:p>
    <w:p w:rsidR="00F87564" w:rsidRPr="00F87564" w:rsidRDefault="00F87564" w:rsidP="00EE38F4">
      <w:pPr>
        <w:pStyle w:val="Heading5"/>
      </w:pPr>
      <w:r w:rsidRPr="00F87564">
        <w:t>Major</w:t>
      </w:r>
      <w:r w:rsidR="00EE38F4">
        <w:t xml:space="preserve"> protocol violations/deviations</w:t>
      </w:r>
    </w:p>
    <w:p w:rsidR="00AA5E22" w:rsidRPr="00AA5E22" w:rsidRDefault="00F87564" w:rsidP="005F7A8E">
      <w:r w:rsidRPr="00AA5E22">
        <w:t>Important protocol deviations were identified from 2 sources (the clinical database and the site deviation log). The majority of the protocol deviations in this study were minor</w:t>
      </w:r>
      <w:r w:rsidR="00AA5E22" w:rsidRPr="00AA5E22">
        <w:rPr>
          <w:vertAlign w:val="superscript"/>
        </w:rPr>
        <w:footnoteReference w:id="5"/>
      </w:r>
      <w:r w:rsidRPr="00AA5E22">
        <w:rPr>
          <w:vertAlign w:val="superscript"/>
        </w:rPr>
        <w:t xml:space="preserve"> </w:t>
      </w:r>
      <w:r w:rsidRPr="00AA5E22">
        <w:t>and not considered to have had substantial impact on the efficacy assessments or subject safety. Follow-up corrective actions were implemented as appropriate for major and minor deviations. The incidence of protocol deviations was generally similar across the 3 treatment groups. A total of 17</w:t>
      </w:r>
      <w:r w:rsidR="00AA5E22">
        <w:t xml:space="preserve"> </w:t>
      </w:r>
      <w:r w:rsidR="00AA5E22" w:rsidRPr="00AA5E22">
        <w:t>(3.1%) subjects from the FAS were excluded from the PPS and the most common major</w:t>
      </w:r>
      <w:r w:rsidR="004C09BF">
        <w:rPr>
          <w:rStyle w:val="FootnoteReference"/>
        </w:rPr>
        <w:footnoteReference w:id="6"/>
      </w:r>
      <w:r w:rsidR="00AA5E22" w:rsidRPr="00AA5E22">
        <w:t xml:space="preserve"> protocol violations were </w:t>
      </w:r>
      <w:r w:rsidR="00511EB7">
        <w:t>&lt;</w:t>
      </w:r>
      <w:r w:rsidR="00661535">
        <w:t xml:space="preserve"> </w:t>
      </w:r>
      <w:r w:rsidR="00AA5E22" w:rsidRPr="00AA5E22">
        <w:t>80% compliance with study drug treatment (n</w:t>
      </w:r>
      <w:r w:rsidR="00511EB7">
        <w:t xml:space="preserve"> = </w:t>
      </w:r>
      <w:r w:rsidR="00AA5E22" w:rsidRPr="00AA5E22">
        <w:t xml:space="preserve">7); the other 10 </w:t>
      </w:r>
      <w:r w:rsidR="00AA5E22" w:rsidRPr="00AA5E22">
        <w:lastRenderedPageBreak/>
        <w:t xml:space="preserve">subjects were not eligible: 2 were not homozygous for the F508del-CFTR mutation, 3 did not have percent predicted </w:t>
      </w:r>
      <w:r w:rsidR="00A8789D" w:rsidRPr="001D064D">
        <w:t>FEV</w:t>
      </w:r>
      <w:r w:rsidR="00A8789D" w:rsidRPr="00A8789D">
        <w:rPr>
          <w:vertAlign w:val="subscript"/>
        </w:rPr>
        <w:t>1</w:t>
      </w:r>
      <w:r w:rsidR="00AA5E22" w:rsidRPr="00AA5E22">
        <w:t xml:space="preserve"> </w:t>
      </w:r>
      <w:r w:rsidR="00511EB7">
        <w:t xml:space="preserve">&gt; </w:t>
      </w:r>
      <w:r w:rsidR="00AA5E22" w:rsidRPr="00AA5E22">
        <w:t xml:space="preserve">40% and </w:t>
      </w:r>
      <w:r w:rsidR="00511EB7">
        <w:t xml:space="preserve">&lt; </w:t>
      </w:r>
      <w:r w:rsidR="00AA5E22" w:rsidRPr="00AA5E22">
        <w:t>90% at screening and 5 subjects had change in antibiotics and/ or an upper respiratory infection or pulmonary e</w:t>
      </w:r>
      <w:r w:rsidR="00562FF4">
        <w:t>xacerbation within past 4 weeks.</w:t>
      </w:r>
    </w:p>
    <w:p w:rsidR="00AA5E22" w:rsidRPr="00AA5E22" w:rsidRDefault="00EE38F4" w:rsidP="00EE38F4">
      <w:pPr>
        <w:pStyle w:val="Heading5"/>
      </w:pPr>
      <w:r>
        <w:t>Baseline data</w:t>
      </w:r>
    </w:p>
    <w:p w:rsidR="00AA5E22" w:rsidRPr="00AA5E22" w:rsidRDefault="00AA5E22" w:rsidP="00AA5E22">
      <w:r w:rsidRPr="00AA5E22">
        <w:t xml:space="preserve">Overall </w:t>
      </w:r>
      <w:r w:rsidR="00511EB7">
        <w:t xml:space="preserve">&gt; </w:t>
      </w:r>
      <w:r w:rsidRPr="00AA5E22">
        <w:t xml:space="preserve">98% of subjects were White and </w:t>
      </w:r>
      <w:r w:rsidR="00511EB7">
        <w:t xml:space="preserve">&gt; </w:t>
      </w:r>
      <w:r w:rsidRPr="00AA5E22">
        <w:t xml:space="preserve">95% were not Hispanic or Latino. Approximately half of the subjects were from North America and were male. The median age was </w:t>
      </w:r>
      <w:r w:rsidR="00EE38F4">
        <w:t xml:space="preserve">22 to 23 years (range: 12 to </w:t>
      </w:r>
      <w:r w:rsidRPr="00AA5E22">
        <w:t xml:space="preserve">64years) with 158 (28.8%) subjects overall in the 12 to </w:t>
      </w:r>
      <w:r w:rsidR="00511EB7">
        <w:t xml:space="preserve">&lt; </w:t>
      </w:r>
      <w:r w:rsidRPr="00AA5E22">
        <w:t xml:space="preserve">18 years old subgroup and 391 (71.2%) subjects in the </w:t>
      </w:r>
      <w:r w:rsidR="00A91223">
        <w:t xml:space="preserve">≥ </w:t>
      </w:r>
      <w:r w:rsidRPr="00AA5E22">
        <w:t>18 years old subgroup. The distributions of all demographic and baseline characteristics were simila</w:t>
      </w:r>
      <w:r w:rsidR="00562FF4">
        <w:t>r across all 3 treatment groups</w:t>
      </w:r>
      <w:r w:rsidRPr="00AA5E22">
        <w:t>. The percentage of subjects who received any inhaled antibiotic (62.7% overall), any bronchodilator (93.6% overall), any inhaled hypertonic saline (56.3% overall), and any inhaled corticosteroid (60.3% overall) before the first dose of study drug were similar across all 3 treatment groups. The percentages of subjects who received dornase alfa before the first dose of study drug were higher in the LUM 600 mg qd/IVA 250 mg q12h group (74.3%) and placebo group (73.4%) compared with the LUM 400 mg q12h/IVA 250 mg q12h group (67.6%). The percentage of subjects with positive Pseudomonas aeruginosa status before the first dose was higher in the LUM 400 mg q12h/IVA 250 mg q12h group (83.0%) compared with the LUM 600 mg qd/ IVA 250 mg q12h group (73.2%) and the placebo group (72.8%). The baseline characteristics of subjects in the PPS were similar to those in the FAS. The incidence of medical history conditions occurring in at least 15% of subjects by PT in any treatment group was similar across the 3 treatment groups, with the exception (difference greater than 5 percentage points between groups) of higher incidence of history of chronic sinusitis and constipation in the LUM/IVA groups and higher incidence of history of clubbing and CF lung in the placebo group (Table 7.1.8, p277). The number of subjects who had positive cultures for respiratory pathogens in the 2 years before screening was similar across the 3 treatment groups, with the exception (difference greater than 5 percentage points) of higher incidence of positive Staphylococcus aureus, (methicillin sensitive) status, positive Haemophilus influenza status, positive Pseudomonas aeruginosa status and positive Stenotrophomonas status in the LUM/IVA groups while positive Aspergillus (any species) status was higher in the placebo group</w:t>
      </w:r>
      <w:r w:rsidR="00EE38F4">
        <w:t>.</w:t>
      </w:r>
    </w:p>
    <w:p w:rsidR="00AA5E22" w:rsidRPr="00AA5E22" w:rsidRDefault="00AA5E22" w:rsidP="00AA5E22">
      <w:r w:rsidRPr="00AA5E22">
        <w:t>The most common prior medications overall (incidence of at least 30% of subjects) were medications indicated for CF management and included dornase alfa (71.8%), salbutamol (69.4%), pancreatin (65.9%), sodium chloride (63.4%), azithromycin (56.8%</w:t>
      </w:r>
      <w:r w:rsidR="00500FF6">
        <w:t>), tobramycin (39.0%), Seretide</w:t>
      </w:r>
      <w:r w:rsidRPr="00AA5E22">
        <w:t xml:space="preserve"> (32.1%), and pancrelipase (31.0%). All subjects used medication concomitantly with study drug and the most common concomitant medications overall (incidence of at least 30%) were indicated for management of CF complications: dornase alfa (72.3%), salbutamol (71.6%), sodium chloride (66.8%), pancreatin (66.1%), azithromycin (58.7%), tobramycin (51.9%), Seretide (33.5%), ciprofloxacin (30.8%) and pancrelipase (31.9%). The following concomitant medications were administered to subjects in the placebo group approximately 9% to 15% more frequently than the total LUM/IVA group: tobramycin, and ceftazidime. The use of all other concomitant medications was similar across all 3 treatme</w:t>
      </w:r>
      <w:r w:rsidR="00562FF4">
        <w:t>nt groups.</w:t>
      </w:r>
    </w:p>
    <w:p w:rsidR="00F13E89" w:rsidRPr="00AA5E22" w:rsidRDefault="00AA5E22" w:rsidP="00AA5E22">
      <w:r w:rsidRPr="00AA5E22">
        <w:t>The mean study drug compliance</w:t>
      </w:r>
      <w:r w:rsidR="004C09BF">
        <w:rPr>
          <w:rStyle w:val="FootnoteReference"/>
        </w:rPr>
        <w:footnoteReference w:id="7"/>
      </w:r>
      <w:r w:rsidR="004C09BF">
        <w:t xml:space="preserve"> </w:t>
      </w:r>
      <w:r w:rsidRPr="00AA5E22">
        <w:t xml:space="preserve">was </w:t>
      </w:r>
      <w:r w:rsidR="00511EB7">
        <w:t xml:space="preserve">&gt; </w:t>
      </w:r>
      <w:r w:rsidRPr="00AA5E22">
        <w:t xml:space="preserve">98% in all 3 treatment groups and was similar between the total LUM/IVA group and the placebo </w:t>
      </w:r>
      <w:r w:rsidRPr="004C09BF">
        <w:t>group</w:t>
      </w:r>
      <w:r w:rsidR="004C09BF" w:rsidRPr="004C09BF">
        <w:t>.</w:t>
      </w:r>
      <w:r w:rsidRPr="00AA5E22">
        <w:t xml:space="preserve"> </w:t>
      </w:r>
      <w:r w:rsidR="004C09BF" w:rsidRPr="004C09BF">
        <w:t xml:space="preserve">The mean study drug compliance was </w:t>
      </w:r>
      <w:r w:rsidR="00511EB7">
        <w:t xml:space="preserve">&gt; </w:t>
      </w:r>
      <w:r w:rsidR="004C09BF" w:rsidRPr="004C09BF">
        <w:t xml:space="preserve">98% in all 3 treatment groups and was similar between the total LUM/IVA </w:t>
      </w:r>
      <w:r w:rsidR="004C09BF">
        <w:t xml:space="preserve">group and the placebo group. </w:t>
      </w:r>
      <w:r w:rsidRPr="00AA5E22">
        <w:t xml:space="preserve">The proportion of subjects with </w:t>
      </w:r>
      <w:r w:rsidR="00511EB7">
        <w:t xml:space="preserve">&lt; </w:t>
      </w:r>
      <w:r w:rsidRPr="00AA5E22">
        <w:t xml:space="preserve">80% study drug compliance was low in general: 1.1% in the total LUM/IVA group and 1.6% in the placebo group. Treatment interruptions of </w:t>
      </w:r>
      <w:r w:rsidR="00A91223">
        <w:t xml:space="preserve">≥ </w:t>
      </w:r>
      <w:r w:rsidRPr="00AA5E22">
        <w:t xml:space="preserve">3 days occurred in a small proportion of subjects in each treatment group: 20 </w:t>
      </w:r>
      <w:r w:rsidRPr="00AA5E22">
        <w:lastRenderedPageBreak/>
        <w:t>(10.9%) subjects in the placebo group, 15 (8.2%) subjects in the LUM 600 mg qd/IVA 250 mg q12h group, and 12 (6.6%) subjects in the LUM 400 mg q12h/IVA 250 mg q12h group</w:t>
      </w:r>
      <w:r w:rsidR="004C09BF">
        <w:t>.</w:t>
      </w:r>
    </w:p>
    <w:p w:rsidR="004C09BF" w:rsidRPr="004C09BF" w:rsidRDefault="004C09BF" w:rsidP="00500FF6">
      <w:pPr>
        <w:pStyle w:val="Heading5"/>
      </w:pPr>
      <w:r w:rsidRPr="004C09BF">
        <w:t>Results f</w:t>
      </w:r>
      <w:r w:rsidR="00500FF6">
        <w:t>or the primary efficacy outcome</w:t>
      </w:r>
    </w:p>
    <w:p w:rsidR="004C09BF" w:rsidRDefault="00264100" w:rsidP="004C09BF">
      <w:r>
        <w:t xml:space="preserve">The within </w:t>
      </w:r>
      <w:r w:rsidR="004C09BF" w:rsidRPr="004C09BF">
        <w:t xml:space="preserve">group LS mean average absolute change from baseline in percent predicted </w:t>
      </w:r>
      <w:r w:rsidR="00A8789D" w:rsidRPr="001D064D">
        <w:t>FEV</w:t>
      </w:r>
      <w:r w:rsidR="00A8789D" w:rsidRPr="00A8789D">
        <w:rPr>
          <w:vertAlign w:val="subscript"/>
        </w:rPr>
        <w:t>1</w:t>
      </w:r>
      <w:r w:rsidR="004C09BF" w:rsidRPr="004C09BF">
        <w:t xml:space="preserve"> at Week 16 and at Week 24 was statistically significantly greater for the LUM 600 mg qd/IVA 250 mg q12h group (3.59 percentage points) and the LUM 400 mg q12h/ IVA 250 mg q12h group (2.16 percentage points) compared with the placebo group (</w:t>
      </w:r>
      <w:r w:rsidR="00500FF6">
        <w:noBreakHyphen/>
      </w:r>
      <w:r w:rsidR="004C09BF" w:rsidRPr="004C09BF">
        <w:t>0.44 percentage points). Compared to placebo, statistically significantly greater improvements were observed for both LUM 600 mg qd/IVA 250 mg q12h (treatment diff</w:t>
      </w:r>
      <w:r w:rsidR="00511EB7">
        <w:t xml:space="preserve"> =</w:t>
      </w:r>
      <w:r w:rsidR="00661535">
        <w:t xml:space="preserve"> </w:t>
      </w:r>
      <w:r w:rsidR="004C09BF" w:rsidRPr="004C09BF">
        <w:t xml:space="preserve">4.03 percentage points, 95% CI: 2.62, 5.44; </w:t>
      </w:r>
      <w:r w:rsidR="001C171F">
        <w:t>p &lt;</w:t>
      </w:r>
      <w:r w:rsidR="00511EB7">
        <w:t xml:space="preserve"> </w:t>
      </w:r>
      <w:r w:rsidR="004C09BF" w:rsidRPr="004C09BF">
        <w:t>0.0001) and LUM 400 mg q12h/ IVA 250 mg q12h (treatment diff</w:t>
      </w:r>
      <w:r w:rsidR="00511EB7">
        <w:t xml:space="preserve"> =</w:t>
      </w:r>
      <w:r w:rsidR="00661535">
        <w:t xml:space="preserve"> </w:t>
      </w:r>
      <w:r w:rsidR="004C09BF" w:rsidRPr="004C09BF">
        <w:t xml:space="preserve">2.60 percentage points, 95% CI: 1.18, 4.01; </w:t>
      </w:r>
      <w:r w:rsidR="00CC3BC8">
        <w:t>p</w:t>
      </w:r>
      <w:r w:rsidR="00661535">
        <w:t xml:space="preserve"> </w:t>
      </w:r>
      <w:r w:rsidR="00511EB7">
        <w:t>=</w:t>
      </w:r>
      <w:r w:rsidR="00661535">
        <w:t xml:space="preserve"> </w:t>
      </w:r>
      <w:r w:rsidR="004C09BF" w:rsidRPr="004C09BF">
        <w:t xml:space="preserve">0.0003) groups. These results were confirmed in the PPS </w:t>
      </w:r>
      <w:r w:rsidR="004C09BF" w:rsidRPr="00264100">
        <w:t>analysis.</w:t>
      </w:r>
      <w:r w:rsidR="004C09BF" w:rsidRPr="004C09BF">
        <w:t xml:space="preserve"> For both active treatment groups, statistically significant mean absolute improvements in percent predicted </w:t>
      </w:r>
      <w:r w:rsidR="00A8789D" w:rsidRPr="001D064D">
        <w:t>FEV</w:t>
      </w:r>
      <w:r w:rsidR="00A8789D" w:rsidRPr="00A8789D">
        <w:rPr>
          <w:vertAlign w:val="subscript"/>
        </w:rPr>
        <w:t>1</w:t>
      </w:r>
      <w:r w:rsidR="004C09BF" w:rsidRPr="004C09BF">
        <w:t xml:space="preserve"> were observed as early as Day 15 and were consistent and sustained across all visits during the treatment period (</w:t>
      </w:r>
      <w:r w:rsidR="004C09BF" w:rsidRPr="00264100">
        <w:t xml:space="preserve">Table </w:t>
      </w:r>
      <w:r w:rsidR="00071D8E">
        <w:t>29</w:t>
      </w:r>
      <w:r w:rsidR="004C09BF" w:rsidRPr="004C09BF">
        <w:t xml:space="preserve">). The percentage of responders defined as </w:t>
      </w:r>
      <w:r w:rsidR="00A91223">
        <w:t xml:space="preserve">≥ </w:t>
      </w:r>
      <w:r w:rsidR="004C09BF" w:rsidRPr="004C09BF">
        <w:t xml:space="preserve">3 percentage point increase in the average absolute change from baseline in percent predicted </w:t>
      </w:r>
      <w:r w:rsidR="00A8789D" w:rsidRPr="001D064D">
        <w:t>FEV</w:t>
      </w:r>
      <w:r w:rsidR="00A8789D" w:rsidRPr="00A8789D">
        <w:rPr>
          <w:vertAlign w:val="subscript"/>
        </w:rPr>
        <w:t>1</w:t>
      </w:r>
      <w:r w:rsidR="004C09BF" w:rsidRPr="004C09BF">
        <w:t xml:space="preserve"> was higher in the LUM 600 mg qd/IVA 250 mg q12h group (48.1%) and the LUM 400 mg q12h/ IVA 250 mg q12h group (37.9%) compared with the placebo group (21.7%). The odds ratio for the LUM 600 mg qd/IVA 250 mg q12h group versus the placebo group was 3.2725 (95% CI: 2.0819, 5.1441; </w:t>
      </w:r>
      <w:r w:rsidR="001C171F">
        <w:t>p &lt;</w:t>
      </w:r>
      <w:r w:rsidR="00511EB7">
        <w:t xml:space="preserve"> </w:t>
      </w:r>
      <w:r w:rsidR="004C09BF" w:rsidRPr="004C09BF">
        <w:t xml:space="preserve">0.0001). The odds ratio for LUM 400 mg q12h/IVA 250 mg q12h group versus the placebo group was 2.2016 (95% CI: 1.3855, 3.4986; </w:t>
      </w:r>
      <w:r w:rsidR="00CC3BC8">
        <w:t>p</w:t>
      </w:r>
      <w:r w:rsidR="00500FF6">
        <w:t> </w:t>
      </w:r>
      <w:r w:rsidR="00511EB7">
        <w:t>=</w:t>
      </w:r>
      <w:r w:rsidR="00661535">
        <w:t xml:space="preserve"> </w:t>
      </w:r>
      <w:r w:rsidR="004C09BF" w:rsidRPr="004C09BF">
        <w:t xml:space="preserve">0.0007). The observed trends were similar and favoured lumacaftor in combination with ivacaftor treatment for response defined as </w:t>
      </w:r>
      <w:r w:rsidR="00A91223">
        <w:t xml:space="preserve">≥ </w:t>
      </w:r>
      <w:r w:rsidR="004C09BF" w:rsidRPr="004C09BF">
        <w:t xml:space="preserve">5 percentage point (15.2%, 37.7% and 23.6% in placebo, LUM 600 mg qd/IVA 250 mg q12h and LUM 400 mg q12h/IVA 250 mg q12h groups, respectively) and </w:t>
      </w:r>
      <w:r w:rsidR="00A91223">
        <w:t xml:space="preserve">≥ </w:t>
      </w:r>
      <w:r w:rsidR="004C09BF" w:rsidRPr="004C09BF">
        <w:t>10 percentage point (4.9%, 15.3% and 12.1%, respectively) average absolute increase (</w:t>
      </w:r>
      <w:r w:rsidR="004C09BF" w:rsidRPr="00264100">
        <w:t xml:space="preserve">Table </w:t>
      </w:r>
      <w:r w:rsidR="00071D8E">
        <w:t>30</w:t>
      </w:r>
      <w:r w:rsidR="004C09BF" w:rsidRPr="004C09BF">
        <w:t xml:space="preserve">). Robustness of the primary analyses </w:t>
      </w:r>
      <w:r w:rsidR="00382215" w:rsidRPr="004C09BF">
        <w:t>w</w:t>
      </w:r>
      <w:r w:rsidR="00382215">
        <w:t>as</w:t>
      </w:r>
      <w:r w:rsidR="00382215" w:rsidRPr="004C09BF">
        <w:t xml:space="preserve"> </w:t>
      </w:r>
      <w:r w:rsidR="004C09BF" w:rsidRPr="004C09BF">
        <w:t>confirmed by similar results in the two sensitivity</w:t>
      </w:r>
      <w:r w:rsidR="00EB7717">
        <w:rPr>
          <w:rStyle w:val="FootnoteReference"/>
        </w:rPr>
        <w:footnoteReference w:id="8"/>
      </w:r>
      <w:r w:rsidR="00EB7717">
        <w:t xml:space="preserve"> </w:t>
      </w:r>
      <w:r>
        <w:t>analyses.</w:t>
      </w:r>
    </w:p>
    <w:p w:rsidR="00264100" w:rsidRDefault="00071D8E" w:rsidP="00264100">
      <w:pPr>
        <w:pStyle w:val="Tabletitle"/>
      </w:pPr>
      <w:r>
        <w:lastRenderedPageBreak/>
        <w:t>Table 29</w:t>
      </w:r>
      <w:r w:rsidR="0085675F">
        <w:t xml:space="preserve"> Study 103</w:t>
      </w:r>
      <w:r w:rsidR="00264100">
        <w:t xml:space="preserve"> MMRM analysis of absolute change from baseline in percent predicted FEV1 at each visit full analysis set</w:t>
      </w:r>
    </w:p>
    <w:p w:rsidR="00264100" w:rsidRDefault="00264100" w:rsidP="00264100">
      <w:r>
        <w:rPr>
          <w:noProof/>
          <w:lang w:eastAsia="en-AU"/>
        </w:rPr>
        <w:drawing>
          <wp:inline distT="0" distB="0" distL="0" distR="0" wp14:anchorId="09AC9BEE" wp14:editId="3DE6B3D5">
            <wp:extent cx="5269560" cy="6803136"/>
            <wp:effectExtent l="0" t="0" r="7620" b="0"/>
            <wp:docPr id="40" name="Picture 40" descr="Table 29 Study 103 MMRM analysis of absolute change from baseline in percent predicted FEV1 at each visit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272310" cy="6806686"/>
                    </a:xfrm>
                    <a:prstGeom prst="rect">
                      <a:avLst/>
                    </a:prstGeom>
                  </pic:spPr>
                </pic:pic>
              </a:graphicData>
            </a:graphic>
          </wp:inline>
        </w:drawing>
      </w:r>
    </w:p>
    <w:p w:rsidR="00264100" w:rsidRDefault="00071D8E" w:rsidP="00264100">
      <w:pPr>
        <w:pStyle w:val="Tabletitle"/>
      </w:pPr>
      <w:proofErr w:type="gramStart"/>
      <w:r>
        <w:lastRenderedPageBreak/>
        <w:t>Table 30.</w:t>
      </w:r>
      <w:proofErr w:type="gramEnd"/>
      <w:r>
        <w:t xml:space="preserve"> </w:t>
      </w:r>
      <w:r w:rsidR="0085675F">
        <w:t xml:space="preserve">Study 103 </w:t>
      </w:r>
      <w:r w:rsidR="00264100">
        <w:t>Response analysis of average absolute change from baseline in percent predicted FEV1 at week 16 and Week 24 Full analysis set</w:t>
      </w:r>
    </w:p>
    <w:p w:rsidR="00264100" w:rsidRPr="00264100" w:rsidRDefault="00264100" w:rsidP="00264100">
      <w:r>
        <w:rPr>
          <w:noProof/>
          <w:lang w:eastAsia="en-AU"/>
        </w:rPr>
        <w:drawing>
          <wp:inline distT="0" distB="0" distL="0" distR="0" wp14:anchorId="568DB8F6" wp14:editId="15FD9341">
            <wp:extent cx="5268849" cy="4667097"/>
            <wp:effectExtent l="0" t="0" r="8255" b="635"/>
            <wp:docPr id="41" name="Picture 41" descr="Table 30. Study 103 Response analysis of average absolute change from baseline in percent predicted FEV1 at week 16 and Week 24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269024" cy="4667252"/>
                    </a:xfrm>
                    <a:prstGeom prst="rect">
                      <a:avLst/>
                    </a:prstGeom>
                  </pic:spPr>
                </pic:pic>
              </a:graphicData>
            </a:graphic>
          </wp:inline>
        </w:drawing>
      </w:r>
    </w:p>
    <w:p w:rsidR="004C09BF" w:rsidRPr="004C09BF" w:rsidRDefault="004C09BF" w:rsidP="00500FF6">
      <w:pPr>
        <w:pStyle w:val="Heading5"/>
      </w:pPr>
      <w:r w:rsidRPr="004C09BF">
        <w:t>Resu</w:t>
      </w:r>
      <w:r w:rsidR="008F5E20">
        <w:t>lts for other efficacy outcomes</w:t>
      </w:r>
    </w:p>
    <w:p w:rsidR="00EB7717" w:rsidRPr="00EB7717" w:rsidRDefault="00EB7717" w:rsidP="00500FF6">
      <w:pPr>
        <w:pStyle w:val="Heading6"/>
      </w:pPr>
      <w:r w:rsidRPr="00EB7717">
        <w:t>K</w:t>
      </w:r>
      <w:r w:rsidR="008F5E20">
        <w:t>ey secondary efficacy outcomes</w:t>
      </w:r>
    </w:p>
    <w:p w:rsidR="00EB7717" w:rsidRPr="00500FF6" w:rsidRDefault="00EB7717" w:rsidP="00500FF6">
      <w:pPr>
        <w:pStyle w:val="Heading7"/>
        <w:rPr>
          <w:sz w:val="20"/>
          <w:szCs w:val="20"/>
        </w:rPr>
      </w:pPr>
      <w:r w:rsidRPr="00500FF6">
        <w:rPr>
          <w:sz w:val="20"/>
          <w:szCs w:val="20"/>
        </w:rPr>
        <w:t>Relative change from base</w:t>
      </w:r>
      <w:r w:rsidR="00500FF6">
        <w:rPr>
          <w:sz w:val="20"/>
          <w:szCs w:val="20"/>
        </w:rPr>
        <w:t xml:space="preserve">line in percent predicted </w:t>
      </w:r>
      <w:r w:rsidR="00A8789D" w:rsidRPr="001D064D">
        <w:t>FEV</w:t>
      </w:r>
      <w:r w:rsidR="00A8789D" w:rsidRPr="00A8789D">
        <w:rPr>
          <w:vertAlign w:val="subscript"/>
        </w:rPr>
        <w:t>1</w:t>
      </w:r>
    </w:p>
    <w:p w:rsidR="00EB7717" w:rsidRDefault="00EB7717" w:rsidP="00EB7717">
      <w:r w:rsidRPr="00EB7717">
        <w:t>The with</w:t>
      </w:r>
      <w:r w:rsidR="003633C2">
        <w:t xml:space="preserve">in </w:t>
      </w:r>
      <w:r w:rsidRPr="00EB7717">
        <w:t xml:space="preserve">group LS mean average relative change from baseline in percent predicted </w:t>
      </w:r>
      <w:r w:rsidR="00A8789D" w:rsidRPr="001D064D">
        <w:t>FEV</w:t>
      </w:r>
      <w:r w:rsidR="00A8789D" w:rsidRPr="00A8789D">
        <w:rPr>
          <w:vertAlign w:val="subscript"/>
        </w:rPr>
        <w:t>1</w:t>
      </w:r>
      <w:r w:rsidRPr="00EB7717">
        <w:t xml:space="preserve"> at Week 16 and at Week 24 was greater in the LUM 600 mg qd/IVA 250 mg q12h group (6.39%) and the LUM 400 mg q12h/IVA 250 mg q12h group (3.99%) compared with the placebo group (</w:t>
      </w:r>
      <w:r w:rsidR="00500FF6">
        <w:noBreakHyphen/>
      </w:r>
      <w:r w:rsidRPr="00EB7717">
        <w:t>0.34%). Compared to placebo, statistically significantly greater improvements were observed for both LUM 600 mg qd/IVA 250 mg q12h (treatment diff</w:t>
      </w:r>
      <w:r w:rsidR="00511EB7">
        <w:t xml:space="preserve"> =</w:t>
      </w:r>
      <w:r w:rsidR="00661535">
        <w:t xml:space="preserve"> </w:t>
      </w:r>
      <w:r w:rsidRPr="00EB7717">
        <w:t xml:space="preserve">6.73%, 95% CI: 4.27, 9.19; </w:t>
      </w:r>
      <w:r w:rsidR="008F5E20">
        <w:t>p </w:t>
      </w:r>
      <w:r w:rsidR="001C171F">
        <w:t>&lt;</w:t>
      </w:r>
      <w:r w:rsidR="008F5E20">
        <w:t> </w:t>
      </w:r>
      <w:r w:rsidRPr="00EB7717">
        <w:t>0.0001) and LUM 400 mg q12h/ IVA 250 mg q12h (treatment diff</w:t>
      </w:r>
      <w:r w:rsidR="00511EB7">
        <w:t xml:space="preserve"> = </w:t>
      </w:r>
      <w:r w:rsidRPr="00EB7717">
        <w:t xml:space="preserve">4.33%, 95% CI: 1.86, 6.80; </w:t>
      </w:r>
      <w:r w:rsidR="00CC3BC8">
        <w:t>p</w:t>
      </w:r>
      <w:r w:rsidR="00661535">
        <w:t xml:space="preserve"> </w:t>
      </w:r>
      <w:r w:rsidR="00511EB7">
        <w:t>=</w:t>
      </w:r>
      <w:r w:rsidR="00661535">
        <w:t xml:space="preserve"> </w:t>
      </w:r>
      <w:r w:rsidRPr="00EB7717">
        <w:t xml:space="preserve">0.0006 ) groups. These results were also confirmed in the PPS analysis. For both active treatment groups, statistically significant mean relative improvements in percent predicted </w:t>
      </w:r>
      <w:r w:rsidR="00A8789D" w:rsidRPr="001D064D">
        <w:t>FEV</w:t>
      </w:r>
      <w:r w:rsidR="00A8789D" w:rsidRPr="00A8789D">
        <w:rPr>
          <w:vertAlign w:val="subscript"/>
        </w:rPr>
        <w:t>1</w:t>
      </w:r>
      <w:r w:rsidRPr="00EB7717">
        <w:t xml:space="preserve"> were observed as early as </w:t>
      </w:r>
      <w:r w:rsidR="00382215">
        <w:t xml:space="preserve">on </w:t>
      </w:r>
      <w:r w:rsidRPr="00EB7717">
        <w:t>Day 15 and were consistent and sustained across all visits during the treatment period (</w:t>
      </w:r>
      <w:r w:rsidRPr="0085675F">
        <w:t xml:space="preserve">Table </w:t>
      </w:r>
      <w:r w:rsidR="00071D8E">
        <w:t>31</w:t>
      </w:r>
      <w:r w:rsidR="008F5E20">
        <w:t>).</w:t>
      </w:r>
    </w:p>
    <w:p w:rsidR="0085675F" w:rsidRDefault="00071D8E" w:rsidP="0085675F">
      <w:pPr>
        <w:pStyle w:val="Tabletitle"/>
      </w:pPr>
      <w:proofErr w:type="gramStart"/>
      <w:r>
        <w:lastRenderedPageBreak/>
        <w:t>Table 31.</w:t>
      </w:r>
      <w:proofErr w:type="gramEnd"/>
      <w:r w:rsidR="0085675F">
        <w:t xml:space="preserve"> MMRM analysis of relative change from baseline in percent predicted FEV1 </w:t>
      </w:r>
      <w:r>
        <w:t>at each visit full analysis set</w:t>
      </w:r>
    </w:p>
    <w:p w:rsidR="0085675F" w:rsidRPr="0085675F" w:rsidRDefault="0085675F" w:rsidP="0085675F">
      <w:r>
        <w:rPr>
          <w:noProof/>
          <w:lang w:eastAsia="en-AU"/>
        </w:rPr>
        <w:drawing>
          <wp:inline distT="0" distB="0" distL="0" distR="0" wp14:anchorId="3C06EEF1" wp14:editId="71097495">
            <wp:extent cx="5259629" cy="7052736"/>
            <wp:effectExtent l="0" t="0" r="0" b="0"/>
            <wp:docPr id="43" name="Picture 43" descr="Table 31. MMRM analysis of relative change from baseline in percent predicted FEV1 at each visit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257724" cy="7050181"/>
                    </a:xfrm>
                    <a:prstGeom prst="rect">
                      <a:avLst/>
                    </a:prstGeom>
                  </pic:spPr>
                </pic:pic>
              </a:graphicData>
            </a:graphic>
          </wp:inline>
        </w:drawing>
      </w:r>
    </w:p>
    <w:p w:rsidR="00EB7717" w:rsidRPr="00500FF6" w:rsidRDefault="00EB7717" w:rsidP="00500FF6">
      <w:pPr>
        <w:pStyle w:val="Heading7"/>
        <w:rPr>
          <w:sz w:val="20"/>
          <w:szCs w:val="20"/>
        </w:rPr>
      </w:pPr>
      <w:r w:rsidRPr="00500FF6">
        <w:rPr>
          <w:sz w:val="20"/>
          <w:szCs w:val="20"/>
        </w:rPr>
        <w:t>Absolu</w:t>
      </w:r>
      <w:r w:rsidR="00D933A6">
        <w:rPr>
          <w:sz w:val="20"/>
          <w:szCs w:val="20"/>
        </w:rPr>
        <w:t>te change from baseline in BMI</w:t>
      </w:r>
    </w:p>
    <w:p w:rsidR="00EB7717" w:rsidRPr="00EB7717" w:rsidRDefault="00D933A6" w:rsidP="00EB7717">
      <w:r>
        <w:t xml:space="preserve">The within </w:t>
      </w:r>
      <w:r w:rsidR="00EB7717" w:rsidRPr="00EB7717">
        <w:t>group LS mean absolute change from baseline in BMI at Week 24 was greater in the LUM 600 mg qd/IVA 250 mg q12h group (0.35 kg/</w:t>
      </w:r>
      <w:r w:rsidRPr="00EB7717">
        <w:t>m</w:t>
      </w:r>
      <w:r w:rsidRPr="00D933A6">
        <w:rPr>
          <w:vertAlign w:val="superscript"/>
        </w:rPr>
        <w:t>2</w:t>
      </w:r>
      <w:r w:rsidR="00EB7717" w:rsidRPr="00EB7717">
        <w:t>) and the LUM 400 mg q12h/IVA 250 mg q12h group (0.32 kg/</w:t>
      </w:r>
      <w:r w:rsidRPr="00EB7717">
        <w:t>m</w:t>
      </w:r>
      <w:r w:rsidRPr="00D933A6">
        <w:rPr>
          <w:vertAlign w:val="superscript"/>
        </w:rPr>
        <w:t>2</w:t>
      </w:r>
      <w:r w:rsidR="00EB7717" w:rsidRPr="00EB7717">
        <w:t>) compared with the placebo group (0.19 kg/</w:t>
      </w:r>
      <w:r w:rsidRPr="00EB7717">
        <w:t>m</w:t>
      </w:r>
      <w:r w:rsidRPr="00D933A6">
        <w:rPr>
          <w:vertAlign w:val="superscript"/>
        </w:rPr>
        <w:t>2</w:t>
      </w:r>
      <w:r w:rsidR="00EB7717" w:rsidRPr="00EB7717">
        <w:t>). However, the differences with both active groups were not statistically significantly greater compared with placebo</w:t>
      </w:r>
      <w:r>
        <w:t>.</w:t>
      </w:r>
    </w:p>
    <w:p w:rsidR="00EB7717" w:rsidRPr="00D933A6" w:rsidRDefault="00D933A6" w:rsidP="00D933A6">
      <w:pPr>
        <w:pStyle w:val="Heading7"/>
        <w:rPr>
          <w:sz w:val="20"/>
          <w:szCs w:val="20"/>
        </w:rPr>
      </w:pPr>
      <w:r>
        <w:rPr>
          <w:sz w:val="20"/>
          <w:szCs w:val="20"/>
        </w:rPr>
        <w:lastRenderedPageBreak/>
        <w:t>Absolute c</w:t>
      </w:r>
      <w:r w:rsidR="00EB7717" w:rsidRPr="00D933A6">
        <w:rPr>
          <w:sz w:val="20"/>
          <w:szCs w:val="20"/>
        </w:rPr>
        <w:t xml:space="preserve">hange </w:t>
      </w:r>
      <w:r w:rsidRPr="00D933A6">
        <w:rPr>
          <w:sz w:val="20"/>
          <w:szCs w:val="20"/>
        </w:rPr>
        <w:t xml:space="preserve">from baseline </w:t>
      </w:r>
      <w:r w:rsidR="00EB7717" w:rsidRPr="00D933A6">
        <w:rPr>
          <w:sz w:val="20"/>
          <w:szCs w:val="20"/>
        </w:rPr>
        <w:t>in</w:t>
      </w:r>
      <w:r w:rsidRPr="00D933A6">
        <w:rPr>
          <w:sz w:val="20"/>
          <w:szCs w:val="20"/>
        </w:rPr>
        <w:t xml:space="preserve"> CFQ-R respiratory domain score</w:t>
      </w:r>
    </w:p>
    <w:p w:rsidR="00F13E89" w:rsidRPr="00EB7717" w:rsidRDefault="00EB7717" w:rsidP="00EB7717">
      <w:r w:rsidRPr="00EB7717">
        <w:t>Three versions of the CFQ-R questionnaire were used: 2 in which the information was self-reported (</w:t>
      </w:r>
      <w:r w:rsidR="00980975">
        <w:t>‘</w:t>
      </w:r>
      <w:r w:rsidRPr="00EB7717">
        <w:t>Children Ages 12 and 13</w:t>
      </w:r>
      <w:r w:rsidR="00980975">
        <w:t>’</w:t>
      </w:r>
      <w:r w:rsidRPr="00EB7717">
        <w:t xml:space="preserve"> and </w:t>
      </w:r>
      <w:r w:rsidR="00980975">
        <w:t>‘</w:t>
      </w:r>
      <w:r w:rsidRPr="00EB7717">
        <w:t>Adolescents and Adults</w:t>
      </w:r>
      <w:r w:rsidR="00980975">
        <w:t>’</w:t>
      </w:r>
      <w:r w:rsidRPr="00EB7717">
        <w:t>) and 1 in which the subject's parent or caregiver was the respondent (</w:t>
      </w:r>
      <w:r w:rsidR="00980975">
        <w:t>‘</w:t>
      </w:r>
      <w:r w:rsidRPr="00EB7717">
        <w:t>Parents/Caregivers</w:t>
      </w:r>
      <w:r w:rsidR="00980975">
        <w:t>’</w:t>
      </w:r>
      <w:r w:rsidRPr="00EB7717">
        <w:t xml:space="preserve">). </w:t>
      </w:r>
      <w:r w:rsidR="00382215">
        <w:t>The p</w:t>
      </w:r>
      <w:r w:rsidRPr="00EB7717">
        <w:t xml:space="preserve">ooled CFQ-R </w:t>
      </w:r>
      <w:r w:rsidR="00980975">
        <w:t>‘</w:t>
      </w:r>
      <w:r w:rsidRPr="00EB7717">
        <w:t>Children Ages 12 and 13</w:t>
      </w:r>
      <w:r w:rsidR="00980975">
        <w:t>’</w:t>
      </w:r>
      <w:r w:rsidRPr="00EB7717">
        <w:t xml:space="preserve"> and </w:t>
      </w:r>
      <w:r w:rsidR="00980975">
        <w:t>‘</w:t>
      </w:r>
      <w:r w:rsidRPr="00EB7717">
        <w:t>Adolescents and Adults</w:t>
      </w:r>
      <w:r w:rsidR="00980975">
        <w:t>’</w:t>
      </w:r>
      <w:r w:rsidRPr="00EB7717">
        <w:t xml:space="preserve"> versions were analysed unless otherwise </w:t>
      </w:r>
      <w:r w:rsidR="00D933A6">
        <w:t xml:space="preserve">specified. Although, the within </w:t>
      </w:r>
      <w:r w:rsidRPr="00EB7717">
        <w:t>group LS mean absolute change from baseline in the pooled CFQ-R respiratory domain score at Week 24 was greater in the LUM 600 mg qd/ IVA 250 mg q12h group (4.98 points) and the LUM 400 mg q12h/IVA 250 mg q12h group (2.60 points) compared with the placebo group (1.10 points), the differences were not statistically significant.</w:t>
      </w:r>
    </w:p>
    <w:p w:rsidR="00EB7717" w:rsidRPr="00D933A6" w:rsidRDefault="00EB7717" w:rsidP="00D933A6">
      <w:pPr>
        <w:pStyle w:val="Heading7"/>
        <w:rPr>
          <w:sz w:val="20"/>
          <w:szCs w:val="20"/>
        </w:rPr>
      </w:pPr>
      <w:r w:rsidRPr="00D933A6">
        <w:rPr>
          <w:sz w:val="20"/>
          <w:szCs w:val="20"/>
        </w:rPr>
        <w:t xml:space="preserve">Response </w:t>
      </w:r>
      <w:r w:rsidR="005F7A8E">
        <w:rPr>
          <w:sz w:val="20"/>
          <w:szCs w:val="20"/>
        </w:rPr>
        <w:t>d</w:t>
      </w:r>
      <w:r w:rsidRPr="00D933A6">
        <w:rPr>
          <w:sz w:val="20"/>
          <w:szCs w:val="20"/>
        </w:rPr>
        <w:t xml:space="preserve">efined as </w:t>
      </w:r>
      <w:r w:rsidR="00A91223" w:rsidRPr="00D933A6">
        <w:rPr>
          <w:sz w:val="20"/>
          <w:szCs w:val="20"/>
        </w:rPr>
        <w:t xml:space="preserve">≥ </w:t>
      </w:r>
      <w:r w:rsidRPr="00D933A6">
        <w:rPr>
          <w:sz w:val="20"/>
          <w:szCs w:val="20"/>
        </w:rPr>
        <w:t xml:space="preserve">5% </w:t>
      </w:r>
      <w:r w:rsidR="005F7A8E">
        <w:rPr>
          <w:sz w:val="20"/>
          <w:szCs w:val="20"/>
        </w:rPr>
        <w:t>i</w:t>
      </w:r>
      <w:r w:rsidRPr="00D933A6">
        <w:rPr>
          <w:sz w:val="20"/>
          <w:szCs w:val="20"/>
        </w:rPr>
        <w:t xml:space="preserve">ncrease in </w:t>
      </w:r>
      <w:r w:rsidR="005F7A8E">
        <w:rPr>
          <w:sz w:val="20"/>
          <w:szCs w:val="20"/>
        </w:rPr>
        <w:t>a</w:t>
      </w:r>
      <w:r w:rsidRPr="00D933A6">
        <w:rPr>
          <w:sz w:val="20"/>
          <w:szCs w:val="20"/>
        </w:rPr>
        <w:t xml:space="preserve">verage </w:t>
      </w:r>
      <w:r w:rsidR="005F7A8E">
        <w:rPr>
          <w:sz w:val="20"/>
          <w:szCs w:val="20"/>
        </w:rPr>
        <w:t>r</w:t>
      </w:r>
      <w:r w:rsidRPr="00D933A6">
        <w:rPr>
          <w:sz w:val="20"/>
          <w:szCs w:val="20"/>
        </w:rPr>
        <w:t xml:space="preserve">elative </w:t>
      </w:r>
      <w:r w:rsidR="005F7A8E">
        <w:rPr>
          <w:sz w:val="20"/>
          <w:szCs w:val="20"/>
        </w:rPr>
        <w:t>c</w:t>
      </w:r>
      <w:r w:rsidRPr="00D933A6">
        <w:rPr>
          <w:sz w:val="20"/>
          <w:szCs w:val="20"/>
        </w:rPr>
        <w:t xml:space="preserve">hange </w:t>
      </w:r>
      <w:r w:rsidR="005F7A8E">
        <w:rPr>
          <w:sz w:val="20"/>
          <w:szCs w:val="20"/>
        </w:rPr>
        <w:t>f</w:t>
      </w:r>
      <w:r w:rsidRPr="00D933A6">
        <w:rPr>
          <w:sz w:val="20"/>
          <w:szCs w:val="20"/>
        </w:rPr>
        <w:t xml:space="preserve">rom </w:t>
      </w:r>
      <w:r w:rsidR="005F7A8E">
        <w:rPr>
          <w:sz w:val="20"/>
          <w:szCs w:val="20"/>
        </w:rPr>
        <w:t>b</w:t>
      </w:r>
      <w:r w:rsidRPr="00D933A6">
        <w:rPr>
          <w:sz w:val="20"/>
          <w:szCs w:val="20"/>
        </w:rPr>
        <w:t xml:space="preserve">aseline in </w:t>
      </w:r>
      <w:r w:rsidR="005F7A8E">
        <w:rPr>
          <w:sz w:val="20"/>
          <w:szCs w:val="20"/>
        </w:rPr>
        <w:t>p</w:t>
      </w:r>
      <w:r w:rsidRPr="00D933A6">
        <w:rPr>
          <w:sz w:val="20"/>
          <w:szCs w:val="20"/>
        </w:rPr>
        <w:t xml:space="preserve">ercent </w:t>
      </w:r>
      <w:r w:rsidR="005F7A8E">
        <w:rPr>
          <w:sz w:val="20"/>
          <w:szCs w:val="20"/>
        </w:rPr>
        <w:t>p</w:t>
      </w:r>
      <w:r w:rsidRPr="00D933A6">
        <w:rPr>
          <w:sz w:val="20"/>
          <w:szCs w:val="20"/>
        </w:rPr>
        <w:t xml:space="preserve">redicted </w:t>
      </w:r>
      <w:r w:rsidR="00A8789D" w:rsidRPr="001D064D">
        <w:t>FEV</w:t>
      </w:r>
      <w:r w:rsidR="00A8789D" w:rsidRPr="00A8789D">
        <w:rPr>
          <w:vertAlign w:val="subscript"/>
        </w:rPr>
        <w:t>1</w:t>
      </w:r>
      <w:r w:rsidR="00D933A6">
        <w:rPr>
          <w:sz w:val="20"/>
          <w:szCs w:val="20"/>
        </w:rPr>
        <w:t xml:space="preserve"> at Week 16 and at Week 24</w:t>
      </w:r>
    </w:p>
    <w:p w:rsidR="00EB7717" w:rsidRPr="00EB7717" w:rsidRDefault="00EB7717" w:rsidP="00EB7717">
      <w:r w:rsidRPr="00EB7717">
        <w:t xml:space="preserve">The percentage of responders was higher in the LUM 600 mg qd/IVA 250 mg q12h group (46.4%) and the LUM 400 mg q12h/IVA 250 mg q12h group (36.8%) compared with the placebo group (22.3%). The odds ratio for the LUM 600 mg qd/ IVA 250 mg q12h group versus the placebo group was 2.9378 (95% CI: 1.8786, 4.5941; </w:t>
      </w:r>
      <w:r w:rsidR="001C171F">
        <w:t>p &lt;</w:t>
      </w:r>
      <w:r w:rsidR="00511EB7">
        <w:t xml:space="preserve"> </w:t>
      </w:r>
      <w:r w:rsidRPr="00EB7717">
        <w:t xml:space="preserve">0.0001). The odds ratio for LUM 400 mg q12h IVA 250 mg q12h group versus the placebo group was 2.0592 (95% CI: 1.2920, 3.2819; </w:t>
      </w:r>
      <w:r w:rsidR="00CC3BC8">
        <w:t>p</w:t>
      </w:r>
      <w:r w:rsidR="00661535">
        <w:t xml:space="preserve"> </w:t>
      </w:r>
      <w:r w:rsidR="00511EB7">
        <w:t>=</w:t>
      </w:r>
      <w:r w:rsidR="00661535">
        <w:t xml:space="preserve"> </w:t>
      </w:r>
      <w:r w:rsidRPr="00EB7717">
        <w:t>0.0023) (</w:t>
      </w:r>
      <w:r w:rsidR="00C16A21" w:rsidRPr="00C16A21">
        <w:t>Table 32</w:t>
      </w:r>
      <w:r w:rsidR="00D933A6" w:rsidRPr="00C16A21">
        <w:t>).</w:t>
      </w:r>
    </w:p>
    <w:p w:rsidR="00EB7717" w:rsidRDefault="00EB7717" w:rsidP="00EB7717">
      <w:pPr>
        <w:pStyle w:val="Comment"/>
      </w:pPr>
      <w:r w:rsidRPr="00EB7717">
        <w:rPr>
          <w:b/>
        </w:rPr>
        <w:t>Comment:</w:t>
      </w:r>
      <w:r w:rsidRPr="00EB7717">
        <w:t xml:space="preserve"> As the testing hierarchy stopped for both active treatment groups before these comparisons were made, the odds ratios for responders were not considered statistically significant within the framework of the testing hierarchy. For response defined as </w:t>
      </w:r>
      <w:r w:rsidR="00A91223">
        <w:t xml:space="preserve">≥ </w:t>
      </w:r>
      <w:r w:rsidRPr="00EB7717">
        <w:t>10% relative increase, the observed trends were similar and favoured lumacaftor in combin</w:t>
      </w:r>
      <w:r w:rsidR="00D933A6">
        <w:t>ation with ivacaftor treatment.</w:t>
      </w:r>
    </w:p>
    <w:p w:rsidR="00037D93" w:rsidRDefault="00C16A21" w:rsidP="00037D93">
      <w:pPr>
        <w:pStyle w:val="Tabletitle"/>
      </w:pPr>
      <w:proofErr w:type="gramStart"/>
      <w:r>
        <w:t>Table 32</w:t>
      </w:r>
      <w:r w:rsidR="000F2965">
        <w:t>.</w:t>
      </w:r>
      <w:proofErr w:type="gramEnd"/>
      <w:r w:rsidR="00037D93" w:rsidRPr="00037D93">
        <w:t xml:space="preserve"> Study 103 Response analysis of average relative cha</w:t>
      </w:r>
      <w:r>
        <w:t>n</w:t>
      </w:r>
      <w:r w:rsidR="00037D93" w:rsidRPr="00037D93">
        <w:t>ge from baseline in percent predicted FEV1 at week 16 and at week 24, full an</w:t>
      </w:r>
      <w:r w:rsidR="000F2965">
        <w:t>alysis set</w:t>
      </w:r>
    </w:p>
    <w:p w:rsidR="00037D93" w:rsidRPr="00037D93" w:rsidRDefault="00037D93" w:rsidP="00037D93">
      <w:r>
        <w:rPr>
          <w:noProof/>
          <w:lang w:eastAsia="en-AU"/>
        </w:rPr>
        <w:drawing>
          <wp:inline distT="0" distB="0" distL="0" distR="0" wp14:anchorId="12CA5A96" wp14:editId="7801F9E4">
            <wp:extent cx="5287403" cy="3635654"/>
            <wp:effectExtent l="0" t="0" r="8890" b="3175"/>
            <wp:docPr id="44" name="Picture 44" descr="Table 32 Study 103 Response analysis of average relative change from baseline in percent predicted FEV1 at week 16 and at week 24,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284898" cy="3633932"/>
                    </a:xfrm>
                    <a:prstGeom prst="rect">
                      <a:avLst/>
                    </a:prstGeom>
                  </pic:spPr>
                </pic:pic>
              </a:graphicData>
            </a:graphic>
          </wp:inline>
        </w:drawing>
      </w:r>
    </w:p>
    <w:p w:rsidR="00EB7717" w:rsidRPr="00D933A6" w:rsidRDefault="00EB7717" w:rsidP="00D933A6">
      <w:pPr>
        <w:pStyle w:val="Heading7"/>
        <w:rPr>
          <w:sz w:val="20"/>
          <w:szCs w:val="20"/>
        </w:rPr>
      </w:pPr>
      <w:r w:rsidRPr="00D933A6">
        <w:rPr>
          <w:sz w:val="20"/>
          <w:szCs w:val="20"/>
        </w:rPr>
        <w:t>Number of pulmonary exacerb</w:t>
      </w:r>
      <w:r w:rsidR="00D933A6">
        <w:rPr>
          <w:sz w:val="20"/>
          <w:szCs w:val="20"/>
        </w:rPr>
        <w:t>ations through Week 24</w:t>
      </w:r>
    </w:p>
    <w:p w:rsidR="00EB7717" w:rsidRPr="00EB7717" w:rsidRDefault="00EB7717" w:rsidP="00EB7717">
      <w:r w:rsidRPr="00EB7717">
        <w:t>The number (event rate per year) of pulmonary exacerbati</w:t>
      </w:r>
      <w:r w:rsidR="00D13AF6">
        <w:t>ons was lower in the LUM 600 mg </w:t>
      </w:r>
      <w:r w:rsidRPr="00EB7717">
        <w:t xml:space="preserve">qd/IVA 250 mg q12h group (79 </w:t>
      </w:r>
      <w:r w:rsidR="004E6042">
        <w:t>(</w:t>
      </w:r>
      <w:r w:rsidRPr="00EB7717">
        <w:t>0.77</w:t>
      </w:r>
      <w:r w:rsidR="004E6042">
        <w:t>)</w:t>
      </w:r>
      <w:r w:rsidRPr="00EB7717">
        <w:t xml:space="preserve"> events) and the LUM 400 mg q12h/ IVA 250 mg </w:t>
      </w:r>
      <w:r w:rsidRPr="00EB7717">
        <w:lastRenderedPageBreak/>
        <w:t xml:space="preserve">q12h group (73 </w:t>
      </w:r>
      <w:r w:rsidR="004E6042">
        <w:t>(</w:t>
      </w:r>
      <w:r w:rsidRPr="00EB7717">
        <w:t>0.71</w:t>
      </w:r>
      <w:r w:rsidR="004E6042">
        <w:t>)</w:t>
      </w:r>
      <w:r w:rsidRPr="00EB7717">
        <w:t xml:space="preserve"> events) compared with the placebo group (112 </w:t>
      </w:r>
      <w:r w:rsidR="004E6042">
        <w:t>(</w:t>
      </w:r>
      <w:r w:rsidRPr="00EB7717">
        <w:t>1.07</w:t>
      </w:r>
      <w:r w:rsidR="004E6042">
        <w:t>)</w:t>
      </w:r>
      <w:r w:rsidRPr="00EB7717">
        <w:t xml:space="preserve"> events). The rate ratios showed a treatment effect that was in favour of both active treatment groups, but could not be considered statistically significant as the testing hierarchy </w:t>
      </w:r>
      <w:r w:rsidR="00D933A6">
        <w:t>stopped before this comparison.</w:t>
      </w:r>
    </w:p>
    <w:p w:rsidR="00EB7717" w:rsidRPr="00EB7717" w:rsidRDefault="00EB7717" w:rsidP="00D933A6">
      <w:pPr>
        <w:pStyle w:val="Heading6"/>
      </w:pPr>
      <w:r w:rsidRPr="00EB7717">
        <w:t>Other secondary an</w:t>
      </w:r>
      <w:r w:rsidR="00037D93">
        <w:t>d additional efficacy outcomes</w:t>
      </w:r>
    </w:p>
    <w:p w:rsidR="00EB7717" w:rsidRPr="00D933A6" w:rsidRDefault="00D933A6" w:rsidP="00D933A6">
      <w:pPr>
        <w:pStyle w:val="Heading7"/>
        <w:rPr>
          <w:sz w:val="20"/>
          <w:szCs w:val="20"/>
        </w:rPr>
      </w:pPr>
      <w:r w:rsidRPr="00D933A6">
        <w:rPr>
          <w:sz w:val="20"/>
          <w:szCs w:val="20"/>
        </w:rPr>
        <w:t>Nutritional status</w:t>
      </w:r>
    </w:p>
    <w:p w:rsidR="00EB7717" w:rsidRDefault="00D933A6" w:rsidP="00EB7717">
      <w:r>
        <w:t xml:space="preserve">Although, the within </w:t>
      </w:r>
      <w:r w:rsidR="00EB7717" w:rsidRPr="00EB7717">
        <w:t>group LS mean absolute change from baseline in weight at Week 24 was greater in the LUM 600 mg qd/IVA 250 mg q12h group (1.34 kg) and the LUM 400 mg q12h/IVA 250 mg q12h group (1.23 kg) compared with the placebo group (0.93 kg), the difference was not statistically significant (</w:t>
      </w:r>
      <w:r w:rsidR="00EB7717" w:rsidRPr="00037D93">
        <w:t xml:space="preserve">Table </w:t>
      </w:r>
      <w:r w:rsidR="00C16A21">
        <w:t>33</w:t>
      </w:r>
      <w:r>
        <w:t>).</w:t>
      </w:r>
    </w:p>
    <w:p w:rsidR="00037D93" w:rsidRDefault="00C16A21" w:rsidP="00037D93">
      <w:pPr>
        <w:pStyle w:val="Tabletitle"/>
      </w:pPr>
      <w:proofErr w:type="gramStart"/>
      <w:r>
        <w:t>Table 33.</w:t>
      </w:r>
      <w:proofErr w:type="gramEnd"/>
      <w:r w:rsidR="00037D93">
        <w:t xml:space="preserve"> MMRM analysis of absolute change from baseline in weig</w:t>
      </w:r>
      <w:r>
        <w:t>ht at Week 24 full analysis set</w:t>
      </w:r>
    </w:p>
    <w:p w:rsidR="00037D93" w:rsidRPr="00037D93" w:rsidRDefault="00037D93" w:rsidP="00037D93">
      <w:r>
        <w:rPr>
          <w:noProof/>
          <w:lang w:eastAsia="en-AU"/>
        </w:rPr>
        <w:drawing>
          <wp:inline distT="0" distB="0" distL="0" distR="0" wp14:anchorId="7EDC9204" wp14:editId="6EDA9CC2">
            <wp:extent cx="5467541" cy="3650285"/>
            <wp:effectExtent l="0" t="0" r="0" b="7620"/>
            <wp:docPr id="45" name="Picture 45" descr="Table 33. MMRM analysis of absolute change from baseline in weight at Week 24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468496" cy="3650922"/>
                    </a:xfrm>
                    <a:prstGeom prst="rect">
                      <a:avLst/>
                    </a:prstGeom>
                  </pic:spPr>
                </pic:pic>
              </a:graphicData>
            </a:graphic>
          </wp:inline>
        </w:drawing>
      </w:r>
    </w:p>
    <w:p w:rsidR="00F13E89" w:rsidRPr="00EB7717" w:rsidRDefault="00EB7717" w:rsidP="00EB7717">
      <w:r w:rsidRPr="00EB7717">
        <w:t xml:space="preserve">To assess changes in nutritional status in a population of boys and girls at various stages of growth, BMI z-score, weight z-score, and height z-score were calculated using the National </w:t>
      </w:r>
      <w:r w:rsidR="00D933A6" w:rsidRPr="00EB7717">
        <w:t>Centre</w:t>
      </w:r>
      <w:r w:rsidRPr="00EB7717">
        <w:t xml:space="preserve"> for Health Statistics growth charts for subjects less than 20 years of age. Change in height was also analysed in this population. Although improvements in BMI z-score, Weight z-score and Height z-score were observed in both active treatment groups, the treatment differences versus the placebo group were not statistically significant. No improvement in height was observed in either active treatment group when compared with the placebo group</w:t>
      </w:r>
      <w:r w:rsidR="00D933A6">
        <w:t>.</w:t>
      </w:r>
    </w:p>
    <w:p w:rsidR="00EB7717" w:rsidRPr="00D933A6" w:rsidRDefault="00EB7717" w:rsidP="00D933A6">
      <w:pPr>
        <w:pStyle w:val="Heading7"/>
        <w:rPr>
          <w:sz w:val="20"/>
          <w:szCs w:val="20"/>
        </w:rPr>
      </w:pPr>
      <w:r w:rsidRPr="00D933A6">
        <w:rPr>
          <w:sz w:val="20"/>
          <w:szCs w:val="20"/>
        </w:rPr>
        <w:t>C</w:t>
      </w:r>
      <w:r w:rsidR="00D933A6">
        <w:rPr>
          <w:sz w:val="20"/>
          <w:szCs w:val="20"/>
        </w:rPr>
        <w:t>linical events of interest</w:t>
      </w:r>
    </w:p>
    <w:p w:rsidR="00EB7717" w:rsidRPr="00EB7717" w:rsidRDefault="00D933A6" w:rsidP="00EB7717">
      <w:r>
        <w:t xml:space="preserve">Time to </w:t>
      </w:r>
      <w:r w:rsidR="00EB7717" w:rsidRPr="00EB7717">
        <w:t>first pulmonary exacerbation through Week 24 was a secondary endpoint. The hazard ratios showed a treatment effect that was in favour of both active treatment groups. The percentage of subjects with at least 1 pulmonary exacerbation was numerically lower in both active treatment groups compared with the placebo group although the odds ratio was not statistically significant (p</w:t>
      </w:r>
      <w:r w:rsidR="00511EB7">
        <w:t xml:space="preserve"> = </w:t>
      </w:r>
      <w:r w:rsidR="00EB7717" w:rsidRPr="00EB7717">
        <w:t>0.0552 and p</w:t>
      </w:r>
      <w:r w:rsidR="00511EB7">
        <w:t xml:space="preserve"> = </w:t>
      </w:r>
      <w:r w:rsidR="00EB7717" w:rsidRPr="00EB7717">
        <w:t>0.0512 for LUM 600 mg qd/IVA 250 mg q12h group and the LUM 400 mg q12h/IVA 25</w:t>
      </w:r>
      <w:r w:rsidR="00037D93">
        <w:t>0 mg q12h groups, respectively).</w:t>
      </w:r>
      <w:r w:rsidR="00EB7717" w:rsidRPr="00EB7717">
        <w:t xml:space="preserve"> The hazard ratio for the LUM 600 mg qd/IVA 250 mg q12h group versus the placebo group was 0.692 (</w:t>
      </w:r>
      <w:r w:rsidR="00CC3BC8">
        <w:t>p</w:t>
      </w:r>
      <w:r w:rsidR="00661535">
        <w:t xml:space="preserve"> </w:t>
      </w:r>
      <w:r w:rsidR="00511EB7">
        <w:t>=</w:t>
      </w:r>
      <w:r w:rsidR="00661535">
        <w:t xml:space="preserve"> </w:t>
      </w:r>
      <w:r w:rsidR="00EB7717" w:rsidRPr="00EB7717">
        <w:t xml:space="preserve">0.0396), </w:t>
      </w:r>
      <w:r w:rsidR="00EB7717" w:rsidRPr="00EB7717">
        <w:lastRenderedPageBreak/>
        <w:t>while the hazard ratio for the LUM 400 mg q12h/IVA 250 mg q12h group versus the placebo group was 0.691 (</w:t>
      </w:r>
      <w:r w:rsidR="00CC3BC8">
        <w:t>p</w:t>
      </w:r>
      <w:r w:rsidR="00661535">
        <w:t xml:space="preserve"> </w:t>
      </w:r>
      <w:r w:rsidR="00511EB7">
        <w:t>=</w:t>
      </w:r>
      <w:r w:rsidR="00661535">
        <w:t xml:space="preserve"> </w:t>
      </w:r>
      <w:r w:rsidR="00EB7717" w:rsidRPr="00EB7717">
        <w:t xml:space="preserve">0.0385). A numerically greater proportion of subjects remained free of pulmonary exacerbations in both active treatment groups </w:t>
      </w:r>
      <w:r w:rsidR="00037D93">
        <w:t>compared with the placebo group</w:t>
      </w:r>
      <w:r>
        <w:t>.</w:t>
      </w:r>
    </w:p>
    <w:p w:rsidR="00EB7717" w:rsidRPr="00EB7717" w:rsidRDefault="00EB7717" w:rsidP="00EB7717">
      <w:r w:rsidRPr="00EB7717">
        <w:t xml:space="preserve">The number (event rate per year) of pulmonary exacerbations requiring hospitalization was lower in the LUM 600 mg qd/IVA 250 mg q12h group (25 </w:t>
      </w:r>
      <w:r w:rsidR="004E6042">
        <w:t>(</w:t>
      </w:r>
      <w:r w:rsidRPr="00EB7717">
        <w:t>0.20</w:t>
      </w:r>
      <w:r w:rsidR="004E6042">
        <w:t>)</w:t>
      </w:r>
      <w:r w:rsidRPr="00EB7717">
        <w:t xml:space="preserve"> events) and the LUM 400 mg q12h/IVA 250 mg q12h group (17 </w:t>
      </w:r>
      <w:r w:rsidR="004E6042">
        <w:t>(</w:t>
      </w:r>
      <w:r w:rsidRPr="00EB7717">
        <w:t>0.14</w:t>
      </w:r>
      <w:r w:rsidR="004E6042">
        <w:t>)</w:t>
      </w:r>
      <w:r w:rsidRPr="00EB7717">
        <w:t xml:space="preserve"> events) compared with the placebo group (46 </w:t>
      </w:r>
      <w:r w:rsidR="004E6042">
        <w:t>(</w:t>
      </w:r>
      <w:r w:rsidRPr="00EB7717">
        <w:t>0.36</w:t>
      </w:r>
      <w:r w:rsidR="004E6042">
        <w:t>)</w:t>
      </w:r>
      <w:r w:rsidRPr="00EB7717">
        <w:t xml:space="preserve"> events). The rate ratios were statistically significantly in favour of both active treatment groups. The hazard </w:t>
      </w:r>
      <w:r w:rsidR="00D13AF6">
        <w:t>ratio</w:t>
      </w:r>
      <w:r w:rsidR="00D13AF6" w:rsidRPr="00EB7717">
        <w:t xml:space="preserve"> for time to first hospitalisation for pulmonary exacerbation was</w:t>
      </w:r>
      <w:r w:rsidRPr="00EB7717">
        <w:t xml:space="preserve"> also significantly in favour of both active treatme</w:t>
      </w:r>
      <w:r w:rsidR="00037D93">
        <w:t>nt groups compared with placebo</w:t>
      </w:r>
      <w:r w:rsidR="00D933A6">
        <w:t>.</w:t>
      </w:r>
    </w:p>
    <w:p w:rsidR="00F13E89" w:rsidRPr="00EB7717" w:rsidRDefault="00EB7717" w:rsidP="00EB7717">
      <w:r w:rsidRPr="00EB7717">
        <w:t xml:space="preserve">The number (event rate per year) of pulmonary exacerbations requiring IV antibiotic therapy was also lower in the LUM 600 mg qd/IVA 250 mg q12h group (31 events) and the LUM 400 mg q12h/IVA 250 mg q12h group (33 events) compared with the placebo group (62 events). The rate ratios were statistically significantly in favour of both active treatment groups. The hazard </w:t>
      </w:r>
      <w:r w:rsidR="00D13AF6" w:rsidRPr="00EB7717">
        <w:t>ratio for time to first hospitalisation for pulmonary exacerbation was</w:t>
      </w:r>
      <w:r w:rsidRPr="00EB7717">
        <w:t xml:space="preserve"> also significantly in favour of both active treatment groups compared with placebo.</w:t>
      </w:r>
    </w:p>
    <w:p w:rsidR="00EB7717" w:rsidRPr="00EB7717" w:rsidRDefault="00EB7717" w:rsidP="00EB7717">
      <w:r w:rsidRPr="00EB7717">
        <w:t xml:space="preserve">Analysis of the number of unplanned hospitalizations through Week 24 showed no discernible differences between </w:t>
      </w:r>
      <w:proofErr w:type="gramStart"/>
      <w:r w:rsidR="00D13AF6" w:rsidRPr="00EB7717">
        <w:t>either active treatment group and</w:t>
      </w:r>
      <w:proofErr w:type="gramEnd"/>
      <w:r w:rsidRPr="00EB7717">
        <w:t xml:space="preserve"> the placebo group</w:t>
      </w:r>
      <w:r w:rsidR="00D933A6">
        <w:t>.</w:t>
      </w:r>
    </w:p>
    <w:p w:rsidR="00EB7717" w:rsidRDefault="00EB7717" w:rsidP="00EB7717">
      <w:r w:rsidRPr="00EB7717">
        <w:t>The duration of clinical events of interest was analysed using a stratified Wilcoxon rank-sum test to assess the difference between treatment groups. The total duration</w:t>
      </w:r>
      <w:r w:rsidR="0044164E">
        <w:rPr>
          <w:rStyle w:val="FootnoteReference"/>
        </w:rPr>
        <w:footnoteReference w:id="9"/>
      </w:r>
      <w:r w:rsidR="0044164E">
        <w:t xml:space="preserve"> </w:t>
      </w:r>
      <w:r w:rsidRPr="00EB7717">
        <w:t>was the total number of days that a given subject had the specified clinical event. The normal</w:t>
      </w:r>
      <w:r w:rsidR="002D7E74">
        <w:t>ise</w:t>
      </w:r>
      <w:r w:rsidRPr="00EB7717">
        <w:t>d mean total durations were shorter for both active treatment groups than the placebo group for all clinical events of interest (pulmonary exacerbations, hospitalisations due to pulmonary exacerbations, antibiotic therapy for pulmonary exacerbations) with the exception of planned and unplanned hospitalizations (</w:t>
      </w:r>
      <w:r w:rsidRPr="00037D93">
        <w:t xml:space="preserve">Table </w:t>
      </w:r>
      <w:r w:rsidR="00C16A21">
        <w:t>34</w:t>
      </w:r>
      <w:r w:rsidRPr="0044164E">
        <w:t>)</w:t>
      </w:r>
      <w:r w:rsidR="00C16A21">
        <w:t>.</w:t>
      </w:r>
    </w:p>
    <w:p w:rsidR="00C04AF4" w:rsidRDefault="00C16A21" w:rsidP="00C04AF4">
      <w:pPr>
        <w:pStyle w:val="Tabletitle"/>
      </w:pPr>
      <w:proofErr w:type="gramStart"/>
      <w:r>
        <w:lastRenderedPageBreak/>
        <w:t>Table 34</w:t>
      </w:r>
      <w:r w:rsidR="00C04AF4">
        <w:t>.</w:t>
      </w:r>
      <w:proofErr w:type="gramEnd"/>
      <w:r w:rsidR="00C04AF4">
        <w:t xml:space="preserve"> Normalised total duration of clinical events of interest full analysis set</w:t>
      </w:r>
    </w:p>
    <w:p w:rsidR="00C04AF4" w:rsidRPr="00C04AF4" w:rsidRDefault="00C04AF4" w:rsidP="00C04AF4">
      <w:r>
        <w:rPr>
          <w:noProof/>
          <w:lang w:eastAsia="en-AU"/>
        </w:rPr>
        <w:drawing>
          <wp:inline distT="0" distB="0" distL="0" distR="0" wp14:anchorId="53BCC1AD" wp14:editId="0B5EE5CA">
            <wp:extent cx="4885640" cy="6013095"/>
            <wp:effectExtent l="0" t="0" r="0" b="6985"/>
            <wp:docPr id="46" name="Picture 46" descr="Table 34. Normalised total duration of clinical events of interest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4887242" cy="6015067"/>
                    </a:xfrm>
                    <a:prstGeom prst="rect">
                      <a:avLst/>
                    </a:prstGeom>
                  </pic:spPr>
                </pic:pic>
              </a:graphicData>
            </a:graphic>
          </wp:inline>
        </w:drawing>
      </w:r>
    </w:p>
    <w:p w:rsidR="00EB7717" w:rsidRPr="00D933A6" w:rsidRDefault="00EB7717" w:rsidP="00D933A6">
      <w:pPr>
        <w:pStyle w:val="Heading7"/>
        <w:rPr>
          <w:sz w:val="20"/>
          <w:szCs w:val="20"/>
        </w:rPr>
      </w:pPr>
      <w:r w:rsidRPr="00D933A6">
        <w:rPr>
          <w:rStyle w:val="Heading7Char"/>
          <w:sz w:val="20"/>
          <w:szCs w:val="20"/>
        </w:rPr>
        <w:t>Patient-reported outcomes</w:t>
      </w:r>
    </w:p>
    <w:p w:rsidR="00EB7717" w:rsidRPr="00EB7717" w:rsidRDefault="00EB7717" w:rsidP="00EB7717">
      <w:r w:rsidRPr="00EB7717">
        <w:t>No meaningful treatment difference in the absolute change from baseline in the EQ-5D-3L single utility index score between either active treatment group and placebo group were observed at Week 24. Analysis of absolute change from baseline in the EQ-5D-3L VAS score at Week 24 resulted in positive LS mean treatment differences for both active treatment groups versus the placebo group: 2.1 points (</w:t>
      </w:r>
      <w:r w:rsidR="00CC3BC8">
        <w:t>p</w:t>
      </w:r>
      <w:r w:rsidR="00661535">
        <w:t xml:space="preserve"> </w:t>
      </w:r>
      <w:r w:rsidR="00511EB7">
        <w:t>=</w:t>
      </w:r>
      <w:r w:rsidR="00661535">
        <w:t xml:space="preserve"> </w:t>
      </w:r>
      <w:r w:rsidRPr="00EB7717">
        <w:t>0.1342) for the LUM 600 mg qd/IVA 250 mg q12h group, and 1.4 points (</w:t>
      </w:r>
      <w:r w:rsidR="00CC3BC8">
        <w:t>p</w:t>
      </w:r>
      <w:r w:rsidR="00661535">
        <w:t xml:space="preserve"> </w:t>
      </w:r>
      <w:r w:rsidR="00511EB7">
        <w:t>=</w:t>
      </w:r>
      <w:r w:rsidR="00661535">
        <w:t xml:space="preserve"> </w:t>
      </w:r>
      <w:r w:rsidRPr="00EB7717">
        <w:t>0.3071) for the LUM 400</w:t>
      </w:r>
      <w:r w:rsidR="00D933A6">
        <w:t xml:space="preserve"> mg q12h/IVA 250 mg q12h group.</w:t>
      </w:r>
    </w:p>
    <w:p w:rsidR="00F13E89" w:rsidRPr="00EB7717" w:rsidRDefault="00EB7717" w:rsidP="00EB7717">
      <w:r w:rsidRPr="00EB7717">
        <w:t xml:space="preserve">Absolute change from baseline in TSQM domains at Week 24 was a secondary endpoint. A total of 4 domains were analysed: effectiveness, side effects, convenience, and global satisfaction. Analysis of absolute change from baseline in the TSQM effectiveness domain </w:t>
      </w:r>
      <w:r w:rsidR="004E6042">
        <w:t>(</w:t>
      </w:r>
      <w:r w:rsidRPr="00EB7717">
        <w:t>5.49 points (</w:t>
      </w:r>
      <w:r w:rsidR="00CC3BC8">
        <w:t>p</w:t>
      </w:r>
      <w:r w:rsidR="00D933A6">
        <w:t> </w:t>
      </w:r>
      <w:r w:rsidR="00511EB7">
        <w:t>=</w:t>
      </w:r>
      <w:r w:rsidR="00D933A6">
        <w:t> </w:t>
      </w:r>
      <w:r w:rsidRPr="00EB7717">
        <w:t>0.0160) for the LUM 600 mg qd/IVA 250 mg q12h group, and 5.80 points (</w:t>
      </w:r>
      <w:r w:rsidR="00CC3BC8">
        <w:t>p</w:t>
      </w:r>
      <w:r w:rsidR="00661535">
        <w:t xml:space="preserve"> </w:t>
      </w:r>
      <w:r w:rsidR="00511EB7">
        <w:t>=</w:t>
      </w:r>
      <w:r w:rsidR="00661535">
        <w:t xml:space="preserve"> </w:t>
      </w:r>
      <w:r w:rsidRPr="00EB7717">
        <w:t>0.0126) for the LUM 400 mg q12h/IVA 250 mg q12h group</w:t>
      </w:r>
      <w:r w:rsidR="004E6042">
        <w:t>)</w:t>
      </w:r>
      <w:r w:rsidRPr="00EB7717">
        <w:t xml:space="preserve"> and the global satisfaction domain </w:t>
      </w:r>
      <w:r w:rsidR="004E6042">
        <w:t>(</w:t>
      </w:r>
      <w:r w:rsidRPr="00EB7717">
        <w:t>5.49 points (</w:t>
      </w:r>
      <w:r w:rsidR="00CC3BC8">
        <w:t>p</w:t>
      </w:r>
      <w:r w:rsidR="00661535">
        <w:t xml:space="preserve"> </w:t>
      </w:r>
      <w:r w:rsidR="00511EB7">
        <w:t>=</w:t>
      </w:r>
      <w:r w:rsidR="00661535">
        <w:t xml:space="preserve"> </w:t>
      </w:r>
      <w:r w:rsidRPr="00EB7717">
        <w:t xml:space="preserve">0.0345) for the LUM 600 mg qd/IVA 250 mg q12h group versus the placebo group, and </w:t>
      </w:r>
      <w:r w:rsidRPr="00EB7717">
        <w:lastRenderedPageBreak/>
        <w:t>6.72 points (</w:t>
      </w:r>
      <w:r w:rsidR="00CC3BC8">
        <w:t>p</w:t>
      </w:r>
      <w:r w:rsidR="00661535">
        <w:t xml:space="preserve"> </w:t>
      </w:r>
      <w:r w:rsidR="00511EB7">
        <w:t>=</w:t>
      </w:r>
      <w:r w:rsidR="00661535">
        <w:t xml:space="preserve"> </w:t>
      </w:r>
      <w:r w:rsidRPr="00EB7717">
        <w:t>0.0109) for the LUM 400 mg q12h/IVA 250 mg q12h group</w:t>
      </w:r>
      <w:r w:rsidR="004E6042">
        <w:t>)</w:t>
      </w:r>
      <w:r w:rsidRPr="00EB7717">
        <w:t xml:space="preserve"> at Week 24 resulted in positive LS mean treatment differences for both active treatment groups versus the placebo group. Analysis of absolute change from baseline in the TSQM side effects domain at Week 24 resulted in negative LS mean treatment differences for both active treatment groups versus the placebo group: </w:t>
      </w:r>
      <w:r w:rsidR="00D933A6">
        <w:noBreakHyphen/>
      </w:r>
      <w:r w:rsidRPr="00EB7717">
        <w:t>4.18 points (</w:t>
      </w:r>
      <w:r w:rsidR="00CC3BC8">
        <w:t>p</w:t>
      </w:r>
      <w:r w:rsidR="00661535">
        <w:t xml:space="preserve"> </w:t>
      </w:r>
      <w:r w:rsidR="00511EB7">
        <w:t>=</w:t>
      </w:r>
      <w:r w:rsidR="00661535">
        <w:t xml:space="preserve"> </w:t>
      </w:r>
      <w:r w:rsidRPr="00EB7717">
        <w:t xml:space="preserve">0.0074) for the LUM 600 mg qd/IVA 250 mg q12h group, and </w:t>
      </w:r>
      <w:r w:rsidR="00D933A6">
        <w:noBreakHyphen/>
      </w:r>
      <w:r w:rsidRPr="00EB7717">
        <w:t>4.74 points (</w:t>
      </w:r>
      <w:r w:rsidR="00CC3BC8">
        <w:t>p</w:t>
      </w:r>
      <w:r w:rsidR="00661535">
        <w:t xml:space="preserve"> </w:t>
      </w:r>
      <w:r w:rsidR="00511EB7">
        <w:t>=</w:t>
      </w:r>
      <w:r w:rsidR="00661535">
        <w:t xml:space="preserve"> </w:t>
      </w:r>
      <w:r w:rsidRPr="00EB7717">
        <w:t>0.0029) for the LUM 400 mg q12h/IVA 250 mg q12h group. Analysis of absolute change from baseline in the TSQM convenience domain at Week 24 resulted in an LS mean treatment difference of 0.61 points (</w:t>
      </w:r>
      <w:r w:rsidR="00CC3BC8">
        <w:t>p</w:t>
      </w:r>
      <w:r w:rsidR="00661535">
        <w:t xml:space="preserve"> </w:t>
      </w:r>
      <w:r w:rsidR="00511EB7">
        <w:t>=</w:t>
      </w:r>
      <w:r w:rsidR="00661535">
        <w:t xml:space="preserve"> </w:t>
      </w:r>
      <w:r w:rsidRPr="00EB7717">
        <w:t>0.7721) for the LUM 600 mg qd/IVA 250 mg q12h group versus the placebo group, and 3.08 points (</w:t>
      </w:r>
      <w:r w:rsidR="00CC3BC8">
        <w:t>p</w:t>
      </w:r>
      <w:r w:rsidR="00661535">
        <w:t xml:space="preserve"> </w:t>
      </w:r>
      <w:r w:rsidR="00511EB7">
        <w:t>=</w:t>
      </w:r>
      <w:r w:rsidR="00661535">
        <w:t xml:space="preserve"> </w:t>
      </w:r>
      <w:r w:rsidRPr="00EB7717">
        <w:t>0.1472) for the LUM 400 mg q12h/IVA 250 mg q12h group versus the placebo group.</w:t>
      </w:r>
    </w:p>
    <w:p w:rsidR="00EB7717" w:rsidRPr="00EB7717" w:rsidRDefault="00EB7717" w:rsidP="00EB7717">
      <w:r w:rsidRPr="00EB7717">
        <w:t xml:space="preserve">Absolute change from baseline in CFQ-R respiratory domain score at Week 24 for the </w:t>
      </w:r>
      <w:r w:rsidR="00980975">
        <w:t>‘</w:t>
      </w:r>
      <w:r w:rsidRPr="00EB7717">
        <w:t>Parents/Caregivers</w:t>
      </w:r>
      <w:r w:rsidR="00980975">
        <w:t>’</w:t>
      </w:r>
      <w:r w:rsidRPr="00EB7717">
        <w:t xml:space="preserve"> version was analysed as an additional efficacy endpoint and did not show any significant improvements with active treatment groups compared with placebo: the treatment differences were 1.27 points (</w:t>
      </w:r>
      <w:r w:rsidR="00CC3BC8">
        <w:t>p</w:t>
      </w:r>
      <w:r w:rsidR="00661535">
        <w:t xml:space="preserve"> </w:t>
      </w:r>
      <w:r w:rsidR="00511EB7">
        <w:t>=</w:t>
      </w:r>
      <w:r w:rsidR="00661535">
        <w:t xml:space="preserve"> </w:t>
      </w:r>
      <w:r w:rsidRPr="00EB7717">
        <w:t>0.8322) for the LUM 600 mg qd/IVA 250 mg q12h group and -0.35 points (</w:t>
      </w:r>
      <w:r w:rsidR="00CC3BC8">
        <w:t>p</w:t>
      </w:r>
      <w:r w:rsidR="00661535">
        <w:t xml:space="preserve"> </w:t>
      </w:r>
      <w:r w:rsidR="00511EB7">
        <w:t>=</w:t>
      </w:r>
      <w:r w:rsidR="00661535">
        <w:t xml:space="preserve"> </w:t>
      </w:r>
      <w:r w:rsidRPr="00EB7717">
        <w:t xml:space="preserve">0.9525) for the LUM 400 mg q12h/IVA 250 mg q12h group. </w:t>
      </w:r>
    </w:p>
    <w:p w:rsidR="00EB7717" w:rsidRPr="00EB7717" w:rsidRDefault="00EB7717" w:rsidP="00EB7717">
      <w:r w:rsidRPr="00EB7717">
        <w:t xml:space="preserve">Absolute change from baseline in </w:t>
      </w:r>
      <w:r w:rsidR="00A8789D" w:rsidRPr="001D064D">
        <w:t>FEV</w:t>
      </w:r>
      <w:r w:rsidR="00A8789D" w:rsidRPr="00A8789D">
        <w:rPr>
          <w:vertAlign w:val="subscript"/>
        </w:rPr>
        <w:t>1</w:t>
      </w:r>
      <w:r w:rsidRPr="00EB7717">
        <w:t xml:space="preserve"> at Week 24 was an additional efficacy endpoint and showed statistically significantly greater improvement in both active treatment groups compared with placebo (0.121, 0.085 and 0.0006L in LUM 600 mg qd/ IVA 250 mg q12h, LUM 400 mg q12h/IVA 250 mg q12h and placebo groups, resp</w:t>
      </w:r>
      <w:r w:rsidR="00D933A6">
        <w:t>ectively).</w:t>
      </w:r>
    </w:p>
    <w:p w:rsidR="00EB7717" w:rsidRPr="00EB7717" w:rsidRDefault="00EB7717" w:rsidP="00EB7717">
      <w:r w:rsidRPr="00EB7717">
        <w:t xml:space="preserve">Across all visits, the percentage of subjects who were </w:t>
      </w:r>
      <w:r w:rsidR="00A8789D" w:rsidRPr="001D064D">
        <w:t>FEV</w:t>
      </w:r>
      <w:r w:rsidR="00A8789D" w:rsidRPr="00A8789D">
        <w:rPr>
          <w:vertAlign w:val="subscript"/>
        </w:rPr>
        <w:t>1</w:t>
      </w:r>
      <w:r w:rsidRPr="00EB7717">
        <w:t xml:space="preserve"> responders</w:t>
      </w:r>
      <w:r>
        <w:rPr>
          <w:rStyle w:val="FootnoteReference"/>
        </w:rPr>
        <w:footnoteReference w:id="10"/>
      </w:r>
      <w:r w:rsidRPr="00EB7717">
        <w:t xml:space="preserve"> was consistently higher during treatment with lumacaftor in combination with ivacaftor than with placebo. At most visits, both active treatment groups had a statistically significant higher incidence of responses compared with the placebo group (</w:t>
      </w:r>
      <w:r w:rsidRPr="00C04AF4">
        <w:t>Table</w:t>
      </w:r>
      <w:r w:rsidR="00C04AF4" w:rsidRPr="00C04AF4">
        <w:t xml:space="preserve"> </w:t>
      </w:r>
      <w:r w:rsidR="000F2965">
        <w:t>30).</w:t>
      </w:r>
    </w:p>
    <w:p w:rsidR="00F13E89" w:rsidRPr="00EB7717" w:rsidRDefault="00EB7717" w:rsidP="00EB7717">
      <w:r w:rsidRPr="00EB7717">
        <w:t>At Week 24, the percentage of subjects who were BMI responders</w:t>
      </w:r>
      <w:r w:rsidR="0044164E">
        <w:rPr>
          <w:rStyle w:val="FootnoteReference"/>
        </w:rPr>
        <w:footnoteReference w:id="11"/>
      </w:r>
      <w:r w:rsidRPr="00EB7717">
        <w:t xml:space="preserve"> was numerically higher in the LUM 600 mg qd/IVA 250 mg q12h group (41.0%) and the LUM 400 mg q12h/IVA 250 mg q12h group (38.5%) compared with the placebo group (35.9%) although the odds ratios compared with placebo were not statistically significant.</w:t>
      </w:r>
    </w:p>
    <w:p w:rsidR="00647228" w:rsidRPr="00647228" w:rsidRDefault="00647228" w:rsidP="00647228">
      <w:r w:rsidRPr="00647228">
        <w:t>At Week 24, the percentage of subjects who were weight responders</w:t>
      </w:r>
      <w:r>
        <w:rPr>
          <w:rStyle w:val="FootnoteReference"/>
        </w:rPr>
        <w:footnoteReference w:id="12"/>
      </w:r>
      <w:r w:rsidRPr="00647228">
        <w:t xml:space="preserve"> was similar in the LUM 600 mg qd/IVA 250 mg q12h group (57.4%) and the LUM 400 mg q12h/ IVA 250 mg q12h group (56.6%) compared </w:t>
      </w:r>
      <w:r w:rsidR="00D933A6">
        <w:t>with the placebo group (54.3%).</w:t>
      </w:r>
    </w:p>
    <w:p w:rsidR="00647228" w:rsidRPr="00647228" w:rsidRDefault="00647228" w:rsidP="00647228">
      <w:r w:rsidRPr="00647228">
        <w:t>At Week 24, the percentage of subjects who were CFQ-R respiratory domain responders</w:t>
      </w:r>
      <w:r>
        <w:rPr>
          <w:rStyle w:val="FootnoteReference"/>
        </w:rPr>
        <w:footnoteReference w:id="13"/>
      </w:r>
      <w:r w:rsidRPr="00647228">
        <w:t xml:space="preserve"> was numerically higher in the LUM 600 mg qd/ IVA 250 mg q12h group (55.2%) and similar in the LUM 400 mg q12h/IVA 250 mg q12h group (46.7%) and the placebo group (45.1%). The odds ratio for the LUM 600 mg qd/IVA 250 mg q12h group versus the placebo group was 1.5079 (95% CI: 0.9990, 2.2760; </w:t>
      </w:r>
      <w:r w:rsidR="00CC3BC8">
        <w:t>p</w:t>
      </w:r>
      <w:r w:rsidR="00661535">
        <w:t xml:space="preserve"> </w:t>
      </w:r>
      <w:r w:rsidR="00511EB7">
        <w:t>=</w:t>
      </w:r>
      <w:r w:rsidR="00661535">
        <w:t xml:space="preserve"> </w:t>
      </w:r>
      <w:r w:rsidRPr="00647228">
        <w:t xml:space="preserve">0.0503). The odds ratio for the LUM 400 mg q12h/ IVA 250 mg q12h group versus the placebo group was 1.0640 (95% CI: 0.7087, 1.5975; </w:t>
      </w:r>
      <w:r w:rsidR="00CC3BC8">
        <w:t>p</w:t>
      </w:r>
      <w:r w:rsidR="00661535">
        <w:t xml:space="preserve"> </w:t>
      </w:r>
      <w:r w:rsidR="00511EB7">
        <w:t>=</w:t>
      </w:r>
      <w:r w:rsidR="00661535">
        <w:t xml:space="preserve"> </w:t>
      </w:r>
      <w:r w:rsidR="00D933A6">
        <w:t>0.7628).</w:t>
      </w:r>
    </w:p>
    <w:p w:rsidR="00647228" w:rsidRPr="00647228" w:rsidRDefault="00647228" w:rsidP="00647228">
      <w:r w:rsidRPr="00647228">
        <w:t xml:space="preserve">Results of subgroup analyses </w:t>
      </w:r>
      <w:r w:rsidR="00C04AF4">
        <w:t>were provided</w:t>
      </w:r>
      <w:r w:rsidRPr="00647228">
        <w:t xml:space="preserve"> for demographic and baseline characteristics subgroups and for prior medication subgroups. For all subgroups, analysis of average absolute change from baseline in percent predicted </w:t>
      </w:r>
      <w:r w:rsidR="00A8789D" w:rsidRPr="001D064D">
        <w:t>FEV</w:t>
      </w:r>
      <w:r w:rsidR="00A8789D" w:rsidRPr="00A8789D">
        <w:rPr>
          <w:vertAlign w:val="subscript"/>
        </w:rPr>
        <w:t>1</w:t>
      </w:r>
      <w:r w:rsidRPr="00647228">
        <w:t xml:space="preserve"> at Week 16 and at Week 24 favoured both active treatme</w:t>
      </w:r>
      <w:r w:rsidR="00D933A6">
        <w:t xml:space="preserve">nt groups; however, some within </w:t>
      </w:r>
      <w:r w:rsidRPr="00647228">
        <w:t xml:space="preserve">group absolute changes and treatment differences versus the placebo group may not have been statistically significant because of variability or insufficient power due to the small sample size. However, there was a slightly greater change from baseline in active groups in subjects aged </w:t>
      </w:r>
      <w:r w:rsidR="00975A10">
        <w:t>12 to 17</w:t>
      </w:r>
      <w:r w:rsidRPr="00647228">
        <w:t xml:space="preserve"> years compared to those aged </w:t>
      </w:r>
      <w:r w:rsidR="00511EB7">
        <w:t xml:space="preserve">&gt; </w:t>
      </w:r>
      <w:r w:rsidRPr="00647228">
        <w:t>18 years</w:t>
      </w:r>
      <w:r w:rsidR="00D933A6">
        <w:t xml:space="preserve">. There were no treatment by </w:t>
      </w:r>
      <w:r w:rsidRPr="00647228">
        <w:t xml:space="preserve">subgroup interactions that was statistically </w:t>
      </w:r>
      <w:r w:rsidRPr="00647228">
        <w:lastRenderedPageBreak/>
        <w:t xml:space="preserve">significant, therefore suggesting that the treatment effect is consistent across all analysed subgroups, with the exception </w:t>
      </w:r>
      <w:r w:rsidR="00D933A6">
        <w:t xml:space="preserve">of the treatment by </w:t>
      </w:r>
      <w:r w:rsidRPr="00647228">
        <w:t>age interaction (</w:t>
      </w:r>
      <w:r w:rsidR="00CC3BC8">
        <w:t>p</w:t>
      </w:r>
      <w:r w:rsidR="00661535">
        <w:t xml:space="preserve"> </w:t>
      </w:r>
      <w:r w:rsidR="00511EB7">
        <w:t>=</w:t>
      </w:r>
      <w:r w:rsidR="00661535">
        <w:t xml:space="preserve"> </w:t>
      </w:r>
      <w:r w:rsidRPr="00647228">
        <w:t>0.0889)</w:t>
      </w:r>
      <w:r w:rsidR="00D933A6">
        <w:t>.</w:t>
      </w:r>
    </w:p>
    <w:p w:rsidR="00647228" w:rsidRPr="00647228" w:rsidRDefault="00647228" w:rsidP="00647228">
      <w:r w:rsidRPr="00647228">
        <w:t xml:space="preserve">Subgroup analyses for the key secondary endpoint of relative change from baseline in percent predicted </w:t>
      </w:r>
      <w:r w:rsidR="00A8789D" w:rsidRPr="001D064D">
        <w:t>FEV</w:t>
      </w:r>
      <w:r w:rsidR="00A8789D" w:rsidRPr="00A8789D">
        <w:rPr>
          <w:vertAlign w:val="subscript"/>
        </w:rPr>
        <w:t>1</w:t>
      </w:r>
      <w:r w:rsidRPr="00647228">
        <w:t xml:space="preserve"> at Week 24, assessed as the average treatment effect at Week 16 and at Week 24 for each subgroup showed similar results</w:t>
      </w:r>
      <w:r w:rsidR="00D933A6">
        <w:t>.</w:t>
      </w:r>
    </w:p>
    <w:p w:rsidR="00F13E89" w:rsidRPr="00471087" w:rsidRDefault="00471087" w:rsidP="00471087">
      <w:pPr>
        <w:pStyle w:val="Comment"/>
      </w:pPr>
      <w:r>
        <w:rPr>
          <w:b/>
        </w:rPr>
        <w:t>Comment</w:t>
      </w:r>
      <w:r w:rsidR="00647228" w:rsidRPr="00647228">
        <w:rPr>
          <w:b/>
        </w:rPr>
        <w:t>:</w:t>
      </w:r>
      <w:r w:rsidR="00647228" w:rsidRPr="00647228">
        <w:t xml:space="preserve"> </w:t>
      </w:r>
      <w:r w:rsidR="00647228" w:rsidRPr="00471087">
        <w:t xml:space="preserve">The primary objective of this pivotal </w:t>
      </w:r>
      <w:r w:rsidR="00511EB7" w:rsidRPr="00471087">
        <w:t>Phase III</w:t>
      </w:r>
      <w:r w:rsidR="00647228" w:rsidRPr="00471087">
        <w:t xml:space="preserve">, </w:t>
      </w:r>
      <w:r w:rsidR="003C1B2B" w:rsidRPr="00471087">
        <w:t>double blind</w:t>
      </w:r>
      <w:r w:rsidR="00647228" w:rsidRPr="00471087">
        <w:t xml:space="preserve">, </w:t>
      </w:r>
      <w:r w:rsidR="003C1B2B" w:rsidRPr="00471087">
        <w:t>placebo controlled</w:t>
      </w:r>
      <w:r w:rsidR="00647228" w:rsidRPr="00471087">
        <w:t xml:space="preserve">, parallel group study was to evaluate the efficacy of lumacaftor in combination with ivacaftor at Week 24 in 549 subjects with CF who were homozygous for the F5 08del-CFTR mutation. Two dosing regimens were evaluated: LUM 600 mg qd/IVA 250 mg q12h and LUM 400 mg q12h/IVA 250 mg q12h. The primary efficacy endpoint was absolute change from baseline in percent predicted </w:t>
      </w:r>
      <w:r w:rsidR="00A8789D" w:rsidRPr="00471087">
        <w:t>FEV1</w:t>
      </w:r>
      <w:r w:rsidR="00647228" w:rsidRPr="00471087">
        <w:t xml:space="preserve"> at Week 24 (assessed as the average treatment effect at Week 16 and at Week 24), and the key secondary endpoints were relative change from baseline in percent predicted </w:t>
      </w:r>
      <w:r w:rsidR="00A8789D" w:rsidRPr="00471087">
        <w:t>FEV1</w:t>
      </w:r>
      <w:r w:rsidR="00647228" w:rsidRPr="00471087">
        <w:t xml:space="preserve"> at Week 24 (assessed as the average treatment effect at Week 16 and at Week 24), absolute change from baseline in BMI at Week 24, absolute change from baseline in CFQ-R respiratory domain score at Week 24, response defined as </w:t>
      </w:r>
      <w:r w:rsidR="00A91223" w:rsidRPr="00471087">
        <w:t xml:space="preserve">≥ </w:t>
      </w:r>
      <w:r w:rsidR="00647228" w:rsidRPr="00471087">
        <w:t xml:space="preserve">5% increase in average relative change from baseline in percent predicted </w:t>
      </w:r>
      <w:r w:rsidR="00A8789D" w:rsidRPr="00471087">
        <w:t>FEV1</w:t>
      </w:r>
      <w:r w:rsidR="00647228" w:rsidRPr="00471087">
        <w:t xml:space="preserve"> at Week 16 and at Week 24, and number of pulmonary exacerbations through Week 24. The overall study design, treatment duration and efficacy endpoints of this well-conducted </w:t>
      </w:r>
      <w:r w:rsidR="00511EB7" w:rsidRPr="00471087">
        <w:t>Phase III</w:t>
      </w:r>
      <w:r w:rsidR="00647228" w:rsidRPr="00471087">
        <w:t xml:space="preserve"> study complied with CHMP guidelines for evaluation of medicinal products for treatment of CF.</w:t>
      </w:r>
    </w:p>
    <w:p w:rsidR="00647228" w:rsidRDefault="00647228" w:rsidP="00471087">
      <w:pPr>
        <w:ind w:left="1134"/>
      </w:pPr>
      <w:r w:rsidRPr="00647228">
        <w:t>The primary and key secondary efficacy results are summar</w:t>
      </w:r>
      <w:r w:rsidR="002D7E74">
        <w:t>ise</w:t>
      </w:r>
      <w:r w:rsidRPr="00647228">
        <w:t xml:space="preserve">d in </w:t>
      </w:r>
      <w:r w:rsidRPr="00C04AF4">
        <w:t xml:space="preserve">Table </w:t>
      </w:r>
      <w:r w:rsidR="00C16A21">
        <w:t>35</w:t>
      </w:r>
      <w:r w:rsidR="000F2965">
        <w:t>.</w:t>
      </w:r>
    </w:p>
    <w:p w:rsidR="00C04AF4" w:rsidRDefault="00C16A21" w:rsidP="00C04AF4">
      <w:pPr>
        <w:pStyle w:val="Tabletitle"/>
      </w:pPr>
      <w:proofErr w:type="gramStart"/>
      <w:r>
        <w:lastRenderedPageBreak/>
        <w:t>Table 35.</w:t>
      </w:r>
      <w:proofErr w:type="gramEnd"/>
      <w:r>
        <w:t xml:space="preserve"> </w:t>
      </w:r>
      <w:r w:rsidR="00C04AF4">
        <w:t>Primary and key secondary efficacy results</w:t>
      </w:r>
    </w:p>
    <w:p w:rsidR="00C04AF4" w:rsidRPr="00C04AF4" w:rsidRDefault="00C04AF4" w:rsidP="00C04AF4">
      <w:r>
        <w:rPr>
          <w:noProof/>
          <w:lang w:eastAsia="en-AU"/>
        </w:rPr>
        <w:drawing>
          <wp:inline distT="0" distB="0" distL="0" distR="0" wp14:anchorId="52A224FD" wp14:editId="3171D700">
            <wp:extent cx="5731510" cy="6785349"/>
            <wp:effectExtent l="0" t="0" r="2540" b="0"/>
            <wp:docPr id="47" name="Picture 47" descr="Table 35. Primary and key secondary efficacy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731510" cy="6785349"/>
                    </a:xfrm>
                    <a:prstGeom prst="rect">
                      <a:avLst/>
                    </a:prstGeom>
                  </pic:spPr>
                </pic:pic>
              </a:graphicData>
            </a:graphic>
          </wp:inline>
        </w:drawing>
      </w:r>
    </w:p>
    <w:p w:rsidR="00647228" w:rsidRPr="00647228" w:rsidRDefault="00647228" w:rsidP="00647228">
      <w:pPr>
        <w:ind w:left="1134"/>
      </w:pPr>
      <w:r w:rsidRPr="00647228">
        <w:t xml:space="preserve">The test for treatment effect was considered statistically significant if the </w:t>
      </w:r>
      <w:r w:rsidR="00CC3BC8">
        <w:t>p</w:t>
      </w:r>
      <w:r w:rsidRPr="00647228">
        <w:t xml:space="preserve"> value was </w:t>
      </w:r>
      <w:r w:rsidR="00A91223">
        <w:t xml:space="preserve">≤ </w:t>
      </w:r>
      <w:r w:rsidRPr="00647228">
        <w:t xml:space="preserve">0.0250 and all previous tests within the testing hierarchy also met this level of significance. Based on these statistical testing procedures, the absolute change from baseline in percent predicted </w:t>
      </w:r>
      <w:r w:rsidR="00A8789D" w:rsidRPr="001D064D">
        <w:t>FEV</w:t>
      </w:r>
      <w:r w:rsidR="00A8789D" w:rsidRPr="00A8789D">
        <w:rPr>
          <w:vertAlign w:val="subscript"/>
        </w:rPr>
        <w:t>1</w:t>
      </w:r>
      <w:r w:rsidRPr="00647228">
        <w:t xml:space="preserve"> at Week 24 (assessed as the average treatment effect at Week 16 and at Week 24) and the relative change from baseline in percent predicted </w:t>
      </w:r>
      <w:r w:rsidR="00A8789D" w:rsidRPr="001D064D">
        <w:t>FEV</w:t>
      </w:r>
      <w:r w:rsidR="00A8789D" w:rsidRPr="00A8789D">
        <w:rPr>
          <w:vertAlign w:val="subscript"/>
        </w:rPr>
        <w:t>1</w:t>
      </w:r>
      <w:r w:rsidRPr="00647228">
        <w:t xml:space="preserve"> at Week 24 (assessed as the average treatment effect at Week 16 and at Week 24) were considered statistically significant within the framework of the testing hierarchy. Although, both active treatment groups showed numerical improvements over placebo in change in BMI and CFQ-R respiratory domain scores, the difference was</w:t>
      </w:r>
      <w:r w:rsidR="000C28AE">
        <w:t xml:space="preserve"> not statistically significant.</w:t>
      </w:r>
    </w:p>
    <w:p w:rsidR="00647228" w:rsidRPr="00647228" w:rsidRDefault="00647228" w:rsidP="00647228">
      <w:pPr>
        <w:ind w:left="1134"/>
      </w:pPr>
      <w:r w:rsidRPr="00647228">
        <w:lastRenderedPageBreak/>
        <w:t>Both active treatment groups demonstrated statistically significant treatment differences in favour of lumacaftor in combination with ivacaftor for the primary endpoint, with</w:t>
      </w:r>
      <w:r>
        <w:t xml:space="preserve"> </w:t>
      </w:r>
      <w:r w:rsidRPr="00647228">
        <w:t xml:space="preserve">improvements in lung function that were consistent. The treatment effect was rapid and sustained across all visits during the treatment period. The percentage of responders (defined as </w:t>
      </w:r>
      <w:r w:rsidR="00511EB7">
        <w:t xml:space="preserve">&gt; </w:t>
      </w:r>
      <w:r w:rsidRPr="00647228">
        <w:t xml:space="preserve">5% increase in average relative change from baseline in percent predicted </w:t>
      </w:r>
      <w:r w:rsidR="00A8789D" w:rsidRPr="001D064D">
        <w:t>FEV</w:t>
      </w:r>
      <w:r w:rsidR="00A8789D" w:rsidRPr="00A8789D">
        <w:rPr>
          <w:vertAlign w:val="subscript"/>
        </w:rPr>
        <w:t>1</w:t>
      </w:r>
      <w:r w:rsidRPr="00647228">
        <w:t xml:space="preserve"> at week 16 and 24) was also significantly higher in both active groups compared with placebo (46.4%, 36.8% and 22.3% in LUM 600 mg qd/ IVA 250 mg q12h, LUM 400 mg q12h/IVA 250 mg q12h and placebo groups, respectively). However, no statistically significant Improvements in measures of nutritional status </w:t>
      </w:r>
      <w:r w:rsidR="000C28AE">
        <w:t>(BMI and weight) were observed.</w:t>
      </w:r>
    </w:p>
    <w:p w:rsidR="00647228" w:rsidRPr="00647228" w:rsidRDefault="00647228" w:rsidP="00647228">
      <w:pPr>
        <w:ind w:left="1134"/>
      </w:pPr>
      <w:r w:rsidRPr="00647228">
        <w:t>There were robust reductions in the rate of pulmonary exacerbations, including statistically significant reductions in severe pulmonary exacerbations requiring hospitalization or IV antibiotic therapy. Treatment with lumacaftor in combination with ivacaftor resulted in favourable changes in the EQ-5D-3L VAS score and some TSQM domains (effectiveness an</w:t>
      </w:r>
      <w:r w:rsidR="000C28AE">
        <w:t>d global satisfaction domains).</w:t>
      </w:r>
    </w:p>
    <w:p w:rsidR="00647228" w:rsidRPr="00647228" w:rsidRDefault="00647228" w:rsidP="00647228">
      <w:pPr>
        <w:ind w:left="1134"/>
      </w:pPr>
      <w:r w:rsidRPr="00647228">
        <w:t xml:space="preserve">Compared to the LUM 400 mg q12h/IVA 250 mg q12h group, patients in the LUM 600 mg qd/IVA 250 mg q12h showed numerically greater improvements in terms of absolute and relative change from baseline in percent predicted change in </w:t>
      </w:r>
      <w:r w:rsidR="00A8789D" w:rsidRPr="001D064D">
        <w:t>FEV</w:t>
      </w:r>
      <w:r w:rsidR="00A8789D" w:rsidRPr="00A8789D">
        <w:rPr>
          <w:vertAlign w:val="subscript"/>
        </w:rPr>
        <w:t>1</w:t>
      </w:r>
      <w:r w:rsidRPr="00647228">
        <w:t xml:space="preserve"> as well as </w:t>
      </w:r>
      <w:r w:rsidR="00A8789D" w:rsidRPr="001D064D">
        <w:t>FEV</w:t>
      </w:r>
      <w:r w:rsidR="00A8789D" w:rsidRPr="00A8789D">
        <w:rPr>
          <w:vertAlign w:val="subscript"/>
        </w:rPr>
        <w:t>1</w:t>
      </w:r>
      <w:r w:rsidRPr="00647228">
        <w:t xml:space="preserve"> responders; only number of pulmonary exacerbations showed greater reduction in the LUM 400 mg q12h/IVA 250 mg q12h group (</w:t>
      </w:r>
      <w:r w:rsidRPr="00731F86">
        <w:t xml:space="preserve">Table </w:t>
      </w:r>
      <w:r w:rsidR="000F2965">
        <w:t>35</w:t>
      </w:r>
      <w:r w:rsidRPr="00647228">
        <w:t>). However, interpretation of these differences was difficult as the study was not powered to detect any difference between</w:t>
      </w:r>
      <w:r w:rsidR="000C28AE">
        <w:t xml:space="preserve"> the 2 active treatment groups.</w:t>
      </w:r>
    </w:p>
    <w:p w:rsidR="00647228" w:rsidRPr="00647228" w:rsidRDefault="000C28AE" w:rsidP="000C28AE">
      <w:pPr>
        <w:pStyle w:val="Heading4"/>
      </w:pPr>
      <w:r>
        <w:t>Study VX12-809-104</w:t>
      </w:r>
    </w:p>
    <w:p w:rsidR="00647228" w:rsidRPr="00647228" w:rsidRDefault="00647228" w:rsidP="000C28AE">
      <w:pPr>
        <w:pStyle w:val="Heading5"/>
      </w:pPr>
      <w:r w:rsidRPr="00647228">
        <w:t xml:space="preserve">Study design, </w:t>
      </w:r>
      <w:r w:rsidR="000C28AE">
        <w:t>objectives, locations and dates</w:t>
      </w:r>
    </w:p>
    <w:p w:rsidR="001607BB" w:rsidRDefault="00647228" w:rsidP="00647228">
      <w:r w:rsidRPr="00647228">
        <w:t xml:space="preserve">This was a </w:t>
      </w:r>
      <w:r w:rsidR="00511EB7">
        <w:t>Phase III</w:t>
      </w:r>
      <w:r w:rsidRPr="00647228">
        <w:t>, random</w:t>
      </w:r>
      <w:r w:rsidR="002D7E74">
        <w:t>ise</w:t>
      </w:r>
      <w:r w:rsidRPr="00647228">
        <w:t xml:space="preserve">d, </w:t>
      </w:r>
      <w:r w:rsidR="003C1B2B">
        <w:t>double blind</w:t>
      </w:r>
      <w:r w:rsidRPr="00647228">
        <w:t xml:space="preserve">, </w:t>
      </w:r>
      <w:r w:rsidR="003C1B2B">
        <w:t>placebo controlled</w:t>
      </w:r>
      <w:r w:rsidRPr="00647228">
        <w:t xml:space="preserve">, </w:t>
      </w:r>
      <w:r w:rsidR="003C1B2B">
        <w:t>parallel group</w:t>
      </w:r>
      <w:r w:rsidRPr="00647228">
        <w:t xml:space="preserve"> </w:t>
      </w:r>
      <w:r w:rsidR="000C28AE" w:rsidRPr="00647228">
        <w:t>multicentre</w:t>
      </w:r>
      <w:r w:rsidRPr="00647228">
        <w:t xml:space="preserve"> study of orally administered lumacaftor and ivacaftor in subjects with CF who are homozygous for the F508del-CFTR mutation. The study was conducted from 11, April, 2013 to 25 April, 2014 at 91 sites in North America, Europe, and Australia. The study design was identical to the other </w:t>
      </w:r>
      <w:r w:rsidR="00511EB7">
        <w:t>Phase III</w:t>
      </w:r>
      <w:r w:rsidRPr="00647228">
        <w:t xml:space="preserve"> pivo</w:t>
      </w:r>
      <w:r w:rsidR="001607BB">
        <w:t xml:space="preserve">tal </w:t>
      </w:r>
      <w:r w:rsidR="004E6042">
        <w:t>Study</w:t>
      </w:r>
      <w:r w:rsidR="000C28AE">
        <w:t xml:space="preserve"> 103 described above.</w:t>
      </w:r>
    </w:p>
    <w:p w:rsidR="00647228" w:rsidRPr="00647228" w:rsidRDefault="00647228" w:rsidP="000C28AE">
      <w:pPr>
        <w:pStyle w:val="Heading5"/>
      </w:pPr>
      <w:r w:rsidRPr="00647228">
        <w:t>I</w:t>
      </w:r>
      <w:r w:rsidR="000C28AE">
        <w:t>nclusion and exclusion criteria</w:t>
      </w:r>
    </w:p>
    <w:p w:rsidR="00647228" w:rsidRPr="00647228" w:rsidRDefault="00647228" w:rsidP="00647228">
      <w:r w:rsidRPr="00647228">
        <w:t xml:space="preserve">These were identical to those described for </w:t>
      </w:r>
      <w:r w:rsidR="004E6042">
        <w:t>Study</w:t>
      </w:r>
      <w:r w:rsidR="000C28AE">
        <w:t xml:space="preserve"> 103 above.</w:t>
      </w:r>
    </w:p>
    <w:p w:rsidR="00647228" w:rsidRPr="00647228" w:rsidRDefault="000C28AE" w:rsidP="000C28AE">
      <w:pPr>
        <w:pStyle w:val="Heading5"/>
      </w:pPr>
      <w:r>
        <w:t>Study treatments</w:t>
      </w:r>
    </w:p>
    <w:p w:rsidR="00F13E89" w:rsidRPr="00647228" w:rsidRDefault="00647228" w:rsidP="00647228">
      <w:r w:rsidRPr="00647228">
        <w:t xml:space="preserve">These were identical to those described for </w:t>
      </w:r>
      <w:r w:rsidR="004E6042">
        <w:t>Study</w:t>
      </w:r>
      <w:r w:rsidRPr="00647228">
        <w:t xml:space="preserve"> 103 above.</w:t>
      </w:r>
    </w:p>
    <w:p w:rsidR="001607BB" w:rsidRPr="001607BB" w:rsidRDefault="000C28AE" w:rsidP="000C28AE">
      <w:pPr>
        <w:pStyle w:val="Heading5"/>
      </w:pPr>
      <w:r>
        <w:t>Efficacy variables and outcomes</w:t>
      </w:r>
    </w:p>
    <w:p w:rsidR="001607BB" w:rsidRPr="001607BB" w:rsidRDefault="001607BB" w:rsidP="001607BB">
      <w:r w:rsidRPr="001607BB">
        <w:t xml:space="preserve">These were identical to those described for </w:t>
      </w:r>
      <w:r w:rsidR="004E6042">
        <w:t>Study</w:t>
      </w:r>
      <w:r w:rsidR="000C28AE">
        <w:t xml:space="preserve"> 103 above.</w:t>
      </w:r>
    </w:p>
    <w:p w:rsidR="001607BB" w:rsidRPr="001607BB" w:rsidRDefault="001607BB" w:rsidP="000C28AE">
      <w:pPr>
        <w:pStyle w:val="Heading5"/>
      </w:pPr>
      <w:r w:rsidRPr="001607BB">
        <w:t>Ran</w:t>
      </w:r>
      <w:r w:rsidR="000C28AE">
        <w:t>domisation and blinding methods</w:t>
      </w:r>
    </w:p>
    <w:p w:rsidR="001607BB" w:rsidRPr="001607BB" w:rsidRDefault="001607BB" w:rsidP="001607BB">
      <w:r w:rsidRPr="001607BB">
        <w:t xml:space="preserve">These were identical to those described for </w:t>
      </w:r>
      <w:r w:rsidR="004E6042">
        <w:t>Study</w:t>
      </w:r>
      <w:r w:rsidR="000C28AE">
        <w:t xml:space="preserve"> 103 above.</w:t>
      </w:r>
    </w:p>
    <w:p w:rsidR="001607BB" w:rsidRPr="001607BB" w:rsidRDefault="001607BB" w:rsidP="000C28AE">
      <w:pPr>
        <w:pStyle w:val="Heading5"/>
      </w:pPr>
      <w:r w:rsidRPr="001607BB">
        <w:t xml:space="preserve">Analysis populations, sample size and statistical methods </w:t>
      </w:r>
    </w:p>
    <w:p w:rsidR="001607BB" w:rsidRPr="001607BB" w:rsidRDefault="001607BB" w:rsidP="001607BB">
      <w:r w:rsidRPr="001607BB">
        <w:t xml:space="preserve">These were identical to those described for </w:t>
      </w:r>
      <w:r w:rsidR="004E6042">
        <w:t>Study</w:t>
      </w:r>
      <w:r w:rsidR="000C28AE">
        <w:t xml:space="preserve"> 103 above.</w:t>
      </w:r>
    </w:p>
    <w:p w:rsidR="001607BB" w:rsidRPr="001607BB" w:rsidRDefault="000C28AE" w:rsidP="000C28AE">
      <w:pPr>
        <w:pStyle w:val="Heading5"/>
      </w:pPr>
      <w:r>
        <w:t>Participant flow</w:t>
      </w:r>
    </w:p>
    <w:p w:rsidR="001607BB" w:rsidRPr="001607BB" w:rsidRDefault="001607BB" w:rsidP="001607BB">
      <w:r w:rsidRPr="001607BB">
        <w:t>A total of 563 subjects (more than the planned approximately 501 subjects) were random</w:t>
      </w:r>
      <w:r w:rsidR="002D7E74">
        <w:t>ise</w:t>
      </w:r>
      <w:r w:rsidRPr="001607BB">
        <w:t>d; 187, 189 and 187 subjects were random</w:t>
      </w:r>
      <w:r w:rsidR="002D7E74">
        <w:t>ise</w:t>
      </w:r>
      <w:r w:rsidRPr="001607BB">
        <w:t xml:space="preserve">d to the LUM 600 mg qd/IVA 250 mg q12h, LUM 400 mg q12h/IVA 250 mg q12h and placebo treatment groups, respectively. Four subjects discontinued the study before receiving their first dose of study drug and so the FAS included 559 subjects (185, 187 and 187 subjects, respectively). The Safety Set included 1 less subject in </w:t>
      </w:r>
      <w:r w:rsidRPr="001607BB">
        <w:lastRenderedPageBreak/>
        <w:t>the placebo group and 1 additional subject in the LUM 600 mg qd/IVA 250 mg q12h group compared with the FAS because 2 subjects received the wrong study drug during the study. A total of 530 (94.8%) subjects completed study drug treatment. The overall treatment discontinuation rate of 5.2% was lower than anticipated in the protocol. A numerically higher percentage of subjects in the active treatment groups discontinued study drug treatment compared with the placebo group (4.9%, 8%</w:t>
      </w:r>
      <w:r w:rsidR="000C28AE">
        <w:t xml:space="preserve"> </w:t>
      </w:r>
      <w:r w:rsidRPr="001607BB">
        <w:t>and 2,7% in the LUM 600 mg qd/IVA 250 mg q12h, LUM 400 mg q12h/IVA 250 mg q12h and placebo treatment groups, respectively</w:t>
      </w:r>
      <w:r w:rsidR="000C28AE">
        <w:t>)</w:t>
      </w:r>
      <w:r w:rsidRPr="001607BB">
        <w:t xml:space="preserve">. The most common reason for discontinuation from study drug treatment across all 3 treatment groups was an adverse event (19 </w:t>
      </w:r>
      <w:r w:rsidR="004E6042">
        <w:t>(</w:t>
      </w:r>
      <w:r w:rsidRPr="001607BB">
        <w:t>3.4%</w:t>
      </w:r>
      <w:r w:rsidR="004E6042">
        <w:t>)</w:t>
      </w:r>
      <w:r w:rsidRPr="001607BB">
        <w:t xml:space="preserve"> subjects overall) with higher rates in the active treatment groups compared with placebo (3.2%, 5.9% and 1.1%, respectively). Overall 527 (94.3%) subjects entered the rollover </w:t>
      </w:r>
      <w:r w:rsidR="004E6042">
        <w:t>Study</w:t>
      </w:r>
      <w:r w:rsidRPr="001607BB">
        <w:t xml:space="preserve"> 105: 181 (96.8%) subjects in the placebo group, 173 (93.5%) subjects in the LUM 600 mg qd/IVA 250 mg q12h group and 173 (92.5%) subjects in the LUM 400 mg q12h/IVA 250 mg </w:t>
      </w:r>
      <w:r w:rsidR="006E4954">
        <w:t>q12h group.</w:t>
      </w:r>
    </w:p>
    <w:p w:rsidR="001607BB" w:rsidRPr="001607BB" w:rsidRDefault="001607BB" w:rsidP="000C28AE">
      <w:pPr>
        <w:pStyle w:val="Heading5"/>
      </w:pPr>
      <w:r w:rsidRPr="001607BB">
        <w:t>Major</w:t>
      </w:r>
      <w:r w:rsidR="000C28AE">
        <w:t xml:space="preserve"> protocol violations/deviations</w:t>
      </w:r>
    </w:p>
    <w:p w:rsidR="001607BB" w:rsidRPr="001607BB" w:rsidRDefault="001607BB" w:rsidP="001607BB">
      <w:r w:rsidRPr="001607BB">
        <w:t xml:space="preserve">Overall, 16 subjects were excluded from the PPS due to important protocol deviations (5, 6 and 5 subjects in the LUM 600 mg qd/IVA 250 mg q12h, LUM 400 mg q12h/IVA 250 mg q12h and placebo treatment groups, respectively); 10 subjects were excluded due to </w:t>
      </w:r>
      <w:r w:rsidR="00511EB7">
        <w:t xml:space="preserve">&lt; </w:t>
      </w:r>
      <w:r w:rsidRPr="001607BB">
        <w:t>80% treatment compliance and 6 rando</w:t>
      </w:r>
      <w:r w:rsidR="000C28AE">
        <w:t>mised subjects were ineligible.</w:t>
      </w:r>
    </w:p>
    <w:p w:rsidR="001607BB" w:rsidRPr="001607BB" w:rsidRDefault="000C28AE" w:rsidP="000C28AE">
      <w:pPr>
        <w:pStyle w:val="Heading5"/>
      </w:pPr>
      <w:r>
        <w:t>Baseline data</w:t>
      </w:r>
    </w:p>
    <w:p w:rsidR="00F13E89" w:rsidRDefault="001607BB" w:rsidP="001607BB">
      <w:r w:rsidRPr="001607BB">
        <w:t xml:space="preserve">Overall, </w:t>
      </w:r>
      <w:r w:rsidR="00511EB7">
        <w:t xml:space="preserve">&gt; </w:t>
      </w:r>
      <w:r w:rsidRPr="001607BB">
        <w:t xml:space="preserve">99% of subjects were White, </w:t>
      </w:r>
      <w:r w:rsidR="00511EB7">
        <w:t xml:space="preserve">&gt; </w:t>
      </w:r>
      <w:r w:rsidRPr="001607BB">
        <w:t xml:space="preserve">96% were not Hispanic or Latino, </w:t>
      </w:r>
      <w:r w:rsidR="00511EB7">
        <w:t xml:space="preserve">&gt; </w:t>
      </w:r>
      <w:r w:rsidRPr="001607BB">
        <w:t>60% were from North America, and approximately half of the subjects were female. The media</w:t>
      </w:r>
      <w:r w:rsidR="000C28AE">
        <w:t xml:space="preserve">n age was 24.0 years (range: 12 to </w:t>
      </w:r>
      <w:r w:rsidRPr="001607BB">
        <w:t xml:space="preserve">55) with 132 (23.6 %) subjects overall in the 12 to </w:t>
      </w:r>
      <w:r w:rsidR="00511EB7">
        <w:t xml:space="preserve">&lt; </w:t>
      </w:r>
      <w:r w:rsidRPr="001607BB">
        <w:t xml:space="preserve">18 years old subgroup and 427 (76.4%) subjects in the </w:t>
      </w:r>
      <w:r w:rsidR="00A91223">
        <w:t xml:space="preserve">≥ </w:t>
      </w:r>
      <w:r w:rsidRPr="001607BB">
        <w:t xml:space="preserve">18 years old subgroup. The LUM 600 mg qd/IVA 250 mg q12h group had a numerically lower median BMI z-score and median weight z-score compared with the placebo) and the LUM 400 mg q12h/ IVA 250 mg q12h group. The median percent predicted </w:t>
      </w:r>
      <w:r w:rsidR="00A8789D" w:rsidRPr="001D064D">
        <w:t>FEV</w:t>
      </w:r>
      <w:r w:rsidR="00A8789D" w:rsidRPr="00A8789D">
        <w:rPr>
          <w:vertAlign w:val="subscript"/>
        </w:rPr>
        <w:t>1</w:t>
      </w:r>
      <w:r w:rsidRPr="001607BB">
        <w:t>, median percent predicted FVC and the</w:t>
      </w:r>
      <w:r w:rsidR="000C28AE">
        <w:t xml:space="preserve"> median percent predicted FEF25 to </w:t>
      </w:r>
      <w:r w:rsidRPr="001607BB">
        <w:t>75% were similar across all 3 treatment groups. The percentage o</w:t>
      </w:r>
      <w:r w:rsidR="006E4954">
        <w:t>f subjects who received dornase </w:t>
      </w:r>
      <w:r w:rsidRPr="001607BB">
        <w:t>alfa (80.3% overall), any bronchodilator (91.9% overall), and any inhaled corticosteroid (56.2% overall) before the first dose of study drug was similar across all 3 treatment groups. However, the placebo group had slightly higher percentage of patients with the following com</w:t>
      </w:r>
      <w:r w:rsidR="006E4954">
        <w:t xml:space="preserve">pared with the LUM/IVA groups: </w:t>
      </w:r>
      <w:r w:rsidRPr="001607BB">
        <w:t xml:space="preserve">positive </w:t>
      </w:r>
      <w:r w:rsidR="000C28AE" w:rsidRPr="001607BB">
        <w:t>Pseudomonas</w:t>
      </w:r>
      <w:r w:rsidRPr="001607BB">
        <w:t xml:space="preserve"> </w:t>
      </w:r>
      <w:r w:rsidR="000C28AE" w:rsidRPr="001607BB">
        <w:t>aeruginosa</w:t>
      </w:r>
      <w:r w:rsidRPr="001607BB">
        <w:t xml:space="preserve"> status before first dose of study drug; receiving inhaled antibiotics and receiving hypertonic saline before first dose of study drug. The incidence of medical history conditions occurring in at least 15% of subjects in any treatment group was similar across the 3 treatment groups, with some exceptions (difference greater than 5 percentage points); there was higher incidenc</w:t>
      </w:r>
      <w:r w:rsidR="000C28AE">
        <w:t xml:space="preserve">e of history of cystic fibrosis </w:t>
      </w:r>
      <w:r w:rsidRPr="001607BB">
        <w:t>related diabetes, asthma, drug hypersensitivity, rhinitis allergy and distal intestinal obstruction syndrome in the LUM/IVA groups while history of osteopenia was more common in placebo group (</w:t>
      </w:r>
      <w:r w:rsidRPr="004A172F">
        <w:t>Table</w:t>
      </w:r>
      <w:r w:rsidR="000F2965">
        <w:t xml:space="preserve"> 36</w:t>
      </w:r>
      <w:r w:rsidRPr="001607BB">
        <w:t>). All subjects used medication concomitantly with study drug and the most common concomitant medications (incidence of at least 30% of subjects) were indicated for management of CF complications: dornase alfa (80.5%), pancreatin (75.3%), salbutamol (69.9%), sodium chloride (68.3%), azithromycin (67.4%), tobramycin (54.9%), ciprofloxacin (36.5%), Seretide (30.8%), and aztreonam lysine (31.5%). In general, medication use remained stable before and after the subjects received study drug in all 3 treatment groups. For subjects who used inhaled antibiotics before the first dose of study drug, the majority of subjects (</w:t>
      </w:r>
      <w:r w:rsidR="00A91223">
        <w:t xml:space="preserve">≥ </w:t>
      </w:r>
      <w:r w:rsidRPr="001607BB">
        <w:t xml:space="preserve">95.6% for the placebo group versus </w:t>
      </w:r>
      <w:r w:rsidR="00A91223">
        <w:t xml:space="preserve">≥ </w:t>
      </w:r>
      <w:r w:rsidRPr="001607BB">
        <w:t>93.2% for the total LUM/IVA group) continued c</w:t>
      </w:r>
      <w:r w:rsidR="000C28AE">
        <w:t xml:space="preserve">hronic use during the treatment </w:t>
      </w:r>
      <w:r w:rsidRPr="001607BB">
        <w:t>emergent period. For subjects with no prior use of inhaled antibiotics before the first dose of study drug, fewer subjects in the total LUM/IVA group (14.6%) had chronic use of inhaled a</w:t>
      </w:r>
      <w:r w:rsidR="000C28AE">
        <w:t xml:space="preserve">ntibiotics during the treatment </w:t>
      </w:r>
      <w:r w:rsidRPr="001607BB">
        <w:t>emergent period compared with the placebo group (21.6%).</w:t>
      </w:r>
    </w:p>
    <w:p w:rsidR="004A172F" w:rsidRDefault="000F2965" w:rsidP="004A172F">
      <w:pPr>
        <w:pStyle w:val="Tabletitle"/>
      </w:pPr>
      <w:proofErr w:type="gramStart"/>
      <w:r>
        <w:lastRenderedPageBreak/>
        <w:t>Table 36.</w:t>
      </w:r>
      <w:proofErr w:type="gramEnd"/>
      <w:r w:rsidR="004A172F">
        <w:t xml:space="preserve"> Study 104 Medical </w:t>
      </w:r>
      <w:proofErr w:type="gramStart"/>
      <w:r w:rsidR="004A172F">
        <w:t>history</w:t>
      </w:r>
      <w:proofErr w:type="gramEnd"/>
      <w:r w:rsidR="004A172F">
        <w:t xml:space="preserve"> with an incidence of at least 15% of subjects by preferred term in any treatment group full analysis set</w:t>
      </w:r>
    </w:p>
    <w:p w:rsidR="004A172F" w:rsidRPr="004A172F" w:rsidRDefault="004A172F" w:rsidP="004A172F">
      <w:r>
        <w:rPr>
          <w:noProof/>
          <w:lang w:eastAsia="en-AU"/>
        </w:rPr>
        <w:drawing>
          <wp:inline distT="0" distB="0" distL="0" distR="0" wp14:anchorId="7751F3B6" wp14:editId="1DFF8FB8">
            <wp:extent cx="5453183" cy="5288889"/>
            <wp:effectExtent l="0" t="0" r="0" b="7620"/>
            <wp:docPr id="42" name="Picture 42" descr="Table 36. Study 104 Medical history with an incidence of at least 15% of subjects by preferred term in any treatment group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459658" cy="5295169"/>
                    </a:xfrm>
                    <a:prstGeom prst="rect">
                      <a:avLst/>
                    </a:prstGeom>
                  </pic:spPr>
                </pic:pic>
              </a:graphicData>
            </a:graphic>
          </wp:inline>
        </w:drawing>
      </w:r>
    </w:p>
    <w:p w:rsidR="001607BB" w:rsidRPr="001607BB" w:rsidRDefault="001607BB" w:rsidP="001607BB">
      <w:r w:rsidRPr="001607BB">
        <w:t xml:space="preserve">The mean study drug compliance was </w:t>
      </w:r>
      <w:r w:rsidR="00511EB7">
        <w:t xml:space="preserve">&gt; </w:t>
      </w:r>
      <w:r w:rsidRPr="001607BB">
        <w:t xml:space="preserve">98% in all 3 treatment groups and was similar between the total LUM/IVA group and the placebo group. The proportion of subjects with </w:t>
      </w:r>
      <w:r w:rsidR="00511EB7">
        <w:t xml:space="preserve">&lt; </w:t>
      </w:r>
      <w:r w:rsidRPr="001607BB">
        <w:t xml:space="preserve">80% study drug compliance was low in general: 1.6% in the total LUM/IVA group and 2.1% in the placebo group. Ten subjects (4 </w:t>
      </w:r>
      <w:r w:rsidR="004E6042">
        <w:t>(</w:t>
      </w:r>
      <w:r w:rsidRPr="001607BB">
        <w:t>2.1%</w:t>
      </w:r>
      <w:r w:rsidR="004E6042">
        <w:t>)</w:t>
      </w:r>
      <w:r w:rsidRPr="001607BB">
        <w:t xml:space="preserve"> subjects in the placebo group, 4 </w:t>
      </w:r>
      <w:r w:rsidR="004E6042">
        <w:t>(</w:t>
      </w:r>
      <w:r w:rsidRPr="001607BB">
        <w:t>2.2%</w:t>
      </w:r>
      <w:r w:rsidR="004E6042">
        <w:t>)</w:t>
      </w:r>
      <w:r w:rsidRPr="001607BB">
        <w:t xml:space="preserve"> subjects in the LUM 600 mg qd/IVA 250 mg q12h group, and 2 </w:t>
      </w:r>
      <w:r w:rsidR="004E6042">
        <w:t>(</w:t>
      </w:r>
      <w:r w:rsidRPr="001607BB">
        <w:t>1.1%</w:t>
      </w:r>
      <w:r w:rsidR="004E6042">
        <w:t>)</w:t>
      </w:r>
      <w:r w:rsidRPr="001607BB">
        <w:t xml:space="preserve"> subjects in the LUM 400 mg q12h/IVA 250 mg q12h group) had </w:t>
      </w:r>
      <w:r w:rsidR="00511EB7">
        <w:t xml:space="preserve">&lt; </w:t>
      </w:r>
      <w:r w:rsidRPr="001607BB">
        <w:t xml:space="preserve">80% overall study drug compliance rate. Treatment interruptions </w:t>
      </w:r>
      <w:r w:rsidR="00A91223">
        <w:t xml:space="preserve">≥ </w:t>
      </w:r>
      <w:r w:rsidRPr="001607BB">
        <w:t xml:space="preserve">3 days occurred in a small proportion of subjects in each treatment group: 21 (11.23%) subjects in the placebo group, 17 (9.19%) subjects in the LUM 600 mg qd/IVA 250 mg q12h group, and 16 (8.56%) subjects in the LUM 400 mg q12h/IVA 250 mg </w:t>
      </w:r>
      <w:r w:rsidR="000C28AE">
        <w:t>q12h group.</w:t>
      </w:r>
    </w:p>
    <w:p w:rsidR="001607BB" w:rsidRPr="001607BB" w:rsidRDefault="001607BB" w:rsidP="000C28AE">
      <w:pPr>
        <w:pStyle w:val="Heading5"/>
      </w:pPr>
      <w:r w:rsidRPr="001607BB">
        <w:t>Results f</w:t>
      </w:r>
      <w:r w:rsidR="000C28AE">
        <w:t>or the primary efficacy outcome</w:t>
      </w:r>
    </w:p>
    <w:p w:rsidR="001607BB" w:rsidRDefault="000C28AE" w:rsidP="001607BB">
      <w:r>
        <w:t xml:space="preserve">The within </w:t>
      </w:r>
      <w:r w:rsidR="001607BB" w:rsidRPr="001607BB">
        <w:t xml:space="preserve">group LS mean average absolute change from baseline in percent predicted </w:t>
      </w:r>
      <w:r w:rsidR="00A8789D" w:rsidRPr="001D064D">
        <w:t>FEV</w:t>
      </w:r>
      <w:r w:rsidR="00A8789D" w:rsidRPr="00A8789D">
        <w:rPr>
          <w:vertAlign w:val="subscript"/>
        </w:rPr>
        <w:t>1</w:t>
      </w:r>
      <w:r w:rsidR="001607BB" w:rsidRPr="001607BB">
        <w:t xml:space="preserve"> at Week 16 and at Week 24 was greater for the LUM 600 mg qd/ IVA 250 mg q12h group (2.46</w:t>
      </w:r>
      <w:r w:rsidR="001607BB">
        <w:t xml:space="preserve"> </w:t>
      </w:r>
      <w:r w:rsidR="001607BB" w:rsidRPr="001607BB">
        <w:t>percentage points) and the LUM 400 mg q12h/ IVA 250 mg q12h group (2.85 percentage points) compared with the place</w:t>
      </w:r>
      <w:r>
        <w:t>bo group (</w:t>
      </w:r>
      <w:r>
        <w:noBreakHyphen/>
      </w:r>
      <w:r w:rsidR="001607BB" w:rsidRPr="001607BB">
        <w:t>0.15 percentage points). Compared to placebo, statistically significantly greater improvements were observed for both LUM 600 mg qd/IVA 250 mg q12h (treatment diff</w:t>
      </w:r>
      <w:r w:rsidR="00511EB7">
        <w:t xml:space="preserve"> =</w:t>
      </w:r>
      <w:r w:rsidR="00661535">
        <w:t xml:space="preserve"> </w:t>
      </w:r>
      <w:r w:rsidR="001607BB" w:rsidRPr="001607BB">
        <w:t xml:space="preserve">2.62 percentage points, 95% CI: 1.18, 4.06; </w:t>
      </w:r>
      <w:r w:rsidR="00CC3BC8">
        <w:t>p</w:t>
      </w:r>
      <w:r w:rsidR="00511EB7">
        <w:t xml:space="preserve"> = </w:t>
      </w:r>
      <w:r w:rsidR="001607BB" w:rsidRPr="001607BB">
        <w:t>0.0004) and LUM 400 mg q12h/ IVA 250 mg q12h (treatment diff</w:t>
      </w:r>
      <w:r w:rsidR="00511EB7">
        <w:t xml:space="preserve"> =</w:t>
      </w:r>
      <w:r w:rsidR="00661535">
        <w:t xml:space="preserve"> </w:t>
      </w:r>
      <w:r w:rsidR="001607BB" w:rsidRPr="001607BB">
        <w:t xml:space="preserve">3.00 percentage points, 95% CI: 1.56, 4.44, </w:t>
      </w:r>
      <w:r>
        <w:lastRenderedPageBreak/>
        <w:t>p </w:t>
      </w:r>
      <w:r w:rsidR="001C171F">
        <w:t>&lt;</w:t>
      </w:r>
      <w:r>
        <w:t> </w:t>
      </w:r>
      <w:r w:rsidR="001607BB" w:rsidRPr="001607BB">
        <w:t>0.0001) groups. These results were confirmed in the PPS analysis (</w:t>
      </w:r>
      <w:r w:rsidR="000F2965">
        <w:t>Table 37</w:t>
      </w:r>
      <w:r w:rsidR="001607BB" w:rsidRPr="001607BB">
        <w:t xml:space="preserve">). For both active treatment groups, statistically significant mean absolute improvements in percent predicted </w:t>
      </w:r>
      <w:r w:rsidR="00A8789D" w:rsidRPr="001D064D">
        <w:t>FEV</w:t>
      </w:r>
      <w:r w:rsidR="00A8789D" w:rsidRPr="00A8789D">
        <w:rPr>
          <w:vertAlign w:val="subscript"/>
        </w:rPr>
        <w:t>1</w:t>
      </w:r>
      <w:r w:rsidR="001607BB" w:rsidRPr="001607BB">
        <w:t xml:space="preserve"> were observed as early as Day 15 and were consistent and sustained across all visits during the treatment period (</w:t>
      </w:r>
      <w:r w:rsidR="001607BB" w:rsidRPr="00F042D0">
        <w:t xml:space="preserve">Table </w:t>
      </w:r>
      <w:r w:rsidR="000F2965">
        <w:t>38</w:t>
      </w:r>
      <w:r w:rsidR="001607BB" w:rsidRPr="001607BB">
        <w:t xml:space="preserve">). The percentage of responders with </w:t>
      </w:r>
      <w:r w:rsidR="00A91223">
        <w:t xml:space="preserve">≥ </w:t>
      </w:r>
      <w:r w:rsidR="001607BB" w:rsidRPr="001607BB">
        <w:t xml:space="preserve">3 percentage point increase in the average absolute change from baseline in percent predicted </w:t>
      </w:r>
      <w:r w:rsidR="00A8789D" w:rsidRPr="001D064D">
        <w:t>FEV</w:t>
      </w:r>
      <w:r w:rsidR="00A8789D" w:rsidRPr="00A8789D">
        <w:rPr>
          <w:vertAlign w:val="subscript"/>
        </w:rPr>
        <w:t>1</w:t>
      </w:r>
      <w:r w:rsidR="001607BB" w:rsidRPr="001607BB">
        <w:t xml:space="preserve"> at Week 16 and at Week 24was higher in the LUM 600 mg qd/IVA 250 mg q12h group (46.5%) and the LUM 400 mg q12h/ IVA 250 mg q12h group (42.2%) compared with the placebo group (21.9%). The odds ratio for the LUM 600 mg qd/IVA 250 mg q12h group versus the placebo group was 3.1409 (95% CI: 1.9916, 4.9536; </w:t>
      </w:r>
      <w:r w:rsidR="001C171F">
        <w:t>p &lt;</w:t>
      </w:r>
      <w:r w:rsidR="00511EB7">
        <w:t xml:space="preserve"> </w:t>
      </w:r>
      <w:r w:rsidR="001607BB" w:rsidRPr="001607BB">
        <w:t xml:space="preserve">0.0001). The odds ratio for LUM 400 mg q12h/ IVA 250 mg q12h group versus the placebo group was 2.5765 (95% CI: 1.6426, 4.0413; </w:t>
      </w:r>
      <w:r w:rsidR="001C171F">
        <w:t>p &lt;</w:t>
      </w:r>
      <w:r w:rsidR="00511EB7">
        <w:t xml:space="preserve"> </w:t>
      </w:r>
      <w:r w:rsidR="001607BB" w:rsidRPr="001607BB">
        <w:t xml:space="preserve">0.0001).The observed trends were similar and favoured lumacaftor in combination with ivacaftor treatment for response defined as </w:t>
      </w:r>
      <w:r w:rsidR="00A91223">
        <w:t xml:space="preserve">≥ </w:t>
      </w:r>
      <w:r w:rsidR="001607BB" w:rsidRPr="001607BB">
        <w:t>5 percentage point (30.8%, 29</w:t>
      </w:r>
      <w:r w:rsidR="00D13AF6">
        <w:t>.9% and 12.8% in the LUM 600 mg </w:t>
      </w:r>
      <w:r w:rsidR="001607BB" w:rsidRPr="001607BB">
        <w:t xml:space="preserve">qd/IVA 250 mg q12h, LUM 400 mg q12h/IVA 250 mg q12h and placebo groups, respectively) and </w:t>
      </w:r>
      <w:r w:rsidR="00A91223">
        <w:t xml:space="preserve">≥ </w:t>
      </w:r>
      <w:r w:rsidR="001607BB" w:rsidRPr="001607BB">
        <w:t xml:space="preserve">10 percentage point (13%, 13.4% and 5.9%, respectively) average absolute increase (Table 7.2.9, p315). Robustness of the primary analyses </w:t>
      </w:r>
      <w:r w:rsidR="008125B9" w:rsidRPr="001607BB">
        <w:t>w</w:t>
      </w:r>
      <w:r w:rsidR="008125B9">
        <w:t>as</w:t>
      </w:r>
      <w:r w:rsidR="008125B9" w:rsidRPr="001607BB">
        <w:t xml:space="preserve"> </w:t>
      </w:r>
      <w:r w:rsidR="001607BB" w:rsidRPr="001607BB">
        <w:t>confirmed by similar re</w:t>
      </w:r>
      <w:r>
        <w:t>sults in the two sensitivity</w:t>
      </w:r>
      <w:r w:rsidR="00AE3814">
        <w:rPr>
          <w:rStyle w:val="FootnoteReference"/>
        </w:rPr>
        <w:footnoteReference w:id="14"/>
      </w:r>
      <w:r w:rsidR="001607BB" w:rsidRPr="001607BB">
        <w:t xml:space="preserve"> analyses (</w:t>
      </w:r>
      <w:r w:rsidR="001607BB" w:rsidRPr="00F042D0">
        <w:t xml:space="preserve">Table </w:t>
      </w:r>
      <w:r w:rsidR="007A0321">
        <w:t>39)</w:t>
      </w:r>
      <w:r>
        <w:t>.</w:t>
      </w:r>
    </w:p>
    <w:p w:rsidR="004A172F" w:rsidRDefault="000F2965" w:rsidP="004A172F">
      <w:pPr>
        <w:pStyle w:val="Tabletitle"/>
      </w:pPr>
      <w:proofErr w:type="gramStart"/>
      <w:r>
        <w:lastRenderedPageBreak/>
        <w:t>Table 37.</w:t>
      </w:r>
      <w:proofErr w:type="gramEnd"/>
      <w:r>
        <w:t xml:space="preserve"> </w:t>
      </w:r>
      <w:r w:rsidR="004A172F">
        <w:t>MMRM Analysis of average absolute change from baseline percent predicted FEV1 at Week 16 and Week 25 Full Analysis set and per protocol set</w:t>
      </w:r>
    </w:p>
    <w:p w:rsidR="004A172F" w:rsidRDefault="004A172F" w:rsidP="004A172F">
      <w:r>
        <w:rPr>
          <w:noProof/>
          <w:lang w:eastAsia="en-AU"/>
        </w:rPr>
        <w:drawing>
          <wp:inline distT="0" distB="0" distL="0" distR="0" wp14:anchorId="70395065" wp14:editId="61CE28A0">
            <wp:extent cx="4930427" cy="6100877"/>
            <wp:effectExtent l="0" t="0" r="3810" b="0"/>
            <wp:docPr id="48" name="Picture 48" descr="Table 37. MMRM Analysis of average absolute change from baseline percent predicted FEV1 at Week 16 and Week 25 Full Analysis set and per protocol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4933002" cy="6104063"/>
                    </a:xfrm>
                    <a:prstGeom prst="rect">
                      <a:avLst/>
                    </a:prstGeom>
                  </pic:spPr>
                </pic:pic>
              </a:graphicData>
            </a:graphic>
          </wp:inline>
        </w:drawing>
      </w:r>
    </w:p>
    <w:p w:rsidR="00F042D0" w:rsidRDefault="000F2965" w:rsidP="00F042D0">
      <w:pPr>
        <w:pStyle w:val="Tabletitle"/>
      </w:pPr>
      <w:proofErr w:type="gramStart"/>
      <w:r>
        <w:lastRenderedPageBreak/>
        <w:t>Table 38.</w:t>
      </w:r>
      <w:proofErr w:type="gramEnd"/>
      <w:r>
        <w:t xml:space="preserve"> </w:t>
      </w:r>
      <w:r w:rsidR="00F042D0">
        <w:t>Study 104 MMRM analysis of absolute change from baseline in percent predicted FEV1 at each visit full analysis set</w:t>
      </w:r>
    </w:p>
    <w:p w:rsidR="00F042D0" w:rsidRDefault="00F042D0" w:rsidP="00F042D0">
      <w:r>
        <w:rPr>
          <w:noProof/>
          <w:lang w:eastAsia="en-AU"/>
        </w:rPr>
        <w:drawing>
          <wp:inline distT="0" distB="0" distL="0" distR="0" wp14:anchorId="3CF97E95" wp14:editId="4A79E8A7">
            <wp:extent cx="4981575" cy="6772275"/>
            <wp:effectExtent l="0" t="0" r="9525" b="9525"/>
            <wp:docPr id="50" name="Picture 50" descr="Table 38. Study 104 MMRM analysis of absolute change from baseline in percent predicted FEV1 at each visit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BEBA8EAE-BF5A-486C-A8C5-ECC9F3942E4B}">
                          <a14:imgProps xmlns:a14="http://schemas.microsoft.com/office/drawing/2010/main">
                            <a14:imgLayer r:embed="rId66">
                              <a14:imgEffect>
                                <a14:sharpenSoften amount="25000"/>
                              </a14:imgEffect>
                            </a14:imgLayer>
                          </a14:imgProps>
                        </a:ext>
                      </a:extLst>
                    </a:blip>
                    <a:stretch>
                      <a:fillRect/>
                    </a:stretch>
                  </pic:blipFill>
                  <pic:spPr>
                    <a:xfrm>
                      <a:off x="0" y="0"/>
                      <a:ext cx="4981575" cy="6772275"/>
                    </a:xfrm>
                    <a:prstGeom prst="rect">
                      <a:avLst/>
                    </a:prstGeom>
                  </pic:spPr>
                </pic:pic>
              </a:graphicData>
            </a:graphic>
          </wp:inline>
        </w:drawing>
      </w:r>
    </w:p>
    <w:p w:rsidR="00F042D0" w:rsidRDefault="00D13AF6" w:rsidP="00F042D0">
      <w:pPr>
        <w:pStyle w:val="Tabletitle"/>
      </w:pPr>
      <w:proofErr w:type="gramStart"/>
      <w:r>
        <w:lastRenderedPageBreak/>
        <w:t>Table 39.</w:t>
      </w:r>
      <w:proofErr w:type="gramEnd"/>
      <w:r>
        <w:t xml:space="preserve"> </w:t>
      </w:r>
      <w:r w:rsidR="007A0321">
        <w:t>Sensitivity analysis</w:t>
      </w:r>
      <w:r w:rsidR="00F042D0">
        <w:t>: average absolute change from baseline in percent predicted FEV1 at week 16 and at Week 24 full analysis set</w:t>
      </w:r>
    </w:p>
    <w:p w:rsidR="00F042D0" w:rsidRDefault="00F042D0" w:rsidP="00F042D0">
      <w:r w:rsidRPr="00F042D0">
        <w:rPr>
          <w:noProof/>
          <w:lang w:eastAsia="en-AU"/>
        </w:rPr>
        <w:drawing>
          <wp:inline distT="0" distB="0" distL="0" distR="0" wp14:anchorId="41DF364B" wp14:editId="2B32BD1B">
            <wp:extent cx="5275002" cy="6261811"/>
            <wp:effectExtent l="0" t="0" r="1905" b="5715"/>
            <wp:docPr id="51" name="Picture 51" descr="Table 39.  Sensitivity analysis: average absolute change from baseline in percent predicted FEV1 at week 16 and at Week 24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275454" cy="6262348"/>
                    </a:xfrm>
                    <a:prstGeom prst="rect">
                      <a:avLst/>
                    </a:prstGeom>
                  </pic:spPr>
                </pic:pic>
              </a:graphicData>
            </a:graphic>
          </wp:inline>
        </w:drawing>
      </w:r>
    </w:p>
    <w:p w:rsidR="001607BB" w:rsidRPr="001607BB" w:rsidRDefault="001607BB" w:rsidP="00F042D0">
      <w:pPr>
        <w:pStyle w:val="Heading5"/>
      </w:pPr>
      <w:r w:rsidRPr="001607BB">
        <w:t>Resu</w:t>
      </w:r>
      <w:r w:rsidR="000C28AE">
        <w:t>lts for other efficacy outcomes</w:t>
      </w:r>
    </w:p>
    <w:p w:rsidR="001607BB" w:rsidRPr="001607BB" w:rsidRDefault="001607BB" w:rsidP="000C28AE">
      <w:pPr>
        <w:pStyle w:val="Heading6"/>
      </w:pPr>
      <w:r w:rsidRPr="001607BB">
        <w:t>K</w:t>
      </w:r>
      <w:r w:rsidR="000C28AE">
        <w:t>ey secondary efficacy outcomes</w:t>
      </w:r>
    </w:p>
    <w:p w:rsidR="001607BB" w:rsidRPr="000C28AE" w:rsidRDefault="001607BB" w:rsidP="000C28AE">
      <w:pPr>
        <w:pStyle w:val="Heading7"/>
        <w:rPr>
          <w:sz w:val="20"/>
          <w:szCs w:val="20"/>
        </w:rPr>
      </w:pPr>
      <w:r w:rsidRPr="000C28AE">
        <w:rPr>
          <w:sz w:val="20"/>
          <w:szCs w:val="20"/>
        </w:rPr>
        <w:t>Relative change from bas</w:t>
      </w:r>
      <w:r w:rsidR="000C28AE" w:rsidRPr="000C28AE">
        <w:rPr>
          <w:sz w:val="20"/>
          <w:szCs w:val="20"/>
        </w:rPr>
        <w:t xml:space="preserve">eline in percent predicted </w:t>
      </w:r>
      <w:r w:rsidR="00A8789D" w:rsidRPr="001D064D">
        <w:t>FEV</w:t>
      </w:r>
      <w:r w:rsidR="00A8789D" w:rsidRPr="00A8789D">
        <w:rPr>
          <w:vertAlign w:val="subscript"/>
        </w:rPr>
        <w:t>1</w:t>
      </w:r>
    </w:p>
    <w:p w:rsidR="001607BB" w:rsidRPr="001607BB" w:rsidRDefault="001607BB" w:rsidP="001607BB">
      <w:r w:rsidRPr="001607BB">
        <w:t xml:space="preserve">The within-group LS mean average relative change from baseline in percent predicted </w:t>
      </w:r>
      <w:r w:rsidR="00A8789D" w:rsidRPr="001D064D">
        <w:t>FEV</w:t>
      </w:r>
      <w:r w:rsidR="00A8789D" w:rsidRPr="00A8789D">
        <w:rPr>
          <w:vertAlign w:val="subscript"/>
        </w:rPr>
        <w:t>1</w:t>
      </w:r>
      <w:r w:rsidRPr="001607BB">
        <w:t xml:space="preserve"> at Week 16 and at Week 24 was greater in the LUM 600 mg qd/ IVA 250 mg q12h group (4.42%) and the LUM 400 mg q12h/IVA 250 mg q12h group (5.25%) compared with the placebo group (0.00%). Compared to placebo, statistically significantly greater improvements were observed for both LUM 600 mg qd/IVA 250 mg q12h (treatment diff</w:t>
      </w:r>
      <w:r w:rsidR="00511EB7">
        <w:t xml:space="preserve"> =</w:t>
      </w:r>
      <w:r w:rsidR="00661535">
        <w:t xml:space="preserve"> </w:t>
      </w:r>
      <w:r w:rsidRPr="001607BB">
        <w:t xml:space="preserve">4.42%, 95% CI: 1.86, 6.98; </w:t>
      </w:r>
      <w:r w:rsidR="00CC3BC8">
        <w:t>p</w:t>
      </w:r>
      <w:r w:rsidR="00511EB7">
        <w:t xml:space="preserve"> = </w:t>
      </w:r>
      <w:r w:rsidRPr="001607BB">
        <w:t>0.0007) and LUM 400 mg q12h/ IVA 250 mg q12h (treatment diff</w:t>
      </w:r>
      <w:r w:rsidR="00511EB7">
        <w:t xml:space="preserve"> = </w:t>
      </w:r>
      <w:r w:rsidRPr="001607BB">
        <w:t xml:space="preserve">5.25%, 95% CI: 2.69, 7.81; </w:t>
      </w:r>
      <w:r w:rsidR="00CC3BC8">
        <w:t>p</w:t>
      </w:r>
      <w:r w:rsidR="00977809">
        <w:t> </w:t>
      </w:r>
      <w:r w:rsidR="00511EB7">
        <w:t xml:space="preserve">&lt; </w:t>
      </w:r>
      <w:r w:rsidRPr="001607BB">
        <w:t xml:space="preserve">0.0001 ) groups. These results were also confirmed in the PPS analysis. For both active treatment groups, statistically significant mean relative improvements in percent predicted </w:t>
      </w:r>
      <w:r w:rsidR="00A8789D" w:rsidRPr="001D064D">
        <w:lastRenderedPageBreak/>
        <w:t>FEV</w:t>
      </w:r>
      <w:r w:rsidR="00A8789D" w:rsidRPr="00A8789D">
        <w:rPr>
          <w:vertAlign w:val="subscript"/>
        </w:rPr>
        <w:t>1</w:t>
      </w:r>
      <w:r w:rsidRPr="001607BB">
        <w:t xml:space="preserve"> were observed as early as Day 15 and were consistent and sustained across all visits during the treatment period.</w:t>
      </w:r>
    </w:p>
    <w:p w:rsidR="001607BB" w:rsidRPr="00977809" w:rsidRDefault="001607BB" w:rsidP="00977809">
      <w:pPr>
        <w:pStyle w:val="Heading7"/>
        <w:rPr>
          <w:sz w:val="20"/>
          <w:szCs w:val="20"/>
        </w:rPr>
      </w:pPr>
      <w:r w:rsidRPr="00977809">
        <w:rPr>
          <w:sz w:val="20"/>
          <w:szCs w:val="20"/>
        </w:rPr>
        <w:t>Absolu</w:t>
      </w:r>
      <w:r w:rsidR="00977809">
        <w:rPr>
          <w:sz w:val="20"/>
          <w:szCs w:val="20"/>
        </w:rPr>
        <w:t>te change from baseline in BMI</w:t>
      </w:r>
    </w:p>
    <w:p w:rsidR="001607BB" w:rsidRDefault="00977809" w:rsidP="001607BB">
      <w:r>
        <w:t xml:space="preserve">The within </w:t>
      </w:r>
      <w:r w:rsidR="001607BB" w:rsidRPr="001607BB">
        <w:t>group LS mean absolute change from baseline in BMI at Week 24 was greater in the LUM 600 mg qd/IVA 250 mg q12h group (0.48 kg/</w:t>
      </w:r>
      <w:r w:rsidR="00D933A6" w:rsidRPr="00EB7717">
        <w:t>m</w:t>
      </w:r>
      <w:r w:rsidR="00D933A6" w:rsidRPr="00D933A6">
        <w:rPr>
          <w:vertAlign w:val="superscript"/>
        </w:rPr>
        <w:t>2</w:t>
      </w:r>
      <w:r w:rsidR="001607BB" w:rsidRPr="001607BB">
        <w:t>) and the LUM 400 mg q12h/IVA 250 mg q12h group (0.43 kg/</w:t>
      </w:r>
      <w:r w:rsidR="00D933A6" w:rsidRPr="00EB7717">
        <w:t>m</w:t>
      </w:r>
      <w:r w:rsidR="00D933A6" w:rsidRPr="00D933A6">
        <w:rPr>
          <w:vertAlign w:val="superscript"/>
        </w:rPr>
        <w:t>2</w:t>
      </w:r>
      <w:r w:rsidR="001607BB" w:rsidRPr="001607BB">
        <w:t>) compared with the placebo group (0.07 kg/</w:t>
      </w:r>
      <w:r w:rsidR="00D933A6" w:rsidRPr="00EB7717">
        <w:t>m</w:t>
      </w:r>
      <w:r w:rsidR="00D933A6" w:rsidRPr="00D933A6">
        <w:rPr>
          <w:vertAlign w:val="superscript"/>
        </w:rPr>
        <w:t>2</w:t>
      </w:r>
      <w:r w:rsidR="001607BB" w:rsidRPr="001607BB">
        <w:t>). Compared to placebo, statistically significantly greater improvements were observed for both LUM 600 mg qd/IVA 250 mg q12h (treatment diff</w:t>
      </w:r>
      <w:r w:rsidR="00511EB7">
        <w:t xml:space="preserve"> =</w:t>
      </w:r>
      <w:r w:rsidR="00661535">
        <w:t xml:space="preserve"> </w:t>
      </w:r>
      <w:r w:rsidR="001607BB" w:rsidRPr="001607BB">
        <w:t>0.41 kg/</w:t>
      </w:r>
      <w:r w:rsidR="00D933A6" w:rsidRPr="00EB7717">
        <w:t>m</w:t>
      </w:r>
      <w:r w:rsidR="00D933A6" w:rsidRPr="00D933A6">
        <w:rPr>
          <w:vertAlign w:val="superscript"/>
        </w:rPr>
        <w:t>2</w:t>
      </w:r>
      <w:r w:rsidR="001607BB" w:rsidRPr="001607BB">
        <w:t xml:space="preserve">, 95% CI: 0.23, 0.59; </w:t>
      </w:r>
      <w:r w:rsidR="001C171F">
        <w:t>p &lt;</w:t>
      </w:r>
      <w:r w:rsidR="00511EB7">
        <w:t xml:space="preserve"> </w:t>
      </w:r>
      <w:r w:rsidR="001607BB" w:rsidRPr="001607BB">
        <w:t>0.0001) and LUM 400 mg q12h/ IVA 250 mg q12h (treatment diff</w:t>
      </w:r>
      <w:r w:rsidR="00511EB7">
        <w:t xml:space="preserve"> = </w:t>
      </w:r>
      <w:r w:rsidR="001607BB" w:rsidRPr="001607BB">
        <w:t>0.36 kg/</w:t>
      </w:r>
      <w:r w:rsidR="00D933A6" w:rsidRPr="00EB7717">
        <w:t>m</w:t>
      </w:r>
      <w:r w:rsidR="00D933A6" w:rsidRPr="00D933A6">
        <w:rPr>
          <w:vertAlign w:val="superscript"/>
        </w:rPr>
        <w:t>2</w:t>
      </w:r>
      <w:r w:rsidR="001607BB" w:rsidRPr="001607BB">
        <w:t xml:space="preserve">, 95% CI: 0.17, 0.54; </w:t>
      </w:r>
      <w:r w:rsidR="00CC3BC8">
        <w:t>p</w:t>
      </w:r>
      <w:r w:rsidR="001607BB" w:rsidRPr="001607BB">
        <w:t xml:space="preserve"> </w:t>
      </w:r>
      <w:r w:rsidR="00511EB7">
        <w:t xml:space="preserve">&lt; </w:t>
      </w:r>
      <w:r w:rsidR="00BD60DF">
        <w:t xml:space="preserve">0.0001 ) groups. </w:t>
      </w:r>
      <w:r w:rsidR="001607BB" w:rsidRPr="001607BB">
        <w:t>When analysed as the treatment differences versus the placebo group, statistically significant improvements in BMI were observed in the LUM 600 mg qd/IVA 250 mg q12h group beginning at Week 8 (</w:t>
      </w:r>
      <w:r w:rsidR="00CC3BC8">
        <w:t>p</w:t>
      </w:r>
      <w:r w:rsidR="00661535">
        <w:t xml:space="preserve"> </w:t>
      </w:r>
      <w:r w:rsidR="00511EB7">
        <w:t>=</w:t>
      </w:r>
      <w:r w:rsidR="00661535">
        <w:t xml:space="preserve"> </w:t>
      </w:r>
      <w:r w:rsidR="001607BB" w:rsidRPr="001607BB">
        <w:t>0.0024), and in the LUM 400 mg q12h/IVA 250 mg q12h group beginning at Week 16 (</w:t>
      </w:r>
      <w:r w:rsidR="00CC3BC8">
        <w:t>p</w:t>
      </w:r>
      <w:r w:rsidR="00661535">
        <w:t xml:space="preserve"> </w:t>
      </w:r>
      <w:r w:rsidR="00511EB7">
        <w:t>=</w:t>
      </w:r>
      <w:r w:rsidR="00661535">
        <w:t xml:space="preserve"> </w:t>
      </w:r>
      <w:r w:rsidR="001607BB" w:rsidRPr="001607BB">
        <w:t xml:space="preserve">0.0037). BMI continued to increase through all time points in both active treatment groups </w:t>
      </w:r>
      <w:r w:rsidR="001607BB" w:rsidRPr="007A0321">
        <w:t xml:space="preserve">(Figure </w:t>
      </w:r>
      <w:r w:rsidR="007A0321" w:rsidRPr="007A0321">
        <w:t>12</w:t>
      </w:r>
      <w:r>
        <w:t>).</w:t>
      </w:r>
    </w:p>
    <w:p w:rsidR="00BD60DF" w:rsidRDefault="007A0321" w:rsidP="00BC7036">
      <w:pPr>
        <w:pStyle w:val="FigureTitle"/>
      </w:pPr>
      <w:proofErr w:type="gramStart"/>
      <w:r>
        <w:t>Figure 12.</w:t>
      </w:r>
      <w:proofErr w:type="gramEnd"/>
      <w:r>
        <w:t xml:space="preserve"> </w:t>
      </w:r>
      <w:r w:rsidR="00BC7036">
        <w:t>Absolute change from baseline in BMI (kg/m</w:t>
      </w:r>
      <w:r w:rsidR="00BC7036" w:rsidRPr="00BC7036">
        <w:rPr>
          <w:vertAlign w:val="superscript"/>
        </w:rPr>
        <w:t>2</w:t>
      </w:r>
      <w:r w:rsidR="00BC7036">
        <w:t>) at each visit full analysis set</w:t>
      </w:r>
    </w:p>
    <w:p w:rsidR="00BC7036" w:rsidRPr="00BC7036" w:rsidRDefault="00BC7036" w:rsidP="00BC7036">
      <w:r>
        <w:rPr>
          <w:noProof/>
          <w:lang w:eastAsia="en-AU"/>
        </w:rPr>
        <w:drawing>
          <wp:inline distT="0" distB="0" distL="0" distR="0" wp14:anchorId="548D70D3" wp14:editId="512E3B73">
            <wp:extent cx="5731510" cy="2606735"/>
            <wp:effectExtent l="0" t="0" r="2540" b="3175"/>
            <wp:docPr id="52" name="Picture 52" descr="Figure 12. Absolute change from baseline in BMI (kg/m2) at each visit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731510" cy="2606735"/>
                    </a:xfrm>
                    <a:prstGeom prst="rect">
                      <a:avLst/>
                    </a:prstGeom>
                  </pic:spPr>
                </pic:pic>
              </a:graphicData>
            </a:graphic>
          </wp:inline>
        </w:drawing>
      </w:r>
    </w:p>
    <w:p w:rsidR="001607BB" w:rsidRPr="00977809" w:rsidRDefault="001607BB" w:rsidP="00977809">
      <w:pPr>
        <w:pStyle w:val="Heading7"/>
        <w:rPr>
          <w:sz w:val="20"/>
          <w:szCs w:val="20"/>
        </w:rPr>
      </w:pPr>
      <w:r w:rsidRPr="00977809">
        <w:rPr>
          <w:sz w:val="20"/>
          <w:szCs w:val="20"/>
        </w:rPr>
        <w:t xml:space="preserve">Absolute </w:t>
      </w:r>
      <w:r w:rsidR="00977809" w:rsidRPr="00977809">
        <w:rPr>
          <w:sz w:val="20"/>
          <w:szCs w:val="20"/>
        </w:rPr>
        <w:t xml:space="preserve">change from baseline </w:t>
      </w:r>
      <w:r w:rsidRPr="00977809">
        <w:rPr>
          <w:sz w:val="20"/>
          <w:szCs w:val="20"/>
        </w:rPr>
        <w:t>in</w:t>
      </w:r>
      <w:r w:rsidR="00977809">
        <w:rPr>
          <w:sz w:val="20"/>
          <w:szCs w:val="20"/>
        </w:rPr>
        <w:t xml:space="preserve"> CFQ-R respiratory domain score</w:t>
      </w:r>
    </w:p>
    <w:p w:rsidR="001607BB" w:rsidRPr="001607BB" w:rsidRDefault="001607BB" w:rsidP="001607BB">
      <w:r w:rsidRPr="001607BB">
        <w:t>Although, the within-group LS mean absolute change from baseline in the pooled CFQ-R respiratory domain score at Week 24 was greater in the LUM 600 mg qd/ IVA 250 mg q12h group (5.02 points) and the LUM 400 mg q12h/IVA 250 mg q12h group (5.66 points) compared with the placebo group (2.81 points), the differences were not statistically si</w:t>
      </w:r>
      <w:r w:rsidR="000B5385">
        <w:t>gnificant (Table 7.2.15, p320).</w:t>
      </w:r>
    </w:p>
    <w:p w:rsidR="00AE3814" w:rsidRPr="000B5385" w:rsidRDefault="001607BB" w:rsidP="000B5385">
      <w:pPr>
        <w:pStyle w:val="Heading7"/>
        <w:rPr>
          <w:sz w:val="20"/>
          <w:szCs w:val="20"/>
        </w:rPr>
      </w:pPr>
      <w:r w:rsidRPr="000B5385">
        <w:rPr>
          <w:sz w:val="20"/>
          <w:szCs w:val="20"/>
        </w:rPr>
        <w:t xml:space="preserve">Response </w:t>
      </w:r>
      <w:r w:rsidR="000B5385" w:rsidRPr="000B5385">
        <w:rPr>
          <w:sz w:val="20"/>
          <w:szCs w:val="20"/>
        </w:rPr>
        <w:t>d</w:t>
      </w:r>
      <w:r w:rsidRPr="000B5385">
        <w:rPr>
          <w:sz w:val="20"/>
          <w:szCs w:val="20"/>
        </w:rPr>
        <w:t xml:space="preserve">efined as </w:t>
      </w:r>
      <w:r w:rsidR="00A91223" w:rsidRPr="000B5385">
        <w:rPr>
          <w:sz w:val="20"/>
          <w:szCs w:val="20"/>
        </w:rPr>
        <w:t xml:space="preserve">≥ </w:t>
      </w:r>
      <w:r w:rsidRPr="000B5385">
        <w:rPr>
          <w:sz w:val="20"/>
          <w:szCs w:val="20"/>
        </w:rPr>
        <w:t xml:space="preserve">5% </w:t>
      </w:r>
      <w:r w:rsidR="000B5385" w:rsidRPr="000B5385">
        <w:rPr>
          <w:sz w:val="20"/>
          <w:szCs w:val="20"/>
        </w:rPr>
        <w:t>increase in average relative change from baseline in percent predic</w:t>
      </w:r>
      <w:r w:rsidRPr="000B5385">
        <w:rPr>
          <w:sz w:val="20"/>
          <w:szCs w:val="20"/>
        </w:rPr>
        <w:t xml:space="preserve">ted </w:t>
      </w:r>
      <w:r w:rsidR="00A8789D" w:rsidRPr="001D064D">
        <w:t>FEV</w:t>
      </w:r>
      <w:r w:rsidR="00A8789D" w:rsidRPr="00A8789D">
        <w:rPr>
          <w:vertAlign w:val="subscript"/>
        </w:rPr>
        <w:t>1</w:t>
      </w:r>
      <w:r w:rsidR="000B5385">
        <w:rPr>
          <w:sz w:val="20"/>
          <w:szCs w:val="20"/>
        </w:rPr>
        <w:t xml:space="preserve"> at Week 16 and at Week 24</w:t>
      </w:r>
    </w:p>
    <w:p w:rsidR="00AE3814" w:rsidRDefault="001607BB" w:rsidP="00AE3814">
      <w:r w:rsidRPr="00AE3814">
        <w:t>The percentage of responders was higher in the LUM 600 mg qd/IVA 250 mg q12h group (45.9%) and the LUM 400 mg q12h/ IVA 250 mg q12h group (41.2%)</w:t>
      </w:r>
      <w:r w:rsidR="00AE3814">
        <w:t xml:space="preserve"> </w:t>
      </w:r>
      <w:r w:rsidR="00AE3814" w:rsidRPr="00AE3814">
        <w:t xml:space="preserve">compared with the placebo group (22.5%). The odds ratio for the LUM 600 mg qd/IVA 250 mg q12h group versus the placebo group was 2.9568 (95% CI: 1.8829, 4.6431; </w:t>
      </w:r>
      <w:r w:rsidR="001C171F">
        <w:t>p &lt;</w:t>
      </w:r>
      <w:r w:rsidR="00511EB7">
        <w:t xml:space="preserve"> </w:t>
      </w:r>
      <w:r w:rsidR="00AE3814" w:rsidRPr="00AE3814">
        <w:t xml:space="preserve">0.0001). The odds ratio for LUM 400 mg q12h/ IVA 250 mg q12h group versus the placebo group was 2.3834 (95% CI: 1.5234, 3.7286; </w:t>
      </w:r>
      <w:r w:rsidR="00CC3BC8">
        <w:t>p</w:t>
      </w:r>
      <w:r w:rsidR="00661535">
        <w:t xml:space="preserve"> </w:t>
      </w:r>
      <w:r w:rsidR="00511EB7">
        <w:t>=</w:t>
      </w:r>
      <w:r w:rsidR="00661535">
        <w:t xml:space="preserve"> </w:t>
      </w:r>
      <w:r w:rsidR="00AE3814" w:rsidRPr="00AE3814">
        <w:t xml:space="preserve">0.0001). For response defined as </w:t>
      </w:r>
      <w:r w:rsidR="00A91223">
        <w:t xml:space="preserve">≥ </w:t>
      </w:r>
      <w:r w:rsidR="00AE3814" w:rsidRPr="00AE3814">
        <w:t xml:space="preserve">10% relative increase, the observed trends were similar and favoured lumacaftor in combination with ivacaftor treatment </w:t>
      </w:r>
      <w:r w:rsidR="00AE3814" w:rsidRPr="00BC7036">
        <w:t xml:space="preserve">(Table </w:t>
      </w:r>
      <w:r w:rsidR="007A0321">
        <w:t>40</w:t>
      </w:r>
      <w:r w:rsidR="000B5385">
        <w:t>).</w:t>
      </w:r>
    </w:p>
    <w:p w:rsidR="00BC7036" w:rsidRDefault="00BC7036" w:rsidP="00BC7036">
      <w:pPr>
        <w:pStyle w:val="Tabletitle"/>
      </w:pPr>
      <w:proofErr w:type="gramStart"/>
      <w:r>
        <w:lastRenderedPageBreak/>
        <w:t xml:space="preserve">Table </w:t>
      </w:r>
      <w:r w:rsidR="007A0321">
        <w:t>40.</w:t>
      </w:r>
      <w:proofErr w:type="gramEnd"/>
      <w:r w:rsidR="007A0321">
        <w:t xml:space="preserve"> </w:t>
      </w:r>
      <w:r>
        <w:t>Response analysis of average relative change from baseline in percent predicted FEV1 at Week 16 and Week 24 full analysis set</w:t>
      </w:r>
    </w:p>
    <w:p w:rsidR="00BC7036" w:rsidRPr="00BC7036" w:rsidRDefault="00BC7036" w:rsidP="00BC7036">
      <w:r>
        <w:rPr>
          <w:noProof/>
          <w:lang w:eastAsia="en-AU"/>
        </w:rPr>
        <w:drawing>
          <wp:inline distT="0" distB="0" distL="0" distR="0" wp14:anchorId="75AB7AB9" wp14:editId="4E900424">
            <wp:extent cx="5325466" cy="3620293"/>
            <wp:effectExtent l="0" t="0" r="8890" b="0"/>
            <wp:docPr id="53" name="Picture 53" descr="Table 40. Response analysis of average relative change from baseline in percent predicted FEV1 at Week 16 and Week 24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322117" cy="3618016"/>
                    </a:xfrm>
                    <a:prstGeom prst="rect">
                      <a:avLst/>
                    </a:prstGeom>
                  </pic:spPr>
                </pic:pic>
              </a:graphicData>
            </a:graphic>
          </wp:inline>
        </w:drawing>
      </w:r>
    </w:p>
    <w:p w:rsidR="00AE3814" w:rsidRPr="000B5385" w:rsidRDefault="00AE3814" w:rsidP="000B5385">
      <w:pPr>
        <w:pStyle w:val="Heading7"/>
        <w:rPr>
          <w:sz w:val="20"/>
          <w:szCs w:val="20"/>
        </w:rPr>
      </w:pPr>
      <w:r w:rsidRPr="000B5385">
        <w:rPr>
          <w:sz w:val="20"/>
          <w:szCs w:val="20"/>
        </w:rPr>
        <w:t>Number of pulmonary</w:t>
      </w:r>
      <w:r w:rsidR="000B5385">
        <w:rPr>
          <w:sz w:val="20"/>
          <w:szCs w:val="20"/>
        </w:rPr>
        <w:t xml:space="preserve"> exacerbations through Week 24</w:t>
      </w:r>
    </w:p>
    <w:p w:rsidR="00AE3814" w:rsidRPr="00AE3814" w:rsidRDefault="00AE3814" w:rsidP="00AE3814">
      <w:r w:rsidRPr="00AE3814">
        <w:t xml:space="preserve">The number (event rate per year) of pulmonary exacerbations was lower in the LUM 600 mg qd/IVA 250 mg q12h group (94 </w:t>
      </w:r>
      <w:r w:rsidR="004E6042">
        <w:t>(</w:t>
      </w:r>
      <w:r w:rsidRPr="00AE3814">
        <w:t>0.82</w:t>
      </w:r>
      <w:r w:rsidR="004E6042">
        <w:t>)</w:t>
      </w:r>
      <w:r w:rsidRPr="00AE3814">
        <w:t xml:space="preserve"> events) and the LUM 400 mg q12h/IVA 250 mg q12h group (79 </w:t>
      </w:r>
      <w:r w:rsidR="004E6042">
        <w:t>(</w:t>
      </w:r>
      <w:r w:rsidRPr="00AE3814">
        <w:t>0.67</w:t>
      </w:r>
      <w:r w:rsidR="004E6042">
        <w:t>)</w:t>
      </w:r>
      <w:r w:rsidRPr="00AE3814">
        <w:t xml:space="preserve"> events) compared with the placebo group (139 </w:t>
      </w:r>
      <w:r w:rsidR="004E6042">
        <w:t>(</w:t>
      </w:r>
      <w:r w:rsidRPr="00AE3814">
        <w:t>1.18</w:t>
      </w:r>
      <w:r w:rsidR="004E6042">
        <w:t>)</w:t>
      </w:r>
      <w:r w:rsidRPr="00AE3814">
        <w:t xml:space="preserve"> events). The rate ratios showed a treatment effect that was in favour of both active treatment groups, but could not be considered statistically significant as the testing hierarchy </w:t>
      </w:r>
      <w:r w:rsidR="000B5385">
        <w:t>stopped before this comparison.</w:t>
      </w:r>
    </w:p>
    <w:p w:rsidR="00AE3814" w:rsidRPr="00AE3814" w:rsidRDefault="00AE3814" w:rsidP="000B5385">
      <w:pPr>
        <w:pStyle w:val="Heading6"/>
      </w:pPr>
      <w:r w:rsidRPr="00AE3814">
        <w:t>Other secondary an</w:t>
      </w:r>
      <w:r w:rsidR="000B5385">
        <w:t>d additional efficacy outcomes</w:t>
      </w:r>
    </w:p>
    <w:p w:rsidR="00AE3814" w:rsidRPr="000B5385" w:rsidRDefault="000B5385" w:rsidP="000B5385">
      <w:pPr>
        <w:pStyle w:val="Heading7"/>
        <w:rPr>
          <w:sz w:val="20"/>
          <w:szCs w:val="20"/>
        </w:rPr>
      </w:pPr>
      <w:r>
        <w:rPr>
          <w:sz w:val="20"/>
          <w:szCs w:val="20"/>
        </w:rPr>
        <w:t>Nutritional status</w:t>
      </w:r>
    </w:p>
    <w:p w:rsidR="00AE3814" w:rsidRPr="00AE3814" w:rsidRDefault="00AE3814" w:rsidP="00AE3814">
      <w:r w:rsidRPr="00AE3814">
        <w:t>The within-group LS mean absolute change from baseline in weight at Week 24 was greater in the LUM 600 mg qd/IVA 250 mg q12h group (1.57 kg) and the LUM 400 mg q12h/IVA 250 mg q12h group (1.38 kg) compared with the placebo group (0.44 kg). Compared to placebo, statistically significantly greater improvements were observed for both LUM 600 mg qd/IVA 250 mg q12h (treatment diff</w:t>
      </w:r>
      <w:r w:rsidR="00511EB7">
        <w:t xml:space="preserve"> = </w:t>
      </w:r>
      <w:r w:rsidRPr="00AE3814">
        <w:t xml:space="preserve">1.13 kg. 95% CI: 0.62, 1.64; </w:t>
      </w:r>
      <w:r w:rsidR="00CC3BC8">
        <w:t>p</w:t>
      </w:r>
      <w:r w:rsidRPr="00AE3814">
        <w:t xml:space="preserve"> </w:t>
      </w:r>
      <w:r w:rsidR="00511EB7">
        <w:t xml:space="preserve">&lt; </w:t>
      </w:r>
      <w:r w:rsidRPr="00AE3814">
        <w:t>0.0001) and LUM 400 mg q12h/ IVA 250 mg q12h (treatment diff</w:t>
      </w:r>
      <w:r w:rsidR="00511EB7">
        <w:t xml:space="preserve"> = </w:t>
      </w:r>
      <w:r w:rsidRPr="00AE3814">
        <w:t xml:space="preserve">0.95kg, 95% CI: 20.43, 1.46; </w:t>
      </w:r>
      <w:r w:rsidR="00CC3BC8">
        <w:t>p</w:t>
      </w:r>
      <w:r w:rsidR="00661535">
        <w:t xml:space="preserve"> </w:t>
      </w:r>
      <w:r w:rsidR="00511EB7">
        <w:t>=</w:t>
      </w:r>
      <w:r w:rsidR="00661535">
        <w:t xml:space="preserve"> </w:t>
      </w:r>
      <w:r w:rsidR="00BC7036">
        <w:t>0.0003 ) groups</w:t>
      </w:r>
      <w:r w:rsidRPr="00AE3814">
        <w:t xml:space="preserve">. To assess changes in nutritional status in a population of boys and girls at various stages of growth, BMI z-score, weight z-score, and height z-score were calculated using the National </w:t>
      </w:r>
      <w:r w:rsidR="000B5385" w:rsidRPr="00AE3814">
        <w:t>Centre</w:t>
      </w:r>
      <w:r w:rsidRPr="00AE3814">
        <w:t xml:space="preserve"> for Health Statistics growth charts for subjects </w:t>
      </w:r>
      <w:r w:rsidR="00511EB7">
        <w:t xml:space="preserve">&lt; </w:t>
      </w:r>
      <w:r w:rsidRPr="00AE3814">
        <w:t xml:space="preserve">20 years of age. Change in height was also analysed in this population. Statistically significant improvements in the BMI z-score and weight z-score were observed for both active treatment groups compared with placebo. Compared with placebo, the height and height z-score did not show any statistically significant improvements in any </w:t>
      </w:r>
      <w:r w:rsidR="000B5385">
        <w:t>of the active treatment groups.</w:t>
      </w:r>
    </w:p>
    <w:p w:rsidR="00AE3814" w:rsidRPr="000B5385" w:rsidRDefault="000B5385" w:rsidP="000B5385">
      <w:pPr>
        <w:pStyle w:val="Heading7"/>
        <w:rPr>
          <w:sz w:val="20"/>
          <w:szCs w:val="20"/>
        </w:rPr>
      </w:pPr>
      <w:r w:rsidRPr="000B5385">
        <w:rPr>
          <w:sz w:val="20"/>
          <w:szCs w:val="20"/>
        </w:rPr>
        <w:t>Clinical events of interest</w:t>
      </w:r>
    </w:p>
    <w:p w:rsidR="00AE3814" w:rsidRDefault="000B5385" w:rsidP="00AE3814">
      <w:r>
        <w:t xml:space="preserve">Analysis of time to </w:t>
      </w:r>
      <w:r w:rsidR="00AE3814" w:rsidRPr="00AE3814">
        <w:t xml:space="preserve">first pulmonary exacerbation showed that a numerically greater proportion of subjects remained free of pulmonary exacerbations in both active treatment groups compared with the placebo group. The hazard ratios showed a treatment effect that was in </w:t>
      </w:r>
      <w:r w:rsidR="00AE3814" w:rsidRPr="00AE3814">
        <w:lastRenderedPageBreak/>
        <w:t>favour of both active treatment groups. The hazard ratio for the LUM 600 mg qd/IVA 250 mg q12h group versus the placebo group was 0.716 (</w:t>
      </w:r>
      <w:r w:rsidR="00CC3BC8">
        <w:t>p</w:t>
      </w:r>
      <w:r w:rsidR="00661535">
        <w:t xml:space="preserve"> </w:t>
      </w:r>
      <w:r w:rsidR="00511EB7">
        <w:t>=</w:t>
      </w:r>
      <w:r w:rsidR="00661535">
        <w:t xml:space="preserve"> </w:t>
      </w:r>
      <w:r w:rsidR="00AE3814" w:rsidRPr="00AE3814">
        <w:t>0.0384), while the hazard ratio for the LUM 400 mg q12h/IVA 250 mg q12h group versus the placebo group was 0.533, which was statistically significant (</w:t>
      </w:r>
      <w:r w:rsidR="00CC3BC8">
        <w:t>p</w:t>
      </w:r>
      <w:r w:rsidR="00661535">
        <w:t xml:space="preserve"> </w:t>
      </w:r>
      <w:r w:rsidR="00511EB7">
        <w:t>=</w:t>
      </w:r>
      <w:r w:rsidR="00661535">
        <w:t xml:space="preserve"> </w:t>
      </w:r>
      <w:r w:rsidR="00AE3814" w:rsidRPr="00AE3814">
        <w:t>0.0003) (</w:t>
      </w:r>
      <w:r w:rsidR="00AE3814" w:rsidRPr="000C752C">
        <w:t xml:space="preserve">Figure </w:t>
      </w:r>
      <w:r w:rsidR="007A0321">
        <w:t>13</w:t>
      </w:r>
      <w:r>
        <w:t>).</w:t>
      </w:r>
    </w:p>
    <w:p w:rsidR="000C752C" w:rsidRDefault="007A0321" w:rsidP="000C752C">
      <w:pPr>
        <w:pStyle w:val="FigureTitle"/>
        <w:keepNext/>
      </w:pPr>
      <w:proofErr w:type="gramStart"/>
      <w:r>
        <w:t>Figure 13</w:t>
      </w:r>
      <w:r w:rsidR="000C752C">
        <w:t>.</w:t>
      </w:r>
      <w:proofErr w:type="gramEnd"/>
      <w:r w:rsidR="000C752C">
        <w:t xml:space="preserve"> 7.2.21 Time to first pulmonary exacerbation through week 24 full analysis set </w:t>
      </w:r>
    </w:p>
    <w:p w:rsidR="000C752C" w:rsidRPr="000C752C" w:rsidRDefault="000C752C" w:rsidP="000C752C">
      <w:r>
        <w:rPr>
          <w:noProof/>
          <w:lang w:eastAsia="en-AU"/>
        </w:rPr>
        <w:drawing>
          <wp:inline distT="0" distB="0" distL="0" distR="0" wp14:anchorId="05FBB95D" wp14:editId="2502E7EC">
            <wp:extent cx="5237173" cy="3167482"/>
            <wp:effectExtent l="0" t="0" r="1905" b="0"/>
            <wp:docPr id="49" name="Picture 49" descr="Figure 13. 7.2.21 Time to first pulmonary exacerbation through week 24 full analysis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BEBA8EAE-BF5A-486C-A8C5-ECC9F3942E4B}">
                          <a14:imgProps xmlns:a14="http://schemas.microsoft.com/office/drawing/2010/main">
                            <a14:imgLayer r:embed="rId71">
                              <a14:imgEffect>
                                <a14:sharpenSoften amount="25000"/>
                              </a14:imgEffect>
                            </a14:imgLayer>
                          </a14:imgProps>
                        </a:ext>
                      </a:extLst>
                    </a:blip>
                    <a:stretch>
                      <a:fillRect/>
                    </a:stretch>
                  </pic:blipFill>
                  <pic:spPr>
                    <a:xfrm>
                      <a:off x="0" y="0"/>
                      <a:ext cx="5235747" cy="3166620"/>
                    </a:xfrm>
                    <a:prstGeom prst="rect">
                      <a:avLst/>
                    </a:prstGeom>
                  </pic:spPr>
                </pic:pic>
              </a:graphicData>
            </a:graphic>
          </wp:inline>
        </w:drawing>
      </w:r>
    </w:p>
    <w:p w:rsidR="001607BB" w:rsidRPr="00AE3814" w:rsidRDefault="00AE3814" w:rsidP="00AE3814">
      <w:r w:rsidRPr="00AE3814">
        <w:t>The percentage of subjects with at least 1 pulmonary exacerbation was lower in the LUM 600 mg qd/ IVA 250 mg q12h group (36.8%) and the LUM 400 mg q12h/IVA 250 mg q12h group (28.9%) compared with the placebo group (47.1%). The odds ratio for the LUM 600 mg qd/IVA 250 mg q12h group versus the placebo group was 0.6373 (95% CI: 0.4160, 0.9764), which was statistically significant (</w:t>
      </w:r>
      <w:r w:rsidR="00CC3BC8">
        <w:t>p</w:t>
      </w:r>
      <w:r w:rsidR="00661535">
        <w:t xml:space="preserve"> </w:t>
      </w:r>
      <w:r w:rsidR="00511EB7">
        <w:t>=</w:t>
      </w:r>
      <w:r w:rsidR="00661535">
        <w:t xml:space="preserve"> </w:t>
      </w:r>
      <w:r w:rsidRPr="00AE3814">
        <w:t>0.0393). The odds ratio for the LUM 400 mg q12h/IVA 250 mg q12h group versus the placebo group was 0.4429 (95% CI: 0.2863, 0.6851), which was statistically significant (</w:t>
      </w:r>
      <w:r w:rsidR="00CC3BC8">
        <w:t>p</w:t>
      </w:r>
      <w:r w:rsidR="00661535">
        <w:t xml:space="preserve"> </w:t>
      </w:r>
      <w:r w:rsidR="00511EB7">
        <w:t>=</w:t>
      </w:r>
      <w:r w:rsidR="00661535">
        <w:t xml:space="preserve"> </w:t>
      </w:r>
      <w:r w:rsidRPr="00AE3814">
        <w:t>0.0002).</w:t>
      </w:r>
    </w:p>
    <w:p w:rsidR="00AE3814" w:rsidRDefault="00AE3814" w:rsidP="00AE3814">
      <w:r w:rsidRPr="00AE3814">
        <w:t xml:space="preserve">The number (event rate per year) of pulmonary exacerbations requiring hospitalization was lower in the LUM 600 mg qd/IVA 250 mg q12h group (37 </w:t>
      </w:r>
      <w:r w:rsidR="004E6042">
        <w:t>(</w:t>
      </w:r>
      <w:r w:rsidRPr="00AE3814">
        <w:t>0.30</w:t>
      </w:r>
      <w:r w:rsidR="004E6042">
        <w:t>)</w:t>
      </w:r>
      <w:r w:rsidRPr="00AE3814">
        <w:t xml:space="preserve"> events) and the LUM 400 mg q12h/IVA 250 mg q12h group (23 </w:t>
      </w:r>
      <w:r w:rsidR="004E6042">
        <w:t>(</w:t>
      </w:r>
      <w:r w:rsidRPr="00AE3814">
        <w:t>0.18</w:t>
      </w:r>
      <w:r w:rsidR="004E6042">
        <w:t>)</w:t>
      </w:r>
      <w:r w:rsidRPr="00AE3814">
        <w:t xml:space="preserve"> events) compared with the placebo group (59 </w:t>
      </w:r>
      <w:r w:rsidR="004E6042">
        <w:t>(</w:t>
      </w:r>
      <w:r w:rsidRPr="00AE3814">
        <w:t>0.46</w:t>
      </w:r>
      <w:r w:rsidR="004E6042">
        <w:t>)</w:t>
      </w:r>
      <w:r w:rsidRPr="00AE3814">
        <w:t xml:space="preserve"> events). The rate ratios showed a treatment effect that was in favour of both active treatment groups. The rate ratio for the LUM 600 mg qd/IVA 250 mg q12h group versus the placebo group was 0.6482 (95% CI: 0.4246, 0.9895), which was statistically significant (</w:t>
      </w:r>
      <w:r w:rsidR="00CC3BC8">
        <w:t>p</w:t>
      </w:r>
      <w:r w:rsidR="00661535">
        <w:t xml:space="preserve"> </w:t>
      </w:r>
      <w:r w:rsidR="00511EB7">
        <w:t>=</w:t>
      </w:r>
      <w:r w:rsidR="00661535">
        <w:t xml:space="preserve"> </w:t>
      </w:r>
      <w:r w:rsidRPr="00AE3814">
        <w:t>0.0446). The rate ratio for the LUM 400 mg q12h/IVA 250 mg q12h group versus the placebo group was 0.3896 (95% CI: 0.2382, 0.6373), which was statistically significant (</w:t>
      </w:r>
      <w:r w:rsidR="00CC3BC8">
        <w:t>p</w:t>
      </w:r>
      <w:r w:rsidR="00661535">
        <w:t xml:space="preserve"> </w:t>
      </w:r>
      <w:r w:rsidR="00511EB7">
        <w:t>=</w:t>
      </w:r>
      <w:r w:rsidR="00661535">
        <w:t xml:space="preserve"> </w:t>
      </w:r>
      <w:r w:rsidRPr="00AE3814">
        <w:t>0.0002). The hazard ratios for time to first pulmonary exacerbation showed a treatment effect that was in favour of both active treatment groups (</w:t>
      </w:r>
      <w:r w:rsidRPr="000C752C">
        <w:t xml:space="preserve">Table </w:t>
      </w:r>
      <w:r w:rsidR="007A0321">
        <w:t>41</w:t>
      </w:r>
      <w:r w:rsidR="000B5385">
        <w:t>).</w:t>
      </w:r>
    </w:p>
    <w:p w:rsidR="000C752C" w:rsidRDefault="000C752C" w:rsidP="000C752C">
      <w:pPr>
        <w:pStyle w:val="Tabletitle"/>
      </w:pPr>
      <w:proofErr w:type="gramStart"/>
      <w:r>
        <w:lastRenderedPageBreak/>
        <w:t xml:space="preserve">Table </w:t>
      </w:r>
      <w:r w:rsidR="007A0321">
        <w:t>41.</w:t>
      </w:r>
      <w:proofErr w:type="gramEnd"/>
      <w:r>
        <w:t xml:space="preserve"> Number of pulmonary exacerbations requiring hospitalisation through week 24 full analysis set</w:t>
      </w:r>
    </w:p>
    <w:p w:rsidR="000C752C" w:rsidRPr="000C752C" w:rsidRDefault="000C752C" w:rsidP="000C752C">
      <w:r>
        <w:rPr>
          <w:noProof/>
          <w:lang w:eastAsia="en-AU"/>
        </w:rPr>
        <w:drawing>
          <wp:inline distT="0" distB="0" distL="0" distR="0" wp14:anchorId="7B8818FB" wp14:editId="2F3343A1">
            <wp:extent cx="5442509" cy="2744513"/>
            <wp:effectExtent l="0" t="0" r="6350" b="0"/>
            <wp:docPr id="54" name="Picture 54" descr="Table 41. Number of pulmonary exacerbations requiring hospitalisation through week 24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443912" cy="2745221"/>
                    </a:xfrm>
                    <a:prstGeom prst="rect">
                      <a:avLst/>
                    </a:prstGeom>
                  </pic:spPr>
                </pic:pic>
              </a:graphicData>
            </a:graphic>
          </wp:inline>
        </w:drawing>
      </w:r>
    </w:p>
    <w:p w:rsidR="00AE3814" w:rsidRPr="00AE3814" w:rsidRDefault="00AE3814" w:rsidP="00AE3814">
      <w:r w:rsidRPr="00AE3814">
        <w:t xml:space="preserve">The number (event rate per year) of pulmonary exacerbations requiring IV antibiotic therapy was lower in the LUM 600 mg qd/IVA 250 mg q12h group (49 </w:t>
      </w:r>
      <w:r w:rsidR="004E6042">
        <w:t>(</w:t>
      </w:r>
      <w:r w:rsidRPr="00AE3814">
        <w:t>0.37</w:t>
      </w:r>
      <w:r w:rsidR="004E6042">
        <w:t>)</w:t>
      </w:r>
      <w:r w:rsidRPr="00AE3814">
        <w:t xml:space="preserve"> events) and the LUM 400 mg q12h/ IVA 250 mg q12h group (31 </w:t>
      </w:r>
      <w:r w:rsidR="004E6042">
        <w:t>(</w:t>
      </w:r>
      <w:r w:rsidRPr="00AE3814">
        <w:t>0.23</w:t>
      </w:r>
      <w:r w:rsidR="004E6042">
        <w:t>)</w:t>
      </w:r>
      <w:r w:rsidRPr="00AE3814">
        <w:t xml:space="preserve"> events) compared with the placebo group (87 </w:t>
      </w:r>
      <w:r w:rsidR="004E6042">
        <w:t>(</w:t>
      </w:r>
      <w:r w:rsidRPr="00AE3814">
        <w:t>0.64</w:t>
      </w:r>
      <w:r w:rsidR="004E6042">
        <w:t>)</w:t>
      </w:r>
      <w:r w:rsidRPr="00AE3814">
        <w:t xml:space="preserve"> events). The rate ratios showed a treatment effect that was in favour of both active treatment</w:t>
      </w:r>
      <w:r>
        <w:t xml:space="preserve"> </w:t>
      </w:r>
      <w:r w:rsidRPr="00AE3814">
        <w:t>groups. The rate ratio for the LUM 600 mg qd/IVA 250 mg q12h group versus the placebo group was 0.5819 (95% CI: 0.4089, 0.8281), which was statistically significant (</w:t>
      </w:r>
      <w:r w:rsidR="00CC3BC8">
        <w:t>p</w:t>
      </w:r>
      <w:r w:rsidR="00661535">
        <w:t xml:space="preserve"> </w:t>
      </w:r>
      <w:r w:rsidR="00511EB7">
        <w:t>=</w:t>
      </w:r>
      <w:r w:rsidR="00661535">
        <w:t xml:space="preserve"> </w:t>
      </w:r>
      <w:r w:rsidRPr="00AE3814">
        <w:t>0.0026). The rate ratio for the LUM 400 mg q12h/IVA 250 mg q12h group versus the placebo group was 0.3575 (95% CI: 0.2367, 0.5400), which was statistically significant (</w:t>
      </w:r>
      <w:r w:rsidR="001C171F">
        <w:t>p &lt;</w:t>
      </w:r>
      <w:r w:rsidR="00511EB7">
        <w:t xml:space="preserve"> </w:t>
      </w:r>
      <w:r w:rsidRPr="00AE3814">
        <w:t>0.0001). The hazard ratios for time to first pulmonary exacerbation requiring IV antibiotics showed a treatment effect that was in favour of both active treatment groups</w:t>
      </w:r>
      <w:r w:rsidR="000B5385">
        <w:t>.</w:t>
      </w:r>
    </w:p>
    <w:p w:rsidR="00AE3814" w:rsidRPr="00AE3814" w:rsidRDefault="00AE3814" w:rsidP="00AE3814">
      <w:r w:rsidRPr="00AE3814">
        <w:t xml:space="preserve">There were no discernible differences between </w:t>
      </w:r>
      <w:proofErr w:type="gramStart"/>
      <w:r w:rsidRPr="00AE3814">
        <w:t>either active treatment group and</w:t>
      </w:r>
      <w:proofErr w:type="gramEnd"/>
      <w:r w:rsidRPr="00AE3814">
        <w:t xml:space="preserve"> the placebo group in the number of unplanned hospitalisations through week 24. The normal</w:t>
      </w:r>
      <w:r w:rsidR="002D7E74">
        <w:t>ise</w:t>
      </w:r>
      <w:r w:rsidRPr="00AE3814">
        <w:t>d mean total durations were shorter for both active treatment groups than the placebo group for all clinical events of interest with the exception of unplanned hospitalizations</w:t>
      </w:r>
      <w:r w:rsidR="000B5385">
        <w:t>.</w:t>
      </w:r>
    </w:p>
    <w:p w:rsidR="00AE3814" w:rsidRPr="000B5385" w:rsidRDefault="00F5007E" w:rsidP="000B5385">
      <w:pPr>
        <w:pStyle w:val="Heading7"/>
        <w:rPr>
          <w:sz w:val="20"/>
          <w:szCs w:val="20"/>
        </w:rPr>
      </w:pPr>
      <w:r>
        <w:rPr>
          <w:sz w:val="20"/>
          <w:szCs w:val="20"/>
        </w:rPr>
        <w:t xml:space="preserve">Patient </w:t>
      </w:r>
      <w:r w:rsidR="000B5385" w:rsidRPr="000B5385">
        <w:rPr>
          <w:sz w:val="20"/>
          <w:szCs w:val="20"/>
        </w:rPr>
        <w:t>reported outcomes</w:t>
      </w:r>
    </w:p>
    <w:p w:rsidR="00AE3814" w:rsidRPr="00AE3814" w:rsidRDefault="00AE3814" w:rsidP="00AE3814">
      <w:r w:rsidRPr="00AE3814">
        <w:t>Both active treatment groups showed favourable changes in the EQ-5D-3L visual analog scale score at Week 24 with treatment differences of 2.4 points (</w:t>
      </w:r>
      <w:r w:rsidR="00CC3BC8">
        <w:t>p</w:t>
      </w:r>
      <w:r w:rsidR="00661535">
        <w:t xml:space="preserve"> </w:t>
      </w:r>
      <w:r w:rsidR="00511EB7">
        <w:t>=</w:t>
      </w:r>
      <w:r w:rsidR="00661535">
        <w:t xml:space="preserve"> </w:t>
      </w:r>
      <w:r w:rsidRPr="00AE3814">
        <w:t>0.1034) for the LUM 600 mg qd/ IVA 250 mg q12h group versus the placebo group, and 3.3 points (</w:t>
      </w:r>
      <w:r w:rsidR="00CC3BC8">
        <w:t>p</w:t>
      </w:r>
      <w:r w:rsidR="00661535">
        <w:t xml:space="preserve"> </w:t>
      </w:r>
      <w:r w:rsidR="00511EB7">
        <w:t>=</w:t>
      </w:r>
      <w:r w:rsidR="00661535">
        <w:t xml:space="preserve"> </w:t>
      </w:r>
      <w:r w:rsidRPr="00AE3814">
        <w:t>0.0262) for the LUM 400 mg q12h/ IVA 250 mg q12h group versus the placebo group. Both active treatment groups showed favourable changes in some TSQM domains at Week 24. The LUM 600 mg qd/IVA 250 mg q12h group had treatment differences of 8.64 points (</w:t>
      </w:r>
      <w:r w:rsidR="00CC3BC8">
        <w:t>p</w:t>
      </w:r>
      <w:r w:rsidR="00661535">
        <w:t xml:space="preserve"> </w:t>
      </w:r>
      <w:r w:rsidR="00511EB7">
        <w:t>=</w:t>
      </w:r>
      <w:r w:rsidR="00661535">
        <w:t xml:space="preserve"> </w:t>
      </w:r>
      <w:r w:rsidRPr="00AE3814">
        <w:t>0.0005) for the effectiveness domain and 4.64 points (</w:t>
      </w:r>
      <w:r w:rsidR="00CC3BC8">
        <w:t>p</w:t>
      </w:r>
      <w:r w:rsidR="00661535">
        <w:t xml:space="preserve"> </w:t>
      </w:r>
      <w:r w:rsidR="00511EB7">
        <w:t>=</w:t>
      </w:r>
      <w:r w:rsidR="00661535">
        <w:t xml:space="preserve"> </w:t>
      </w:r>
      <w:r w:rsidRPr="00AE3814">
        <w:t>0.0668) for the global satisfaction domain. The LUM 400 mg q12h/IVA 250 mg q12h group had treatment differences of 11.61 points (</w:t>
      </w:r>
      <w:r w:rsidR="001C171F">
        <w:t>p &lt;</w:t>
      </w:r>
      <w:r w:rsidR="00511EB7">
        <w:t xml:space="preserve"> </w:t>
      </w:r>
      <w:r w:rsidRPr="00AE3814">
        <w:t>0.0001) for the effectiveness domain and 7.16 points (</w:t>
      </w:r>
      <w:r w:rsidR="00CC3BC8">
        <w:t>p</w:t>
      </w:r>
      <w:r w:rsidR="00661535">
        <w:t xml:space="preserve"> </w:t>
      </w:r>
      <w:r w:rsidR="00511EB7">
        <w:t>=</w:t>
      </w:r>
      <w:r w:rsidR="00661535">
        <w:t xml:space="preserve"> </w:t>
      </w:r>
      <w:r w:rsidRPr="00AE3814">
        <w:t>0.0045) for the global satisfaction domain. However, analysis of absolute change from baseline in the TSQM side effects domain at Week 24 resulted in negative treatment differences of -3.18 points (</w:t>
      </w:r>
      <w:r w:rsidR="00CC3BC8">
        <w:t>p</w:t>
      </w:r>
      <w:r w:rsidR="00661535">
        <w:t xml:space="preserve"> </w:t>
      </w:r>
      <w:r w:rsidR="00511EB7">
        <w:t>=</w:t>
      </w:r>
      <w:r w:rsidR="00661535">
        <w:t xml:space="preserve"> </w:t>
      </w:r>
      <w:r w:rsidRPr="00AE3814">
        <w:t>0.0403) for the LUM 600 mg qd/ IVA 250 mg q12h group, and -4.29 points (</w:t>
      </w:r>
      <w:r w:rsidR="00CC3BC8">
        <w:t>p</w:t>
      </w:r>
      <w:r w:rsidR="00661535">
        <w:t xml:space="preserve"> </w:t>
      </w:r>
      <w:r w:rsidR="00511EB7">
        <w:t>=</w:t>
      </w:r>
      <w:r w:rsidR="00661535">
        <w:t xml:space="preserve"> </w:t>
      </w:r>
      <w:r w:rsidRPr="00AE3814">
        <w:t>0.0054) for the LUM 400</w:t>
      </w:r>
      <w:r w:rsidR="00F5007E">
        <w:t xml:space="preserve"> mg q12h/IVA 250 mg q12h group.</w:t>
      </w:r>
    </w:p>
    <w:p w:rsidR="00AE3814" w:rsidRPr="00AE3814" w:rsidRDefault="00F5007E" w:rsidP="00AE3814">
      <w:r>
        <w:t xml:space="preserve">The within </w:t>
      </w:r>
      <w:r w:rsidR="00AE3814" w:rsidRPr="00AE3814">
        <w:t xml:space="preserve">group LS mean absolute change from baseline in </w:t>
      </w:r>
      <w:r w:rsidR="00A8789D" w:rsidRPr="001D064D">
        <w:t>FEV</w:t>
      </w:r>
      <w:r w:rsidR="00A8789D" w:rsidRPr="00A8789D">
        <w:rPr>
          <w:vertAlign w:val="subscript"/>
        </w:rPr>
        <w:t>1</w:t>
      </w:r>
      <w:r w:rsidR="00AE3814" w:rsidRPr="00AE3814">
        <w:t xml:space="preserve"> was greater for the LUM 600 mg qd/IVA 250 mg q12h group (0.105 L) and the LUM 400 mg q12h/IVA 250 mg q12h group (0.119 L) compared with the placebo group (0.011 L). Compared to placebo, statistically </w:t>
      </w:r>
      <w:r w:rsidR="00AE3814" w:rsidRPr="00AE3814">
        <w:lastRenderedPageBreak/>
        <w:t xml:space="preserve">significantly greater improvements were observed for </w:t>
      </w:r>
      <w:proofErr w:type="gramStart"/>
      <w:r w:rsidR="00AE3814" w:rsidRPr="00AE3814">
        <w:t>both LUM</w:t>
      </w:r>
      <w:proofErr w:type="gramEnd"/>
      <w:r w:rsidR="00AE3814" w:rsidRPr="00AE3814">
        <w:t xml:space="preserve"> 600 mg qd/IVA 250 mg q12h and LUM 400 mg q12h/ IVA 250 mg q12h groups</w:t>
      </w:r>
      <w:r>
        <w:t>.</w:t>
      </w:r>
    </w:p>
    <w:p w:rsidR="001607BB" w:rsidRDefault="00AE3814" w:rsidP="00AE3814">
      <w:r w:rsidRPr="00AE3814">
        <w:t>Results of subgroup analyses for demographic and baseline characteristics subgroups and for prior medication subgroups</w:t>
      </w:r>
      <w:r w:rsidR="00077453">
        <w:t xml:space="preserve"> were provided</w:t>
      </w:r>
      <w:r w:rsidRPr="00AE3814">
        <w:t xml:space="preserve">. For all subgroups, analysis of average absolute change from baseline in percent predicted </w:t>
      </w:r>
      <w:r w:rsidR="00A8789D" w:rsidRPr="001D064D">
        <w:t>FEV</w:t>
      </w:r>
      <w:r w:rsidR="00A8789D" w:rsidRPr="00A8789D">
        <w:rPr>
          <w:vertAlign w:val="subscript"/>
        </w:rPr>
        <w:t>1</w:t>
      </w:r>
      <w:r w:rsidRPr="00AE3814">
        <w:t xml:space="preserve"> at Week 16 and at Week 24 favoured both active treatment groups; however, some within-group absolute changes and treatment differences versus the placebo group may not have been statistically significant because of variability or insufficient power due to the small sampl</w:t>
      </w:r>
      <w:r w:rsidR="00F5007E">
        <w:t xml:space="preserve">e size. There were no treatment by </w:t>
      </w:r>
      <w:r w:rsidRPr="00AE3814">
        <w:t>subgroup interactions that were statistically significant, therefore suggesting that the treatment effect is consistent across all analysed subgroups, with</w:t>
      </w:r>
      <w:r w:rsidR="00F5007E">
        <w:t xml:space="preserve"> the exception of the treatment by prior inhaled antibiotic </w:t>
      </w:r>
      <w:r w:rsidRPr="00AE3814">
        <w:t>use interaction (</w:t>
      </w:r>
      <w:r w:rsidR="00CC3BC8">
        <w:t>p</w:t>
      </w:r>
      <w:r w:rsidR="00F5007E">
        <w:t> </w:t>
      </w:r>
      <w:r w:rsidR="00511EB7">
        <w:t>=</w:t>
      </w:r>
      <w:r w:rsidR="00F5007E">
        <w:t> </w:t>
      </w:r>
      <w:r w:rsidRPr="00AE3814">
        <w:t>0.0468</w:t>
      </w:r>
      <w:r w:rsidRPr="00077453">
        <w:t xml:space="preserve">) (Table </w:t>
      </w:r>
      <w:r w:rsidR="007A0321">
        <w:t>42).</w:t>
      </w:r>
    </w:p>
    <w:p w:rsidR="00077453" w:rsidRDefault="007A0321" w:rsidP="002B6EEE">
      <w:pPr>
        <w:pStyle w:val="Tabletitle"/>
      </w:pPr>
      <w:proofErr w:type="gramStart"/>
      <w:r>
        <w:t>Table 42.</w:t>
      </w:r>
      <w:proofErr w:type="gramEnd"/>
      <w:r>
        <w:t xml:space="preserve"> </w:t>
      </w:r>
      <w:r w:rsidR="00077453">
        <w:t xml:space="preserve">Treatment by subgroup interaction test: MMRM </w:t>
      </w:r>
      <w:r w:rsidR="002B6EEE">
        <w:t xml:space="preserve">analysis </w:t>
      </w:r>
      <w:r w:rsidR="00077453">
        <w:t xml:space="preserve">of </w:t>
      </w:r>
      <w:r w:rsidR="002B6EEE">
        <w:t>average absolute change from baseline percent predicted FEV1 at week 16 and at week 24 full analysis set</w:t>
      </w:r>
    </w:p>
    <w:p w:rsidR="002B6EEE" w:rsidRPr="002B6EEE" w:rsidRDefault="002B6EEE" w:rsidP="002B6EEE">
      <w:r>
        <w:rPr>
          <w:noProof/>
          <w:lang w:eastAsia="en-AU"/>
        </w:rPr>
        <w:drawing>
          <wp:inline distT="0" distB="0" distL="0" distR="0" wp14:anchorId="5CB64749" wp14:editId="57D9A684">
            <wp:extent cx="5731510" cy="4098397"/>
            <wp:effectExtent l="0" t="0" r="2540" b="0"/>
            <wp:docPr id="55" name="Picture 55" descr="Table 42. Treatment by subgroup interaction test: MMRM analysis of average absolute change from baseline percent predicted FEV1 at week 16 and at week 24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731510" cy="4098397"/>
                    </a:xfrm>
                    <a:prstGeom prst="rect">
                      <a:avLst/>
                    </a:prstGeom>
                  </pic:spPr>
                </pic:pic>
              </a:graphicData>
            </a:graphic>
          </wp:inline>
        </w:drawing>
      </w:r>
    </w:p>
    <w:p w:rsidR="001607BB" w:rsidRPr="005F12FF" w:rsidRDefault="00AE3814" w:rsidP="005F12FF">
      <w:pPr>
        <w:pStyle w:val="Comment"/>
      </w:pPr>
      <w:r w:rsidRPr="005F12FF">
        <w:rPr>
          <w:b/>
        </w:rPr>
        <w:t>Comme</w:t>
      </w:r>
      <w:r w:rsidR="005F12FF" w:rsidRPr="005F12FF">
        <w:rPr>
          <w:b/>
        </w:rPr>
        <w:t>nt</w:t>
      </w:r>
      <w:r w:rsidRPr="005F12FF">
        <w:rPr>
          <w:b/>
        </w:rPr>
        <w:t>:</w:t>
      </w:r>
      <w:r w:rsidR="00F5007E" w:rsidRPr="005F12FF">
        <w:t xml:space="preserve"> </w:t>
      </w:r>
      <w:r w:rsidR="008125B9" w:rsidRPr="005F12FF">
        <w:tab/>
      </w:r>
      <w:r w:rsidR="00F5007E" w:rsidRPr="005F12FF">
        <w:t xml:space="preserve">This was also a well </w:t>
      </w:r>
      <w:r w:rsidRPr="005F12FF">
        <w:t xml:space="preserve">conducted pivotal </w:t>
      </w:r>
      <w:r w:rsidR="00511EB7" w:rsidRPr="005F12FF">
        <w:t>Phase III</w:t>
      </w:r>
      <w:r w:rsidRPr="005F12FF">
        <w:t xml:space="preserve"> study which was identical to </w:t>
      </w:r>
      <w:r w:rsidR="004E6042" w:rsidRPr="005F12FF">
        <w:t>Study</w:t>
      </w:r>
      <w:r w:rsidRPr="005F12FF">
        <w:t xml:space="preserve"> 103 described </w:t>
      </w:r>
      <w:r w:rsidR="002B6EEE" w:rsidRPr="005F12FF">
        <w:t>above</w:t>
      </w:r>
      <w:r w:rsidRPr="005F12FF">
        <w:t>. The primary and key secondary efficacy results are summar</w:t>
      </w:r>
      <w:r w:rsidR="002D7E74" w:rsidRPr="005F12FF">
        <w:t>ise</w:t>
      </w:r>
      <w:r w:rsidRPr="005F12FF">
        <w:t xml:space="preserve">d in Table </w:t>
      </w:r>
      <w:r w:rsidR="007A0321" w:rsidRPr="005F12FF">
        <w:t>43.</w:t>
      </w:r>
      <w:r w:rsidRPr="005F12FF">
        <w:t xml:space="preserve"> Results were also similar to those observed in </w:t>
      </w:r>
      <w:r w:rsidR="004E6042" w:rsidRPr="005F12FF">
        <w:t>Study</w:t>
      </w:r>
      <w:r w:rsidRPr="005F12FF">
        <w:t xml:space="preserve"> 103. Both active treatment groups demonstrated statistically significant treatment differences in favour of lumacaftor in combination with ivacaftor for the primary endpoint with improvements in lung function that were consistent. The treatment effect was rapid and sustained across all visits during the treatment period. Notably, there were robust reductions in the rate of pulmonary exacerbations, including statistically significant reductions in severe pulmonary exacerbations requiring IV antibiotic therapy. Furthermore, this study demonstrated statistically significant improvements in measures of nutritional status (BMI, weight, BMI z-score and weight z-score) which were not shown in </w:t>
      </w:r>
      <w:r w:rsidR="004E6042" w:rsidRPr="005F12FF">
        <w:t>Study</w:t>
      </w:r>
      <w:r w:rsidRPr="005F12FF">
        <w:t xml:space="preserve"> 103. Results of all sensitivity and supportive analyses were consistent with the results of the primary analyses. For </w:t>
      </w:r>
      <w:r w:rsidRPr="005F12FF">
        <w:lastRenderedPageBreak/>
        <w:t>some endpoints, the treatment effect numerically favoured 1 dosing regimen versus the other. However, the study was not powered to detect statistical differences between the 2 dosing regimens.</w:t>
      </w:r>
    </w:p>
    <w:p w:rsidR="002B6EEE" w:rsidRDefault="007A0321" w:rsidP="002B6EEE">
      <w:pPr>
        <w:pStyle w:val="Tabletitle"/>
      </w:pPr>
      <w:r>
        <w:t>Table 43 Study 104 Primary and key s</w:t>
      </w:r>
      <w:r w:rsidR="002B6EEE">
        <w:t>econdary efficacy results</w:t>
      </w:r>
    </w:p>
    <w:p w:rsidR="002B6EEE" w:rsidRPr="002B6EEE" w:rsidRDefault="002B6EEE" w:rsidP="002B6EEE">
      <w:r>
        <w:rPr>
          <w:noProof/>
          <w:lang w:eastAsia="en-AU"/>
        </w:rPr>
        <w:drawing>
          <wp:inline distT="0" distB="0" distL="0" distR="0" wp14:anchorId="53D5FE7A" wp14:editId="53907712">
            <wp:extent cx="4861758" cy="5786323"/>
            <wp:effectExtent l="0" t="0" r="0" b="5080"/>
            <wp:docPr id="56" name="Picture 56" descr="Table 43 Study 104 Primary and key secondary efficacy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4864404" cy="5789473"/>
                    </a:xfrm>
                    <a:prstGeom prst="rect">
                      <a:avLst/>
                    </a:prstGeom>
                  </pic:spPr>
                </pic:pic>
              </a:graphicData>
            </a:graphic>
          </wp:inline>
        </w:drawing>
      </w:r>
    </w:p>
    <w:p w:rsidR="00AE3814" w:rsidRPr="00AE3814" w:rsidRDefault="00F5007E" w:rsidP="00F5007E">
      <w:pPr>
        <w:pStyle w:val="Heading3"/>
      </w:pPr>
      <w:bookmarkStart w:id="27" w:name="_Toc461121050"/>
      <w:r>
        <w:t>Other efficacy studies</w:t>
      </w:r>
      <w:bookmarkEnd w:id="27"/>
    </w:p>
    <w:p w:rsidR="00AE3814" w:rsidRPr="00AE3814" w:rsidRDefault="00F5007E" w:rsidP="00F5007E">
      <w:pPr>
        <w:pStyle w:val="Heading4"/>
      </w:pPr>
      <w:r>
        <w:t>Study VX12-809-105</w:t>
      </w:r>
    </w:p>
    <w:p w:rsidR="00AE3814" w:rsidRPr="00AE3814" w:rsidRDefault="00AE3814" w:rsidP="00F5007E">
      <w:pPr>
        <w:pStyle w:val="Heading5"/>
      </w:pPr>
      <w:r w:rsidRPr="00AE3814">
        <w:t>Study design, obj</w:t>
      </w:r>
      <w:r w:rsidR="00F5007E">
        <w:t>ectives</w:t>
      </w:r>
    </w:p>
    <w:p w:rsidR="00AE3814" w:rsidRDefault="00AE3814" w:rsidP="00AE3814">
      <w:r w:rsidRPr="00AE3814">
        <w:t xml:space="preserve">This was a </w:t>
      </w:r>
      <w:r w:rsidR="00511EB7">
        <w:t>Phase III</w:t>
      </w:r>
      <w:r w:rsidRPr="00AE3814">
        <w:t xml:space="preserve">, </w:t>
      </w:r>
      <w:r w:rsidR="003C1B2B">
        <w:t>parallel group</w:t>
      </w:r>
      <w:r w:rsidRPr="00AE3814">
        <w:t xml:space="preserve">, </w:t>
      </w:r>
      <w:r w:rsidR="00F5007E" w:rsidRPr="00AE3814">
        <w:t>multicentre</w:t>
      </w:r>
      <w:r w:rsidRPr="00AE3814">
        <w:t xml:space="preserve">, rollover study in subjects with CF who were homozygous or heterozygous for the F508del-CFTR mutation and who participated in </w:t>
      </w:r>
      <w:r w:rsidR="004E6042">
        <w:t>Study</w:t>
      </w:r>
      <w:r w:rsidRPr="00AE3814">
        <w:t xml:space="preserve"> 103, </w:t>
      </w:r>
      <w:r w:rsidR="004E6042">
        <w:t>Study</w:t>
      </w:r>
      <w:r w:rsidRPr="00AE3814">
        <w:t xml:space="preserve"> 104, or Cohort 4 of </w:t>
      </w:r>
      <w:r w:rsidR="004E6042">
        <w:t>Study</w:t>
      </w:r>
      <w:r w:rsidRPr="00AE3814">
        <w:t xml:space="preserve"> 102. The study consisted of 2 parts (Part A and Part B) </w:t>
      </w:r>
      <w:r w:rsidRPr="007A0321">
        <w:t>(</w:t>
      </w:r>
      <w:r w:rsidRPr="002B6EEE">
        <w:t xml:space="preserve">Figure </w:t>
      </w:r>
      <w:r w:rsidR="007A0321">
        <w:t>14)</w:t>
      </w:r>
      <w:r w:rsidR="00F5007E">
        <w:t>.</w:t>
      </w:r>
    </w:p>
    <w:p w:rsidR="002B6EEE" w:rsidRDefault="002B6EEE" w:rsidP="002B6EEE">
      <w:pPr>
        <w:pStyle w:val="FigureTitle"/>
        <w:keepNext/>
      </w:pPr>
      <w:proofErr w:type="gramStart"/>
      <w:r>
        <w:lastRenderedPageBreak/>
        <w:t xml:space="preserve">Figure </w:t>
      </w:r>
      <w:r w:rsidR="007A0321">
        <w:t>14.</w:t>
      </w:r>
      <w:proofErr w:type="gramEnd"/>
      <w:r w:rsidR="007A0321">
        <w:t xml:space="preserve"> Phase III</w:t>
      </w:r>
      <w:r>
        <w:t xml:space="preserve"> open label long term study</w:t>
      </w:r>
      <w:r w:rsidR="001E48C6">
        <w:t>. Schematic of the study design</w:t>
      </w:r>
    </w:p>
    <w:p w:rsidR="002B6EEE" w:rsidRPr="002B6EEE" w:rsidRDefault="002B6EEE" w:rsidP="002B6EEE">
      <w:r>
        <w:rPr>
          <w:noProof/>
          <w:lang w:eastAsia="en-AU"/>
        </w:rPr>
        <w:drawing>
          <wp:inline distT="0" distB="0" distL="0" distR="0" wp14:anchorId="6834C4D4" wp14:editId="4B6FEA4F">
            <wp:extent cx="5048250" cy="6410325"/>
            <wp:effectExtent l="0" t="0" r="0" b="9525"/>
            <wp:docPr id="57" name="Picture 57" descr="Figure 14. Phase III open label long term study. Schematic of the study design&#10;Part A treatment cohort seperated into two groups &#10;Treatment group 1 (LUM 600 mg qd/ IVA 250 mg q12h)&#10;Treatment group 2 (LUM 499 mg q12h/IVA 250 mg q12h)&#10;These were treated for 96 weeks and had a safety folow up visit qt Week 100&#10;Part A Observational cohort were contacted by telephone  after the daty 1 visit and four times throught year one and at the end of year 2&#10;Part B Treatment cohort  &#10;Treatment group 3 recieved (LUM 400 mg q12h + IVA 250 mg q12h for the 96 week treatment period and had a safety follow up visit at Wee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048250" cy="6410325"/>
                    </a:xfrm>
                    <a:prstGeom prst="rect">
                      <a:avLst/>
                    </a:prstGeom>
                  </pic:spPr>
                </pic:pic>
              </a:graphicData>
            </a:graphic>
          </wp:inline>
        </w:drawing>
      </w:r>
    </w:p>
    <w:p w:rsidR="00AC0603" w:rsidRDefault="00AC0603" w:rsidP="00AC0603">
      <w:pPr>
        <w:pStyle w:val="Heading6"/>
      </w:pPr>
      <w:r>
        <w:t>Part A</w:t>
      </w:r>
    </w:p>
    <w:p w:rsidR="00AC0603" w:rsidRDefault="00AC0603" w:rsidP="00AE3814">
      <w:r w:rsidRPr="00AC0603">
        <w:t xml:space="preserve">Part A </w:t>
      </w:r>
      <w:r w:rsidR="00AE3814" w:rsidRPr="00AE3814">
        <w:t xml:space="preserve">enrolled subjects with CF who are homozygous for the F508del-CFTR mutation from pivotal </w:t>
      </w:r>
      <w:r w:rsidR="00511EB7">
        <w:t>Phase III</w:t>
      </w:r>
      <w:r w:rsidR="00AE3814" w:rsidRPr="00AE3814">
        <w:t xml:space="preserve"> </w:t>
      </w:r>
      <w:r w:rsidR="00980975">
        <w:t>Studies</w:t>
      </w:r>
      <w:r w:rsidR="00AE3814" w:rsidRPr="00AE3814">
        <w:t xml:space="preserve"> 103 and 104. Part A consisted of a Treatment Cohort and an Observational Cohort, w</w:t>
      </w:r>
      <w:r w:rsidR="00D13AF6">
        <w:t>hich were enrolled in parallel.</w:t>
      </w:r>
    </w:p>
    <w:p w:rsidR="00AE3814" w:rsidRPr="00AE3814" w:rsidRDefault="00AE3814" w:rsidP="00AE3814">
      <w:r w:rsidRPr="00AE3814">
        <w:t xml:space="preserve">Enrolment in the Part A Treatment Cohort was limited to subjects who met the study criteria and (1) were receiving study drug treatment at the end of treatment in </w:t>
      </w:r>
      <w:r w:rsidR="004E6042">
        <w:t>Study</w:t>
      </w:r>
      <w:r w:rsidRPr="00AE3814">
        <w:t xml:space="preserve"> 103 or </w:t>
      </w:r>
      <w:r w:rsidR="004E6042">
        <w:t>Study</w:t>
      </w:r>
      <w:r w:rsidRPr="00AE3814">
        <w:t xml:space="preserve"> 104, or (2) were not receiving study drug treatment at the end of treatment in </w:t>
      </w:r>
      <w:r w:rsidR="004E6042">
        <w:t>Study</w:t>
      </w:r>
      <w:r w:rsidRPr="00AE3814">
        <w:t xml:space="preserve"> 103 or </w:t>
      </w:r>
      <w:r w:rsidR="004E6042">
        <w:t>Study</w:t>
      </w:r>
      <w:r w:rsidRPr="00AE3814">
        <w:t xml:space="preserve"> 104, including subjects for whom study drug interruption was required to be either continued or initiated at Day 1 in </w:t>
      </w:r>
      <w:r w:rsidR="004E6042">
        <w:t>Study</w:t>
      </w:r>
      <w:r w:rsidRPr="00AE3814">
        <w:t xml:space="preserve"> 105, and who received approval for entry from Vertex Pharmaceuticals Incorporated (Vertex). Subjects who prematurely discontinued study drug treatment in </w:t>
      </w:r>
      <w:r w:rsidR="004E6042">
        <w:t>Study</w:t>
      </w:r>
      <w:r w:rsidRPr="00AE3814">
        <w:t xml:space="preserve"> 103 or </w:t>
      </w:r>
      <w:r w:rsidR="004E6042">
        <w:t>Study</w:t>
      </w:r>
      <w:r w:rsidRPr="00AE3814">
        <w:t xml:space="preserve"> 104 were not eligible for the Part </w:t>
      </w:r>
      <w:proofErr w:type="gramStart"/>
      <w:r w:rsidRPr="00AE3814">
        <w:t>A</w:t>
      </w:r>
      <w:proofErr w:type="gramEnd"/>
      <w:r w:rsidRPr="00AE3814">
        <w:t xml:space="preserve"> Treatment Cohort.</w:t>
      </w:r>
      <w:r w:rsidR="00CC3BC8">
        <w:t xml:space="preserve"> </w:t>
      </w:r>
      <w:r w:rsidRPr="00AE3814">
        <w:t xml:space="preserve">The Part </w:t>
      </w:r>
      <w:r w:rsidRPr="00AE3814">
        <w:lastRenderedPageBreak/>
        <w:t xml:space="preserve">A Treatment Cohort was </w:t>
      </w:r>
      <w:r w:rsidR="003C1B2B">
        <w:t>double blind</w:t>
      </w:r>
      <w:r w:rsidRPr="00AE3814">
        <w:t xml:space="preserve"> in order to maintain the blind from </w:t>
      </w:r>
      <w:r w:rsidR="004E6042">
        <w:t>Study</w:t>
      </w:r>
      <w:r w:rsidRPr="00AE3814">
        <w:t xml:space="preserve"> 103 and </w:t>
      </w:r>
      <w:r w:rsidR="004E6042">
        <w:t>Study</w:t>
      </w:r>
      <w:r w:rsidRPr="00AE3814">
        <w:t xml:space="preserve"> 104, and con</w:t>
      </w:r>
      <w:r w:rsidR="00F5007E">
        <w:t xml:space="preserve">sisted of 2 treatment groups: </w:t>
      </w:r>
      <w:r w:rsidRPr="00AE3814">
        <w:t xml:space="preserve">Treatment Group 1: lumacaftor (LUM) 600 mg daily (qd)/ ivacaftor (IVA) 250 mg every 12 hours (q12h); Treatment Group 2: LUM 400 mg q12h/IVA 250 mg q12h. Subjects who received lumacaftor in combination with ivacaftor in </w:t>
      </w:r>
      <w:r w:rsidR="004E6042">
        <w:t>Study</w:t>
      </w:r>
      <w:r w:rsidRPr="00AE3814">
        <w:t xml:space="preserve"> 103 or </w:t>
      </w:r>
      <w:r w:rsidR="004E6042">
        <w:t>Study</w:t>
      </w:r>
      <w:r w:rsidRPr="00AE3814">
        <w:t xml:space="preserve"> 104 continued to receive the same dose and regimen of study drug in a </w:t>
      </w:r>
      <w:r w:rsidR="003C1B2B">
        <w:t>double blind</w:t>
      </w:r>
      <w:r w:rsidR="00D96319">
        <w:t xml:space="preserve"> fashion, as follows: </w:t>
      </w:r>
      <w:r w:rsidRPr="00AE3814">
        <w:t>Subjects who were random</w:t>
      </w:r>
      <w:r w:rsidR="002D7E74">
        <w:t>ise</w:t>
      </w:r>
      <w:r w:rsidRPr="00AE3814">
        <w:t xml:space="preserve">d to LUM 600 mg qd/IVA 250 mg q12h in </w:t>
      </w:r>
      <w:r w:rsidR="004E6042">
        <w:t>Study</w:t>
      </w:r>
      <w:r w:rsidRPr="00AE3814">
        <w:t xml:space="preserve"> 103 and </w:t>
      </w:r>
      <w:r w:rsidR="004E6042">
        <w:t>Study</w:t>
      </w:r>
      <w:r w:rsidRPr="00AE3814">
        <w:t xml:space="preserve"> 104 were </w:t>
      </w:r>
      <w:r w:rsidR="00D96319">
        <w:t xml:space="preserve">assigned to Treatment Group 1; </w:t>
      </w:r>
      <w:r w:rsidRPr="00AE3814">
        <w:t>Subjects who were random</w:t>
      </w:r>
      <w:r w:rsidR="002D7E74">
        <w:t>ise</w:t>
      </w:r>
      <w:r w:rsidRPr="00AE3814">
        <w:t xml:space="preserve">d to LUM 400 mg q12h/IVA 250 mg q12h in </w:t>
      </w:r>
      <w:r w:rsidR="004E6042">
        <w:t>Study</w:t>
      </w:r>
      <w:r w:rsidRPr="00AE3814">
        <w:t xml:space="preserve"> 103 and </w:t>
      </w:r>
      <w:r w:rsidR="004E6042">
        <w:t>Study</w:t>
      </w:r>
      <w:r w:rsidRPr="00AE3814">
        <w:t xml:space="preserve"> 104 were assigned to Treatment Group 2. Subjects who received placebo in </w:t>
      </w:r>
      <w:r w:rsidR="004E6042">
        <w:t>Study</w:t>
      </w:r>
      <w:r w:rsidRPr="00AE3814">
        <w:t xml:space="preserve"> 103 or </w:t>
      </w:r>
      <w:r w:rsidR="004E6042">
        <w:t>Study</w:t>
      </w:r>
      <w:r w:rsidRPr="00AE3814">
        <w:t xml:space="preserve"> 104 were random</w:t>
      </w:r>
      <w:r w:rsidR="002D7E74">
        <w:t>ise</w:t>
      </w:r>
      <w:r w:rsidRPr="00AE3814">
        <w:t xml:space="preserve">d (1:1) to Treatment Group 1 or Treatment Group 2. These subjects were stratified by sex (male versus female), age at baseline of the subject’s previous study </w:t>
      </w:r>
      <w:r w:rsidR="00511EB7">
        <w:t xml:space="preserve">&lt; </w:t>
      </w:r>
      <w:r w:rsidRPr="00AE3814">
        <w:t xml:space="preserve">18 versus </w:t>
      </w:r>
      <w:r w:rsidR="00A91223">
        <w:t xml:space="preserve">≥ </w:t>
      </w:r>
      <w:r w:rsidRPr="00AE3814">
        <w:t>18 years old), and forced expiratory volume in 1 second (</w:t>
      </w:r>
      <w:r w:rsidR="00A8789D" w:rsidRPr="001D064D">
        <w:t>FEV</w:t>
      </w:r>
      <w:r w:rsidR="00A8789D" w:rsidRPr="00A8789D">
        <w:rPr>
          <w:vertAlign w:val="subscript"/>
        </w:rPr>
        <w:t>1</w:t>
      </w:r>
      <w:r w:rsidRPr="00AE3814">
        <w:t xml:space="preserve">, </w:t>
      </w:r>
      <w:r w:rsidR="00D96319">
        <w:t>&lt; </w:t>
      </w:r>
      <w:r w:rsidRPr="00AE3814">
        <w:t xml:space="preserve">70 versus </w:t>
      </w:r>
      <w:r w:rsidR="00A91223">
        <w:t xml:space="preserve">≥ </w:t>
      </w:r>
      <w:r w:rsidRPr="00AE3814">
        <w:t>70) severity as assessed at screening o</w:t>
      </w:r>
      <w:r w:rsidR="00D96319">
        <w:t>f the subject’s previous study.</w:t>
      </w:r>
    </w:p>
    <w:p w:rsidR="001607BB" w:rsidRPr="00AE3814" w:rsidRDefault="00AE3814" w:rsidP="00AE3814">
      <w:r w:rsidRPr="00AE3814">
        <w:t xml:space="preserve">Part </w:t>
      </w:r>
      <w:proofErr w:type="gramStart"/>
      <w:r w:rsidRPr="00AE3814">
        <w:t>A</w:t>
      </w:r>
      <w:proofErr w:type="gramEnd"/>
      <w:r w:rsidRPr="00AE3814">
        <w:t xml:space="preserve"> Observational Cohort included subjects who met the study criteria and who received at least 4 weeks of study drug in </w:t>
      </w:r>
      <w:r w:rsidR="004E6042">
        <w:t>Study</w:t>
      </w:r>
      <w:r w:rsidRPr="00AE3814">
        <w:t xml:space="preserve"> 103 or </w:t>
      </w:r>
      <w:r w:rsidR="004E6042">
        <w:t>Study</w:t>
      </w:r>
      <w:r w:rsidRPr="00AE3814">
        <w:t xml:space="preserve"> 104 and who either were not eligible for the Part A Treatment Cohort or chose not to continue treatment with lumacaftor in combination with ivacaftor. Subjects in the Part </w:t>
      </w:r>
      <w:proofErr w:type="gramStart"/>
      <w:r w:rsidRPr="00AE3814">
        <w:t>A</w:t>
      </w:r>
      <w:proofErr w:type="gramEnd"/>
      <w:r w:rsidRPr="00AE3814">
        <w:t xml:space="preserve"> Observational Cohort did not receive study drug.</w:t>
      </w:r>
    </w:p>
    <w:p w:rsidR="00AC0603" w:rsidRDefault="00AC0603" w:rsidP="00AC0603">
      <w:pPr>
        <w:pStyle w:val="Heading6"/>
      </w:pPr>
      <w:r w:rsidRPr="00AC0603">
        <w:t>Part B</w:t>
      </w:r>
    </w:p>
    <w:p w:rsidR="00AC0603" w:rsidRDefault="00AE3814" w:rsidP="00AE3814">
      <w:r w:rsidRPr="00AE3814">
        <w:t xml:space="preserve">Part B of this study enrolled subjects with CF heterozygous for F508del-CFTR who participated in a qualifying previous study of lumacaftor in combination with ivacaftor (Cohort 4 of </w:t>
      </w:r>
      <w:r w:rsidR="004E6042">
        <w:t>Study</w:t>
      </w:r>
      <w:r w:rsidRPr="00AE3814">
        <w:t xml:space="preserve"> 102).</w:t>
      </w:r>
    </w:p>
    <w:p w:rsidR="00AE3814" w:rsidRPr="00AE3814" w:rsidRDefault="00AE3814" w:rsidP="00AE3814">
      <w:r w:rsidRPr="00AE3814">
        <w:t xml:space="preserve">Enrolment in the Part B Treatment Cohort was limited to subjects who met the study criteria and (1) were receiving study drug treatment at the end of treatment in Cohort 4 of </w:t>
      </w:r>
      <w:r w:rsidR="004E6042">
        <w:t>Study</w:t>
      </w:r>
      <w:r w:rsidRPr="00AE3814">
        <w:t xml:space="preserve"> 102, or (2) were not receiving study drug treatment at the end of treatment in Cohort 4 of </w:t>
      </w:r>
      <w:r w:rsidR="004E6042">
        <w:t>Study</w:t>
      </w:r>
      <w:r w:rsidRPr="00AE3814">
        <w:t xml:space="preserve"> 102 but received approval for entry from Vertex. Subjects in Cohort 4 of </w:t>
      </w:r>
      <w:r w:rsidR="004E6042">
        <w:t>Study</w:t>
      </w:r>
      <w:r w:rsidRPr="00AE3814">
        <w:t xml:space="preserve"> 102 who prematurely discontinued study drug treatment were not eligible for the Part B Treatment Cohort. The Part B Treatment Cohort was open-label and consisted of one treatment group: Treatment Group 3</w:t>
      </w:r>
      <w:r>
        <w:rPr>
          <w:rStyle w:val="FootnoteReference"/>
        </w:rPr>
        <w:footnoteReference w:id="15"/>
      </w:r>
      <w:r w:rsidRPr="00AE3814">
        <w:t xml:space="preserve">: </w:t>
      </w:r>
      <w:r w:rsidR="00D96319">
        <w:t>LUM 400 mg q12h/IVA 250 mg q12h.</w:t>
      </w:r>
    </w:p>
    <w:p w:rsidR="001607BB" w:rsidRPr="00AE3814" w:rsidRDefault="00AE3814" w:rsidP="00AE3814">
      <w:r w:rsidRPr="00AE3814">
        <w:t>The primary objective was to evaluate the long-term safety and tolerability of lumacaftor in combination with ivacaftor in subjects with CF, homozygous or heterozygous for the F508del-CFTR mutation, who were in the Part A and Part B Treatment Cohorts. The secondary objectives were to evaluate the long-term efficacy and durability of lumacaftor in combination with ivacaftor in the Part A treatment cohort; to evaluate the post-treatment safety and tolerability of lumacaftor in combination with ivacaftor for subjects in the Part A Observational Cohort and to evaluate the long-term efficacy and durability of lumacaftor in combination with ivacaftor for subjects in the Part B Treatment Cohort. This study was conducted at 191 sites in North America, Europe, and Australia. It was initiated on 24 October, 2013 and still ongoing with results presented till 21 July, 2014.</w:t>
      </w:r>
    </w:p>
    <w:p w:rsidR="00AE3814" w:rsidRPr="005F12FF" w:rsidRDefault="005F12FF" w:rsidP="005F12FF">
      <w:pPr>
        <w:pStyle w:val="Comment"/>
      </w:pPr>
      <w:r w:rsidRPr="005F12FF">
        <w:rPr>
          <w:b/>
        </w:rPr>
        <w:t>Comment</w:t>
      </w:r>
      <w:r w:rsidR="00AE3814" w:rsidRPr="005F12FF">
        <w:rPr>
          <w:b/>
        </w:rPr>
        <w:t>:</w:t>
      </w:r>
      <w:r w:rsidR="00AE3814" w:rsidRPr="005F12FF">
        <w:t xml:space="preserve"> The first Interim Analysis submitted in current dossier was conducted based on a data snapshot taken of 21 July 2014. This date was selected in order to provide long-term safety and efficacy data for at least 100 subjects who had completed the Week 24 visit in </w:t>
      </w:r>
      <w:r w:rsidR="004E6042" w:rsidRPr="005F12FF">
        <w:t>Study</w:t>
      </w:r>
      <w:r w:rsidR="00AE3814" w:rsidRPr="005F12FF">
        <w:t xml:space="preserve"> 105, as part of the initial Common Technical Document (CTD)</w:t>
      </w:r>
      <w:r w:rsidR="00D96319" w:rsidRPr="005F12FF">
        <w:t xml:space="preserve"> to request marketing approval.</w:t>
      </w:r>
    </w:p>
    <w:p w:rsidR="00AE3814" w:rsidRPr="00AE3814" w:rsidRDefault="00AE3814" w:rsidP="00AE3814">
      <w:r w:rsidRPr="00AE3814">
        <w:t xml:space="preserve">Part A and Part B Treatment Cohorts included a Treatment Period (Day 1 </w:t>
      </w:r>
      <w:r w:rsidR="004E6042">
        <w:t>(</w:t>
      </w:r>
      <w:r w:rsidRPr="00AE3814">
        <w:t>first dose of study drug</w:t>
      </w:r>
      <w:r w:rsidR="004E6042">
        <w:t>)</w:t>
      </w:r>
      <w:r w:rsidRPr="00AE3814">
        <w:t xml:space="preserve"> through Week 96 ± 1 week) and a Safety Follow-up Visit (4 weeks ± 7 days after the last </w:t>
      </w:r>
      <w:r w:rsidRPr="00AE3814">
        <w:lastRenderedPageBreak/>
        <w:t xml:space="preserve">dose of study drug). Clinic visits occurred on Day 1 and Day 15 (± 3 days) and at Weeks 8, 16, 24, 36, 48, 60, 72, 84, and 96 (± 1 week). Liver function testing (ALT, AST, GGT, ALP, and total bilirubin) was performed at the scheduled visits and at Weeks 4, 12, 20, 28, 32, 40, 44, 52, 56, 60, 64, 68, 76, 80, 84, 88, and 92 (± 1 week). Telephone contact was to be made at Day 3 (± 1 day) to assess the subject's status, any adverse events (AEs), concomitant medications, treatments, and procedures. Subjects who prematurely discontinued study drug were required to complete an Early Termination Visit (within 1 week of the last dose of study drug) and the Safety Follow-up Visit. The Part </w:t>
      </w:r>
      <w:proofErr w:type="gramStart"/>
      <w:r w:rsidRPr="00AE3814">
        <w:t>A</w:t>
      </w:r>
      <w:proofErr w:type="gramEnd"/>
      <w:r w:rsidRPr="00AE3814">
        <w:t xml:space="preserve"> Observational Cohort included a Day 1 Visit and Long-term Follow-up (telephone contacts approximately every 3 to 4 months in the first year and approximately 2 years (± 4 weeks) aft</w:t>
      </w:r>
      <w:r w:rsidR="00307E0C">
        <w:t>er the last dose of study drug.</w:t>
      </w:r>
    </w:p>
    <w:p w:rsidR="00583DB8" w:rsidRDefault="00AE3814" w:rsidP="00307E0C">
      <w:pPr>
        <w:pStyle w:val="Heading5"/>
      </w:pPr>
      <w:r w:rsidRPr="00AE3814">
        <w:t>Inclusion/ exclusion criteria, study treatme</w:t>
      </w:r>
      <w:r w:rsidR="00307E0C">
        <w:t>nt</w:t>
      </w:r>
    </w:p>
    <w:p w:rsidR="00AE3814" w:rsidRDefault="00AE3814" w:rsidP="00AE3814">
      <w:r w:rsidRPr="00AE3814">
        <w:t xml:space="preserve">Subjects who completed 24 weeks of study drug treatment in </w:t>
      </w:r>
      <w:r w:rsidR="004E6042">
        <w:t>Study</w:t>
      </w:r>
      <w:r w:rsidRPr="00AE3814">
        <w:t xml:space="preserve"> 103 or </w:t>
      </w:r>
      <w:r w:rsidR="004E6042">
        <w:t>Study</w:t>
      </w:r>
      <w:r w:rsidRPr="00AE3814">
        <w:t xml:space="preserve"> 104 could elect to enrol in Part A in either the Treatment Cohort</w:t>
      </w:r>
      <w:r w:rsidR="00583DB8">
        <w:rPr>
          <w:rStyle w:val="FootnoteReference"/>
        </w:rPr>
        <w:footnoteReference w:id="16"/>
      </w:r>
      <w:r w:rsidR="00583DB8">
        <w:t>.</w:t>
      </w:r>
      <w:r w:rsidRPr="00AE3814">
        <w:t xml:space="preserve"> </w:t>
      </w:r>
      <w:proofErr w:type="gramStart"/>
      <w:r w:rsidRPr="00AE3814">
        <w:t>or</w:t>
      </w:r>
      <w:proofErr w:type="gramEnd"/>
      <w:r w:rsidRPr="00AE3814">
        <w:t xml:space="preserve"> the Observational</w:t>
      </w:r>
      <w:r w:rsidR="00583DB8">
        <w:rPr>
          <w:rStyle w:val="FootnoteReference"/>
        </w:rPr>
        <w:footnoteReference w:id="17"/>
      </w:r>
      <w:r w:rsidRPr="00AE3814">
        <w:t xml:space="preserve"> Cohort. Subjects who completed 56 days of study drug treatment in Cohort 4 of </w:t>
      </w:r>
      <w:r w:rsidR="004E6042">
        <w:t>Study</w:t>
      </w:r>
      <w:r w:rsidRPr="00AE3814">
        <w:t xml:space="preserve"> 102 could elect to enrol in the Part B Treatment Cohort</w:t>
      </w:r>
      <w:r w:rsidR="00583DB8">
        <w:rPr>
          <w:rStyle w:val="FootnoteReference"/>
        </w:rPr>
        <w:footnoteReference w:id="18"/>
      </w:r>
      <w:r w:rsidR="00583DB8">
        <w:t>.</w:t>
      </w:r>
      <w:r w:rsidRPr="00AE3814">
        <w:t xml:space="preserve"> The inclusion and exclusion criteria are summarised </w:t>
      </w:r>
      <w:r w:rsidR="006379F0">
        <w:t>below.</w:t>
      </w:r>
    </w:p>
    <w:p w:rsidR="001E48C6" w:rsidRDefault="001E48C6" w:rsidP="001E48C6">
      <w:pPr>
        <w:pStyle w:val="Heading6"/>
      </w:pPr>
      <w:r w:rsidRPr="001E48C6">
        <w:rPr>
          <w:rFonts w:eastAsiaTheme="minorHAnsi"/>
        </w:rPr>
        <w:t>Inclusion criteria:</w:t>
      </w:r>
    </w:p>
    <w:p w:rsidR="001E48C6" w:rsidRPr="001E48C6" w:rsidRDefault="001E48C6" w:rsidP="001E48C6">
      <w:pPr>
        <w:pStyle w:val="Numberbullet0"/>
        <w:numPr>
          <w:ilvl w:val="0"/>
          <w:numId w:val="35"/>
        </w:numPr>
      </w:pPr>
      <w:r w:rsidRPr="001E48C6">
        <w:t>Signed ICF, and where a</w:t>
      </w:r>
      <w:r>
        <w:t>ppropriate, signed assent form</w:t>
      </w:r>
    </w:p>
    <w:p w:rsidR="001E48C6" w:rsidRPr="001E48C6" w:rsidRDefault="001E48C6" w:rsidP="001E48C6">
      <w:pPr>
        <w:pStyle w:val="Numberbullet0"/>
      </w:pPr>
      <w:r w:rsidRPr="001E48C6">
        <w:t xml:space="preserve">Subjects entering the Part A Treatment Cohort were required to meet </w:t>
      </w:r>
      <w:r>
        <w:t>both of the following criteria:</w:t>
      </w:r>
    </w:p>
    <w:p w:rsidR="001E48C6" w:rsidRPr="001E48C6" w:rsidRDefault="001E48C6" w:rsidP="001E48C6">
      <w:pPr>
        <w:pStyle w:val="ListBullet"/>
      </w:pPr>
      <w:r w:rsidRPr="001E48C6">
        <w:t>Completed 24 weeks of study drug trea</w:t>
      </w:r>
      <w:r>
        <w:t>tment in Study 103 or Study 104</w:t>
      </w:r>
    </w:p>
    <w:p w:rsidR="001E48C6" w:rsidRPr="001E48C6" w:rsidRDefault="001E48C6" w:rsidP="001E48C6">
      <w:pPr>
        <w:pStyle w:val="ListBullet"/>
      </w:pPr>
      <w:r w:rsidRPr="001E48C6">
        <w:t>Subjects who had study drug interruptions, but completed study visits up to Week 24 of Study 103 or 104 were eligible. Subjects who were not taking study drug at the Week 24 Visit, including subjects that require study drug interruption to be either continued or initiated at Day 1 in Study 105, were required to have Vertex approval for enrolment/randomization in the Part A Treatment Cohort Elected to enrol in the Part A Treatment Coh</w:t>
      </w:r>
      <w:r>
        <w:t>ort</w:t>
      </w:r>
    </w:p>
    <w:p w:rsidR="001E48C6" w:rsidRPr="001E48C6" w:rsidRDefault="001E48C6" w:rsidP="001E48C6">
      <w:r w:rsidRPr="001E48C6">
        <w:t xml:space="preserve">Subjects entering the Part </w:t>
      </w:r>
      <w:proofErr w:type="gramStart"/>
      <w:r w:rsidRPr="001E48C6">
        <w:t>A</w:t>
      </w:r>
      <w:proofErr w:type="gramEnd"/>
      <w:r w:rsidRPr="001E48C6">
        <w:t xml:space="preserve"> Observational Cohort were required </w:t>
      </w:r>
      <w:r>
        <w:t>to meet the following criteria:</w:t>
      </w:r>
    </w:p>
    <w:p w:rsidR="001E48C6" w:rsidRPr="001E48C6" w:rsidRDefault="001E48C6" w:rsidP="001E48C6">
      <w:pPr>
        <w:pStyle w:val="ListBullet"/>
      </w:pPr>
      <w:r w:rsidRPr="001E48C6">
        <w:t>Completed 24 weeks of study drug treatment in Study 103 or Study 104, but did not elect to enrol</w:t>
      </w:r>
      <w:r>
        <w:t xml:space="preserve"> in the Part A Treatment Cohort</w:t>
      </w:r>
    </w:p>
    <w:p w:rsidR="001E48C6" w:rsidRPr="001E48C6" w:rsidRDefault="001E48C6" w:rsidP="001E48C6">
      <w:pPr>
        <w:pStyle w:val="ListBullet"/>
      </w:pPr>
      <w:r w:rsidRPr="001E48C6">
        <w:t>Subjects who received at least 4 weeks of study drug and completed visits up to Week 24 Visit of Study 103 or 104 but were not taking study drug at the Week 24 Visit because of a drug interruption and did not receive Vertex approval for enrolment into the Part A Treatment Cohort (or elected not to enrol</w:t>
      </w:r>
      <w:r>
        <w:t xml:space="preserve"> in the Part A Treatment Cohort)</w:t>
      </w:r>
    </w:p>
    <w:p w:rsidR="001E48C6" w:rsidRPr="001E48C6" w:rsidRDefault="001E48C6" w:rsidP="001E48C6">
      <w:pPr>
        <w:pStyle w:val="ListBullet"/>
      </w:pPr>
      <w:r w:rsidRPr="001E48C6">
        <w:t xml:space="preserve">Subjects who permanently discontinued study drug after receiving at least 4 weeks of study drug and remained in the study from the time of discontinuation of study drug treatment through the Week 24 </w:t>
      </w:r>
      <w:r w:rsidR="00D13AF6">
        <w:t>Visit in Study 103 or Study 104.</w:t>
      </w:r>
    </w:p>
    <w:p w:rsidR="001E48C6" w:rsidRPr="001E48C6" w:rsidRDefault="001E48C6" w:rsidP="001E48C6">
      <w:r w:rsidRPr="001E48C6">
        <w:lastRenderedPageBreak/>
        <w:t xml:space="preserve">Subjects entering the Part B Treatment Cohort were required to meet </w:t>
      </w:r>
      <w:r>
        <w:t>both of the following criteria:</w:t>
      </w:r>
    </w:p>
    <w:p w:rsidR="001E48C6" w:rsidRPr="001E48C6" w:rsidRDefault="001E48C6" w:rsidP="001E48C6">
      <w:pPr>
        <w:pStyle w:val="ListBullet"/>
      </w:pPr>
      <w:r w:rsidRPr="001E48C6">
        <w:t>Completed 56 days of study drug tre</w:t>
      </w:r>
      <w:r>
        <w:t>atment in Cohort 4 of Study 102</w:t>
      </w:r>
    </w:p>
    <w:p w:rsidR="001E48C6" w:rsidRPr="001E48C6" w:rsidRDefault="001E48C6" w:rsidP="001E48C6">
      <w:pPr>
        <w:pStyle w:val="ListBullet"/>
      </w:pPr>
      <w:r w:rsidRPr="001E48C6">
        <w:t xml:space="preserve">Subjects who had study drug interruptions but completed study visits up to Day 56 were eligible. Subjects who were not taking study drug at the Day 56 Visit, including subjects for </w:t>
      </w:r>
      <w:proofErr w:type="gramStart"/>
      <w:r w:rsidRPr="001E48C6">
        <w:t>whom</w:t>
      </w:r>
      <w:proofErr w:type="gramEnd"/>
      <w:r w:rsidRPr="001E48C6">
        <w:t xml:space="preserve"> study drug interruption was required to be either continued or initiated at Day 1 in Study 105, were required to have Vertex approval for enrolment/randomization in the Part B Treatment Cohort. Elected to enrol in the Part B Treatment Cohort </w:t>
      </w:r>
    </w:p>
    <w:p w:rsidR="001E48C6" w:rsidRPr="001E48C6" w:rsidRDefault="001E48C6" w:rsidP="001E48C6">
      <w:pPr>
        <w:pStyle w:val="Numberbullet0"/>
      </w:pPr>
      <w:r w:rsidRPr="001E48C6">
        <w:t xml:space="preserve">Willing to remain on a stable CF medication regimen through the end of study (Part A and </w:t>
      </w:r>
      <w:r w:rsidR="00D13AF6">
        <w:t>Part B Treatment Cohorts only).</w:t>
      </w:r>
    </w:p>
    <w:p w:rsidR="001E48C6" w:rsidRPr="001E48C6" w:rsidRDefault="001E48C6" w:rsidP="001E48C6">
      <w:pPr>
        <w:pStyle w:val="Numberbullet0"/>
      </w:pPr>
      <w:r w:rsidRPr="001E48C6">
        <w:t>Able to understand and comply with protocol requirements, restrictions, and instructions, and likely to complete the study as planned, as judged by the investigator and Vertex, based in part on study compliance in Study 103, Study 104, and Cohort 4 of Study 102.</w:t>
      </w:r>
    </w:p>
    <w:p w:rsidR="001E48C6" w:rsidRDefault="001E48C6" w:rsidP="001E48C6">
      <w:pPr>
        <w:pStyle w:val="Heading6"/>
      </w:pPr>
      <w:r>
        <w:t>Exclusion criteria</w:t>
      </w:r>
    </w:p>
    <w:p w:rsidR="001E48C6" w:rsidRPr="001E48C6" w:rsidRDefault="001E48C6" w:rsidP="001E48C6">
      <w:pPr>
        <w:pStyle w:val="Numberbullet0"/>
        <w:numPr>
          <w:ilvl w:val="0"/>
          <w:numId w:val="36"/>
        </w:numPr>
      </w:pPr>
      <w:r w:rsidRPr="001E48C6">
        <w:t>Any comorbidity or laboratory abnormality that, in the opinion of the investigator, might have confounded the results of the study or posed an additional risk in administering study drug to the subject (e.g., cirrh</w:t>
      </w:r>
      <w:r w:rsidR="00D13AF6">
        <w:t>osis with portal hypertension).</w:t>
      </w:r>
    </w:p>
    <w:p w:rsidR="001E48C6" w:rsidRPr="001E48C6" w:rsidRDefault="00535A59" w:rsidP="001E48C6">
      <w:pPr>
        <w:pStyle w:val="Numberbullet0"/>
      </w:pPr>
      <w:r>
        <w:t xml:space="preserve">Pregnant and nursing females; </w:t>
      </w:r>
      <w:r w:rsidR="001E48C6" w:rsidRPr="001E48C6">
        <w:t>childbearing potential females were required to have a negative urine pregnancy test at the Day 1 Visit and before they receiv</w:t>
      </w:r>
      <w:r w:rsidR="00D13AF6">
        <w:t>ed the first dose of study drug.</w:t>
      </w:r>
    </w:p>
    <w:p w:rsidR="001E48C6" w:rsidRDefault="001E48C6" w:rsidP="001E48C6">
      <w:pPr>
        <w:pStyle w:val="Numberbullet0"/>
      </w:pPr>
      <w:r w:rsidRPr="001E48C6">
        <w:t>Sexually active subjects of reproductive potential who were not willing to follow</w:t>
      </w:r>
      <w:r w:rsidR="00D13AF6">
        <w:t xml:space="preserve"> the contraception requirements.</w:t>
      </w:r>
    </w:p>
    <w:p w:rsidR="001E48C6" w:rsidRPr="001E48C6" w:rsidRDefault="001E48C6" w:rsidP="001E48C6">
      <w:pPr>
        <w:pStyle w:val="Numberbullet0"/>
      </w:pPr>
      <w:r w:rsidRPr="001E48C6">
        <w:t xml:space="preserve">History of drug intolerance in the previous study that would have posed an additional risk to the subject in the opinion of investigator or Vertex. Examples of subjects who may not have been eligible for any of the treatment </w:t>
      </w:r>
      <w:r w:rsidR="00D13AF6">
        <w:t xml:space="preserve">groups include the following: </w:t>
      </w:r>
      <w:r w:rsidRPr="001E48C6">
        <w:t>Subjects with a history of allergy or hypersensitivity to the study</w:t>
      </w:r>
      <w:r w:rsidR="00D13AF6">
        <w:t xml:space="preserve"> drug; </w:t>
      </w:r>
      <w:r w:rsidRPr="001E48C6">
        <w:t>Liver function test (LFT) abnormality during study drug treatment in the previous study (Study 103, Study 104, or Cohort 4 of Study 102) for which a cl</w:t>
      </w:r>
      <w:r w:rsidR="00D13AF6">
        <w:t xml:space="preserve">ear cause was not identified.; </w:t>
      </w:r>
      <w:r w:rsidRPr="001E48C6">
        <w:t>Other severe or life-threatening reactions to the study drug in t</w:t>
      </w:r>
      <w:r w:rsidR="00D13AF6">
        <w:t>he previous study.</w:t>
      </w:r>
    </w:p>
    <w:p w:rsidR="001E48C6" w:rsidRPr="001E48C6" w:rsidRDefault="001E48C6" w:rsidP="001E48C6">
      <w:pPr>
        <w:pStyle w:val="Numberbullet0"/>
      </w:pPr>
      <w:r w:rsidRPr="001E48C6">
        <w:t>History of poor compliance with study drug and/or procedures in the previous study</w:t>
      </w:r>
      <w:r w:rsidR="00D13AF6">
        <w:t xml:space="preserve"> as deemed by the investigator.</w:t>
      </w:r>
    </w:p>
    <w:p w:rsidR="001E48C6" w:rsidRPr="001E48C6" w:rsidRDefault="001E48C6" w:rsidP="001E48C6">
      <w:pPr>
        <w:pStyle w:val="Numberbullet0"/>
      </w:pPr>
      <w:r w:rsidRPr="001E48C6">
        <w:t>Participation in an investigational drug trial (including studies investigating lumacaftor and/or ivacaftor. NOTE: participation in a non</w:t>
      </w:r>
      <w:r w:rsidR="006379F0">
        <w:t>-</w:t>
      </w:r>
      <w:r w:rsidRPr="001E48C6">
        <w:t>interventional study (including observational studies and studies requiring blood collections without administration of study drug) was permitted</w:t>
      </w:r>
      <w:r w:rsidR="00D13AF6">
        <w:t>.</w:t>
      </w:r>
    </w:p>
    <w:p w:rsidR="00AE3814" w:rsidRDefault="00D13AF6" w:rsidP="00AE3814">
      <w:r>
        <w:t xml:space="preserve">Lumacaftor and ivacaftor fixed </w:t>
      </w:r>
      <w:r w:rsidR="00AE3814" w:rsidRPr="00AE3814">
        <w:t>dose combination (FDC) tab</w:t>
      </w:r>
      <w:r>
        <w:t xml:space="preserve">lets were administered orally: </w:t>
      </w:r>
      <w:r w:rsidR="00AE3814" w:rsidRPr="00AE3814">
        <w:t>LUM 2</w:t>
      </w:r>
      <w:r>
        <w:t xml:space="preserve">00 mg/IVA 125 mg film coated FDC tablets; LUM 200 mg/IVA 83 mg film </w:t>
      </w:r>
      <w:r w:rsidR="00AE3814" w:rsidRPr="00AE3814">
        <w:t>coated FD</w:t>
      </w:r>
      <w:r>
        <w:t xml:space="preserve">C tablets Ivacaftor 125 mg film </w:t>
      </w:r>
      <w:r w:rsidR="00AE3814" w:rsidRPr="00AE3814">
        <w:t>coated tablets) were administered orally (</w:t>
      </w:r>
      <w:r w:rsidR="00AE3814" w:rsidRPr="006379F0">
        <w:t xml:space="preserve">Table </w:t>
      </w:r>
      <w:r w:rsidR="007A0321">
        <w:t>44</w:t>
      </w:r>
      <w:r w:rsidR="00AE3814" w:rsidRPr="00AE3814">
        <w:t xml:space="preserve">). The study drug was to be administered within 30 minutes of consuming fat-containing food such as a standard </w:t>
      </w:r>
      <w:r w:rsidR="00980975">
        <w:t>‘</w:t>
      </w:r>
      <w:r w:rsidR="00AE3814" w:rsidRPr="00AE3814">
        <w:t>CF</w:t>
      </w:r>
      <w:r w:rsidR="00980975">
        <w:t>’</w:t>
      </w:r>
      <w:r w:rsidR="00AC0603">
        <w:t xml:space="preserve"> high fat, high </w:t>
      </w:r>
      <w:r w:rsidR="00AE3814" w:rsidRPr="00AE3814">
        <w:t xml:space="preserve">calorie meal or snack. For the Part </w:t>
      </w:r>
      <w:proofErr w:type="gramStart"/>
      <w:r w:rsidR="00AE3814" w:rsidRPr="00AE3814">
        <w:t>A</w:t>
      </w:r>
      <w:proofErr w:type="gramEnd"/>
      <w:r w:rsidR="00AE3814" w:rsidRPr="00AE3814">
        <w:t xml:space="preserve"> Treatment Cohort, maximum subject participation is planned for up to 105 weeks (Day 1 through the Safety Follow up Visit) and study drug administration is planned for approximately 96 weeks. For the Part </w:t>
      </w:r>
      <w:proofErr w:type="gramStart"/>
      <w:r w:rsidR="00AE3814" w:rsidRPr="00AE3814">
        <w:t>A</w:t>
      </w:r>
      <w:proofErr w:type="gramEnd"/>
      <w:r w:rsidR="00AE3814" w:rsidRPr="00AE3814">
        <w:t xml:space="preserve"> Observational Cohort, maximum subject participation is planned for approximately 2 years. For the Part B Treatment Cohort, maximum subject participation is planned for up to 105 weeks (Day 1 through the Safety Follow up Visit) and study drug administration is plan</w:t>
      </w:r>
      <w:r w:rsidR="00AC0603">
        <w:t>ned for approximately 96 weeks.</w:t>
      </w:r>
    </w:p>
    <w:p w:rsidR="006379F0" w:rsidRDefault="007A0321" w:rsidP="006379F0">
      <w:pPr>
        <w:pStyle w:val="Tabletitle"/>
      </w:pPr>
      <w:proofErr w:type="gramStart"/>
      <w:r>
        <w:lastRenderedPageBreak/>
        <w:t>Table 44.</w:t>
      </w:r>
      <w:proofErr w:type="gramEnd"/>
      <w:r>
        <w:t xml:space="preserve"> </w:t>
      </w:r>
      <w:r w:rsidR="006379F0">
        <w:t>Study</w:t>
      </w:r>
      <w:r w:rsidR="00D36851" w:rsidRPr="00D36851">
        <w:t xml:space="preserve"> </w:t>
      </w:r>
      <w:r w:rsidR="00D36851">
        <w:t>VX12-809-105</w:t>
      </w:r>
      <w:r w:rsidR="006379F0">
        <w:t xml:space="preserve"> Study drug administration</w:t>
      </w:r>
    </w:p>
    <w:p w:rsidR="006379F0" w:rsidRPr="006379F0" w:rsidRDefault="006379F0" w:rsidP="006379F0">
      <w:r>
        <w:rPr>
          <w:noProof/>
          <w:lang w:eastAsia="en-AU"/>
        </w:rPr>
        <w:drawing>
          <wp:inline distT="0" distB="0" distL="0" distR="0" wp14:anchorId="1F7CA4C1" wp14:editId="0BC9419B">
            <wp:extent cx="5731510" cy="3060479"/>
            <wp:effectExtent l="0" t="0" r="2540" b="6985"/>
            <wp:docPr id="58" name="Picture 58" descr="Table 44. Study VX12-809-105 Study drug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731510" cy="3060479"/>
                    </a:xfrm>
                    <a:prstGeom prst="rect">
                      <a:avLst/>
                    </a:prstGeom>
                  </pic:spPr>
                </pic:pic>
              </a:graphicData>
            </a:graphic>
          </wp:inline>
        </w:drawing>
      </w:r>
    </w:p>
    <w:p w:rsidR="001607BB" w:rsidRPr="00AE3814" w:rsidRDefault="00AE3814" w:rsidP="00AE3814">
      <w:r w:rsidRPr="00AE3814">
        <w:t>To ensure treatment compliance, the investigator or designee supervised all study drug dosing that occurred at the site. At each visit, site personnel reviewed that the subject was compliant with study drug dosing and reminded the subject of study drug dosing requirements. Compliance was assessed by ongoing study drug count.</w:t>
      </w:r>
    </w:p>
    <w:p w:rsidR="00583DB8" w:rsidRDefault="00583DB8" w:rsidP="00AC0603">
      <w:pPr>
        <w:pStyle w:val="Heading5"/>
      </w:pPr>
      <w:r w:rsidRPr="00583DB8">
        <w:t>Efficacy endpoints, sam</w:t>
      </w:r>
      <w:r w:rsidR="00AC0603">
        <w:t>ple size, statistical analysis</w:t>
      </w:r>
    </w:p>
    <w:p w:rsidR="00583DB8" w:rsidRPr="00583DB8" w:rsidRDefault="00583DB8" w:rsidP="00583DB8">
      <w:r w:rsidRPr="00583DB8">
        <w:t>Efficacy assessments included spirometry, height, weight, CF Questionnaire – Revised (CFQ-R), and documentation of events related to outcomes (</w:t>
      </w:r>
      <w:r w:rsidR="007138B8">
        <w:t>for example</w:t>
      </w:r>
      <w:r w:rsidR="00AC0603">
        <w:t>, pulmonary exacerbations). CFQ</w:t>
      </w:r>
      <w:r w:rsidR="00AC0603">
        <w:noBreakHyphen/>
      </w:r>
      <w:r w:rsidRPr="00583DB8">
        <w:t>R and events related to outcomes (</w:t>
      </w:r>
      <w:r w:rsidR="007138B8">
        <w:t>for example</w:t>
      </w:r>
      <w:r w:rsidRPr="00583DB8">
        <w:t>, pulmonary exacerbations) were not analysed as</w:t>
      </w:r>
      <w:r w:rsidR="00AC0603">
        <w:t xml:space="preserve"> part of this Interim Analysis.</w:t>
      </w:r>
    </w:p>
    <w:p w:rsidR="00AE3814" w:rsidRPr="00583DB8" w:rsidRDefault="00583DB8" w:rsidP="00583DB8">
      <w:r w:rsidRPr="00583DB8">
        <w:t>Approximately 1</w:t>
      </w:r>
      <w:r w:rsidR="00AC0603">
        <w:t>,</w:t>
      </w:r>
      <w:r w:rsidRPr="00583DB8">
        <w:t xml:space="preserve">122 subjects were potentially eligible for enrolment: 501 subjects from </w:t>
      </w:r>
      <w:r w:rsidR="004E6042">
        <w:t>Study</w:t>
      </w:r>
      <w:r w:rsidRPr="00583DB8">
        <w:t xml:space="preserve"> 103, 501 subjects from </w:t>
      </w:r>
      <w:r w:rsidR="004E6042">
        <w:t>Study</w:t>
      </w:r>
      <w:r w:rsidRPr="00583DB8">
        <w:t xml:space="preserve"> 104, and 120 subjects from </w:t>
      </w:r>
      <w:r w:rsidR="004E6042">
        <w:t>Study</w:t>
      </w:r>
      <w:r w:rsidRPr="00583DB8">
        <w:t xml:space="preserve"> 102 (Cohort 4). With these 1</w:t>
      </w:r>
      <w:r w:rsidR="00AC0603">
        <w:t>,</w:t>
      </w:r>
      <w:r w:rsidRPr="00583DB8">
        <w:t xml:space="preserve">122 subjects, a 95% confidence interval of </w:t>
      </w:r>
      <w:r w:rsidR="004E6042">
        <w:t>(</w:t>
      </w:r>
      <w:r w:rsidRPr="00583DB8">
        <w:t>0.391, 0.449</w:t>
      </w:r>
      <w:r w:rsidR="004E6042">
        <w:t>)</w:t>
      </w:r>
      <w:r w:rsidRPr="00583DB8">
        <w:t xml:space="preserve"> could be obtained assuming a 42% incidence of CF lung (preferred term </w:t>
      </w:r>
      <w:r w:rsidR="004E6042">
        <w:t>(</w:t>
      </w:r>
      <w:r w:rsidRPr="00583DB8">
        <w:t>PT</w:t>
      </w:r>
      <w:r w:rsidR="004E6042">
        <w:t>)</w:t>
      </w:r>
      <w:r w:rsidRPr="00583DB8">
        <w:t xml:space="preserve"> for pulmonary exacerbation) in subjects with CF and this was considered adequate for the study objectives.</w:t>
      </w:r>
    </w:p>
    <w:p w:rsidR="00583DB8" w:rsidRPr="001A55D7" w:rsidRDefault="00583DB8" w:rsidP="001A55D7">
      <w:r w:rsidRPr="00583DB8">
        <w:t xml:space="preserve">Ad hoc efficacy analyses were carried out for Part A only to gain insight into the long-term efficacy of lumacaftor in combination with ivacaftor. Lung function (absolute and relative </w:t>
      </w:r>
      <w:r w:rsidRPr="001A55D7">
        <w:t xml:space="preserve">change in percent predicted </w:t>
      </w:r>
      <w:r w:rsidR="00A8789D" w:rsidRPr="001D064D">
        <w:t>FEV</w:t>
      </w:r>
      <w:r w:rsidR="00A8789D" w:rsidRPr="00A8789D">
        <w:rPr>
          <w:vertAlign w:val="subscript"/>
        </w:rPr>
        <w:t>1</w:t>
      </w:r>
      <w:r w:rsidRPr="001A55D7">
        <w:t xml:space="preserve">) and measures of nutritional status </w:t>
      </w:r>
      <w:r w:rsidR="00AC0603">
        <w:t>(BMI and weight) were assessed.</w:t>
      </w:r>
    </w:p>
    <w:p w:rsidR="00583DB8" w:rsidRPr="001A55D7" w:rsidRDefault="00583DB8" w:rsidP="001A55D7">
      <w:r w:rsidRPr="001A55D7">
        <w:t xml:space="preserve">All efficacy analyses were based on the Full Analysis Set (FAS), defined as all subjects in Part A Treatment Cohort who were exposed to any amount of study drug, using the Cumulative period which was defined as the period beginning from the initial dose of study drug in Studies 103/104 to the last dose of study drug in </w:t>
      </w:r>
      <w:r w:rsidR="004E6042">
        <w:t>Study</w:t>
      </w:r>
      <w:r w:rsidRPr="001A55D7">
        <w:t xml:space="preserve"> 105 excluding the period between 29 days after the last dose of Studies 103/104 and the first dose of </w:t>
      </w:r>
      <w:r w:rsidR="004E6042">
        <w:t>Study</w:t>
      </w:r>
      <w:r w:rsidRPr="001A55D7">
        <w:t xml:space="preserve"> 105. The following analyses were perfo</w:t>
      </w:r>
      <w:r w:rsidR="00AC0603">
        <w:t>rmed for the Cumulative period:</w:t>
      </w:r>
      <w:r w:rsidRPr="001A55D7">
        <w:t xml:space="preserve"> Mixed model repeated measures (MMRM) analysis of absolute change from baseline in percent predicted </w:t>
      </w:r>
      <w:r w:rsidR="00A8789D" w:rsidRPr="001D064D">
        <w:t>FEV</w:t>
      </w:r>
      <w:r w:rsidR="00A8789D" w:rsidRPr="00A8789D">
        <w:rPr>
          <w:vertAlign w:val="subscript"/>
        </w:rPr>
        <w:t>1</w:t>
      </w:r>
      <w:r w:rsidRPr="001A55D7">
        <w:t xml:space="preserve"> at each visit for the Studies 103/104 visits (up to Week 24), and MMRM analysis of absolute change from baseline in percent predicted </w:t>
      </w:r>
      <w:r w:rsidR="00A8789D" w:rsidRPr="001D064D">
        <w:t>FEV</w:t>
      </w:r>
      <w:r w:rsidR="00A8789D" w:rsidRPr="00A8789D">
        <w:rPr>
          <w:vertAlign w:val="subscript"/>
        </w:rPr>
        <w:t>1</w:t>
      </w:r>
      <w:r w:rsidRPr="001A55D7">
        <w:t xml:space="preserve"> at each visit for the </w:t>
      </w:r>
      <w:r w:rsidR="004E6042">
        <w:t>Study</w:t>
      </w:r>
      <w:r w:rsidRPr="001A55D7">
        <w:t xml:space="preserve"> 105 visits (up to Week 24); Similar MMRM analysis of relative change from baseline in percent predicted </w:t>
      </w:r>
      <w:r w:rsidR="00A8789D" w:rsidRPr="001D064D">
        <w:t>FEV</w:t>
      </w:r>
      <w:r w:rsidR="00A8789D" w:rsidRPr="00A8789D">
        <w:rPr>
          <w:vertAlign w:val="subscript"/>
        </w:rPr>
        <w:t>1</w:t>
      </w:r>
      <w:r w:rsidRPr="001A55D7">
        <w:t xml:space="preserve">, absolute change from baseline in BMI and weight was also performed. An MMRM model was used to test the within-group change for each treatment group (3 treatment groups) at each visit for the Studies 103/104 visits. The </w:t>
      </w:r>
      <w:r w:rsidRPr="001A55D7">
        <w:lastRenderedPageBreak/>
        <w:t xml:space="preserve">analysis included all measurements up to Week 24 of Studies 103/104, including on treatment measurements and measurements after treatment discontinuation. The MMRM model included </w:t>
      </w:r>
      <w:r w:rsidR="00AC0603">
        <w:t xml:space="preserve">treatment, visit, and treatment by </w:t>
      </w:r>
      <w:r w:rsidRPr="001A55D7">
        <w:t>visit interaction as fixed effects, with adjustment for study (</w:t>
      </w:r>
      <w:r w:rsidR="004E6042">
        <w:t>Study</w:t>
      </w:r>
      <w:r w:rsidRPr="001A55D7">
        <w:t xml:space="preserve"> 103 versus </w:t>
      </w:r>
      <w:r w:rsidR="004E6042">
        <w:t>Study</w:t>
      </w:r>
      <w:r w:rsidRPr="001A55D7">
        <w:t xml:space="preserve"> 104), sex (male versus female), age group at baseline (</w:t>
      </w:r>
      <w:r w:rsidR="00511EB7">
        <w:t xml:space="preserve">&lt; </w:t>
      </w:r>
      <w:r w:rsidRPr="001A55D7">
        <w:t xml:space="preserve">18 versus </w:t>
      </w:r>
      <w:r w:rsidR="00A91223">
        <w:t xml:space="preserve">≥ </w:t>
      </w:r>
      <w:r w:rsidRPr="001A55D7">
        <w:t xml:space="preserve">18 years old), and percent predicted </w:t>
      </w:r>
      <w:r w:rsidR="00A8789D" w:rsidRPr="001D064D">
        <w:t>FEV</w:t>
      </w:r>
      <w:r w:rsidR="00A8789D" w:rsidRPr="00A8789D">
        <w:rPr>
          <w:vertAlign w:val="subscript"/>
        </w:rPr>
        <w:t>1</w:t>
      </w:r>
      <w:r w:rsidRPr="001A55D7">
        <w:t xml:space="preserve"> severity at Screening (</w:t>
      </w:r>
      <w:r w:rsidR="00511EB7">
        <w:t xml:space="preserve">&lt; </w:t>
      </w:r>
      <w:r w:rsidRPr="001A55D7">
        <w:t xml:space="preserve">70 versus </w:t>
      </w:r>
      <w:r w:rsidR="00A91223">
        <w:t xml:space="preserve">≥ </w:t>
      </w:r>
      <w:r w:rsidRPr="001A55D7">
        <w:t>70), and subject as a random effect. Continuous variables other than spirometry were analysed similarly, but were further adjusted for the baseline value of the dependent variable (</w:t>
      </w:r>
      <w:r w:rsidR="007138B8">
        <w:t>for example</w:t>
      </w:r>
      <w:r w:rsidRPr="001A55D7">
        <w:t xml:space="preserve">, analysis of absolute change in BMI included an additional adjustment </w:t>
      </w:r>
      <w:r w:rsidR="00B754E8">
        <w:t>for the baseline value of BMI).</w:t>
      </w:r>
    </w:p>
    <w:p w:rsidR="00583DB8" w:rsidRPr="001A55D7" w:rsidRDefault="00583DB8" w:rsidP="001A55D7">
      <w:r w:rsidRPr="001A55D7">
        <w:t>The following analysis sets were defined</w:t>
      </w:r>
      <w:r w:rsidR="00B754E8">
        <w:t>:</w:t>
      </w:r>
    </w:p>
    <w:p w:rsidR="00583DB8" w:rsidRPr="001A55D7" w:rsidRDefault="00583DB8" w:rsidP="001A55D7">
      <w:pPr>
        <w:pStyle w:val="ListBullet"/>
      </w:pPr>
      <w:r w:rsidRPr="001A55D7">
        <w:t xml:space="preserve">All Subjects Set (included all subjects who signed the ICF for </w:t>
      </w:r>
      <w:r w:rsidR="004E6042">
        <w:t>Study</w:t>
      </w:r>
      <w:r w:rsidRPr="001A55D7">
        <w:t xml:space="preserve"> 105 Part A Observational Cohort or Part A</w:t>
      </w:r>
      <w:r w:rsidR="00B754E8">
        <w:t xml:space="preserve"> and Part B Treatment Cohorts)</w:t>
      </w:r>
    </w:p>
    <w:p w:rsidR="00583DB8" w:rsidRPr="001A55D7" w:rsidRDefault="00583DB8" w:rsidP="001A55D7">
      <w:pPr>
        <w:pStyle w:val="ListBullet"/>
      </w:pPr>
      <w:r w:rsidRPr="001A55D7">
        <w:t>Part A Long-term Safety Set (LTSS)</w:t>
      </w:r>
      <w:r w:rsidR="001A55D7">
        <w:rPr>
          <w:rStyle w:val="FootnoteReference"/>
        </w:rPr>
        <w:footnoteReference w:id="19"/>
      </w:r>
      <w:r w:rsidRPr="001A55D7">
        <w:t xml:space="preserve"> included subjects in the Part A Treatment Cohort, who received active treatment in their previous study and completed visits through Week 24 or beyond in </w:t>
      </w:r>
      <w:r w:rsidR="004E6042">
        <w:t>Study</w:t>
      </w:r>
      <w:r w:rsidR="00B754E8">
        <w:t xml:space="preserve"> 105 as of 01 July 2014</w:t>
      </w:r>
    </w:p>
    <w:p w:rsidR="00AE3814" w:rsidRPr="001A55D7" w:rsidRDefault="00583DB8" w:rsidP="001A55D7">
      <w:pPr>
        <w:pStyle w:val="ListBullet"/>
      </w:pPr>
      <w:r w:rsidRPr="001A55D7">
        <w:t xml:space="preserve">All Subjects Safety Set included all subjects in the Part A and Part B Treatment Cohorts who were exposed to any amount of study drug in </w:t>
      </w:r>
      <w:r w:rsidR="004E6042">
        <w:t>Study</w:t>
      </w:r>
      <w:r w:rsidRPr="001A55D7">
        <w:t xml:space="preserve"> 105.</w:t>
      </w:r>
    </w:p>
    <w:p w:rsidR="001A55D7" w:rsidRDefault="00B754E8" w:rsidP="00B754E8">
      <w:pPr>
        <w:pStyle w:val="Heading5"/>
      </w:pPr>
      <w:r>
        <w:t>Participant flow</w:t>
      </w:r>
    </w:p>
    <w:p w:rsidR="001A55D7" w:rsidRPr="001A55D7" w:rsidRDefault="001A55D7" w:rsidP="001A55D7">
      <w:r w:rsidRPr="001A55D7">
        <w:t>In the current study period ‘All Subjects Set’, 1108 subjects received at least 1 dose of study drug (placebo or LUM/IVA) in Studies 103 or 104Of these, 1</w:t>
      </w:r>
      <w:r w:rsidR="00D13AF6">
        <w:t>,</w:t>
      </w:r>
      <w:r w:rsidRPr="001A55D7">
        <w:t xml:space="preserve">031 subjects (93.1%) enrolled in Part </w:t>
      </w:r>
      <w:proofErr w:type="gramStart"/>
      <w:r w:rsidRPr="001A55D7">
        <w:t>A</w:t>
      </w:r>
      <w:proofErr w:type="gramEnd"/>
      <w:r w:rsidRPr="001A55D7">
        <w:t xml:space="preserve"> Treatment Cohort. A total of 335 subjects who received LUM 600 mg qd/IVA 250 mg q12h and 341 subjects who received LUM 400 mg q12h/IVA 250 mg q12h, in the previous study continued to receive the same treatments in </w:t>
      </w:r>
      <w:r w:rsidR="004E6042">
        <w:t>Study</w:t>
      </w:r>
      <w:r w:rsidRPr="001A55D7">
        <w:t xml:space="preserve"> 105. Among subjects who received placebo in the previous study, 179 subjects were random</w:t>
      </w:r>
      <w:r w:rsidR="002D7E74">
        <w:t>ise</w:t>
      </w:r>
      <w:r w:rsidRPr="001A55D7">
        <w:t>d to receive LUM 600 mg qd/IVA 250 mg q12h and 176 subjects were random</w:t>
      </w:r>
      <w:r w:rsidR="002D7E74">
        <w:t>ise</w:t>
      </w:r>
      <w:r w:rsidRPr="001A55D7">
        <w:t xml:space="preserve">d to receive LUM 400 mg q12h/IVA 250 mg q12h. At the time of the data snapshot (21 July 2014) more than 89% of subjects in the Part </w:t>
      </w:r>
      <w:proofErr w:type="gramStart"/>
      <w:r w:rsidRPr="001A55D7">
        <w:t>A</w:t>
      </w:r>
      <w:proofErr w:type="gramEnd"/>
      <w:r w:rsidRPr="001A55D7">
        <w:t xml:space="preserve"> Treatment Cohort completed at least the Week 16 Visit. Only 54 (5.3%) subjects discontinued treatment in Part A and the rate of treatment discontinuation was similar in all 4 treatment groups (range: 4.5% to 6.2%) with AEs (n</w:t>
      </w:r>
      <w:r w:rsidR="00511EB7">
        <w:t xml:space="preserve"> = </w:t>
      </w:r>
      <w:r w:rsidRPr="001A55D7">
        <w:t>26, 2.5%) being most common cause</w:t>
      </w:r>
      <w:r w:rsidR="006379F0">
        <w:t xml:space="preserve"> for treatment discontinuation.</w:t>
      </w:r>
    </w:p>
    <w:p w:rsidR="00AE3814" w:rsidRPr="001A55D7" w:rsidRDefault="001A55D7" w:rsidP="001A55D7">
      <w:r w:rsidRPr="001A55D7">
        <w:t xml:space="preserve">A subset of subjects from Part </w:t>
      </w:r>
      <w:proofErr w:type="gramStart"/>
      <w:r w:rsidRPr="001A55D7">
        <w:t>A</w:t>
      </w:r>
      <w:proofErr w:type="gramEnd"/>
      <w:r w:rsidRPr="001A55D7">
        <w:t xml:space="preserve"> Treatment Cohort who had completed the Week 24 Visit as of 01 July 2014 was included in the Long-term Safety Set (LTSS). A total of 116 subjects were included in the LTSS. Of these subjects, 59 subjects received LUM 600 mg qd/IVA 250 mg q12h group and 57 subjects LUM 400 mg q12h/IVA 250 mg q12h group during the entire period of exposure in Studies 103/104 and 105</w:t>
      </w:r>
      <w:r w:rsidR="00CB159A">
        <w:t>.</w:t>
      </w:r>
      <w:r w:rsidRPr="001A55D7">
        <w:t xml:space="preserve"> A total of 19 subjects (3 subjects from the placebo group, 8 subjects from the LUM 400 mg q12h/IVA 250 mg q12h group, and 8 subjects from the LUM 600 mg qd/IVA 250 mg q12h group) enrolled in the Part </w:t>
      </w:r>
      <w:proofErr w:type="gramStart"/>
      <w:r w:rsidRPr="001A55D7">
        <w:t>A</w:t>
      </w:r>
      <w:proofErr w:type="gramEnd"/>
      <w:r w:rsidRPr="001A55D7">
        <w:t xml:space="preserve"> Observational Cohort.</w:t>
      </w:r>
    </w:p>
    <w:p w:rsidR="001A55D7" w:rsidRPr="001A55D7" w:rsidRDefault="001A55D7" w:rsidP="001A55D7">
      <w:r w:rsidRPr="001A55D7">
        <w:t xml:space="preserve">In </w:t>
      </w:r>
      <w:r w:rsidR="004E6042">
        <w:t>Study</w:t>
      </w:r>
      <w:r w:rsidRPr="001A55D7">
        <w:t xml:space="preserve"> 102 Cohort 4, 126 subjects were random</w:t>
      </w:r>
      <w:r w:rsidR="002D7E74">
        <w:t>ise</w:t>
      </w:r>
      <w:r w:rsidRPr="001A55D7">
        <w:t xml:space="preserve">d and 125 were dosed. A total of 115 subjects were included in the Current study Period analysis for Part B of </w:t>
      </w:r>
      <w:r w:rsidR="004E6042">
        <w:t>Study</w:t>
      </w:r>
      <w:r w:rsidRPr="001A55D7">
        <w:t xml:space="preserve"> 105. A total of 55 subjects had received LUM 400 mg q12h/IVA 250 mg q12h in the previous study and 60 subjects had received placebo in the previous study; all subjects were receiving LUM 400 mg q12h/ IVA 250 mg q12h in </w:t>
      </w:r>
      <w:r w:rsidR="004E6042">
        <w:t>Study</w:t>
      </w:r>
      <w:r w:rsidRPr="001A55D7">
        <w:t xml:space="preserve"> 105.Most subjects completed at least 12 weeks of treatment in </w:t>
      </w:r>
      <w:r w:rsidR="004E6042">
        <w:t>Study</w:t>
      </w:r>
      <w:r w:rsidRPr="001A55D7">
        <w:t xml:space="preserve"> 105 and discontinuation was 7.8% with AEs (6.1%) being most co</w:t>
      </w:r>
      <w:r w:rsidR="00B754E8">
        <w:t>mmon cause.</w:t>
      </w:r>
    </w:p>
    <w:p w:rsidR="001A55D7" w:rsidRPr="001A55D7" w:rsidRDefault="001A55D7" w:rsidP="00B754E8">
      <w:pPr>
        <w:pStyle w:val="Heading5"/>
      </w:pPr>
      <w:r w:rsidRPr="001A55D7">
        <w:lastRenderedPageBreak/>
        <w:t>Baseline cha</w:t>
      </w:r>
      <w:r w:rsidR="00B754E8">
        <w:t>racteristics</w:t>
      </w:r>
    </w:p>
    <w:p w:rsidR="001A55D7" w:rsidRPr="001A55D7" w:rsidRDefault="001A55D7" w:rsidP="00B754E8">
      <w:pPr>
        <w:pStyle w:val="Heading6"/>
      </w:pPr>
      <w:r w:rsidRPr="001A55D7">
        <w:t>Part A, Current s</w:t>
      </w:r>
      <w:r w:rsidR="00FF0482">
        <w:t>tudy Period ‘All Subjects set’</w:t>
      </w:r>
    </w:p>
    <w:p w:rsidR="001A55D7" w:rsidRPr="001A55D7" w:rsidRDefault="001A55D7" w:rsidP="001A55D7">
      <w:r w:rsidRPr="001A55D7">
        <w:t xml:space="preserve">Overall, 99.0% of subjects were White, 96.7% were not Hispanic or Latino, 57.8% were from North America, and 49.0% were female. Subject demography was similar across all 4 groups. The median age was 23.0 years (range: 12, 64) with 281 (27.4 %) subjects overall in the 12 to </w:t>
      </w:r>
      <w:r w:rsidR="00FF0482">
        <w:t>&lt; </w:t>
      </w:r>
      <w:r w:rsidRPr="001A55D7">
        <w:t xml:space="preserve">18 years old subgroup and 746 (72.6%) in the </w:t>
      </w:r>
      <w:r w:rsidR="00A91223">
        <w:t xml:space="preserve">≥ </w:t>
      </w:r>
      <w:r w:rsidRPr="001A55D7">
        <w:t>18 years old subgroup. The distributions of the baseline disease characteristics were similar across all 4 groups with me</w:t>
      </w:r>
      <w:r w:rsidR="00FF0482">
        <w:t xml:space="preserve">dian percent predicted </w:t>
      </w:r>
      <w:r w:rsidR="00A8789D" w:rsidRPr="001D064D">
        <w:t>FEV</w:t>
      </w:r>
      <w:r w:rsidR="00A8789D" w:rsidRPr="00A8789D">
        <w:rPr>
          <w:vertAlign w:val="subscript"/>
        </w:rPr>
        <w:t>1</w:t>
      </w:r>
      <w:r w:rsidR="00FF0482">
        <w:t xml:space="preserve"> (59 to </w:t>
      </w:r>
      <w:r w:rsidR="00E70DBD">
        <w:t xml:space="preserve">61%), 71 to </w:t>
      </w:r>
      <w:r w:rsidRPr="001A55D7">
        <w:t>82</w:t>
      </w:r>
      <w:r w:rsidR="00FF0482">
        <w:t xml:space="preserve">% receiving dornase alfa and 61 to 72% and 69 to </w:t>
      </w:r>
      <w:r w:rsidRPr="001A55D7">
        <w:t>77% were positive for P. aeruginosa. The percentage of subjects who received any inhaled antibiotic before the first dose was higher in the placebo/LUM 600 mg qd/IVA 250 mg q12h group (72.3%) compared with the other 3 groups (range: 61.2% to 65.9%). Consistent with a diagnosis of CF, the most common conditions (incidence of at least 30% of subjects exposed to study drug) were pancreatic insufficiency (93.8%), cystic fibrosis lung (55.3%) and gastroesophageal reflux disease (GERD, 38.1%). The incidences of medical history conditions, by PT, that occurred in at least 15% of subjects in any treatment group were similar across the 4 groups. All subjects used medication concomitantly with study drug and the most common concomitant medications (incidence of at least 30%) were indicated for the management of CF complications: dornase alfa (76.6%), salbutamol (73.0%), pancreatin (69.7%), sodium chloride (68.4%), azithromycin (63.2%), tobramycin (48.4%) and seretide (32.6%)</w:t>
      </w:r>
      <w:r w:rsidR="00FF0482">
        <w:t>.</w:t>
      </w:r>
    </w:p>
    <w:p w:rsidR="001A55D7" w:rsidRPr="001A55D7" w:rsidRDefault="00D13AF6" w:rsidP="00FF0482">
      <w:pPr>
        <w:pStyle w:val="Heading6"/>
      </w:pPr>
      <w:r>
        <w:t xml:space="preserve">Part A; </w:t>
      </w:r>
      <w:r w:rsidR="001A55D7" w:rsidRPr="001A55D7">
        <w:t>‘Long-term Safet</w:t>
      </w:r>
      <w:r w:rsidR="00FF0482">
        <w:t>y Set’</w:t>
      </w:r>
    </w:p>
    <w:p w:rsidR="001A55D7" w:rsidRDefault="00D13AF6" w:rsidP="001A55D7">
      <w:r>
        <w:t>Overall, 100% of subjects were White, 100</w:t>
      </w:r>
      <w:r w:rsidR="001A55D7" w:rsidRPr="001A55D7">
        <w:t xml:space="preserve">% were not Hispanic or Latino, 78.4% were from North America, and 54.3% were female in the LTSS. Subject demography was similar across groups. The median age was 24.0 years (range: 12, 54) with 28 (24.1 %) subjects overall in the 12 to </w:t>
      </w:r>
      <w:r w:rsidR="00511EB7">
        <w:t xml:space="preserve">&lt; </w:t>
      </w:r>
      <w:r w:rsidR="001A55D7" w:rsidRPr="001A55D7">
        <w:t xml:space="preserve">18 years old subgroup and 88 (75.9%) in the </w:t>
      </w:r>
      <w:r w:rsidR="00A91223">
        <w:t xml:space="preserve">≥ </w:t>
      </w:r>
      <w:r w:rsidR="001A55D7" w:rsidRPr="001A55D7">
        <w:t xml:space="preserve">18 years old subgroup. Baseline lung function was also similar in the 2 groups, including median percent predicted </w:t>
      </w:r>
      <w:r w:rsidR="00A8789D" w:rsidRPr="001D064D">
        <w:t>FEV</w:t>
      </w:r>
      <w:r w:rsidR="00A8789D" w:rsidRPr="00A8789D">
        <w:rPr>
          <w:vertAlign w:val="subscript"/>
        </w:rPr>
        <w:t>1</w:t>
      </w:r>
      <w:r w:rsidR="001A55D7" w:rsidRPr="001A55D7">
        <w:t>, median percent predicted FVC, and median percent predicted FEF25-75%. The percentages of subjects who received dornase alfa (82.8% overall), any bronchodilator (98.3% overall), any inhaled hypertonic saline (68.1% overall), and any inhaled corticosteroids (60.3% overall) were similar between the 2 treatment groups. The percentage of subjects who received any inhaled antibiotic before the first dose was higher in the LUM 600 mg qd/IVA 250 mg q12h group (71.2%) compared with the LUM 400 mg q12</w:t>
      </w:r>
      <w:r w:rsidR="0054030A">
        <w:t xml:space="preserve">h/IVA 250 mg q12h group (61.4%). </w:t>
      </w:r>
      <w:r w:rsidR="001A55D7" w:rsidRPr="001A55D7">
        <w:t xml:space="preserve">Consistent with a diagnosis of CF, the most common conditions (incidence of at least 30% of subjects exposed to study drug) were pancreatic insufficiency (94.8%), cystic fibrosis lung (59.5%), GERD (53.4%), asthma (41.4%), and chronic sinusitis (30.2%). The PTs that had an incidence of </w:t>
      </w:r>
      <w:r w:rsidR="00A91223">
        <w:t xml:space="preserve">≥ </w:t>
      </w:r>
      <w:r w:rsidR="001A55D7" w:rsidRPr="001A55D7">
        <w:t xml:space="preserve">10% higher in the LUM 600 mg qd/IVA 250 mg q12h compared with the LUM 400 mg q12h/IVA 250 mg q12h group were CF lung, asthma, chronic sinusitis, rhinitis allergic, and osteopenia; PTs that had an incidence of </w:t>
      </w:r>
      <w:r w:rsidR="00A91223">
        <w:t xml:space="preserve">≥ </w:t>
      </w:r>
      <w:r w:rsidR="001A55D7" w:rsidRPr="001A55D7">
        <w:t>10% higher in the LUM 400 mg q12h/IVA 250 mg q12h group compared with the LUM 600 mg qd/IVA 250 mg q12h compared were CF-related diabetes and depression (</w:t>
      </w:r>
      <w:r w:rsidR="001A55D7" w:rsidRPr="0054030A">
        <w:t xml:space="preserve">Table </w:t>
      </w:r>
      <w:r w:rsidR="00D36851">
        <w:t>45</w:t>
      </w:r>
      <w:r w:rsidR="001A55D7" w:rsidRPr="001A55D7">
        <w:t>). All subjects used medication concomitantly with study drug. The most common concomitant medications (incidence of at least 50%) were indicated for the management of CF complications: salbutamol (86.2%), dornase alfa (84.5%), sodium chloride (81.0%), azithromycin (73.3%), tobramycin (63.8%), and pancreati</w:t>
      </w:r>
      <w:r w:rsidR="00FF0482">
        <w:t>n (62.9%).</w:t>
      </w:r>
    </w:p>
    <w:p w:rsidR="0054030A" w:rsidRDefault="00D36851" w:rsidP="0054030A">
      <w:pPr>
        <w:pStyle w:val="Tabletitle"/>
      </w:pPr>
      <w:proofErr w:type="gramStart"/>
      <w:r>
        <w:lastRenderedPageBreak/>
        <w:t>Table 45.</w:t>
      </w:r>
      <w:proofErr w:type="gramEnd"/>
      <w:r w:rsidR="0054030A">
        <w:t xml:space="preserve"> Medical history reported for at least 15% of subjects overall in Part A by pref</w:t>
      </w:r>
      <w:r>
        <w:t>erred term long term safety set</w:t>
      </w:r>
    </w:p>
    <w:p w:rsidR="0054030A" w:rsidRPr="0054030A" w:rsidRDefault="0054030A" w:rsidP="0054030A">
      <w:r>
        <w:rPr>
          <w:noProof/>
          <w:lang w:eastAsia="en-AU"/>
        </w:rPr>
        <w:drawing>
          <wp:inline distT="0" distB="0" distL="0" distR="0" wp14:anchorId="42E68158" wp14:editId="1FFCE2FD">
            <wp:extent cx="5076749" cy="3736509"/>
            <wp:effectExtent l="0" t="0" r="0" b="0"/>
            <wp:docPr id="59" name="Picture 59" descr="Table 45. Medical history reported for at least 15% of subjects overall in Part A by preferred term long term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073797" cy="3734337"/>
                    </a:xfrm>
                    <a:prstGeom prst="rect">
                      <a:avLst/>
                    </a:prstGeom>
                  </pic:spPr>
                </pic:pic>
              </a:graphicData>
            </a:graphic>
          </wp:inline>
        </w:drawing>
      </w:r>
    </w:p>
    <w:p w:rsidR="001A55D7" w:rsidRPr="001A55D7" w:rsidRDefault="00D13AF6" w:rsidP="00FF0482">
      <w:pPr>
        <w:pStyle w:val="Heading6"/>
      </w:pPr>
      <w:r>
        <w:t>Part B;</w:t>
      </w:r>
      <w:r w:rsidR="001A55D7" w:rsidRPr="001A55D7">
        <w:t xml:space="preserve"> Current S</w:t>
      </w:r>
      <w:r w:rsidR="00FF0482">
        <w:t>tudy Period ‘All Subjects set’</w:t>
      </w:r>
    </w:p>
    <w:p w:rsidR="001A55D7" w:rsidRPr="001A55D7" w:rsidRDefault="001A55D7" w:rsidP="001A55D7">
      <w:r w:rsidRPr="001A55D7">
        <w:t xml:space="preserve">Overall, 96.5% of subjects were White, 93.0% were not Hispanic or Latino, 72.2% were from North America, and 48.7% were female; the median age was 28.0 years (range: 19, 58) and there were no subjects in the 12 to </w:t>
      </w:r>
      <w:r w:rsidR="00511EB7">
        <w:t xml:space="preserve">&lt; </w:t>
      </w:r>
      <w:r w:rsidRPr="001A55D7">
        <w:t xml:space="preserve">18 years old subgroup. Subject demography was similar in the LUM 400 mg q12h/IVA 250 mg q12h and Placebo/LUM 400 </w:t>
      </w:r>
      <w:r w:rsidR="00FF0482">
        <w:t>mg q12h/IVA 250 mg q12h groups.</w:t>
      </w:r>
      <w:r w:rsidRPr="001A55D7">
        <w:t xml:space="preserve"> Baseline height, weight and BMI were similar in the LUM 400 mg q12h/IVA 250 mg q12h and placebo/LUM 400 mg q12h/ IVA 250 mg q12h groups. Baseline lung function was better in the LUM 400 mg q12h/IVA 250 mg q12h group compared with the</w:t>
      </w:r>
      <w:r>
        <w:t xml:space="preserve"> </w:t>
      </w:r>
      <w:r w:rsidRPr="001A55D7">
        <w:t>placebo/LUM 400 m</w:t>
      </w:r>
      <w:r w:rsidR="00FF0482">
        <w:t xml:space="preserve">g q12h/IVA 250 mg q12h group. </w:t>
      </w:r>
      <w:r w:rsidRPr="001A55D7">
        <w:t>The percentages of subjects who received any inhaled antibiotic (69.6% overall), any bronchodilator (93.9% ), any inhaled hypertonic saline (64.3%), and corticosteroids (67.8%) before the first dose were similar in the LUM 400 mg q12h/ IVA 250 mg q12h and placebo/LUM 400 mg q12h/IVA 250 mg q12h groups. The percentage of subjects with positive Pseudomonas aeruginosa status before the first dose was higher in the placebo/LUM 400 mg q12h/IVA 250 mg q12h group (88.3%) compared with the LUM 400 mg q12h/IVA 250 mg q12h group (76.4%). The percentage of subjects who received dornase alfa before the first dose was higher in the LUM 400 mg q12h/IVA 250 mg q12h group (83.6%) than in the placebo/LUM 400 mg q12h/ IVA 250 mg q12h group (73.3%). In the Part B Current Study Period, the incidence of medical history was generally similar across treatment groups. The most common concomitant medications (incidence of at least 50%) were indicated for the management of CF complications: dornase alfa (78.3%), salbutamol (72.2%), sodium chloride (71.3%), azithromycin (69.6%), pancreatin (69.6%), and tobramycin (53.9</w:t>
      </w:r>
      <w:r w:rsidR="00E70DBD">
        <w:t>%).</w:t>
      </w:r>
    </w:p>
    <w:p w:rsidR="001A55D7" w:rsidRPr="001A55D7" w:rsidRDefault="00FF0482" w:rsidP="00FF0482">
      <w:pPr>
        <w:pStyle w:val="Heading5"/>
      </w:pPr>
      <w:r>
        <w:t>Efficacy results</w:t>
      </w:r>
    </w:p>
    <w:p w:rsidR="001A55D7" w:rsidRPr="001A55D7" w:rsidRDefault="001A55D7" w:rsidP="00FF0482">
      <w:pPr>
        <w:pStyle w:val="Heading6"/>
      </w:pPr>
      <w:r w:rsidRPr="001A55D7">
        <w:t>Lung function (Spirometr</w:t>
      </w:r>
      <w:r w:rsidR="00FF0482">
        <w:t>y)</w:t>
      </w:r>
    </w:p>
    <w:p w:rsidR="00AE3814" w:rsidRPr="001A55D7" w:rsidRDefault="001A55D7" w:rsidP="001A55D7">
      <w:r w:rsidRPr="001A55D7">
        <w:t xml:space="preserve">For the LUM 600 mg qd/IVA 250 mg q12h group, the LS mean absolute change in percent predicted </w:t>
      </w:r>
      <w:r w:rsidR="00A8789D" w:rsidRPr="001D064D">
        <w:t>FEV</w:t>
      </w:r>
      <w:r w:rsidR="00A8789D" w:rsidRPr="00A8789D">
        <w:rPr>
          <w:vertAlign w:val="subscript"/>
        </w:rPr>
        <w:t>1</w:t>
      </w:r>
      <w:r w:rsidRPr="001A55D7">
        <w:t xml:space="preserve"> during </w:t>
      </w:r>
      <w:r w:rsidR="004E6042">
        <w:t>Study</w:t>
      </w:r>
      <w:r w:rsidRPr="001A55D7">
        <w:t xml:space="preserve"> 105 ranged from 2.39 to 3.25 percentage points; the LS mean </w:t>
      </w:r>
      <w:r w:rsidRPr="001A55D7">
        <w:lastRenderedPageBreak/>
        <w:t xml:space="preserve">absolute change at Week 24 of </w:t>
      </w:r>
      <w:r w:rsidR="004E6042">
        <w:t>Study</w:t>
      </w:r>
      <w:r w:rsidRPr="001A55D7">
        <w:t xml:space="preserve"> 105 was 3.25 percentage points (</w:t>
      </w:r>
      <w:r w:rsidR="001C171F">
        <w:t>p &lt;</w:t>
      </w:r>
      <w:r w:rsidR="00511EB7">
        <w:t xml:space="preserve"> </w:t>
      </w:r>
      <w:r w:rsidRPr="001A55D7">
        <w:t>0.0001) versus 2.73 percentage points (</w:t>
      </w:r>
      <w:r w:rsidR="001C171F">
        <w:t>p &lt;</w:t>
      </w:r>
      <w:r w:rsidR="00511EB7">
        <w:t xml:space="preserve"> </w:t>
      </w:r>
      <w:r w:rsidRPr="001A55D7">
        <w:t xml:space="preserve">0.0001) at Week 24 of Studies 103/104. For the LUM 400 mg q12h/ IVA 250 mg q12h group, the LS mean absolute change in percent predicted </w:t>
      </w:r>
      <w:r w:rsidR="00A8789D" w:rsidRPr="001D064D">
        <w:t>FEV</w:t>
      </w:r>
      <w:r w:rsidR="00A8789D" w:rsidRPr="00A8789D">
        <w:rPr>
          <w:vertAlign w:val="subscript"/>
        </w:rPr>
        <w:t>1</w:t>
      </w:r>
      <w:r w:rsidRPr="001A55D7">
        <w:t xml:space="preserve"> during </w:t>
      </w:r>
      <w:r w:rsidR="004E6042">
        <w:t>Study</w:t>
      </w:r>
      <w:r w:rsidRPr="001A55D7">
        <w:t xml:space="preserve"> 105 ranged from 2.34 to 3.34 percentage points; the LS mean absolute change at Week 24 of </w:t>
      </w:r>
      <w:r w:rsidR="004E6042">
        <w:t>Study</w:t>
      </w:r>
      <w:r w:rsidRPr="001A55D7">
        <w:t xml:space="preserve"> 105 was 2.62 percentage points (</w:t>
      </w:r>
      <w:r w:rsidR="00CC3BC8">
        <w:t>p</w:t>
      </w:r>
      <w:r w:rsidR="00661535">
        <w:t xml:space="preserve"> </w:t>
      </w:r>
      <w:r w:rsidR="00511EB7">
        <w:t>=</w:t>
      </w:r>
      <w:r w:rsidR="00661535">
        <w:t xml:space="preserve"> </w:t>
      </w:r>
      <w:r w:rsidRPr="001A55D7">
        <w:t>0.0002) versus 2.26 percentage points (</w:t>
      </w:r>
      <w:r w:rsidR="001C171F">
        <w:t>p &lt;</w:t>
      </w:r>
      <w:r w:rsidR="00511EB7">
        <w:t xml:space="preserve"> </w:t>
      </w:r>
      <w:r w:rsidRPr="001A55D7">
        <w:t xml:space="preserve">0.0001) at Week 24 of Studies 103/104. Similar trends were observed when relative change in percent predicted </w:t>
      </w:r>
      <w:r w:rsidR="00A8789D" w:rsidRPr="001D064D">
        <w:t>FEV</w:t>
      </w:r>
      <w:r w:rsidR="00A8789D" w:rsidRPr="00A8789D">
        <w:rPr>
          <w:vertAlign w:val="subscript"/>
        </w:rPr>
        <w:t>1</w:t>
      </w:r>
      <w:r w:rsidRPr="001A55D7">
        <w:t xml:space="preserve"> was analysed. Subjects who received placebo in Studies 103/104 had improvements in percent predicted </w:t>
      </w:r>
      <w:r w:rsidR="00A8789D" w:rsidRPr="001D064D">
        <w:t>FEV</w:t>
      </w:r>
      <w:r w:rsidR="00A8789D" w:rsidRPr="00A8789D">
        <w:rPr>
          <w:vertAlign w:val="subscript"/>
        </w:rPr>
        <w:t>1</w:t>
      </w:r>
      <w:r w:rsidRPr="001A55D7">
        <w:t xml:space="preserve"> upon receiving active treatment in </w:t>
      </w:r>
      <w:r w:rsidR="004E6042">
        <w:t>Study</w:t>
      </w:r>
      <w:r w:rsidRPr="001A55D7">
        <w:t xml:space="preserve"> 105. Improvements in percent predicted </w:t>
      </w:r>
      <w:r w:rsidR="00A8789D" w:rsidRPr="001D064D">
        <w:t>FEV</w:t>
      </w:r>
      <w:r w:rsidR="00A8789D" w:rsidRPr="00A8789D">
        <w:rPr>
          <w:vertAlign w:val="subscript"/>
        </w:rPr>
        <w:t>1</w:t>
      </w:r>
      <w:r w:rsidRPr="001A55D7">
        <w:t xml:space="preserve"> were observed as early as Day 15 of </w:t>
      </w:r>
      <w:r w:rsidR="004E6042">
        <w:t>Study</w:t>
      </w:r>
      <w:r w:rsidRPr="001A55D7">
        <w:t xml:space="preserve"> 105 and were sustained through Week 16 for the placebo/LUM 600 mg qd/IVA 250 mg q12h group and Week 24 for the placebo/LUM 400 mg q12h/IVA 250 mg q12h group.</w:t>
      </w:r>
    </w:p>
    <w:p w:rsidR="001A55D7" w:rsidRPr="001A55D7" w:rsidRDefault="001A55D7" w:rsidP="00FF0482">
      <w:pPr>
        <w:pStyle w:val="Heading6"/>
      </w:pPr>
      <w:r w:rsidRPr="001A55D7">
        <w:t>Nutr</w:t>
      </w:r>
      <w:r w:rsidR="00FF0482">
        <w:t>itional status (BMI and weight)</w:t>
      </w:r>
    </w:p>
    <w:p w:rsidR="001A55D7" w:rsidRDefault="001A55D7" w:rsidP="001A55D7">
      <w:r w:rsidRPr="001A55D7">
        <w:t xml:space="preserve">For subjects who received active treatment in Studies 103/104, both groups had improvements in BMI and weight up to and including Week 24 of Studies 103/104 that continued to improve through all visits in </w:t>
      </w:r>
      <w:r w:rsidR="004E6042">
        <w:t>Study</w:t>
      </w:r>
      <w:r w:rsidRPr="001A55D7">
        <w:t xml:space="preserve"> 105. At Week 24 of </w:t>
      </w:r>
      <w:r w:rsidR="004E6042">
        <w:t>Study</w:t>
      </w:r>
      <w:r w:rsidRPr="001A55D7">
        <w:t xml:space="preserve"> 105, improvements in BMI were larger than those observed at Week 24 of Studies 103/104 (0.56kg/</w:t>
      </w:r>
      <w:r w:rsidR="00D933A6" w:rsidRPr="00EB7717">
        <w:t>m</w:t>
      </w:r>
      <w:r w:rsidR="00D933A6" w:rsidRPr="00D933A6">
        <w:rPr>
          <w:vertAlign w:val="superscript"/>
        </w:rPr>
        <w:t>2</w:t>
      </w:r>
      <w:r w:rsidRPr="001A55D7">
        <w:t xml:space="preserve"> </w:t>
      </w:r>
      <w:r w:rsidR="001C171F">
        <w:t>versus</w:t>
      </w:r>
      <w:r w:rsidRPr="001A55D7">
        <w:t xml:space="preserve"> 0.44kg/</w:t>
      </w:r>
      <w:r w:rsidR="00D933A6" w:rsidRPr="00EB7717">
        <w:t>m</w:t>
      </w:r>
      <w:r w:rsidR="00D933A6" w:rsidRPr="00D933A6">
        <w:rPr>
          <w:vertAlign w:val="superscript"/>
        </w:rPr>
        <w:t>2</w:t>
      </w:r>
      <w:r w:rsidRPr="001A55D7">
        <w:t xml:space="preserve">) with similar trends observed for weight (2.26kg </w:t>
      </w:r>
      <w:r w:rsidR="001C171F">
        <w:t>versus</w:t>
      </w:r>
      <w:r w:rsidRPr="001A55D7">
        <w:t xml:space="preserve"> 1.53kg). Of the subjects who received placebo in Studies 103/104, those who received LUM 400 mg q12h/IVA 250 mg q12h in </w:t>
      </w:r>
      <w:r w:rsidR="004E6042">
        <w:t>Study</w:t>
      </w:r>
      <w:r w:rsidRPr="001A55D7">
        <w:t xml:space="preserve"> 105 had improvements in BMI and weight upon receiving active treatment in </w:t>
      </w:r>
      <w:r w:rsidR="004E6042">
        <w:t>Study</w:t>
      </w:r>
      <w:r w:rsidRPr="001A55D7">
        <w:t xml:space="preserve"> 105 (</w:t>
      </w:r>
      <w:r w:rsidRPr="00E70DBD">
        <w:t>Figure</w:t>
      </w:r>
      <w:r w:rsidR="00E70DBD">
        <w:t>s</w:t>
      </w:r>
      <w:r w:rsidRPr="00E70DBD">
        <w:t xml:space="preserve"> </w:t>
      </w:r>
      <w:r w:rsidR="00D36851">
        <w:t>15</w:t>
      </w:r>
      <w:r w:rsidR="00E70DBD" w:rsidRPr="00E70DBD">
        <w:t xml:space="preserve"> </w:t>
      </w:r>
      <w:r w:rsidR="00D36851">
        <w:t>and 16</w:t>
      </w:r>
      <w:r w:rsidRPr="001A55D7">
        <w:t xml:space="preserve">). The placebo/LUM 400 mg q12h/IVA 250 mg q12h group had improvements in BMI and weight throughout </w:t>
      </w:r>
      <w:r w:rsidR="004E6042">
        <w:t>Study</w:t>
      </w:r>
      <w:r w:rsidRPr="001A55D7">
        <w:t xml:space="preserve"> 105 that were similar to those observed for the LUM 400 mg q12h/ IVA 250 mg q12h group in Studies 103/104. The placebo/LUM 600 mg qd/IVA 250 mg q12h group had numerical improvements in BMI and weight in </w:t>
      </w:r>
      <w:r w:rsidR="004E6042">
        <w:t>Study</w:t>
      </w:r>
      <w:r w:rsidRPr="001A55D7">
        <w:t xml:space="preserve"> 105; however, the magnitude of improvement in both BMI and weight was smaller compared to the LUM 600 mg qd/IVA 250 m</w:t>
      </w:r>
      <w:r w:rsidR="00DA2E47">
        <w:t>g q12h group in Studies 103/104.</w:t>
      </w:r>
    </w:p>
    <w:p w:rsidR="00E70DBD" w:rsidRDefault="00E70DBD" w:rsidP="008C36F9">
      <w:pPr>
        <w:pStyle w:val="FigureTitle"/>
        <w:keepNext/>
      </w:pPr>
      <w:proofErr w:type="gramStart"/>
      <w:r>
        <w:t>Figure</w:t>
      </w:r>
      <w:r w:rsidR="00D36851">
        <w:t xml:space="preserve"> 15</w:t>
      </w:r>
      <w:r>
        <w:t>.</w:t>
      </w:r>
      <w:proofErr w:type="gramEnd"/>
      <w:r>
        <w:t xml:space="preserve"> Absolute change from baseline in BMI at each visit, Part A cumu</w:t>
      </w:r>
      <w:r w:rsidR="00D36851">
        <w:t>lative period full analysis set</w:t>
      </w:r>
    </w:p>
    <w:p w:rsidR="00E70DBD" w:rsidRDefault="00E70DBD" w:rsidP="001A55D7">
      <w:r>
        <w:rPr>
          <w:noProof/>
          <w:lang w:eastAsia="en-AU"/>
        </w:rPr>
        <w:drawing>
          <wp:inline distT="0" distB="0" distL="0" distR="0" wp14:anchorId="439CCB77" wp14:editId="71367FFA">
            <wp:extent cx="5470437" cy="2450592"/>
            <wp:effectExtent l="0" t="0" r="0" b="6985"/>
            <wp:docPr id="60" name="Picture 60" descr="Figure 15. Absolute change from baseline in BMI at each visit, Part A cumulative period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BEBA8EAE-BF5A-486C-A8C5-ECC9F3942E4B}">
                          <a14:imgProps xmlns:a14="http://schemas.microsoft.com/office/drawing/2010/main">
                            <a14:imgLayer r:embed="rId79">
                              <a14:imgEffect>
                                <a14:sharpenSoften amount="25000"/>
                              </a14:imgEffect>
                            </a14:imgLayer>
                          </a14:imgProps>
                        </a:ext>
                      </a:extLst>
                    </a:blip>
                    <a:stretch>
                      <a:fillRect/>
                    </a:stretch>
                  </pic:blipFill>
                  <pic:spPr>
                    <a:xfrm>
                      <a:off x="0" y="0"/>
                      <a:ext cx="5470245" cy="2450506"/>
                    </a:xfrm>
                    <a:prstGeom prst="rect">
                      <a:avLst/>
                    </a:prstGeom>
                  </pic:spPr>
                </pic:pic>
              </a:graphicData>
            </a:graphic>
          </wp:inline>
        </w:drawing>
      </w:r>
    </w:p>
    <w:p w:rsidR="00E70DBD" w:rsidRDefault="00D36851" w:rsidP="008C36F9">
      <w:pPr>
        <w:pStyle w:val="FigureTitle"/>
        <w:keepNext/>
      </w:pPr>
      <w:proofErr w:type="gramStart"/>
      <w:r>
        <w:lastRenderedPageBreak/>
        <w:t>Figure 16</w:t>
      </w:r>
      <w:r w:rsidR="00E70DBD">
        <w:t>.</w:t>
      </w:r>
      <w:proofErr w:type="gramEnd"/>
      <w:r w:rsidR="00E70DBD">
        <w:t xml:space="preserve"> </w:t>
      </w:r>
      <w:r w:rsidR="008C36F9">
        <w:t>Absolute change from baseline in weight at each visit, Part A cumul</w:t>
      </w:r>
      <w:r>
        <w:t xml:space="preserve">ative period, </w:t>
      </w:r>
      <w:proofErr w:type="gramStart"/>
      <w:r>
        <w:t>full</w:t>
      </w:r>
      <w:proofErr w:type="gramEnd"/>
      <w:r>
        <w:t xml:space="preserve"> analysis set</w:t>
      </w:r>
    </w:p>
    <w:p w:rsidR="008C36F9" w:rsidRPr="001A55D7" w:rsidRDefault="008C36F9" w:rsidP="001A55D7">
      <w:r>
        <w:rPr>
          <w:noProof/>
          <w:lang w:eastAsia="en-AU"/>
        </w:rPr>
        <w:drawing>
          <wp:inline distT="0" distB="0" distL="0" distR="0" wp14:anchorId="52D87B4D" wp14:editId="55FF1EF3">
            <wp:extent cx="5731510" cy="2680216"/>
            <wp:effectExtent l="0" t="0" r="2540" b="6350"/>
            <wp:docPr id="61" name="Picture 61" descr="Figure 16. Absolute change from baseline in weight at each visit, Part A cumulative period,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BEBA8EAE-BF5A-486C-A8C5-ECC9F3942E4B}">
                          <a14:imgProps xmlns:a14="http://schemas.microsoft.com/office/drawing/2010/main">
                            <a14:imgLayer r:embed="rId81">
                              <a14:imgEffect>
                                <a14:sharpenSoften amount="25000"/>
                              </a14:imgEffect>
                            </a14:imgLayer>
                          </a14:imgProps>
                        </a:ext>
                      </a:extLst>
                    </a:blip>
                    <a:stretch>
                      <a:fillRect/>
                    </a:stretch>
                  </pic:blipFill>
                  <pic:spPr>
                    <a:xfrm>
                      <a:off x="0" y="0"/>
                      <a:ext cx="5731510" cy="2680216"/>
                    </a:xfrm>
                    <a:prstGeom prst="rect">
                      <a:avLst/>
                    </a:prstGeom>
                  </pic:spPr>
                </pic:pic>
              </a:graphicData>
            </a:graphic>
          </wp:inline>
        </w:drawing>
      </w:r>
    </w:p>
    <w:p w:rsidR="001A55D7" w:rsidRPr="001A55D7" w:rsidRDefault="005F12FF" w:rsidP="005F12FF">
      <w:pPr>
        <w:pStyle w:val="Comment"/>
      </w:pPr>
      <w:r>
        <w:rPr>
          <w:b/>
        </w:rPr>
        <w:t>Comment</w:t>
      </w:r>
      <w:r w:rsidR="001A55D7" w:rsidRPr="001A55D7">
        <w:rPr>
          <w:b/>
        </w:rPr>
        <w:t>:</w:t>
      </w:r>
      <w:r w:rsidR="001A55D7" w:rsidRPr="001A55D7">
        <w:t xml:space="preserve"> For subjects who received active treatment in Studies 103/104, both groups had improvements in percent predicted </w:t>
      </w:r>
      <w:r w:rsidR="00A8789D" w:rsidRPr="001D064D">
        <w:t>FEV</w:t>
      </w:r>
      <w:r w:rsidR="00A8789D" w:rsidRPr="00A8789D">
        <w:rPr>
          <w:vertAlign w:val="subscript"/>
        </w:rPr>
        <w:t>1</w:t>
      </w:r>
      <w:r w:rsidR="001A55D7" w:rsidRPr="001A55D7">
        <w:t xml:space="preserve"> from Day 15, through subsequent visits up to and including Week 24 of Studies 103/104 that were sustained through all visits in </w:t>
      </w:r>
      <w:r w:rsidR="004E6042">
        <w:t>Study</w:t>
      </w:r>
      <w:r w:rsidR="001A55D7" w:rsidRPr="001A55D7">
        <w:t xml:space="preserve"> 105. At Week 24 of </w:t>
      </w:r>
      <w:r w:rsidR="004E6042">
        <w:t>Study</w:t>
      </w:r>
      <w:r w:rsidR="001A55D7" w:rsidRPr="001A55D7">
        <w:t xml:space="preserve"> 105, improvements in percent predicted </w:t>
      </w:r>
      <w:r w:rsidR="00A8789D" w:rsidRPr="001D064D">
        <w:t>FEV</w:t>
      </w:r>
      <w:r w:rsidR="00A8789D" w:rsidRPr="00A8789D">
        <w:rPr>
          <w:vertAlign w:val="subscript"/>
        </w:rPr>
        <w:t>1</w:t>
      </w:r>
      <w:r w:rsidR="001A55D7" w:rsidRPr="001A55D7">
        <w:t xml:space="preserve"> were similar to those obser</w:t>
      </w:r>
      <w:r w:rsidR="00FF0482">
        <w:t>ved throughout Studies 103/104.</w:t>
      </w:r>
    </w:p>
    <w:p w:rsidR="001A55D7" w:rsidRPr="001A55D7" w:rsidRDefault="001A55D7" w:rsidP="005F12FF">
      <w:pPr>
        <w:pStyle w:val="ListBullet"/>
        <w:ind w:left="1491" w:hanging="357"/>
      </w:pPr>
      <w:r w:rsidRPr="001A55D7">
        <w:t xml:space="preserve">Subjects who received placebo in Studies 103/104 had improvements in percent predicted </w:t>
      </w:r>
      <w:r w:rsidR="00A8789D" w:rsidRPr="001D064D">
        <w:t>FEV</w:t>
      </w:r>
      <w:r w:rsidR="00A8789D" w:rsidRPr="00A8789D">
        <w:rPr>
          <w:vertAlign w:val="subscript"/>
        </w:rPr>
        <w:t>1</w:t>
      </w:r>
      <w:r w:rsidRPr="001A55D7">
        <w:t xml:space="preserve"> upon receiving active treatment in </w:t>
      </w:r>
      <w:r w:rsidR="004E6042">
        <w:t>Study</w:t>
      </w:r>
      <w:r w:rsidRPr="001A55D7">
        <w:t xml:space="preserve"> 105. The magnitude and trend of the improvement observed in these subjects in </w:t>
      </w:r>
      <w:r w:rsidR="004E6042">
        <w:t>Study</w:t>
      </w:r>
      <w:r w:rsidRPr="001A55D7">
        <w:t xml:space="preserve"> 105 was similar to that observed over the same duration for subjects who received activ</w:t>
      </w:r>
      <w:r w:rsidR="00FF0482">
        <w:t>e treatment in Studies 103/104</w:t>
      </w:r>
    </w:p>
    <w:p w:rsidR="001A55D7" w:rsidRPr="001A55D7" w:rsidRDefault="001A55D7" w:rsidP="005F12FF">
      <w:pPr>
        <w:pStyle w:val="ListBullet"/>
        <w:ind w:left="1491" w:hanging="357"/>
      </w:pPr>
      <w:r w:rsidRPr="001A55D7">
        <w:t>For subjects who received active treatment in Studies 103/104, both groups had improvements in BMI and weight up to and including Week 24 of Studies 103/104 that</w:t>
      </w:r>
      <w:r>
        <w:t xml:space="preserve"> </w:t>
      </w:r>
      <w:r w:rsidRPr="001A55D7">
        <w:t xml:space="preserve">continued to improve through all visits in </w:t>
      </w:r>
      <w:r w:rsidR="004E6042">
        <w:t>Study</w:t>
      </w:r>
      <w:r w:rsidRPr="001A55D7">
        <w:t xml:space="preserve"> 105. At Week 24 of </w:t>
      </w:r>
      <w:r w:rsidR="004E6042">
        <w:t>Study</w:t>
      </w:r>
      <w:r w:rsidRPr="001A55D7">
        <w:t xml:space="preserve"> 105, improvements in BMI and weight were larger than those observed</w:t>
      </w:r>
      <w:r w:rsidR="00FF0482">
        <w:t xml:space="preserve"> at Week 24 of Studies 103/104</w:t>
      </w:r>
    </w:p>
    <w:p w:rsidR="001A55D7" w:rsidRDefault="001A55D7" w:rsidP="005F12FF">
      <w:pPr>
        <w:pStyle w:val="ListBullet"/>
        <w:ind w:left="1491" w:hanging="357"/>
      </w:pPr>
      <w:r w:rsidRPr="001A55D7">
        <w:t xml:space="preserve">The CSR states that both the placebo/LUM 400 mg q12h/IVA 250 mg q12h and placebo/LUM 600 mg qd/IVA 250 mg q12h groups had improvements in BMI and weight throughout </w:t>
      </w:r>
      <w:r w:rsidR="004E6042">
        <w:t>Study</w:t>
      </w:r>
      <w:r w:rsidRPr="001A55D7">
        <w:t xml:space="preserve"> 105 that were similar to those observed for both the LUM/IVA treatment groups in </w:t>
      </w:r>
      <w:r w:rsidR="00980975">
        <w:t>Studies</w:t>
      </w:r>
      <w:r w:rsidRPr="001A55D7">
        <w:t xml:space="preserve"> 103/104. However, interpretation of results at Week 24 of </w:t>
      </w:r>
      <w:r w:rsidR="004E6042">
        <w:t>Study</w:t>
      </w:r>
      <w:r w:rsidRPr="001A55D7">
        <w:t xml:space="preserve"> 105 for subjects who received placebo in Studies 103 and 104 was limited due to the small number of subjects included in the analysis relative to the analysis at Week 24 of Studies 103 and 104.</w:t>
      </w:r>
    </w:p>
    <w:p w:rsidR="001A55D7" w:rsidRPr="001A55D7" w:rsidRDefault="00FF0482" w:rsidP="00FF0482">
      <w:pPr>
        <w:pStyle w:val="Heading4"/>
      </w:pPr>
      <w:r>
        <w:t>Study VX-08-770-104</w:t>
      </w:r>
    </w:p>
    <w:p w:rsidR="001A55D7" w:rsidRDefault="001A55D7" w:rsidP="001A55D7">
      <w:r w:rsidRPr="001A55D7">
        <w:t xml:space="preserve">This study was a </w:t>
      </w:r>
      <w:r w:rsidR="00980975">
        <w:t>Phase II</w:t>
      </w:r>
      <w:r w:rsidRPr="001A55D7">
        <w:t>, random</w:t>
      </w:r>
      <w:r w:rsidR="002D7E74">
        <w:t>ise</w:t>
      </w:r>
      <w:r w:rsidRPr="001A55D7">
        <w:t xml:space="preserve">d, </w:t>
      </w:r>
      <w:r w:rsidR="003C1B2B">
        <w:t>double blind</w:t>
      </w:r>
      <w:r w:rsidRPr="001A55D7">
        <w:t xml:space="preserve">, </w:t>
      </w:r>
      <w:r w:rsidR="003C1B2B">
        <w:t>placebo controlled</w:t>
      </w:r>
      <w:r w:rsidRPr="001A55D7">
        <w:t xml:space="preserve">, </w:t>
      </w:r>
      <w:r w:rsidR="003C1B2B">
        <w:t>parallel group</w:t>
      </w:r>
      <w:r w:rsidR="00FF0482">
        <w:t xml:space="preserve"> study (Part A)</w:t>
      </w:r>
      <w:r w:rsidR="00DA2E47">
        <w:t xml:space="preserve"> </w:t>
      </w:r>
      <w:r w:rsidR="00FF0482">
        <w:t xml:space="preserve">with an open </w:t>
      </w:r>
      <w:r w:rsidRPr="001A55D7">
        <w:t>label extension (Part B) of orally administered ivacaftor</w:t>
      </w:r>
      <w:r w:rsidR="00DA2E47">
        <w:t xml:space="preserve"> </w:t>
      </w:r>
      <w:r w:rsidRPr="001A55D7">
        <w:t>(VX-770) in 140 subjects</w:t>
      </w:r>
      <w:r w:rsidR="00FF0482">
        <w:t xml:space="preserve"> </w:t>
      </w:r>
      <w:r w:rsidRPr="001A55D7">
        <w:t xml:space="preserve">aged </w:t>
      </w:r>
      <w:r w:rsidR="00511EB7">
        <w:t xml:space="preserve">&gt; </w:t>
      </w:r>
      <w:r w:rsidRPr="001A55D7">
        <w:t>12 years with CF homozygou</w:t>
      </w:r>
      <w:r w:rsidR="00FF0482">
        <w:t>s for the F508del-CFTR mutation</w:t>
      </w:r>
      <w:r w:rsidRPr="001A55D7">
        <w:t xml:space="preserve">. The primary objective of Part A was to evaluate the safety and efficacy of 16 weeks of treatment with VX-770 in subjects with CF who are homozygous for the F508del-CF transmembrane conductance regulator (CFTR) mutation; the secondary objective was to investigate the pharmacokinetics (PK) of 16 weeks of treatment with VX-770 and metabolitesM1 and M6 (if possible) after multiple oral doses of VX-770. The primary and secondary objectives of Part B were to evaluate </w:t>
      </w:r>
      <w:r w:rsidRPr="001A55D7">
        <w:lastRenderedPageBreak/>
        <w:t xml:space="preserve">the safety and efficacy, respectively of long-term VX-770 treatment in subjects with CF who are homozygous for the F508del-CFTR mutation and who were considered responders in Part </w:t>
      </w:r>
      <w:proofErr w:type="gramStart"/>
      <w:r w:rsidRPr="001A55D7">
        <w:t>A</w:t>
      </w:r>
      <w:proofErr w:type="gramEnd"/>
      <w:r w:rsidRPr="001A55D7">
        <w:t xml:space="preserve"> (</w:t>
      </w:r>
      <w:r w:rsidRPr="00DA2E47">
        <w:t xml:space="preserve">Figure </w:t>
      </w:r>
      <w:r w:rsidR="00D36851">
        <w:t>17</w:t>
      </w:r>
      <w:r w:rsidR="005A3437">
        <w:t>).</w:t>
      </w:r>
    </w:p>
    <w:p w:rsidR="00DA2E47" w:rsidRPr="001A55D7" w:rsidRDefault="00D36851" w:rsidP="00DA2E47">
      <w:pPr>
        <w:pStyle w:val="FigureTitle"/>
      </w:pPr>
      <w:r>
        <w:t>Figure 17</w:t>
      </w:r>
      <w:r w:rsidR="00DA2E47">
        <w:t xml:space="preserve"> Study VX08-770-104 ivacaftor monotherapy Part A schematic of s</w:t>
      </w:r>
      <w:r>
        <w:t>tudy design</w:t>
      </w:r>
      <w:r w:rsidR="0050714D">
        <w:rPr>
          <w:noProof/>
          <w:lang w:eastAsia="en-AU"/>
        </w:rPr>
        <w:t xml:space="preserve">t </w:t>
      </w:r>
      <w:r w:rsidR="00DA2E47">
        <w:rPr>
          <w:noProof/>
          <w:lang w:eastAsia="en-AU"/>
        </w:rPr>
        <w:drawing>
          <wp:inline distT="0" distB="0" distL="0" distR="0" wp14:anchorId="37533249" wp14:editId="0DBCE47A">
            <wp:extent cx="5191019" cy="6232550"/>
            <wp:effectExtent l="0" t="0" r="0" b="0"/>
            <wp:docPr id="62" name="Picture 62" descr="Figure 17 Study VX08-770-104 ivacaftor monotherapy Part A schematic of study design&#10;Screening period (Day -35 to Day -15)&#10;Run in period (Day -14 to Day 1)&#10;Treatment Period (Day 1 to Week 6) (either VX-770 q12h or placebo q12h)&#10;Completion of treatment period (Week 16)&#10;Met a responder criterion and elected to participate in Part B (either yes or No)&#10;Yes then went onto Part B Open Labe Extension&#10;If No Had a follow up visit 4 weeks (+ or - 7 days) after the last dose of study drug and then Long term follow up was fro subjects who recieved more than 4 weeks of study drug will be folllowed for 2 years after the last dose of study drug&#10;If there was discontinueation during the treatment period there was an early termination visit as soon as possiblle after the last dose of study drug. If the patient recieved the study drug for more than 4 weeks  there was a follow up visit 4 weeks  (+ or - 7 days) after the last dose of the study dr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189423" cy="6230633"/>
                    </a:xfrm>
                    <a:prstGeom prst="rect">
                      <a:avLst/>
                    </a:prstGeom>
                  </pic:spPr>
                </pic:pic>
              </a:graphicData>
            </a:graphic>
          </wp:inline>
        </w:drawing>
      </w:r>
    </w:p>
    <w:p w:rsidR="001A55D7" w:rsidRPr="001A55D7" w:rsidRDefault="001A55D7" w:rsidP="001A55D7">
      <w:r w:rsidRPr="001A55D7">
        <w:t>Subjects in Part A of this study were random</w:t>
      </w:r>
      <w:r w:rsidR="002D7E74">
        <w:t>ise</w:t>
      </w:r>
      <w:r w:rsidRPr="001A55D7">
        <w:t>d to receive either 150 mg VX-770 or placebo every 12 hours (q12h) for 16 weeks. Part A in</w:t>
      </w:r>
      <w:r w:rsidR="005A3437">
        <w:t xml:space="preserve">cluded a Screening Period (Day </w:t>
      </w:r>
      <w:r w:rsidR="005A3437">
        <w:noBreakHyphen/>
      </w:r>
      <w:r w:rsidRPr="001A55D7">
        <w:t>35 to Da</w:t>
      </w:r>
      <w:r w:rsidR="005A3437">
        <w:t xml:space="preserve">y </w:t>
      </w:r>
      <w:r w:rsidR="005A3437">
        <w:noBreakHyphen/>
        <w:t xml:space="preserve">15), a Run-In Period (Day </w:t>
      </w:r>
      <w:r w:rsidR="005A3437">
        <w:noBreakHyphen/>
        <w:t xml:space="preserve">14 to Day </w:t>
      </w:r>
      <w:r w:rsidR="005A3437">
        <w:noBreakHyphen/>
      </w:r>
      <w:r w:rsidRPr="001A55D7">
        <w:t xml:space="preserve">1, before first dose of study drug </w:t>
      </w:r>
      <w:r w:rsidR="004E6042">
        <w:t>(</w:t>
      </w:r>
      <w:r w:rsidRPr="001A55D7">
        <w:t>VX-770 or placebo</w:t>
      </w:r>
      <w:r w:rsidR="004E6042">
        <w:t>)</w:t>
      </w:r>
      <w:r w:rsidRPr="001A55D7">
        <w:t xml:space="preserve">), a Treatment Period (Day 1 </w:t>
      </w:r>
      <w:r w:rsidR="004E6042">
        <w:t>(</w:t>
      </w:r>
      <w:r w:rsidRPr="001A55D7">
        <w:t>first dose of study drug</w:t>
      </w:r>
      <w:r w:rsidR="004E6042">
        <w:t>)</w:t>
      </w:r>
      <w:r w:rsidRPr="001A55D7">
        <w:t xml:space="preserve"> to Week 1</w:t>
      </w:r>
      <w:r w:rsidR="005A3437">
        <w:t xml:space="preserve">6), a Follow-up Visit (4 weeks </w:t>
      </w:r>
      <w:r w:rsidRPr="001A55D7">
        <w:t>7 days</w:t>
      </w:r>
      <w:r w:rsidR="005A3437">
        <w:t xml:space="preserve"> after last dose of study drug) and a long-term f</w:t>
      </w:r>
      <w:r w:rsidRPr="001A55D7">
        <w:t xml:space="preserve">ollow-up (for 2 years after the last dose of study drug) for subjects who received study drug for more than 4 weeks and who were not to participate in Part B Subjects who met one of the following response criteria and completed 16 weeks of study drug dosing were eligible to participate in Part B: An increase of </w:t>
      </w:r>
      <w:r w:rsidR="00511EB7">
        <w:t xml:space="preserve">&gt; </w:t>
      </w:r>
      <w:r w:rsidRPr="001A55D7">
        <w:t>10% relative to baseline in percent predicted forced expiratory volume in 1 second (</w:t>
      </w:r>
      <w:r w:rsidR="00A8789D" w:rsidRPr="001D064D">
        <w:t>FEV</w:t>
      </w:r>
      <w:r w:rsidR="00A8789D" w:rsidRPr="00A8789D">
        <w:rPr>
          <w:vertAlign w:val="subscript"/>
        </w:rPr>
        <w:t>1</w:t>
      </w:r>
      <w:r w:rsidRPr="001A55D7">
        <w:t xml:space="preserve">) at 1 or more time points from Day 15 through Week 16, inclusive; A decrease from baseline in sweat chloride </w:t>
      </w:r>
      <w:r w:rsidRPr="001A55D7">
        <w:lastRenderedPageBreak/>
        <w:t xml:space="preserve">concentration of </w:t>
      </w:r>
      <w:r w:rsidR="00511EB7">
        <w:t xml:space="preserve">&gt; </w:t>
      </w:r>
      <w:r w:rsidRPr="001A55D7">
        <w:t>15 mmol/L at both the Day 15 and Week 8 visits. Subjects in Part B were to have received open-label 150 mg VX-770 q12h for 96 weeks. Part B included an Extension Period (Week 16 through Week 112). However, the study was discontinued by the sponsor following results obtained from a pre-specified evaluation the</w:t>
      </w:r>
      <w:r w:rsidR="005A3437">
        <w:t xml:space="preserve"> Part B data (through Week 40).</w:t>
      </w:r>
    </w:p>
    <w:p w:rsidR="001A55D7" w:rsidRPr="001A55D7" w:rsidRDefault="001A55D7" w:rsidP="001A55D7">
      <w:r w:rsidRPr="001A55D7">
        <w:t>This study enrolled 140 subjects who are homozygous for the F508del-CFTR mutation at 34 sites in the US. It was conducted fro</w:t>
      </w:r>
      <w:r w:rsidR="005A3437">
        <w:t>m 21 Sept 2009 to 20 July 2011.</w:t>
      </w:r>
    </w:p>
    <w:p w:rsidR="001A55D7" w:rsidRPr="001A55D7" w:rsidRDefault="001A55D7" w:rsidP="001A55D7">
      <w:r w:rsidRPr="001A55D7">
        <w:t>No formal sample size or power analysis was performed for this study. Based on clinical considerations, the sample size of 120 subjects was selected to provide additional safety dat</w:t>
      </w:r>
      <w:r w:rsidR="005A3437">
        <w:t>a on VX-770 in this population.</w:t>
      </w:r>
    </w:p>
    <w:p w:rsidR="001A55D7" w:rsidRPr="001A55D7" w:rsidRDefault="001A55D7" w:rsidP="001A55D7">
      <w:r w:rsidRPr="001A55D7">
        <w:t xml:space="preserve">A total of 104 (92.9%) subjects in the VX-770 group and 26 (92.9%) subjects in the placebo group completed Part A dosing. The most frequent reason for study drug dosing discontinuation was an adverse event (3 </w:t>
      </w:r>
      <w:r w:rsidR="004E6042">
        <w:t>(</w:t>
      </w:r>
      <w:r w:rsidRPr="001A55D7">
        <w:t>2.7%</w:t>
      </w:r>
      <w:r w:rsidR="004E6042">
        <w:t>)</w:t>
      </w:r>
      <w:r w:rsidRPr="001A55D7">
        <w:t xml:space="preserve"> subjects in the VX-770 group and 2 </w:t>
      </w:r>
      <w:r w:rsidR="004E6042">
        <w:t>(</w:t>
      </w:r>
      <w:r w:rsidRPr="001A55D7">
        <w:t>7.1%</w:t>
      </w:r>
      <w:r w:rsidR="004E6042">
        <w:t>)</w:t>
      </w:r>
      <w:r w:rsidRPr="001A55D7">
        <w:t xml:space="preserve"> subjects in the placebo group). A total of 42 (37.5%) subjects in the VX-770 group and 6 (21.4%) subjects in the placebo group were eligible for rollover to Part B of the study based on pre-specified criteria for improvement in </w:t>
      </w:r>
      <w:r w:rsidR="00A8789D" w:rsidRPr="001D064D">
        <w:t>FEV</w:t>
      </w:r>
      <w:r w:rsidR="00A8789D" w:rsidRPr="00A8789D">
        <w:rPr>
          <w:vertAlign w:val="subscript"/>
        </w:rPr>
        <w:t>1</w:t>
      </w:r>
      <w:r w:rsidRPr="001A55D7">
        <w:t xml:space="preserve"> or decrease from baseline in sweat chloride values. Of the eligible subjects, 33 (78.6%) subjects in VX-770 group and 5 (83.3%) subjects in the placebo group rolled over to Part B.</w:t>
      </w:r>
    </w:p>
    <w:p w:rsidR="001A55D7" w:rsidRPr="00F52CF2" w:rsidRDefault="00F52CF2" w:rsidP="00F52CF2">
      <w:r w:rsidRPr="00F52CF2">
        <w:t>Majority of</w:t>
      </w:r>
      <w:r w:rsidR="00FF2FED">
        <w:t xml:space="preserve"> patients were White (99 to 100%), males (52 to </w:t>
      </w:r>
      <w:r w:rsidRPr="00F52CF2">
        <w:t>57%), mean age of</w:t>
      </w:r>
      <w:r w:rsidR="00FF2FED">
        <w:t xml:space="preserve"> 23 to </w:t>
      </w:r>
      <w:r w:rsidRPr="00F52CF2">
        <w:t>25years, me</w:t>
      </w:r>
      <w:r w:rsidR="00FF2FED">
        <w:t xml:space="preserve">an percent predicted </w:t>
      </w:r>
      <w:r w:rsidR="00A8789D" w:rsidRPr="001D064D">
        <w:t>FEV</w:t>
      </w:r>
      <w:r w:rsidR="00A8789D" w:rsidRPr="00A8789D">
        <w:rPr>
          <w:vertAlign w:val="subscript"/>
        </w:rPr>
        <w:t>1</w:t>
      </w:r>
      <w:r w:rsidR="00FF2FED">
        <w:t xml:space="preserve"> of 75 to </w:t>
      </w:r>
      <w:r w:rsidRPr="00F52CF2">
        <w:t>79%. Baseline demographics and disease characteristics were mostly similar in placebo and ivacaftor groups. The most common medical conditions and concomitant medications were those commonly associated with CF and were similar in both treatment groups.</w:t>
      </w:r>
    </w:p>
    <w:p w:rsidR="00F52CF2" w:rsidRPr="00F52CF2" w:rsidRDefault="00FF2FED" w:rsidP="00FF2FED">
      <w:pPr>
        <w:pStyle w:val="Heading5"/>
      </w:pPr>
      <w:r>
        <w:t>Part A efficacy results</w:t>
      </w:r>
    </w:p>
    <w:p w:rsidR="00FF2FED" w:rsidRDefault="00FF2FED" w:rsidP="00FF2FED">
      <w:pPr>
        <w:pStyle w:val="Heading6"/>
      </w:pPr>
      <w:r>
        <w:t xml:space="preserve">Primary </w:t>
      </w:r>
      <w:r w:rsidR="005F7A8E">
        <w:t>e</w:t>
      </w:r>
      <w:r>
        <w:t xml:space="preserve">fficacy </w:t>
      </w:r>
      <w:r w:rsidR="005F7A8E">
        <w:t>e</w:t>
      </w:r>
      <w:r>
        <w:t>ndpoint</w:t>
      </w:r>
    </w:p>
    <w:p w:rsidR="00F52CF2" w:rsidRPr="00F52CF2" w:rsidRDefault="00F52CF2" w:rsidP="00F52CF2">
      <w:r w:rsidRPr="00F52CF2">
        <w:t xml:space="preserve">Although, the adjusted mean absolute change from baseline through Week 16 in percent predicted </w:t>
      </w:r>
      <w:r w:rsidR="00A8789D" w:rsidRPr="001D064D">
        <w:t>FEV</w:t>
      </w:r>
      <w:r w:rsidR="00A8789D" w:rsidRPr="00A8789D">
        <w:rPr>
          <w:vertAlign w:val="subscript"/>
        </w:rPr>
        <w:t>1</w:t>
      </w:r>
      <w:r w:rsidRPr="00F52CF2">
        <w:t xml:space="preserve"> was greater in the ivacaftor than in the placebo group (1.54 </w:t>
      </w:r>
      <w:r w:rsidR="001C171F">
        <w:t>versus</w:t>
      </w:r>
      <w:r w:rsidR="00FF2FED">
        <w:t xml:space="preserve"> </w:t>
      </w:r>
      <w:r w:rsidR="00FF2FED">
        <w:noBreakHyphen/>
      </w:r>
      <w:r w:rsidRPr="00F52CF2">
        <w:t>0.18%), the difference was not statistically s</w:t>
      </w:r>
      <w:r w:rsidR="00FF2FED">
        <w:t>ignificant.</w:t>
      </w:r>
    </w:p>
    <w:p w:rsidR="00FF2FED" w:rsidRDefault="00FF2FED" w:rsidP="00FF2FED">
      <w:pPr>
        <w:pStyle w:val="Heading6"/>
      </w:pPr>
      <w:r>
        <w:t xml:space="preserve">Secondary </w:t>
      </w:r>
      <w:r w:rsidR="005F7A8E">
        <w:t>e</w:t>
      </w:r>
      <w:r>
        <w:t xml:space="preserve">fficacy </w:t>
      </w:r>
      <w:r w:rsidR="005F7A8E">
        <w:t>e</w:t>
      </w:r>
      <w:r>
        <w:t>ndpoints</w:t>
      </w:r>
    </w:p>
    <w:p w:rsidR="00F52CF2" w:rsidRPr="00F52CF2" w:rsidRDefault="00F52CF2" w:rsidP="00F52CF2">
      <w:r w:rsidRPr="00F52CF2">
        <w:t>As the treatment effect for the primary efficacy endpoint was not statistically significant, any observed statistical significance in other efficacy endpoints was reported nominal. Although, the adjusted mean decrease from baseline through Week 16 in sweat chloride values was greater in the ivacaf</w:t>
      </w:r>
      <w:r w:rsidR="00FF2FED">
        <w:t>tor than in the placebo group (</w:t>
      </w:r>
      <w:r w:rsidR="00FF2FED">
        <w:noBreakHyphen/>
      </w:r>
      <w:r w:rsidRPr="00F52CF2">
        <w:t xml:space="preserve">2.74 </w:t>
      </w:r>
      <w:r w:rsidR="001C171F">
        <w:t>versus</w:t>
      </w:r>
      <w:r w:rsidRPr="00F52CF2">
        <w:t xml:space="preserve"> 0.13 mmol/L), the difference was nominally statistically significant (</w:t>
      </w:r>
      <w:r w:rsidR="00CC3BC8">
        <w:t>p</w:t>
      </w:r>
      <w:r w:rsidR="00661535">
        <w:t xml:space="preserve"> </w:t>
      </w:r>
      <w:r w:rsidR="00511EB7">
        <w:t>=</w:t>
      </w:r>
      <w:r w:rsidR="00661535">
        <w:t xml:space="preserve"> </w:t>
      </w:r>
      <w:r w:rsidRPr="00F52CF2">
        <w:t>0.0384). The changes in sweat chloride occurred by Day 15 and were susta</w:t>
      </w:r>
      <w:r w:rsidR="00A267CE">
        <w:t xml:space="preserve">ined for the duration of the 16 </w:t>
      </w:r>
      <w:r w:rsidRPr="00F52CF2">
        <w:t>week treatment period. Ivacaftor treatment did not improve respiratory symptoms, as measured by the change in CFQ-R respiratory domain score over 16 weeks of treatment. An effect of ivacaftor administration on weight, as measured by the change in weight, weight-for-age z-score, BMI, and BMI-for-age z-score over 16 weeks of treatment</w:t>
      </w:r>
      <w:r w:rsidR="00A267CE">
        <w:t xml:space="preserve"> was not observed in this study.</w:t>
      </w:r>
    </w:p>
    <w:p w:rsidR="00FF2FED" w:rsidRDefault="00F52CF2" w:rsidP="00FF2FED">
      <w:pPr>
        <w:pStyle w:val="Heading6"/>
      </w:pPr>
      <w:r w:rsidRPr="00F52CF2">
        <w:t>Tertiary an</w:t>
      </w:r>
      <w:r w:rsidR="00FF2FED">
        <w:t xml:space="preserve">d additional </w:t>
      </w:r>
      <w:r w:rsidR="005F7A8E">
        <w:t>e</w:t>
      </w:r>
      <w:r w:rsidR="00FF2FED">
        <w:t xml:space="preserve">fficacy </w:t>
      </w:r>
      <w:r w:rsidR="005F7A8E">
        <w:t>e</w:t>
      </w:r>
      <w:r w:rsidR="00FF2FED">
        <w:t>ndpoints</w:t>
      </w:r>
    </w:p>
    <w:p w:rsidR="00F52CF2" w:rsidRPr="00F52CF2" w:rsidRDefault="00F52CF2" w:rsidP="00F52CF2">
      <w:r w:rsidRPr="00F52CF2">
        <w:t>An effect of VX-770 administration on oxygen saturation or EQ-5D score was not observed in this study. A smaller number, sh</w:t>
      </w:r>
      <w:r w:rsidR="00FF2FED">
        <w:t xml:space="preserve">orter duration, and longer time to onset of most CF </w:t>
      </w:r>
      <w:r w:rsidRPr="00F52CF2">
        <w:t>related events of interest (including pulmonary exacerbations and antibiotic therapy for sinopulmonary signs/symptoms) were observed in the ivacaftor group than in the placebo group, but these differences were not statistically significant</w:t>
      </w:r>
      <w:r w:rsidR="00FF2FED">
        <w:t>.</w:t>
      </w:r>
    </w:p>
    <w:p w:rsidR="00F52CF2" w:rsidRPr="00F52CF2" w:rsidRDefault="00F52CF2" w:rsidP="00F52CF2">
      <w:r w:rsidRPr="00F52CF2">
        <w:t xml:space="preserve">There were no significant improvements in relative change from baseline through Week 16 in percent predicted </w:t>
      </w:r>
      <w:r w:rsidR="00A8789D" w:rsidRPr="001D064D">
        <w:t>FEV</w:t>
      </w:r>
      <w:r w:rsidR="00A8789D" w:rsidRPr="00A8789D">
        <w:rPr>
          <w:vertAlign w:val="subscript"/>
        </w:rPr>
        <w:t>1</w:t>
      </w:r>
      <w:r w:rsidRPr="00F52CF2">
        <w:t xml:space="preserve"> and the absolute and relative changes from baseline through Week 16 in </w:t>
      </w:r>
      <w:r w:rsidR="00A8789D" w:rsidRPr="001D064D">
        <w:t>FEV</w:t>
      </w:r>
      <w:r w:rsidR="00A8789D" w:rsidRPr="00A8789D">
        <w:rPr>
          <w:vertAlign w:val="subscript"/>
        </w:rPr>
        <w:t>1</w:t>
      </w:r>
      <w:r w:rsidRPr="00F52CF2">
        <w:t xml:space="preserve"> and small non-significant improvements in additional spirometry parameters analysed (FVC, FEF27-75%, and </w:t>
      </w:r>
      <w:r w:rsidR="00A8789D" w:rsidRPr="001D064D">
        <w:t>FEV</w:t>
      </w:r>
      <w:r w:rsidR="00A8789D" w:rsidRPr="00A8789D">
        <w:rPr>
          <w:vertAlign w:val="subscript"/>
        </w:rPr>
        <w:t>1</w:t>
      </w:r>
      <w:r w:rsidRPr="00F52CF2">
        <w:t>/FVC)</w:t>
      </w:r>
      <w:r w:rsidR="00FF2FED">
        <w:t>.</w:t>
      </w:r>
    </w:p>
    <w:p w:rsidR="00F52CF2" w:rsidRPr="00FF2FED" w:rsidRDefault="00F52CF2" w:rsidP="00FF2FED">
      <w:pPr>
        <w:pStyle w:val="Heading5"/>
        <w:rPr>
          <w:i w:val="0"/>
        </w:rPr>
      </w:pPr>
      <w:r w:rsidRPr="00FF2FED">
        <w:rPr>
          <w:rStyle w:val="Heading6Char"/>
          <w:rFonts w:eastAsia="Cambria"/>
          <w:i/>
        </w:rPr>
        <w:lastRenderedPageBreak/>
        <w:t>Part B efficacy results</w:t>
      </w:r>
    </w:p>
    <w:p w:rsidR="00F52CF2" w:rsidRPr="00F52CF2" w:rsidRDefault="00F52CF2" w:rsidP="00F52CF2">
      <w:r w:rsidRPr="00F52CF2">
        <w:t>All subjects in Part B received ivacaftor treatment presented is the treatment assignment in Part A/Part B of the study. For example, placebo/VX-770 for subjects who received placebo in Part A and ivacaftor in Part B and VX-770/VX-770 for subjects who received ivacaftor in both study parts.</w:t>
      </w:r>
    </w:p>
    <w:p w:rsidR="001A55D7" w:rsidRPr="00F52CF2" w:rsidRDefault="00F52CF2" w:rsidP="00F52CF2">
      <w:r w:rsidRPr="00F52CF2">
        <w:t xml:space="preserve">Measures of efficacy were considered secondary endpoints in Part B and included absolute change in </w:t>
      </w:r>
      <w:r w:rsidR="00A8789D" w:rsidRPr="001D064D">
        <w:t>FEV</w:t>
      </w:r>
      <w:r w:rsidR="00A8789D" w:rsidRPr="00A8789D">
        <w:rPr>
          <w:vertAlign w:val="subscript"/>
        </w:rPr>
        <w:t>1</w:t>
      </w:r>
      <w:r w:rsidRPr="00F52CF2">
        <w:t xml:space="preserve">, sweat chloride, CFQ-R, pulmonary exacerbations, weight, and rate of decline in percent predicted </w:t>
      </w:r>
      <w:r w:rsidR="00A8789D" w:rsidRPr="001D064D">
        <w:t>FEV</w:t>
      </w:r>
      <w:r w:rsidR="00A8789D" w:rsidRPr="00A8789D">
        <w:rPr>
          <w:vertAlign w:val="subscript"/>
        </w:rPr>
        <w:t>1</w:t>
      </w:r>
      <w:r w:rsidRPr="00F52CF2">
        <w:t>.</w:t>
      </w:r>
    </w:p>
    <w:p w:rsidR="00F52CF2" w:rsidRPr="00F52CF2" w:rsidRDefault="00F52CF2" w:rsidP="00F52CF2">
      <w:r w:rsidRPr="00F52CF2">
        <w:t xml:space="preserve">For subjects treated with ivacaftor for 64 weeks (VX-770/VX-770 group), the improvement in </w:t>
      </w:r>
      <w:r w:rsidR="00A8789D" w:rsidRPr="001D064D">
        <w:t>FEV</w:t>
      </w:r>
      <w:r w:rsidR="00A8789D" w:rsidRPr="00A8789D">
        <w:rPr>
          <w:vertAlign w:val="subscript"/>
        </w:rPr>
        <w:t>1</w:t>
      </w:r>
      <w:r w:rsidRPr="00F52CF2">
        <w:t xml:space="preserve"> from baseline to Week 16 in Part A of the study was not sustained through Week 64. The 5 subjects treated with placebo in Part A did not experience consistent </w:t>
      </w:r>
      <w:r w:rsidR="00A8789D" w:rsidRPr="001D064D">
        <w:t>FEV</w:t>
      </w:r>
      <w:r w:rsidR="00A8789D" w:rsidRPr="00A8789D">
        <w:rPr>
          <w:vertAlign w:val="subscript"/>
        </w:rPr>
        <w:t>1</w:t>
      </w:r>
      <w:r w:rsidRPr="00F52CF2">
        <w:t xml:space="preserve"> improvement after 48 weeks of VX-770 treatment in Part B. There were no differences in the rate of decline from baseline in percent predicted </w:t>
      </w:r>
      <w:r w:rsidR="00A8789D" w:rsidRPr="001D064D">
        <w:t>FEV</w:t>
      </w:r>
      <w:r w:rsidR="00A8789D" w:rsidRPr="00A8789D">
        <w:rPr>
          <w:vertAlign w:val="subscript"/>
        </w:rPr>
        <w:t>1</w:t>
      </w:r>
      <w:r w:rsidRPr="00F52CF2">
        <w:t xml:space="preserve"> through Week 64 be</w:t>
      </w:r>
      <w:r w:rsidR="00FF2FED">
        <w:t>tween the VX-770/VX-770 group (</w:t>
      </w:r>
      <w:r w:rsidR="00FF2FED">
        <w:noBreakHyphen/>
      </w:r>
      <w:r w:rsidRPr="00F52CF2">
        <w:t>1.0738%) and the placebo/VX-770 group (</w:t>
      </w:r>
      <w:r w:rsidR="00FF2FED">
        <w:t>5.7445%)</w:t>
      </w:r>
      <w:r w:rsidR="00A964D2">
        <w:t>.</w:t>
      </w:r>
    </w:p>
    <w:p w:rsidR="00F52CF2" w:rsidRPr="00F52CF2" w:rsidRDefault="00F52CF2" w:rsidP="00F52CF2">
      <w:r w:rsidRPr="00F52CF2">
        <w:t xml:space="preserve">For subjects treated with VX-770 for 64 weeks (VX-770/VX-770 group), the marginal decrease in mean absolute change in sweat chloride that was observed from baseline to Week 16 in Part A was not sustained through Week 64. Treatment with VX-770 for 48 weeks in Part B did not have any additional effect on sweat </w:t>
      </w:r>
      <w:r w:rsidR="00FF2FED">
        <w:t>chloride.</w:t>
      </w:r>
    </w:p>
    <w:p w:rsidR="00F52CF2" w:rsidRPr="00F52CF2" w:rsidRDefault="00F52CF2" w:rsidP="00F52CF2">
      <w:r w:rsidRPr="00F52CF2">
        <w:t>There was no effect of VX-770 on respiratory symptoms, as measured by the change in CFQ-R respiratory domain score, in subjects treated with VX-770 for 64 weeks (VX-770/VX-770 group) or in subjects treated with VX-770 for 48 weeks in Part B (placebo/VX-770 group). There was no improvement in the yearly rate of pulmonary exacerbations with prolonged treatment of ivacaftor. Subjects in both treatment groups gained weight throughout the duration of the study although there were no overall differences in weight gain between subjects treated with VX-770 for 64 weeks (VX-770/VX-770 group )or subjects treated with VX-770 for 48 weeks in Part B (placebo/VX-770 group). There was no effect of VX-770 administratio</w:t>
      </w:r>
      <w:r w:rsidR="00AE7B02">
        <w:t>n on EQ-5D score during Part B.</w:t>
      </w:r>
    </w:p>
    <w:p w:rsidR="00F52CF2" w:rsidRPr="00F52CF2" w:rsidRDefault="00F52CF2" w:rsidP="00F52CF2">
      <w:pPr>
        <w:pStyle w:val="Comment"/>
      </w:pPr>
      <w:r w:rsidRPr="00F52CF2">
        <w:rPr>
          <w:b/>
        </w:rPr>
        <w:t>Comment:</w:t>
      </w:r>
      <w:r w:rsidRPr="00F52CF2">
        <w:t xml:space="preserve"> Monotherapy with ivacaftor in CF patients homozygous for the F608del CFTR mutation did not show any improvement in lung function, nutritional status, respiratory symptoms or</w:t>
      </w:r>
      <w:r>
        <w:t xml:space="preserve"> </w:t>
      </w:r>
      <w:r w:rsidRPr="00F52CF2">
        <w:t>minimal reduction in sweat c</w:t>
      </w:r>
      <w:r w:rsidR="00AE7B02">
        <w:t>hloride observed in this study.</w:t>
      </w:r>
    </w:p>
    <w:p w:rsidR="00F52CF2" w:rsidRPr="00F52CF2" w:rsidRDefault="00F52CF2" w:rsidP="00AE7B02">
      <w:pPr>
        <w:pStyle w:val="Heading3"/>
      </w:pPr>
      <w:bookmarkStart w:id="28" w:name="_Toc461121051"/>
      <w:r w:rsidRPr="00F52CF2">
        <w:t>Analyses performed across trials (poo</w:t>
      </w:r>
      <w:r w:rsidR="00AE7B02">
        <w:t>led analyses and meta-analyses)</w:t>
      </w:r>
      <w:bookmarkEnd w:id="28"/>
    </w:p>
    <w:p w:rsidR="00F52CF2" w:rsidRPr="00F52CF2" w:rsidRDefault="00F52CF2" w:rsidP="00F52CF2">
      <w:r w:rsidRPr="00F52CF2">
        <w:t>Data from Studies 103 and 104 were pooled for analysis because of the similarity in the study design, population, and treatment regimens. Analysis of pooled data allowed exploration of any possible trends in subpopulations and pu</w:t>
      </w:r>
      <w:r w:rsidR="00AE7B02">
        <w:t>lmonary exacerbation endpoints.</w:t>
      </w:r>
    </w:p>
    <w:p w:rsidR="00F52CF2" w:rsidRPr="00F52CF2" w:rsidRDefault="00F52CF2" w:rsidP="00F52CF2">
      <w:r w:rsidRPr="00F52CF2">
        <w:t>Across both studies, a total of 1</w:t>
      </w:r>
      <w:r w:rsidR="00AE7B02">
        <w:t>,</w:t>
      </w:r>
      <w:r w:rsidRPr="00F52CF2">
        <w:t>108 subjects were evaluated for efficacy: 368 subjects in the LUM 600 mg qd/ IVA 250 mg q12h group, 369 subjects in the LUM 400 mg q12h/IVA 250 mg q12h group, and 371 subjects in the placebo group. Subject disposition data were similar for the 2 studies. Approximately 95% of subjects in each study completed 24 weeks of study drug treatment and AEs (3%) were the most frequent reason for treatment discontinuation</w:t>
      </w:r>
      <w:r w:rsidR="00402B70">
        <w:t>.</w:t>
      </w:r>
    </w:p>
    <w:p w:rsidR="00F52CF2" w:rsidRPr="00F52CF2" w:rsidRDefault="00F52CF2" w:rsidP="00F52CF2">
      <w:r w:rsidRPr="00F52CF2">
        <w:t xml:space="preserve">Subjects were predominantly White in both studies (98.2% in </w:t>
      </w:r>
      <w:r w:rsidR="004E6042">
        <w:t>Study</w:t>
      </w:r>
      <w:r w:rsidRPr="00F52CF2">
        <w:t xml:space="preserve"> 103 and 99.1% in </w:t>
      </w:r>
      <w:r w:rsidR="004E6042">
        <w:t>Study</w:t>
      </w:r>
      <w:r w:rsidRPr="00F52CF2">
        <w:t xml:space="preserve"> 104). Therefore, study populations were considered representative of the population that is expected to be treated with lumacaftor in combination with ivacaftor as CF is most common within the Caucasian population. The baseline demographics and disease characteristics were similar across the 3 treatment groups</w:t>
      </w:r>
      <w:r w:rsidR="00402B70">
        <w:t>.</w:t>
      </w:r>
    </w:p>
    <w:p w:rsidR="00F52CF2" w:rsidRPr="00F52CF2" w:rsidRDefault="00F52CF2" w:rsidP="00F52CF2">
      <w:r w:rsidRPr="00F52CF2">
        <w:lastRenderedPageBreak/>
        <w:t xml:space="preserve">In both studies, the most common conditions (incidence of at least 30% of subjects exposed to study drug in </w:t>
      </w:r>
      <w:r w:rsidR="004E6042">
        <w:t>Study</w:t>
      </w:r>
      <w:r w:rsidRPr="00F52CF2">
        <w:t xml:space="preserve"> 103 and </w:t>
      </w:r>
      <w:r w:rsidR="004E6042">
        <w:t>Study</w:t>
      </w:r>
      <w:r w:rsidRPr="00F52CF2">
        <w:t xml:space="preserve"> 104, respectively) were pancreatic insufficiency (96.2% and 91.4%), CF lung disease (42.4% and 67.1%), and GERD (33.7% and 42.2%). The treatment groups were generally balanced with respect to type of conditions and proportion of subjects with these conditions. Overall, conditions that were reported at least 5 percentage points more frequently in </w:t>
      </w:r>
      <w:r w:rsidR="004E6042">
        <w:t>Study</w:t>
      </w:r>
      <w:r w:rsidRPr="00F52CF2">
        <w:t xml:space="preserve"> 103 included constipation, while conditions that were reported more frequently in </w:t>
      </w:r>
      <w:r w:rsidR="004E6042">
        <w:t>Study</w:t>
      </w:r>
      <w:r w:rsidRPr="00F52CF2">
        <w:t xml:space="preserve"> 104 included CF lung, GERD, asthma, clubbing, chronic sinusitis and headache. In both studies, the most common concomitant medications overall (incidence of at least 30% of subjects exposed to study drug in </w:t>
      </w:r>
      <w:r w:rsidR="004E6042">
        <w:t>Study</w:t>
      </w:r>
      <w:r w:rsidRPr="00F52CF2">
        <w:t xml:space="preserve"> 103 and </w:t>
      </w:r>
      <w:r w:rsidR="004E6042">
        <w:t>Study</w:t>
      </w:r>
      <w:r w:rsidRPr="00F52CF2">
        <w:t xml:space="preserve"> 104, respectively) were medications typically used for management of CF complications: salbutamol (71.6% and 69.9%), dornase alfa (72.3% and 80.5%), pancreatin (66.1% and 75.3%), sodium chloride (66.8% and 68.3%), azithromycin (58.7% and 67.4%), tobramycin (51.9% and 54.9%), Seretide (33.5% and 30.8%) and ciprofloxacin (30.8% and 36.5%). Pancrelipase was a more common medication in </w:t>
      </w:r>
      <w:r w:rsidR="004E6042">
        <w:t>Study</w:t>
      </w:r>
      <w:r w:rsidRPr="00F52CF2">
        <w:t xml:space="preserve"> 103 (31.9%) than in </w:t>
      </w:r>
      <w:r w:rsidR="004E6042">
        <w:t>Study</w:t>
      </w:r>
      <w:r w:rsidRPr="00F52CF2">
        <w:t xml:space="preserve"> 104 (22.0%). Aztreonam lysine was a more common medication in </w:t>
      </w:r>
      <w:r w:rsidR="004E6042">
        <w:t>Study</w:t>
      </w:r>
      <w:r w:rsidRPr="00F52CF2">
        <w:t xml:space="preserve"> 104 (31.5%) than in </w:t>
      </w:r>
      <w:r w:rsidR="004E6042">
        <w:t>Study</w:t>
      </w:r>
      <w:r w:rsidRPr="00F52CF2">
        <w:t xml:space="preserve"> 103 (24.6%). During the treatment periods, there was less frequent use of a number of antibiotics in the active treatment groups than in the placebo group. This finding is consistent with the reductions in pulmonary exacerbations and related clinical events of interest observed with treatment with lumacaftor in combination with ivacaftor</w:t>
      </w:r>
      <w:r w:rsidR="00D13AF6">
        <w:t>.</w:t>
      </w:r>
      <w:r w:rsidRPr="00F52CF2">
        <w:t xml:space="preserve"> The use of other concomitant medications (including dornase alfa and bronchodilators) was stable throughout the treatment period for all treatment groups. This is consistent with the protocol-specified recommendation for subjects to remain on their stable CF medication regimen. The median exposures to study drug were identical in all 3 treatment groups across both studies. The majority of subjects completed at least 16 weeks of treatment.</w:t>
      </w:r>
    </w:p>
    <w:p w:rsidR="00F52CF2" w:rsidRPr="00F52CF2" w:rsidRDefault="00F52CF2" w:rsidP="00F52CF2">
      <w:r w:rsidRPr="00F52CF2">
        <w:t xml:space="preserve">In both studies, analysis of the primary endpoint (absolute change in percent predicted </w:t>
      </w:r>
      <w:r w:rsidR="00A8789D" w:rsidRPr="001D064D">
        <w:t>FEV</w:t>
      </w:r>
      <w:r w:rsidR="00A8789D" w:rsidRPr="00A8789D">
        <w:rPr>
          <w:vertAlign w:val="subscript"/>
        </w:rPr>
        <w:t>1</w:t>
      </w:r>
      <w:r w:rsidRPr="00F52CF2">
        <w:t xml:space="preserve"> at Week 24, assessed as the average of the treatment effects at Week 16 and at Week 24) showed a treatment effect that was statistically significant for both dosing regimens of lumacaftor and ivacaftor combination therapy (</w:t>
      </w:r>
      <w:r w:rsidR="00CC3BC8">
        <w:t>p</w:t>
      </w:r>
      <w:r w:rsidR="00402B70">
        <w:t xml:space="preserve"> </w:t>
      </w:r>
      <w:r w:rsidR="00A91223">
        <w:t xml:space="preserve">≤ </w:t>
      </w:r>
      <w:r w:rsidRPr="00F52CF2">
        <w:t xml:space="preserve">0.0004). The absolute treatment difference in percent predicted </w:t>
      </w:r>
      <w:r w:rsidR="00A8789D" w:rsidRPr="001D064D">
        <w:t>FEV</w:t>
      </w:r>
      <w:r w:rsidR="00A8789D" w:rsidRPr="00A8789D">
        <w:rPr>
          <w:vertAlign w:val="subscript"/>
        </w:rPr>
        <w:t>1</w:t>
      </w:r>
      <w:r w:rsidRPr="00F52CF2">
        <w:t xml:space="preserve"> was 3.32 percentage points (</w:t>
      </w:r>
      <w:r w:rsidR="001C171F">
        <w:t>p &lt;</w:t>
      </w:r>
      <w:r w:rsidR="00511EB7">
        <w:t xml:space="preserve"> </w:t>
      </w:r>
      <w:r w:rsidRPr="00F52CF2">
        <w:t>0.0001) and 2.81 percentage points (</w:t>
      </w:r>
      <w:r w:rsidR="00402B70">
        <w:t>p </w:t>
      </w:r>
      <w:r w:rsidR="001C171F">
        <w:t>&lt;</w:t>
      </w:r>
      <w:r w:rsidR="00402B70">
        <w:t> </w:t>
      </w:r>
      <w:r w:rsidRPr="00F52CF2">
        <w:t xml:space="preserve">0.0001) for the LUM 600 mg qd/IVA 250 mg q12h group and the LUM 400 mg q12h/IVA 250 mg q12h group, respectively. Based on the pooled analysis, the LUM 600 mg qd/IVA 250 mg q12h dosing regimen had a numerically higher improvement in percent predicted </w:t>
      </w:r>
      <w:r w:rsidR="00A8789D" w:rsidRPr="001D064D">
        <w:t>FEV</w:t>
      </w:r>
      <w:r w:rsidR="00A8789D" w:rsidRPr="00A8789D">
        <w:rPr>
          <w:vertAlign w:val="subscript"/>
        </w:rPr>
        <w:t>1</w:t>
      </w:r>
      <w:r w:rsidRPr="00F52CF2">
        <w:t xml:space="preserve"> compared to the LUM 400 mg q12h/IVA 250 mg q12h dosing regimen. However, this trend was not consistently observed in the individual studies; in </w:t>
      </w:r>
      <w:r w:rsidR="004E6042">
        <w:t>Study</w:t>
      </w:r>
      <w:r w:rsidRPr="00F52CF2">
        <w:t xml:space="preserve"> 104, the LUM 400 mg q12h/ IVA 250 mg q12h dosing regimen had a numerically higher improvement in percent predicted </w:t>
      </w:r>
      <w:r w:rsidR="00A8789D" w:rsidRPr="001D064D">
        <w:t>FEV</w:t>
      </w:r>
      <w:r w:rsidR="00A8789D" w:rsidRPr="00A8789D">
        <w:rPr>
          <w:vertAlign w:val="subscript"/>
        </w:rPr>
        <w:t>1</w:t>
      </w:r>
      <w:r w:rsidRPr="00F52CF2">
        <w:t>. Furthermore, the studies were not powered to detect differences between t</w:t>
      </w:r>
      <w:r w:rsidR="00402B70">
        <w:t>he two active treatment groups.</w:t>
      </w:r>
    </w:p>
    <w:p w:rsidR="00F52CF2" w:rsidRDefault="00F52CF2" w:rsidP="00F52CF2">
      <w:r w:rsidRPr="00F52CF2">
        <w:t xml:space="preserve">In both the individual studies and the pooled analysis, improvements in percent predicted </w:t>
      </w:r>
      <w:r w:rsidR="00A8789D" w:rsidRPr="001D064D">
        <w:t>FEV</w:t>
      </w:r>
      <w:r w:rsidR="00A8789D" w:rsidRPr="00A8789D">
        <w:rPr>
          <w:vertAlign w:val="subscript"/>
        </w:rPr>
        <w:t>1</w:t>
      </w:r>
      <w:r w:rsidRPr="00F52CF2">
        <w:t xml:space="preserve"> were rapid in onset with significant treatment differences detected for both dosing regimens by</w:t>
      </w:r>
      <w:r>
        <w:t xml:space="preserve"> </w:t>
      </w:r>
      <w:r w:rsidRPr="00F52CF2">
        <w:t xml:space="preserve">Day 15 (the first post-baseline time point assessment; </w:t>
      </w:r>
      <w:r w:rsidR="00402B70">
        <w:t>p ≤</w:t>
      </w:r>
      <w:r w:rsidR="00A91223">
        <w:t xml:space="preserve"> </w:t>
      </w:r>
      <w:r w:rsidRPr="00F52CF2">
        <w:t>0.0003) and were sustained at each subsequent visit (</w:t>
      </w:r>
      <w:r w:rsidRPr="00E60A6A">
        <w:t xml:space="preserve">Figure </w:t>
      </w:r>
      <w:r w:rsidR="00D36851">
        <w:t>18</w:t>
      </w:r>
      <w:r w:rsidRPr="00F52CF2">
        <w:t xml:space="preserve">). Similar to the improvements observed for percent predicted </w:t>
      </w:r>
      <w:r w:rsidR="00A8789D" w:rsidRPr="001D064D">
        <w:t>FEV</w:t>
      </w:r>
      <w:r w:rsidR="00A8789D" w:rsidRPr="00A8789D">
        <w:rPr>
          <w:vertAlign w:val="subscript"/>
        </w:rPr>
        <w:t>1</w:t>
      </w:r>
      <w:r w:rsidRPr="00F52CF2">
        <w:t xml:space="preserve">, analysis of absolute change in </w:t>
      </w:r>
      <w:r w:rsidR="00A8789D" w:rsidRPr="001D064D">
        <w:t>FEV</w:t>
      </w:r>
      <w:r w:rsidR="00A8789D" w:rsidRPr="00A8789D">
        <w:rPr>
          <w:vertAlign w:val="subscript"/>
        </w:rPr>
        <w:t>1</w:t>
      </w:r>
      <w:r w:rsidRPr="00F52CF2">
        <w:t xml:space="preserve"> (in </w:t>
      </w:r>
      <w:r w:rsidR="00E60A6A">
        <w:t>li</w:t>
      </w:r>
      <w:r w:rsidR="00E60A6A" w:rsidRPr="00F52CF2">
        <w:t>tres</w:t>
      </w:r>
      <w:r w:rsidRPr="00F52CF2">
        <w:t xml:space="preserve">) at Week 24 showed significant treatment effects for both dosing regimens. The absolute treatment difference in </w:t>
      </w:r>
      <w:r w:rsidR="00A8789D" w:rsidRPr="001D064D">
        <w:t>FEV</w:t>
      </w:r>
      <w:r w:rsidR="00A8789D" w:rsidRPr="00A8789D">
        <w:rPr>
          <w:vertAlign w:val="subscript"/>
        </w:rPr>
        <w:t>1</w:t>
      </w:r>
      <w:r w:rsidRPr="00F52CF2">
        <w:t xml:space="preserve"> ranged from 0.079 to 0.116 L (</w:t>
      </w:r>
      <w:r w:rsidR="00402B70">
        <w:t>p ≤</w:t>
      </w:r>
      <w:r w:rsidR="00A91223">
        <w:t xml:space="preserve"> </w:t>
      </w:r>
      <w:r w:rsidRPr="00F52CF2">
        <w:t xml:space="preserve">0.0081) for </w:t>
      </w:r>
      <w:r w:rsidR="004E6042">
        <w:t>Study</w:t>
      </w:r>
      <w:r w:rsidRPr="00F52CF2">
        <w:t xml:space="preserve"> 103 and ranged from 0.094 to 0.108 L (</w:t>
      </w:r>
      <w:r w:rsidR="00402B70">
        <w:t>p ≤</w:t>
      </w:r>
      <w:r w:rsidR="00A91223">
        <w:t xml:space="preserve"> </w:t>
      </w:r>
      <w:r w:rsidRPr="00F52CF2">
        <w:t xml:space="preserve">0.0012) for </w:t>
      </w:r>
      <w:r w:rsidR="004E6042">
        <w:t>Study</w:t>
      </w:r>
      <w:r w:rsidRPr="00F52CF2">
        <w:t xml:space="preserve"> 104. In the pooled analysis, the absolute treatment difference in </w:t>
      </w:r>
      <w:r w:rsidR="00A8789D" w:rsidRPr="001D064D">
        <w:t>FEV</w:t>
      </w:r>
      <w:r w:rsidR="00A8789D" w:rsidRPr="00A8789D">
        <w:rPr>
          <w:vertAlign w:val="subscript"/>
        </w:rPr>
        <w:t>1</w:t>
      </w:r>
      <w:r w:rsidRPr="00F52CF2">
        <w:t xml:space="preserve"> ranged from 0.094 to 0.105 L (</w:t>
      </w:r>
      <w:r w:rsidR="001C171F">
        <w:t>p &lt;</w:t>
      </w:r>
      <w:r w:rsidR="00511EB7">
        <w:t xml:space="preserve"> </w:t>
      </w:r>
      <w:r w:rsidR="00E60A6A">
        <w:t>0.0001)</w:t>
      </w:r>
      <w:r w:rsidR="00402B70">
        <w:t>.</w:t>
      </w:r>
    </w:p>
    <w:p w:rsidR="00E60A6A" w:rsidRDefault="00D36851" w:rsidP="00E60A6A">
      <w:pPr>
        <w:pStyle w:val="FigureTitle"/>
        <w:keepNext/>
      </w:pPr>
      <w:proofErr w:type="gramStart"/>
      <w:r>
        <w:lastRenderedPageBreak/>
        <w:t>Figure 18</w:t>
      </w:r>
      <w:r w:rsidR="00D13AF6">
        <w:t>.</w:t>
      </w:r>
      <w:proofErr w:type="gramEnd"/>
      <w:r w:rsidR="00E60A6A">
        <w:t xml:space="preserve"> Studies 103 and 104: Absolute change form baseline in percent predicted FEV1 </w:t>
      </w:r>
      <w:r>
        <w:t>at each visit Full analysis set</w:t>
      </w:r>
    </w:p>
    <w:p w:rsidR="00E60A6A" w:rsidRPr="00E60A6A" w:rsidRDefault="00E60A6A" w:rsidP="00E60A6A">
      <w:r>
        <w:rPr>
          <w:noProof/>
          <w:lang w:eastAsia="en-AU"/>
        </w:rPr>
        <w:drawing>
          <wp:inline distT="0" distB="0" distL="0" distR="0" wp14:anchorId="2295DA83" wp14:editId="69ECA449">
            <wp:extent cx="5296205" cy="3834657"/>
            <wp:effectExtent l="0" t="0" r="0" b="0"/>
            <wp:docPr id="63" name="Picture 63" descr="Figure 18 Studies 103 and 104: Absolute change form baseline in percent predicted FEV1 at each visit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292874" cy="3832245"/>
                    </a:xfrm>
                    <a:prstGeom prst="rect">
                      <a:avLst/>
                    </a:prstGeom>
                  </pic:spPr>
                </pic:pic>
              </a:graphicData>
            </a:graphic>
          </wp:inline>
        </w:drawing>
      </w:r>
    </w:p>
    <w:p w:rsidR="00F52CF2" w:rsidRPr="00F52CF2" w:rsidRDefault="00F52CF2" w:rsidP="00F52CF2">
      <w:r w:rsidRPr="00F52CF2">
        <w:t xml:space="preserve">In both studies, treatment with lumacaftor in combination with ivacaftor resulted in improvements favouring active treatment over placebo in all key secondary endpoints. Treatment with both dosing regimens showed a significant improvement in the key secondary endpoint of relative change from baseline in percent predicted </w:t>
      </w:r>
      <w:r w:rsidR="00A8789D" w:rsidRPr="001D064D">
        <w:t>FEV</w:t>
      </w:r>
      <w:r w:rsidR="00A8789D" w:rsidRPr="00A8789D">
        <w:rPr>
          <w:vertAlign w:val="subscript"/>
        </w:rPr>
        <w:t>1</w:t>
      </w:r>
      <w:r w:rsidRPr="00F52CF2">
        <w:t xml:space="preserve"> at Week 24, assessed as the average of the treatment effects at Week 16 and at Week 24 (</w:t>
      </w:r>
      <w:r w:rsidR="00402B70">
        <w:t>p ≤</w:t>
      </w:r>
      <w:r w:rsidR="00A91223">
        <w:t xml:space="preserve"> </w:t>
      </w:r>
      <w:r w:rsidR="00402B70">
        <w:t>0.0007).</w:t>
      </w:r>
    </w:p>
    <w:p w:rsidR="00F52CF2" w:rsidRPr="00F52CF2" w:rsidRDefault="00F52CF2" w:rsidP="00F52CF2">
      <w:r w:rsidRPr="00F52CF2">
        <w:t>Robust reductions in the number of pulmonary exacerbations, including severe pulmonary exacerbations requiring hospitalization or IV antibiotic therapy, were also observed following treatment with both dosing regimens of lumacaftor and ivacaftor combination therapy</w:t>
      </w:r>
      <w:r w:rsidR="00402B70">
        <w:t>.</w:t>
      </w:r>
    </w:p>
    <w:p w:rsidR="00F52CF2" w:rsidRPr="00F52CF2" w:rsidRDefault="00F52CF2" w:rsidP="00F52CF2">
      <w:r w:rsidRPr="00F52CF2">
        <w:t xml:space="preserve">Both studies also showed improvements in BMI with both regimens, with significant increases in BMI compared with placebo observed in </w:t>
      </w:r>
      <w:r w:rsidR="004E6042">
        <w:t>Study</w:t>
      </w:r>
      <w:r w:rsidRPr="00F52CF2">
        <w:t xml:space="preserve"> 104 (</w:t>
      </w:r>
      <w:r w:rsidR="00402B70">
        <w:t>p ≤</w:t>
      </w:r>
      <w:r w:rsidR="00A91223">
        <w:t xml:space="preserve"> </w:t>
      </w:r>
      <w:r w:rsidRPr="00F52CF2">
        <w:t>0.0001). The pooled analysis showed significant treatment differences of 0.28 kg/</w:t>
      </w:r>
      <w:r w:rsidR="00D933A6" w:rsidRPr="00EB7717">
        <w:t>m</w:t>
      </w:r>
      <w:r w:rsidR="00D933A6" w:rsidRPr="00D933A6">
        <w:rPr>
          <w:vertAlign w:val="superscript"/>
        </w:rPr>
        <w:t>2</w:t>
      </w:r>
      <w:r w:rsidRPr="00F52CF2">
        <w:t xml:space="preserve"> (</w:t>
      </w:r>
      <w:r w:rsidR="001C171F">
        <w:t>p &lt;</w:t>
      </w:r>
      <w:r w:rsidR="00511EB7">
        <w:t xml:space="preserve"> </w:t>
      </w:r>
      <w:r w:rsidRPr="00F52CF2">
        <w:t>0.0001) and 0.24 kg/</w:t>
      </w:r>
      <w:r w:rsidR="00D933A6" w:rsidRPr="00EB7717">
        <w:t>m</w:t>
      </w:r>
      <w:r w:rsidR="00D933A6" w:rsidRPr="00D933A6">
        <w:rPr>
          <w:vertAlign w:val="superscript"/>
        </w:rPr>
        <w:t>2</w:t>
      </w:r>
      <w:r w:rsidRPr="00F52CF2">
        <w:t xml:space="preserve"> (</w:t>
      </w:r>
      <w:r w:rsidR="00CC3BC8">
        <w:t>p</w:t>
      </w:r>
      <w:r w:rsidR="00661535">
        <w:t xml:space="preserve"> </w:t>
      </w:r>
      <w:r w:rsidR="00511EB7">
        <w:t>=</w:t>
      </w:r>
      <w:r w:rsidR="00661535">
        <w:t xml:space="preserve"> </w:t>
      </w:r>
      <w:r w:rsidRPr="00F52CF2">
        <w:t>0.0004) for the LUM 600 mg qd/IVA 250 mg q12h group and the LUM 400 mg q12h/IVA 250 mg q12h group, respectively. The magnitude of improvement in BMI was similar with the</w:t>
      </w:r>
      <w:r w:rsidR="00E60A6A">
        <w:t xml:space="preserve"> 2 combination therapy regimens.</w:t>
      </w:r>
      <w:r w:rsidRPr="00F52CF2">
        <w:t xml:space="preserve"> A similar pattern was observed for absolute change from baseline in weight at Week 24 as both active treatment groups showed improv</w:t>
      </w:r>
      <w:r w:rsidR="00402B70">
        <w:t>ement in weight in both studies</w:t>
      </w:r>
      <w:r w:rsidRPr="00F52CF2">
        <w:t xml:space="preserve">, although treatment difference compared with placebo was statistically significant only in </w:t>
      </w:r>
      <w:r w:rsidR="004E6042">
        <w:t>Study</w:t>
      </w:r>
      <w:r w:rsidRPr="00F52CF2">
        <w:t xml:space="preserve"> 104 (</w:t>
      </w:r>
      <w:r w:rsidR="00402B70">
        <w:t>p ≤</w:t>
      </w:r>
      <w:r w:rsidR="00A91223">
        <w:t xml:space="preserve"> </w:t>
      </w:r>
      <w:r w:rsidRPr="00F52CF2">
        <w:t>0.0003). In the pooled analysis, the treatment difference was 0.77 kg (</w:t>
      </w:r>
      <w:r w:rsidR="001C171F">
        <w:t>p &lt;</w:t>
      </w:r>
      <w:r w:rsidR="00511EB7">
        <w:t xml:space="preserve"> </w:t>
      </w:r>
      <w:r w:rsidRPr="00F52CF2">
        <w:t>0.0001) and 0.62 kg (</w:t>
      </w:r>
      <w:r w:rsidR="00CC3BC8">
        <w:t>p</w:t>
      </w:r>
      <w:r w:rsidR="00661535">
        <w:t xml:space="preserve"> </w:t>
      </w:r>
      <w:r w:rsidR="00511EB7">
        <w:t>=</w:t>
      </w:r>
      <w:r w:rsidR="00661535">
        <w:t xml:space="preserve"> </w:t>
      </w:r>
      <w:r w:rsidRPr="00F52CF2">
        <w:t>0.0013) for the LUM 600 mg qd/IVA 250 mg q12h group and the LUM 400 mg q12h/IVA 2</w:t>
      </w:r>
      <w:r w:rsidR="00402B70">
        <w:t>50 mg q12h group, respectively.</w:t>
      </w:r>
    </w:p>
    <w:p w:rsidR="00F52CF2" w:rsidRPr="00F52CF2" w:rsidRDefault="00F52CF2" w:rsidP="00F52CF2">
      <w:r w:rsidRPr="00F52CF2">
        <w:t>Across Studies 103 and 104, the treatment differences for both dosing regimens in the absolute change in CFQ-R respiratory domain showed improvements that were similar in magnitude (1.50 to 3.88 poi</w:t>
      </w:r>
      <w:r w:rsidR="00D36851">
        <w:t>nts) but did not meet the MCID</w:t>
      </w:r>
      <w:r w:rsidRPr="00F52CF2">
        <w:t>. Although within</w:t>
      </w:r>
      <w:r w:rsidR="00402B70">
        <w:t xml:space="preserve"> </w:t>
      </w:r>
      <w:r w:rsidRPr="00F52CF2">
        <w:t xml:space="preserve">group improvements were statistically significant for the LUM 600 mg qd/IVA 250 mg q12h group in </w:t>
      </w:r>
      <w:r w:rsidR="004E6042">
        <w:t>Study</w:t>
      </w:r>
      <w:r w:rsidRPr="00F52CF2">
        <w:t xml:space="preserve"> 103 and both dosing regimens in </w:t>
      </w:r>
      <w:r w:rsidR="004E6042">
        <w:t>Study</w:t>
      </w:r>
      <w:r w:rsidRPr="00F52CF2">
        <w:t xml:space="preserve"> 104, statistically significant treatment differences for patient-reported respiratory symptoms as reported in CFQ-R were only observed in the LUM 600 mg qd/ IVA 250 mg q12h group in </w:t>
      </w:r>
      <w:r w:rsidR="004E6042">
        <w:t>Study</w:t>
      </w:r>
      <w:r w:rsidR="00402B70">
        <w:t xml:space="preserve"> 103.</w:t>
      </w:r>
    </w:p>
    <w:p w:rsidR="00F52CF2" w:rsidRPr="00F52CF2" w:rsidRDefault="00F52CF2" w:rsidP="00F52CF2">
      <w:r w:rsidRPr="00F52CF2">
        <w:lastRenderedPageBreak/>
        <w:t xml:space="preserve">In both studies, lumacaftor in combination with ivacaftor treatment resulted in improvements in percent predicted </w:t>
      </w:r>
      <w:r w:rsidR="00A8789D" w:rsidRPr="001D064D">
        <w:t>FEV</w:t>
      </w:r>
      <w:r w:rsidR="00A8789D" w:rsidRPr="00A8789D">
        <w:rPr>
          <w:vertAlign w:val="subscript"/>
        </w:rPr>
        <w:t>1</w:t>
      </w:r>
      <w:r w:rsidRPr="00F52CF2">
        <w:t>, regardless of age, sex, disease severity, geographic region, prior use of CF medications, and P. aeruginosa status with similar results were observed in analyses of pooled data from Studies 103 and 104. Additionally, all subpopulations generally had improvements in the number of pulmonary exacerbations</w:t>
      </w:r>
      <w:r w:rsidR="00402B70">
        <w:t>.</w:t>
      </w:r>
    </w:p>
    <w:p w:rsidR="00F52CF2" w:rsidRDefault="00F52CF2" w:rsidP="00F52CF2">
      <w:pPr>
        <w:pStyle w:val="Comment"/>
      </w:pPr>
      <w:r w:rsidRPr="00F52CF2">
        <w:rPr>
          <w:b/>
        </w:rPr>
        <w:t>Comment:</w:t>
      </w:r>
      <w:r w:rsidRPr="00F52CF2">
        <w:t xml:space="preserve"> Overall, pooled efficacy analysis from the two pivotal </w:t>
      </w:r>
      <w:r w:rsidR="00980975">
        <w:t>Studies</w:t>
      </w:r>
      <w:r w:rsidRPr="00F52CF2">
        <w:t xml:space="preserve"> 103 and 104 provided evidence of clinical benefits of lumacaftor and ivacaftor combination therapy in patients 12 years of age and older who are homozygous for the F508del-CFTR mutation. There were significant improvements in lung function, nutritional status and respiratory symptoms (</w:t>
      </w:r>
      <w:r w:rsidRPr="00C31D91">
        <w:t xml:space="preserve">Table </w:t>
      </w:r>
      <w:r w:rsidR="008C33DE">
        <w:t>46</w:t>
      </w:r>
      <w:r w:rsidRPr="00F52CF2">
        <w:t>). All treatment effects demonstrated for the primary and secondary endpoints were in addition to the benefit a subject re</w:t>
      </w:r>
      <w:r w:rsidR="00402B70">
        <w:t xml:space="preserve">ceived from standard of </w:t>
      </w:r>
      <w:r w:rsidRPr="00F52CF2">
        <w:t xml:space="preserve">care medications (prior and concomitant medications taken by the majority of subjects in these studies included bronchodilators, dornase alpha, inhaled antibiotics, </w:t>
      </w:r>
      <w:r w:rsidR="00402B70">
        <w:t>and inhaled hypertonic saline).</w:t>
      </w:r>
    </w:p>
    <w:p w:rsidR="00C31D91" w:rsidRDefault="008C33DE" w:rsidP="00015EEF">
      <w:pPr>
        <w:pStyle w:val="Tabletitle"/>
      </w:pPr>
      <w:proofErr w:type="gramStart"/>
      <w:r>
        <w:t>Table 46</w:t>
      </w:r>
      <w:r w:rsidR="00D13AF6">
        <w:t>.</w:t>
      </w:r>
      <w:proofErr w:type="gramEnd"/>
      <w:r w:rsidR="00C31D91">
        <w:t xml:space="preserve"> Studies 103 and 104 Primary and Key secondary efficacy analysis full analysis set</w:t>
      </w:r>
    </w:p>
    <w:p w:rsidR="00C31D91" w:rsidRPr="00C31D91" w:rsidRDefault="00C31D91" w:rsidP="00C31D91">
      <w:r>
        <w:rPr>
          <w:noProof/>
          <w:lang w:eastAsia="en-AU"/>
        </w:rPr>
        <w:drawing>
          <wp:inline distT="0" distB="0" distL="0" distR="0" wp14:anchorId="36677669" wp14:editId="3A367795">
            <wp:extent cx="5588813" cy="5812126"/>
            <wp:effectExtent l="0" t="0" r="0" b="0"/>
            <wp:docPr id="64" name="Picture 64" descr="Table 46 Studies 103 and 104 Primary and Key secondary efficacy analysis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BEBA8EAE-BF5A-486C-A8C5-ECC9F3942E4B}">
                          <a14:imgProps xmlns:a14="http://schemas.microsoft.com/office/drawing/2010/main">
                            <a14:imgLayer r:embed="rId85">
                              <a14:imgEffect>
                                <a14:sharpenSoften amount="25000"/>
                              </a14:imgEffect>
                            </a14:imgLayer>
                          </a14:imgProps>
                        </a:ext>
                      </a:extLst>
                    </a:blip>
                    <a:stretch>
                      <a:fillRect/>
                    </a:stretch>
                  </pic:blipFill>
                  <pic:spPr>
                    <a:xfrm>
                      <a:off x="0" y="0"/>
                      <a:ext cx="5587535" cy="5810797"/>
                    </a:xfrm>
                    <a:prstGeom prst="rect">
                      <a:avLst/>
                    </a:prstGeom>
                  </pic:spPr>
                </pic:pic>
              </a:graphicData>
            </a:graphic>
          </wp:inline>
        </w:drawing>
      </w:r>
    </w:p>
    <w:p w:rsidR="00F52CF2" w:rsidRDefault="00F52CF2" w:rsidP="00402B70">
      <w:pPr>
        <w:pStyle w:val="Heading3"/>
      </w:pPr>
      <w:bookmarkStart w:id="29" w:name="_Toc461121052"/>
      <w:r w:rsidRPr="00F52CF2">
        <w:lastRenderedPageBreak/>
        <w:t>Evaluator’s conclusions on clinical efficacy</w:t>
      </w:r>
      <w:bookmarkEnd w:id="29"/>
    </w:p>
    <w:p w:rsidR="00BE401D" w:rsidRPr="00BE401D" w:rsidRDefault="00BE401D" w:rsidP="00BE401D">
      <w:pPr>
        <w:rPr>
          <w:lang w:eastAsia="ja-JP"/>
        </w:rPr>
      </w:pPr>
      <w:r w:rsidRPr="00F52CF2">
        <w:t>Evaluator’s conclusions on clinical efficacy for treatment of cystic fibrosis (CF) in patients aged 12 years and older who are homozygous for the F508del mutation in the CFTR gene</w:t>
      </w:r>
      <w:r w:rsidR="00D13AF6">
        <w:t>.</w:t>
      </w:r>
    </w:p>
    <w:p w:rsidR="00F52CF2" w:rsidRPr="00F52CF2" w:rsidRDefault="00F52CF2" w:rsidP="00F52CF2">
      <w:r w:rsidRPr="00F52CF2">
        <w:t xml:space="preserve">Both the pivotal </w:t>
      </w:r>
      <w:r w:rsidR="00511EB7">
        <w:t>Phase III</w:t>
      </w:r>
      <w:r w:rsidRPr="00F52CF2">
        <w:t xml:space="preserve"> </w:t>
      </w:r>
      <w:r w:rsidR="00980975">
        <w:t>Studies</w:t>
      </w:r>
      <w:r w:rsidRPr="00F52CF2">
        <w:t xml:space="preserve"> (103 and 104) were well-conducted in over 1</w:t>
      </w:r>
      <w:r w:rsidR="00402B70">
        <w:t>,</w:t>
      </w:r>
      <w:r w:rsidRPr="00F52CF2">
        <w:t>000 patients representative of the target patient population for which approval is being sought in this</w:t>
      </w:r>
      <w:r>
        <w:t xml:space="preserve"> </w:t>
      </w:r>
      <w:r w:rsidRPr="00F52CF2">
        <w:t>submission. The study designs</w:t>
      </w:r>
      <w:r>
        <w:rPr>
          <w:rStyle w:val="FootnoteReference"/>
        </w:rPr>
        <w:footnoteReference w:id="20"/>
      </w:r>
      <w:r w:rsidRPr="00F52CF2">
        <w:t>, including the treatment duration of 24 weeks, were developed in general accordance with the Committee for Medicinal Products for Human Use (CHMP) Guideline on the Clinical Development of Medicinal Products for the Treatment of Cystic Fibrosis, the Guidance for Industry for Chronic Obstructive Pulmonary Disease, and precedent from other drugs approved for CF. Furthermore, efficacy endpoints were designed to evaluate lung function (</w:t>
      </w:r>
      <w:r w:rsidR="00A8789D" w:rsidRPr="001D064D">
        <w:t>FEV</w:t>
      </w:r>
      <w:r w:rsidR="00A8789D" w:rsidRPr="00A8789D">
        <w:rPr>
          <w:vertAlign w:val="subscript"/>
        </w:rPr>
        <w:t>1</w:t>
      </w:r>
      <w:r w:rsidRPr="00F52CF2">
        <w:t xml:space="preserve">), respiratory symptoms, pulmonary exacerbations, nutritional effects (weight and body mass index </w:t>
      </w:r>
      <w:r w:rsidR="004E6042">
        <w:t>(</w:t>
      </w:r>
      <w:r w:rsidRPr="00F52CF2">
        <w:t>BMI</w:t>
      </w:r>
      <w:r w:rsidR="004E6042">
        <w:t>)</w:t>
      </w:r>
      <w:r w:rsidR="00402B70">
        <w:t>) and sweat chloride levels.</w:t>
      </w:r>
    </w:p>
    <w:p w:rsidR="00F52CF2" w:rsidRPr="00F52CF2" w:rsidRDefault="00F52CF2" w:rsidP="00F52CF2">
      <w:r w:rsidRPr="00F52CF2">
        <w:t xml:space="preserve">Analysis of the primary endpoint (absolute change in percent predicted </w:t>
      </w:r>
      <w:r w:rsidR="00A8789D" w:rsidRPr="001D064D">
        <w:t>FEV</w:t>
      </w:r>
      <w:r w:rsidR="00A8789D" w:rsidRPr="00A8789D">
        <w:rPr>
          <w:vertAlign w:val="subscript"/>
        </w:rPr>
        <w:t>1</w:t>
      </w:r>
      <w:r w:rsidRPr="00F52CF2">
        <w:t xml:space="preserve"> at Week 24, assessed as the average of the treatment effects at Week 16 and at Week 24) showed a statistically significant (</w:t>
      </w:r>
      <w:r w:rsidR="00402B70">
        <w:t>p ≤</w:t>
      </w:r>
      <w:r w:rsidR="00A91223">
        <w:t xml:space="preserve"> </w:t>
      </w:r>
      <w:r w:rsidRPr="00F52CF2">
        <w:t xml:space="preserve">0.0004) and consistent treatment effect in both studies for both LUM 600 mg qd/IVA 250 mg q12h (4.03 and 2.62 percentage points percentage points in </w:t>
      </w:r>
      <w:r w:rsidR="00980975">
        <w:t>Studies</w:t>
      </w:r>
      <w:r w:rsidRPr="00F52CF2">
        <w:t xml:space="preserve"> 103 and 104, respectively) and LUM 400 mg q12h/ IVA 250 mg q12h (2.60 and 3.00 percentage points, respectively). Statistically significant improvements in percent predicted </w:t>
      </w:r>
      <w:r w:rsidR="00A8789D" w:rsidRPr="001D064D">
        <w:t>FEV</w:t>
      </w:r>
      <w:r w:rsidR="00A8789D" w:rsidRPr="00A8789D">
        <w:rPr>
          <w:vertAlign w:val="subscript"/>
        </w:rPr>
        <w:t>1</w:t>
      </w:r>
      <w:r w:rsidRPr="00F52CF2">
        <w:t xml:space="preserve"> were rapid in onset and sustained throughou</w:t>
      </w:r>
      <w:r w:rsidR="00402B70">
        <w:t>t the 24 week treatment period.</w:t>
      </w:r>
    </w:p>
    <w:p w:rsidR="00F52CF2" w:rsidRPr="00F52CF2" w:rsidRDefault="00F52CF2" w:rsidP="00F52CF2">
      <w:r w:rsidRPr="00F52CF2">
        <w:t>Improvements were also observed for</w:t>
      </w:r>
      <w:r w:rsidR="00402B70">
        <w:t xml:space="preserve"> multiple secondary endpoints:</w:t>
      </w:r>
    </w:p>
    <w:p w:rsidR="00F52CF2" w:rsidRPr="00F52CF2" w:rsidRDefault="00F52CF2" w:rsidP="00F52CF2">
      <w:pPr>
        <w:pStyle w:val="ListBullet"/>
      </w:pPr>
      <w:r w:rsidRPr="00F52CF2">
        <w:t>statistically significant improvements in relative change from baseline in pe</w:t>
      </w:r>
      <w:r w:rsidR="00402B70">
        <w:t xml:space="preserve">rcent predicted </w:t>
      </w:r>
      <w:r w:rsidR="00A8789D" w:rsidRPr="001D064D">
        <w:t>FEV</w:t>
      </w:r>
      <w:r w:rsidR="00A8789D" w:rsidRPr="00A8789D">
        <w:rPr>
          <w:vertAlign w:val="subscript"/>
        </w:rPr>
        <w:t>1</w:t>
      </w:r>
      <w:r w:rsidR="00402B70">
        <w:t xml:space="preserve"> at Week 24</w:t>
      </w:r>
    </w:p>
    <w:p w:rsidR="00F52CF2" w:rsidRPr="00F52CF2" w:rsidRDefault="00F52CF2" w:rsidP="00F52CF2">
      <w:pPr>
        <w:pStyle w:val="ListBullet"/>
      </w:pPr>
      <w:r w:rsidRPr="00F52CF2">
        <w:t>reduction in the risk of experiencing a pulmonary exacerbation, and the frequency and dura</w:t>
      </w:r>
      <w:r w:rsidR="00402B70">
        <w:t>tion of pulmonary exacerbations</w:t>
      </w:r>
    </w:p>
    <w:p w:rsidR="00F52CF2" w:rsidRPr="00F52CF2" w:rsidRDefault="00F52CF2" w:rsidP="00F52CF2">
      <w:pPr>
        <w:pStyle w:val="ListBullet"/>
      </w:pPr>
      <w:r w:rsidRPr="00F52CF2">
        <w:t>reduction in pulmonary exacerbations that required hospitali</w:t>
      </w:r>
      <w:r w:rsidR="00402B70">
        <w:t>zation or IV antibiotic therapy</w:t>
      </w:r>
    </w:p>
    <w:p w:rsidR="00F52CF2" w:rsidRPr="00F52CF2" w:rsidRDefault="00F52CF2" w:rsidP="005F7A8E">
      <w:pPr>
        <w:pStyle w:val="ListBullet"/>
      </w:pPr>
      <w:r w:rsidRPr="00F52CF2">
        <w:t>improved respiratory symptoms as measured by</w:t>
      </w:r>
      <w:r w:rsidR="00402B70">
        <w:t xml:space="preserve"> CFQ-R respiratory domain score</w:t>
      </w:r>
    </w:p>
    <w:p w:rsidR="00F52CF2" w:rsidRPr="00F52CF2" w:rsidRDefault="00F52CF2" w:rsidP="00F52CF2">
      <w:pPr>
        <w:pStyle w:val="ListBullet"/>
      </w:pPr>
      <w:proofErr w:type="gramStart"/>
      <w:r w:rsidRPr="00F52CF2">
        <w:t>improvements</w:t>
      </w:r>
      <w:proofErr w:type="gramEnd"/>
      <w:r w:rsidRPr="00F52CF2">
        <w:t xml:space="preserve"> in measures of nutritional st</w:t>
      </w:r>
      <w:r w:rsidR="00402B70">
        <w:t>atus, including BMI and weight.</w:t>
      </w:r>
    </w:p>
    <w:p w:rsidR="00F52CF2" w:rsidRPr="00F52CF2" w:rsidRDefault="00F52CF2" w:rsidP="00F52CF2">
      <w:r w:rsidRPr="00F52CF2">
        <w:t>The treatment effects demonstrated for the primary and secondary endpoints were in addition to the benefit a subject receive</w:t>
      </w:r>
      <w:r w:rsidR="00402B70">
        <w:t>d from prescribed CF therapies.</w:t>
      </w:r>
    </w:p>
    <w:p w:rsidR="00F52CF2" w:rsidRPr="00F52CF2" w:rsidRDefault="00F52CF2" w:rsidP="00F52CF2">
      <w:r w:rsidRPr="00F52CF2">
        <w:t xml:space="preserve">Consistent treatment effects were observed in subjects with all degrees of disease severity, according to baseline percent predicted </w:t>
      </w:r>
      <w:r w:rsidR="00A8789D" w:rsidRPr="001D064D">
        <w:t>FEV</w:t>
      </w:r>
      <w:r w:rsidR="00A8789D" w:rsidRPr="00A8789D">
        <w:rPr>
          <w:vertAlign w:val="subscript"/>
        </w:rPr>
        <w:t>1</w:t>
      </w:r>
      <w:r w:rsidRPr="00F52CF2">
        <w:t xml:space="preserve">. Subjects with baseline percent predicted </w:t>
      </w:r>
      <w:r w:rsidR="00A8789D" w:rsidRPr="001D064D">
        <w:t>FEV</w:t>
      </w:r>
      <w:r w:rsidR="00A8789D" w:rsidRPr="00A8789D">
        <w:rPr>
          <w:vertAlign w:val="subscript"/>
        </w:rPr>
        <w:t>1</w:t>
      </w:r>
      <w:r w:rsidRPr="00F52CF2">
        <w:t xml:space="preserve"> less than 40 had improvements that were at least similar to subjects with higher baseline percent predicted </w:t>
      </w:r>
      <w:r w:rsidR="00A8789D" w:rsidRPr="001D064D">
        <w:t>FEV</w:t>
      </w:r>
      <w:r w:rsidR="00A8789D" w:rsidRPr="00A8789D">
        <w:rPr>
          <w:vertAlign w:val="subscript"/>
        </w:rPr>
        <w:t>1</w:t>
      </w:r>
      <w:r w:rsidRPr="00F52CF2">
        <w:t xml:space="preserve"> values. Consistent treatment effects were also observed regardless of age, sex, geographic region, prior use of CF medications, and P. aeruginosa status.</w:t>
      </w:r>
    </w:p>
    <w:p w:rsidR="00F52CF2" w:rsidRPr="00F52CF2" w:rsidRDefault="00F52CF2" w:rsidP="00F52CF2">
      <w:r w:rsidRPr="00F52CF2">
        <w:t>For some endpoints, the treatment effect numerically favoured 1 dosing regimen versus the other. However, the pivotal studies were not powered to detect statistical differences between the 2 LUM/IVA dosing regimens. However, compared with placebo, treatment with the proposed LUM 400 mg q12h/ IVA 250 mg q12h regimen significantly decreased the risk pulmonary exacerbations by 39% (rate ratio</w:t>
      </w:r>
      <w:r w:rsidR="00511EB7">
        <w:t xml:space="preserve"> = </w:t>
      </w:r>
      <w:r w:rsidRPr="00F52CF2">
        <w:t xml:space="preserve">0.61, </w:t>
      </w:r>
      <w:r w:rsidR="001C171F">
        <w:t>p &lt;</w:t>
      </w:r>
      <w:r w:rsidR="00511EB7">
        <w:t xml:space="preserve"> </w:t>
      </w:r>
      <w:r w:rsidRPr="00F52CF2">
        <w:t>0.0001), reduced risk of exacerbations requiring hospitalisation by 61% (rate ratio</w:t>
      </w:r>
      <w:r w:rsidR="00511EB7">
        <w:t xml:space="preserve"> = </w:t>
      </w:r>
      <w:r w:rsidRPr="00F52CF2">
        <w:t xml:space="preserve">0.39, </w:t>
      </w:r>
      <w:r w:rsidR="001C171F">
        <w:t>p &lt;</w:t>
      </w:r>
      <w:r w:rsidR="00511EB7">
        <w:t xml:space="preserve"> </w:t>
      </w:r>
      <w:r w:rsidRPr="00F52CF2">
        <w:t>0.0001) and reduced exacerbations requiring treatment with intravenous antibiotics by 56% (rate ratio</w:t>
      </w:r>
      <w:r w:rsidR="00511EB7">
        <w:t xml:space="preserve"> = </w:t>
      </w:r>
      <w:r w:rsidRPr="00F52CF2">
        <w:t xml:space="preserve">0.44, </w:t>
      </w:r>
      <w:r w:rsidR="001C171F">
        <w:t>p &lt;</w:t>
      </w:r>
      <w:r w:rsidR="00511EB7">
        <w:t xml:space="preserve"> </w:t>
      </w:r>
      <w:r w:rsidR="00402B70">
        <w:t>0.0001).</w:t>
      </w:r>
    </w:p>
    <w:p w:rsidR="00F52CF2" w:rsidRPr="00F52CF2" w:rsidRDefault="00F52CF2" w:rsidP="00F52CF2">
      <w:r w:rsidRPr="00F52CF2">
        <w:t xml:space="preserve">Based on these results </w:t>
      </w:r>
      <w:r w:rsidR="00402B70">
        <w:t xml:space="preserve">and the simplicity of the twice </w:t>
      </w:r>
      <w:r w:rsidRPr="00F52CF2">
        <w:t>daily FDC regimen, the sponsors are seeking approval for only the lumacaftor 400 mg/ivacaftor 250 mg q12h dosing regimen administered as an FDC of 2 tablets of LUM 20</w:t>
      </w:r>
      <w:r w:rsidR="00402B70">
        <w:t>0 mg/IVA 125 mg every 12 hours.</w:t>
      </w:r>
    </w:p>
    <w:p w:rsidR="00F52CF2" w:rsidRPr="00F52CF2" w:rsidRDefault="00F52CF2" w:rsidP="00F52CF2">
      <w:r w:rsidRPr="00F52CF2">
        <w:lastRenderedPageBreak/>
        <w:t xml:space="preserve">The maintenance of efficacy of </w:t>
      </w:r>
      <w:r w:rsidR="00511EB7">
        <w:t>Orkambi</w:t>
      </w:r>
      <w:r w:rsidRPr="00F52CF2">
        <w:t xml:space="preserve"> was confirmed in an ad hoc efficacy analysis which was performed after 95 patients who had received </w:t>
      </w:r>
      <w:r w:rsidR="00511EB7">
        <w:t>Orkambi</w:t>
      </w:r>
      <w:r w:rsidRPr="00F52CF2">
        <w:t xml:space="preserve"> (lumacaftor 400 mg/ivacaftor 250 mg q12h) in </w:t>
      </w:r>
      <w:r w:rsidR="003C1B2B">
        <w:t>placebo controlled</w:t>
      </w:r>
      <w:r w:rsidRPr="00F52CF2">
        <w:t xml:space="preserve"> </w:t>
      </w:r>
      <w:r w:rsidR="00511EB7">
        <w:t>Phase III</w:t>
      </w:r>
      <w:r w:rsidRPr="00F52CF2">
        <w:t xml:space="preserve"> </w:t>
      </w:r>
      <w:r w:rsidR="00980975">
        <w:t>Studies</w:t>
      </w:r>
      <w:r w:rsidRPr="00F52CF2">
        <w:t xml:space="preserve"> 103 or 104 had completed the Week 24 Visit in the rollover, long-term </w:t>
      </w:r>
      <w:r w:rsidR="004E6042">
        <w:t>Study</w:t>
      </w:r>
      <w:r w:rsidRPr="00F52CF2">
        <w:t xml:space="preserve"> 105 (up to 48 weeks of treatment overall). However, there was no evidence of efficacy of proposed lumacaftor 400 mg/ivacaftor 250 mg q12h beyond 48 weeks. Long-term efficacy beyond 48 weeks will require confirmation from o</w:t>
      </w:r>
      <w:r w:rsidR="00A615D6">
        <w:t xml:space="preserve">ngoing rollover, open label, 96 </w:t>
      </w:r>
      <w:r w:rsidRPr="00F52CF2">
        <w:t xml:space="preserve">week </w:t>
      </w:r>
      <w:r w:rsidR="004E6042">
        <w:t>Study</w:t>
      </w:r>
      <w:r w:rsidRPr="00F52CF2">
        <w:t xml:space="preserve"> 105 and the data should be provided for evaluation on </w:t>
      </w:r>
      <w:r w:rsidR="00A615D6">
        <w:t>completion of this study.</w:t>
      </w:r>
    </w:p>
    <w:p w:rsidR="00C22678" w:rsidRPr="00586F98" w:rsidRDefault="00F52CF2" w:rsidP="00C22678">
      <w:r w:rsidRPr="00F52CF2">
        <w:t xml:space="preserve">In conclusion, results from the two pivotal </w:t>
      </w:r>
      <w:r w:rsidR="003C1B2B">
        <w:t>placebo controlled</w:t>
      </w:r>
      <w:r w:rsidRPr="00F52CF2">
        <w:t xml:space="preserve"> </w:t>
      </w:r>
      <w:r w:rsidR="00511EB7">
        <w:t>Phase III</w:t>
      </w:r>
      <w:r w:rsidRPr="00F52CF2">
        <w:t xml:space="preserve"> </w:t>
      </w:r>
      <w:r w:rsidR="00980975">
        <w:t>Studies</w:t>
      </w:r>
      <w:r w:rsidRPr="00F52CF2">
        <w:t xml:space="preserve"> (103 and 104) and a rollover </w:t>
      </w:r>
      <w:r w:rsidR="004E6042">
        <w:t>Study</w:t>
      </w:r>
      <w:r w:rsidRPr="00F52CF2">
        <w:t xml:space="preserve"> (105) conducted in over 1</w:t>
      </w:r>
      <w:r w:rsidR="00A615D6">
        <w:t>,</w:t>
      </w:r>
      <w:r w:rsidRPr="00F52CF2">
        <w:t>000 subjects showed that lumacaftor in combination with ivacaftor was effective in the treatment of CF, as evidenced by rapid and sustained improvements in</w:t>
      </w:r>
      <w:r w:rsidR="00963298">
        <w:t xml:space="preserve"> </w:t>
      </w:r>
      <w:r w:rsidR="00963298" w:rsidRPr="00963298">
        <w:t xml:space="preserve">important clinical outcomes, including </w:t>
      </w:r>
      <w:r w:rsidR="00A8789D" w:rsidRPr="001D064D">
        <w:t>FEV</w:t>
      </w:r>
      <w:r w:rsidR="00A8789D" w:rsidRPr="00A8789D">
        <w:rPr>
          <w:vertAlign w:val="subscript"/>
        </w:rPr>
        <w:t>1</w:t>
      </w:r>
      <w:r w:rsidR="00963298" w:rsidRPr="00963298">
        <w:t xml:space="preserve">, pulmonary exacerbations, and nutritional status. Thus, lumacaftor in combination with ivacaftor is expected to have broad and meaningful clinical benefit in patients 12 years of age and older who are homozygous for </w:t>
      </w:r>
      <w:r w:rsidR="00963298" w:rsidRPr="00A615D6">
        <w:t xml:space="preserve">the </w:t>
      </w:r>
      <w:r w:rsidR="00963298" w:rsidRPr="00A615D6">
        <w:rPr>
          <w:iCs/>
        </w:rPr>
        <w:t xml:space="preserve">F508del-CFTR </w:t>
      </w:r>
      <w:r w:rsidR="00963298" w:rsidRPr="00A615D6">
        <w:t>mutation</w:t>
      </w:r>
      <w:r w:rsidR="00963298" w:rsidRPr="00963298">
        <w:t xml:space="preserve"> patients with F508del mutation is devastating and lumacaftor plus ivacaftor combination product will provide benefit to these patients over the current standard of care treatment.</w:t>
      </w:r>
    </w:p>
    <w:p w:rsidR="00C22678" w:rsidRDefault="00C22678" w:rsidP="00C22678">
      <w:pPr>
        <w:pStyle w:val="Heading2"/>
      </w:pPr>
      <w:bookmarkStart w:id="30" w:name="_Toc461121053"/>
      <w:r>
        <w:t>Clinical safety</w:t>
      </w:r>
      <w:bookmarkEnd w:id="30"/>
    </w:p>
    <w:p w:rsidR="00BD7931" w:rsidRPr="00BD7931" w:rsidRDefault="00BD7931" w:rsidP="00BD7931">
      <w:pPr>
        <w:pStyle w:val="Heading3"/>
        <w:rPr>
          <w:rFonts w:eastAsiaTheme="minorHAnsi"/>
        </w:rPr>
      </w:pPr>
      <w:bookmarkStart w:id="31" w:name="_Toc461121054"/>
      <w:r w:rsidRPr="00BD7931">
        <w:rPr>
          <w:rFonts w:eastAsiaTheme="minorHAnsi"/>
        </w:rPr>
        <w:t xml:space="preserve">Studies </w:t>
      </w:r>
      <w:r w:rsidR="00A615D6">
        <w:rPr>
          <w:rFonts w:eastAsiaTheme="minorHAnsi"/>
        </w:rPr>
        <w:t>providing evaluable safety data</w:t>
      </w:r>
      <w:bookmarkEnd w:id="31"/>
    </w:p>
    <w:p w:rsidR="00BD7931" w:rsidRDefault="00BD7931" w:rsidP="00BD7931">
      <w:r w:rsidRPr="00BD7931">
        <w:t xml:space="preserve">Seventeen clinical studies (as of 21 July 2014) with lumacaftor monotherapy or lumacaftor in combination with </w:t>
      </w:r>
      <w:r w:rsidRPr="008C33DE">
        <w:t>ivacaftor (Figure</w:t>
      </w:r>
      <w:r w:rsidR="00015EEF" w:rsidRPr="008C33DE">
        <w:t xml:space="preserve"> </w:t>
      </w:r>
      <w:r w:rsidR="008C33DE" w:rsidRPr="008C33DE">
        <w:t>19</w:t>
      </w:r>
      <w:r w:rsidRPr="008C33DE">
        <w:t>) provided</w:t>
      </w:r>
      <w:r w:rsidRPr="00BD7931">
        <w:t xml:space="preserve"> evaluable safety data. The core safety data were from pooled analyses of two </w:t>
      </w:r>
      <w:r w:rsidR="003C1B2B">
        <w:t>placebo controlled</w:t>
      </w:r>
      <w:r w:rsidRPr="00BD7931">
        <w:t xml:space="preserve"> </w:t>
      </w:r>
      <w:r w:rsidR="00511EB7">
        <w:t>Phase III</w:t>
      </w:r>
      <w:r w:rsidRPr="00BD7931">
        <w:t xml:space="preserve"> studies of LUM/IVA in subjects with CF homozygous for the CFTR-F508del mutation. The supportive analysis includes pooled safety data from 9 </w:t>
      </w:r>
      <w:r w:rsidR="00511EB7">
        <w:t>Phase I</w:t>
      </w:r>
      <w:r w:rsidRPr="00BD7931">
        <w:t xml:space="preserve"> studies (lumacaftor monotherapy and lumacaftor in combination with ivacaftor</w:t>
      </w:r>
      <w:r w:rsidR="006F610A">
        <w:t>) in healthy subjects and some P</w:t>
      </w:r>
      <w:r w:rsidRPr="00BD7931">
        <w:t>hase I and II non-pooled stu</w:t>
      </w:r>
      <w:r w:rsidR="006F610A">
        <w:t>dies.</w:t>
      </w:r>
    </w:p>
    <w:p w:rsidR="00015EEF" w:rsidRDefault="00015EEF" w:rsidP="00015EEF">
      <w:pPr>
        <w:pStyle w:val="FigureTitle"/>
        <w:keepNext/>
      </w:pPr>
      <w:proofErr w:type="gramStart"/>
      <w:r>
        <w:t>Figure 1</w:t>
      </w:r>
      <w:r w:rsidR="008C33DE">
        <w:t>9.</w:t>
      </w:r>
      <w:proofErr w:type="gramEnd"/>
      <w:r>
        <w:t xml:space="preserve"> Overview of studies (n = 17) and poolings in the summary of clinical safety</w:t>
      </w:r>
    </w:p>
    <w:p w:rsidR="00015EEF" w:rsidRPr="00015EEF" w:rsidRDefault="00015EEF" w:rsidP="00015EEF">
      <w:r>
        <w:rPr>
          <w:noProof/>
          <w:lang w:eastAsia="en-AU"/>
        </w:rPr>
        <w:drawing>
          <wp:inline distT="0" distB="0" distL="0" distR="0" wp14:anchorId="56965603" wp14:editId="606E847C">
            <wp:extent cx="5731510" cy="2889636"/>
            <wp:effectExtent l="0" t="0" r="2540" b="6350"/>
            <wp:docPr id="65" name="Picture 65" descr="Figure 19. Overview of studies (n = 17) and poolings in the summary of clinical safety&#10;Summary of clinical safety studies (17 studies) these studies are from the following&#10;10 Phase I studies in  healthy subjects [comprised of 9 Pooled Phase I studies; (Study 001, Study 003 to Study 007, Study 009 (Cohorts 1 to 3) Study 010 (Group B) Study 012 LUM N = 287); Thourough QT Study 008 LUM N = 78; and Bronchodiolatory Study 009 (Cohort 4) Lum N = 26]&#10;1 Phase I study in special population without CF - moderate hepatic impairment Study 010 (Group A) LUM N=12&#10;2 Phase I Studies in subjects with CF [Pancreatic insufficiency study 002 LUM N=8 and PK age 6 to 11 Study 011 (Part A) Lum N=10&#10;2 Phase II Studies; LUM monotherapy study 101 LUM N=72; and LUM monotherapy or LUM/IVA Study 102 Any LUM N=197&#10;3 Phase III Studies in subjects with CF [Pooled Placebo controlled Phase III studies PBO N = 370; LUM/IVA = 738 made up of (Study 103 PBO N = 184 LUM/IVA N = 365) and Study 104 PBO N = 186 and LUM/IVA N=373) and a Phas III extentions study Study 105 Part A and Part B [Part B PBO to LUM/IVA N=60 and LUM/IVA to LUM/IVA N=55] [Part A PBO to LUM/IVA N=353 and LUM/IVA to LUM/IVA N =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731510" cy="2889636"/>
                    </a:xfrm>
                    <a:prstGeom prst="rect">
                      <a:avLst/>
                    </a:prstGeom>
                  </pic:spPr>
                </pic:pic>
              </a:graphicData>
            </a:graphic>
          </wp:inline>
        </w:drawing>
      </w:r>
    </w:p>
    <w:p w:rsidR="00BD7931" w:rsidRPr="00BD7931" w:rsidRDefault="00BD7931" w:rsidP="006F610A">
      <w:pPr>
        <w:pStyle w:val="Heading4"/>
      </w:pPr>
      <w:r w:rsidRPr="00BD7931">
        <w:lastRenderedPageBreak/>
        <w:t xml:space="preserve">Pivotal efficacy </w:t>
      </w:r>
      <w:r w:rsidR="00980975">
        <w:t>Studies</w:t>
      </w:r>
      <w:r w:rsidR="006F610A">
        <w:t xml:space="preserve"> (103 and 104)</w:t>
      </w:r>
    </w:p>
    <w:p w:rsidR="00BD7931" w:rsidRPr="00BD7931" w:rsidRDefault="00BD7931" w:rsidP="00BD7931">
      <w:r w:rsidRPr="00BD7931">
        <w:t>Safety data from Studies 103/104 were pooled due to similarity of study design, population and treatment regimens. The pooled analysis provided safety data for 1108 subjects with CF who received at least 1 dos</w:t>
      </w:r>
      <w:r w:rsidR="006F610A">
        <w:t>e of study drug.</w:t>
      </w:r>
    </w:p>
    <w:p w:rsidR="00963298" w:rsidRPr="00BD7931" w:rsidRDefault="00BD7931" w:rsidP="00BD7931">
      <w:pPr>
        <w:pStyle w:val="Comment"/>
      </w:pPr>
      <w:r w:rsidRPr="00BD7931">
        <w:rPr>
          <w:b/>
        </w:rPr>
        <w:t>Comment:</w:t>
      </w:r>
      <w:r w:rsidRPr="00BD7931">
        <w:t xml:space="preserve"> The only difference in the safety evaluation for </w:t>
      </w:r>
      <w:r w:rsidR="00980975">
        <w:t>Studies</w:t>
      </w:r>
      <w:r w:rsidRPr="00BD7931">
        <w:t xml:space="preserve"> 103 and 104 were that ambulatory electrocardiogram (ECG) assessments on a subset of subjects were collected only in </w:t>
      </w:r>
      <w:r w:rsidR="004E6042">
        <w:t>Study</w:t>
      </w:r>
      <w:r w:rsidRPr="00BD7931">
        <w:t xml:space="preserve"> 103.</w:t>
      </w:r>
    </w:p>
    <w:p w:rsidR="00BD7931" w:rsidRPr="00BD7931" w:rsidRDefault="00BD7931" w:rsidP="00BD7931">
      <w:r w:rsidRPr="00BD7931">
        <w:t>In the pivotal efficacy studies, the safety assessments included AEs</w:t>
      </w:r>
      <w:r>
        <w:rPr>
          <w:rStyle w:val="FootnoteReference"/>
        </w:rPr>
        <w:footnoteReference w:id="21"/>
      </w:r>
      <w:r w:rsidRPr="00BD7931">
        <w:t>, clinical laboratory assessments (serum chemistry, haematology, coagulation studies, and urinalysis), physical examinations (PEs), vital signs, pulse oximetry, standard di</w:t>
      </w:r>
      <w:r w:rsidR="006F610A">
        <w:t>gital ECGs and ambulatory ECGs.</w:t>
      </w:r>
    </w:p>
    <w:p w:rsidR="00BD7931" w:rsidRPr="00BD7931" w:rsidRDefault="00BD7931" w:rsidP="00BD7931">
      <w:r w:rsidRPr="00BD7931">
        <w:t>All safety analyses were conducted using the Safety Set. AEs were coded using MedDRA; (Version 17.0). The incidence of AEs that increased in severity or that newly developed at or after the initial dosing of study drug was summar</w:t>
      </w:r>
      <w:r w:rsidR="002D7E74">
        <w:t>ise</w:t>
      </w:r>
      <w:r w:rsidRPr="00BD7931">
        <w:t xml:space="preserve">d. Two grading scales were used for scoring AE severity: the Common Terminology Criteria for Adverse Events (CTCAE) grading scale and the FDA’s </w:t>
      </w:r>
      <w:r w:rsidR="00980975">
        <w:t>‘</w:t>
      </w:r>
      <w:r w:rsidRPr="00BD7931">
        <w:t>toxicity grading scale for healthy adult and adolescent volunteers enrolled in preventative vaccine clinical trials</w:t>
      </w:r>
      <w:r w:rsidR="00980975">
        <w:t>’</w:t>
      </w:r>
      <w:r w:rsidRPr="00BD7931">
        <w:t xml:space="preserve"> (Vaccine Toxicity Grading Scale). The incidence of AEs was analysed for the following Safety Set Subgroups: (</w:t>
      </w:r>
      <w:r w:rsidR="00511EB7">
        <w:t xml:space="preserve">&lt; </w:t>
      </w:r>
      <w:r w:rsidRPr="00BD7931">
        <w:t xml:space="preserve">18, </w:t>
      </w:r>
      <w:r w:rsidR="00A91223">
        <w:t xml:space="preserve">≥ </w:t>
      </w:r>
      <w:r w:rsidRPr="00BD7931">
        <w:t xml:space="preserve">18 years old), percent predicted </w:t>
      </w:r>
      <w:r w:rsidR="00A8789D" w:rsidRPr="001D064D">
        <w:t>FEV</w:t>
      </w:r>
      <w:r w:rsidR="00A8789D" w:rsidRPr="00A8789D">
        <w:rPr>
          <w:vertAlign w:val="subscript"/>
        </w:rPr>
        <w:t>1</w:t>
      </w:r>
      <w:r w:rsidRPr="00BD7931">
        <w:t xml:space="preserve"> at Screening (</w:t>
      </w:r>
      <w:r w:rsidR="00511EB7">
        <w:t xml:space="preserve">&lt; </w:t>
      </w:r>
      <w:r w:rsidRPr="00BD7931">
        <w:t xml:space="preserve">70, </w:t>
      </w:r>
      <w:r w:rsidR="00A91223">
        <w:t xml:space="preserve">≥ </w:t>
      </w:r>
      <w:r w:rsidRPr="00BD7931">
        <w:t xml:space="preserve">70), percent predicted </w:t>
      </w:r>
      <w:r w:rsidR="00A8789D" w:rsidRPr="001D064D">
        <w:t>FEV</w:t>
      </w:r>
      <w:r w:rsidR="00A8789D" w:rsidRPr="00A8789D">
        <w:rPr>
          <w:vertAlign w:val="subscript"/>
        </w:rPr>
        <w:t>1</w:t>
      </w:r>
      <w:r w:rsidRPr="00BD7931">
        <w:t xml:space="preserve"> at baseline (</w:t>
      </w:r>
      <w:r w:rsidR="00511EB7">
        <w:t xml:space="preserve">&lt; </w:t>
      </w:r>
      <w:r w:rsidRPr="00BD7931">
        <w:t xml:space="preserve">40, </w:t>
      </w:r>
      <w:r w:rsidR="002623B3">
        <w:t>≥ </w:t>
      </w:r>
      <w:r w:rsidRPr="00BD7931">
        <w:t>40), sex (female, male), region (North America, Europe, and Australia) and prior use of inhaled bronchodilator use (yes, no). Adverse events of special interest (AESIs; elevated transaminases, respiratory symptoms, and reactive airway</w:t>
      </w:r>
      <w:r w:rsidR="002623B3">
        <w:t>s) were defined and summar</w:t>
      </w:r>
      <w:r w:rsidR="002D7E74">
        <w:t>ise</w:t>
      </w:r>
      <w:r w:rsidR="002623B3">
        <w:t>d.</w:t>
      </w:r>
    </w:p>
    <w:p w:rsidR="00BD7931" w:rsidRPr="00BD7931" w:rsidRDefault="00BD7931" w:rsidP="00BD7931">
      <w:r w:rsidRPr="00BD7931">
        <w:t>The number and percentage of subjects with shift changes from baseline to the worst ECG evaluation and the lowest percent of oxygen saturation were tabulated. For subjects who had ambulatory ECGs, change from baseline at Day 1 and at Day 15 for heart rate, ventricular ectopy (VE), and supraventricular ectopy were summar</w:t>
      </w:r>
      <w:r w:rsidR="002D7E74">
        <w:t>ise</w:t>
      </w:r>
      <w:r w:rsidRPr="00BD7931">
        <w:t>d and the number and percentage of subjects who experienced abnorm</w:t>
      </w:r>
      <w:r w:rsidR="002623B3">
        <w:t>alities were summar</w:t>
      </w:r>
      <w:r w:rsidR="002D7E74">
        <w:t>ise</w:t>
      </w:r>
      <w:r w:rsidR="002623B3">
        <w:t>d.</w:t>
      </w:r>
    </w:p>
    <w:p w:rsidR="00BD7931" w:rsidRPr="00BD7931" w:rsidRDefault="00BD7931" w:rsidP="00BD7931">
      <w:r w:rsidRPr="00BD7931">
        <w:t xml:space="preserve">Number and percentage of subjects with a decrease in absolute/relative change in percent predicted </w:t>
      </w:r>
      <w:r w:rsidR="00A8789D" w:rsidRPr="001D064D">
        <w:t>FEV</w:t>
      </w:r>
      <w:r w:rsidR="00A8789D" w:rsidRPr="00A8789D">
        <w:rPr>
          <w:vertAlign w:val="subscript"/>
        </w:rPr>
        <w:t>1</w:t>
      </w:r>
      <w:r w:rsidRPr="00BD7931">
        <w:t xml:space="preserve"> and a decrease in absolute/relative chan</w:t>
      </w:r>
      <w:r w:rsidR="002623B3">
        <w:t xml:space="preserve">ge in </w:t>
      </w:r>
      <w:r w:rsidR="00A8789D" w:rsidRPr="001D064D">
        <w:t>FEV</w:t>
      </w:r>
      <w:r w:rsidR="00A8789D" w:rsidRPr="00A8789D">
        <w:rPr>
          <w:vertAlign w:val="subscript"/>
        </w:rPr>
        <w:t>1</w:t>
      </w:r>
      <w:r w:rsidR="002623B3">
        <w:t xml:space="preserve"> (L) were summar</w:t>
      </w:r>
      <w:r w:rsidR="002D7E74">
        <w:t>ise</w:t>
      </w:r>
      <w:r w:rsidR="002623B3">
        <w:t>d.</w:t>
      </w:r>
    </w:p>
    <w:p w:rsidR="00BD7931" w:rsidRPr="00BD7931" w:rsidRDefault="00BD7931" w:rsidP="00BD7931">
      <w:r w:rsidRPr="00BD7931">
        <w:t>In addition to the final analysis, 3 unblinded safety reviews were conducted by the Data Monitoring Committee (DMC) during the course of the study. The independent DMC was constituted from the Cystic Fibrosis Foundatio</w:t>
      </w:r>
      <w:r w:rsidR="002623B3">
        <w:t>n Data Safety Monitoring Board.</w:t>
      </w:r>
    </w:p>
    <w:p w:rsidR="00963298" w:rsidRPr="00BD7931" w:rsidRDefault="00BD7931" w:rsidP="00BD7931">
      <w:r w:rsidRPr="00BD7931">
        <w:t xml:space="preserve">The following safety assessments were done in the long-term </w:t>
      </w:r>
      <w:r w:rsidR="004E6042">
        <w:t>Study</w:t>
      </w:r>
      <w:r w:rsidRPr="00BD7931">
        <w:t xml:space="preserve"> 105: AEs </w:t>
      </w:r>
      <w:r w:rsidR="002623B3">
        <w:t>(coded using MedDRA Version 17)</w:t>
      </w:r>
      <w:r w:rsidRPr="00BD7931">
        <w:t>, clinical laboratory assessments (serum chemistry, haematology, coagulation studies, and urinalysis), physical examinations, vital signs, standard digital electrocardiograms (ECGs), pulse oximetry, and spirometry.</w:t>
      </w:r>
    </w:p>
    <w:p w:rsidR="00BD7931" w:rsidRDefault="00BD7931" w:rsidP="00BD7931">
      <w:pPr>
        <w:pStyle w:val="Heading4"/>
      </w:pPr>
      <w:r w:rsidRPr="00BD7931">
        <w:t>Pivotal studies that asses</w:t>
      </w:r>
      <w:r w:rsidR="002623B3">
        <w:t>sed safety as a primary outcome</w:t>
      </w:r>
    </w:p>
    <w:p w:rsidR="00BD7931" w:rsidRPr="00BD7931" w:rsidRDefault="002623B3" w:rsidP="00BD7931">
      <w:proofErr w:type="gramStart"/>
      <w:r>
        <w:t>None.</w:t>
      </w:r>
      <w:proofErr w:type="gramEnd"/>
    </w:p>
    <w:p w:rsidR="00BD7931" w:rsidRDefault="00BD7931" w:rsidP="00BD7931">
      <w:pPr>
        <w:pStyle w:val="Heading4"/>
      </w:pPr>
      <w:r w:rsidRPr="00BD7931">
        <w:t>Dose-response a</w:t>
      </w:r>
      <w:r w:rsidR="002623B3">
        <w:t>nd non-pivotal efficacy studies</w:t>
      </w:r>
    </w:p>
    <w:p w:rsidR="00BD7931" w:rsidRDefault="00BD7931" w:rsidP="00BD7931">
      <w:r w:rsidRPr="00BD7931">
        <w:t xml:space="preserve">A list of studies that were not included in any pooling and the rationale for not pooling data from these studies is provided in </w:t>
      </w:r>
      <w:r w:rsidRPr="00C176C3">
        <w:t xml:space="preserve">Table </w:t>
      </w:r>
      <w:r w:rsidR="008C33DE">
        <w:t>47</w:t>
      </w:r>
      <w:r w:rsidR="002623B3">
        <w:t>.</w:t>
      </w:r>
    </w:p>
    <w:p w:rsidR="00C176C3" w:rsidRDefault="008C33DE" w:rsidP="00C176C3">
      <w:pPr>
        <w:pStyle w:val="Tabletitle"/>
      </w:pPr>
      <w:proofErr w:type="gramStart"/>
      <w:r>
        <w:lastRenderedPageBreak/>
        <w:t>Table 47</w:t>
      </w:r>
      <w:r w:rsidR="00C176C3">
        <w:t>.</w:t>
      </w:r>
      <w:proofErr w:type="gramEnd"/>
      <w:r w:rsidR="00C176C3">
        <w:t xml:space="preserve"> Enumeration of subjects exposed to lumacaftor (any regimen or dose) in the non-pooled studies and rationale for not pooling</w:t>
      </w:r>
    </w:p>
    <w:p w:rsidR="00C176C3" w:rsidRPr="00C176C3" w:rsidRDefault="00C176C3" w:rsidP="00C176C3">
      <w:r>
        <w:rPr>
          <w:noProof/>
          <w:lang w:eastAsia="en-AU"/>
        </w:rPr>
        <w:drawing>
          <wp:inline distT="0" distB="0" distL="0" distR="0" wp14:anchorId="0ADD6942" wp14:editId="6B1BC524">
            <wp:extent cx="5731510" cy="4678896"/>
            <wp:effectExtent l="0" t="0" r="2540" b="7620"/>
            <wp:docPr id="66" name="Picture 66" descr="Table 47. Enumeration of subjects exposed to lumacaftor (any regimen or dose) in the non-pooled studies and rationale for not poo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731510" cy="4678896"/>
                    </a:xfrm>
                    <a:prstGeom prst="rect">
                      <a:avLst/>
                    </a:prstGeom>
                  </pic:spPr>
                </pic:pic>
              </a:graphicData>
            </a:graphic>
          </wp:inline>
        </w:drawing>
      </w:r>
    </w:p>
    <w:p w:rsidR="00BD7931" w:rsidRDefault="00BD7931" w:rsidP="00BD7931">
      <w:pPr>
        <w:pStyle w:val="Heading4"/>
      </w:pPr>
      <w:r w:rsidRPr="00BD7931">
        <w:t>Other s</w:t>
      </w:r>
      <w:r w:rsidR="002623B3">
        <w:t>tudies evaluable for safety only</w:t>
      </w:r>
    </w:p>
    <w:p w:rsidR="00BD7931" w:rsidRPr="00BD7931" w:rsidRDefault="002623B3" w:rsidP="00BD7931">
      <w:proofErr w:type="gramStart"/>
      <w:r>
        <w:t>None.</w:t>
      </w:r>
      <w:proofErr w:type="gramEnd"/>
    </w:p>
    <w:p w:rsidR="00BD7931" w:rsidRDefault="002623B3" w:rsidP="00BD7931">
      <w:pPr>
        <w:pStyle w:val="Heading4"/>
      </w:pPr>
      <w:r>
        <w:t>Clinical pharmacology studies</w:t>
      </w:r>
    </w:p>
    <w:p w:rsidR="00BD7931" w:rsidRDefault="00BD7931" w:rsidP="00BD7931">
      <w:r w:rsidRPr="00BD7931">
        <w:t xml:space="preserve">The pooled analysis of 9 </w:t>
      </w:r>
      <w:r w:rsidR="00511EB7">
        <w:t>Phase I</w:t>
      </w:r>
      <w:r w:rsidRPr="00BD7931">
        <w:t xml:space="preserve"> studies provided safety data for 314 healthy subjects. These studies were pooled irrespective of the study design, treatment regimen, study drug dose, or formulation (</w:t>
      </w:r>
      <w:r w:rsidRPr="00C176C3">
        <w:t>Table</w:t>
      </w:r>
      <w:r w:rsidR="00C176C3" w:rsidRPr="00C176C3">
        <w:t xml:space="preserve"> 4</w:t>
      </w:r>
      <w:r w:rsidR="008C33DE">
        <w:t>8</w:t>
      </w:r>
      <w:r w:rsidRPr="00BD7931">
        <w:t>). Safety data were summar</w:t>
      </w:r>
      <w:r w:rsidR="002D7E74">
        <w:t>ise</w:t>
      </w:r>
      <w:r w:rsidRPr="00BD7931">
        <w:t>d for the following groups: placebo, lumacaftor monotherapy, ivacaftor monotherapy, lumacaftor in combination with ivacaftor (includes DDI of lumacaftor and ivacaftor), lumacaftor in combination with ivacaftor DDI (includes DDI with ciprofloxacin, itraconazo</w:t>
      </w:r>
      <w:r w:rsidR="0021431D">
        <w:t>le, and rifampin), and overall.</w:t>
      </w:r>
    </w:p>
    <w:p w:rsidR="00C176C3" w:rsidRDefault="008C33DE" w:rsidP="00C176C3">
      <w:pPr>
        <w:pStyle w:val="Tabletitle"/>
      </w:pPr>
      <w:proofErr w:type="gramStart"/>
      <w:r>
        <w:lastRenderedPageBreak/>
        <w:t xml:space="preserve">Table </w:t>
      </w:r>
      <w:r w:rsidRPr="008C33DE">
        <w:t>48</w:t>
      </w:r>
      <w:r w:rsidR="00C176C3" w:rsidRPr="008C33DE">
        <w:t>.</w:t>
      </w:r>
      <w:proofErr w:type="gramEnd"/>
      <w:r w:rsidR="00C176C3" w:rsidRPr="008C33DE">
        <w:t xml:space="preserve"> Enumeration</w:t>
      </w:r>
      <w:r w:rsidR="00C176C3">
        <w:t xml:space="preserve"> of healthy subjects exposed to study drug in the pooled Phase I studies, safety set</w:t>
      </w:r>
    </w:p>
    <w:p w:rsidR="00C176C3" w:rsidRPr="00C176C3" w:rsidRDefault="00C176C3" w:rsidP="00C176C3">
      <w:r>
        <w:rPr>
          <w:noProof/>
          <w:lang w:eastAsia="en-AU"/>
        </w:rPr>
        <w:drawing>
          <wp:inline distT="0" distB="0" distL="0" distR="0" wp14:anchorId="2366F0D0" wp14:editId="3F312345">
            <wp:extent cx="5731510" cy="3365425"/>
            <wp:effectExtent l="0" t="0" r="2540" b="6985"/>
            <wp:docPr id="67" name="Picture 67" descr="Table 48. Enumeration of healthy subjects exposed to study drug in the pooled Phase I studies,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BEBA8EAE-BF5A-486C-A8C5-ECC9F3942E4B}">
                          <a14:imgProps xmlns:a14="http://schemas.microsoft.com/office/drawing/2010/main">
                            <a14:imgLayer r:embed="rId89">
                              <a14:imgEffect>
                                <a14:sharpenSoften amount="25000"/>
                              </a14:imgEffect>
                            </a14:imgLayer>
                          </a14:imgProps>
                        </a:ext>
                      </a:extLst>
                    </a:blip>
                    <a:stretch>
                      <a:fillRect/>
                    </a:stretch>
                  </pic:blipFill>
                  <pic:spPr>
                    <a:xfrm>
                      <a:off x="0" y="0"/>
                      <a:ext cx="5731510" cy="3365425"/>
                    </a:xfrm>
                    <a:prstGeom prst="rect">
                      <a:avLst/>
                    </a:prstGeom>
                  </pic:spPr>
                </pic:pic>
              </a:graphicData>
            </a:graphic>
          </wp:inline>
        </w:drawing>
      </w:r>
    </w:p>
    <w:p w:rsidR="00BD7931" w:rsidRPr="00BD7931" w:rsidRDefault="00BD7931" w:rsidP="00BD7931">
      <w:pPr>
        <w:pStyle w:val="Heading3"/>
      </w:pPr>
      <w:bookmarkStart w:id="32" w:name="_Toc461121055"/>
      <w:r w:rsidRPr="00BD7931">
        <w:t>Pivotal studies that asses</w:t>
      </w:r>
      <w:r w:rsidR="0021431D">
        <w:t>sed safety as a primary outcome</w:t>
      </w:r>
      <w:bookmarkEnd w:id="32"/>
    </w:p>
    <w:p w:rsidR="00BD7931" w:rsidRPr="00BD7931" w:rsidRDefault="0021431D" w:rsidP="00BD7931">
      <w:proofErr w:type="gramStart"/>
      <w:r>
        <w:t>None.</w:t>
      </w:r>
      <w:proofErr w:type="gramEnd"/>
    </w:p>
    <w:p w:rsidR="00BD7931" w:rsidRPr="00BD7931" w:rsidRDefault="0021431D" w:rsidP="00BD7931">
      <w:pPr>
        <w:pStyle w:val="Heading3"/>
      </w:pPr>
      <w:bookmarkStart w:id="33" w:name="_Toc461121056"/>
      <w:r>
        <w:t>Patient exposure</w:t>
      </w:r>
      <w:bookmarkEnd w:id="33"/>
    </w:p>
    <w:p w:rsidR="00963298" w:rsidRDefault="0021431D" w:rsidP="00BD7931">
      <w:r>
        <w:t>Overall</w:t>
      </w:r>
      <w:r w:rsidR="00BD7931" w:rsidRPr="00BD7931">
        <w:t xml:space="preserve"> 1</w:t>
      </w:r>
      <w:r>
        <w:t>,</w:t>
      </w:r>
      <w:r w:rsidR="00BD7931" w:rsidRPr="00BD7931">
        <w:t>839 subjects received at least 1 dose of lumacaftor (alone or in combination with another study drug). There were 1</w:t>
      </w:r>
      <w:r>
        <w:t>,</w:t>
      </w:r>
      <w:r w:rsidR="00BD7931" w:rsidRPr="00BD7931">
        <w:t xml:space="preserve">615 subjects who received lumacaftor in combination with ivacaftor (with or without a DDI drug) </w:t>
      </w:r>
      <w:r w:rsidR="00BD7931" w:rsidRPr="00767FA8">
        <w:t xml:space="preserve">(Table </w:t>
      </w:r>
      <w:r w:rsidR="008C33DE">
        <w:t>49</w:t>
      </w:r>
      <w:r w:rsidR="00BD7931" w:rsidRPr="00BD7931">
        <w:t>).</w:t>
      </w:r>
    </w:p>
    <w:p w:rsidR="00767FA8" w:rsidRDefault="00767FA8" w:rsidP="00767FA8">
      <w:pPr>
        <w:pStyle w:val="Tabletitle"/>
      </w:pPr>
      <w:proofErr w:type="gramStart"/>
      <w:r>
        <w:lastRenderedPageBreak/>
        <w:t>Tabl</w:t>
      </w:r>
      <w:r w:rsidR="008C33DE">
        <w:t>e 49</w:t>
      </w:r>
      <w:r w:rsidR="006638AF">
        <w:t>.</w:t>
      </w:r>
      <w:proofErr w:type="gramEnd"/>
      <w:r>
        <w:t xml:space="preserve"> Number of subjects exposed to lumacaftor any dose and duration</w:t>
      </w:r>
    </w:p>
    <w:p w:rsidR="00767FA8" w:rsidRPr="00767FA8" w:rsidRDefault="00767FA8" w:rsidP="00767FA8">
      <w:r>
        <w:rPr>
          <w:noProof/>
          <w:lang w:eastAsia="en-AU"/>
        </w:rPr>
        <w:drawing>
          <wp:inline distT="0" distB="0" distL="0" distR="0" wp14:anchorId="5B22E163" wp14:editId="642D6C34">
            <wp:extent cx="5106010" cy="5822815"/>
            <wp:effectExtent l="0" t="0" r="0" b="6985"/>
            <wp:docPr id="68" name="Picture 68" descr="Table 49 Number of subjects exposed to lumacaftor any dose and d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108865" cy="5826070"/>
                    </a:xfrm>
                    <a:prstGeom prst="rect">
                      <a:avLst/>
                    </a:prstGeom>
                  </pic:spPr>
                </pic:pic>
              </a:graphicData>
            </a:graphic>
          </wp:inline>
        </w:drawing>
      </w:r>
    </w:p>
    <w:p w:rsidR="00BD7931" w:rsidRPr="00BD7931" w:rsidRDefault="00BD7931" w:rsidP="0021431D">
      <w:pPr>
        <w:pStyle w:val="Heading4"/>
      </w:pPr>
      <w:r w:rsidRPr="00BD7931">
        <w:t xml:space="preserve">Exposure in the pooled </w:t>
      </w:r>
      <w:r w:rsidR="00511EB7">
        <w:t>Phase III</w:t>
      </w:r>
      <w:r w:rsidRPr="00BD7931">
        <w:t xml:space="preserve"> </w:t>
      </w:r>
      <w:r w:rsidR="003C1B2B">
        <w:t>placebo controlled</w:t>
      </w:r>
      <w:r w:rsidRPr="00BD7931">
        <w:t xml:space="preserve"> </w:t>
      </w:r>
      <w:r w:rsidR="0021431D" w:rsidRPr="00BD7931">
        <w:t>pivotal</w:t>
      </w:r>
      <w:r w:rsidRPr="00BD7931">
        <w:t xml:space="preserve"> </w:t>
      </w:r>
      <w:r w:rsidR="00980975">
        <w:t>Studies</w:t>
      </w:r>
      <w:r w:rsidR="0021431D">
        <w:t xml:space="preserve"> (103 and 104)</w:t>
      </w:r>
    </w:p>
    <w:p w:rsidR="00963298" w:rsidRPr="00BD7931" w:rsidRDefault="00BD7931" w:rsidP="00BD7931">
      <w:r w:rsidRPr="00BD7931">
        <w:t xml:space="preserve">The mean (SD) treatment duration was similar for the placebo and active treatment groups (165.4 </w:t>
      </w:r>
      <w:r w:rsidR="004E6042">
        <w:t>(</w:t>
      </w:r>
      <w:r w:rsidRPr="00BD7931">
        <w:t>17.52</w:t>
      </w:r>
      <w:r w:rsidR="004E6042">
        <w:t>)</w:t>
      </w:r>
      <w:r w:rsidRPr="00BD7931">
        <w:t xml:space="preserve">, 161.2 </w:t>
      </w:r>
      <w:r w:rsidR="004E6042">
        <w:t>(</w:t>
      </w:r>
      <w:r w:rsidRPr="00BD7931">
        <w:t>30.23</w:t>
      </w:r>
      <w:r w:rsidR="004E6042">
        <w:t>)</w:t>
      </w:r>
      <w:r w:rsidRPr="00BD7931">
        <w:t xml:space="preserve"> and (161.7 </w:t>
      </w:r>
      <w:r w:rsidR="004E6042">
        <w:t>(</w:t>
      </w:r>
      <w:r w:rsidRPr="00BD7931">
        <w:t>27.74</w:t>
      </w:r>
      <w:r w:rsidR="004E6042">
        <w:t>)</w:t>
      </w:r>
      <w:r w:rsidRPr="00BD7931">
        <w:t xml:space="preserve"> days in placebo, LUM 600 mg qd/IVA 250 mg q12h and the LUM 400 mg q12h/IVA 250 mg q12h groups, respectively). Most subjects received more than 16 weeks of treatment (364 </w:t>
      </w:r>
      <w:r w:rsidR="004E6042">
        <w:t>(</w:t>
      </w:r>
      <w:r w:rsidRPr="00BD7931">
        <w:t>98.4%</w:t>
      </w:r>
      <w:r w:rsidR="004E6042">
        <w:t>)</w:t>
      </w:r>
      <w:r w:rsidRPr="00BD7931">
        <w:t xml:space="preserve">, 352 </w:t>
      </w:r>
      <w:r w:rsidR="004E6042">
        <w:t>(</w:t>
      </w:r>
      <w:r w:rsidRPr="00BD7931">
        <w:t>95.4%</w:t>
      </w:r>
      <w:r w:rsidR="004E6042">
        <w:t>)</w:t>
      </w:r>
      <w:r w:rsidRPr="00BD7931">
        <w:t xml:space="preserve"> and 353 </w:t>
      </w:r>
      <w:r w:rsidR="004E6042">
        <w:t>(</w:t>
      </w:r>
      <w:r w:rsidRPr="00BD7931">
        <w:t>95.7%</w:t>
      </w:r>
      <w:r w:rsidR="004E6042">
        <w:t>)</w:t>
      </w:r>
      <w:r w:rsidRPr="00BD7931">
        <w:t xml:space="preserve"> subjects, respectively). There were 74 (20.0%) subjects in the placebo group and 146 (19.8%) subjects in the total LUM/IVA group who had more than 24 weeks exposure; this was due to the ±5 day visit window for the Week 24 Visit. Overall, 1054 (95.1%) subjects completed treatment in the pooled pivotal, </w:t>
      </w:r>
      <w:r w:rsidR="003C1B2B">
        <w:t>placebo controlled</w:t>
      </w:r>
      <w:r w:rsidRPr="00BD7931">
        <w:t xml:space="preserve"> </w:t>
      </w:r>
      <w:r w:rsidR="00511EB7">
        <w:t>Phase III</w:t>
      </w:r>
      <w:r w:rsidRPr="00BD7931">
        <w:t xml:space="preserve"> studies, with 693 (93.9%) subjects in the total LUM/IVA group and 361 (97.6%) subjects in the placebo group completing treatment. Subject disposition was generally similar between the LUM 600 mg qd/IVA 250 mg q12h and LUM 400 mg q12h/IVA 250 mg q12h group. A higher percentage of subjects discontinued treatment for any reason in the total LUM/IVA group (6.1%) than in the placebo group (2.4%). A higher percentage of subjects discontinued treatment due to an AE in the total LUM/IVA group (4.2%) </w:t>
      </w:r>
      <w:r w:rsidRPr="00BD7931">
        <w:lastRenderedPageBreak/>
        <w:t xml:space="preserve">than the placebo group (1.6%). Treatment discontinuation rates due to an AE were similar in the LUM 600 mg qd/ IVA 250 mg q12h group (3.8%) and LUM 400 mg q12h/ IVA 250 mg q12h group (4.6%).Of the 54 subjects who discontinued treatment, 26 subjects also discontinued from the study. Study discontinuation rates were similar in the LUM 600 mg qd/ IVA 250 mg q12h group (2.4%) and in the LUM 400 mg q12h/ IVA 250 mg q12h group (3.5%), both of which </w:t>
      </w:r>
      <w:r w:rsidR="0021431D">
        <w:t>were higher than placebo (1.1%)</w:t>
      </w:r>
      <w:r w:rsidRPr="00BD7931">
        <w:t xml:space="preserve">. A total of 1050 (94.8%) subjects (693 </w:t>
      </w:r>
      <w:r w:rsidR="004E6042">
        <w:t>(</w:t>
      </w:r>
      <w:r w:rsidRPr="00BD7931">
        <w:t>93.9%</w:t>
      </w:r>
      <w:r w:rsidR="004E6042">
        <w:t>)</w:t>
      </w:r>
      <w:r w:rsidRPr="00BD7931">
        <w:t xml:space="preserve"> subjects in the total LUM/IVA group and 357 </w:t>
      </w:r>
      <w:r w:rsidR="004E6042">
        <w:t>(</w:t>
      </w:r>
      <w:r w:rsidRPr="00BD7931">
        <w:t>96.5%</w:t>
      </w:r>
      <w:r w:rsidR="004E6042">
        <w:t>)</w:t>
      </w:r>
      <w:r w:rsidRPr="00BD7931">
        <w:t xml:space="preserve"> subjects in the placebo group) enrolled in the rollover study (</w:t>
      </w:r>
      <w:r w:rsidR="004E6042">
        <w:t>Study</w:t>
      </w:r>
      <w:r w:rsidRPr="00BD7931">
        <w:t xml:space="preserve"> 105) The distributions of the baseline characteristics were generally similar across all 3 treatment groups and there were no clinically meaningful differences in baseline characteristics that were likely to hav</w:t>
      </w:r>
      <w:r w:rsidR="00276D7B">
        <w:t>e affected the safety outcomes</w:t>
      </w:r>
      <w:r w:rsidRPr="00BD7931">
        <w:t>. Overall, there was no clinically meaningful difference</w:t>
      </w:r>
      <w:r w:rsidR="00276D7B">
        <w:t xml:space="preserve"> in concomitant medication use</w:t>
      </w:r>
      <w:r w:rsidRPr="00BD7931">
        <w:t xml:space="preserve"> that suggested an underlying trend or safety concern requiring specific treatment.</w:t>
      </w:r>
    </w:p>
    <w:p w:rsidR="00BD7931" w:rsidRPr="00BD7931" w:rsidRDefault="00BD7931" w:rsidP="0021431D">
      <w:pPr>
        <w:pStyle w:val="Heading4"/>
      </w:pPr>
      <w:r w:rsidRPr="00BD7931">
        <w:t xml:space="preserve">Exposure in the long-term, ongoing safety and efficacy </w:t>
      </w:r>
      <w:r w:rsidR="004E6042">
        <w:t>Study</w:t>
      </w:r>
      <w:r w:rsidR="0021431D">
        <w:t xml:space="preserve"> 105</w:t>
      </w:r>
    </w:p>
    <w:p w:rsidR="00963298" w:rsidRPr="00BD7931" w:rsidRDefault="00BD7931" w:rsidP="00BD7931">
      <w:r w:rsidRPr="00BD7931">
        <w:t>A total of 1</w:t>
      </w:r>
      <w:r w:rsidR="0021431D">
        <w:t>,</w:t>
      </w:r>
      <w:r w:rsidRPr="00BD7931">
        <w:t>027 subjects were dosed and included in the All Subject</w:t>
      </w:r>
      <w:r w:rsidR="0021431D">
        <w:t xml:space="preserve"> Safety Set in Part A. As of 21 </w:t>
      </w:r>
      <w:r w:rsidRPr="00BD7931">
        <w:t xml:space="preserve">July 2014, the mean treatment duration was similar across all 4 groups (range: 131.7 days to 135 days). Most subjects received at least 16 weeks of treatment for LUM 600 mg qd/IVA 250 mg q12h group (269 </w:t>
      </w:r>
      <w:r w:rsidR="004E6042">
        <w:t>(</w:t>
      </w:r>
      <w:r w:rsidRPr="00BD7931">
        <w:t>80.5%</w:t>
      </w:r>
      <w:r w:rsidR="004E6042">
        <w:t>)</w:t>
      </w:r>
      <w:r w:rsidRPr="00BD7931">
        <w:t xml:space="preserve"> subjects), the placebo/LUM 600 mg qd/IVA 250 mg q12h group (138 </w:t>
      </w:r>
      <w:r w:rsidR="004E6042">
        <w:t>(</w:t>
      </w:r>
      <w:r w:rsidRPr="00BD7931">
        <w:t>78.0%</w:t>
      </w:r>
      <w:r w:rsidR="004E6042">
        <w:t>)</w:t>
      </w:r>
      <w:r w:rsidRPr="00BD7931">
        <w:t xml:space="preserve"> subjects), the LUM 400 mg q12h/IVA 250 mg q12h group (263 </w:t>
      </w:r>
      <w:r w:rsidR="004E6042">
        <w:t>(</w:t>
      </w:r>
      <w:r w:rsidRPr="00BD7931">
        <w:t>77.4%</w:t>
      </w:r>
      <w:r w:rsidR="004E6042">
        <w:t>)</w:t>
      </w:r>
      <w:r w:rsidRPr="00BD7931">
        <w:t xml:space="preserve"> subjects), and the placebo/LUM 400 mg q12h/IVA 250 mg q12h (147 </w:t>
      </w:r>
      <w:r w:rsidR="004E6042">
        <w:t>(</w:t>
      </w:r>
      <w:r w:rsidRPr="00BD7931">
        <w:t>83.5</w:t>
      </w:r>
      <w:r w:rsidR="004E6042">
        <w:t>)</w:t>
      </w:r>
      <w:r w:rsidR="00276D7B">
        <w:t xml:space="preserve"> days)</w:t>
      </w:r>
      <w:r w:rsidRPr="00BD7931">
        <w:t xml:space="preserve">. A subset of subjects was included in the </w:t>
      </w:r>
      <w:r w:rsidR="004E6042">
        <w:t>Study</w:t>
      </w:r>
      <w:r w:rsidRPr="00BD7931">
        <w:t xml:space="preserve"> 105</w:t>
      </w:r>
      <w:r w:rsidR="0021431D">
        <w:t>.</w:t>
      </w:r>
    </w:p>
    <w:p w:rsidR="00BD7931" w:rsidRPr="00BD7931" w:rsidRDefault="00BD7931" w:rsidP="00BD7931">
      <w:r w:rsidRPr="00BD7931">
        <w:t xml:space="preserve">Long-term Safety Set, which included subjects who received active treatment in the previous studies (Studies 103/104) and completed visits of Week 24 and beyond in </w:t>
      </w:r>
      <w:r w:rsidR="004E6042">
        <w:t>Study</w:t>
      </w:r>
      <w:r w:rsidR="0021431D">
        <w:t xml:space="preserve"> 105 as of 1 July </w:t>
      </w:r>
      <w:r w:rsidRPr="00BD7931">
        <w:t xml:space="preserve">2014. Overall, the median duration of exposure in the Part A, Long-term Safety Set was 337 days (range: 324 to 360). The overall mean treatment duration (SD) was similar for the LUM 600 mg qd/IVA 250 mg q12h group (337.4 </w:t>
      </w:r>
      <w:r w:rsidR="004E6042">
        <w:t>(</w:t>
      </w:r>
      <w:r w:rsidRPr="00BD7931">
        <w:t>4.73</w:t>
      </w:r>
      <w:r w:rsidR="004E6042">
        <w:t>)</w:t>
      </w:r>
      <w:r w:rsidRPr="00BD7931">
        <w:t xml:space="preserve"> days) and LUM 400 mg q12h/ IVA 250 mg q12h group (336.9 </w:t>
      </w:r>
      <w:r w:rsidR="004E6042">
        <w:t>(</w:t>
      </w:r>
      <w:r w:rsidRPr="00BD7931">
        <w:t>6.63</w:t>
      </w:r>
      <w:r w:rsidR="004E6042">
        <w:t>)</w:t>
      </w:r>
      <w:r w:rsidRPr="00BD7931">
        <w:t xml:space="preserve"> days). Most subjects received at least 48 weeks of treatment: LUM 600 mg qd/IVA 250 mg q12h group (43 </w:t>
      </w:r>
      <w:r w:rsidR="004E6042">
        <w:t>(</w:t>
      </w:r>
      <w:r w:rsidRPr="00BD7931">
        <w:t>72.9%</w:t>
      </w:r>
      <w:r w:rsidR="004E6042">
        <w:t>)</w:t>
      </w:r>
      <w:r w:rsidRPr="00BD7931">
        <w:t xml:space="preserve"> subjects) and LUM 400 mg q12h/IVA 250 mg q12h group (36 </w:t>
      </w:r>
      <w:r w:rsidR="004E6042">
        <w:t>(</w:t>
      </w:r>
      <w:r w:rsidRPr="00BD7931">
        <w:t>63.2%</w:t>
      </w:r>
      <w:r w:rsidR="004E6042">
        <w:t>)</w:t>
      </w:r>
      <w:r w:rsidRPr="00BD7931">
        <w:t xml:space="preserve"> subjects). A total of 115 subjects were dosed and included in the All Subject Safety Set for the Current Study Period of Part B (the time from the initial dose of study drug in Study 105 to 28 days, inclusive, after the last dose of study drug in </w:t>
      </w:r>
      <w:r w:rsidR="004E6042">
        <w:t>Study</w:t>
      </w:r>
      <w:r w:rsidRPr="00BD7931">
        <w:t xml:space="preserve"> 105 or up to the date of the snapshot </w:t>
      </w:r>
      <w:r w:rsidR="004E6042">
        <w:t>(</w:t>
      </w:r>
      <w:r w:rsidRPr="00BD7931">
        <w:t>21 July 2014</w:t>
      </w:r>
      <w:r w:rsidR="004E6042">
        <w:t>)</w:t>
      </w:r>
      <w:r w:rsidRPr="00BD7931">
        <w:t xml:space="preserve">, whichever was earlier). In the current study period, the mean treatment duration was similar across the 2 groups (range: 6 days to 254 days). Most subjects received </w:t>
      </w:r>
      <w:r w:rsidR="0021431D">
        <w:t>at least 16 weeks of treatment.</w:t>
      </w:r>
    </w:p>
    <w:p w:rsidR="00BD7931" w:rsidRPr="00BD7931" w:rsidRDefault="00BD7931" w:rsidP="0021431D">
      <w:pPr>
        <w:pStyle w:val="Heading4"/>
      </w:pPr>
      <w:r w:rsidRPr="00BD7931">
        <w:t xml:space="preserve">Exposure in pooled </w:t>
      </w:r>
      <w:r w:rsidR="00511EB7">
        <w:t>Phase I</w:t>
      </w:r>
      <w:r w:rsidR="0021431D">
        <w:t xml:space="preserve"> studies</w:t>
      </w:r>
    </w:p>
    <w:p w:rsidR="00544646" w:rsidRDefault="00BD7931" w:rsidP="00BD7931">
      <w:r w:rsidRPr="00BD7931">
        <w:t xml:space="preserve">In the 9 pooled </w:t>
      </w:r>
      <w:proofErr w:type="gramStart"/>
      <w:r w:rsidR="00511EB7">
        <w:t>Phase</w:t>
      </w:r>
      <w:proofErr w:type="gramEnd"/>
      <w:r w:rsidR="00511EB7">
        <w:t xml:space="preserve"> I</w:t>
      </w:r>
      <w:r w:rsidRPr="00BD7931">
        <w:t xml:space="preserve"> studies, 287 healthy subjects were exposed to at least 1 dose of lumacaftor. Of these subjects, 163 subjects received lumacaftor monotherapy, 173 subjects received lumacaftor in combination with ivacaftor, and 53 subjects received lumacaftor in combination with ivacaftor and a DDI drug (ciprofloxacin, itraconazole, or rifampin). Some subjects may have been included in more than 1 treatment group, depending on study design</w:t>
      </w:r>
      <w:r w:rsidR="001A3AFD">
        <w:rPr>
          <w:rStyle w:val="FootnoteReference"/>
        </w:rPr>
        <w:footnoteReference w:id="22"/>
      </w:r>
      <w:r w:rsidRPr="00BD7931">
        <w:t>.</w:t>
      </w:r>
      <w:r w:rsidR="00511EB7">
        <w:t xml:space="preserve"> </w:t>
      </w:r>
      <w:r w:rsidR="001A3AFD" w:rsidRPr="001A3AFD">
        <w:t>The median treatment duration was 4 days (range: 1 to 29) for subjects in the ‘Any</w:t>
      </w:r>
      <w:r w:rsidR="001A3AFD">
        <w:t xml:space="preserve"> </w:t>
      </w:r>
      <w:r w:rsidR="001A3AFD" w:rsidRPr="001A3AFD">
        <w:t>LUM’</w:t>
      </w:r>
      <w:r w:rsidR="00544646">
        <w:rPr>
          <w:rStyle w:val="FootnoteReference"/>
        </w:rPr>
        <w:footnoteReference w:id="23"/>
      </w:r>
      <w:r w:rsidR="001A3AFD" w:rsidRPr="001A3AFD">
        <w:t xml:space="preserve"> group, 14 days (range: 2 to 15) for subjects in the ‘LUM/IVA’ group, and 2 days (range: 1 to</w:t>
      </w:r>
      <w:r w:rsidR="001A3AFD">
        <w:t xml:space="preserve"> </w:t>
      </w:r>
      <w:r w:rsidR="001A3AFD" w:rsidRPr="001A3AFD">
        <w:t>42) for subjects in the placebo group. The maximum cumulati</w:t>
      </w:r>
      <w:r w:rsidR="001A3AFD">
        <w:t xml:space="preserve">ve (non-consecutive) duration </w:t>
      </w:r>
      <w:r w:rsidR="001A3AFD" w:rsidRPr="001A3AFD">
        <w:t xml:space="preserve">of exposure to lumacaftor at any dose or regimen was 29 days </w:t>
      </w:r>
      <w:r w:rsidR="001A3AFD" w:rsidRPr="00276D7B">
        <w:rPr>
          <w:bCs/>
        </w:rPr>
        <w:t xml:space="preserve">(Table </w:t>
      </w:r>
      <w:r w:rsidR="008C33DE">
        <w:rPr>
          <w:bCs/>
        </w:rPr>
        <w:t>50</w:t>
      </w:r>
      <w:r w:rsidR="001A3AFD" w:rsidRPr="008A78DA">
        <w:rPr>
          <w:bCs/>
        </w:rPr>
        <w:t>).</w:t>
      </w:r>
      <w:r w:rsidR="001A3AFD">
        <w:t xml:space="preserve"> </w:t>
      </w:r>
      <w:r w:rsidRPr="00BD7931">
        <w:t xml:space="preserve">Overall, 93% of subjects </w:t>
      </w:r>
      <w:r w:rsidRPr="00BD7931">
        <w:lastRenderedPageBreak/>
        <w:t>completed the assigned treatment. Treatment was discontinued in 6 (12.8%) subjects in the placebo group and 4 (2.3%) in the LUM/IVA group. Overall, the most common reason for treatment discontinuation was an AE (7 subjects, 2.2</w:t>
      </w:r>
      <w:r w:rsidRPr="00276D7B">
        <w:t>%). T</w:t>
      </w:r>
      <w:r w:rsidRPr="00BD7931">
        <w:t xml:space="preserve">he baseline demographics were slightly different to the patient population in the </w:t>
      </w:r>
      <w:r w:rsidR="00980975">
        <w:t>Phase II</w:t>
      </w:r>
      <w:r w:rsidR="00A83F66">
        <w:t>/III</w:t>
      </w:r>
      <w:r w:rsidRPr="00BD7931">
        <w:t xml:space="preserve"> studies in the target patient population. Overall, the majority of subjects were White (67.2%) and male (74.5%). Among subjects in the LUM/IVA group, 64.7% of subjects were White, 28.9% of subjects were Black or African American and 17.3% of subjects were Hispanic or Latino. All subjects were </w:t>
      </w:r>
      <w:r w:rsidR="00A91223">
        <w:t xml:space="preserve">≥ </w:t>
      </w:r>
      <w:r w:rsidR="00A83F66">
        <w:t xml:space="preserve">18 years with median age of 31 to 33 years, median weight of 71 to </w:t>
      </w:r>
      <w:r w:rsidRPr="00BD7931">
        <w:t>78kg and mean BMI of about</w:t>
      </w:r>
      <w:r w:rsidR="00544646">
        <w:t xml:space="preserve"> 25kg/</w:t>
      </w:r>
      <w:r w:rsidR="00D933A6" w:rsidRPr="00EB7717">
        <w:t>m</w:t>
      </w:r>
      <w:r w:rsidR="00D933A6" w:rsidRPr="00D933A6">
        <w:rPr>
          <w:vertAlign w:val="superscript"/>
        </w:rPr>
        <w:t>2</w:t>
      </w:r>
      <w:r w:rsidR="00276D7B">
        <w:t>.</w:t>
      </w:r>
    </w:p>
    <w:p w:rsidR="00276D7B" w:rsidRDefault="008C33DE" w:rsidP="00276D7B">
      <w:pPr>
        <w:pStyle w:val="Tabletitle"/>
      </w:pPr>
      <w:proofErr w:type="gramStart"/>
      <w:r>
        <w:t>Table 50.</w:t>
      </w:r>
      <w:proofErr w:type="gramEnd"/>
      <w:r w:rsidR="00276D7B">
        <w:t xml:space="preserve"> Study drug exposure in pooled phase I studies in healthy subjects safety set</w:t>
      </w:r>
    </w:p>
    <w:p w:rsidR="008C33DE" w:rsidRDefault="00276D7B" w:rsidP="008C33DE">
      <w:pPr>
        <w:keepNext/>
      </w:pPr>
      <w:r>
        <w:rPr>
          <w:noProof/>
          <w:lang w:eastAsia="en-AU"/>
        </w:rPr>
        <w:drawing>
          <wp:inline distT="0" distB="0" distL="0" distR="0" wp14:anchorId="3D9CED8B" wp14:editId="4851C17E">
            <wp:extent cx="5731510" cy="3890814"/>
            <wp:effectExtent l="0" t="0" r="2540" b="0"/>
            <wp:docPr id="69" name="Picture 69" descr="Table 50. Study drug exposure in pooled phase I studies in healthy subjects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731510" cy="3890814"/>
                    </a:xfrm>
                    <a:prstGeom prst="rect">
                      <a:avLst/>
                    </a:prstGeom>
                  </pic:spPr>
                </pic:pic>
              </a:graphicData>
            </a:graphic>
          </wp:inline>
        </w:drawing>
      </w:r>
    </w:p>
    <w:p w:rsidR="00276D7B" w:rsidRPr="00276D7B" w:rsidRDefault="008C33DE" w:rsidP="008C33DE">
      <w:pPr>
        <w:pStyle w:val="Caption"/>
      </w:pPr>
      <w:r>
        <w:t xml:space="preserve">Figure </w:t>
      </w:r>
      <w:r w:rsidR="00892601">
        <w:fldChar w:fldCharType="begin"/>
      </w:r>
      <w:r w:rsidR="00892601">
        <w:instrText xml:space="preserve"> SEQ Figure \* ARABIC </w:instrText>
      </w:r>
      <w:r w:rsidR="00892601">
        <w:fldChar w:fldCharType="separate"/>
      </w:r>
      <w:r>
        <w:rPr>
          <w:noProof/>
        </w:rPr>
        <w:t>1</w:t>
      </w:r>
      <w:r w:rsidR="00892601">
        <w:rPr>
          <w:noProof/>
        </w:rPr>
        <w:fldChar w:fldCharType="end"/>
      </w:r>
    </w:p>
    <w:p w:rsidR="00BD7931" w:rsidRPr="00BD7931" w:rsidRDefault="00A83F66" w:rsidP="00BD7931">
      <w:r>
        <w:t xml:space="preserve">In the </w:t>
      </w:r>
      <w:r w:rsidR="00276D7B">
        <w:t>non-</w:t>
      </w:r>
      <w:r w:rsidR="00276D7B" w:rsidRPr="00BD7931">
        <w:t>pooled</w:t>
      </w:r>
      <w:r w:rsidR="00BD7931" w:rsidRPr="00BD7931">
        <w:t xml:space="preserve"> </w:t>
      </w:r>
      <w:r w:rsidR="00511EB7">
        <w:t>Phase I</w:t>
      </w:r>
      <w:r w:rsidR="00BD7931" w:rsidRPr="00BD7931">
        <w:t xml:space="preserve"> studies, 134 subjects received any lumacaftor, with 32 subjects receiving lumacaftor monotherapy (Studies 002 and 008) and 103 subjects receiving lumacaftor in combination with ivacaftor (Studies 008, 009 </w:t>
      </w:r>
      <w:r>
        <w:t>Cohort 4, 010, and 011 Part A).</w:t>
      </w:r>
    </w:p>
    <w:p w:rsidR="00BD7931" w:rsidRPr="00BD7931" w:rsidRDefault="00BD7931" w:rsidP="00BD7931">
      <w:pPr>
        <w:pStyle w:val="Comment"/>
      </w:pPr>
      <w:r w:rsidRPr="00BD7931">
        <w:rPr>
          <w:b/>
        </w:rPr>
        <w:t>Comment</w:t>
      </w:r>
      <w:r w:rsidRPr="00BD7931">
        <w:t xml:space="preserve">: The overall exposure to the proposed dosing with lumacaftor in combination with ivacaftor was adequate to assess the safety for the proposed indication. However, long term safety beyond 48 weeks would require confirmation on completion of the ongoing 96 week </w:t>
      </w:r>
      <w:r w:rsidR="004E6042">
        <w:t>Study</w:t>
      </w:r>
      <w:r w:rsidR="00A83F66">
        <w:t xml:space="preserve"> 105.</w:t>
      </w:r>
    </w:p>
    <w:p w:rsidR="00BD7931" w:rsidRPr="00BD7931" w:rsidRDefault="00A83F66" w:rsidP="00BD7931">
      <w:pPr>
        <w:pStyle w:val="Heading3"/>
      </w:pPr>
      <w:bookmarkStart w:id="34" w:name="_Toc461121057"/>
      <w:r>
        <w:t>Adverse events</w:t>
      </w:r>
      <w:bookmarkEnd w:id="34"/>
    </w:p>
    <w:p w:rsidR="00BD7931" w:rsidRPr="00BD7931" w:rsidRDefault="00BD7931" w:rsidP="00BD7931">
      <w:pPr>
        <w:pStyle w:val="Heading4"/>
      </w:pPr>
      <w:r w:rsidRPr="00BD7931">
        <w:t>All adverse events (irrespective of rela</w:t>
      </w:r>
      <w:r w:rsidR="00A83F66">
        <w:t>tionship to study treatment)</w:t>
      </w:r>
    </w:p>
    <w:p w:rsidR="00BD7931" w:rsidRPr="00BD7931" w:rsidRDefault="00A83F66" w:rsidP="00BD7931">
      <w:pPr>
        <w:pStyle w:val="Heading5"/>
      </w:pPr>
      <w:r>
        <w:t>Pivotal studies</w:t>
      </w:r>
    </w:p>
    <w:p w:rsidR="00544646" w:rsidRDefault="00BD7931" w:rsidP="00544646">
      <w:r w:rsidRPr="00544646">
        <w:t xml:space="preserve">The incidence of AEs was similar between the placebo group (95.9%) and the total LUM/IVA group (95.8%). Overall, the most common AEs (at least 15% incidence in any treatment group) were infective pulmonary exacerbation of CF, cough, headache, and sputum increased. AEs with </w:t>
      </w:r>
      <w:r w:rsidRPr="00544646">
        <w:lastRenderedPageBreak/>
        <w:t xml:space="preserve">an incidence at least 3% higher in the total LUM/IVA group than the placebo group were dyspnoea (14.0% </w:t>
      </w:r>
      <w:r w:rsidR="001C171F">
        <w:t>versus</w:t>
      </w:r>
      <w:r w:rsidRPr="00544646">
        <w:t xml:space="preserve"> 7.8%), respiration abnormal (9.8% </w:t>
      </w:r>
      <w:r w:rsidR="001C171F">
        <w:t>versus</w:t>
      </w:r>
      <w:r w:rsidRPr="00544646">
        <w:t xml:space="preserve"> 5.9%), flatulence (6.0% </w:t>
      </w:r>
      <w:r w:rsidR="001C171F">
        <w:t>versus</w:t>
      </w:r>
      <w:r w:rsidRPr="00544646">
        <w:t xml:space="preserve"> 3.0%) and rash (5.6% </w:t>
      </w:r>
      <w:r w:rsidR="001C171F">
        <w:t>versus</w:t>
      </w:r>
      <w:r w:rsidRPr="00544646">
        <w:t xml:space="preserve"> 1.9%). AEs for which the incidence in the total LUM/IVA group was </w:t>
      </w:r>
      <w:r w:rsidR="00A91223">
        <w:t xml:space="preserve">≥ </w:t>
      </w:r>
      <w:r w:rsidRPr="00544646">
        <w:t>5% and the difference in</w:t>
      </w:r>
      <w:r w:rsidR="00544646" w:rsidRPr="00544646">
        <w:t xml:space="preserve"> incidence was </w:t>
      </w:r>
      <w:r w:rsidR="00A91223">
        <w:t xml:space="preserve">≥ </w:t>
      </w:r>
      <w:r w:rsidR="00544646" w:rsidRPr="00544646">
        <w:t>1% higher compared with the placebo group were dyspnoea, diarrhoea, nausea,</w:t>
      </w:r>
      <w:r w:rsidR="00544646">
        <w:t xml:space="preserve"> </w:t>
      </w:r>
      <w:r w:rsidR="00544646" w:rsidRPr="00544646">
        <w:t xml:space="preserve">respiration abnormal, oropharyngeal pain, upper respiratory tract infection, flatulence, rhinitis, rash, rhinorrhoea and vomiting. AEs for which the incidence in the placebo group was at least 3% higher than the total LUM/IVA group were infective pulmonary exacerbation of CF (49.2% </w:t>
      </w:r>
      <w:r w:rsidR="001C171F">
        <w:t>versus</w:t>
      </w:r>
      <w:r w:rsidR="00544646" w:rsidRPr="00544646">
        <w:t xml:space="preserve"> 37.5%), cough (40.0% </w:t>
      </w:r>
      <w:r w:rsidR="001C171F">
        <w:t>versus</w:t>
      </w:r>
      <w:r w:rsidR="00544646" w:rsidRPr="00544646">
        <w:t xml:space="preserve"> 30.5%), sputum increased (18.9% </w:t>
      </w:r>
      <w:r w:rsidR="001C171F">
        <w:t>versus</w:t>
      </w:r>
      <w:r w:rsidR="00544646" w:rsidRPr="00544646">
        <w:t xml:space="preserve"> 14.8%), nasal congestion (11.9% </w:t>
      </w:r>
      <w:r w:rsidR="001C171F">
        <w:t>versus</w:t>
      </w:r>
      <w:r w:rsidR="00544646" w:rsidRPr="00544646">
        <w:t xml:space="preserve"> 7.7%) and pulmonary function test decreased (5.4% </w:t>
      </w:r>
      <w:r w:rsidR="001C171F">
        <w:t>versus</w:t>
      </w:r>
      <w:r w:rsidR="00544646" w:rsidRPr="00544646">
        <w:t xml:space="preserve"> 1.6%). The incidence of most AEs was similar in the 2 active treatment groups. However, the following AEs had an at least 3% higher incidence in the LUM 600 mg qd/IVA 250 mg q12h group compared with the LUM 400 mg 12h/IVA 250 mg q12h group: infective pulmonary exacerbation of cystic fibrosis (39.3% </w:t>
      </w:r>
      <w:r w:rsidR="001C171F">
        <w:t>versus</w:t>
      </w:r>
      <w:r w:rsidR="00544646" w:rsidRPr="00544646">
        <w:t xml:space="preserve"> 35.8 %), cough (32.8% </w:t>
      </w:r>
      <w:r w:rsidR="001C171F">
        <w:t>versus</w:t>
      </w:r>
      <w:r w:rsidR="00544646" w:rsidRPr="00544646">
        <w:t xml:space="preserve"> 28.2%), oropharyngeal pain (11.9% </w:t>
      </w:r>
      <w:r w:rsidR="001C171F">
        <w:t>versus</w:t>
      </w:r>
      <w:r w:rsidR="00544646" w:rsidRPr="00544646">
        <w:t xml:space="preserve"> 6.5%) and rhinitis (8.1% </w:t>
      </w:r>
      <w:r w:rsidR="001C171F">
        <w:t>versus</w:t>
      </w:r>
      <w:r w:rsidR="00544646" w:rsidRPr="00544646">
        <w:t xml:space="preserve"> 4.3%). The following AEs had an at least 3% higher incidence in LUM 400 mg q12h/IVA 250 mg q12h group compared to the LUM 600 mg qd/IVA 250 mg q12h group: nausea (12.5% </w:t>
      </w:r>
      <w:r w:rsidR="001C171F">
        <w:t>versus</w:t>
      </w:r>
      <w:r w:rsidR="00544646" w:rsidRPr="00544646">
        <w:t xml:space="preserve"> 7.9%), nasopharyngitis (13.0% </w:t>
      </w:r>
      <w:r w:rsidR="001C171F">
        <w:t>versus</w:t>
      </w:r>
      <w:r w:rsidR="00544646" w:rsidRPr="00544646">
        <w:t xml:space="preserve"> 6.2%), upper respiratory tract infection (10.0% </w:t>
      </w:r>
      <w:r w:rsidR="001C171F">
        <w:t>versus</w:t>
      </w:r>
      <w:r w:rsidR="00544646" w:rsidRPr="00544646">
        <w:t xml:space="preserve"> 6.5%) and blood creatine phosphokinase increased (7.3% </w:t>
      </w:r>
      <w:r w:rsidR="001C171F">
        <w:t>versus</w:t>
      </w:r>
      <w:r w:rsidR="00544646" w:rsidRPr="00544646">
        <w:t xml:space="preserve"> 3.8%) </w:t>
      </w:r>
      <w:proofErr w:type="gramStart"/>
      <w:r w:rsidR="00544646" w:rsidRPr="00544646">
        <w:t>(</w:t>
      </w:r>
      <w:r w:rsidR="00544646" w:rsidRPr="00FF7DF3">
        <w:t xml:space="preserve">Table </w:t>
      </w:r>
      <w:r w:rsidR="00D166EB">
        <w:t>51</w:t>
      </w:r>
      <w:r w:rsidR="00A83F66">
        <w:t>).</w:t>
      </w:r>
      <w:proofErr w:type="gramEnd"/>
    </w:p>
    <w:p w:rsidR="00FF7DF3" w:rsidRDefault="00D166EB" w:rsidP="00FF7DF3">
      <w:pPr>
        <w:pStyle w:val="Tabletitle"/>
      </w:pPr>
      <w:proofErr w:type="gramStart"/>
      <w:r>
        <w:lastRenderedPageBreak/>
        <w:t>Table 51.</w:t>
      </w:r>
      <w:proofErr w:type="gramEnd"/>
      <w:r w:rsidR="00FF7DF3">
        <w:t xml:space="preserve"> Adverse events with an incidence of at least 5% in any treatment group by</w:t>
      </w:r>
      <w:r w:rsidR="00D425B8">
        <w:t xml:space="preserve"> preferred term: pooled placebo </w:t>
      </w:r>
      <w:r w:rsidR="00FF7DF3">
        <w:t>controlled Phase III studies</w:t>
      </w:r>
    </w:p>
    <w:p w:rsidR="00FF7DF3" w:rsidRPr="00FF7DF3" w:rsidRDefault="00FF7DF3" w:rsidP="00FF7DF3">
      <w:r>
        <w:rPr>
          <w:noProof/>
          <w:lang w:eastAsia="en-AU"/>
        </w:rPr>
        <w:drawing>
          <wp:inline distT="0" distB="0" distL="0" distR="0" wp14:anchorId="0378CA01" wp14:editId="4BEA49ED">
            <wp:extent cx="5731510" cy="6520817"/>
            <wp:effectExtent l="0" t="0" r="2540" b="0"/>
            <wp:docPr id="70" name="Picture 70" descr="Table 51. Adverse events with an incidence of at least 5% in any treatment group by preferred term: pooled placebo-controlled Phase III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731510" cy="6520817"/>
                    </a:xfrm>
                    <a:prstGeom prst="rect">
                      <a:avLst/>
                    </a:prstGeom>
                  </pic:spPr>
                </pic:pic>
              </a:graphicData>
            </a:graphic>
          </wp:inline>
        </w:drawing>
      </w:r>
    </w:p>
    <w:p w:rsidR="00963298" w:rsidRPr="00544646" w:rsidRDefault="00544646" w:rsidP="00544646">
      <w:r w:rsidRPr="00544646">
        <w:t>The majority of AEs across all 3 treatment groups were mild or moderate in severity. There was a similar incidence of mild (Grade 1), moderate (Grade 2) and severe (Grade 3) AEs in the total LUM/IVA group (mild: 35.5%; moderate: 46.5%; severe: 13.6%) and in the placebo group (mild: 29.2%; moderate: 50.8%; severe: 15.1%). The incidence of severe AEs was slightly lower in the LUM 400 mg q12h/ IVA 250 mg q12h group (11.9%) compared with the LUM 600 mg qd/</w:t>
      </w:r>
      <w:r w:rsidR="00FF7DF3">
        <w:t xml:space="preserve"> IVA 250 mg q12h group (15.2%)</w:t>
      </w:r>
      <w:r w:rsidRPr="00544646">
        <w:t>. A lower percentage of subjects had Grade 3/4 AEs in the total LUM/IVA group (13.8%) compared with the placebo group (15.9%). Most of the Grade 3 or 4 AEs were respiratory and gastrointestinal events, as expected in subjects with CF. Infective pulmonary exacerbation of CF, headache and blood CP</w:t>
      </w:r>
      <w:r w:rsidR="00A83F66">
        <w:t>K increased were the only Grade </w:t>
      </w:r>
      <w:r w:rsidRPr="00544646">
        <w:t xml:space="preserve">3 or 4 AEs that had an incidence of at least 1% in any treatment group. The incidence of Grade 3 or 4 </w:t>
      </w:r>
      <w:r w:rsidRPr="00544646">
        <w:lastRenderedPageBreak/>
        <w:t xml:space="preserve">infective pulmonary exacerbation of CF was 7.8% in the placebo group and 5.8% in the total LUM/IVA group (4.3% in the LUM 400 mg q12h/ IVA 250 mg q12h group and 7.3% in the LUM 600 mg qd/ IVA 250 mg q12h group). The incidence of Grade 3 or 4 </w:t>
      </w:r>
      <w:proofErr w:type="gramStart"/>
      <w:r w:rsidRPr="00544646">
        <w:t>headache</w:t>
      </w:r>
      <w:proofErr w:type="gramEnd"/>
      <w:r w:rsidRPr="00544646">
        <w:t xml:space="preserve"> was 1.1% in the LUM 600 mg qd/IVA 250 mg q12h group, 0.5% in the LUM 400 mg q12h/ IVA 250 mg q12h group, and 0.5% in the placebo group. There were no other meaningful differences in the 2 active treatment groups. Five subjects had life-threatening (Grade 4) AEs: 3 subjects in the placebo group (acute renal failure; metastatic colon cancer; and suicide attempt), 1 subject in the LUM 600 mg qd/ IVA 250 mg q12h group (cholestasis, hepatitis, and hematoma) and 1 subject in the LUM 400 mg q12h/ IVA 250 mg q12h group (haemoptysis).</w:t>
      </w:r>
    </w:p>
    <w:p w:rsidR="00544646" w:rsidRPr="00544646" w:rsidRDefault="00544646" w:rsidP="00544646">
      <w:r w:rsidRPr="00544646">
        <w:t>An analys</w:t>
      </w:r>
      <w:r w:rsidR="002D2383">
        <w:t xml:space="preserve">is of the incidence of AEs by 8 </w:t>
      </w:r>
      <w:r w:rsidRPr="00544646">
        <w:t>week intervals demonstrated that the onset of the majority of new AEs was generally higher in the first 8 weeks of treatment in both the LUM/IVA and placebo groups. No AEs increased in incidence more than 2% after the first 8 w</w:t>
      </w:r>
      <w:r w:rsidR="002D2383">
        <w:t xml:space="preserve">eeks. Compared with the first 8 </w:t>
      </w:r>
      <w:r w:rsidRPr="00544646">
        <w:t>week interval, the incidences of dyspnoea and respiration abnormal were lower in later intervals (</w:t>
      </w:r>
      <w:r w:rsidR="00511EB7">
        <w:t xml:space="preserve">&gt; </w:t>
      </w:r>
      <w:r w:rsidRPr="00544646">
        <w:t xml:space="preserve">8 to </w:t>
      </w:r>
      <w:r w:rsidR="00A91223">
        <w:t xml:space="preserve">≤ </w:t>
      </w:r>
      <w:r w:rsidRPr="00544646">
        <w:t xml:space="preserve">16 weeks and </w:t>
      </w:r>
      <w:r w:rsidR="00511EB7">
        <w:t xml:space="preserve">&gt; </w:t>
      </w:r>
      <w:r w:rsidRPr="00544646">
        <w:t xml:space="preserve">16 to </w:t>
      </w:r>
      <w:r w:rsidR="00A91223">
        <w:t xml:space="preserve">≤ </w:t>
      </w:r>
      <w:r w:rsidRPr="00544646">
        <w:t>24 weeks) in both the total LUM/IVA and placebo groups. The incidence of AEs over time was generally similar in the LUM 600 mg qd/IVA 250 mg q12h and LUM 400 mg q12h/IVA 250 mg q12h groups</w:t>
      </w:r>
      <w:r w:rsidR="002D2383">
        <w:t>.</w:t>
      </w:r>
    </w:p>
    <w:p w:rsidR="00544646" w:rsidRPr="00544646" w:rsidRDefault="002D2383" w:rsidP="00544646">
      <w:pPr>
        <w:pStyle w:val="Heading5"/>
      </w:pPr>
      <w:r>
        <w:t>Other studies</w:t>
      </w:r>
    </w:p>
    <w:p w:rsidR="002D2383" w:rsidRDefault="00544646" w:rsidP="002D2383">
      <w:pPr>
        <w:pStyle w:val="Heading6"/>
      </w:pPr>
      <w:r w:rsidRPr="00544646">
        <w:t xml:space="preserve">Long-term </w:t>
      </w:r>
      <w:r w:rsidR="004E6042">
        <w:t>Study</w:t>
      </w:r>
      <w:r w:rsidR="002D2383">
        <w:t xml:space="preserve"> 105</w:t>
      </w:r>
    </w:p>
    <w:p w:rsidR="00544646" w:rsidRDefault="00544646" w:rsidP="00544646">
      <w:r w:rsidRPr="00544646">
        <w:t>There was a lower incidence of AEs in subjects who recei</w:t>
      </w:r>
      <w:r w:rsidR="002D2383">
        <w:t>ved active treatment in Studies </w:t>
      </w:r>
      <w:r w:rsidRPr="00544646">
        <w:t>103/104 compared with subjects who received placebo in Studies 103/104: 81.4% in the LUM 600 mg qd/IVA 250 mg q12h compared with 90.4% in the placebo/LUM 600 mg qd/IVA 250 mg q12h group; 82.1% in the LUM 400 mg q12h/IVA 250 mg q12h group compared with 88.1% in the placebo/LUM 400 mg q12h/IVA 250 mg q12h group. Overall, the most common AEs (</w:t>
      </w:r>
      <w:r w:rsidR="00A91223">
        <w:t xml:space="preserve">≥ </w:t>
      </w:r>
      <w:r w:rsidRPr="00544646">
        <w:t>15% overall) were infective pulmonary exacerbation of CF (28.9% of subjects) and cough (20.8% of subjects). AEs that had more than a 5% difference between the LUM 600 mg qd/IVA 250 mg q12h group and placebo/LUM 600 mg qd/IVA 250 mg q12h group were cough and respiration abnormal. Both of these adverse events had higher incidence in the placebo/LUM 600 mg qd/IVA 250 mg q12h group. The only AE that had more than a 5% difference between the LUM 400 mg q12h/IVA 250 mg q12h group and placebo/LUM 400 mg q12h/IVA 250 mg q12h group was dyspnoea, which had higher incidence in the placebo/LUM 400 mg q12h/IVA 250 mg q12h group (</w:t>
      </w:r>
      <w:r w:rsidRPr="00FF1BE0">
        <w:t>Table</w:t>
      </w:r>
      <w:r w:rsidR="00D166EB">
        <w:t xml:space="preserve"> 52</w:t>
      </w:r>
      <w:r w:rsidRPr="00544646">
        <w:t>). Overall, in the Current Study Period the majority of subjects across the treatment groups had AEs that were mild or moderate in severity (mild: 35.2% and moderate: 39.6%). There was a similar incidence of severe AEs in all 4 groups (range: 7.1% to 11.4%). There</w:t>
      </w:r>
      <w:r>
        <w:t xml:space="preserve"> </w:t>
      </w:r>
      <w:r w:rsidRPr="00544646">
        <w:t>were</w:t>
      </w:r>
      <w:r w:rsidR="002D2383">
        <w:t xml:space="preserve"> 2 (0.2%) subjects who had life </w:t>
      </w:r>
      <w:r w:rsidRPr="00544646">
        <w:t>threatening events: 1 subject in the LUM 400 mg q12h/IVA 250 mg q12h group had 2</w:t>
      </w:r>
      <w:r w:rsidR="002D2383">
        <w:t xml:space="preserve"> life </w:t>
      </w:r>
      <w:r w:rsidRPr="00544646">
        <w:t>threatening SAEs (infective pulmonary exacerbation of cystic fibrosis with subsequent fatal respiratory failure) and 1 subject in the LUM 600 mg qd/IVA 250 mg q</w:t>
      </w:r>
      <w:r w:rsidR="002D2383">
        <w:t>12h group (haemolytic anaemia).</w:t>
      </w:r>
    </w:p>
    <w:p w:rsidR="00FF1BE0" w:rsidRDefault="00D166EB" w:rsidP="00FF1BE0">
      <w:pPr>
        <w:pStyle w:val="Tabletitle"/>
      </w:pPr>
      <w:proofErr w:type="gramStart"/>
      <w:r>
        <w:lastRenderedPageBreak/>
        <w:t>Table 52</w:t>
      </w:r>
      <w:r w:rsidR="00C61640">
        <w:t>.</w:t>
      </w:r>
      <w:proofErr w:type="gramEnd"/>
      <w:r w:rsidR="00FF1BE0">
        <w:t xml:space="preserve"> Adverse events with a frequency of ≥ 5% by preferred term in any treatment by system organ class and preferred term: Study 105 Part A current study period all </w:t>
      </w:r>
      <w:proofErr w:type="gramStart"/>
      <w:r w:rsidR="00FF1BE0">
        <w:t>subjects</w:t>
      </w:r>
      <w:proofErr w:type="gramEnd"/>
      <w:r w:rsidR="00FF1BE0">
        <w:t xml:space="preserve"> safety set</w:t>
      </w:r>
    </w:p>
    <w:p w:rsidR="00FF1BE0" w:rsidRPr="00FF1BE0" w:rsidRDefault="00FF1BE0" w:rsidP="00FF1BE0">
      <w:r>
        <w:rPr>
          <w:noProof/>
          <w:lang w:eastAsia="en-AU"/>
        </w:rPr>
        <w:drawing>
          <wp:inline distT="0" distB="0" distL="0" distR="0" wp14:anchorId="7622E076" wp14:editId="330A0721">
            <wp:extent cx="5731510" cy="7027223"/>
            <wp:effectExtent l="0" t="0" r="2540" b="2540"/>
            <wp:docPr id="71" name="Picture 71" descr="Table 52 Adverse events with a frequency of ≥ 5% by preferred term in any treatment by system organ class and preferred term: Study 105 Part A current study period all subjects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731510" cy="7027223"/>
                    </a:xfrm>
                    <a:prstGeom prst="rect">
                      <a:avLst/>
                    </a:prstGeom>
                  </pic:spPr>
                </pic:pic>
              </a:graphicData>
            </a:graphic>
          </wp:inline>
        </w:drawing>
      </w:r>
    </w:p>
    <w:p w:rsidR="00544646" w:rsidRPr="00544646" w:rsidRDefault="00544646" w:rsidP="00544646">
      <w:r w:rsidRPr="00544646">
        <w:t xml:space="preserve">In the Long-Term Safety Set, the overall incidence of AEs was lower during the Uncontrolled Study Period in </w:t>
      </w:r>
      <w:r w:rsidR="004E6042">
        <w:t>Study</w:t>
      </w:r>
      <w:r w:rsidRPr="00544646">
        <w:t xml:space="preserve"> 105 (88.8%) compared with the </w:t>
      </w:r>
      <w:r w:rsidR="003C1B2B">
        <w:t>Placebo controlled</w:t>
      </w:r>
      <w:r w:rsidRPr="00544646">
        <w:t xml:space="preserve"> Study Per</w:t>
      </w:r>
      <w:r w:rsidR="00FF1BE0">
        <w:t>iod in Studies 103/104 (96.6%)</w:t>
      </w:r>
      <w:r w:rsidRPr="00544646">
        <w:t>. The most common AEs (</w:t>
      </w:r>
      <w:r w:rsidR="00A91223">
        <w:t xml:space="preserve">≥ </w:t>
      </w:r>
      <w:r w:rsidRPr="00544646">
        <w:t>25% in any treatment group in the overall period) were infective pulmonary exacerbation of CF, cough, oropharyngeal pain, dyspnoea, nasal congestion, and respiration abnormal). These AEs were mostly expected manifestations of CF disease. By PT, the incidence of all AEs was lower or similar (</w:t>
      </w:r>
      <w:r w:rsidR="00511EB7">
        <w:t xml:space="preserve">&lt; </w:t>
      </w:r>
      <w:r w:rsidRPr="00544646">
        <w:t xml:space="preserve">4% higher) in the </w:t>
      </w:r>
      <w:r w:rsidRPr="00544646">
        <w:lastRenderedPageBreak/>
        <w:t xml:space="preserve">Uncontrolled Study Period compared with </w:t>
      </w:r>
      <w:r w:rsidR="003C1B2B">
        <w:t>Placebo controlled</w:t>
      </w:r>
      <w:r w:rsidRPr="00544646">
        <w:t xml:space="preserve"> Study Period. Overall, the majority of subjects across the treatment groups had adverse events that were mild or moderate in severity (mild: 23.3% and moderate: 55.2%). None of the subjec</w:t>
      </w:r>
      <w:r w:rsidR="002D2383">
        <w:t>ts had life-threatening events.</w:t>
      </w:r>
    </w:p>
    <w:p w:rsidR="00544646" w:rsidRPr="00544646" w:rsidRDefault="00544646" w:rsidP="00544646">
      <w:r w:rsidRPr="00544646">
        <w:t xml:space="preserve">Based on data available at this interim analysis from Part B Current Study Period (which included subjects who were heterozygous for the F508del-CFTR mutation), lumacaftor 400 mg q12h in combination with ivacaftor 250 mg q12h was well tolerated with continued treatment. The incidence of AEs in the LUM 400 mg q12h/IVA 250 mg q12h group (85.5%) and placebo/LUM 400 mg q12h/IVA 250 mg q12h group (80%) was similar. The most common AEs (those occurring in </w:t>
      </w:r>
      <w:r w:rsidR="00A91223">
        <w:t xml:space="preserve">≥ </w:t>
      </w:r>
      <w:r w:rsidRPr="00544646">
        <w:t>15% of subjects in any treatment group) were infective pulmonary exacerbation of CF, cough, respiration abnormal, sputum incre</w:t>
      </w:r>
      <w:r w:rsidR="002D2383">
        <w:t>ased, haemoptysis and dyspnoea.</w:t>
      </w:r>
    </w:p>
    <w:p w:rsidR="002D2383" w:rsidRDefault="00511EB7" w:rsidP="002D2383">
      <w:pPr>
        <w:pStyle w:val="Heading6"/>
      </w:pPr>
      <w:r>
        <w:t>Phase I</w:t>
      </w:r>
      <w:r w:rsidR="002D2383">
        <w:t xml:space="preserve"> pooled studies</w:t>
      </w:r>
    </w:p>
    <w:p w:rsidR="00544646" w:rsidRPr="00544646" w:rsidRDefault="00544646" w:rsidP="00544646">
      <w:r w:rsidRPr="00544646">
        <w:t xml:space="preserve">Of the 173 healthy subjects in the LUM/IVA group, 95 subjects (54.9%) had at least 1 AE. Of the 47 subjects in the placebo group, 27 subjects (57.4%) had at least 1 AE. The most common AEs occurring in at least 5% of subjects in the LUM/IVA group were diarrhoea (17.3%), headache (7.5%), and cough (6.9%). AEs occurring in </w:t>
      </w:r>
      <w:r w:rsidR="00A91223">
        <w:t xml:space="preserve">≥ </w:t>
      </w:r>
      <w:r w:rsidRPr="00544646">
        <w:t xml:space="preserve">3% higher incidence in the LUM/IVA group compared with the placebo group were diarrhoea (17.3% and 6.4%) and cough (6.9% and 0%). AEs occurring in </w:t>
      </w:r>
      <w:r w:rsidR="00A91223">
        <w:t xml:space="preserve">≥ </w:t>
      </w:r>
      <w:r w:rsidRPr="00544646">
        <w:t>3% higher incidence in the placebo group compared with the LUM/IVA group were headache (23.4% and 7.5%), abdominal pain (8.5% and 2.9%), pain in extremity (4.3% and 0.6%) and nausea (10.6% and 1.7%). The majority of AEs</w:t>
      </w:r>
      <w:r>
        <w:t xml:space="preserve"> </w:t>
      </w:r>
      <w:r w:rsidRPr="00544646">
        <w:t xml:space="preserve">were mild or moderate in severity. Of the 95 subjects in the LUM/IVA group who had an AE 1 subject (0.6%) had a severe AE (diarrhoea). Of the 27 subjects in the placebo group who had an AE, 1 subject (2.1%) had a severe AE (diarrhoea). No subjects in the LUM/IVA, LUM/IVA DDI, or placebo groups had a life-threatening AE. Overall, 4 (1.3%) subjects had a Grade 3 or 4 AE. One subject (0.6%) in the LUM/IVA group and 1 subject (2.1%) in the placebo group had a severe AE of diarrhoea. Other Grade 3 or 4 AEs that occurred during the pooled </w:t>
      </w:r>
      <w:r w:rsidR="00511EB7">
        <w:t>Phase I</w:t>
      </w:r>
      <w:r w:rsidRPr="00544646">
        <w:t xml:space="preserve"> studies were lipase increased and rhabdomyolysis</w:t>
      </w:r>
      <w:r w:rsidR="002D2383">
        <w:t>.</w:t>
      </w:r>
    </w:p>
    <w:p w:rsidR="002D2383" w:rsidRDefault="002D2383" w:rsidP="002D2383">
      <w:pPr>
        <w:pStyle w:val="Heading6"/>
      </w:pPr>
      <w:r>
        <w:t>Other studies</w:t>
      </w:r>
    </w:p>
    <w:p w:rsidR="00544646" w:rsidRPr="00544646" w:rsidRDefault="00544646" w:rsidP="00544646">
      <w:r w:rsidRPr="00544646">
        <w:t xml:space="preserve">Study 101 is a completed, </w:t>
      </w:r>
      <w:r w:rsidR="00980975">
        <w:t>Phase II</w:t>
      </w:r>
      <w:r w:rsidRPr="00544646">
        <w:t xml:space="preserve">a, </w:t>
      </w:r>
      <w:r w:rsidR="003C1B2B">
        <w:t>multiple dose</w:t>
      </w:r>
      <w:r w:rsidRPr="00544646">
        <w:t xml:space="preserve"> (25, 50, 100, or 200 mg qd of lumacaftor or placebo) study evaluating lumacaftor monotherapy for 28 days in subjects with CF who are homozygous for the F508del-CFTR mutation. Overall, lumacaftor was well tolerated at doses of 25, 50, 100, or 200 mg for 28 days. The AEs observed were typical manifestations of CF and most AEs were considered mild or moderate in severity. Study 102 was a </w:t>
      </w:r>
      <w:r w:rsidR="003C1B2B">
        <w:t>double blind</w:t>
      </w:r>
      <w:r w:rsidRPr="00544646">
        <w:t>, random</w:t>
      </w:r>
      <w:r w:rsidR="002D7E74">
        <w:t>ise</w:t>
      </w:r>
      <w:r w:rsidRPr="00544646">
        <w:t xml:space="preserve">d, </w:t>
      </w:r>
      <w:r w:rsidR="003C1B2B">
        <w:t>placebo controlled</w:t>
      </w:r>
      <w:r w:rsidRPr="00544646">
        <w:t xml:space="preserve">, </w:t>
      </w:r>
      <w:r w:rsidR="003C1B2B">
        <w:t>multiple dose</w:t>
      </w:r>
      <w:r w:rsidRPr="00544646">
        <w:t xml:space="preserve">, </w:t>
      </w:r>
      <w:r w:rsidR="003C1B2B">
        <w:t>dose finding</w:t>
      </w:r>
      <w:r w:rsidRPr="00544646">
        <w:t xml:space="preserve">, </w:t>
      </w:r>
      <w:r w:rsidR="00980975">
        <w:t>Phase II</w:t>
      </w:r>
      <w:r w:rsidRPr="00544646">
        <w:t xml:space="preserve"> study evaluating lumacaftor monotherapy and lumacaftor and ivacaftor combination therapy in subjects with CF who are homozygous (Cohorts 1 to 3) or heterozygous (Cohorts 2 and 4) for the F508del-CFTR mutation. Subjects enrolled in Cohorts 1 to 3 received placebo or lumacaftor monotherapy followed by lumacaftor in combination with ivacaftor. Subjects enrolled in Cohort 4 received placebo or lumacaftor in combination with ivacaftor. Safety results from this study </w:t>
      </w:r>
      <w:r w:rsidR="00FF1BE0">
        <w:t>were provided.</w:t>
      </w:r>
    </w:p>
    <w:p w:rsidR="00963298" w:rsidRPr="00544646" w:rsidRDefault="00544646" w:rsidP="00544646">
      <w:r w:rsidRPr="00544646">
        <w:t>St</w:t>
      </w:r>
      <w:r w:rsidR="002D2383">
        <w:t xml:space="preserve">udy 011 was an open label, 2 </w:t>
      </w:r>
      <w:r w:rsidRPr="00544646">
        <w:t xml:space="preserve">part study designed to evaluate the PK, safety, tolerability, and efficacy of lumacaftor in combination with ivacaftor in subjects 6 through 11 years of age with CF who were homozygous for the F508del-CFTR mutation. Data from Part A (a </w:t>
      </w:r>
      <w:r w:rsidR="00511EB7">
        <w:t>Phase I</w:t>
      </w:r>
      <w:r w:rsidRPr="00544646">
        <w:t xml:space="preserve"> study in subjects aged 6 to 11 years old) </w:t>
      </w:r>
      <w:r w:rsidR="0034106B">
        <w:t>were</w:t>
      </w:r>
      <w:r w:rsidRPr="00544646">
        <w:t xml:space="preserve"> provided. Part B (a </w:t>
      </w:r>
      <w:r w:rsidR="00511EB7">
        <w:t>Phase III</w:t>
      </w:r>
      <w:r w:rsidRPr="00544646">
        <w:t xml:space="preserve"> study) is ongoing and data was not provided in this submission.</w:t>
      </w:r>
    </w:p>
    <w:p w:rsidR="00544646" w:rsidRPr="00544646" w:rsidRDefault="00544646" w:rsidP="00544646">
      <w:pPr>
        <w:pStyle w:val="Heading4"/>
      </w:pPr>
      <w:r w:rsidRPr="00544646">
        <w:t xml:space="preserve">Treatment-related adverse </w:t>
      </w:r>
      <w:r w:rsidR="002D2383">
        <w:t>events (adverse drug reactions)</w:t>
      </w:r>
    </w:p>
    <w:p w:rsidR="00544646" w:rsidRPr="00544646" w:rsidRDefault="002D2383" w:rsidP="00544646">
      <w:pPr>
        <w:pStyle w:val="Heading5"/>
      </w:pPr>
      <w:r>
        <w:t>Pivotal studies</w:t>
      </w:r>
    </w:p>
    <w:p w:rsidR="00544646" w:rsidRPr="00544646" w:rsidRDefault="00544646" w:rsidP="00544646">
      <w:r w:rsidRPr="00544646">
        <w:t>The incidence of treatment-related AEs was higher in the total LUM/IVA group (48.0%) compared with the placebo gro</w:t>
      </w:r>
      <w:r w:rsidR="002D2383">
        <w:t>up (34.9%).</w:t>
      </w:r>
    </w:p>
    <w:p w:rsidR="00544646" w:rsidRPr="00544646" w:rsidRDefault="002D2383" w:rsidP="00544646">
      <w:pPr>
        <w:pStyle w:val="Heading5"/>
      </w:pPr>
      <w:r>
        <w:lastRenderedPageBreak/>
        <w:t>Other studies</w:t>
      </w:r>
    </w:p>
    <w:p w:rsidR="00544646" w:rsidRPr="00544646" w:rsidRDefault="002D2383" w:rsidP="00544646">
      <w:pPr>
        <w:pStyle w:val="Heading6"/>
      </w:pPr>
      <w:r>
        <w:t>Study 105</w:t>
      </w:r>
    </w:p>
    <w:p w:rsidR="00544646" w:rsidRPr="00544646" w:rsidRDefault="00511EB7" w:rsidP="00544646">
      <w:r>
        <w:t>Phase I</w:t>
      </w:r>
      <w:r w:rsidR="00544646" w:rsidRPr="00544646">
        <w:t xml:space="preserve"> pooled studies: Of the 95 subjects in the LUM/IVA group who had an AE, 5 subjects (2.9%) had an AE considered to be related to study drug, and 52 subjects (30.1%) had an AE considered to be possibly related to study drug. Of the 27 subjects in the placebo group who had an AE, 3 subjects (6.4%) had an AE considered to be related to study drug, and 12 subjects (25.5%) had an AE considered to be possibly</w:t>
      </w:r>
      <w:r w:rsidR="0034106B">
        <w:t xml:space="preserve"> related to study drug</w:t>
      </w:r>
      <w:r w:rsidR="002D2383">
        <w:t>.</w:t>
      </w:r>
    </w:p>
    <w:p w:rsidR="00544646" w:rsidRPr="00544646" w:rsidRDefault="00544646" w:rsidP="00544646">
      <w:pPr>
        <w:pStyle w:val="Heading4"/>
      </w:pPr>
      <w:r w:rsidRPr="00544646">
        <w:t>Deaths a</w:t>
      </w:r>
      <w:r w:rsidR="002A0FB0">
        <w:t>nd other serious adverse events</w:t>
      </w:r>
    </w:p>
    <w:p w:rsidR="00544646" w:rsidRPr="00544646" w:rsidRDefault="002A0FB0" w:rsidP="00544646">
      <w:pPr>
        <w:pStyle w:val="Heading5"/>
      </w:pPr>
      <w:r>
        <w:t>Pivotal studies</w:t>
      </w:r>
    </w:p>
    <w:p w:rsidR="009A2A14" w:rsidRDefault="00544646" w:rsidP="00544646">
      <w:r w:rsidRPr="0034106B">
        <w:t>There were no deaths</w:t>
      </w:r>
      <w:r w:rsidR="003A21E2" w:rsidRPr="0034106B">
        <w:rPr>
          <w:vertAlign w:val="superscript"/>
        </w:rPr>
        <w:footnoteReference w:id="24"/>
      </w:r>
      <w:r w:rsidR="00537390">
        <w:t xml:space="preserve"> </w:t>
      </w:r>
      <w:r w:rsidR="0034106B" w:rsidRPr="0034106B">
        <w:t xml:space="preserve">in the pooled placebo controlled Phase III studies. The incidence of SAEs </w:t>
      </w:r>
      <w:r w:rsidR="0034106B" w:rsidRPr="009A2A14">
        <w:t>was</w:t>
      </w:r>
      <w:r w:rsidR="009A2A14" w:rsidRPr="009A2A14">
        <w:t xml:space="preserve"> lower in the total LUM/IVA group (20.1%) compared with the placebo group (28.6%). The incidence of related SAEs was similar in the placebo (2.2%) and total LUM/IVA group (3.0%). A lower percentage of subjects had SAEs in the LUM 400 mg q12h/ IVA 250 mg q12h group (17.3%) compared with the LUM 600 mg qd/IVA 250 mg q12h group (22.8%), but both active groups had lower inciden</w:t>
      </w:r>
      <w:r w:rsidR="009A2A14">
        <w:t xml:space="preserve">ce than placebo. </w:t>
      </w:r>
      <w:r w:rsidR="0034106B" w:rsidRPr="0034106B">
        <w:t xml:space="preserve">The most common SAE (at least 10% incidence) in any treatment group was infective pulmonary exacerbation of CF. </w:t>
      </w:r>
      <w:proofErr w:type="gramStart"/>
      <w:r w:rsidR="0034106B" w:rsidRPr="0034106B">
        <w:t>The</w:t>
      </w:r>
      <w:proofErr w:type="gramEnd"/>
      <w:r w:rsidR="0034106B" w:rsidRPr="0034106B">
        <w:t xml:space="preserve"> incidence of this SAE was lower in the total LUM/IVA group (13.0%) compared with the placebo group (24.1%). The only other SAEs that occurred in more than 2 subjects in any treatment group were haemoptysis and distal intestinal obstruction syndrome, both of which occurred in the placebo and LUM/IVA groups</w:t>
      </w:r>
      <w:r w:rsidR="009A2A14">
        <w:t xml:space="preserve">. </w:t>
      </w:r>
      <w:r w:rsidRPr="00544646">
        <w:t xml:space="preserve">Related SAEs that occurred in 2 or more subjects overall were: blood CPK increased (total LUM/IVA </w:t>
      </w:r>
      <w:r w:rsidR="001C171F">
        <w:t>versus</w:t>
      </w:r>
      <w:r w:rsidRPr="00544646">
        <w:t xml:space="preserve"> placebo: 0.3% </w:t>
      </w:r>
      <w:r w:rsidR="001C171F">
        <w:t>versus</w:t>
      </w:r>
      <w:r w:rsidRPr="00544646">
        <w:t xml:space="preserve"> 0%), liver function test abnormal (0.3% </w:t>
      </w:r>
      <w:r w:rsidR="001C171F">
        <w:t>versus</w:t>
      </w:r>
      <w:r w:rsidRPr="00544646">
        <w:t xml:space="preserve"> 0%), bronchospasm (0.3% </w:t>
      </w:r>
      <w:r w:rsidR="001C171F">
        <w:t>versus</w:t>
      </w:r>
      <w:r w:rsidRPr="00544646">
        <w:t xml:space="preserve"> 0%), haemoptysis (0.3% </w:t>
      </w:r>
      <w:r w:rsidR="001C171F">
        <w:t>versus</w:t>
      </w:r>
      <w:r w:rsidRPr="00544646">
        <w:t xml:space="preserve">. 0.5%), infective pulmonary exacerbation of cystic fibrosis (0.1% </w:t>
      </w:r>
      <w:r w:rsidR="001C171F">
        <w:t>versus</w:t>
      </w:r>
      <w:r w:rsidRPr="00544646">
        <w:t xml:space="preserve">. 1.1%), nephrolithiasis (0.3% </w:t>
      </w:r>
      <w:r w:rsidR="001C171F">
        <w:t>versus</w:t>
      </w:r>
      <w:r w:rsidRPr="00544646">
        <w:t xml:space="preserve">. 0%), and rash (0.3% </w:t>
      </w:r>
      <w:r w:rsidR="001C171F">
        <w:t>versus</w:t>
      </w:r>
      <w:r w:rsidR="009A2A14">
        <w:t>. 0%).</w:t>
      </w:r>
    </w:p>
    <w:p w:rsidR="00963298" w:rsidRPr="00544646" w:rsidRDefault="00544646" w:rsidP="003A21E2">
      <w:pPr>
        <w:pStyle w:val="Heading5"/>
      </w:pPr>
      <w:r w:rsidRPr="00544646">
        <w:t>Other studies</w:t>
      </w:r>
    </w:p>
    <w:p w:rsidR="003A21E2" w:rsidRDefault="003A21E2" w:rsidP="003A21E2">
      <w:pPr>
        <w:pStyle w:val="Heading6"/>
      </w:pPr>
      <w:r w:rsidRPr="003A21E2">
        <w:t xml:space="preserve">Long-term </w:t>
      </w:r>
      <w:r w:rsidR="004E6042">
        <w:t>Study</w:t>
      </w:r>
      <w:r w:rsidR="00FF456B">
        <w:t xml:space="preserve"> 105</w:t>
      </w:r>
    </w:p>
    <w:p w:rsidR="003A21E2" w:rsidRPr="003A21E2" w:rsidRDefault="003A21E2" w:rsidP="003A21E2">
      <w:r w:rsidRPr="003A21E2">
        <w:t>As of the data snapshot date, 1 death has b</w:t>
      </w:r>
      <w:r w:rsidR="00FF456B">
        <w:t xml:space="preserve">een reported in Study 105. A 24 </w:t>
      </w:r>
      <w:r w:rsidRPr="003A21E2">
        <w:t>year old female in the LUM 400 mg q12h/IVA 250 mg q12h group (in parent and current study) died due to respiratory failure</w:t>
      </w:r>
      <w:r w:rsidR="002C65F4">
        <w:t>.</w:t>
      </w:r>
      <w:r>
        <w:rPr>
          <w:rStyle w:val="FootnoteReference"/>
        </w:rPr>
        <w:footnoteReference w:id="25"/>
      </w:r>
    </w:p>
    <w:p w:rsidR="003A21E2" w:rsidRPr="003A21E2" w:rsidRDefault="003A21E2" w:rsidP="003A21E2">
      <w:r w:rsidRPr="003A21E2">
        <w:t xml:space="preserve">A total of 168 (16.4%) subjects had at least 1 SAE in Part </w:t>
      </w:r>
      <w:proofErr w:type="gramStart"/>
      <w:r w:rsidRPr="003A21E2">
        <w:t>A</w:t>
      </w:r>
      <w:proofErr w:type="gramEnd"/>
      <w:r w:rsidRPr="003A21E2">
        <w:t xml:space="preserve"> Current Study Period. The incidence of subjects with SAEs was similar across all 4 treatment groups (range: 15.3% to 19.9%). The most common SAE (</w:t>
      </w:r>
      <w:r w:rsidR="00A91223">
        <w:t xml:space="preserve">≥ </w:t>
      </w:r>
      <w:r w:rsidRPr="003A21E2">
        <w:t xml:space="preserve">10% overall) was infective pulmonary exacerbation of CF, which had a similar incidence in all 4 groups (range: 10.2% to 12.4%). SAEs </w:t>
      </w:r>
      <w:r w:rsidR="008125B9">
        <w:t>which</w:t>
      </w:r>
      <w:r w:rsidR="008125B9" w:rsidRPr="003A21E2">
        <w:t xml:space="preserve"> </w:t>
      </w:r>
      <w:r w:rsidRPr="003A21E2">
        <w:t>occurred in more than 2 subjects overall included</w:t>
      </w:r>
      <w:r w:rsidR="00EE1C1E">
        <w:t>;</w:t>
      </w:r>
      <w:r w:rsidRPr="003A21E2">
        <w:t xml:space="preserve"> haemoptysis (7 subjects), distal intestinal obstruction syndrome (6 subjects), small intestinal obstruction (5 subjects), pneumonia (4 subjects), respiration abnormal (3 subjects) and CF</w:t>
      </w:r>
      <w:r w:rsidR="00EE1C1E">
        <w:t>-related diabetes (3 subjects).</w:t>
      </w:r>
    </w:p>
    <w:p w:rsidR="003A21E2" w:rsidRPr="003A21E2" w:rsidRDefault="003A21E2" w:rsidP="003A21E2">
      <w:r w:rsidRPr="003A21E2">
        <w:t xml:space="preserve">In the Long-Term Safety Set, the overall incidence of SAEs was similar during the </w:t>
      </w:r>
      <w:r w:rsidR="003C1B2B">
        <w:t>Placebo controlled</w:t>
      </w:r>
      <w:r w:rsidRPr="003A21E2">
        <w:t xml:space="preserve"> Study Period in Studies 103/104 (12.9%) and the Uncontrolled Stu</w:t>
      </w:r>
      <w:r w:rsidR="00EE1C1E">
        <w:t>dy Period (14.7%) in Study 105.</w:t>
      </w:r>
    </w:p>
    <w:p w:rsidR="003A21E2" w:rsidRDefault="00511EB7" w:rsidP="003A21E2">
      <w:pPr>
        <w:pStyle w:val="Heading6"/>
      </w:pPr>
      <w:r>
        <w:lastRenderedPageBreak/>
        <w:t>Phase I</w:t>
      </w:r>
      <w:r w:rsidR="00EE1C1E">
        <w:t xml:space="preserve"> pooled studies</w:t>
      </w:r>
    </w:p>
    <w:p w:rsidR="00963298" w:rsidRPr="003A21E2" w:rsidRDefault="003A21E2" w:rsidP="003A21E2">
      <w:r w:rsidRPr="003A21E2">
        <w:t>There were no deaths and no subjects in the LUM/IVA or placebo groups had SAEs. One subject (0.3%) in the LUM monotherapy group had an SAE of rhabdomyolysis that was considered to be possibly related to study drug.</w:t>
      </w:r>
    </w:p>
    <w:p w:rsidR="003A21E2" w:rsidRPr="009D71D1" w:rsidRDefault="003A21E2" w:rsidP="009D71D1">
      <w:pPr>
        <w:pStyle w:val="Heading4"/>
      </w:pPr>
      <w:r w:rsidRPr="009D71D1">
        <w:t>Discon</w:t>
      </w:r>
      <w:r w:rsidR="00693F12">
        <w:t>tinuation due to adverse events</w:t>
      </w:r>
    </w:p>
    <w:p w:rsidR="003A21E2" w:rsidRPr="009D71D1" w:rsidRDefault="00693F12" w:rsidP="009D71D1">
      <w:pPr>
        <w:pStyle w:val="Heading5"/>
      </w:pPr>
      <w:r>
        <w:t>Pivotal studies</w:t>
      </w:r>
    </w:p>
    <w:p w:rsidR="003A21E2" w:rsidRPr="009D71D1" w:rsidRDefault="003A21E2" w:rsidP="009D71D1">
      <w:r w:rsidRPr="009D71D1">
        <w:t>A higher percentage of subjects discontinued treatment due to AEs in the total LUM/IVA group (4.2%) compared with the placebo group (1.6%). The most common AEs (at least 2 subjects in any treatment group) that led to discontinuation of study drug were haemoptysis (2 subjects in the placebo group and 3 subjects in the LUM 400 mg q12h/IVA 250 mg q12h group) and blood creatine phosphokinase increased (4 subjects in the LUM 400 mg q12h/IVA 250 mg q12h group). Other AEs that led to discontinuation of study drug in at least 2 subjects overall were bronchospasm, dyspnoea, infective pulmonary exacerbation of CF and rash</w:t>
      </w:r>
      <w:r w:rsidR="00693F12">
        <w:t>.</w:t>
      </w:r>
    </w:p>
    <w:p w:rsidR="003A21E2" w:rsidRPr="009D71D1" w:rsidRDefault="003A21E2" w:rsidP="009D71D1">
      <w:r w:rsidRPr="009D71D1">
        <w:t>The incidence of AEs leading to treatment interruption was similar in the total LUM/IVA group (5.7%) and placebo group (6.8%). The most common AEs (at least 2 subjects in any treatment group) that led to interruption of study drug were infective pulmonary exacerbation of CF, vomiting, distal intestinal obstruction syndrome, nausea, constipation, alanine aminotransferase increased, aspartate aminotransferase increased, blood creatinine phosphokinase increased, haemoptysis, rash and headache. The only AE that led to treatment interruption with a difference of at least 1% in any treatment group was infective pulmonary exacerbation of CF, which had an incidence of 2.2% in the placebo group and 1.1% in the total LUM/IVA group. There were no clinically meaningful differences in AE incidence leading to study drug interruption in the LUM 600 mg qd/IVA 250 mg q12h group and the LUM 400 mg q12h/ IVA 250 mg q12h group</w:t>
      </w:r>
      <w:r w:rsidR="00693F12">
        <w:t>.</w:t>
      </w:r>
    </w:p>
    <w:p w:rsidR="003A21E2" w:rsidRPr="009D71D1" w:rsidRDefault="00693F12" w:rsidP="009D71D1">
      <w:pPr>
        <w:pStyle w:val="Heading5"/>
      </w:pPr>
      <w:r>
        <w:t>Other studies</w:t>
      </w:r>
    </w:p>
    <w:p w:rsidR="009D71D1" w:rsidRDefault="003A21E2" w:rsidP="009D71D1">
      <w:pPr>
        <w:pStyle w:val="Heading6"/>
      </w:pPr>
      <w:r w:rsidRPr="009D71D1">
        <w:t xml:space="preserve">Long-term </w:t>
      </w:r>
      <w:r w:rsidR="004E6042">
        <w:t>Study</w:t>
      </w:r>
      <w:r w:rsidR="00693F12">
        <w:t xml:space="preserve"> 105</w:t>
      </w:r>
    </w:p>
    <w:p w:rsidR="00963298" w:rsidRPr="00AB047C" w:rsidRDefault="003A21E2" w:rsidP="00AB047C">
      <w:r w:rsidRPr="00AB047C">
        <w:t>The incidence of AEs leading to treatment discontinuation was higher in subjects who received active treatment in Studies 103/104 compared with subjects who received placebo in Studies 103/104: 4.5% in the placebo/LUM 600 mg qd/IVA 250 mg q12h group compared with 2.1% in the LUM 600 mg qd/IVA 250 mg q12h group; 4.0% in the placebo/LUM 400 mg q12h/IVA 250 mg q12h group compared with 1.8% in the LUM 400 mg q12h/IVA 250 mg q12h group. The most common AEs (those occurring in at least 2 subjects) leading to treatment discontinuation during treatment were dyspnoea (7 subjects), respiration abnormal (5 subjects), infective pulmonary exacerbation of cystic fibrosis (4 subjects) and blood creatine phosphokinase increased (3 subjects).</w:t>
      </w:r>
    </w:p>
    <w:p w:rsidR="00AB047C" w:rsidRDefault="00511EB7" w:rsidP="00AB047C">
      <w:pPr>
        <w:pStyle w:val="Heading6"/>
      </w:pPr>
      <w:r>
        <w:t>Phase I</w:t>
      </w:r>
      <w:r w:rsidR="00693F12">
        <w:t xml:space="preserve"> pooled studies</w:t>
      </w:r>
    </w:p>
    <w:p w:rsidR="00AB047C" w:rsidRPr="00AB047C" w:rsidRDefault="00AB047C" w:rsidP="00AB047C">
      <w:r w:rsidRPr="00AB047C">
        <w:t>Overall, 7 (2.2%) subjects had an AE leading to treatment discontinuation including 1 subject in the LUM/IVA group for influenza and 1 subject in the placebo group for ALT</w:t>
      </w:r>
      <w:r w:rsidR="00927BD8">
        <w:t xml:space="preserve"> increased.</w:t>
      </w:r>
    </w:p>
    <w:p w:rsidR="00AB047C" w:rsidRPr="00AB047C" w:rsidRDefault="00693F12" w:rsidP="00AB047C">
      <w:pPr>
        <w:pStyle w:val="Heading3"/>
      </w:pPr>
      <w:bookmarkStart w:id="35" w:name="_Toc461121058"/>
      <w:r>
        <w:t>Laboratory tests</w:t>
      </w:r>
      <w:bookmarkEnd w:id="35"/>
    </w:p>
    <w:p w:rsidR="00AB047C" w:rsidRPr="00AB047C" w:rsidRDefault="00693F12" w:rsidP="00AB047C">
      <w:pPr>
        <w:pStyle w:val="Heading4"/>
      </w:pPr>
      <w:r>
        <w:t>Liver function</w:t>
      </w:r>
    </w:p>
    <w:p w:rsidR="00AB047C" w:rsidRPr="00AB047C" w:rsidRDefault="00693F12" w:rsidP="00AB047C">
      <w:pPr>
        <w:pStyle w:val="Heading5"/>
      </w:pPr>
      <w:r>
        <w:t>Pivotal studies</w:t>
      </w:r>
    </w:p>
    <w:p w:rsidR="00AB047C" w:rsidRPr="00AB047C" w:rsidRDefault="00AB047C" w:rsidP="00AB047C">
      <w:r w:rsidRPr="00AB047C">
        <w:t xml:space="preserve">In pivotal </w:t>
      </w:r>
      <w:r w:rsidR="004E6042">
        <w:t>Study</w:t>
      </w:r>
      <w:r w:rsidRPr="00AB047C">
        <w:t xml:space="preserve"> 103, as a result of safety findings reported in CIOMS AE-2013-011098 (dated 21 January 2014), an ad hoc DMC safety review was requested by Vertex, and the protocol was amended to Version 3.0 to include additional mandatory testing to monitor the safety of liver function. Following the ad hoc DMC safety review, it was recommended that the study could </w:t>
      </w:r>
      <w:r w:rsidRPr="00AB047C">
        <w:lastRenderedPageBreak/>
        <w:t>continue with monitoring of LFTs every 4 weeks as implemented in the protocol. Subjects with history of any comorbidity that, in the opinion of the investigator, might confound the results of the study or pose an additional risk in administering study drug to the subject (</w:t>
      </w:r>
      <w:r w:rsidR="007138B8">
        <w:t>for example</w:t>
      </w:r>
      <w:r w:rsidRPr="00AB047C">
        <w:t xml:space="preserve">, history of cirrhosis with portal hypertension) and subjects with abnormal liver function, defined as presence of any 3 or more of the following: </w:t>
      </w:r>
      <w:r w:rsidR="00A91223">
        <w:t xml:space="preserve">≥ </w:t>
      </w:r>
      <w:r w:rsidRPr="00AB047C">
        <w:t xml:space="preserve">3 × ULN AST, </w:t>
      </w:r>
      <w:r w:rsidR="00A91223">
        <w:t xml:space="preserve">≥ </w:t>
      </w:r>
      <w:r w:rsidRPr="00AB047C">
        <w:t xml:space="preserve">3 × ULN ALT, </w:t>
      </w:r>
      <w:r w:rsidR="00A91223">
        <w:t xml:space="preserve">≥ </w:t>
      </w:r>
      <w:r w:rsidRPr="00AB047C">
        <w:t xml:space="preserve">3 × ULN gamma glutamyl transferase (GGT), </w:t>
      </w:r>
      <w:r w:rsidR="00A91223">
        <w:t xml:space="preserve">≥ </w:t>
      </w:r>
      <w:r w:rsidRPr="00AB047C">
        <w:t xml:space="preserve">3 × ULN ALP, or </w:t>
      </w:r>
      <w:r w:rsidR="00A91223">
        <w:t xml:space="preserve">≥ </w:t>
      </w:r>
      <w:r w:rsidRPr="00AB047C">
        <w:t>2 × ULN total bilirubin, were</w:t>
      </w:r>
      <w:r w:rsidR="00693F12">
        <w:t xml:space="preserve"> excluded from Studies 103/104.</w:t>
      </w:r>
    </w:p>
    <w:p w:rsidR="00AB047C" w:rsidRPr="00AB047C" w:rsidRDefault="00AB047C" w:rsidP="00AB047C">
      <w:r w:rsidRPr="00AB047C">
        <w:t>The incidence of elevated transaminases or hepatobiliary disorder AEs was similar in the total LUM/IVA group (5.7%) and the placebo group (5.4%). Within the active treatment groups, the incidence was similar between the LUM 600 mg qd/ IVA 250 mg q12h group (5.4%) and the LUM 400 mg q12h/IVA 250 mg q12h group (6.0%). The incidence of AESIs of elevated transaminases was also similar in the total LUM/IVA group (5.1%) and the placebo group (4.6%). The AESIs of elevated transaminases with the highest overall incidence were ALT increased (1.9% in the total LUM/IVA group and 2.4% in the placebo group) and AST increased (2.0% in the total LUM/IVA group and 2.2% in the placebo group). The majority of elevated transaminases or AEs</w:t>
      </w:r>
      <w:r w:rsidR="007553CB">
        <w:t xml:space="preserve"> reflecting </w:t>
      </w:r>
      <w:r w:rsidR="007553CB" w:rsidRPr="00AB047C">
        <w:t>hepatobiliary disorder</w:t>
      </w:r>
      <w:r w:rsidRPr="00AB047C">
        <w:t xml:space="preserve"> were mild or moderate in severity. Five subjects in the total LUM/IVA group (3 subjects in the LUM 600 mg qd/IVA 250 mg q12h group and 2 subjects in the LUM 400 mg q12h/IVA 250 mg q12h group) and 1 subject in the placebo group had elevated transaminases or hepatobiliary disorder AEs that were severe. Overall, 7 subjects (0.9%) in the total LUM/IVA group (4 subjects in the LUM 600 mg qd/IVA 250 mg q12h and 3 subjects in the LUM 400 mg q12h/IVA 250 mg q12h group) had SAEs of elevated transaminases or hepatobiliary disorders. Among these subjects, 4 (0.5%) subjects in the total LUM/IVA group (3 subjects in the LUM 600 mg qd/IVA 250 mg q12h group and 1 subject in the LUM 400 mg q12h/IVA 250 mg q12h group) discontinued treatment due to the SAE. Following discontinuation or interruption of LUM/IVA, liver function tests returned to baseline or improved substantially in all 7 subjects. The median time-to-onset of the first AESI of elevated transaminases was 59 days for the total LUM/IVA group and 61 days for the placebo group. The incidence of AESIs of </w:t>
      </w:r>
      <w:r w:rsidR="00927BD8">
        <w:t xml:space="preserve">elevated transaminases in 8 </w:t>
      </w:r>
      <w:r w:rsidRPr="00AB047C">
        <w:t>week treatment interval was 2.6% in the total LUM/IVA group and 1.9% in the placebo group in the first 8-week interval (</w:t>
      </w:r>
      <w:r w:rsidR="00511EB7">
        <w:t xml:space="preserve">&gt; </w:t>
      </w:r>
      <w:r w:rsidRPr="00AB047C">
        <w:t xml:space="preserve">0 to </w:t>
      </w:r>
      <w:r w:rsidR="00A91223">
        <w:t xml:space="preserve">≤ </w:t>
      </w:r>
      <w:r w:rsidRPr="00AB047C">
        <w:t>8 weeks</w:t>
      </w:r>
      <w:r w:rsidR="00927BD8">
        <w:t xml:space="preserve">) and similar in the next two 8 </w:t>
      </w:r>
      <w:r w:rsidRPr="00AB047C">
        <w:t>week treatment intervals (</w:t>
      </w:r>
      <w:r w:rsidR="00511EB7">
        <w:t xml:space="preserve">&gt; </w:t>
      </w:r>
      <w:r w:rsidRPr="00AB047C">
        <w:t xml:space="preserve">8 to </w:t>
      </w:r>
      <w:r w:rsidR="00A91223">
        <w:t xml:space="preserve">≤ </w:t>
      </w:r>
      <w:r w:rsidRPr="00AB047C">
        <w:t xml:space="preserve">16 weeks and </w:t>
      </w:r>
      <w:r w:rsidR="00511EB7">
        <w:t xml:space="preserve">&gt; </w:t>
      </w:r>
      <w:r w:rsidRPr="00AB047C">
        <w:t xml:space="preserve">16 to </w:t>
      </w:r>
      <w:r w:rsidR="00A91223">
        <w:t xml:space="preserve">≤ </w:t>
      </w:r>
      <w:r w:rsidRPr="00AB047C">
        <w:t>24 weeks). The median duration of events in the total LUM/IVA group was 29 days compared with 22 days for the placebo group</w:t>
      </w:r>
      <w:r w:rsidR="00693F12">
        <w:t>.</w:t>
      </w:r>
    </w:p>
    <w:p w:rsidR="00AB047C" w:rsidRPr="00AB047C" w:rsidRDefault="00AB047C" w:rsidP="00AB047C">
      <w:r w:rsidRPr="00AB047C">
        <w:t>The mean values for transaminases (ALT and AST) and total bilirubin at baseline were similar between the total LUM/IVA group and placebo group. Both the total LUM/IVA group and the placebo had minimal changes from baseline in mean values at Week 24 that were similar in magnitude. Mean ALT values in the LUM 600 mg qd/IVA 250 mg q12h group and LUM 400 mg q12h/IVA 250 mg q12h group increased slightly at Day 15, returned to slightly below baseline values at Week 4, and remained stable around baseline v</w:t>
      </w:r>
      <w:r w:rsidR="00693F12">
        <w:t>alues through Week 24.</w:t>
      </w:r>
    </w:p>
    <w:p w:rsidR="00E9740D" w:rsidRDefault="00AB047C" w:rsidP="00AB047C">
      <w:r w:rsidRPr="00AB047C">
        <w:t>Mean ALT values in the placebo group remained stable around baseline values through Week 24. Mean AST values followed a similar trend, with a slight increase at Day 15, return to baseline values at Week 4, and remaining stable through Week 24 in the 2 active treatment groups. Mean total bilirubin and mean ALP values decreased in both LUM/IVA treatment groups beginning at Day 15, stabil</w:t>
      </w:r>
      <w:r w:rsidR="002D7E74">
        <w:t>ise</w:t>
      </w:r>
      <w:r w:rsidRPr="00AB047C">
        <w:t>d by Week 4, and remained stable below baseline values through Week 24. Mean total bilirubin and ALP values in the placebo group remained stable around baseline values through Week 24 (</w:t>
      </w:r>
      <w:r w:rsidRPr="00E9740D">
        <w:t>Figure</w:t>
      </w:r>
      <w:r w:rsidR="00D166EB">
        <w:t>s</w:t>
      </w:r>
      <w:r w:rsidRPr="00E9740D">
        <w:t xml:space="preserve"> </w:t>
      </w:r>
      <w:r w:rsidR="00D166EB">
        <w:t>19 and 20</w:t>
      </w:r>
      <w:r w:rsidRPr="00AB047C">
        <w:t>).</w:t>
      </w:r>
    </w:p>
    <w:p w:rsidR="00E9740D" w:rsidRDefault="00D166EB" w:rsidP="00E9740D">
      <w:pPr>
        <w:pStyle w:val="FigureTitle"/>
        <w:keepNext/>
      </w:pPr>
      <w:proofErr w:type="gramStart"/>
      <w:r>
        <w:lastRenderedPageBreak/>
        <w:t>Figure 19</w:t>
      </w:r>
      <w:r w:rsidR="00C61640">
        <w:t>.</w:t>
      </w:r>
      <w:proofErr w:type="gramEnd"/>
      <w:r w:rsidR="00E9740D">
        <w:t xml:space="preserve"> Total bilirubin each vi</w:t>
      </w:r>
      <w:r>
        <w:t>sit. Pooled placebo-controlled P</w:t>
      </w:r>
      <w:r w:rsidR="00E9740D">
        <w:t>hase III studies safety set</w:t>
      </w:r>
    </w:p>
    <w:p w:rsidR="00E9740D" w:rsidRPr="00E9740D" w:rsidRDefault="00E9740D" w:rsidP="00E9740D">
      <w:r>
        <w:rPr>
          <w:noProof/>
          <w:lang w:eastAsia="en-AU"/>
        </w:rPr>
        <w:drawing>
          <wp:inline distT="0" distB="0" distL="0" distR="0" wp14:anchorId="22C044FF" wp14:editId="4523B378">
            <wp:extent cx="5033146" cy="3167482"/>
            <wp:effectExtent l="0" t="0" r="0" b="0"/>
            <wp:docPr id="72" name="Picture 72" descr="Figure 19. Total bilirubin each visit. Pooled placebo-controlled Phase III studies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033964" cy="3167997"/>
                    </a:xfrm>
                    <a:prstGeom prst="rect">
                      <a:avLst/>
                    </a:prstGeom>
                  </pic:spPr>
                </pic:pic>
              </a:graphicData>
            </a:graphic>
          </wp:inline>
        </w:drawing>
      </w:r>
    </w:p>
    <w:p w:rsidR="00E9740D" w:rsidRDefault="00C61640" w:rsidP="00E9740D">
      <w:pPr>
        <w:pStyle w:val="FigureTitle"/>
        <w:keepNext/>
      </w:pPr>
      <w:proofErr w:type="gramStart"/>
      <w:r>
        <w:t>Figure 20.</w:t>
      </w:r>
      <w:proofErr w:type="gramEnd"/>
      <w:r w:rsidR="00E9740D">
        <w:t xml:space="preserve"> </w:t>
      </w:r>
      <w:proofErr w:type="gramStart"/>
      <w:r w:rsidR="00E9740D">
        <w:t>AL</w:t>
      </w:r>
      <w:r>
        <w:t>P at each visit.</w:t>
      </w:r>
      <w:proofErr w:type="gramEnd"/>
      <w:r>
        <w:t xml:space="preserve"> Pooled placebo controlled P</w:t>
      </w:r>
      <w:r w:rsidR="00E9740D">
        <w:t>hase III studies safety set</w:t>
      </w:r>
    </w:p>
    <w:p w:rsidR="00E9740D" w:rsidRPr="00E9740D" w:rsidRDefault="00E9740D" w:rsidP="00E9740D">
      <w:r>
        <w:rPr>
          <w:noProof/>
          <w:lang w:eastAsia="en-AU"/>
        </w:rPr>
        <w:drawing>
          <wp:inline distT="0" distB="0" distL="0" distR="0" wp14:anchorId="05A8CB5A" wp14:editId="378DFD7C">
            <wp:extent cx="5162992" cy="3269895"/>
            <wp:effectExtent l="0" t="0" r="0" b="6985"/>
            <wp:docPr id="73" name="Picture 73" descr="Figure 20. ALP at each visit. Pooled placebo controlled Phase III studies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164645" cy="3270942"/>
                    </a:xfrm>
                    <a:prstGeom prst="rect">
                      <a:avLst/>
                    </a:prstGeom>
                  </pic:spPr>
                </pic:pic>
              </a:graphicData>
            </a:graphic>
          </wp:inline>
        </w:drawing>
      </w:r>
    </w:p>
    <w:p w:rsidR="00AB047C" w:rsidRPr="00AB047C" w:rsidRDefault="00AB047C" w:rsidP="00AB047C">
      <w:r w:rsidRPr="00AB047C">
        <w:t>Overall, the incidence of elevated liver enzymes (</w:t>
      </w:r>
      <w:r w:rsidR="00511EB7">
        <w:t xml:space="preserve">&gt; </w:t>
      </w:r>
      <w:r w:rsidRPr="00AB047C">
        <w:t xml:space="preserve">3 ×, </w:t>
      </w:r>
      <w:r w:rsidR="00511EB7">
        <w:t xml:space="preserve">&gt; </w:t>
      </w:r>
      <w:r w:rsidRPr="00AB047C">
        <w:t xml:space="preserve">5 ×, and </w:t>
      </w:r>
      <w:r w:rsidR="00511EB7">
        <w:t xml:space="preserve">&gt; </w:t>
      </w:r>
      <w:r w:rsidRPr="00AB047C">
        <w:t xml:space="preserve">8 × ULN) was similar in the total LUM/IVA group and the placebo group. Nine subjects (1.2%) in the total LUM/IVA group had ALT or AST concentrations </w:t>
      </w:r>
      <w:r w:rsidR="00511EB7">
        <w:t xml:space="preserve">&gt; </w:t>
      </w:r>
      <w:r w:rsidRPr="00AB047C">
        <w:t xml:space="preserve">5 × ULN to </w:t>
      </w:r>
      <w:r w:rsidR="00A91223">
        <w:t xml:space="preserve">≤ </w:t>
      </w:r>
      <w:r w:rsidRPr="00AB047C">
        <w:t xml:space="preserve">8 × ULN compared with 5 subjects (1.4%) in the placebo group. Six subjects (0.8%) in the total LUM/IVA group had ALT or AST concentrations </w:t>
      </w:r>
      <w:r w:rsidR="00693F12">
        <w:t>&gt; </w:t>
      </w:r>
      <w:r w:rsidRPr="00AB047C">
        <w:t>8 × ULN compared with 2 subjects (0.5%) in the placebo group. Compared with no subjects in the placebo group, ALT or AST elevations associated with increases in total bilirubin concentrations occurred in 2 subjects in the LUM 600 mg qd/IVA 250 mg q12h group and 1 subject in the LUM 400 mg q12h/IVA 250 mg q12h group</w:t>
      </w:r>
      <w:r w:rsidR="00693F12">
        <w:t>.</w:t>
      </w:r>
    </w:p>
    <w:p w:rsidR="00AB047C" w:rsidRPr="00AB047C" w:rsidRDefault="00AB047C" w:rsidP="00AB047C">
      <w:r w:rsidRPr="00AB047C">
        <w:t xml:space="preserve">Two subjects in the LUM 600 mg qd/IVA 250 mg q12h group and 1 subject in the LUM 400 mg q12h/ IVA 250 mg q12h group had ALT and/or AST elevations </w:t>
      </w:r>
      <w:r w:rsidR="00511EB7">
        <w:t xml:space="preserve">&gt; </w:t>
      </w:r>
      <w:r w:rsidRPr="00AB047C">
        <w:t xml:space="preserve">3 x ULN associated with </w:t>
      </w:r>
      <w:r w:rsidRPr="00AB047C">
        <w:lastRenderedPageBreak/>
        <w:t xml:space="preserve">concomitant increases in total bilirubin concentrations </w:t>
      </w:r>
      <w:r w:rsidR="00511EB7">
        <w:t xml:space="preserve">&gt; </w:t>
      </w:r>
      <w:r w:rsidRPr="00AB047C">
        <w:t>2 x ULN. All 3 cases are complicated by numerous factors, including concurrent medical issues and underlying liver disease, suggesting alternative aetiologies, although a contributory role</w:t>
      </w:r>
      <w:r w:rsidR="00693F12">
        <w:t xml:space="preserve"> of LUM/IVA cannot be excluded.</w:t>
      </w:r>
    </w:p>
    <w:p w:rsidR="00AB047C" w:rsidRPr="00AB047C" w:rsidRDefault="00AB047C" w:rsidP="00AB047C">
      <w:r w:rsidRPr="00AB047C">
        <w:t xml:space="preserve">The incidence of transaminase elevations </w:t>
      </w:r>
      <w:r w:rsidR="00511EB7">
        <w:t xml:space="preserve">&gt; </w:t>
      </w:r>
      <w:r w:rsidRPr="00AB047C">
        <w:t xml:space="preserve">5 × ULN was similar in the total LUM/IVA group (15 subjects, 2.0%) and the placebo group (7 subjects, 1.9%). The time to onset for these events ranged from Day 8 to Week 24 from the first dose of study drug, with no apparent pattern identified. Among subjects with transaminase elevations </w:t>
      </w:r>
      <w:r w:rsidR="00511EB7">
        <w:t xml:space="preserve">&gt; </w:t>
      </w:r>
      <w:r w:rsidRPr="00AB047C">
        <w:t>5 × ULN, 6 subjects in the total LUM/IVA group (LUM 600 mg qd/IVA 250 mg q12h, n</w:t>
      </w:r>
      <w:r w:rsidR="00661535">
        <w:t xml:space="preserve"> </w:t>
      </w:r>
      <w:r w:rsidR="00511EB7">
        <w:t>=</w:t>
      </w:r>
      <w:r w:rsidR="00661535">
        <w:t xml:space="preserve"> </w:t>
      </w:r>
      <w:r w:rsidRPr="00AB047C">
        <w:t>4; LUM 400 mg q12h/ IVA 250 mg q12h, n</w:t>
      </w:r>
      <w:r w:rsidR="00661535">
        <w:t xml:space="preserve"> </w:t>
      </w:r>
      <w:r w:rsidR="00511EB7">
        <w:t>=</w:t>
      </w:r>
      <w:r w:rsidR="00661535">
        <w:t xml:space="preserve"> </w:t>
      </w:r>
      <w:r w:rsidRPr="00AB047C">
        <w:t xml:space="preserve">2) had SAEs related to transaminase elevation compared with no subjects in the placebo group. Three subjects with transaminase elevations </w:t>
      </w:r>
      <w:r w:rsidR="00511EB7">
        <w:t xml:space="preserve">&gt; </w:t>
      </w:r>
      <w:r w:rsidRPr="00AB047C">
        <w:t>5 × ULN in the LUM 600 mg qd/IVA 250 mg q12h group discontinued treatment. All the subjects that had liver related SAEs had complicated clinical histories and represent a mixture of LFT patterns.</w:t>
      </w:r>
    </w:p>
    <w:p w:rsidR="00AB047C" w:rsidRPr="00AB047C" w:rsidRDefault="00AB047C" w:rsidP="00AB047C">
      <w:r w:rsidRPr="00AB047C">
        <w:t xml:space="preserve">Overall, the proportion of subjects with a medical history of various hepatobiliary conditions or liver enzyme elevation was generally similar in both the total LUM/IVA group and the placebo group in the pooled </w:t>
      </w:r>
      <w:r w:rsidR="003C1B2B">
        <w:t>placebo controlled</w:t>
      </w:r>
      <w:r w:rsidRPr="00AB047C">
        <w:t xml:space="preserve"> </w:t>
      </w:r>
      <w:r w:rsidR="00511EB7">
        <w:t>Phase III</w:t>
      </w:r>
      <w:r w:rsidRPr="00AB047C">
        <w:t xml:space="preserve"> studies. Among subjects with a history of liver disease, the baseline incidence of ALT or AST abnormalities was similar in the total LUM/IVA and placebo groups. The proportion of subjects with a medical history of liver disease that had maximum on-treatment ALT or AST levels </w:t>
      </w:r>
      <w:r w:rsidR="00511EB7">
        <w:t xml:space="preserve">&gt; </w:t>
      </w:r>
      <w:r w:rsidRPr="00AB047C">
        <w:t xml:space="preserve">2 ×, </w:t>
      </w:r>
      <w:r w:rsidR="00511EB7">
        <w:t xml:space="preserve">&gt; </w:t>
      </w:r>
      <w:r w:rsidRPr="00AB047C">
        <w:t xml:space="preserve">3 ×, </w:t>
      </w:r>
      <w:r w:rsidR="00511EB7">
        <w:t xml:space="preserve">&gt; </w:t>
      </w:r>
      <w:r w:rsidRPr="00AB047C">
        <w:t xml:space="preserve">5 ×, and </w:t>
      </w:r>
      <w:r w:rsidR="00511EB7">
        <w:t xml:space="preserve">&gt; </w:t>
      </w:r>
      <w:r w:rsidRPr="00AB047C">
        <w:t>8 × ULN was similar in the total LUM/IVA group compared with the placebo group</w:t>
      </w:r>
      <w:r w:rsidR="00693F12">
        <w:t>.</w:t>
      </w:r>
    </w:p>
    <w:p w:rsidR="00AB047C" w:rsidRPr="00AB047C" w:rsidRDefault="00AB047C" w:rsidP="00AB047C">
      <w:r w:rsidRPr="00AB047C">
        <w:t xml:space="preserve">Among subjects with a history of elevated liver function tests, the baseline incidence of ALT or AST abnormalities was similar in the total LUM/IVA and placebo groups. However, the proportion of subjects with a medical history of elevated liver function tests that had maximum on-treatment ALT or AST levels </w:t>
      </w:r>
      <w:r w:rsidR="00511EB7">
        <w:t xml:space="preserve">&gt; </w:t>
      </w:r>
      <w:r w:rsidRPr="00AB047C">
        <w:t>2 × ULN was higher in the total LUM/IVA group (28.1%) compared with the placebo group (19.8%). The proportion of subjects with a medical history of elevated liver fun</w:t>
      </w:r>
      <w:r w:rsidR="00693F12">
        <w:t xml:space="preserve">ction tests that had maximum on </w:t>
      </w:r>
      <w:r w:rsidRPr="00AB047C">
        <w:t xml:space="preserve">treatment ALT or AST levels </w:t>
      </w:r>
      <w:r w:rsidR="00511EB7">
        <w:t xml:space="preserve">&gt; </w:t>
      </w:r>
      <w:r w:rsidRPr="00AB047C">
        <w:t xml:space="preserve">3 ×, </w:t>
      </w:r>
      <w:r w:rsidR="00511EB7">
        <w:t xml:space="preserve">&gt; </w:t>
      </w:r>
      <w:r w:rsidRPr="00AB047C">
        <w:t xml:space="preserve">5 ×, and </w:t>
      </w:r>
      <w:r w:rsidR="00511EB7">
        <w:t xml:space="preserve">&gt; </w:t>
      </w:r>
      <w:r w:rsidRPr="00AB047C">
        <w:t>8 × ULN was similar for both the total LUM/IVA group and the placebo group</w:t>
      </w:r>
      <w:r w:rsidR="00693F12">
        <w:t>.</w:t>
      </w:r>
    </w:p>
    <w:p w:rsidR="00AB047C" w:rsidRPr="00256F44" w:rsidRDefault="00AB047C" w:rsidP="00256F44">
      <w:r w:rsidRPr="00256F44">
        <w:t>Subgroup analyses by age (</w:t>
      </w:r>
      <w:r w:rsidR="00511EB7">
        <w:t xml:space="preserve">&lt; </w:t>
      </w:r>
      <w:r w:rsidRPr="00256F44">
        <w:t xml:space="preserve">18 and </w:t>
      </w:r>
      <w:r w:rsidR="00A91223">
        <w:t xml:space="preserve">≥ </w:t>
      </w:r>
      <w:r w:rsidRPr="00256F44">
        <w:t>18 years of age) of subjects with transaminase elevations showed that the incidence of transaminase elevations within each age group was similar in the total LUM/IVA group and the placebo group</w:t>
      </w:r>
      <w:r w:rsidR="00693F12">
        <w:t>.</w:t>
      </w:r>
    </w:p>
    <w:p w:rsidR="00AB047C" w:rsidRPr="00256F44" w:rsidRDefault="00AB047C" w:rsidP="00256F44">
      <w:r w:rsidRPr="00256F44">
        <w:t xml:space="preserve">Exploratory analyses to evaluate whether there was any association between exposure to LUM/IVA and transaminase elevations were conducted in subjects with transaminase elevations (ALT or AST) </w:t>
      </w:r>
      <w:r w:rsidR="00511EB7">
        <w:t xml:space="preserve">&gt; </w:t>
      </w:r>
      <w:r w:rsidRPr="00256F44">
        <w:t xml:space="preserve">5×ULN. These analyses did not reveal any relationship between exposure to LUM/IVA and the occurrence of transaminase elevations in subjects exposed to LUM/IVA compared with exposure in subjects without transaminase elevations. To further evaluate whether subjects with transaminase elevations </w:t>
      </w:r>
      <w:r w:rsidR="00511EB7">
        <w:t xml:space="preserve">&gt; </w:t>
      </w:r>
      <w:r w:rsidRPr="00256F44">
        <w:t>5 × ULN have higher exposures relative to the overall study population, ratios of individual concentrations (</w:t>
      </w:r>
      <w:r w:rsidR="00661535" w:rsidRPr="007F4B4F">
        <w:t>C</w:t>
      </w:r>
      <w:r w:rsidR="00661535" w:rsidRPr="00661535">
        <w:rPr>
          <w:vertAlign w:val="subscript"/>
        </w:rPr>
        <w:t>trough</w:t>
      </w:r>
      <w:r w:rsidRPr="00C61640">
        <w:rPr>
          <w:vertAlign w:val="subscript"/>
        </w:rPr>
        <w:t>, ave</w:t>
      </w:r>
      <w:r w:rsidRPr="00256F44">
        <w:t xml:space="preserve"> and C</w:t>
      </w:r>
      <w:r w:rsidR="00204280">
        <w:rPr>
          <w:vertAlign w:val="subscript"/>
        </w:rPr>
        <w:t>3-6h</w:t>
      </w:r>
      <w:proofErr w:type="gramStart"/>
      <w:r w:rsidR="00204280">
        <w:rPr>
          <w:vertAlign w:val="subscript"/>
        </w:rPr>
        <w:t>,</w:t>
      </w:r>
      <w:r w:rsidRPr="00204280">
        <w:rPr>
          <w:vertAlign w:val="subscript"/>
        </w:rPr>
        <w:t>ave</w:t>
      </w:r>
      <w:proofErr w:type="gramEnd"/>
      <w:r w:rsidRPr="00256F44">
        <w:t>) for these subjects relative to the group mean concentrations (</w:t>
      </w:r>
      <w:r w:rsidR="00661535" w:rsidRPr="007F4B4F">
        <w:t>C</w:t>
      </w:r>
      <w:r w:rsidR="00661535" w:rsidRPr="00661535">
        <w:rPr>
          <w:vertAlign w:val="subscript"/>
        </w:rPr>
        <w:t>trough</w:t>
      </w:r>
      <w:r w:rsidRPr="00C61640">
        <w:rPr>
          <w:vertAlign w:val="subscript"/>
        </w:rPr>
        <w:t>, ave</w:t>
      </w:r>
      <w:r w:rsidRPr="00256F44">
        <w:t xml:space="preserve"> and </w:t>
      </w:r>
      <w:r w:rsidR="00204280" w:rsidRPr="00256F44">
        <w:t>C</w:t>
      </w:r>
      <w:r w:rsidR="00204280">
        <w:rPr>
          <w:vertAlign w:val="subscript"/>
        </w:rPr>
        <w:t>3-6h,</w:t>
      </w:r>
      <w:r w:rsidR="00204280" w:rsidRPr="00204280">
        <w:rPr>
          <w:vertAlign w:val="subscript"/>
        </w:rPr>
        <w:t>ave</w:t>
      </w:r>
      <w:r w:rsidRPr="00256F44">
        <w:t xml:space="preserve">) were calculated. Based on the geometric mean (90% CI) summary of these individual ratios for the trough concentration and peak concentrations of lumacaftor (0.90 </w:t>
      </w:r>
      <w:r w:rsidR="004E6042">
        <w:t>(</w:t>
      </w:r>
      <w:r w:rsidRPr="00256F44">
        <w:t>0.68, 1.19</w:t>
      </w:r>
      <w:r w:rsidR="004E6042">
        <w:t>)</w:t>
      </w:r>
      <w:r w:rsidRPr="00256F44">
        <w:t xml:space="preserve"> and 0.97 </w:t>
      </w:r>
      <w:r w:rsidR="004E6042">
        <w:t>(</w:t>
      </w:r>
      <w:r w:rsidRPr="00256F44">
        <w:t>0.86, 1.09</w:t>
      </w:r>
      <w:r w:rsidR="004E6042">
        <w:t>)</w:t>
      </w:r>
      <w:r w:rsidRPr="00256F44">
        <w:t xml:space="preserve">) and ivacaftor (0.55 </w:t>
      </w:r>
      <w:r w:rsidR="004E6042">
        <w:t>(</w:t>
      </w:r>
      <w:r w:rsidRPr="00256F44">
        <w:t>0.43, 0.69</w:t>
      </w:r>
      <w:r w:rsidR="004E6042">
        <w:t>)</w:t>
      </w:r>
      <w:r w:rsidRPr="00256F44">
        <w:t xml:space="preserve"> and 0.68 </w:t>
      </w:r>
      <w:r w:rsidR="004E6042">
        <w:t>(</w:t>
      </w:r>
      <w:r w:rsidRPr="00256F44">
        <w:t>0.55, 0.84</w:t>
      </w:r>
      <w:r w:rsidR="004E6042">
        <w:t>)</w:t>
      </w:r>
      <w:r w:rsidRPr="00256F44">
        <w:t>), there was no apparent relationship between higher exposure to LUM/IVA and the occurrence of transaminase elevations in subjects exposed to LUM/IVA compared with exposure in subjects without transaminase elevations.</w:t>
      </w:r>
    </w:p>
    <w:p w:rsidR="00256F44" w:rsidRPr="00256F44" w:rsidRDefault="00256F44" w:rsidP="00256F44">
      <w:r w:rsidRPr="00256F44">
        <w:t xml:space="preserve">During the </w:t>
      </w:r>
      <w:r w:rsidR="00511EB7">
        <w:t>Phase III</w:t>
      </w:r>
      <w:r w:rsidRPr="00256F44">
        <w:t xml:space="preserve"> studies, guidance regarding management of transaminase elevations consisted of the followi</w:t>
      </w:r>
      <w:r w:rsidR="00204280">
        <w:t xml:space="preserve">ng: Subjects with new treatment </w:t>
      </w:r>
      <w:r w:rsidRPr="00256F44">
        <w:t xml:space="preserve">emergent ALT or AST elevations of </w:t>
      </w:r>
      <w:r w:rsidR="004C530B">
        <w:t>&gt; 3 </w:t>
      </w:r>
      <w:r w:rsidRPr="00256F44">
        <w:t>× ULN and clinical symptoms were to be followed closely, including repeat confirmatory testing performed by the central laboratory within 48 to 72 hours of the initial finding and subsequent close monitoring of ALT and AST levels, as clinically indicated. Study drug administration was to be interrupted immediately and the medical monitor notified if any of th</w:t>
      </w:r>
      <w:r w:rsidR="004C530B">
        <w:t xml:space="preserve">e following criteria were met: </w:t>
      </w:r>
      <w:r w:rsidRPr="00256F44">
        <w:t xml:space="preserve">ALT or AST </w:t>
      </w:r>
      <w:r w:rsidR="00511EB7">
        <w:t xml:space="preserve">&gt; </w:t>
      </w:r>
      <w:r w:rsidRPr="00256F44">
        <w:t xml:space="preserve">8 × ULN; ALT or AST </w:t>
      </w:r>
      <w:r w:rsidR="00511EB7">
        <w:t xml:space="preserve">&gt; </w:t>
      </w:r>
      <w:r w:rsidRPr="00256F44">
        <w:t xml:space="preserve">5 × ULN for more than 2 weeks; ALT or AST </w:t>
      </w:r>
      <w:r w:rsidR="00511EB7">
        <w:t xml:space="preserve">&gt; </w:t>
      </w:r>
      <w:r w:rsidRPr="00256F44">
        <w:t xml:space="preserve">3 × ULN, in association with total bilirubin </w:t>
      </w:r>
      <w:r w:rsidR="00511EB7">
        <w:t xml:space="preserve">&gt; </w:t>
      </w:r>
      <w:r w:rsidRPr="00256F44">
        <w:t xml:space="preserve">2 × ULN and/or clinical </w:t>
      </w:r>
      <w:r w:rsidRPr="00256F44">
        <w:lastRenderedPageBreak/>
        <w:t>jaundice. If no convincing alternative aetiology (</w:t>
      </w:r>
      <w:r w:rsidR="007138B8">
        <w:t>for example</w:t>
      </w:r>
      <w:r w:rsidRPr="00256F44">
        <w:t>, acetaminophen use, viral hepatitis, or alcohol ingestion) for the elevated transaminases was identified, regardless of whether ALT or AST levels had improved, study drug treatment was to be permanently discontinued and transaminases were to be monitored closely until levels normal</w:t>
      </w:r>
      <w:r w:rsidR="002D7E74">
        <w:t>ise</w:t>
      </w:r>
      <w:r w:rsidRPr="00256F44">
        <w:t xml:space="preserve">d or returned to baseline. </w:t>
      </w:r>
      <w:r w:rsidR="007553CB">
        <w:t xml:space="preserve">The </w:t>
      </w:r>
      <w:proofErr w:type="gramStart"/>
      <w:r w:rsidR="007553CB">
        <w:t>a</w:t>
      </w:r>
      <w:r w:rsidRPr="00256F44">
        <w:t xml:space="preserve">dministration of </w:t>
      </w:r>
      <w:r w:rsidR="007553CB">
        <w:t xml:space="preserve">the </w:t>
      </w:r>
      <w:r w:rsidRPr="00256F44">
        <w:t>study drug was permitted when transaminases returned to baseline or were</w:t>
      </w:r>
      <w:proofErr w:type="gramEnd"/>
      <w:r w:rsidRPr="00256F44">
        <w:t xml:space="preserve"> </w:t>
      </w:r>
      <w:r w:rsidR="00A91223">
        <w:t xml:space="preserve">≤ </w:t>
      </w:r>
      <w:r w:rsidRPr="00256F44">
        <w:t xml:space="preserve">2 × ULN, whichever was higher. Upon resumption of study drug, transaminases were to be assessed weekly for 4 weeks. If transaminase elevation </w:t>
      </w:r>
      <w:r w:rsidR="00511EB7">
        <w:t xml:space="preserve">&gt; </w:t>
      </w:r>
      <w:r w:rsidRPr="00256F44">
        <w:t>3 × ULN occurred within 4 weeks of rechallenge with the study drug, then the study drug was to be permanently discontinued, regard</w:t>
      </w:r>
      <w:r w:rsidR="004C530B">
        <w:t>less of the presumed aetiology.</w:t>
      </w:r>
    </w:p>
    <w:p w:rsidR="00256F44" w:rsidRPr="00256F44" w:rsidRDefault="00256F44" w:rsidP="00256F44">
      <w:pPr>
        <w:pStyle w:val="Comment"/>
      </w:pPr>
      <w:r w:rsidRPr="00256F44">
        <w:rPr>
          <w:b/>
        </w:rPr>
        <w:t>Comment:</w:t>
      </w:r>
      <w:r w:rsidRPr="00256F44">
        <w:t xml:space="preserve"> The above guidelines regarding monitoring and management of transaminase/ bilirubin elevations have been incorporated into the ‘preca</w:t>
      </w:r>
      <w:r w:rsidR="004C530B">
        <w:t>utions’ section of proposed PI.</w:t>
      </w:r>
    </w:p>
    <w:p w:rsidR="00256F44" w:rsidRPr="00256F44" w:rsidRDefault="004C530B" w:rsidP="00256F44">
      <w:pPr>
        <w:pStyle w:val="Heading5"/>
      </w:pPr>
      <w:r>
        <w:t>Other studies</w:t>
      </w:r>
    </w:p>
    <w:p w:rsidR="00256F44" w:rsidRDefault="00256F44" w:rsidP="00256F44">
      <w:pPr>
        <w:pStyle w:val="Heading6"/>
      </w:pPr>
      <w:r w:rsidRPr="00256F44">
        <w:t xml:space="preserve">Long-term </w:t>
      </w:r>
      <w:r w:rsidR="004E6042">
        <w:t>Study</w:t>
      </w:r>
      <w:r w:rsidR="004C530B">
        <w:t xml:space="preserve"> 105</w:t>
      </w:r>
    </w:p>
    <w:p w:rsidR="00AB047C" w:rsidRPr="00256F44" w:rsidRDefault="00256F44" w:rsidP="00256F44">
      <w:r w:rsidRPr="00256F44">
        <w:t xml:space="preserve">After review of the interim data (data snapshot date: 21 July 2014) from </w:t>
      </w:r>
      <w:r w:rsidR="004E6042">
        <w:t>Study</w:t>
      </w:r>
      <w:r w:rsidRPr="00256F44">
        <w:t xml:space="preserve"> 105 by the sponsor and the Data Monitoring Committee, the frequency of liver function testing was reduced in </w:t>
      </w:r>
      <w:r w:rsidR="004E6042">
        <w:t>Study</w:t>
      </w:r>
      <w:r w:rsidRPr="00256F44">
        <w:t xml:space="preserve"> 105 to every 12 weeks after the Week 24 Visit.</w:t>
      </w:r>
    </w:p>
    <w:p w:rsidR="00256F44" w:rsidRDefault="00256F44" w:rsidP="00256F44">
      <w:r w:rsidRPr="00256F44">
        <w:t xml:space="preserve">Similar to the results in the pooled </w:t>
      </w:r>
      <w:r w:rsidR="003C1B2B">
        <w:t>placebo controlled</w:t>
      </w:r>
      <w:r w:rsidRPr="00256F44">
        <w:t xml:space="preserve"> </w:t>
      </w:r>
      <w:r w:rsidR="00511EB7">
        <w:t>Phase III</w:t>
      </w:r>
      <w:r w:rsidRPr="00256F44">
        <w:t xml:space="preserve"> analysis, the overall incidence of elevated liver enzymes (</w:t>
      </w:r>
      <w:r w:rsidR="00511EB7">
        <w:t xml:space="preserve">&gt; </w:t>
      </w:r>
      <w:r w:rsidRPr="00256F44">
        <w:t xml:space="preserve">3 ×, </w:t>
      </w:r>
      <w:r w:rsidR="00511EB7">
        <w:t xml:space="preserve">&gt; </w:t>
      </w:r>
      <w:r w:rsidRPr="00256F44">
        <w:t xml:space="preserve">5 ×, and </w:t>
      </w:r>
      <w:r w:rsidR="00511EB7">
        <w:t xml:space="preserve">&gt; </w:t>
      </w:r>
      <w:r w:rsidRPr="00256F44">
        <w:t xml:space="preserve">8 × ULN) in </w:t>
      </w:r>
      <w:r w:rsidR="004E6042">
        <w:t>Study</w:t>
      </w:r>
      <w:r w:rsidRPr="00256F44">
        <w:t xml:space="preserve"> 105 was low: 3.8% for </w:t>
      </w:r>
      <w:r w:rsidR="00511EB7">
        <w:t xml:space="preserve">&gt; </w:t>
      </w:r>
      <w:r w:rsidRPr="00256F44">
        <w:t xml:space="preserve">3 × ULN, 1.7% for </w:t>
      </w:r>
      <w:r w:rsidR="00511EB7">
        <w:t xml:space="preserve">&gt; </w:t>
      </w:r>
      <w:r w:rsidRPr="00256F44">
        <w:t xml:space="preserve">5 × ULN, and 0.6% for </w:t>
      </w:r>
      <w:r w:rsidR="00511EB7">
        <w:t xml:space="preserve">&gt; </w:t>
      </w:r>
      <w:r w:rsidRPr="00256F44">
        <w:t xml:space="preserve">8 × ULN. No subject with ALT or AST elevation of </w:t>
      </w:r>
      <w:r w:rsidR="00511EB7">
        <w:t xml:space="preserve">&gt; </w:t>
      </w:r>
      <w:r w:rsidRPr="00256F44">
        <w:t xml:space="preserve">3 × ULN had a total bilirubin concentration </w:t>
      </w:r>
      <w:r w:rsidR="00511EB7">
        <w:t xml:space="preserve">&gt; </w:t>
      </w:r>
      <w:r w:rsidRPr="00256F44">
        <w:t xml:space="preserve">2 × ULN. During the current study period of </w:t>
      </w:r>
      <w:r w:rsidR="004E6042">
        <w:t>Study</w:t>
      </w:r>
      <w:r w:rsidRPr="00256F44">
        <w:t xml:space="preserve"> 105 Part A, a total of 34 (3.3%) subjects had AESIs of elevated transaminases (</w:t>
      </w:r>
      <w:r w:rsidRPr="00C61640">
        <w:t xml:space="preserve">Table </w:t>
      </w:r>
      <w:r w:rsidR="00C61640" w:rsidRPr="00C61640">
        <w:t>53</w:t>
      </w:r>
      <w:r w:rsidRPr="00256F44">
        <w:t xml:space="preserve">). The incidence of AESIs of elevated transaminases was 5.1% in the placebo/LUM 600 mg qd/IVA 250 mg q12h group, 4.0% in the placebo/LUM 400 mg q12h/IVA 250 mg q12h group compared with 3.3% in the continuous LUM 600 mg qd/IVA 250 mg q12h group and 2.1% in the continuous LUM 400 mg q12h/IVA 250 mg q12h group. The overall incidence of elevated liver enzymes (ALT or AST </w:t>
      </w:r>
      <w:r w:rsidR="00511EB7">
        <w:t xml:space="preserve">&gt; </w:t>
      </w:r>
      <w:r w:rsidRPr="00256F44">
        <w:t xml:space="preserve">3× and 5 × ULN) in the Long-term Safety Set of </w:t>
      </w:r>
      <w:r w:rsidR="004E6042">
        <w:t>Study</w:t>
      </w:r>
      <w:r w:rsidRPr="00256F44">
        <w:t xml:space="preserve"> 105 was low: 7 (6.0%) subjects for </w:t>
      </w:r>
      <w:r w:rsidR="00511EB7">
        <w:t xml:space="preserve">&gt; </w:t>
      </w:r>
      <w:r w:rsidRPr="00256F44">
        <w:t xml:space="preserve">3 × ULN; 1 (0.9%) subject for </w:t>
      </w:r>
      <w:r w:rsidR="00511EB7">
        <w:t xml:space="preserve">&gt; </w:t>
      </w:r>
      <w:r w:rsidR="004C530B">
        <w:t>5 × ULN.</w:t>
      </w:r>
    </w:p>
    <w:p w:rsidR="00204280" w:rsidRDefault="00C61640" w:rsidP="00204280">
      <w:pPr>
        <w:pStyle w:val="Tabletitle"/>
      </w:pPr>
      <w:proofErr w:type="gramStart"/>
      <w:r>
        <w:t>Table 53.</w:t>
      </w:r>
      <w:proofErr w:type="gramEnd"/>
      <w:r w:rsidR="00204280">
        <w:t xml:space="preserve"> </w:t>
      </w:r>
      <w:proofErr w:type="gramStart"/>
      <w:r w:rsidR="00204280">
        <w:t>Summary of adverse events of special interest of elevated transaminases.</w:t>
      </w:r>
      <w:proofErr w:type="gramEnd"/>
      <w:r w:rsidR="00204280">
        <w:t xml:space="preserve"> Study 105 part </w:t>
      </w:r>
      <w:proofErr w:type="gramStart"/>
      <w:r w:rsidR="00204280">
        <w:t>A</w:t>
      </w:r>
      <w:proofErr w:type="gramEnd"/>
      <w:r w:rsidR="00204280">
        <w:t>, current study</w:t>
      </w:r>
      <w:r>
        <w:t xml:space="preserve"> period all subjects safety set</w:t>
      </w:r>
    </w:p>
    <w:p w:rsidR="00204280" w:rsidRPr="00204280" w:rsidRDefault="00204280" w:rsidP="00204280">
      <w:r>
        <w:rPr>
          <w:noProof/>
          <w:lang w:eastAsia="en-AU"/>
        </w:rPr>
        <w:drawing>
          <wp:inline distT="0" distB="0" distL="0" distR="0" wp14:anchorId="5D4243F4" wp14:editId="5235D389">
            <wp:extent cx="5539326" cy="2311603"/>
            <wp:effectExtent l="0" t="0" r="4445" b="0"/>
            <wp:docPr id="74" name="Picture 74" descr="Table 53. Summary of adverse events of special interest of elevated transaminases. Study 105 part A, current study period all subjects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538708" cy="2311345"/>
                    </a:xfrm>
                    <a:prstGeom prst="rect">
                      <a:avLst/>
                    </a:prstGeom>
                  </pic:spPr>
                </pic:pic>
              </a:graphicData>
            </a:graphic>
          </wp:inline>
        </w:drawing>
      </w:r>
    </w:p>
    <w:p w:rsidR="00256F44" w:rsidRPr="00256F44" w:rsidRDefault="00256F44" w:rsidP="00256F44">
      <w:r w:rsidRPr="00256F44">
        <w:t xml:space="preserve">The rate of SAEs and discontinuation due to AESI of elevated transaminase was low in </w:t>
      </w:r>
      <w:r w:rsidR="004E6042">
        <w:t>Study</w:t>
      </w:r>
      <w:r w:rsidRPr="00256F44">
        <w:t xml:space="preserve"> 105. One subject in the LUM 600 mg qd/IVA 250 mg q12h group and 1 subject in the placebo/LUM 600 mg qd/IVA 250 mg q12h group discontinued treatment due to an AESI of elevated transaminases. Overall, 2 subjects had SAEs (1 subject in the LUM 600 mg qd/ IVA 250 mg q12h group and 1 subject in the LUM 400 mg q12h/IVA 250 mg q12h group), and none of </w:t>
      </w:r>
      <w:r w:rsidRPr="00256F44">
        <w:lastRenderedPageBreak/>
        <w:t>these events were considered by the investigator to be related to study treatment. The median time-to-onset of the first AESI of elevated transaminases was 16 days for the placebo/LUM 600 mg qd/IVA 250 mg q12h group and 29 days for the placebo/ LUM 400 mg q12h/IVA 250 mg q12h group. In addition to the AEs included in the elevated transaminase AESI, 3 subjects had AEs related to the hepatobiliary disorders (1 subject in the LUM 600 mg qd/IVA 250 mg q12h group had hepatic steatosis and hepatomegaly, 1 subject in the LUM 400 mg q12h/IVA 250 mg q12h group had biliary colic, and 1 subject in the placebo/ LUM 400 mg q12h/IVA 250 mg</w:t>
      </w:r>
      <w:r w:rsidR="004C530B">
        <w:t xml:space="preserve"> q12h group had cholelithiasis.</w:t>
      </w:r>
    </w:p>
    <w:p w:rsidR="00AB047C" w:rsidRPr="00BE43FE" w:rsidRDefault="00256F44" w:rsidP="00BE43FE">
      <w:r w:rsidRPr="00BE43FE">
        <w:t xml:space="preserve">No subject had an ALT value </w:t>
      </w:r>
      <w:r w:rsidR="00511EB7">
        <w:t xml:space="preserve">&gt; </w:t>
      </w:r>
      <w:r w:rsidRPr="00BE43FE">
        <w:t xml:space="preserve">5 × ULN. There were no PCS ALT elevations in the LUM 400 mg q12h/IVA 250 mg q12h group. No subject had an ALT or AST value </w:t>
      </w:r>
      <w:r w:rsidR="00511EB7">
        <w:t xml:space="preserve">&gt; </w:t>
      </w:r>
      <w:r w:rsidRPr="00BE43FE">
        <w:t xml:space="preserve">3 × ULN with a total bilirubin level </w:t>
      </w:r>
      <w:r w:rsidR="00511EB7">
        <w:t xml:space="preserve">&lt; </w:t>
      </w:r>
      <w:r w:rsidRPr="00BE43FE">
        <w:t>2 × ULN.</w:t>
      </w:r>
    </w:p>
    <w:p w:rsidR="00BE43FE" w:rsidRDefault="00511EB7" w:rsidP="00BE43FE">
      <w:pPr>
        <w:pStyle w:val="Heading6"/>
      </w:pPr>
      <w:r>
        <w:t>Phase I</w:t>
      </w:r>
      <w:r w:rsidR="004C530B">
        <w:t xml:space="preserve"> pooled studies</w:t>
      </w:r>
    </w:p>
    <w:p w:rsidR="00256F44" w:rsidRPr="00BE43FE" w:rsidRDefault="00256F44" w:rsidP="00BE43FE">
      <w:r w:rsidRPr="00BE43FE">
        <w:t xml:space="preserve">Mild and moderate elevations in ALT and/or AST were observed in a small number of subjects in </w:t>
      </w:r>
      <w:r w:rsidR="00511EB7">
        <w:t>Phase I</w:t>
      </w:r>
      <w:r w:rsidR="004C530B">
        <w:t>/II</w:t>
      </w:r>
      <w:r w:rsidRPr="00BE43FE">
        <w:t xml:space="preserve"> studies involving LUM/IVA. Such transaminase elevations were generally not progressive and were not associated with elevations in total bilirubin. In the pooled </w:t>
      </w:r>
      <w:r w:rsidR="00511EB7">
        <w:t>Phase I</w:t>
      </w:r>
      <w:r w:rsidRPr="00BE43FE">
        <w:t xml:space="preserve"> studies (healthy subjects), AEs associated with transaminase elevations that occurred in 2 or more subjects in the LUM/IVA group included ALT increased (3 subjects </w:t>
      </w:r>
      <w:r w:rsidR="004E6042">
        <w:t>(</w:t>
      </w:r>
      <w:r w:rsidRPr="00BE43FE">
        <w:t>1.7%</w:t>
      </w:r>
      <w:r w:rsidR="004E6042">
        <w:t>)</w:t>
      </w:r>
      <w:r w:rsidRPr="00BE43FE">
        <w:t xml:space="preserve">), AST increased (2 subjects </w:t>
      </w:r>
      <w:r w:rsidR="004E6042">
        <w:t>(</w:t>
      </w:r>
      <w:r w:rsidRPr="00BE43FE">
        <w:t>1.2%</w:t>
      </w:r>
      <w:r w:rsidR="004E6042">
        <w:t>)</w:t>
      </w:r>
      <w:r w:rsidRPr="00BE43FE">
        <w:t xml:space="preserve">), and hepatic enzyme increased (2 subjects </w:t>
      </w:r>
      <w:r w:rsidR="004E6042">
        <w:t>(</w:t>
      </w:r>
      <w:r w:rsidRPr="00BE43FE">
        <w:t>1.2%</w:t>
      </w:r>
      <w:r w:rsidR="004E6042">
        <w:t>)</w:t>
      </w:r>
      <w:r w:rsidRPr="00BE43FE">
        <w:t xml:space="preserve">). Elevations in liver function test values were generally mild and transient. The majority of subjects in the LUM/IVA group had maximum ALT and AST levels of </w:t>
      </w:r>
      <w:r w:rsidR="00A91223">
        <w:t xml:space="preserve">≤ </w:t>
      </w:r>
      <w:r w:rsidRPr="00BE43FE">
        <w:t xml:space="preserve">3 × ULN. Only 2 subjects (1.2%) in the LUM/IVA group had maximum ALT or AST of </w:t>
      </w:r>
      <w:r w:rsidR="00511EB7">
        <w:t xml:space="preserve">&gt; </w:t>
      </w:r>
      <w:r w:rsidRPr="00BE43FE">
        <w:t xml:space="preserve">3 to </w:t>
      </w:r>
      <w:r w:rsidR="00A91223">
        <w:t xml:space="preserve">≤ </w:t>
      </w:r>
      <w:r w:rsidRPr="00BE43FE">
        <w:t xml:space="preserve">5 × ULN. There were no subjects with elevated ALT or AST who also had an </w:t>
      </w:r>
      <w:r w:rsidR="004C530B">
        <w:t>elevated total bilirubin level.</w:t>
      </w:r>
    </w:p>
    <w:p w:rsidR="00BE43FE" w:rsidRDefault="004C530B" w:rsidP="00BE43FE">
      <w:pPr>
        <w:pStyle w:val="Heading6"/>
      </w:pPr>
      <w:r>
        <w:t>Other studies</w:t>
      </w:r>
    </w:p>
    <w:p w:rsidR="00256F44" w:rsidRPr="00BE43FE" w:rsidRDefault="00256F44" w:rsidP="00BE43FE">
      <w:r w:rsidRPr="00BE43FE">
        <w:t xml:space="preserve">In </w:t>
      </w:r>
      <w:r w:rsidR="004E6042">
        <w:t>Study</w:t>
      </w:r>
      <w:r w:rsidRPr="00BE43FE">
        <w:t xml:space="preserve"> 102 Cohorts 1 to 3 (subjects with CF who are homozygous or heterozygous for the F508del-CFTR mutation), only 3 subjects in Cohort 2 had AEs associated with transaminase elevation during the combination treatment period (2 subjects had AST increased and 1 subject had LFT abnormal). In Cohort 4 (subjects with CF who are heterozygous for the F508del-CFTR mutation), 6 subjects on combination treatment had adverse events associated with transaminase elevation (4 subjects had both ALT and AST increased, 1 subject had LFT abnormal and 1 subject had transaminase increased). The majority of subjects on combination treatment (Day 28 to Safety Follow-up Visit) had maximum ALT or AST of </w:t>
      </w:r>
      <w:r w:rsidR="00A91223">
        <w:t xml:space="preserve">≤ </w:t>
      </w:r>
      <w:r w:rsidRPr="00BE43FE">
        <w:t xml:space="preserve">3 × ULN. Only 3 subjects in Cohort 2 and 2 subjects in Cohort 4 had ALT or AST of </w:t>
      </w:r>
      <w:r w:rsidR="00511EB7">
        <w:t xml:space="preserve">&gt; </w:t>
      </w:r>
      <w:r w:rsidRPr="00BE43FE">
        <w:t>3 × ULN during the combination tr</w:t>
      </w:r>
      <w:r w:rsidR="004C530B">
        <w:t>eatment.</w:t>
      </w:r>
    </w:p>
    <w:p w:rsidR="00256F44" w:rsidRPr="00BE43FE" w:rsidRDefault="004C530B" w:rsidP="00BE43FE">
      <w:pPr>
        <w:pStyle w:val="Heading4"/>
      </w:pPr>
      <w:r>
        <w:t>Kidney function</w:t>
      </w:r>
    </w:p>
    <w:p w:rsidR="00256F44" w:rsidRPr="00BE43FE" w:rsidRDefault="004C530B" w:rsidP="00BE43FE">
      <w:pPr>
        <w:pStyle w:val="Heading5"/>
      </w:pPr>
      <w:r>
        <w:t>Pivotal studies</w:t>
      </w:r>
    </w:p>
    <w:p w:rsidR="00AB047C" w:rsidRPr="00BE43FE" w:rsidRDefault="00256F44" w:rsidP="00BE43FE">
      <w:r w:rsidRPr="00BE43FE">
        <w:t>There were no clinically meaningful effects on creatinine, with a similar incidence of PCS changes from baseline in creatinine (</w:t>
      </w:r>
      <w:r w:rsidR="00A91223">
        <w:t xml:space="preserve">≥ </w:t>
      </w:r>
      <w:r w:rsidRPr="00BE43FE">
        <w:t>30% change from baseline) and creatinine clearance (shift from normal to mild renal impairment) across all treatment groups. Two subjects in the placebo group had a shift to moderate or severe renal impairment compared with no subjects in the total LUM/IVA group. Similarly, 1 subject in the placebo group had a PCS increase in blood urea nitrogen compared with no subjects in the total LUM/IVA group.</w:t>
      </w:r>
    </w:p>
    <w:p w:rsidR="00BE43FE" w:rsidRPr="00BE43FE" w:rsidRDefault="004C530B" w:rsidP="00BE43FE">
      <w:pPr>
        <w:pStyle w:val="Heading5"/>
      </w:pPr>
      <w:r>
        <w:t>Other studies</w:t>
      </w:r>
    </w:p>
    <w:p w:rsidR="00BE43FE" w:rsidRDefault="00BE43FE" w:rsidP="00BE43FE">
      <w:pPr>
        <w:pStyle w:val="Heading6"/>
      </w:pPr>
      <w:r w:rsidRPr="00BE43FE">
        <w:t xml:space="preserve">Long-term </w:t>
      </w:r>
      <w:r w:rsidR="004E6042">
        <w:t>Study</w:t>
      </w:r>
      <w:r w:rsidR="004C530B">
        <w:t xml:space="preserve"> 105</w:t>
      </w:r>
    </w:p>
    <w:p w:rsidR="00BE43FE" w:rsidRPr="00BE43FE" w:rsidRDefault="00BE43FE" w:rsidP="00BE43FE">
      <w:r w:rsidRPr="00BE43FE">
        <w:t>There were no clinically important trends in serum chemistry attributable to lumacaftor in combina</w:t>
      </w:r>
      <w:r w:rsidR="004C530B">
        <w:t>tion with ivacaftor identified.</w:t>
      </w:r>
    </w:p>
    <w:p w:rsidR="00BE43FE" w:rsidRDefault="00511EB7" w:rsidP="00BE43FE">
      <w:pPr>
        <w:pStyle w:val="Heading6"/>
      </w:pPr>
      <w:r>
        <w:t>Phase I</w:t>
      </w:r>
      <w:r w:rsidR="004C530B">
        <w:t xml:space="preserve"> pooled studies</w:t>
      </w:r>
    </w:p>
    <w:p w:rsidR="00BE43FE" w:rsidRPr="00BE43FE" w:rsidRDefault="00BE43FE" w:rsidP="00BE43FE">
      <w:r w:rsidRPr="00BE43FE">
        <w:t>There were no significant chang</w:t>
      </w:r>
      <w:r w:rsidR="004C530B">
        <w:t>es renal laboratory parameters.</w:t>
      </w:r>
    </w:p>
    <w:p w:rsidR="00BE43FE" w:rsidRPr="00BE43FE" w:rsidRDefault="004C530B" w:rsidP="00BE43FE">
      <w:pPr>
        <w:pStyle w:val="Heading4"/>
      </w:pPr>
      <w:r>
        <w:lastRenderedPageBreak/>
        <w:t>Other clinical chemistry</w:t>
      </w:r>
    </w:p>
    <w:p w:rsidR="00BE43FE" w:rsidRPr="00BE43FE" w:rsidRDefault="004C530B" w:rsidP="00BE43FE">
      <w:pPr>
        <w:pStyle w:val="Heading5"/>
      </w:pPr>
      <w:r>
        <w:t>Pivotal studies</w:t>
      </w:r>
    </w:p>
    <w:p w:rsidR="00BE43FE" w:rsidRPr="00BE43FE" w:rsidRDefault="00BE43FE" w:rsidP="00BE43FE">
      <w:r w:rsidRPr="00BE43FE">
        <w:t>The incidences of PCS glucose values were common in both the total LUM/IVA and placebo groups. The incidence of PCS low glucose levels (</w:t>
      </w:r>
      <w:r w:rsidR="00A91223">
        <w:t xml:space="preserve">≤ </w:t>
      </w:r>
      <w:r w:rsidRPr="00BE43FE">
        <w:t xml:space="preserve">3.9 mmol/L and below the lower limit of normal </w:t>
      </w:r>
      <w:r w:rsidR="004E6042">
        <w:t>(</w:t>
      </w:r>
      <w:r w:rsidR="00511EB7">
        <w:t xml:space="preserve">&lt; </w:t>
      </w:r>
      <w:r w:rsidRPr="00BE43FE">
        <w:t>LLN</w:t>
      </w:r>
      <w:r w:rsidR="004E6042">
        <w:t>)</w:t>
      </w:r>
      <w:r w:rsidRPr="00BE43FE">
        <w:t>) was 29.7% in the total LUM/IVA group and 24.4% in the placebo group. The overall incidence of PCS changes in glucose and AEs related to glucose levels are consistent with what would be expected for CF patients, given the high proportion of subjects with a medical history of CFRD and related conditions,</w:t>
      </w:r>
      <w:r w:rsidR="004C530B">
        <w:t xml:space="preserve"> and do not suggest a treatment </w:t>
      </w:r>
      <w:r w:rsidRPr="00BE43FE">
        <w:t>related effect</w:t>
      </w:r>
      <w:r w:rsidR="004C530B">
        <w:t>.</w:t>
      </w:r>
    </w:p>
    <w:p w:rsidR="00BE43FE" w:rsidRPr="00BE43FE" w:rsidRDefault="00BE43FE" w:rsidP="00BE43FE">
      <w:r w:rsidRPr="00BE43FE">
        <w:t>The incidence of the AE of blood CPK increased was similar in the total LUM/IVA (5.6%) and placebo (5.4%) groups. However, the incidence of this AE was numerically higher in the LUM 400 mg q12h/IVA 250 mg q12h group (7.3%) compared with the LUM 600 mg qd/IVA 250 mg q12h group (3.8%). In addition, 2 subjects (0.5%) had an SAE of blood CPK increased in the LUM 400 mg q12h/IVA 250 mg q12h group compared with no subjects in the LUM 600 mg qd/ IVA 250 mg q12h or placebo groups. The percentage of subjects who discontinued treatment due to blood CPK increased was 1.1% (4 subjects) in the LUM 400 mg q12h/IVA 250 mg q12h group and 0% in the LUM 600 mg qd/IVA 250 mg q12h or placebo groups. The incidence of potential relevant AEs (</w:t>
      </w:r>
      <w:r w:rsidR="007138B8">
        <w:t>for example</w:t>
      </w:r>
      <w:r w:rsidRPr="00BE43FE">
        <w:t xml:space="preserve">, myalgia, </w:t>
      </w:r>
      <w:r w:rsidR="002C65F4" w:rsidRPr="00BE43FE">
        <w:t>and fatigue</w:t>
      </w:r>
      <w:r w:rsidRPr="00BE43FE">
        <w:t>) was similar in subjects who had SAEs or AEs leading to discontinuations and subjects with non-serious AEs in the pl</w:t>
      </w:r>
      <w:r w:rsidR="004C530B">
        <w:t>acebo and total LUM/IVA groups.</w:t>
      </w:r>
    </w:p>
    <w:p w:rsidR="00BE43FE" w:rsidRPr="00BE43FE" w:rsidRDefault="004C530B" w:rsidP="00BE43FE">
      <w:pPr>
        <w:pStyle w:val="Heading5"/>
      </w:pPr>
      <w:r>
        <w:t>Other studies</w:t>
      </w:r>
    </w:p>
    <w:p w:rsidR="00BE43FE" w:rsidRDefault="00BE43FE" w:rsidP="00BE43FE">
      <w:pPr>
        <w:pStyle w:val="Heading6"/>
      </w:pPr>
      <w:r w:rsidRPr="00BE43FE">
        <w:t xml:space="preserve">Long-term </w:t>
      </w:r>
      <w:r w:rsidR="004E6042">
        <w:t>Study</w:t>
      </w:r>
      <w:r w:rsidR="004C530B">
        <w:t xml:space="preserve"> 105</w:t>
      </w:r>
    </w:p>
    <w:p w:rsidR="00BE43FE" w:rsidRPr="00BE43FE" w:rsidRDefault="00BE43FE" w:rsidP="00BE43FE">
      <w:r w:rsidRPr="00BE43FE">
        <w:t xml:space="preserve">In </w:t>
      </w:r>
      <w:r w:rsidR="004E6042">
        <w:t>Study</w:t>
      </w:r>
      <w:r w:rsidRPr="00BE43FE">
        <w:t xml:space="preserve"> 105, there were 4 discontinuations due to blood CPK increase. Of the 1</w:t>
      </w:r>
      <w:r w:rsidR="004C530B">
        <w:t>,</w:t>
      </w:r>
      <w:r w:rsidRPr="00BE43FE">
        <w:t xml:space="preserve">027 subjects who received LUM/IVA in Part A, 3 subjects discontinued treatment due to blood CPK increased: 1 subject in the LUM 600 mg qd/IVA 250 mg q12h group, 1 subject in the placebo/LUM 400 mg q12h/IVA 250 mg q12h group, and 1 subject in the placebo/LUM 600 mg qd/IVA 250 mg q12h group. Of the 115 subjects in Part B (entering from </w:t>
      </w:r>
      <w:r w:rsidR="004E6042">
        <w:t>Study</w:t>
      </w:r>
      <w:r w:rsidRPr="00BE43FE">
        <w:t xml:space="preserve"> 102 Cohort 4), 1 subject in the placebo/LUM 400 mg q12h/IVA 250 mg q12h group discontinued due to blood CPK increased.</w:t>
      </w:r>
    </w:p>
    <w:p w:rsidR="00BE43FE" w:rsidRDefault="00511EB7" w:rsidP="00BE43FE">
      <w:pPr>
        <w:pStyle w:val="Heading6"/>
      </w:pPr>
      <w:r>
        <w:t>Phase I</w:t>
      </w:r>
      <w:r w:rsidR="004C530B">
        <w:t xml:space="preserve"> pooled studies</w:t>
      </w:r>
    </w:p>
    <w:p w:rsidR="00BE43FE" w:rsidRPr="00BE43FE" w:rsidRDefault="00BE43FE" w:rsidP="00BE43FE">
      <w:r w:rsidRPr="00BE43FE">
        <w:t>AEs related to laboratory abnormalities that occurred in 2 or more subjects in the LUM/IVA group were ALT increased (3 subjects), blood CPK increased (2 subjects), AST increased (2 subjects), and hepatic enzyme increased (2 subjects). The only laboratory AE that occurred in more than 1 subject in the placebo group was ALT increased (2 subjects)</w:t>
      </w:r>
      <w:r w:rsidR="004C530B">
        <w:t>.</w:t>
      </w:r>
    </w:p>
    <w:p w:rsidR="00BE43FE" w:rsidRPr="00BE43FE" w:rsidRDefault="004C530B" w:rsidP="00BE43FE">
      <w:pPr>
        <w:pStyle w:val="Heading4"/>
      </w:pPr>
      <w:r>
        <w:t>Haematology</w:t>
      </w:r>
    </w:p>
    <w:p w:rsidR="00BE43FE" w:rsidRPr="00BE43FE" w:rsidRDefault="004C530B" w:rsidP="00BE43FE">
      <w:pPr>
        <w:pStyle w:val="Heading5"/>
      </w:pPr>
      <w:r>
        <w:t>Pivotal studies</w:t>
      </w:r>
    </w:p>
    <w:p w:rsidR="00BE43FE" w:rsidRDefault="00BE43FE" w:rsidP="00BE43FE">
      <w:r w:rsidRPr="00BE43FE">
        <w:t>There were 2 PCS laboratory changes related to haematology with a difference of at least 3% higher incidence in the total LUM/IVA group compared with the placebo group: eosinophil increase (13.1% versus 9.2%) and monocyte increase (23.4% versus 27.6%). There were a few AEs reported and there did not appear to be any clinically meaningful trends in AEs or laboratory values related to haematology or coagulation</w:t>
      </w:r>
      <w:r w:rsidR="004C530B">
        <w:t>.</w:t>
      </w:r>
    </w:p>
    <w:p w:rsidR="00BE43FE" w:rsidRPr="00BE43FE" w:rsidRDefault="004C530B" w:rsidP="00BE43FE">
      <w:pPr>
        <w:pStyle w:val="Heading5"/>
      </w:pPr>
      <w:r>
        <w:t>Other studies</w:t>
      </w:r>
    </w:p>
    <w:p w:rsidR="00BE43FE" w:rsidRDefault="00BE43FE" w:rsidP="00BE43FE">
      <w:pPr>
        <w:pStyle w:val="Heading6"/>
      </w:pPr>
      <w:r w:rsidRPr="00BE43FE">
        <w:t xml:space="preserve">Long-term </w:t>
      </w:r>
      <w:r w:rsidR="004E6042">
        <w:t>Study</w:t>
      </w:r>
      <w:r w:rsidR="004C530B">
        <w:t xml:space="preserve"> 105</w:t>
      </w:r>
    </w:p>
    <w:p w:rsidR="00BE43FE" w:rsidRPr="00BE43FE" w:rsidRDefault="00BE43FE" w:rsidP="00BE43FE">
      <w:r w:rsidRPr="00BE43FE">
        <w:t>There were no clinically relevant changes related to treatment with lumacaftor in combination with Ivacaftor in th</w:t>
      </w:r>
      <w:r w:rsidR="004C530B">
        <w:t>is long-term, open-label study.</w:t>
      </w:r>
    </w:p>
    <w:p w:rsidR="00BE43FE" w:rsidRDefault="00511EB7" w:rsidP="00BE43FE">
      <w:pPr>
        <w:pStyle w:val="Heading6"/>
      </w:pPr>
      <w:r>
        <w:t>Phase I</w:t>
      </w:r>
      <w:r w:rsidR="004C530B">
        <w:t xml:space="preserve"> pooled studies</w:t>
      </w:r>
    </w:p>
    <w:p w:rsidR="00BE43FE" w:rsidRPr="00E80040" w:rsidRDefault="00BE43FE" w:rsidP="00E80040">
      <w:r w:rsidRPr="00E80040">
        <w:t>There were no clinically relevant changes in haematology parameters.</w:t>
      </w:r>
    </w:p>
    <w:p w:rsidR="00E80040" w:rsidRPr="00E80040" w:rsidRDefault="004C530B" w:rsidP="00374CC3">
      <w:pPr>
        <w:pStyle w:val="Heading4"/>
      </w:pPr>
      <w:r>
        <w:lastRenderedPageBreak/>
        <w:t>Electrocardiograph</w:t>
      </w:r>
    </w:p>
    <w:p w:rsidR="00E80040" w:rsidRPr="00E80040" w:rsidRDefault="004C530B" w:rsidP="00374CC3">
      <w:pPr>
        <w:pStyle w:val="Heading5"/>
      </w:pPr>
      <w:r>
        <w:t>Pivotal studies</w:t>
      </w:r>
    </w:p>
    <w:p w:rsidR="00E80040" w:rsidRPr="00E80040" w:rsidRDefault="00E80040" w:rsidP="00E80040">
      <w:r w:rsidRPr="00E80040">
        <w:t>Subjects with a history of prolonged QTcF (</w:t>
      </w:r>
      <w:r w:rsidR="00511EB7">
        <w:t xml:space="preserve">&gt; </w:t>
      </w:r>
      <w:r w:rsidRPr="00E80040">
        <w:t xml:space="preserve">450 ms) were excluded from the pivotal </w:t>
      </w:r>
      <w:r w:rsidR="00511EB7">
        <w:t>Phase III</w:t>
      </w:r>
      <w:r w:rsidRPr="00E80040">
        <w:t xml:space="preserve"> studies. No significant ECG abnormalities had been observed in healthy subjects receiving lumacaftor monotherapy at doses up to 400 mg q12h or in subjects with CF who received lumacaftor doses up to 400 mg q12h in combinat</w:t>
      </w:r>
      <w:r w:rsidR="004C530B">
        <w:t>ion with ivacaftor 250 mg q12h.</w:t>
      </w:r>
    </w:p>
    <w:p w:rsidR="00E80040" w:rsidRPr="00E80040" w:rsidRDefault="00E80040" w:rsidP="00E80040">
      <w:r w:rsidRPr="00E80040">
        <w:t xml:space="preserve">In addition to pooled data from standard 12-lead ECG assessments performed during Studies 103/104, data was also available from ambulatory ECGs in </w:t>
      </w:r>
      <w:r w:rsidR="004E6042">
        <w:t>Study</w:t>
      </w:r>
      <w:r w:rsidR="004C530B">
        <w:t xml:space="preserve"> 103.</w:t>
      </w:r>
    </w:p>
    <w:p w:rsidR="00E80040" w:rsidRPr="00E80040" w:rsidRDefault="00E80040" w:rsidP="00E80040">
      <w:r w:rsidRPr="00E80040">
        <w:t>There were no clinically meaningful differences in any ECG parameter between the 3 treatment groups. The incidence of PCS PR interval (0.6%) or QRS interval (0.5%) was low. No subjects had a PCS QTcF prolongation (</w:t>
      </w:r>
      <w:r w:rsidR="00511EB7">
        <w:t xml:space="preserve">&gt; </w:t>
      </w:r>
      <w:r w:rsidRPr="00E80040">
        <w:t xml:space="preserve">450 ms for males or </w:t>
      </w:r>
      <w:r w:rsidR="00511EB7">
        <w:t xml:space="preserve">&gt; </w:t>
      </w:r>
      <w:r w:rsidRPr="00E80040">
        <w:t xml:space="preserve">470 ms for females), and the incidence of PCS QTcF increases from baseline of </w:t>
      </w:r>
      <w:r w:rsidR="00A91223">
        <w:t xml:space="preserve">≥ </w:t>
      </w:r>
      <w:r w:rsidRPr="00E80040">
        <w:t xml:space="preserve">30 to </w:t>
      </w:r>
      <w:r w:rsidR="00A91223">
        <w:t xml:space="preserve">≤ </w:t>
      </w:r>
      <w:r w:rsidRPr="00E80040">
        <w:t xml:space="preserve">60 ms was lower in the total LUM/IVA group (8.1%) than the placebo group (8.9%). Similarly, compared with the placebo group, fewer subjects in the total LUM/IVA group had a PCS QTcB prolongation (2.7% compared with 8.6%) or increase from baseline of </w:t>
      </w:r>
      <w:r w:rsidR="00A91223">
        <w:t xml:space="preserve">≥ </w:t>
      </w:r>
      <w:r w:rsidRPr="00E80040">
        <w:t xml:space="preserve">30 to </w:t>
      </w:r>
      <w:r w:rsidR="00A91223">
        <w:t xml:space="preserve">≤ </w:t>
      </w:r>
      <w:r w:rsidRPr="00E80040">
        <w:t>60 ms (16.3% compared with 24.9%). The incidence of PCS heart rate increase (</w:t>
      </w:r>
      <w:r w:rsidR="00A91223">
        <w:t xml:space="preserve">≥ </w:t>
      </w:r>
      <w:r w:rsidRPr="00E80040">
        <w:t xml:space="preserve">120 bpm and increase from baseline </w:t>
      </w:r>
      <w:r w:rsidR="00A91223">
        <w:t xml:space="preserve">≥ </w:t>
      </w:r>
      <w:r w:rsidRPr="00E80040">
        <w:t>20 bpm) of was 1.6% in the placebo group and 0.7% the total LUM/IVA group, while the incidence of heart rate decrease (</w:t>
      </w:r>
      <w:r w:rsidR="002C65F4">
        <w:t>≤ </w:t>
      </w:r>
      <w:r w:rsidRPr="00E80040">
        <w:t xml:space="preserve">50 bpm and decrease from baseline </w:t>
      </w:r>
      <w:r w:rsidR="00A91223">
        <w:t xml:space="preserve">≥ </w:t>
      </w:r>
      <w:r w:rsidRPr="00E80040">
        <w:t xml:space="preserve">20 bpm) was 3.7% in the total LUM/IVA group and 1.4% in the placebo group. There were no clinically meaningful trends in PCS ECG events in the LUM 400 mg q12h/ IVA 250 mg q12 group compared with the LUM </w:t>
      </w:r>
      <w:r w:rsidR="004C530B">
        <w:t>600 mg qd/IVA 250 mg q12 group.</w:t>
      </w:r>
    </w:p>
    <w:p w:rsidR="00BE43FE" w:rsidRPr="00E80040" w:rsidRDefault="00E80040" w:rsidP="00E80040">
      <w:r w:rsidRPr="00E80040">
        <w:t xml:space="preserve">Overall, 41.3% of subjects in the total LUM/IVA group with normal ECG assessments at baseline had only normal ECG assessments during the study. For all treatment groups, most subjects who had abnormal (PCS) and abnormal (clinically insignificant </w:t>
      </w:r>
      <w:r w:rsidR="004E6042">
        <w:t>(</w:t>
      </w:r>
      <w:r w:rsidRPr="00E80040">
        <w:t>CIS</w:t>
      </w:r>
      <w:r w:rsidR="004E6042">
        <w:t>)</w:t>
      </w:r>
      <w:r w:rsidRPr="00E80040">
        <w:t>) events at baseline also had them during them the study. Shifts from normal baseline ECG to abnormal (PCS) ECG evaluations were 3.4% in the placebo group compared with 1.9% in the total LUM/IVA group). A small decreased QTcF was observed during the 24-week treatment period in the LUM 400 mg q12h/IVA 250 mg q12h and LUM 600 md qd/IVA 250 mg q12h groups compared with the placebo group. The mean maximum on-treatment change in the QTcF duration from baseline in the total LUM/IVA group occurred on Day 1 at 6 hours post dose (decrease of 5.8 ms) compared with an increase from baseline of 0.7 ms in the placebo group. Overall, maximum changes from baselin</w:t>
      </w:r>
      <w:r w:rsidR="009C50B7">
        <w:t xml:space="preserve">e in QTcF through the treatment </w:t>
      </w:r>
      <w:r w:rsidRPr="00E80040">
        <w:t>emergent period were variable in all treatment groups, with overlapping standard deviation ranges. No clinically meaningful differences in ECG change from baseline were observed between the LUM 400 mg q12h/ IVA 250 mg q12 and the LUM 600 mg qd/ IVA 250 mg q12h groups.</w:t>
      </w:r>
    </w:p>
    <w:p w:rsidR="00E80040" w:rsidRPr="00E80040" w:rsidRDefault="00E80040" w:rsidP="00E80040">
      <w:r w:rsidRPr="00E80040">
        <w:t xml:space="preserve">Ambulatory ECGs were collected from subjects at US sites who were enrolled in </w:t>
      </w:r>
      <w:r w:rsidR="004E6042">
        <w:t>Study</w:t>
      </w:r>
      <w:r w:rsidRPr="00E80040">
        <w:t xml:space="preserve"> 103 at Screening, Day 1, and Day 15 until approximately 168 random</w:t>
      </w:r>
      <w:r w:rsidR="002D7E74">
        <w:t>ise</w:t>
      </w:r>
      <w:r w:rsidRPr="00E80040">
        <w:t xml:space="preserve">d subjects completed the Day 15 ambulatory ECG. Mean changes from baseline at each visit for heart rate were similar between the active treatment groups and between the total LUM/IVA group and placebo group. Results for all measures of ectopic beats were similar in the LUM/IVA group and the placebo group at </w:t>
      </w:r>
      <w:r w:rsidR="002C65F4" w:rsidRPr="00E80040">
        <w:t>all-time</w:t>
      </w:r>
      <w:r w:rsidRPr="00E80040">
        <w:t xml:space="preserve"> points. The proportion of abnormal findings between each of the active treatment groups was similar, and the overall proportion of abnormal findings between the overall treatment groups was similar to the placebo group. No clinically meaningful trends were identified in the ambulatory ECG data for the total LUM/IVA group compared with placebo or for the LUM 400 mg q12h/IVA 250 mg q12 group compared with the LUM </w:t>
      </w:r>
      <w:r w:rsidR="00E74C81">
        <w:t>600 mg qd/IVA 250 mg q12 group.</w:t>
      </w:r>
    </w:p>
    <w:p w:rsidR="00BE43FE" w:rsidRPr="00374CC3" w:rsidRDefault="00E80040" w:rsidP="00374CC3">
      <w:r w:rsidRPr="00E80040">
        <w:t xml:space="preserve">Overall, the only AE related to ECG abnormalities that occurred in more than 1 subject was tachycardia (2 </w:t>
      </w:r>
      <w:r w:rsidR="004E6042">
        <w:t>(</w:t>
      </w:r>
      <w:r w:rsidRPr="00E80040">
        <w:t>0.3%</w:t>
      </w:r>
      <w:r w:rsidR="004E6042">
        <w:t>)</w:t>
      </w:r>
      <w:r w:rsidRPr="00E80040">
        <w:t xml:space="preserve"> subjects in the total LUM/IVA group, 1 </w:t>
      </w:r>
      <w:r w:rsidR="004E6042">
        <w:t>(</w:t>
      </w:r>
      <w:r w:rsidRPr="00E80040">
        <w:t>0.3%</w:t>
      </w:r>
      <w:r w:rsidR="004E6042">
        <w:t>)</w:t>
      </w:r>
      <w:r w:rsidRPr="00E80040">
        <w:t xml:space="preserve"> subject in the placebo group). There were no clinically meaningful differences between the LUM 400 mg q12h/ IVA 250 mg q12h and LUM 600 mg qd/IVA 250 mg q12h groups (Table 8.8.4, p415). All events were </w:t>
      </w:r>
      <w:r w:rsidRPr="00E80040">
        <w:lastRenderedPageBreak/>
        <w:t>mild or moderate in severity, with the exception of 1 event of electrocardiogram T wave inversion which was severe. One subject had an SAE</w:t>
      </w:r>
      <w:r>
        <w:rPr>
          <w:rStyle w:val="FootnoteReference"/>
        </w:rPr>
        <w:footnoteReference w:id="26"/>
      </w:r>
      <w:r w:rsidRPr="00E80040">
        <w:t xml:space="preserve"> considered related or possibly related to </w:t>
      </w:r>
      <w:r w:rsidRPr="00374CC3">
        <w:t>ECG assessment.</w:t>
      </w:r>
    </w:p>
    <w:p w:rsidR="00374CC3" w:rsidRPr="00374CC3" w:rsidRDefault="00E74C81" w:rsidP="00374CC3">
      <w:r>
        <w:t xml:space="preserve">One subject had a treatment </w:t>
      </w:r>
      <w:r w:rsidR="00374CC3" w:rsidRPr="00374CC3">
        <w:t>related ECG adverse event</w:t>
      </w:r>
      <w:r>
        <w:t>.</w:t>
      </w:r>
      <w:r w:rsidR="00374CC3">
        <w:rPr>
          <w:rStyle w:val="FootnoteReference"/>
        </w:rPr>
        <w:footnoteReference w:id="27"/>
      </w:r>
    </w:p>
    <w:p w:rsidR="00374CC3" w:rsidRPr="00374CC3" w:rsidRDefault="00E74C81" w:rsidP="00374CC3">
      <w:pPr>
        <w:pStyle w:val="Heading5"/>
      </w:pPr>
      <w:r>
        <w:t>Other studies</w:t>
      </w:r>
    </w:p>
    <w:p w:rsidR="00374CC3" w:rsidRDefault="00374CC3" w:rsidP="00374CC3">
      <w:pPr>
        <w:pStyle w:val="Heading6"/>
      </w:pPr>
      <w:r w:rsidRPr="00374CC3">
        <w:t xml:space="preserve">Long-term </w:t>
      </w:r>
      <w:r w:rsidR="004E6042">
        <w:t>Study</w:t>
      </w:r>
      <w:r w:rsidR="00E74C81">
        <w:t xml:space="preserve"> 105</w:t>
      </w:r>
    </w:p>
    <w:p w:rsidR="00374CC3" w:rsidRPr="00374CC3" w:rsidRDefault="00374CC3" w:rsidP="00374CC3">
      <w:r w:rsidRPr="00374CC3">
        <w:t>There were</w:t>
      </w:r>
      <w:r w:rsidR="00E74C81">
        <w:t xml:space="preserve"> no significant changes in ECG.</w:t>
      </w:r>
    </w:p>
    <w:p w:rsidR="00374CC3" w:rsidRDefault="00511EB7" w:rsidP="00374CC3">
      <w:pPr>
        <w:pStyle w:val="Heading6"/>
      </w:pPr>
      <w:r>
        <w:t>Phase I</w:t>
      </w:r>
      <w:r w:rsidR="00E74C81">
        <w:t xml:space="preserve"> pooled studies</w:t>
      </w:r>
    </w:p>
    <w:p w:rsidR="00374CC3" w:rsidRPr="00374CC3" w:rsidRDefault="00374CC3" w:rsidP="00374CC3">
      <w:r w:rsidRPr="00374CC3">
        <w:t xml:space="preserve">No clinically relevant trends in ECG results were observed in the pooled </w:t>
      </w:r>
      <w:r w:rsidR="00511EB7">
        <w:t>Phase I</w:t>
      </w:r>
      <w:r w:rsidR="00E74C81">
        <w:t xml:space="preserve"> studies.</w:t>
      </w:r>
    </w:p>
    <w:p w:rsidR="00374CC3" w:rsidRDefault="00E74C81" w:rsidP="00374CC3">
      <w:pPr>
        <w:pStyle w:val="Heading6"/>
      </w:pPr>
      <w:r>
        <w:t>Other studies</w:t>
      </w:r>
    </w:p>
    <w:p w:rsidR="00374CC3" w:rsidRPr="00374CC3" w:rsidRDefault="00374CC3" w:rsidP="00374CC3">
      <w:r w:rsidRPr="00374CC3">
        <w:t xml:space="preserve">Results from the thorough QT </w:t>
      </w:r>
      <w:r w:rsidR="004E6042">
        <w:t>Study</w:t>
      </w:r>
      <w:r w:rsidR="009C50B7">
        <w:t xml:space="preserve"> 008 </w:t>
      </w:r>
      <w:r w:rsidRPr="00374CC3">
        <w:t>showed that therapeutic (600 mg qd) and supra</w:t>
      </w:r>
      <w:r w:rsidR="00E74C81">
        <w:t xml:space="preserve"> </w:t>
      </w:r>
      <w:r w:rsidRPr="00374CC3">
        <w:t>therapeutic (up to 1</w:t>
      </w:r>
      <w:r w:rsidR="00E74C81">
        <w:t>,</w:t>
      </w:r>
      <w:r w:rsidRPr="00374CC3">
        <w:t xml:space="preserve">200 mg qd) doses of lumacaftor were generally well tolerated. In Part A, there were no SAEs and the majority of AEs were mild or moderate in severity. Lumacaftor monotherapy was associated with a decline in percent predicted </w:t>
      </w:r>
      <w:r w:rsidR="00A8789D" w:rsidRPr="001D064D">
        <w:t>FEV</w:t>
      </w:r>
      <w:r w:rsidR="00A8789D" w:rsidRPr="00A8789D">
        <w:rPr>
          <w:vertAlign w:val="subscript"/>
        </w:rPr>
        <w:t>1</w:t>
      </w:r>
      <w:r w:rsidRPr="00374CC3">
        <w:t xml:space="preserve"> of approximately 6 percentage points in the overall active treatment group, which was evident within 4 hours of the first dose and which persisted, with only subtle improvement for most subjects, through Day 7. As the dose of lumacaftor increased, there was an increased incidence of respiratory AEs (namely, throat tightness, dyspnoea, and respiration abnormal). In Part B, there were no statistically significant relationships between QTcF changes with lumacaftor or ivacaftor concentrations, although a trend toward decreased QTcF interval was observed in the lumacaftor groups compared with the placebo group, which was not co</w:t>
      </w:r>
      <w:r w:rsidR="00E74C81">
        <w:t>nsidered clinically meaningful.</w:t>
      </w:r>
    </w:p>
    <w:p w:rsidR="00374CC3" w:rsidRPr="00374CC3" w:rsidRDefault="00E74C81" w:rsidP="00374CC3">
      <w:pPr>
        <w:pStyle w:val="Heading4"/>
      </w:pPr>
      <w:r>
        <w:t>Vital signs</w:t>
      </w:r>
    </w:p>
    <w:p w:rsidR="00374CC3" w:rsidRPr="00374CC3" w:rsidRDefault="00E74C81" w:rsidP="00374CC3">
      <w:pPr>
        <w:pStyle w:val="Heading5"/>
      </w:pPr>
      <w:r>
        <w:t>Pivotal studies</w:t>
      </w:r>
    </w:p>
    <w:p w:rsidR="00374CC3" w:rsidRPr="00374CC3" w:rsidRDefault="00374CC3" w:rsidP="00374CC3">
      <w:r w:rsidRPr="00374CC3">
        <w:t xml:space="preserve">Overall, there was a consistent trend towards increased mean weight and BMI in the total LUM/IVA group </w:t>
      </w:r>
      <w:r w:rsidR="00E74C81">
        <w:t>compared with the placebo group</w:t>
      </w:r>
      <w:r w:rsidRPr="00374CC3">
        <w:t xml:space="preserve">. The median BMI change from baseline to Week 24 was higher in the total LUM/IVA group (0.40 </w:t>
      </w:r>
      <w:r w:rsidR="004E6042">
        <w:t>(</w:t>
      </w:r>
      <w:r w:rsidR="00E74C81">
        <w:t xml:space="preserve">range: </w:t>
      </w:r>
      <w:r w:rsidR="00E74C81">
        <w:noBreakHyphen/>
      </w:r>
      <w:r w:rsidRPr="00374CC3">
        <w:t>4.0 to 4.2</w:t>
      </w:r>
      <w:r w:rsidR="004E6042">
        <w:t>)</w:t>
      </w:r>
      <w:r w:rsidRPr="00374CC3">
        <w:t xml:space="preserve"> kg/</w:t>
      </w:r>
      <w:r w:rsidR="00D933A6" w:rsidRPr="00EB7717">
        <w:t>m</w:t>
      </w:r>
      <w:r w:rsidR="00D933A6" w:rsidRPr="00D933A6">
        <w:rPr>
          <w:vertAlign w:val="superscript"/>
        </w:rPr>
        <w:t>2</w:t>
      </w:r>
      <w:r w:rsidRPr="00374CC3">
        <w:t xml:space="preserve">) compared with the placebo group (0.0 </w:t>
      </w:r>
      <w:r w:rsidR="004E6042">
        <w:t>(</w:t>
      </w:r>
      <w:r w:rsidR="00E74C81">
        <w:t xml:space="preserve">range: </w:t>
      </w:r>
      <w:r w:rsidR="00E74C81">
        <w:noBreakHyphen/>
      </w:r>
      <w:r w:rsidRPr="00374CC3">
        <w:t>3.6 to 4.9</w:t>
      </w:r>
      <w:r w:rsidR="004E6042">
        <w:t>)</w:t>
      </w:r>
      <w:r w:rsidRPr="00374CC3">
        <w:t xml:space="preserve"> kg/</w:t>
      </w:r>
      <w:r w:rsidR="00D933A6" w:rsidRPr="00EB7717">
        <w:t>m</w:t>
      </w:r>
      <w:r w:rsidR="00D933A6" w:rsidRPr="00D933A6">
        <w:rPr>
          <w:vertAlign w:val="superscript"/>
        </w:rPr>
        <w:t>2</w:t>
      </w:r>
      <w:r w:rsidRPr="00374CC3">
        <w:t>). In addition, the incidence of PCS weight increase (</w:t>
      </w:r>
      <w:r w:rsidR="00A91223">
        <w:t xml:space="preserve">≥ </w:t>
      </w:r>
      <w:r w:rsidRPr="00374CC3">
        <w:t>5% increase from baseline) was higher in the LUM/IVA group (31.9%) compared with the placebo group (20.3%), while the incidence of PCS weight decrease was lower the total LUM/IVA group (6.8%) compared with the placebo group (10.0%). Mean increases in weight and BMI were similar between the LUM 600 mg qd/IVA 250 mg q12h and the LUM 400 mg q12h/IVA 250 mg q12h group, however there was a higher incidence of PCS weight decrease in the LUM 400 mg q12h/ IVA 250 mg q12h group (9.0%) compared with the LUM 600 mg qd</w:t>
      </w:r>
      <w:r w:rsidR="00E74C81">
        <w:t>/ IVA 250 mg q12h group (4.6%).</w:t>
      </w:r>
    </w:p>
    <w:p w:rsidR="00374CC3" w:rsidRPr="00374CC3" w:rsidRDefault="00374CC3" w:rsidP="00374CC3">
      <w:r w:rsidRPr="00374CC3">
        <w:t xml:space="preserve">The mean laboratory values for body temperature, blood pressure, pulse rate, and respiratory rate were generally within normal limits. Mean decreases in systolic/ diastolic blood pressure and pulse rate were consistently observed at </w:t>
      </w:r>
      <w:r w:rsidR="002C65F4" w:rsidRPr="00374CC3">
        <w:t>all-time</w:t>
      </w:r>
      <w:r w:rsidRPr="00374CC3">
        <w:t xml:space="preserve"> points in the total LUM/IVA group compared with the placebo group. The incidences of PCS increase in SBP (0.5% total LUM/IVA, 0.5% placebo) and DBP (0% total LUM/IVA, 0.3% placebo) were similar in the placebo and total </w:t>
      </w:r>
      <w:r w:rsidRPr="00374CC3">
        <w:lastRenderedPageBreak/>
        <w:t xml:space="preserve">LUM/IVA. Overall, AEs related to vital signs were infrequent and only AE related to vital signs that occurred in </w:t>
      </w:r>
      <w:r w:rsidR="00A91223">
        <w:t xml:space="preserve">≥ </w:t>
      </w:r>
      <w:r w:rsidRPr="00374CC3">
        <w:t>5% subjects in any treatment group was pyrexia, which had a similar incidence in the total LUM/IVA group (9.2%) and placebo group (9.2%). There were no SAEs related to vital signs in the LUM 400 mg q12h/ IVA 250 mg q12h or placebo groups. Two subjects in the LUM 600 mg qd/ IVA 250 mg q12h group had SAEs related to vital s</w:t>
      </w:r>
      <w:r w:rsidR="00733FFE">
        <w:t>igns: pyrexia and hypertension.</w:t>
      </w:r>
    </w:p>
    <w:p w:rsidR="00374CC3" w:rsidRPr="00374CC3" w:rsidRDefault="00374CC3" w:rsidP="00374CC3">
      <w:r w:rsidRPr="00374CC3">
        <w:t>There were no clinically meaningful trends in oxygen saturation in any treat</w:t>
      </w:r>
      <w:r w:rsidR="00D46C80">
        <w:t xml:space="preserve">ment group during the treatment </w:t>
      </w:r>
      <w:r w:rsidRPr="00374CC3">
        <w:t>emergent period. Only 1 subject reported an adverse event related to oxygen saturation; the subject was in the LUM 600 mg qd/IVA 250</w:t>
      </w:r>
      <w:r w:rsidR="00733FFE">
        <w:t xml:space="preserve"> mg q12h group and had hypoxia.</w:t>
      </w:r>
    </w:p>
    <w:p w:rsidR="00374CC3" w:rsidRPr="00374CC3" w:rsidRDefault="00733FFE" w:rsidP="00374CC3">
      <w:pPr>
        <w:pStyle w:val="Heading5"/>
      </w:pPr>
      <w:r>
        <w:t>Other studies</w:t>
      </w:r>
    </w:p>
    <w:p w:rsidR="00AD0CF3" w:rsidRDefault="00374CC3" w:rsidP="00AD0CF3">
      <w:pPr>
        <w:pStyle w:val="Heading6"/>
      </w:pPr>
      <w:r w:rsidRPr="00374CC3">
        <w:t xml:space="preserve">Long-term </w:t>
      </w:r>
      <w:r w:rsidR="004E6042">
        <w:t>Study</w:t>
      </w:r>
      <w:r w:rsidR="00733FFE">
        <w:t xml:space="preserve"> 105</w:t>
      </w:r>
    </w:p>
    <w:p w:rsidR="00BE43FE" w:rsidRPr="00AD0CF3" w:rsidRDefault="00374CC3" w:rsidP="00AD0CF3">
      <w:r w:rsidRPr="00AD0CF3">
        <w:t>There were no clinically important trends attributable to lumacaftor in combination with ivacaftor identified from vital signs, physical examinations, standard ECGs, or pulse oximetry</w:t>
      </w:r>
      <w:r w:rsidR="00D46C80">
        <w:t>.</w:t>
      </w:r>
    </w:p>
    <w:p w:rsidR="00AD0CF3" w:rsidRDefault="00511EB7" w:rsidP="00AD0CF3">
      <w:pPr>
        <w:pStyle w:val="Heading6"/>
      </w:pPr>
      <w:r>
        <w:t>Phase I</w:t>
      </w:r>
      <w:r w:rsidR="00733FFE">
        <w:t xml:space="preserve"> pooled studies</w:t>
      </w:r>
    </w:p>
    <w:p w:rsidR="00AD0CF3" w:rsidRPr="00AD0CF3" w:rsidRDefault="00AD0CF3" w:rsidP="00AD0CF3">
      <w:r w:rsidRPr="00AD0CF3">
        <w:t xml:space="preserve">No clinically meaningful trends in vital signs were observed in the pooled </w:t>
      </w:r>
      <w:r w:rsidR="00511EB7">
        <w:t>Phase I</w:t>
      </w:r>
      <w:r w:rsidR="00733FFE">
        <w:t xml:space="preserve"> studies in healthy subjects.</w:t>
      </w:r>
    </w:p>
    <w:p w:rsidR="00AD0CF3" w:rsidRPr="00AD0CF3" w:rsidRDefault="00AD0CF3" w:rsidP="00AD0CF3">
      <w:pPr>
        <w:pStyle w:val="Heading4"/>
      </w:pPr>
      <w:r w:rsidRPr="00AD0CF3">
        <w:t>Additional analysis of specific AE</w:t>
      </w:r>
      <w:r w:rsidR="00733FFE">
        <w:t>s</w:t>
      </w:r>
    </w:p>
    <w:p w:rsidR="00AD0CF3" w:rsidRPr="00AD0CF3" w:rsidRDefault="00AD0CF3" w:rsidP="00AD0CF3">
      <w:pPr>
        <w:pStyle w:val="Heading5"/>
      </w:pPr>
      <w:r w:rsidRPr="00AD0CF3">
        <w:t>Liver-related AE</w:t>
      </w:r>
      <w:r w:rsidR="00733FFE">
        <w:t>s and laboratory abnormalities</w:t>
      </w:r>
    </w:p>
    <w:p w:rsidR="00AD0CF3" w:rsidRPr="00AD0CF3" w:rsidRDefault="00AD0CF3" w:rsidP="00AD0CF3">
      <w:r w:rsidRPr="00AD0CF3">
        <w:t xml:space="preserve">This has been discussed in detail in </w:t>
      </w:r>
      <w:r w:rsidR="00733FFE">
        <w:t>above.</w:t>
      </w:r>
    </w:p>
    <w:p w:rsidR="00AD0CF3" w:rsidRPr="00AD0CF3" w:rsidRDefault="00733FFE" w:rsidP="00AD0CF3">
      <w:pPr>
        <w:pStyle w:val="Heading5"/>
      </w:pPr>
      <w:r>
        <w:t>Respiratory AEs</w:t>
      </w:r>
    </w:p>
    <w:p w:rsidR="00AD0CF3" w:rsidRDefault="00AD0CF3" w:rsidP="00AD0CF3">
      <w:pPr>
        <w:pStyle w:val="Heading6"/>
      </w:pPr>
      <w:r w:rsidRPr="00AD0CF3">
        <w:t xml:space="preserve">Pooled pivotal </w:t>
      </w:r>
      <w:r w:rsidR="00511EB7">
        <w:t>Phase III</w:t>
      </w:r>
      <w:r w:rsidRPr="00AD0CF3">
        <w:t xml:space="preserve"> </w:t>
      </w:r>
      <w:r w:rsidR="00980975">
        <w:t>Studies</w:t>
      </w:r>
      <w:r w:rsidR="00733FFE">
        <w:t xml:space="preserve"> 103 and 104</w:t>
      </w:r>
    </w:p>
    <w:p w:rsidR="00AD0CF3" w:rsidRDefault="00AD0CF3" w:rsidP="00AD0CF3">
      <w:r w:rsidRPr="00AD0CF3">
        <w:t>Overall, a higher percentage of subjects had respiratory AESIs</w:t>
      </w:r>
      <w:r>
        <w:rPr>
          <w:rStyle w:val="FootnoteReference"/>
        </w:rPr>
        <w:footnoteReference w:id="28"/>
      </w:r>
      <w:r w:rsidRPr="00AD0CF3">
        <w:t xml:space="preserve"> in the total LUM/IVA group (26.3%) compared with the placebo group (17.0%); however, incidence was similar in the LUM 600 mg qd/IVA 250 mg q12h (26.8%) and LUM 400 mg q12h/ IVA 250 mg q12h (25.7%) groups. The incidence of AESIs of respiratory symptoms was higher in the total LUM/IVA group (22.9%) compared with the placebo group (13.8%) with similar incidence in the LUM 600 mg qd/IVA 250 mg q12h (23.8%) and the LUM 400 mg q12h/IVA 250 mg q12h (22.0%) groups. The incidence of AESIs of reactive airways was similar in the total LUM/IVA group (6.5%) compared with the placebo group (5.4%). The AESI of respiratory symptoms with the highest overall incidence was dyspnoea (11.9%), which had a higher incidence in the total LUM/IVA group (14.0% </w:t>
      </w:r>
      <w:r w:rsidR="004E6042">
        <w:t>(</w:t>
      </w:r>
      <w:r w:rsidRPr="00AD0CF3">
        <w:t>14.9% in the LUM 600 mg qd/IVA 250 mg q12h group and 13.0% in the LUM 400 mg q12h/IVA 250 mg q12h group</w:t>
      </w:r>
      <w:r w:rsidR="004E6042">
        <w:t>)</w:t>
      </w:r>
      <w:r w:rsidRPr="00AD0CF3">
        <w:t>) compared with the placebo group (7.</w:t>
      </w:r>
      <w:r w:rsidRPr="00D46C80">
        <w:t xml:space="preserve">8%) </w:t>
      </w:r>
      <w:proofErr w:type="gramStart"/>
      <w:r w:rsidRPr="00D46C80">
        <w:t xml:space="preserve">(Table </w:t>
      </w:r>
      <w:r w:rsidR="007831A2">
        <w:t>54</w:t>
      </w:r>
      <w:r w:rsidR="00D46C80">
        <w:t>).</w:t>
      </w:r>
      <w:proofErr w:type="gramEnd"/>
      <w:r w:rsidRPr="00AD0CF3">
        <w:t xml:space="preserve"> Four subjects in the LUM 600 mg qd/IVA 250 mg q12h group had SAEs of respiratory AESIs (2 subjects had SAE of dyspnoea and 2 subjects had SAE of bronchospasm). Of these, 3 SAEs (1 SAE of dyspnoea and both the SAEs of bronchospasm) were considered related to the study drug by the investigator. Five subjects in the LUM 600 mg qd/ IVA 250 mg q12h group discontinued treatment due to a non-serious respiratory AESI (2 subjects for dyspnoea, 2 subjects for bronchospasm, and 1 subject for respiration abnormal).</w:t>
      </w:r>
    </w:p>
    <w:p w:rsidR="00D46C80" w:rsidRDefault="007831A2" w:rsidP="00D46C80">
      <w:pPr>
        <w:pStyle w:val="Tabletitle"/>
      </w:pPr>
      <w:proofErr w:type="gramStart"/>
      <w:r>
        <w:lastRenderedPageBreak/>
        <w:t>Table 54.</w:t>
      </w:r>
      <w:proofErr w:type="gramEnd"/>
      <w:r w:rsidR="00D46C80">
        <w:t xml:space="preserve"> Summary of respiratory adverse events of special inter</w:t>
      </w:r>
      <w:r>
        <w:t>est: pooled placebo-controlled P</w:t>
      </w:r>
      <w:r w:rsidR="00D46C80">
        <w:t>hase IIII studies safety set</w:t>
      </w:r>
    </w:p>
    <w:p w:rsidR="00D46C80" w:rsidRPr="00D46C80" w:rsidRDefault="00D46C80" w:rsidP="00D46C80">
      <w:r>
        <w:rPr>
          <w:noProof/>
          <w:lang w:eastAsia="en-AU"/>
        </w:rPr>
        <w:drawing>
          <wp:inline distT="0" distB="0" distL="0" distR="0" wp14:anchorId="76011E2F" wp14:editId="23EFF51A">
            <wp:extent cx="5731510" cy="4797078"/>
            <wp:effectExtent l="0" t="0" r="2540" b="3810"/>
            <wp:docPr id="75" name="Picture 75" descr="Table 54. Summary of respiratory adverse events of special interest: pooled placebo-controlled Phase IIII studies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731510" cy="4797078"/>
                    </a:xfrm>
                    <a:prstGeom prst="rect">
                      <a:avLst/>
                    </a:prstGeom>
                  </pic:spPr>
                </pic:pic>
              </a:graphicData>
            </a:graphic>
          </wp:inline>
        </w:drawing>
      </w:r>
    </w:p>
    <w:p w:rsidR="00AD0CF3" w:rsidRPr="00AD0CF3" w:rsidRDefault="00AD0CF3" w:rsidP="00AD0CF3">
      <w:r w:rsidRPr="00AD0CF3">
        <w:t xml:space="preserve">One subject in the placebo group had chest discomfort and 1 subject in the LUM 600 mg qd/IVA 250 mg q12h group had dyspnoea leading to </w:t>
      </w:r>
      <w:r w:rsidR="00733FFE">
        <w:t>treatment interruption.</w:t>
      </w:r>
    </w:p>
    <w:p w:rsidR="00BE43FE" w:rsidRPr="00AD0CF3" w:rsidRDefault="00AD0CF3" w:rsidP="00AD0CF3">
      <w:r w:rsidRPr="00AD0CF3">
        <w:t>The majority of respiratory AESIs were mild or moderate in severity. Two subjects in the placebo group (1 subject each for dyspnoea and chest discomfort) and 4 subjects in the LUM 600 mg qd/IVA 250 mg q12h group (2 subjects each for dyspnoea and bronchospasm) had severe AESIs of respiratory symptoms or reactive airways.</w:t>
      </w:r>
    </w:p>
    <w:p w:rsidR="00AD0CF3" w:rsidRDefault="00AD0CF3" w:rsidP="00AD0CF3">
      <w:r w:rsidRPr="00AD0CF3">
        <w:t>Of the 169 subjects in the total LUM/IVA group, who had AESIs of respiratory symptoms, 131 subjects (77.5%) had these events within the first week on treatment. In the placebo group, only 14 of 51 subjects (27.5%) who had respiratory symptoms had these events in the first week. Beyond the first week on treatment, the incidence of AESI of respiratory symptoms was similar between the total LUM/IVA group and the placebo group (</w:t>
      </w:r>
      <w:r w:rsidRPr="00D46C80">
        <w:t xml:space="preserve">Table </w:t>
      </w:r>
      <w:r w:rsidR="007831A2">
        <w:t>55</w:t>
      </w:r>
      <w:r w:rsidRPr="00AD0CF3">
        <w:t xml:space="preserve">). The proportion of subjects with AESIs of reactive airways in the first week on treatment was higher in the total LUM/IVA group (21 of 48 subjects </w:t>
      </w:r>
      <w:r w:rsidR="004E6042">
        <w:t>(</w:t>
      </w:r>
      <w:r w:rsidRPr="00AD0CF3">
        <w:t>43.8%</w:t>
      </w:r>
      <w:r w:rsidR="004E6042">
        <w:t>)</w:t>
      </w:r>
      <w:r w:rsidRPr="00AD0CF3">
        <w:t xml:space="preserve">) compared with the placebo group (6 of 20 subjects </w:t>
      </w:r>
      <w:r w:rsidR="004E6042">
        <w:t>(</w:t>
      </w:r>
      <w:r w:rsidRPr="00AD0CF3">
        <w:t>30.0%</w:t>
      </w:r>
      <w:r w:rsidR="004E6042">
        <w:t>)</w:t>
      </w:r>
      <w:r w:rsidR="00733FFE">
        <w:t>).</w:t>
      </w:r>
    </w:p>
    <w:p w:rsidR="00D46C80" w:rsidRDefault="007831A2" w:rsidP="00D46C80">
      <w:pPr>
        <w:pStyle w:val="Tabletitle"/>
      </w:pPr>
      <w:proofErr w:type="gramStart"/>
      <w:r>
        <w:lastRenderedPageBreak/>
        <w:t>Table 55</w:t>
      </w:r>
      <w:r w:rsidR="00D46C80">
        <w:t>.</w:t>
      </w:r>
      <w:proofErr w:type="gramEnd"/>
      <w:r w:rsidR="00D46C80">
        <w:t xml:space="preserve"> Respiratory adverse events of special interest by treatment interval: pooled placebo controlled Phase III studies safety set</w:t>
      </w:r>
    </w:p>
    <w:p w:rsidR="00D46C80" w:rsidRPr="00D46C80" w:rsidRDefault="00D46C80" w:rsidP="00D46C80">
      <w:r>
        <w:rPr>
          <w:noProof/>
          <w:lang w:eastAsia="en-AU"/>
        </w:rPr>
        <w:drawing>
          <wp:inline distT="0" distB="0" distL="0" distR="0" wp14:anchorId="479A9BDE" wp14:editId="115A810C">
            <wp:extent cx="5259629" cy="4087451"/>
            <wp:effectExtent l="0" t="0" r="0" b="8890"/>
            <wp:docPr id="76" name="Picture 76" descr="Table 55. Respiratory adverse events of special interest by treatment interval: pooled placebo controlled Phase III studies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267346" cy="4093448"/>
                    </a:xfrm>
                    <a:prstGeom prst="rect">
                      <a:avLst/>
                    </a:prstGeom>
                  </pic:spPr>
                </pic:pic>
              </a:graphicData>
            </a:graphic>
          </wp:inline>
        </w:drawing>
      </w:r>
    </w:p>
    <w:p w:rsidR="00AD0CF3" w:rsidRPr="00AD0CF3" w:rsidRDefault="00733FFE" w:rsidP="00AD0CF3">
      <w:r>
        <w:t xml:space="preserve">The median time to </w:t>
      </w:r>
      <w:r w:rsidR="00AD0CF3" w:rsidRPr="00AD0CF3">
        <w:t>onset of the first AESI of respiratory symptoms was lower in the total LUM/IVA group (2 days</w:t>
      </w:r>
      <w:r>
        <w:t xml:space="preserve">) compared with the median time to </w:t>
      </w:r>
      <w:r w:rsidR="00AD0CF3" w:rsidRPr="00AD0CF3">
        <w:t>onset in the placebo group (43 days). The mean duration of events was 18.5 days for the total LUM/IVA treatment group and 12.9 days for the</w:t>
      </w:r>
      <w:r>
        <w:t xml:space="preserve"> placebo group. The median time to </w:t>
      </w:r>
      <w:r w:rsidR="00AD0CF3" w:rsidRPr="00AD0CF3">
        <w:t>onset of the first AESI of reactive airways was 14 days for the total LUM/IVA group and 22 days for the placebo group. In the active treatment groups, the median time-to-onset of the first AESI of reactive airways was lower in the LUM 600 mg qd/ IVA 250 mg q12h group (5 days) compared with the LUM 400 mg q12h/ IVA 250 mg q12h group (50 days). The mean duration of events was 21.3 days for the total LUM/IVA group and 14.6 days for the placebo group</w:t>
      </w:r>
      <w:r>
        <w:t>.</w:t>
      </w:r>
    </w:p>
    <w:p w:rsidR="002367AA" w:rsidRPr="002367AA" w:rsidRDefault="00AD0CF3" w:rsidP="002367AA">
      <w:r w:rsidRPr="002367AA">
        <w:t xml:space="preserve">Most subjects with respiratory AESIs were using an inhaled bronchodilator prior to first dose of the study drug in the total LUM/IVA group (94.8%) and the placebo group (98.4%). The incidence of respiratory AESIs was similar in subjects who had prior use of an inhaled bronchodilator in the total LUM/IVA group and placebo group. There were no notable differences in respiratory AEs in subgroups based on percent predicted </w:t>
      </w:r>
      <w:r w:rsidR="00A8789D" w:rsidRPr="001D064D">
        <w:t>FEV</w:t>
      </w:r>
      <w:r w:rsidR="00A8789D" w:rsidRPr="00A8789D">
        <w:rPr>
          <w:vertAlign w:val="subscript"/>
        </w:rPr>
        <w:t>1</w:t>
      </w:r>
      <w:r w:rsidRPr="002367AA">
        <w:t xml:space="preserve"> </w:t>
      </w:r>
      <w:r w:rsidR="00A91223">
        <w:t xml:space="preserve">≥ </w:t>
      </w:r>
      <w:r w:rsidRPr="002367AA">
        <w:t xml:space="preserve">70 or </w:t>
      </w:r>
      <w:r w:rsidR="00511EB7">
        <w:t xml:space="preserve">&lt; </w:t>
      </w:r>
      <w:r w:rsidRPr="002367AA">
        <w:t>70 at screening with the exception of dyspnoea, which was more than twice as common in subjects with percent predicted</w:t>
      </w:r>
      <w:r w:rsidR="002367AA" w:rsidRPr="002367AA">
        <w:t xml:space="preserve"> </w:t>
      </w:r>
      <w:r w:rsidR="00A8789D" w:rsidRPr="001D064D">
        <w:t>FEV</w:t>
      </w:r>
      <w:r w:rsidR="00A8789D" w:rsidRPr="00A8789D">
        <w:rPr>
          <w:vertAlign w:val="subscript"/>
        </w:rPr>
        <w:t>1</w:t>
      </w:r>
      <w:r w:rsidR="002367AA" w:rsidRPr="002367AA">
        <w:t xml:space="preserve"> </w:t>
      </w:r>
      <w:r w:rsidR="00511EB7">
        <w:t xml:space="preserve">&lt; </w:t>
      </w:r>
      <w:r w:rsidR="002367AA" w:rsidRPr="002367AA">
        <w:t xml:space="preserve">70 at Screening compared with those </w:t>
      </w:r>
      <w:r w:rsidR="00511EB7">
        <w:t xml:space="preserve">&gt; </w:t>
      </w:r>
      <w:r w:rsidR="002367AA" w:rsidRPr="002367AA">
        <w:t xml:space="preserve">70. The incidence of dyspnoea was also twice as common in subjects in the total LUM/IVA group compared with the placebo group regardless of </w:t>
      </w:r>
      <w:r w:rsidR="00A8789D" w:rsidRPr="001D064D">
        <w:t>FEV</w:t>
      </w:r>
      <w:r w:rsidR="00A8789D" w:rsidRPr="00A8789D">
        <w:rPr>
          <w:vertAlign w:val="subscript"/>
        </w:rPr>
        <w:t>1</w:t>
      </w:r>
      <w:r w:rsidR="002367AA" w:rsidRPr="002367AA">
        <w:t xml:space="preserve"> at Screening (</w:t>
      </w:r>
      <w:r w:rsidR="00A8789D" w:rsidRPr="001D064D">
        <w:t>FEV</w:t>
      </w:r>
      <w:r w:rsidR="00A8789D" w:rsidRPr="00A8789D">
        <w:rPr>
          <w:vertAlign w:val="subscript"/>
        </w:rPr>
        <w:t>1</w:t>
      </w:r>
      <w:r w:rsidR="002367AA" w:rsidRPr="002367AA">
        <w:t xml:space="preserve"> </w:t>
      </w:r>
      <w:r w:rsidR="00511EB7">
        <w:t xml:space="preserve">&lt; </w:t>
      </w:r>
      <w:r w:rsidR="002367AA" w:rsidRPr="002367AA">
        <w:t xml:space="preserve">70 and </w:t>
      </w:r>
      <w:r w:rsidR="00A8789D" w:rsidRPr="001D064D">
        <w:t>FEV</w:t>
      </w:r>
      <w:r w:rsidR="00A8789D" w:rsidRPr="00A8789D">
        <w:rPr>
          <w:vertAlign w:val="subscript"/>
        </w:rPr>
        <w:t>1</w:t>
      </w:r>
      <w:r w:rsidR="002367AA" w:rsidRPr="002367AA">
        <w:t xml:space="preserve"> </w:t>
      </w:r>
      <w:r w:rsidR="00A91223">
        <w:t xml:space="preserve">≥ </w:t>
      </w:r>
      <w:r w:rsidR="002367AA" w:rsidRPr="002367AA">
        <w:t xml:space="preserve">70). Similar trends were observed when incidence of respiratory AEs was analysed in subgroups based on percent predicted </w:t>
      </w:r>
      <w:r w:rsidR="00A8789D" w:rsidRPr="001D064D">
        <w:t>FEV</w:t>
      </w:r>
      <w:r w:rsidR="00A8789D" w:rsidRPr="00A8789D">
        <w:rPr>
          <w:vertAlign w:val="subscript"/>
        </w:rPr>
        <w:t>1</w:t>
      </w:r>
      <w:r w:rsidR="002367AA" w:rsidRPr="002367AA">
        <w:t xml:space="preserve"> </w:t>
      </w:r>
      <w:r w:rsidR="00511EB7">
        <w:t xml:space="preserve">&lt; </w:t>
      </w:r>
      <w:r w:rsidR="002367AA" w:rsidRPr="002367AA">
        <w:t xml:space="preserve">40 or </w:t>
      </w:r>
      <w:r w:rsidR="00511EB7">
        <w:t xml:space="preserve">&gt; </w:t>
      </w:r>
      <w:r w:rsidR="007339AE">
        <w:t>40 at screening.</w:t>
      </w:r>
      <w:r w:rsidR="002367AA" w:rsidRPr="002367AA">
        <w:t xml:space="preserve"> The incidence of dyspnoea and respiration abnormal was higher in subjects 18 years of age or older in both the total LUM/IVA group and the placebo group. The incidence of other respiratory AESIs was similar in subjects 18 years of age or older and subjects less than 18 years of age</w:t>
      </w:r>
      <w:r w:rsidR="00733FFE">
        <w:t>.</w:t>
      </w:r>
    </w:p>
    <w:p w:rsidR="00AB047C" w:rsidRPr="002367AA" w:rsidRDefault="002367AA" w:rsidP="002367AA">
      <w:r w:rsidRPr="002367AA">
        <w:lastRenderedPageBreak/>
        <w:t xml:space="preserve">During the long-term </w:t>
      </w:r>
      <w:r w:rsidR="004E6042">
        <w:t>Study</w:t>
      </w:r>
      <w:r w:rsidRPr="002367AA">
        <w:t xml:space="preserve"> 105 Part </w:t>
      </w:r>
      <w:proofErr w:type="gramStart"/>
      <w:r w:rsidRPr="002367AA">
        <w:t>A</w:t>
      </w:r>
      <w:proofErr w:type="gramEnd"/>
      <w:r w:rsidRPr="002367AA">
        <w:t xml:space="preserve"> Current Study Period, a total of 141 (13.7%) subjects had AESIs of respiratory symptoms. The incidence of AESIs of respiratory symptoms was higher in subjects who received placebo in the parent studies (20.9% and 22.2% for the placebo/LUM 600 mg qd/IVA 250 mg q12h group and placebo/LUM 400 mg q12h/IVA 250 mg q12h group, respectively) compared with subjects who received active treatment in the parent study (9.9% and 9.4% for the continuous LUM 600 mg qd/IVA 250 mg q12h group and continuous LUM 400 mg q12h/IVA 250 mg q12h group</w:t>
      </w:r>
      <w:r w:rsidR="00733FFE">
        <w:t xml:space="preserve">, respectively) The median time to </w:t>
      </w:r>
      <w:r w:rsidRPr="002367AA">
        <w:t>onset of the first AESI of respiratory symptoms was 1 day for both the placebo/LUM 600 mg qd/IVA 250 mg q12h group and placebo/LUM 400 mg q12h/IVA 250 mg q12h group. The mean duration of AESI of respiratory symptoms events for the 4 treatment groups ranged from 17.2 days to 36 days. A total of 34 (3.3%) subjects had AESIs of reactive airways. The incidence of AESIs of reactive airways was similar between all 4 treatment groups (range: 2.4% to 5.1%) and the mean duration of AESI of reactive airways events ranged from 28.1 days to 40.4 days.</w:t>
      </w:r>
    </w:p>
    <w:p w:rsidR="002367AA" w:rsidRPr="002367AA" w:rsidRDefault="002367AA" w:rsidP="002367AA">
      <w:r w:rsidRPr="002367AA">
        <w:t xml:space="preserve">Five subjects (0.5%) had SAEs of AESI of respiratory symptoms (1 subject in the continuous LUM 600 mg qd/IVA 250 mg q12h group, 1 subject in the placebo/LUM 600 mg qd/IVA 250 mg q12h group, and 3 subjects in the placebo/LUM 400 mg q12h/IVA 250 mg q12h group) and 1 subject in the continuous LUM 400 mg q12h/IVA 250 mg q12h group had SAE of AESI of reactive airways. Overall, 13 (1.3%) subjects discontinued treatment due to an AESI of respiratory symptoms (3 </w:t>
      </w:r>
      <w:r w:rsidR="004E6042">
        <w:t>(</w:t>
      </w:r>
      <w:r w:rsidRPr="002367AA">
        <w:t>0.9%</w:t>
      </w:r>
      <w:r w:rsidR="004E6042">
        <w:t>)</w:t>
      </w:r>
      <w:r w:rsidRPr="002367AA">
        <w:t xml:space="preserve"> subjects in the continuous LUM 600 mg qd/IVA 250 mg q12h group, 4 </w:t>
      </w:r>
      <w:r w:rsidR="004E6042">
        <w:t>(</w:t>
      </w:r>
      <w:r w:rsidRPr="002367AA">
        <w:t>2.3%</w:t>
      </w:r>
      <w:r w:rsidR="004E6042">
        <w:t>)</w:t>
      </w:r>
      <w:r w:rsidRPr="002367AA">
        <w:t xml:space="preserve"> subjects in the placebo/LUM 600 mg qd/IVA 250 mg q12h group, 2 </w:t>
      </w:r>
      <w:r w:rsidR="004E6042">
        <w:t>(</w:t>
      </w:r>
      <w:r w:rsidRPr="002367AA">
        <w:t>0.6%</w:t>
      </w:r>
      <w:r w:rsidR="004E6042">
        <w:t>)</w:t>
      </w:r>
      <w:r w:rsidRPr="002367AA">
        <w:t xml:space="preserve"> subjects in the continuous LUM 400 mg q12h/IVA 250 mg q12h group, and 4 </w:t>
      </w:r>
      <w:r w:rsidR="004E6042">
        <w:t>(</w:t>
      </w:r>
      <w:r w:rsidRPr="002367AA">
        <w:t>2.3%</w:t>
      </w:r>
      <w:r w:rsidR="004E6042">
        <w:t>)</w:t>
      </w:r>
      <w:r w:rsidRPr="002367AA">
        <w:t xml:space="preserve"> subjects in the placebo/ LUM 400 mg q12h/IVA 250 mg q12h group). None of the AESI of reactive airways le</w:t>
      </w:r>
      <w:r w:rsidR="00733FFE">
        <w:t>d to treatment discontinuation.</w:t>
      </w:r>
    </w:p>
    <w:p w:rsidR="002367AA" w:rsidRPr="002367AA" w:rsidRDefault="00733FFE" w:rsidP="002367AA">
      <w:pPr>
        <w:pStyle w:val="Heading5"/>
      </w:pPr>
      <w:r>
        <w:t>Menstrual abnormalities</w:t>
      </w:r>
    </w:p>
    <w:p w:rsidR="00C64606" w:rsidRDefault="002367AA" w:rsidP="002367AA">
      <w:r w:rsidRPr="002367AA">
        <w:t xml:space="preserve">In the pooled </w:t>
      </w:r>
      <w:r w:rsidR="003C1B2B">
        <w:t>placebo controlled</w:t>
      </w:r>
      <w:r w:rsidRPr="002367AA">
        <w:t xml:space="preserve"> </w:t>
      </w:r>
      <w:r w:rsidR="00511EB7">
        <w:t>Phase III</w:t>
      </w:r>
      <w:r w:rsidRPr="002367AA">
        <w:t xml:space="preserve"> studies, the incidence of AEs in the system organ class reproductive and breast system disorders was higher in the total LUM/IVA group (5.4%) compared with the placebo group (1.9%). The incidence of M</w:t>
      </w:r>
      <w:r w:rsidR="00733FFE">
        <w:t>enstrual Abnormality CMQ events</w:t>
      </w:r>
      <w:r>
        <w:rPr>
          <w:rStyle w:val="FootnoteReference"/>
        </w:rPr>
        <w:footnoteReference w:id="29"/>
      </w:r>
      <w:r w:rsidR="00511EB7">
        <w:t xml:space="preserve"> </w:t>
      </w:r>
      <w:r w:rsidRPr="002367AA">
        <w:t xml:space="preserve">was higher in female subjects in the total LUM/IVA group (9.9%) compared with the placebo group (1.7%). An association was identified in menstrual abnormality events among subjects using hormonal contraceptives with the incidence of CMQ events in the total LUM/IVA group of 25.0% compared with 1.9% in the placebo group. The AEs that were most frequently reported in the total LUM/IVA group for female subjects using hormonal contraceptives were menstruation irregular (8.3%) and metrorrhagia (7.4%). Overall, the incidence of Menstrual Abnormality CMQ adverse events was similar in the LUM 600 mg qd/IVA 250 mg q12h group (9.3%) and the LUM 400 mg q12h/ IVA 250 mg q12h group (10.4%) </w:t>
      </w:r>
      <w:proofErr w:type="gramStart"/>
      <w:r w:rsidRPr="00C64606">
        <w:t xml:space="preserve">(Table </w:t>
      </w:r>
      <w:r w:rsidR="007831A2">
        <w:t>56</w:t>
      </w:r>
      <w:r w:rsidRPr="002367AA">
        <w:t>)</w:t>
      </w:r>
      <w:r w:rsidR="007831A2">
        <w:t>.</w:t>
      </w:r>
      <w:proofErr w:type="gramEnd"/>
    </w:p>
    <w:p w:rsidR="00C64606" w:rsidRDefault="007831A2" w:rsidP="00C64606">
      <w:pPr>
        <w:pStyle w:val="Tabletitle"/>
      </w:pPr>
      <w:proofErr w:type="gramStart"/>
      <w:r>
        <w:lastRenderedPageBreak/>
        <w:t>Table 56</w:t>
      </w:r>
      <w:r w:rsidR="002A5A3A">
        <w:t>.</w:t>
      </w:r>
      <w:proofErr w:type="gramEnd"/>
      <w:r w:rsidR="00C64606">
        <w:t xml:space="preserve"> Incidence of menstrual abnormality CMQ adverse events in female subjects by preferred term and hormonal contraceptive use: pooled placebo controlled Phase III studies safety set</w:t>
      </w:r>
    </w:p>
    <w:p w:rsidR="00C64606" w:rsidRPr="00C64606" w:rsidRDefault="00C64606" w:rsidP="00C64606">
      <w:r>
        <w:rPr>
          <w:noProof/>
          <w:lang w:eastAsia="en-AU"/>
        </w:rPr>
        <w:drawing>
          <wp:inline distT="0" distB="0" distL="0" distR="0" wp14:anchorId="58156454" wp14:editId="47B6C27B">
            <wp:extent cx="5397351" cy="6590995"/>
            <wp:effectExtent l="0" t="0" r="0" b="635"/>
            <wp:docPr id="77" name="Picture 77" descr="Table 56 Incidence of menstrual abnormality CMQ adverse events in female subjects by preferred term and hormonal contraceptive use: pooled placebo controlled Phase III studies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396124" cy="6589496"/>
                    </a:xfrm>
                    <a:prstGeom prst="rect">
                      <a:avLst/>
                    </a:prstGeom>
                  </pic:spPr>
                </pic:pic>
              </a:graphicData>
            </a:graphic>
          </wp:inline>
        </w:drawing>
      </w:r>
    </w:p>
    <w:p w:rsidR="002367AA" w:rsidRPr="002367AA" w:rsidRDefault="002367AA" w:rsidP="002367AA">
      <w:r w:rsidRPr="002367AA">
        <w:t xml:space="preserve">In the long-term </w:t>
      </w:r>
      <w:r w:rsidR="004E6042">
        <w:t>Study</w:t>
      </w:r>
      <w:r w:rsidRPr="002367AA">
        <w:t xml:space="preserve"> 105, of the 503 female subjects, 144 subjects used hormonal contraceptives as a concomitant medication. Similar to the result of the pooled analysis of Studies 103/104, the incidence of Menstrual Abnormality CMQ in female subjects in </w:t>
      </w:r>
      <w:r w:rsidR="004E6042">
        <w:t>Study</w:t>
      </w:r>
      <w:r w:rsidRPr="002367AA">
        <w:t xml:space="preserve"> 105 Part A was 8.3% in subjects using hormonal contraceptives and 1.7% in subjects not using hormonal contraceptives.</w:t>
      </w:r>
    </w:p>
    <w:p w:rsidR="002367AA" w:rsidRPr="002367AA" w:rsidRDefault="002367AA" w:rsidP="002367AA">
      <w:r w:rsidRPr="002367AA">
        <w:t xml:space="preserve">In </w:t>
      </w:r>
      <w:r w:rsidR="004E6042">
        <w:t>Study</w:t>
      </w:r>
      <w:r w:rsidRPr="002367AA">
        <w:t xml:space="preserve"> 008 Part B, an increased incidence of metrorrhagia was observed (23.6% in the pooled LUM/IVA group and 5.2% in the pooled placebo group), with the majority of events in subjects</w:t>
      </w:r>
      <w:r>
        <w:t xml:space="preserve"> </w:t>
      </w:r>
      <w:r w:rsidRPr="002367AA">
        <w:lastRenderedPageBreak/>
        <w:t xml:space="preserve">using hormonal contraceptives, while receiving lumacaftor at a therapeutic (LUM 600 mg qd/IVA 250 mg q12h) or supratherapeutic (1000 mg qd/IVA 450 mg q12h) </w:t>
      </w:r>
      <w:r w:rsidR="00537390">
        <w:t>dose for 7 days.</w:t>
      </w:r>
    </w:p>
    <w:p w:rsidR="002367AA" w:rsidRPr="002367AA" w:rsidRDefault="002367AA" w:rsidP="002367AA">
      <w:r w:rsidRPr="002367AA">
        <w:t>Overall, menstrual abnormalities were predominantly observed in subjects who were using hormonal contraceptives. The effect of LUM/IVA on the PK of hormonal contraceptives is not known. However, because lumacaftor is a CYP3A inducer, it could reduce hormonal contraceptive exposure, which could result in disruption of the menstrual cycle, although the exact aetiology of this effect is not known. There was no apparent relationship for incidence of menstrual abnormalities and lumacaftor dose in</w:t>
      </w:r>
      <w:r w:rsidR="00733FFE">
        <w:t xml:space="preserve"> Studies 008, 103, 104, or 105.</w:t>
      </w:r>
    </w:p>
    <w:p w:rsidR="002367AA" w:rsidRPr="002367AA" w:rsidRDefault="00733FFE" w:rsidP="002367AA">
      <w:pPr>
        <w:pStyle w:val="Heading4"/>
      </w:pPr>
      <w:r>
        <w:t xml:space="preserve">Other safety parameter: </w:t>
      </w:r>
      <w:r w:rsidR="002C65F4">
        <w:t>o</w:t>
      </w:r>
      <w:r w:rsidR="002C65F4" w:rsidRPr="002367AA">
        <w:t>phthalmological</w:t>
      </w:r>
      <w:r w:rsidR="002367AA" w:rsidRPr="002367AA">
        <w:t xml:space="preserve"> evaluations</w:t>
      </w:r>
    </w:p>
    <w:p w:rsidR="002367AA" w:rsidRPr="002367AA" w:rsidRDefault="002367AA" w:rsidP="002367AA">
      <w:r w:rsidRPr="002367AA">
        <w:t xml:space="preserve">During the LUM/IVA development program, ophthalmologic exams were not conducted during study conduct except in Studies 103/104, where subjects underwent an ophthalmologic examination performed by a licensed ophthalmologist at screening or within 3 months of the Screening Visit. Studies 103/104 enrolled subjects with no history of cataract or lens opacity or no evidence of cataract or lens opacity determined to be clinically significant by the ophthalmologist at the Screening Visit. Through the 24 weeks of treatment in Studies 103/104, and in available rollover </w:t>
      </w:r>
      <w:r w:rsidR="004E6042">
        <w:t>Study</w:t>
      </w:r>
      <w:r w:rsidRPr="002367AA">
        <w:t xml:space="preserve"> 105 data to date, there have been no </w:t>
      </w:r>
      <w:r w:rsidR="007831A2">
        <w:t>AEs related to cataracts.</w:t>
      </w:r>
    </w:p>
    <w:p w:rsidR="002367AA" w:rsidRPr="002367AA" w:rsidRDefault="00733FFE" w:rsidP="002367AA">
      <w:pPr>
        <w:pStyle w:val="Heading3"/>
      </w:pPr>
      <w:bookmarkStart w:id="36" w:name="_Toc461121059"/>
      <w:r>
        <w:t>Post-marketing experience</w:t>
      </w:r>
      <w:bookmarkEnd w:id="36"/>
    </w:p>
    <w:p w:rsidR="002367AA" w:rsidRPr="002367AA" w:rsidRDefault="002367AA" w:rsidP="002367AA">
      <w:r w:rsidRPr="002367AA">
        <w:t>No post marketing data su</w:t>
      </w:r>
      <w:r w:rsidR="00733FFE">
        <w:t>bmitted in the current dossier.</w:t>
      </w:r>
    </w:p>
    <w:p w:rsidR="002367AA" w:rsidRPr="002367AA" w:rsidRDefault="002367AA" w:rsidP="002367AA">
      <w:pPr>
        <w:pStyle w:val="Heading3"/>
      </w:pPr>
      <w:bookmarkStart w:id="37" w:name="_Toc461121060"/>
      <w:r w:rsidRPr="002367AA">
        <w:t>Safety issues with the potent</w:t>
      </w:r>
      <w:r w:rsidR="00733FFE">
        <w:t>ial for major regulatory impact</w:t>
      </w:r>
      <w:bookmarkEnd w:id="37"/>
    </w:p>
    <w:p w:rsidR="002367AA" w:rsidRPr="002367AA" w:rsidRDefault="00733FFE" w:rsidP="002367AA">
      <w:pPr>
        <w:pStyle w:val="Heading4"/>
      </w:pPr>
      <w:r>
        <w:t>Liver toxicity</w:t>
      </w:r>
    </w:p>
    <w:p w:rsidR="002367AA" w:rsidRPr="002367AA" w:rsidRDefault="002367AA" w:rsidP="002367AA">
      <w:r w:rsidRPr="002367AA">
        <w:t xml:space="preserve">In the pooled </w:t>
      </w:r>
      <w:r w:rsidR="003C1B2B">
        <w:t>placebo controlled</w:t>
      </w:r>
      <w:r w:rsidRPr="002367AA">
        <w:t xml:space="preserve"> studies (Studies 103/104), 5.7% of subjects had elevated transaminases or hepatobiliary disorder related adverse events in the total LUM/IVA group compared with 5.4% of subjects in the placebo group. The overall incidence of elevated liver enzymes (</w:t>
      </w:r>
      <w:r w:rsidR="00511EB7">
        <w:t xml:space="preserve">&gt; </w:t>
      </w:r>
      <w:r w:rsidRPr="002367AA">
        <w:t xml:space="preserve">3 × ULN) was low and similar in the total LUM/IVA group (5.2%) and the placebo group (5.1%). Transaminase elevations of </w:t>
      </w:r>
      <w:r w:rsidR="00511EB7">
        <w:t xml:space="preserve">&gt; </w:t>
      </w:r>
      <w:r w:rsidRPr="002367AA">
        <w:t xml:space="preserve">5 × ULN were </w:t>
      </w:r>
      <w:r w:rsidR="00A91223">
        <w:t xml:space="preserve">≤ </w:t>
      </w:r>
      <w:r w:rsidRPr="002367AA">
        <w:t xml:space="preserve">2% and </w:t>
      </w:r>
      <w:r w:rsidR="00511EB7">
        <w:t xml:space="preserve">&gt; </w:t>
      </w:r>
      <w:r w:rsidRPr="002367AA">
        <w:t xml:space="preserve">8 × ULN were </w:t>
      </w:r>
      <w:r w:rsidR="00511EB7">
        <w:t xml:space="preserve">&lt; </w:t>
      </w:r>
      <w:r w:rsidRPr="002367AA">
        <w:t xml:space="preserve">1% in both the total LUM/IVA and placebo groups. The incidence of AESIs of elevated transaminases continued to be low in </w:t>
      </w:r>
      <w:r w:rsidR="004E6042">
        <w:t>Study</w:t>
      </w:r>
      <w:r w:rsidR="00733FFE">
        <w:t xml:space="preserve"> 105.</w:t>
      </w:r>
    </w:p>
    <w:p w:rsidR="002367AA" w:rsidRPr="002367AA" w:rsidRDefault="002367AA" w:rsidP="002367AA">
      <w:r w:rsidRPr="002367AA">
        <w:t xml:space="preserve">In the pooled </w:t>
      </w:r>
      <w:r w:rsidR="003C1B2B">
        <w:t>placebo controlled</w:t>
      </w:r>
      <w:r w:rsidRPr="002367AA">
        <w:t xml:space="preserve"> </w:t>
      </w:r>
      <w:r w:rsidR="00511EB7">
        <w:t>Phase III</w:t>
      </w:r>
      <w:r w:rsidRPr="002367AA">
        <w:t xml:space="preserve"> Studies, 7 subjects in the total LUM/IVA group had SAEs associated with elevated transaminases or hepatobiliary adverse events. In 3 cases with associated clinical AEs (</w:t>
      </w:r>
      <w:r w:rsidR="007138B8">
        <w:t>for example</w:t>
      </w:r>
      <w:r w:rsidRPr="002367AA">
        <w:t>, cholestatic hepatitis, hepatitis and cholestasis, and hepatic encephalopathy) also associated with a concurrent elevation in bilirubin. Liver function tests returned to baseline or improved substantially in all 7 subjects. Underlying risk factors and alternative aetiologies complicate assessment of the SAEs, but do not exclude LUM/IVA as a</w:t>
      </w:r>
      <w:r w:rsidR="00733FFE">
        <w:t xml:space="preserve"> potential contributory factor.</w:t>
      </w:r>
    </w:p>
    <w:p w:rsidR="002367AA" w:rsidRPr="002367AA" w:rsidRDefault="002367AA" w:rsidP="002367AA">
      <w:r w:rsidRPr="002367AA">
        <w:t xml:space="preserve">The incidence and pattern of LFT changes in </w:t>
      </w:r>
      <w:r w:rsidR="004E6042">
        <w:t>Study</w:t>
      </w:r>
      <w:r w:rsidRPr="002367AA">
        <w:t xml:space="preserve"> 105 did not suggest any new findings compared with Studies 103/104 with exposure to LUM/IVA beyond 24 weeks. The incidence of AESIs of elevated transaminases in subjects new to active treatment in </w:t>
      </w:r>
      <w:r w:rsidR="004E6042">
        <w:t>Study</w:t>
      </w:r>
      <w:r w:rsidRPr="002367AA">
        <w:t xml:space="preserve"> 105 was similar to the incidence in the pooled analysis of Studies 103/104.</w:t>
      </w:r>
    </w:p>
    <w:p w:rsidR="002367AA" w:rsidRPr="002367AA" w:rsidRDefault="002367AA" w:rsidP="002367AA">
      <w:r w:rsidRPr="002367AA">
        <w:t>The overall incidence and patterns of transaminase elevations observed in the studies is typical for patients with CF. Marked elevations of transaminases and associated SAEs are confounded by complicated medical histories and alternative aetiologies, though the role</w:t>
      </w:r>
      <w:r w:rsidR="00733FFE">
        <w:t xml:space="preserve"> of LUM/IVA cannot be excluded.</w:t>
      </w:r>
    </w:p>
    <w:p w:rsidR="002367AA" w:rsidRPr="002367AA" w:rsidRDefault="002367AA" w:rsidP="002367AA">
      <w:pPr>
        <w:pStyle w:val="Heading4"/>
      </w:pPr>
      <w:r w:rsidRPr="002367AA">
        <w:t>Haematologica</w:t>
      </w:r>
      <w:r w:rsidR="00733FFE">
        <w:t>l toxicity</w:t>
      </w:r>
    </w:p>
    <w:p w:rsidR="002367AA" w:rsidRPr="002367AA" w:rsidRDefault="00733FFE" w:rsidP="002367AA">
      <w:proofErr w:type="gramStart"/>
      <w:r>
        <w:t>None.</w:t>
      </w:r>
      <w:proofErr w:type="gramEnd"/>
    </w:p>
    <w:p w:rsidR="002367AA" w:rsidRPr="002367AA" w:rsidRDefault="00733FFE" w:rsidP="002367AA">
      <w:pPr>
        <w:pStyle w:val="Heading4"/>
      </w:pPr>
      <w:r>
        <w:lastRenderedPageBreak/>
        <w:t>Serious skin reactions</w:t>
      </w:r>
    </w:p>
    <w:p w:rsidR="002367AA" w:rsidRPr="002367AA" w:rsidRDefault="00733FFE" w:rsidP="002367AA">
      <w:proofErr w:type="gramStart"/>
      <w:r>
        <w:t>None.</w:t>
      </w:r>
      <w:proofErr w:type="gramEnd"/>
    </w:p>
    <w:p w:rsidR="002367AA" w:rsidRPr="002367AA" w:rsidRDefault="00733FFE" w:rsidP="002367AA">
      <w:pPr>
        <w:pStyle w:val="Heading4"/>
      </w:pPr>
      <w:r>
        <w:t>Cardiovascular safety</w:t>
      </w:r>
    </w:p>
    <w:p w:rsidR="002367AA" w:rsidRPr="002367AA" w:rsidRDefault="00733FFE" w:rsidP="002367AA">
      <w:proofErr w:type="gramStart"/>
      <w:r>
        <w:t>None.</w:t>
      </w:r>
      <w:proofErr w:type="gramEnd"/>
    </w:p>
    <w:p w:rsidR="002367AA" w:rsidRPr="002367AA" w:rsidRDefault="00733FFE" w:rsidP="002367AA">
      <w:pPr>
        <w:pStyle w:val="Heading4"/>
      </w:pPr>
      <w:r>
        <w:t>Unwanted immunological events</w:t>
      </w:r>
    </w:p>
    <w:p w:rsidR="002367AA" w:rsidRPr="002367AA" w:rsidRDefault="002367AA" w:rsidP="002367AA">
      <w:proofErr w:type="gramStart"/>
      <w:r w:rsidRPr="002367AA">
        <w:t>None.</w:t>
      </w:r>
      <w:proofErr w:type="gramEnd"/>
    </w:p>
    <w:p w:rsidR="00772108" w:rsidRPr="00772108" w:rsidRDefault="00733FFE" w:rsidP="00772108">
      <w:pPr>
        <w:pStyle w:val="Heading3"/>
      </w:pPr>
      <w:bookmarkStart w:id="38" w:name="_Toc461121061"/>
      <w:r>
        <w:t>Other safety issues</w:t>
      </w:r>
      <w:bookmarkEnd w:id="38"/>
    </w:p>
    <w:p w:rsidR="00772108" w:rsidRPr="00772108" w:rsidRDefault="00733FFE" w:rsidP="00772108">
      <w:pPr>
        <w:pStyle w:val="Heading4"/>
      </w:pPr>
      <w:r>
        <w:t>Safety in special populations</w:t>
      </w:r>
    </w:p>
    <w:p w:rsidR="00772108" w:rsidRPr="00772108" w:rsidRDefault="00772108" w:rsidP="00772108">
      <w:pPr>
        <w:pStyle w:val="Heading5"/>
      </w:pPr>
      <w:r>
        <w:t>I</w:t>
      </w:r>
      <w:r w:rsidR="00733FFE">
        <w:t>ntrinsic factors: age</w:t>
      </w:r>
    </w:p>
    <w:p w:rsidR="00772108" w:rsidRPr="00772108" w:rsidRDefault="00772108" w:rsidP="00772108">
      <w:r w:rsidRPr="00772108">
        <w:t xml:space="preserve">In the pooled analysis of </w:t>
      </w:r>
      <w:r w:rsidR="003C1B2B">
        <w:t>placebo controlled</w:t>
      </w:r>
      <w:r w:rsidRPr="00772108">
        <w:t xml:space="preserve"> </w:t>
      </w:r>
      <w:r w:rsidR="00511EB7">
        <w:t>Phase III</w:t>
      </w:r>
      <w:r w:rsidRPr="00772108">
        <w:t xml:space="preserve"> studies, subgroup analyses of the incidence of AEs were assessed by age group (subjects </w:t>
      </w:r>
      <w:r w:rsidR="00A91223">
        <w:t xml:space="preserve">≥ </w:t>
      </w:r>
      <w:r w:rsidRPr="00772108">
        <w:t xml:space="preserve">18 years of age and </w:t>
      </w:r>
      <w:proofErr w:type="gramStart"/>
      <w:r w:rsidRPr="00772108">
        <w:t>subjects</w:t>
      </w:r>
      <w:proofErr w:type="gramEnd"/>
      <w:r w:rsidRPr="00772108">
        <w:t xml:space="preserve"> </w:t>
      </w:r>
      <w:r w:rsidR="00A91223">
        <w:t xml:space="preserve">≥ </w:t>
      </w:r>
      <w:r w:rsidRPr="00772108">
        <w:t xml:space="preserve">12 to </w:t>
      </w:r>
      <w:r w:rsidR="00511EB7">
        <w:t xml:space="preserve">&lt; </w:t>
      </w:r>
      <w:r w:rsidRPr="00772108">
        <w:t>18 years of age). Of the 1</w:t>
      </w:r>
      <w:r w:rsidR="00A8424F">
        <w:t>,</w:t>
      </w:r>
      <w:r w:rsidRPr="00772108">
        <w:t xml:space="preserve">108 subjects who received study drug in the pooled, </w:t>
      </w:r>
      <w:r w:rsidR="003C1B2B">
        <w:t>placebo controlled</w:t>
      </w:r>
      <w:r w:rsidRPr="00772108">
        <w:t xml:space="preserve"> </w:t>
      </w:r>
      <w:r w:rsidR="00511EB7">
        <w:t>Phase III</w:t>
      </w:r>
      <w:r w:rsidRPr="00772108">
        <w:t xml:space="preserve"> program, 290 subjects were aged </w:t>
      </w:r>
      <w:r w:rsidR="00A91223">
        <w:t xml:space="preserve">≥ </w:t>
      </w:r>
      <w:r w:rsidRPr="00772108">
        <w:t xml:space="preserve">12 to </w:t>
      </w:r>
      <w:r w:rsidR="00511EB7">
        <w:t xml:space="preserve">&lt; </w:t>
      </w:r>
      <w:r w:rsidRPr="00772108">
        <w:t xml:space="preserve">18 years of age. AEs that were at least 5% more common in the total LUM/IVA group of subjects </w:t>
      </w:r>
      <w:r w:rsidR="00A91223">
        <w:t xml:space="preserve">≥ </w:t>
      </w:r>
      <w:r w:rsidRPr="00772108">
        <w:t xml:space="preserve">12 to </w:t>
      </w:r>
      <w:r w:rsidR="00511EB7">
        <w:t xml:space="preserve">&lt; </w:t>
      </w:r>
      <w:r w:rsidRPr="00772108">
        <w:t xml:space="preserve">18 years of age compared with subjects </w:t>
      </w:r>
      <w:r w:rsidR="00A91223">
        <w:t xml:space="preserve">≥ </w:t>
      </w:r>
      <w:r w:rsidRPr="00772108">
        <w:t xml:space="preserve">18 years of age were cough, headache, abdominal pain, viral upper respiratory tract infection, and productive cough. The incidence of headache and abdominal pain was increased in </w:t>
      </w:r>
      <w:proofErr w:type="gramStart"/>
      <w:r w:rsidRPr="00772108">
        <w:t>subjects</w:t>
      </w:r>
      <w:proofErr w:type="gramEnd"/>
      <w:r w:rsidRPr="00772108">
        <w:t xml:space="preserve"> </w:t>
      </w:r>
      <w:r w:rsidR="00A91223">
        <w:t xml:space="preserve">≥ </w:t>
      </w:r>
      <w:r w:rsidRPr="00772108">
        <w:t xml:space="preserve">12 to </w:t>
      </w:r>
      <w:r w:rsidR="00511EB7">
        <w:t xml:space="preserve">&lt; </w:t>
      </w:r>
      <w:r w:rsidRPr="00772108">
        <w:t xml:space="preserve">18 years of age in the total LUM/IVA group compared with the placebo group, while the incidence of these events was similar in in the total LUM/IVA and placebo groups of subjects </w:t>
      </w:r>
      <w:r w:rsidR="00A91223">
        <w:t xml:space="preserve">≥ </w:t>
      </w:r>
      <w:r w:rsidRPr="00772108">
        <w:t xml:space="preserve">18 years of age. AEs that were at least 5% more common in the total LUM/IVA group of subjects </w:t>
      </w:r>
      <w:r w:rsidR="00A91223">
        <w:t xml:space="preserve">≥ </w:t>
      </w:r>
      <w:r w:rsidRPr="00772108">
        <w:t xml:space="preserve">18 years of age compared with subjects </w:t>
      </w:r>
      <w:r w:rsidR="00A91223">
        <w:t xml:space="preserve">≥ </w:t>
      </w:r>
      <w:r w:rsidRPr="00772108">
        <w:t xml:space="preserve">12 to </w:t>
      </w:r>
      <w:r w:rsidR="00511EB7">
        <w:t xml:space="preserve">&lt; </w:t>
      </w:r>
      <w:r w:rsidRPr="00772108">
        <w:t xml:space="preserve">18 years of age were infective pulmonary exacerbation of cystic fibrosis, sputum increased, haemoptysis and respiration abnormal. The incidence of these events was higher in the placebo and total LUM/IVA group of </w:t>
      </w:r>
      <w:proofErr w:type="gramStart"/>
      <w:r w:rsidRPr="00772108">
        <w:t>subjects</w:t>
      </w:r>
      <w:proofErr w:type="gramEnd"/>
      <w:r w:rsidRPr="00772108">
        <w:t xml:space="preserve"> </w:t>
      </w:r>
      <w:r w:rsidR="00A91223">
        <w:t xml:space="preserve">≥ </w:t>
      </w:r>
      <w:r w:rsidRPr="00772108">
        <w:t xml:space="preserve">18 years of age compared with subjects </w:t>
      </w:r>
      <w:r w:rsidR="00A91223">
        <w:t xml:space="preserve">≥ </w:t>
      </w:r>
      <w:r w:rsidRPr="00772108">
        <w:t xml:space="preserve">12 to </w:t>
      </w:r>
      <w:r w:rsidR="00511EB7">
        <w:t xml:space="preserve">&lt; </w:t>
      </w:r>
      <w:r w:rsidRPr="00772108">
        <w:t>18 years of age. In general, the pattern of AEs in the LUM 600 mg qd/IVA 250</w:t>
      </w:r>
      <w:r>
        <w:t xml:space="preserve"> </w:t>
      </w:r>
      <w:r w:rsidRPr="00772108">
        <w:t xml:space="preserve">mg q12h group and the LUM 400 mg q12g/IVA 250 mg q12h group was similar in the 2 age subgroups. Among subjects </w:t>
      </w:r>
      <w:r w:rsidR="00A91223">
        <w:t xml:space="preserve">≥ </w:t>
      </w:r>
      <w:r w:rsidRPr="00772108">
        <w:t xml:space="preserve">12 to </w:t>
      </w:r>
      <w:r w:rsidR="00511EB7">
        <w:t xml:space="preserve">&lt; </w:t>
      </w:r>
      <w:r w:rsidRPr="00772108">
        <w:t xml:space="preserve">18 years of age, the incidence of AEs was similar in the LUM 600 mg qd/ IVA 250 mg q12h group and the LUM 400 mg q12h/IVA 250 mg q12h group, with only rash occurring with at least a 10% difference between the LUM 600 mg qd/ IVA 250 mg q12h group (2.1%) and the LUM 400 mg q12h/IVA 250 mg q12h group (12.2%). Overall, the incidence of rash was similar among subjects </w:t>
      </w:r>
      <w:r w:rsidR="00A91223">
        <w:t xml:space="preserve">≥ </w:t>
      </w:r>
      <w:r w:rsidRPr="00772108">
        <w:t xml:space="preserve">12 to </w:t>
      </w:r>
      <w:r w:rsidR="00511EB7">
        <w:t xml:space="preserve">&lt; </w:t>
      </w:r>
      <w:r w:rsidRPr="00772108">
        <w:t xml:space="preserve">18 years of age (7.2%) compared with subjects </w:t>
      </w:r>
      <w:r w:rsidR="00511EB7">
        <w:t xml:space="preserve">&gt; </w:t>
      </w:r>
      <w:r w:rsidR="00A8424F">
        <w:t>18 years of age (5.0%).</w:t>
      </w:r>
    </w:p>
    <w:p w:rsidR="00772108" w:rsidRPr="00772108" w:rsidRDefault="00772108" w:rsidP="00772108">
      <w:r w:rsidRPr="00772108">
        <w:t xml:space="preserve">In the total LUM/IVA groups of subjects aged </w:t>
      </w:r>
      <w:r w:rsidR="00A91223">
        <w:t xml:space="preserve">≥ </w:t>
      </w:r>
      <w:r w:rsidRPr="00772108">
        <w:t xml:space="preserve">12 to </w:t>
      </w:r>
      <w:r w:rsidR="00511EB7">
        <w:t xml:space="preserve">&lt; </w:t>
      </w:r>
      <w:r w:rsidRPr="00772108">
        <w:t xml:space="preserve">18 years, 25 subjects (12.9%) had Grade 3/4 AEs and 34 subjects (17.5%) had SAEs. The incidence of Grade 3/4 AEs was similar in subjects </w:t>
      </w:r>
      <w:r w:rsidR="00A91223">
        <w:t xml:space="preserve">≥ </w:t>
      </w:r>
      <w:r w:rsidRPr="00772108">
        <w:t xml:space="preserve">18 years of age (14.2%) compared with subjects </w:t>
      </w:r>
      <w:r w:rsidR="00A91223">
        <w:t xml:space="preserve">≥ </w:t>
      </w:r>
      <w:r w:rsidRPr="00772108">
        <w:t xml:space="preserve">12 to </w:t>
      </w:r>
      <w:r w:rsidR="00511EB7">
        <w:t xml:space="preserve">&lt; </w:t>
      </w:r>
      <w:r w:rsidRPr="00772108">
        <w:t xml:space="preserve">18 years of age (12.9%). The only Grade 3/4 AE that occurred in more than 1 subject aged </w:t>
      </w:r>
      <w:r w:rsidR="00A91223">
        <w:t xml:space="preserve">≥ </w:t>
      </w:r>
      <w:r w:rsidRPr="00772108">
        <w:t xml:space="preserve">12 to </w:t>
      </w:r>
      <w:r w:rsidR="00A8424F">
        <w:t>&lt; </w:t>
      </w:r>
      <w:r w:rsidRPr="00772108">
        <w:t xml:space="preserve">18 years of age was infective pulmonary exacerbation of CF, which had an incidence of 7.3% in the LUM 600 mg qd/ IVA 250 mg q12h group, 2.0% in the LUM 400 mg q12h/ IVA 250 mg q12h group and 8.3% in the placebo group. Similarly, in the total LUM/IVA groups, the incidence of SAEs of infective pulmonary exacerbations of CF was lower among subjects </w:t>
      </w:r>
      <w:r w:rsidR="00A91223">
        <w:t xml:space="preserve">≥ </w:t>
      </w:r>
      <w:r w:rsidRPr="00772108">
        <w:t xml:space="preserve">12 to </w:t>
      </w:r>
      <w:r w:rsidR="00511EB7">
        <w:t xml:space="preserve">&lt; </w:t>
      </w:r>
      <w:r w:rsidRPr="00772108">
        <w:t xml:space="preserve">18 years of age (9.8%) compared with subjects </w:t>
      </w:r>
      <w:r w:rsidR="00A91223">
        <w:t xml:space="preserve">≥ </w:t>
      </w:r>
      <w:r w:rsidRPr="00772108">
        <w:t xml:space="preserve">18 years of age (14.2%), and the incidence of this SAE in subjects </w:t>
      </w:r>
      <w:r w:rsidR="00A91223">
        <w:t xml:space="preserve">≥ </w:t>
      </w:r>
      <w:r w:rsidRPr="00772108">
        <w:t xml:space="preserve">12 to </w:t>
      </w:r>
      <w:r w:rsidR="00511EB7">
        <w:t xml:space="preserve">&lt; </w:t>
      </w:r>
      <w:r w:rsidRPr="00772108">
        <w:t xml:space="preserve">18 years of age was lower in the LUM 400 mg q12h/ IVA 250 mg q12h group (7.1%) compared with the LUM 600 mg qd/ IVA 250 mg q12h group (12.5%). Among subjects </w:t>
      </w:r>
      <w:r w:rsidR="00A8424F">
        <w:t>≥ </w:t>
      </w:r>
      <w:r w:rsidRPr="00772108">
        <w:t xml:space="preserve">12 to </w:t>
      </w:r>
      <w:r w:rsidR="00511EB7">
        <w:t xml:space="preserve">&lt; </w:t>
      </w:r>
      <w:r w:rsidRPr="00772108">
        <w:t>18 years of age, 3 subjects (1.0%) discontinued due to an adverse event: 2 subjects on placebo (acne, n</w:t>
      </w:r>
      <w:r w:rsidR="00661535">
        <w:t xml:space="preserve"> </w:t>
      </w:r>
      <w:r w:rsidR="00511EB7">
        <w:t xml:space="preserve">= </w:t>
      </w:r>
      <w:r w:rsidRPr="00772108">
        <w:t>1; haemoptysis, n</w:t>
      </w:r>
      <w:r w:rsidR="00661535">
        <w:t xml:space="preserve"> </w:t>
      </w:r>
      <w:r w:rsidR="00511EB7">
        <w:t>=</w:t>
      </w:r>
      <w:r w:rsidR="00661535">
        <w:t xml:space="preserve"> </w:t>
      </w:r>
      <w:r w:rsidRPr="00772108">
        <w:t xml:space="preserve">1) and 1 subject in the LUM 400 mg q12h/IVA 250 mg q12h group (forced expiratory volume decrease). Overall, there were no clinically meaningful differences in the safety profile of LUM/IVA in </w:t>
      </w:r>
      <w:proofErr w:type="gramStart"/>
      <w:r w:rsidRPr="00772108">
        <w:t>subjects</w:t>
      </w:r>
      <w:proofErr w:type="gramEnd"/>
      <w:r w:rsidRPr="00772108">
        <w:t xml:space="preserve"> </w:t>
      </w:r>
      <w:r w:rsidR="00A91223">
        <w:t xml:space="preserve">≥ </w:t>
      </w:r>
      <w:r w:rsidRPr="00772108">
        <w:t xml:space="preserve">12 to </w:t>
      </w:r>
      <w:r w:rsidR="00511EB7">
        <w:t xml:space="preserve">&lt; </w:t>
      </w:r>
      <w:r w:rsidRPr="00772108">
        <w:t xml:space="preserve">18 years of age compared </w:t>
      </w:r>
      <w:r w:rsidR="00A8424F">
        <w:t>with subjects age 18 and older.</w:t>
      </w:r>
    </w:p>
    <w:p w:rsidR="00772108" w:rsidRPr="00772108" w:rsidRDefault="00772108" w:rsidP="00772108">
      <w:r w:rsidRPr="00772108">
        <w:lastRenderedPageBreak/>
        <w:t xml:space="preserve">Initial results of ongoing </w:t>
      </w:r>
      <w:r w:rsidR="004E6042">
        <w:t>Study</w:t>
      </w:r>
      <w:r w:rsidR="00C64606">
        <w:t xml:space="preserve"> 011</w:t>
      </w:r>
      <w:r w:rsidRPr="00772108">
        <w:t xml:space="preserve"> in paediatric </w:t>
      </w:r>
      <w:r w:rsidR="00A8424F">
        <w:t xml:space="preserve">patients aged 6 to </w:t>
      </w:r>
      <w:r w:rsidRPr="00772108">
        <w:t>11 years did not reveal any new safety concerns. Safety evaluation in elderly not possible as there were no patients older than 64 years enrolled in the studies due to the sho</w:t>
      </w:r>
      <w:r w:rsidR="00A8424F">
        <w:t>rt lifespan associated with CF.</w:t>
      </w:r>
    </w:p>
    <w:p w:rsidR="00772108" w:rsidRPr="00772108" w:rsidRDefault="00772108" w:rsidP="00772108">
      <w:pPr>
        <w:pStyle w:val="Heading5"/>
      </w:pPr>
      <w:r w:rsidRPr="00772108">
        <w:t xml:space="preserve">Percent predicted </w:t>
      </w:r>
      <w:r w:rsidR="00A8789D" w:rsidRPr="001D064D">
        <w:t>FEV</w:t>
      </w:r>
      <w:r w:rsidR="00A8789D" w:rsidRPr="00A8789D">
        <w:rPr>
          <w:vertAlign w:val="subscript"/>
        </w:rPr>
        <w:t>1</w:t>
      </w:r>
      <w:r w:rsidRPr="00772108">
        <w:t xml:space="preserve"> at baseli</w:t>
      </w:r>
      <w:r w:rsidR="000E248D">
        <w:t>ne</w:t>
      </w:r>
    </w:p>
    <w:p w:rsidR="00772108" w:rsidRDefault="00772108" w:rsidP="00772108">
      <w:r w:rsidRPr="00772108">
        <w:t xml:space="preserve">The majority (65.9%) of subjects enrolled in the pooled </w:t>
      </w:r>
      <w:r w:rsidR="003C1B2B">
        <w:t>placebo controlled</w:t>
      </w:r>
      <w:r w:rsidRPr="00772108">
        <w:t xml:space="preserve"> </w:t>
      </w:r>
      <w:r w:rsidR="00511EB7">
        <w:t>Phase III</w:t>
      </w:r>
      <w:r w:rsidRPr="00772108">
        <w:t xml:space="preserve"> studies had percent predicted </w:t>
      </w:r>
      <w:r w:rsidR="00A8789D" w:rsidRPr="001D064D">
        <w:t>FEV</w:t>
      </w:r>
      <w:r w:rsidR="00A8789D" w:rsidRPr="00A8789D">
        <w:rPr>
          <w:vertAlign w:val="subscript"/>
        </w:rPr>
        <w:t>1</w:t>
      </w:r>
      <w:r w:rsidRPr="00772108">
        <w:t xml:space="preserve"> </w:t>
      </w:r>
      <w:r w:rsidR="00511EB7">
        <w:t xml:space="preserve">&lt; </w:t>
      </w:r>
      <w:r w:rsidRPr="00772108">
        <w:t xml:space="preserve">70 at screening. Overall, there were no clinically meaningful differences in the pattern of AEs related to severity of lung disease at screening (defined by percent predicted </w:t>
      </w:r>
      <w:r w:rsidR="00A8789D" w:rsidRPr="001D064D">
        <w:t>FEV</w:t>
      </w:r>
      <w:r w:rsidR="00A8789D" w:rsidRPr="00A8789D">
        <w:rPr>
          <w:vertAlign w:val="subscript"/>
        </w:rPr>
        <w:t>1</w:t>
      </w:r>
      <w:r w:rsidRPr="00772108">
        <w:t>). Among subje</w:t>
      </w:r>
      <w:r w:rsidR="000E248D">
        <w:t xml:space="preserve">cts with percent predicted </w:t>
      </w:r>
      <w:r w:rsidR="00A8789D" w:rsidRPr="001D064D">
        <w:t>FEV</w:t>
      </w:r>
      <w:r w:rsidR="00A8789D" w:rsidRPr="00A8789D">
        <w:rPr>
          <w:vertAlign w:val="subscript"/>
        </w:rPr>
        <w:t>1</w:t>
      </w:r>
      <w:r w:rsidR="000E248D">
        <w:t> &lt; </w:t>
      </w:r>
      <w:r w:rsidRPr="00772108">
        <w:t xml:space="preserve">70 at screening, there was an increased incidence (at least 5%) of infective pulmonary exacerbation of CF, dyspnoea, haemoptysis, sputum increased, and diarrhoea compared with the </w:t>
      </w:r>
      <w:r w:rsidR="00A91223">
        <w:t xml:space="preserve">≥ </w:t>
      </w:r>
      <w:r w:rsidRPr="00772108">
        <w:t xml:space="preserve">70 group. None of these AEs occurred at </w:t>
      </w:r>
      <w:r w:rsidR="00A91223">
        <w:t xml:space="preserve">≥ </w:t>
      </w:r>
      <w:r w:rsidRPr="00772108">
        <w:t>10% increased incidence in the total LUM/IVA group compared with the placebo group, and the pattern of these events was generally similar in the 2 subgroups. The exception was</w:t>
      </w:r>
      <w:r>
        <w:t xml:space="preserve"> </w:t>
      </w:r>
      <w:r w:rsidRPr="00772108">
        <w:t>diarrhoea, which was more common in the total LUM/IVA group (12.7%) than placebo group (7.8%) for subje</w:t>
      </w:r>
      <w:r w:rsidR="000E248D">
        <w:t xml:space="preserve">cts with percent predicted </w:t>
      </w:r>
      <w:r w:rsidR="00A8789D" w:rsidRPr="001D064D">
        <w:t>FEV</w:t>
      </w:r>
      <w:r w:rsidR="00A8789D" w:rsidRPr="00A8789D">
        <w:rPr>
          <w:vertAlign w:val="subscript"/>
        </w:rPr>
        <w:t>1</w:t>
      </w:r>
      <w:r w:rsidR="000E248D">
        <w:t> &lt; </w:t>
      </w:r>
      <w:r w:rsidRPr="00772108">
        <w:t xml:space="preserve">70, but was more common in the placebo group (9.2%) than the total LUM/IVA group (6.9%) for subjects with percent predicted </w:t>
      </w:r>
      <w:r w:rsidR="00A8789D" w:rsidRPr="001D064D">
        <w:t>FEV</w:t>
      </w:r>
      <w:r w:rsidR="00A8789D" w:rsidRPr="00A8789D">
        <w:rPr>
          <w:vertAlign w:val="subscript"/>
        </w:rPr>
        <w:t>1</w:t>
      </w:r>
      <w:r w:rsidRPr="00772108">
        <w:t xml:space="preserve"> </w:t>
      </w:r>
      <w:r w:rsidR="00A91223">
        <w:t xml:space="preserve">≥ </w:t>
      </w:r>
      <w:r w:rsidRPr="00772108">
        <w:t xml:space="preserve">70. Among subjects with baseline percent predicted </w:t>
      </w:r>
      <w:r w:rsidR="00A8789D" w:rsidRPr="001D064D">
        <w:t>FEV</w:t>
      </w:r>
      <w:r w:rsidR="00A8789D" w:rsidRPr="00A8789D">
        <w:rPr>
          <w:vertAlign w:val="subscript"/>
        </w:rPr>
        <w:t>1</w:t>
      </w:r>
      <w:r w:rsidRPr="00772108">
        <w:t xml:space="preserve"> </w:t>
      </w:r>
      <w:r w:rsidR="00511EB7">
        <w:t xml:space="preserve">&lt; </w:t>
      </w:r>
      <w:r w:rsidRPr="00772108">
        <w:t xml:space="preserve">40, there was an increased incidence (at least 5%) of infective pulmonary exacerbation of CF, cough, dyspnoea, sputum increased and pyrexia compared with subjects with baseline percent predicted </w:t>
      </w:r>
      <w:r w:rsidR="00A8789D" w:rsidRPr="001D064D">
        <w:t>FEV</w:t>
      </w:r>
      <w:r w:rsidR="00A8789D" w:rsidRPr="00A8789D">
        <w:rPr>
          <w:vertAlign w:val="subscript"/>
        </w:rPr>
        <w:t>1</w:t>
      </w:r>
      <w:r w:rsidRPr="00772108">
        <w:t xml:space="preserve"> </w:t>
      </w:r>
      <w:r w:rsidR="00A91223">
        <w:t xml:space="preserve">≥ </w:t>
      </w:r>
      <w:r w:rsidRPr="00772108">
        <w:t>40. In general, the pattern of these events (</w:t>
      </w:r>
      <w:r w:rsidR="000E248D">
        <w:t>that is</w:t>
      </w:r>
      <w:r w:rsidRPr="00772108">
        <w:t xml:space="preserve">, incidence in total LUM/IVA group being higher or lower than the placebo group) was the same in subjects with percent predicted </w:t>
      </w:r>
      <w:r w:rsidR="00A8789D" w:rsidRPr="001D064D">
        <w:t>FEV</w:t>
      </w:r>
      <w:r w:rsidR="00A8789D" w:rsidRPr="00A8789D">
        <w:rPr>
          <w:vertAlign w:val="subscript"/>
        </w:rPr>
        <w:t>1</w:t>
      </w:r>
      <w:r w:rsidRPr="00772108">
        <w:t xml:space="preserve"> </w:t>
      </w:r>
      <w:r w:rsidR="00511EB7">
        <w:t xml:space="preserve">&lt; </w:t>
      </w:r>
      <w:r w:rsidRPr="00772108">
        <w:t xml:space="preserve">40 and subjects with percent predicted </w:t>
      </w:r>
      <w:r w:rsidR="00A8789D" w:rsidRPr="001D064D">
        <w:t>FEV</w:t>
      </w:r>
      <w:r w:rsidR="00A8789D" w:rsidRPr="00A8789D">
        <w:rPr>
          <w:vertAlign w:val="subscript"/>
        </w:rPr>
        <w:t>1</w:t>
      </w:r>
      <w:r w:rsidRPr="00772108">
        <w:t xml:space="preserve"> </w:t>
      </w:r>
      <w:r w:rsidR="00A91223">
        <w:t xml:space="preserve">≥ </w:t>
      </w:r>
      <w:r w:rsidRPr="00772108">
        <w:t xml:space="preserve">40. The exception was cough, which was more common in the total LUM/IVA group (39.6%) than placebo group (25.0%) for subjects with percent predicted </w:t>
      </w:r>
      <w:r w:rsidR="00A8789D" w:rsidRPr="001D064D">
        <w:t>FEV</w:t>
      </w:r>
      <w:r w:rsidR="00A8789D" w:rsidRPr="00A8789D">
        <w:rPr>
          <w:vertAlign w:val="subscript"/>
        </w:rPr>
        <w:t>1</w:t>
      </w:r>
      <w:r w:rsidRPr="00772108">
        <w:t xml:space="preserve"> </w:t>
      </w:r>
      <w:r w:rsidR="00511EB7">
        <w:t xml:space="preserve">&lt; </w:t>
      </w:r>
      <w:r w:rsidRPr="00772108">
        <w:t xml:space="preserve">40, but was more common in the placebo group (41.5%) than the total LUM/IVA group (29.9%) for subjects with percent predicted </w:t>
      </w:r>
      <w:r w:rsidR="00A8789D" w:rsidRPr="001D064D">
        <w:t>FEV</w:t>
      </w:r>
      <w:r w:rsidR="00A8789D" w:rsidRPr="00A8789D">
        <w:rPr>
          <w:vertAlign w:val="subscript"/>
        </w:rPr>
        <w:t>1</w:t>
      </w:r>
      <w:r w:rsidRPr="00772108">
        <w:t xml:space="preserve"> </w:t>
      </w:r>
      <w:r w:rsidR="00A91223">
        <w:t xml:space="preserve">≥ </w:t>
      </w:r>
      <w:r w:rsidRPr="00772108">
        <w:t xml:space="preserve">40. Among subjects with percent predicted </w:t>
      </w:r>
      <w:r w:rsidR="00A8789D" w:rsidRPr="001D064D">
        <w:t>FEV</w:t>
      </w:r>
      <w:r w:rsidR="00A8789D" w:rsidRPr="00A8789D">
        <w:rPr>
          <w:vertAlign w:val="subscript"/>
        </w:rPr>
        <w:t>1</w:t>
      </w:r>
      <w:r w:rsidRPr="00772108">
        <w:t xml:space="preserve"> </w:t>
      </w:r>
      <w:r w:rsidR="00511EB7">
        <w:t xml:space="preserve">&lt; </w:t>
      </w:r>
      <w:r w:rsidRPr="00772108">
        <w:t xml:space="preserve">40 at baseline, the only Grade 3/4 adverse event or SAE that occurred in more than 1 subject was infective pulmonary exacerbation of cystic fibrosis. For all treatment groups, the incidence of this event was higher in subjects with percent predicted </w:t>
      </w:r>
      <w:r w:rsidR="00A8789D" w:rsidRPr="001D064D">
        <w:t>FEV</w:t>
      </w:r>
      <w:r w:rsidR="00A8789D" w:rsidRPr="00A8789D">
        <w:rPr>
          <w:vertAlign w:val="subscript"/>
        </w:rPr>
        <w:t>1</w:t>
      </w:r>
      <w:r w:rsidRPr="00772108">
        <w:t xml:space="preserve"> </w:t>
      </w:r>
      <w:r w:rsidR="00511EB7">
        <w:t xml:space="preserve">&lt; </w:t>
      </w:r>
      <w:r w:rsidRPr="00772108">
        <w:t xml:space="preserve">40 at baseline compared with subjects with percent predicted </w:t>
      </w:r>
      <w:r w:rsidR="00A8789D" w:rsidRPr="001D064D">
        <w:t>FEV</w:t>
      </w:r>
      <w:r w:rsidR="00A8789D" w:rsidRPr="00A8789D">
        <w:rPr>
          <w:vertAlign w:val="subscript"/>
        </w:rPr>
        <w:t>1</w:t>
      </w:r>
      <w:r w:rsidRPr="00772108">
        <w:t xml:space="preserve"> </w:t>
      </w:r>
      <w:r w:rsidR="00A91223">
        <w:t xml:space="preserve">≥ </w:t>
      </w:r>
      <w:r w:rsidRPr="00772108">
        <w:t xml:space="preserve">40 at baseline. In both the percent predicted </w:t>
      </w:r>
      <w:r w:rsidR="00A8789D" w:rsidRPr="001D064D">
        <w:t>FEV</w:t>
      </w:r>
      <w:r w:rsidR="00A8789D" w:rsidRPr="00A8789D">
        <w:rPr>
          <w:vertAlign w:val="subscript"/>
        </w:rPr>
        <w:t>1</w:t>
      </w:r>
      <w:r w:rsidRPr="00772108">
        <w:t xml:space="preserve"> </w:t>
      </w:r>
      <w:r w:rsidR="00511EB7">
        <w:t xml:space="preserve">&lt; </w:t>
      </w:r>
      <w:r w:rsidRPr="00772108">
        <w:t xml:space="preserve">40 and percent predicted </w:t>
      </w:r>
      <w:r w:rsidR="00A8789D" w:rsidRPr="001D064D">
        <w:t>FEV</w:t>
      </w:r>
      <w:r w:rsidR="00A8789D" w:rsidRPr="00A8789D">
        <w:rPr>
          <w:vertAlign w:val="subscript"/>
        </w:rPr>
        <w:t>1</w:t>
      </w:r>
      <w:r w:rsidRPr="00772108">
        <w:t xml:space="preserve"> </w:t>
      </w:r>
      <w:r w:rsidR="00A91223">
        <w:t xml:space="preserve">≥ </w:t>
      </w:r>
      <w:r w:rsidRPr="00772108">
        <w:t xml:space="preserve">40 </w:t>
      </w:r>
      <w:proofErr w:type="gramStart"/>
      <w:r w:rsidRPr="00772108">
        <w:t>subgroups,</w:t>
      </w:r>
      <w:proofErr w:type="gramEnd"/>
      <w:r w:rsidRPr="00772108">
        <w:t xml:space="preserve"> the incidence of pulmonary exacerbation of cystic fibrosis was lower in the total LUM/IVA group than the placebo group (</w:t>
      </w:r>
      <w:r w:rsidRPr="005A7790">
        <w:t xml:space="preserve">Table </w:t>
      </w:r>
      <w:r w:rsidR="007831A2">
        <w:t>57</w:t>
      </w:r>
      <w:r w:rsidR="000E248D">
        <w:t>).</w:t>
      </w:r>
    </w:p>
    <w:p w:rsidR="005A7790" w:rsidRDefault="007831A2" w:rsidP="005A7790">
      <w:pPr>
        <w:pStyle w:val="Tabletitle"/>
      </w:pPr>
      <w:proofErr w:type="gramStart"/>
      <w:r>
        <w:t>Table 57</w:t>
      </w:r>
      <w:r w:rsidR="005A7790">
        <w:t>.</w:t>
      </w:r>
      <w:proofErr w:type="gramEnd"/>
      <w:r w:rsidR="005A7790">
        <w:t xml:space="preserve"> Incidence of Grade 3 (serious) and Grade 4 (Life threatening) adverse events and serious adverse events occurring in at least 2 subjects in the t</w:t>
      </w:r>
      <w:r>
        <w:t>otal LUM/</w:t>
      </w:r>
      <w:r w:rsidR="005A7790">
        <w:t>IVA group of subjects with percent predicted FEV1 &lt; 40 at base line by preferred term and percent predicted FRV1 at baseline (≥ 40 and &lt; 40): pooled placebo controlled Phase III studies safety set</w:t>
      </w:r>
    </w:p>
    <w:p w:rsidR="005A7790" w:rsidRPr="005A7790" w:rsidRDefault="005A7790" w:rsidP="005A7790">
      <w:r>
        <w:rPr>
          <w:noProof/>
          <w:lang w:eastAsia="en-AU"/>
        </w:rPr>
        <w:drawing>
          <wp:inline distT="0" distB="0" distL="0" distR="0" wp14:anchorId="494FCBF7" wp14:editId="1550900F">
            <wp:extent cx="5731510" cy="2124210"/>
            <wp:effectExtent l="0" t="0" r="2540" b="9525"/>
            <wp:docPr id="78" name="Picture 78" descr="Table 57. Incidence of Grade 3 (serious) and Grade 4 (Life threatening) adverse events and serious adverse events occurring in at least 2 subjects in the total LUM/IVA group of subjects with percent predicted FEV1 &lt; 40 at base line by preferred term and percent predicted FRV1 at baseline (≥ 40 and &lt; 40): pooled placebo controlled Phase III studies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731510" cy="2124210"/>
                    </a:xfrm>
                    <a:prstGeom prst="rect">
                      <a:avLst/>
                    </a:prstGeom>
                  </pic:spPr>
                </pic:pic>
              </a:graphicData>
            </a:graphic>
          </wp:inline>
        </w:drawing>
      </w:r>
    </w:p>
    <w:p w:rsidR="00772108" w:rsidRPr="00772108" w:rsidRDefault="000E248D" w:rsidP="005A7790">
      <w:pPr>
        <w:pStyle w:val="Tabletitle"/>
      </w:pPr>
      <w:r>
        <w:lastRenderedPageBreak/>
        <w:t>CFTR genotype</w:t>
      </w:r>
    </w:p>
    <w:p w:rsidR="00772108" w:rsidRPr="00772108" w:rsidRDefault="00772108" w:rsidP="00772108">
      <w:r w:rsidRPr="00772108">
        <w:t xml:space="preserve">The majority of subjects exposed to LUM/IVA were homozygous for the F508del mutation in the CFTR gene. Two </w:t>
      </w:r>
      <w:r w:rsidR="00980975">
        <w:t>Studies</w:t>
      </w:r>
      <w:r w:rsidRPr="00772108">
        <w:t xml:space="preserve"> (102 and 105) enrolled subjects who were heterozygous for the F508del mutation in the CFTR gene. The profile and incidence of AEs was similar in subjects homozygous or heterozygous</w:t>
      </w:r>
      <w:r w:rsidR="000E248D">
        <w:t xml:space="preserve"> for the F508del-CFTR mutation.</w:t>
      </w:r>
    </w:p>
    <w:p w:rsidR="00772108" w:rsidRPr="00772108" w:rsidRDefault="000E248D" w:rsidP="00772108">
      <w:pPr>
        <w:pStyle w:val="Heading5"/>
      </w:pPr>
      <w:r>
        <w:t>Hepatic impairment</w:t>
      </w:r>
    </w:p>
    <w:p w:rsidR="00772108" w:rsidRPr="00772108" w:rsidRDefault="00772108" w:rsidP="00772108">
      <w:r w:rsidRPr="00772108">
        <w:t xml:space="preserve">In </w:t>
      </w:r>
      <w:r w:rsidR="004E6042">
        <w:t>Study</w:t>
      </w:r>
      <w:r w:rsidRPr="00772108">
        <w:t xml:space="preserve"> 010, following multiple doses of lumacaftor in combination with ivacaftor for 10 days, subjects with moderately impaired hepatic function (Child-Pugh B) had higher exposures (</w:t>
      </w:r>
      <w:r w:rsidR="00511EB7" w:rsidRPr="002227DB">
        <w:t>AUC</w:t>
      </w:r>
      <w:r w:rsidR="00511EB7" w:rsidRPr="00511EB7">
        <w:rPr>
          <w:vertAlign w:val="subscript"/>
        </w:rPr>
        <w:t>τ</w:t>
      </w:r>
      <w:r w:rsidRPr="00772108">
        <w:t xml:space="preserve"> by approximately 50% and </w:t>
      </w:r>
      <w:r w:rsidR="00511EB7" w:rsidRPr="001E1E4D">
        <w:t>C</w:t>
      </w:r>
      <w:r w:rsidR="00511EB7" w:rsidRPr="00511EB7">
        <w:rPr>
          <w:vertAlign w:val="subscript"/>
        </w:rPr>
        <w:t>max</w:t>
      </w:r>
      <w:r w:rsidRPr="00772108">
        <w:t xml:space="preserve"> by approximately 30%) compared with healthy subjects matched for demographics. Therefore, the dose should be reduced by 25% for patients with moderate hepatic impairment. Studies have not been conducted in patients with severe hepatic impairment (Child-Pugh C); however, exposure is expected to be higher than in patients with moderate hepatic impairment. Therefore, after evaluating the benefits and risks, lumacaftor and ivacaftor combination therapy is recommended to be used with caution at a maximum dose of LUM 200 mg q12h/IVA 125 mg q12h (reduced by 50%) in patients with severe hepatic impairment. The impact of mild hepatic impairment (Child-Pugh A) on the PK of lumacaftor given in combination with ivacaftor has not been studied, but the increase in exposure is expected to be less than 50%. Therefore, no dose adjustment is necessary for patient</w:t>
      </w:r>
      <w:r w:rsidR="000E248D">
        <w:t>s with mild hepatic impairment.</w:t>
      </w:r>
    </w:p>
    <w:p w:rsidR="00772108" w:rsidRDefault="00772108" w:rsidP="00772108">
      <w:pPr>
        <w:pStyle w:val="Heading6"/>
      </w:pPr>
      <w:r w:rsidRPr="00772108">
        <w:t xml:space="preserve">Subjects </w:t>
      </w:r>
      <w:r w:rsidR="000E248D" w:rsidRPr="00772108">
        <w:t xml:space="preserve">with cirrhosis </w:t>
      </w:r>
      <w:r w:rsidRPr="00772108">
        <w:t xml:space="preserve">and/or </w:t>
      </w:r>
      <w:r w:rsidR="000E248D">
        <w:t>portal hypertension (pooled</w:t>
      </w:r>
      <w:r w:rsidR="000E248D" w:rsidRPr="00772108">
        <w:t xml:space="preserve"> placebo controlled </w:t>
      </w:r>
      <w:r w:rsidR="00511EB7">
        <w:t>Phase III</w:t>
      </w:r>
      <w:r w:rsidR="000E248D">
        <w:t xml:space="preserve"> Studies)</w:t>
      </w:r>
    </w:p>
    <w:p w:rsidR="00772108" w:rsidRPr="00772108" w:rsidRDefault="00772108" w:rsidP="00772108">
      <w:r w:rsidRPr="00772108">
        <w:t>Seven subjects in the total LUM/IVA group (6 subjects in the LUM 400 mg q12h/IVA 250 mg q12h group and 1 subject in the LUM 600 mg qd/IVA 250 mg q12h group) had a medical history of hepatic cirrhosis and/or portal hypertension compared with 1 subject in the placebo group. Except for 1 subject, all of these subjects completed treatment in Studies 103/104 without any transaminase or hepatobiliary disorder related AEs or elevated liver enzymes (</w:t>
      </w:r>
      <w:r w:rsidR="00511EB7">
        <w:t xml:space="preserve">&gt; </w:t>
      </w:r>
      <w:r w:rsidRPr="00772108">
        <w:t>3 x ULN). One subject in the LUM 400 mg q12h/IVA 250 mg q12h group had an SAE of hepatic encephalopathy at Day 6, which resolved afte</w:t>
      </w:r>
      <w:r w:rsidR="000E248D">
        <w:t>r the study drug was withdrawn.</w:t>
      </w:r>
    </w:p>
    <w:p w:rsidR="00772108" w:rsidRPr="00772108" w:rsidRDefault="000E248D" w:rsidP="00772108">
      <w:pPr>
        <w:pStyle w:val="Heading5"/>
      </w:pPr>
      <w:r>
        <w:t>Renal impairment</w:t>
      </w:r>
    </w:p>
    <w:p w:rsidR="00772108" w:rsidRPr="00772108" w:rsidRDefault="00772108" w:rsidP="00772108">
      <w:r w:rsidRPr="00772108">
        <w:t>Safety assessment of lumacaftor in subjects with renal impairment was not condu</w:t>
      </w:r>
      <w:r w:rsidR="000E248D">
        <w:t>cted.</w:t>
      </w:r>
    </w:p>
    <w:p w:rsidR="00772108" w:rsidRPr="00772108" w:rsidRDefault="00772108" w:rsidP="00772108">
      <w:pPr>
        <w:pStyle w:val="Heading5"/>
      </w:pPr>
      <w:r w:rsidRPr="00772108">
        <w:t>Pancreatic insufficiency in CF patients (</w:t>
      </w:r>
      <w:r w:rsidR="004E6042">
        <w:t>Study</w:t>
      </w:r>
      <w:r w:rsidR="000E248D">
        <w:t xml:space="preserve"> 002)</w:t>
      </w:r>
    </w:p>
    <w:p w:rsidR="00772108" w:rsidRPr="00081B82" w:rsidRDefault="00772108" w:rsidP="00081B82">
      <w:r w:rsidRPr="00081B82">
        <w:t>Study 002 evaluated the PK of lumacaftor monotherapy and the effect of food on lumacaftor PK in 8 subjects with CF who were pancreatic insufficient. Three subjects had AEs: 1 subject had nasal congestion following the fed dose, 1 subject had headache following the fasted dose, and 1 subject had pneumonia following the fasted dose. The pneumonia was an SAE and led</w:t>
      </w:r>
      <w:r w:rsidR="00081B82">
        <w:t xml:space="preserve"> </w:t>
      </w:r>
      <w:r w:rsidRPr="00081B82">
        <w:t>to discontinuation of the subject from the study; the pneumonia was consid</w:t>
      </w:r>
      <w:r w:rsidR="000E248D">
        <w:t>ered not related to study drug.</w:t>
      </w:r>
    </w:p>
    <w:p w:rsidR="00772108" w:rsidRPr="00081B82" w:rsidRDefault="000E248D" w:rsidP="00081B82">
      <w:pPr>
        <w:pStyle w:val="Heading5"/>
      </w:pPr>
      <w:r>
        <w:t>Gender</w:t>
      </w:r>
    </w:p>
    <w:p w:rsidR="00772108" w:rsidRPr="00081B82" w:rsidRDefault="00772108" w:rsidP="00081B82">
      <w:r w:rsidRPr="00081B82">
        <w:t>The incidence of AEs was higher for females than for males in all treatment groups. However, the overall safety profile was similar for both sexes. AEs that were at least 5% more common in females compared with males were infective pulmonary exacerbation of cystic fibrosis, cough, dyspnoea, sputum increased and nausea. These events had an increased incidence in both the placebo and total LUM/IVA groups for females compared with males, and therefore is unlikely relevant to LUM/IVA therapy, but rather suggests that these eve</w:t>
      </w:r>
      <w:r w:rsidR="000E248D">
        <w:t>nts are more common in females.</w:t>
      </w:r>
    </w:p>
    <w:p w:rsidR="00772108" w:rsidRPr="00081B82" w:rsidRDefault="00772108" w:rsidP="00081B82">
      <w:r w:rsidRPr="00081B82">
        <w:t xml:space="preserve">Consistent with the overall trend for the pooled </w:t>
      </w:r>
      <w:r w:rsidR="003C1B2B">
        <w:t>placebo controlled</w:t>
      </w:r>
      <w:r w:rsidRPr="00081B82">
        <w:t xml:space="preserve"> </w:t>
      </w:r>
      <w:r w:rsidR="00511EB7">
        <w:t>Phase III</w:t>
      </w:r>
      <w:r w:rsidR="000E248D">
        <w:t xml:space="preserve"> analysis (males and females)</w:t>
      </w:r>
      <w:r w:rsidRPr="00081B82">
        <w:t xml:space="preserve"> there was a decreased incidence of infective pulmonary exacerbation of cystic fibrosis and cough for male or female subjects in the total LUM/IVA group compared with the placebo </w:t>
      </w:r>
      <w:r w:rsidRPr="00081B82">
        <w:lastRenderedPageBreak/>
        <w:t xml:space="preserve">group. The were no clinically meaningful differences in AEs for the LUM 600 mg qd/ IVA 250 mg q12h group and the LUM 400 mg q12h/ IVA 250 mg q12h group when comparing the male and female subgroups. Among the 65 males and 60 females in </w:t>
      </w:r>
      <w:r w:rsidR="004E6042">
        <w:t>Study</w:t>
      </w:r>
      <w:r w:rsidRPr="00081B82">
        <w:t xml:space="preserve"> 102 Cohort 4, there was a trend of increased AE incidence in females compared to males, consistent with the pooled </w:t>
      </w:r>
      <w:r w:rsidR="003C1B2B">
        <w:t>placebo controlled</w:t>
      </w:r>
      <w:r w:rsidRPr="00081B82">
        <w:t xml:space="preserve"> </w:t>
      </w:r>
      <w:r w:rsidR="00511EB7">
        <w:t>Phase III</w:t>
      </w:r>
      <w:r w:rsidR="000E248D">
        <w:t xml:space="preserve"> studies.</w:t>
      </w:r>
    </w:p>
    <w:p w:rsidR="00772108" w:rsidRPr="00081B82" w:rsidRDefault="000E248D" w:rsidP="00081B82">
      <w:pPr>
        <w:pStyle w:val="Heading5"/>
      </w:pPr>
      <w:r>
        <w:t>Race</w:t>
      </w:r>
    </w:p>
    <w:p w:rsidR="00772108" w:rsidRPr="00081B82" w:rsidRDefault="00772108" w:rsidP="00081B82">
      <w:r w:rsidRPr="00081B82">
        <w:t xml:space="preserve">CF is predominantly prevalent in the Caucasian patient population and majority (98.6%) of subjects in the pooled </w:t>
      </w:r>
      <w:r w:rsidR="003C1B2B">
        <w:t>placebo controlled</w:t>
      </w:r>
      <w:r w:rsidRPr="00081B82">
        <w:t xml:space="preserve"> </w:t>
      </w:r>
      <w:r w:rsidR="00511EB7">
        <w:t>Phase III</w:t>
      </w:r>
      <w:r w:rsidRPr="00081B82">
        <w:t xml:space="preserve"> analysis were White. Hence, a subgroup anal</w:t>
      </w:r>
      <w:r w:rsidR="000E248D">
        <w:t>ysis by race was not conducted.</w:t>
      </w:r>
    </w:p>
    <w:p w:rsidR="00772108" w:rsidRPr="00081B82" w:rsidRDefault="00772108" w:rsidP="00081B82">
      <w:pPr>
        <w:pStyle w:val="Heading4"/>
      </w:pPr>
      <w:r w:rsidRPr="00081B82">
        <w:t>Ex</w:t>
      </w:r>
      <w:r w:rsidR="000E248D">
        <w:t>trinsic factors</w:t>
      </w:r>
    </w:p>
    <w:p w:rsidR="00081B82" w:rsidRDefault="000E248D" w:rsidP="00081B82">
      <w:pPr>
        <w:pStyle w:val="Heading5"/>
      </w:pPr>
      <w:r>
        <w:rPr>
          <w:rFonts w:eastAsia="Arial Unicode MS"/>
        </w:rPr>
        <w:t>Bronchodilator use</w:t>
      </w:r>
    </w:p>
    <w:p w:rsidR="00772108" w:rsidRPr="00081B82" w:rsidRDefault="00772108" w:rsidP="00081B82">
      <w:r w:rsidRPr="00081B82">
        <w:t>Most subjects with AESIs of respiratory symptoms or reactive airways were using an inhaled bronchodilator (short acting, long acting, or a combination of the 2) prior to first dose of the study drug. This trend was consistent with the high percentage of subjects overall (92.4%) who used bronchodilators prior t</w:t>
      </w:r>
      <w:r w:rsidR="000E248D">
        <w:t>o the first dose of study drug.</w:t>
      </w:r>
    </w:p>
    <w:p w:rsidR="00772108" w:rsidRPr="00081B82" w:rsidRDefault="00772108" w:rsidP="00081B82">
      <w:r w:rsidRPr="00081B82">
        <w:t xml:space="preserve">Safety data in </w:t>
      </w:r>
      <w:r w:rsidR="004E6042">
        <w:t>Study</w:t>
      </w:r>
      <w:r w:rsidRPr="00081B82">
        <w:t xml:space="preserve"> 009 Cohort 4 were generally consistent with the pooled </w:t>
      </w:r>
      <w:r w:rsidR="00511EB7">
        <w:t>Phase I</w:t>
      </w:r>
      <w:r w:rsidRPr="00081B82">
        <w:t xml:space="preserve"> data. Administration of </w:t>
      </w:r>
      <w:r w:rsidR="00313FF7">
        <w:t>long acting</w:t>
      </w:r>
      <w:r w:rsidRPr="00081B82">
        <w:t xml:space="preserve"> bronchodilators (indacaterol and tiotropium) within 12 hours before administration of LUM/IVA </w:t>
      </w:r>
      <w:r w:rsidR="000E248D" w:rsidRPr="00081B82">
        <w:t>ameliorated</w:t>
      </w:r>
      <w:r w:rsidRPr="00081B82">
        <w:t xml:space="preserve"> the mild decline observed in </w:t>
      </w:r>
      <w:r w:rsidR="00A8789D" w:rsidRPr="001D064D">
        <w:t>FEV</w:t>
      </w:r>
      <w:r w:rsidR="00A8789D" w:rsidRPr="00A8789D">
        <w:rPr>
          <w:vertAlign w:val="subscript"/>
        </w:rPr>
        <w:t>1</w:t>
      </w:r>
      <w:r w:rsidRPr="00081B82">
        <w:t xml:space="preserve"> following dosing with lumacaftor in combination with ivacaftor. Administration of </w:t>
      </w:r>
      <w:r w:rsidR="00313FF7">
        <w:t>short acting</w:t>
      </w:r>
      <w:r w:rsidRPr="00081B82">
        <w:t xml:space="preserve"> bronchodilators (albuterol and ipratropium) within 4 hours after LUM/IVA administration le</w:t>
      </w:r>
      <w:r w:rsidR="000E248D">
        <w:t>d to a reversal of the decline.</w:t>
      </w:r>
    </w:p>
    <w:p w:rsidR="00081B82" w:rsidRDefault="000E248D" w:rsidP="00081B82">
      <w:pPr>
        <w:pStyle w:val="Heading5"/>
      </w:pPr>
      <w:r>
        <w:rPr>
          <w:rFonts w:eastAsia="Arial Unicode MS"/>
        </w:rPr>
        <w:t>Geographic region</w:t>
      </w:r>
    </w:p>
    <w:p w:rsidR="00772108" w:rsidRPr="00081B82" w:rsidRDefault="00772108" w:rsidP="00081B82">
      <w:r w:rsidRPr="00081B82">
        <w:t xml:space="preserve">Overall, 57.6% of subjects were from North America, 34.2% from the European Union (EU) and 8.2% from Australia. In North America, the only AE with an incidence of at least 5% increase in the total LUM/IVA group compared with the overall total LUM/IVA group was nasal congestion. The incidence of nasal congestion was also higher in the North American placebo group compared with the </w:t>
      </w:r>
      <w:r w:rsidR="000E248D">
        <w:t>overall placebo group In the EU</w:t>
      </w:r>
      <w:r w:rsidRPr="00081B82">
        <w:t xml:space="preserve"> there was at least a 5% increase in the total LUM/IVA group compared with the overall total LUM/IVA group for nasopharyngitis, abdominal pain, and rhinitis. The incidence of nasal congestion was lower in the EU compared with the overall group for both the total LUM/IVA group and the placebo group. In Australia, there was at least a 5% increase in the total LUM/IVA group compared with the overall total LUM/IVA group for infective pulmonary exacerbation of cystic fibrosis, viral upper respiratory tract infection, and productive cough. There was a decreased incidence of at least 5% in the Australian total LUM/IVA group compared with the overall total LUM/IVA group for sinusitis, sputum increased, haemoptysis, nasal congestion, pyrexia, fatigue, and blood creatine phosphokinase increased. In general, the trend of AEs was similar across all geographic regions. The incidence of AEs in the LUM 600 mg qd/IVA 250 mg q12h group or the LUM 400 mg q12h/IVA 250 mg q12h group was also sim</w:t>
      </w:r>
      <w:r w:rsidR="000E248D">
        <w:t>ilar across geographic regions.</w:t>
      </w:r>
    </w:p>
    <w:p w:rsidR="00772108" w:rsidRPr="00081B82" w:rsidRDefault="00772108" w:rsidP="00081B82">
      <w:pPr>
        <w:pStyle w:val="Heading4"/>
      </w:pPr>
      <w:r w:rsidRPr="00081B82">
        <w:t>Safety related to drug-drug inte</w:t>
      </w:r>
      <w:r w:rsidR="000E248D">
        <w:t>ractions and other interactions</w:t>
      </w:r>
    </w:p>
    <w:p w:rsidR="00081B82" w:rsidRPr="00081B82" w:rsidRDefault="00772108" w:rsidP="00081B82">
      <w:r w:rsidRPr="00081B82">
        <w:t>In patients with CF, it is likely that lumacaftor in combination with ivacaftor will be given</w:t>
      </w:r>
      <w:r w:rsidR="00081B82" w:rsidRPr="00081B82">
        <w:t xml:space="preserve"> with inducers and inhibitors of CYP3A. Thus, to</w:t>
      </w:r>
      <w:r w:rsidR="000E248D">
        <w:t xml:space="preserve"> assess the potential for CYP3A </w:t>
      </w:r>
      <w:r w:rsidR="00081B82" w:rsidRPr="00081B82">
        <w:t>mediated drug</w:t>
      </w:r>
      <w:r w:rsidR="00081B82">
        <w:t xml:space="preserve"> </w:t>
      </w:r>
      <w:r w:rsidR="00081B82" w:rsidRPr="00081B82">
        <w:t xml:space="preserve">interaction on the lumacaftor and ivacaftor combination, the effect of inhibitors (ciprofloxacin and itraconazole) and an inducer (rifampin) of CYP3A on the pharmacokinetics (PK) of lumacaftor and ivacaftor was evaluated in </w:t>
      </w:r>
      <w:r w:rsidR="004E6042">
        <w:t>Study</w:t>
      </w:r>
      <w:r w:rsidR="00081B82" w:rsidRPr="00081B82">
        <w:t xml:space="preserve"> 009 and no safety concerns were observed in this study</w:t>
      </w:r>
      <w:r w:rsidR="000E248D">
        <w:t>.</w:t>
      </w:r>
    </w:p>
    <w:p w:rsidR="00081B82" w:rsidRPr="00081B82" w:rsidRDefault="00081B82" w:rsidP="00081B82">
      <w:r w:rsidRPr="00081B82">
        <w:t xml:space="preserve">The effect of lumacaftor in combination with ivacaftor on the pharmacokinetics of hormonal contraceptives has not been studied. However, because lumacaftor is an inducer of CYP3A, it is likely to reduce the effectiveness of hormonal contraceptives. Thus, subjects using hormonal </w:t>
      </w:r>
      <w:r w:rsidRPr="00081B82">
        <w:lastRenderedPageBreak/>
        <w:t xml:space="preserve">contraceptives were advised to use </w:t>
      </w:r>
      <w:r w:rsidR="002A5A3A" w:rsidRPr="00081B82">
        <w:t>non</w:t>
      </w:r>
      <w:r w:rsidR="002A5A3A">
        <w:t>-</w:t>
      </w:r>
      <w:r w:rsidR="002A5A3A" w:rsidRPr="00081B82">
        <w:t>hormonal</w:t>
      </w:r>
      <w:r w:rsidRPr="00081B82">
        <w:t xml:space="preserve"> contraceptives during the lumacaftor develo</w:t>
      </w:r>
      <w:r w:rsidR="000E248D">
        <w:t>pment program.</w:t>
      </w:r>
    </w:p>
    <w:p w:rsidR="00081B82" w:rsidRPr="00081B82" w:rsidRDefault="000E248D" w:rsidP="00081B82">
      <w:pPr>
        <w:pStyle w:val="Heading4"/>
      </w:pPr>
      <w:r>
        <w:t>Use in pregnancy and lactation</w:t>
      </w:r>
    </w:p>
    <w:p w:rsidR="00081B82" w:rsidRPr="00081B82" w:rsidRDefault="00081B82" w:rsidP="00081B82">
      <w:r w:rsidRPr="00081B82">
        <w:t>The effect of combination treatment with lumacaftor and ivacaftor was not evaluated in human studies. Results from embryo-foetal development (EFD) reproductive toxicology studies in pregnant rats and rabbits indicated that lumacaftor i</w:t>
      </w:r>
      <w:r w:rsidR="000E248D">
        <w:t xml:space="preserve">s not a teratogen. Although M28 </w:t>
      </w:r>
      <w:r w:rsidRPr="00081B82">
        <w:t>lumacaftor administration was associated with foetal malformations at the highest dose level tested in rats (800 mg/kg/day), this dose level resulted in significant maternal toxicities, and these findings were not observed at lower dose levels absent maternal toxicity. These findings were therefore attributed to the observed maternal toxicity and were observed at very high (</w:t>
      </w:r>
      <w:r w:rsidR="00511EB7">
        <w:t xml:space="preserve">&gt; </w:t>
      </w:r>
      <w:r w:rsidRPr="00081B82">
        <w:t>100</w:t>
      </w:r>
      <w:r w:rsidR="00511EB7">
        <w:t xml:space="preserve"> fold</w:t>
      </w:r>
      <w:r w:rsidRPr="00081B82">
        <w:t>) exposure-based safety margins over M28-lumacaftor in humans. Results from the fertility and embryonic development study indicated that lumacaftor does not affect the male or femal</w:t>
      </w:r>
      <w:r w:rsidR="000E248D">
        <w:t>e reproductive systems in rats.</w:t>
      </w:r>
    </w:p>
    <w:p w:rsidR="00081B82" w:rsidRPr="00081B82" w:rsidRDefault="00081B82" w:rsidP="00081B82">
      <w:r w:rsidRPr="00081B82">
        <w:t xml:space="preserve">Overall, there were 5 pregnancies in the </w:t>
      </w:r>
      <w:r w:rsidR="00511EB7">
        <w:t>Phase III</w:t>
      </w:r>
      <w:r w:rsidRPr="00081B82">
        <w:t xml:space="preserve"> studies (1 during </w:t>
      </w:r>
      <w:r w:rsidR="004E6042">
        <w:t>Study</w:t>
      </w:r>
      <w:r w:rsidRPr="00081B82">
        <w:t xml:space="preserve"> 103 and 4 during </w:t>
      </w:r>
      <w:r w:rsidR="004E6042">
        <w:t>Study</w:t>
      </w:r>
      <w:r w:rsidRPr="00081B82">
        <w:t xml:space="preserve"> 105 </w:t>
      </w:r>
      <w:r w:rsidR="004E6042">
        <w:t>(</w:t>
      </w:r>
      <w:r w:rsidRPr="00081B82">
        <w:t>3 in Part A and 1 in Part B</w:t>
      </w:r>
      <w:r w:rsidR="004E6042">
        <w:t>)</w:t>
      </w:r>
      <w:r w:rsidRPr="00081B82">
        <w:t>). All 5 subjects were on active treatment in these studies. The duration of study drug exposure prior to the pregnancy ranged from 21 to 42 days. All 5 subjects discontinued treatment after pregnancy was confirmed. One of the subjects underwent an elective termination, and in the remaining 4 subjects t</w:t>
      </w:r>
      <w:r w:rsidR="000E248D">
        <w:t>he pregnancy was still ongoing.</w:t>
      </w:r>
    </w:p>
    <w:p w:rsidR="00772108" w:rsidRPr="00081B82" w:rsidRDefault="00081B82" w:rsidP="00081B82">
      <w:r w:rsidRPr="00081B82">
        <w:t>Given the limited data on the outcomes after drug exposure during pregnancy, lumacaftor should not be used during pregnancy unless the potential benefit justifies the potential risk. Lumacaftor and ivacaftor are excreted into the milk of lactating female rats and excretion of both drugs into human milk is probable. No human studies have investigated the effects of ivacaftor on breast-fed infants.</w:t>
      </w:r>
    </w:p>
    <w:p w:rsidR="00081B82" w:rsidRPr="00081B82" w:rsidRDefault="00081B82" w:rsidP="00081B82">
      <w:pPr>
        <w:pStyle w:val="Heading4"/>
      </w:pPr>
      <w:r w:rsidRPr="00081B82">
        <w:t>Overdose, drug abuse, withdrawal/ rebound effects, effects on ability</w:t>
      </w:r>
      <w:r w:rsidR="000E248D">
        <w:t xml:space="preserve"> to drive or operate machinery</w:t>
      </w:r>
    </w:p>
    <w:p w:rsidR="00081B82" w:rsidRPr="00081B82" w:rsidRDefault="00081B82" w:rsidP="00081B82">
      <w:r w:rsidRPr="00081B82">
        <w:t>There have been no reports of overdose in subjects who received lumacaftor. The highest single dose of lumacaftor received in a clinical study was 600 mg in a tablet formulation (</w:t>
      </w:r>
      <w:r w:rsidR="004E6042">
        <w:t>Study</w:t>
      </w:r>
      <w:r w:rsidRPr="00081B82">
        <w:t xml:space="preserve"> 012 and </w:t>
      </w:r>
      <w:r w:rsidR="004E6042">
        <w:t>Study</w:t>
      </w:r>
      <w:r w:rsidRPr="00081B82">
        <w:t xml:space="preserve"> 007). The highest repeated dose of lumacaftor received in a clinical study was 1</w:t>
      </w:r>
      <w:r w:rsidR="000E248D">
        <w:t>,</w:t>
      </w:r>
      <w:r w:rsidRPr="00081B82">
        <w:t xml:space="preserve">200 mg qd (in a tablet formulation) for 7 days in </w:t>
      </w:r>
      <w:r w:rsidR="004E6042">
        <w:t>Study</w:t>
      </w:r>
      <w:r w:rsidRPr="00081B82">
        <w:t xml:space="preserve"> 008, the thorough QT study. No subjects had SAEs. AEs that occurred at an increased incidence of </w:t>
      </w:r>
      <w:r w:rsidR="00A91223">
        <w:t xml:space="preserve">≥ </w:t>
      </w:r>
      <w:r w:rsidRPr="00081B82">
        <w:t>5% in the supra</w:t>
      </w:r>
      <w:r w:rsidR="000E248D">
        <w:t xml:space="preserve"> </w:t>
      </w:r>
      <w:r w:rsidRPr="00081B82">
        <w:t>therapeutic dose period compared with the therapeutic dose period were headache (28.6% and 21.8%), rash general</w:t>
      </w:r>
      <w:r w:rsidR="002D7E74">
        <w:t>ise</w:t>
      </w:r>
      <w:r w:rsidRPr="00081B82">
        <w:t>d (10.2% and 0%), and transamina</w:t>
      </w:r>
      <w:r w:rsidR="000E248D">
        <w:t>ses increased (18.4% and 5.5%).</w:t>
      </w:r>
    </w:p>
    <w:p w:rsidR="00081B82" w:rsidRPr="00081B82" w:rsidRDefault="00081B82" w:rsidP="00081B82">
      <w:r w:rsidRPr="00081B82">
        <w:t>The highest ivacaftor repeated dose evaluated was 450 mg ivac</w:t>
      </w:r>
      <w:r w:rsidR="000E248D">
        <w:t>aftor q12h (900 mg/day) for 4.5 </w:t>
      </w:r>
      <w:r w:rsidRPr="00081B82">
        <w:t xml:space="preserve">days (9 doses) in </w:t>
      </w:r>
      <w:r w:rsidR="004E6042">
        <w:t>Study</w:t>
      </w:r>
      <w:r w:rsidRPr="00081B82">
        <w:t xml:space="preserve"> 770-008. No subjects had serious adverse events (SAEs). The AEs reported at a higher incidence (</w:t>
      </w:r>
      <w:r w:rsidR="00A91223">
        <w:t xml:space="preserve">≥ </w:t>
      </w:r>
      <w:r w:rsidRPr="00081B82">
        <w:t>5%) in either of the 2 ivacaftor treatments compared to placebo were contact dermatitis, dizziness, and diarrhoea. Contact dermatitis (likely from application of ECG leads) was reported at a higher incidence in the ivacaftor 450 mg q12h treatment compared to the i</w:t>
      </w:r>
      <w:r w:rsidR="000E248D">
        <w:t>vacaftor 150 mg q12h treatment.</w:t>
      </w:r>
    </w:p>
    <w:p w:rsidR="00081B82" w:rsidRPr="00081B82" w:rsidRDefault="00081B82" w:rsidP="00081B82">
      <w:r w:rsidRPr="00081B82">
        <w:t>No specific antidote is available for overdose with lumacaftor in combination with ivacaftor. Treatment of overdose consists of general supportive measures including monitoring of vital signs and observation of the clinical status of the patient. It is not known if lumacaftor in combination with ivacaftor c</w:t>
      </w:r>
      <w:r w:rsidR="000E248D">
        <w:t>an be cleared by haemodialysis.</w:t>
      </w:r>
    </w:p>
    <w:p w:rsidR="00081B82" w:rsidRPr="00081B82" w:rsidRDefault="00081B82" w:rsidP="00D1392B">
      <w:r w:rsidRPr="00081B82">
        <w:t>The abuse potential of lumacaftor or lumacaftor in combination with ivacaftor was not evaluated. There is no information regarding the dependence potential in animals or humans. Evaluation of</w:t>
      </w:r>
      <w:r w:rsidR="000E248D">
        <w:t xml:space="preserve"> </w:t>
      </w:r>
      <w:r w:rsidRPr="00081B82">
        <w:t xml:space="preserve">AEs does not reveal evidence of euphoria, sedation, or mood alteration. There were no clinically meaningful central nervous system findings in the nonclinical or </w:t>
      </w:r>
      <w:r w:rsidR="000E248D">
        <w:t>clinical studies of lumacaftor.</w:t>
      </w:r>
    </w:p>
    <w:p w:rsidR="00081B82" w:rsidRPr="00081B82" w:rsidRDefault="00081B82" w:rsidP="00081B82">
      <w:r w:rsidRPr="00081B82">
        <w:t xml:space="preserve">The potential withdrawal and rebound effects of lumacaftor have not been evaluated. In the pooled </w:t>
      </w:r>
      <w:r w:rsidR="003C1B2B">
        <w:t>placebo controlled</w:t>
      </w:r>
      <w:r w:rsidRPr="00081B82">
        <w:t xml:space="preserve"> </w:t>
      </w:r>
      <w:r w:rsidR="00511EB7">
        <w:t>Phase III</w:t>
      </w:r>
      <w:r w:rsidRPr="00081B82">
        <w:t xml:space="preserve"> studies, subjects received lumacaftor in combination with </w:t>
      </w:r>
      <w:r w:rsidRPr="00081B82">
        <w:lastRenderedPageBreak/>
        <w:t>ivacaftor for up to 24 weeks. The overall safety and tolerability profile did not appear to be negatively impacted by interruption, discontin</w:t>
      </w:r>
      <w:r w:rsidR="000E248D">
        <w:t>uation or treatment completion.</w:t>
      </w:r>
    </w:p>
    <w:p w:rsidR="00081B82" w:rsidRPr="00081B82" w:rsidRDefault="00081B82" w:rsidP="00081B82">
      <w:r w:rsidRPr="00081B82">
        <w:t>No studies on the effects of lumacaftor or lumacaftor in combination with ivacaftor on the ability to drive or operate machinery have been performed. The observed incidences of AEs that may alter the ability to drive or operate machinery were similar in the total LUM/IVA and placebo groups</w:t>
      </w:r>
      <w:r w:rsidR="000E248D">
        <w:t>.</w:t>
      </w:r>
    </w:p>
    <w:p w:rsidR="00081B82" w:rsidRPr="00081B82" w:rsidRDefault="00081B82" w:rsidP="00081B82">
      <w:pPr>
        <w:pStyle w:val="Heading3"/>
      </w:pPr>
      <w:bookmarkStart w:id="39" w:name="_Toc461121062"/>
      <w:r w:rsidRPr="00081B82">
        <w:t>Evaluator’s overall</w:t>
      </w:r>
      <w:r w:rsidR="000E248D">
        <w:t xml:space="preserve"> conclusions on clinical safety</w:t>
      </w:r>
      <w:bookmarkEnd w:id="39"/>
    </w:p>
    <w:p w:rsidR="00772108" w:rsidRPr="00081B82" w:rsidRDefault="00081B82" w:rsidP="00081B82">
      <w:r w:rsidRPr="00081B82">
        <w:t xml:space="preserve">Overall exposure to proposed combination of lumacaftor and ivacaftor was adequate to evaluate safety in the target patient population for the proposed indication. Safety was evaluated in 17 studies with lumacaftor including 12 completed </w:t>
      </w:r>
      <w:r w:rsidR="00511EB7">
        <w:t>Phase I</w:t>
      </w:r>
      <w:r w:rsidRPr="00081B82">
        <w:t xml:space="preserve"> studies, 2 completed </w:t>
      </w:r>
      <w:r w:rsidR="00980975">
        <w:t>Phase II</w:t>
      </w:r>
      <w:r w:rsidRPr="00081B82">
        <w:t xml:space="preserve"> studies, 2 completed </w:t>
      </w:r>
      <w:r w:rsidR="00511EB7">
        <w:t>Phase III</w:t>
      </w:r>
      <w:r w:rsidRPr="00081B82">
        <w:t xml:space="preserve"> studies, and 1 ongoing </w:t>
      </w:r>
      <w:r w:rsidR="00511EB7">
        <w:t>Phase III</w:t>
      </w:r>
      <w:r w:rsidRPr="00081B82">
        <w:t xml:space="preserve"> study.</w:t>
      </w:r>
      <w:r w:rsidR="000E248D">
        <w:t xml:space="preserve"> </w:t>
      </w:r>
      <w:r w:rsidRPr="00081B82">
        <w:t>A total of 1</w:t>
      </w:r>
      <w:r w:rsidR="000E248D">
        <w:t>,</w:t>
      </w:r>
      <w:r w:rsidRPr="00081B82">
        <w:t>839 subjects were exposed to lumacaftor: 391 subjects without CF (excluding 12 subjects with moderate hepatic impairment) and 1</w:t>
      </w:r>
      <w:r w:rsidR="000E248D">
        <w:t>,</w:t>
      </w:r>
      <w:r w:rsidRPr="00081B82">
        <w:t>436 subjects with CF. A total of 1</w:t>
      </w:r>
      <w:r w:rsidR="000E248D">
        <w:t>,</w:t>
      </w:r>
      <w:r w:rsidRPr="00081B82">
        <w:t xml:space="preserve">615 subjects were exposed to lumacaftor in combination with ivacaftor in </w:t>
      </w:r>
      <w:r w:rsidR="00511EB7">
        <w:t>Phase I</w:t>
      </w:r>
      <w:r w:rsidRPr="00081B82">
        <w:t xml:space="preserve"> through </w:t>
      </w:r>
      <w:r w:rsidR="00511EB7">
        <w:t>Phase III</w:t>
      </w:r>
      <w:r w:rsidRPr="00081B82">
        <w:t xml:space="preserve"> studies: 254 subjects without CF (excluding 12 subjects with moderate hepatic impairment) and 1</w:t>
      </w:r>
      <w:r w:rsidR="000E248D">
        <w:t>,</w:t>
      </w:r>
      <w:r w:rsidRPr="00081B82">
        <w:t>349 subjects with CF. Overall, 738 subjects received study treatment for 24 weeks (Studies 103/104) of whom 369 patients were treated with proposed dose of LUM 400 mg q12h/IVA 250 mg q12h.</w:t>
      </w:r>
    </w:p>
    <w:p w:rsidR="00081B82" w:rsidRPr="00081B82" w:rsidRDefault="00081B82" w:rsidP="00081B82">
      <w:r w:rsidRPr="00081B82">
        <w:t xml:space="preserve">In the </w:t>
      </w:r>
      <w:r w:rsidR="003C1B2B">
        <w:t>placebo controlled</w:t>
      </w:r>
      <w:r w:rsidRPr="00081B82">
        <w:t xml:space="preserve"> </w:t>
      </w:r>
      <w:r w:rsidR="00511EB7">
        <w:t>Phase III</w:t>
      </w:r>
      <w:r w:rsidRPr="00081B82">
        <w:t xml:space="preserve"> studies, AEs that occurred in </w:t>
      </w:r>
      <w:r w:rsidR="00A91223">
        <w:t xml:space="preserve">≥ </w:t>
      </w:r>
      <w:r w:rsidRPr="00081B82">
        <w:t xml:space="preserve">1% increase incidence in the total LUM/IVA group </w:t>
      </w:r>
      <w:r w:rsidR="00046CA8">
        <w:t>(</w:t>
      </w:r>
      <w:r w:rsidR="000E248D">
        <w:t>compared with the placebo group</w:t>
      </w:r>
      <w:r w:rsidR="00046CA8">
        <w:t>)</w:t>
      </w:r>
      <w:r w:rsidRPr="00081B82">
        <w:t xml:space="preserve"> and had an incidence of at least 5% in any treatment group were dyspnoea, diarrhoea, nausea, respiration abnormal, oropharyngeal pain, upper respiratory tract infection, rhinitis, flatulence, rash, rhinorrhoea, and vomiting. The placebo group had a higher incidence of pulmonary exacerbation of cystic fibrosis, cough, sputum increased, nasal congestion, and pulmonary function test decreased. The majority of AEs were mild or moderate in severity. In the </w:t>
      </w:r>
      <w:r w:rsidR="003C1B2B">
        <w:t>placebo controlled</w:t>
      </w:r>
      <w:r w:rsidRPr="00081B82">
        <w:t xml:space="preserve"> </w:t>
      </w:r>
      <w:r w:rsidR="00511EB7">
        <w:t>Phase III</w:t>
      </w:r>
      <w:r w:rsidRPr="00081B82">
        <w:t xml:space="preserve"> studies, infective pulmonary exacerbation of CF, headache, and blood CPK increased were th</w:t>
      </w:r>
      <w:r w:rsidR="00046CA8">
        <w:t xml:space="preserve">e only severe (Grade 3) or life </w:t>
      </w:r>
      <w:r w:rsidRPr="00081B82">
        <w:t xml:space="preserve">threatening (Grade 4) AE with an incidence of at least 1% in any treatment group. There were no deaths in the </w:t>
      </w:r>
      <w:r w:rsidR="003C1B2B">
        <w:t>placebo controlled</w:t>
      </w:r>
      <w:r w:rsidRPr="00081B82">
        <w:t xml:space="preserve"> studies. The incidence of SAEs was higher in the placebo (28.6%) group compared with the total LUM/IVA group (20.1% subjects). The most common SAE (at least 5% incidence) in any treatment group was infective pulmonary exacerbation of CF. </w:t>
      </w:r>
      <w:proofErr w:type="gramStart"/>
      <w:r w:rsidRPr="00081B82">
        <w:t>The</w:t>
      </w:r>
      <w:proofErr w:type="gramEnd"/>
      <w:r w:rsidRPr="00081B82">
        <w:t xml:space="preserve"> rate of study drug discontinuation was higher in the total LUM/IVA group (4.2%) compared with the placebo group (1.6%). The most common AEs (</w:t>
      </w:r>
      <w:r w:rsidR="00511EB7">
        <w:t xml:space="preserve">&gt; </w:t>
      </w:r>
      <w:r w:rsidRPr="00081B82">
        <w:t>2 subjects in any treatment group) that led to discontinuation of study drug were haemo</w:t>
      </w:r>
      <w:r w:rsidR="00046CA8">
        <w:t>ptysis and blood CPK increased.</w:t>
      </w:r>
    </w:p>
    <w:p w:rsidR="00081B82" w:rsidRPr="00081B82" w:rsidRDefault="00081B82" w:rsidP="00081B82">
      <w:r w:rsidRPr="00081B82">
        <w:t xml:space="preserve">The safety profiles for the LUM 600 mg qd/IVA 250 mg q12h group and the LUM 400 mg q12h/IVA 250 mg q12h group were similar. No new safety signal was identified in the interim analysis of ongoing, long-term </w:t>
      </w:r>
      <w:r w:rsidR="004E6042">
        <w:t>Study</w:t>
      </w:r>
      <w:r w:rsidRPr="00081B82">
        <w:t xml:space="preserve"> 105. The overall incidence of AEs was lower in subjects that were on active treatment in Studies 103/104 (and continued on treatment in </w:t>
      </w:r>
      <w:r w:rsidR="004E6042">
        <w:t>Study</w:t>
      </w:r>
      <w:r w:rsidRPr="00081B82">
        <w:t xml:space="preserve"> 105) compared with subjects who received placebo in Studies 103/104 (and received active treatment in </w:t>
      </w:r>
      <w:r w:rsidR="004E6042">
        <w:t>Study</w:t>
      </w:r>
      <w:r w:rsidRPr="00081B82">
        <w:t xml:space="preserve"> 105). The overall rate of treatment discontinuation was low (2.7%). There was 1 death due to infective pulmonary exacerbation of cystic fibrosis leading to respiratory failure in the LUM 400 mg q12h/IVA 250 mg q12h group that occurred approximately 1 year after the first dose of study drug. The event was considered not related to the </w:t>
      </w:r>
      <w:r w:rsidR="00046CA8">
        <w:t>study drug by the investigator.</w:t>
      </w:r>
    </w:p>
    <w:p w:rsidR="00081B82" w:rsidRPr="00081B82" w:rsidRDefault="00046CA8" w:rsidP="00081B82">
      <w:r>
        <w:t xml:space="preserve">Liver </w:t>
      </w:r>
      <w:r w:rsidR="00081B82" w:rsidRPr="00081B82">
        <w:t xml:space="preserve">related safety concerns from the ivacaftor monotherapy program led to specific analyses to assess for potential liver toxicity. In the pooled </w:t>
      </w:r>
      <w:r w:rsidR="003C1B2B">
        <w:t>placebo controlled</w:t>
      </w:r>
      <w:r w:rsidR="00081B82" w:rsidRPr="00081B82">
        <w:t xml:space="preserve"> studies, the incidence of elevated transaminases or hepatobiliary disorder related AEs was similar in the total LUM/IVA group compared with placebo (5.7% </w:t>
      </w:r>
      <w:r w:rsidR="001C171F">
        <w:t>versus</w:t>
      </w:r>
      <w:r w:rsidR="00081B82" w:rsidRPr="00081B82">
        <w:t xml:space="preserve"> 5.4%) with similar results for incidence of elevated liver enzymes </w:t>
      </w:r>
      <w:r w:rsidR="00511EB7">
        <w:t xml:space="preserve">&gt; </w:t>
      </w:r>
      <w:r w:rsidR="00081B82" w:rsidRPr="00081B82">
        <w:t xml:space="preserve">3 × ULN (5.2% </w:t>
      </w:r>
      <w:r w:rsidR="001C171F">
        <w:t>versus</w:t>
      </w:r>
      <w:r w:rsidR="00081B82" w:rsidRPr="00081B82">
        <w:t xml:space="preserve"> 5.1%). The incidence of transaminase elevations </w:t>
      </w:r>
      <w:r>
        <w:t>&gt; 5 × </w:t>
      </w:r>
      <w:r w:rsidR="00081B82" w:rsidRPr="00081B82">
        <w:t xml:space="preserve">ULN and </w:t>
      </w:r>
      <w:r w:rsidR="00511EB7">
        <w:t xml:space="preserve">&gt; </w:t>
      </w:r>
      <w:r w:rsidR="00081B82" w:rsidRPr="00081B82">
        <w:t xml:space="preserve">8 × ULN were </w:t>
      </w:r>
      <w:r w:rsidR="00A91223">
        <w:t xml:space="preserve">≤ </w:t>
      </w:r>
      <w:r w:rsidR="00081B82" w:rsidRPr="00081B82">
        <w:t xml:space="preserve">2% and </w:t>
      </w:r>
      <w:r w:rsidR="00511EB7">
        <w:t xml:space="preserve">&lt; </w:t>
      </w:r>
      <w:r w:rsidR="00081B82" w:rsidRPr="00081B82">
        <w:t xml:space="preserve">1%, respectively, in both the total LUM/IVA and </w:t>
      </w:r>
      <w:r w:rsidR="00081B82" w:rsidRPr="00081B82">
        <w:lastRenderedPageBreak/>
        <w:t>placebo groups. Seven subjects in the total LUM/IVA group had SAEs associated with elevated transaminas</w:t>
      </w:r>
      <w:r>
        <w:t xml:space="preserve">es or hepatobiliary AEs and in </w:t>
      </w:r>
      <w:r w:rsidR="00081B82" w:rsidRPr="00081B82">
        <w:t>3 cases (</w:t>
      </w:r>
      <w:r w:rsidR="007138B8">
        <w:t>for example</w:t>
      </w:r>
      <w:r w:rsidR="00081B82" w:rsidRPr="00081B82">
        <w:t>, cholestatic hepatitis, hepatitis and cholestasis, and hepatic encephalopathy</w:t>
      </w:r>
      <w:r w:rsidR="00081B82">
        <w:rPr>
          <w:rStyle w:val="FootnoteReference"/>
        </w:rPr>
        <w:footnoteReference w:id="30"/>
      </w:r>
      <w:r w:rsidR="00081B82" w:rsidRPr="00081B82">
        <w:t xml:space="preserve">) </w:t>
      </w:r>
      <w:proofErr w:type="gramStart"/>
      <w:r w:rsidR="00081B82" w:rsidRPr="00081B82">
        <w:t>was</w:t>
      </w:r>
      <w:proofErr w:type="gramEnd"/>
      <w:r w:rsidR="00081B82" w:rsidRPr="00081B82">
        <w:t xml:space="preserve"> also associated with a concurrent elevation in bilirubin. LFTs returned to normal or improved substantially in all 7 subjects. The incidence and pattern of LFT changes in </w:t>
      </w:r>
      <w:r w:rsidR="004E6042">
        <w:t>Study</w:t>
      </w:r>
      <w:r w:rsidR="00081B82" w:rsidRPr="00081B82">
        <w:t xml:space="preserve"> 105 did not suggest any new findings compared with Studies 103/104 with exposure to LUM/IVA beyond 24 weeks. The incidence of AESIs of elevated transaminases in subjects new to active treatment in </w:t>
      </w:r>
      <w:r w:rsidR="004E6042">
        <w:t>Study</w:t>
      </w:r>
      <w:r w:rsidR="00081B82" w:rsidRPr="00081B82">
        <w:t xml:space="preserve"> 105 was similar to the incidence in the pooled analysis of Studies 103/104. There was no apparent relationship between higher exposure to LUM/IVA and the occurrence of transaminase elevations in subjects exposed to LUM/IVA compared with exposure in subjects without transaminase elevations. Six of the 7 subjects with portal hypertension and/or cirrhosis in the pooled </w:t>
      </w:r>
      <w:r w:rsidR="00511EB7">
        <w:t>Phase III</w:t>
      </w:r>
      <w:r w:rsidR="00081B82" w:rsidRPr="00081B82">
        <w:t xml:space="preserve"> studies did not have any AEs suggesting worsening of liver function while receiving LUM/IVA. One of these 7 subjects had worsened liver function after receiving LUM/IVA, manifest as hepatic encephalopathy. The role of LUM/IVA in worsening of underlying liver function in this case cannot be excluded. Overall, marked elevations of transaminases and associated SAEs were confounded by complicated medical histories and alternative aetiologies, though the role of LUM/IVA cannot be excluded and hence adequate monitoring and management recommendations have be</w:t>
      </w:r>
      <w:r>
        <w:t>en include</w:t>
      </w:r>
      <w:r w:rsidR="00A56EF4">
        <w:t>d in the proposed PI.</w:t>
      </w:r>
    </w:p>
    <w:p w:rsidR="00081B82" w:rsidRPr="00081B82" w:rsidRDefault="00081B82" w:rsidP="00081B82">
      <w:r w:rsidRPr="00081B82">
        <w:t xml:space="preserve">As a result of dose dependent decrease in pulmonary function observed in patients who received lumacaftor monotherapy, the sponsors performed a safety analysis grouping together respiratory-related AEs. Respiratory AEs were more frequent in the total LUM/IVA group than the placebo group (LUM/IVA </w:t>
      </w:r>
      <w:r w:rsidR="001C171F">
        <w:t>versus</w:t>
      </w:r>
      <w:r w:rsidRPr="00081B82">
        <w:t xml:space="preserve"> placebo: 26.3% </w:t>
      </w:r>
      <w:r w:rsidR="001C171F">
        <w:t>versus</w:t>
      </w:r>
      <w:r w:rsidRPr="00081B82">
        <w:t xml:space="preserve"> 17%) particularly dyspnoea (23% </w:t>
      </w:r>
      <w:r w:rsidR="001C171F">
        <w:t>versus</w:t>
      </w:r>
      <w:r w:rsidRPr="00081B82">
        <w:t xml:space="preserve"> 8%) and </w:t>
      </w:r>
      <w:r w:rsidR="00980975">
        <w:t>‘</w:t>
      </w:r>
      <w:r w:rsidRPr="00081B82">
        <w:t>respiration abnormal</w:t>
      </w:r>
      <w:r w:rsidR="00980975">
        <w:t>’</w:t>
      </w:r>
      <w:r w:rsidRPr="00081B82">
        <w:t xml:space="preserve"> (10% </w:t>
      </w:r>
      <w:r w:rsidR="001C171F">
        <w:t>versus</w:t>
      </w:r>
      <w:r w:rsidRPr="00081B82">
        <w:t xml:space="preserve"> 3%). The incidence of subjects with AESIs of respiratory symptoms or reactive airways was similar in the LUM 600 mg qd/IVA 250 mg q12h group (26.8%) and the LUM400 mg q12h/IVA 250 mg q12h group (25.7%). The majority of respiratory AESIs in pooled </w:t>
      </w:r>
      <w:r w:rsidR="003C1B2B">
        <w:t>placebo controlled</w:t>
      </w:r>
      <w:r w:rsidRPr="00081B82">
        <w:t xml:space="preserve"> </w:t>
      </w:r>
      <w:r w:rsidR="00511EB7">
        <w:t>Phase III</w:t>
      </w:r>
      <w:r w:rsidRPr="00081B82">
        <w:t xml:space="preserve"> studies were mild or moderate in severity, with the majority of events occurring within the first week of treatment. Although the aetiology is unknown, these respiratory events are likely associated with LUM/IVA treatment. These events usually resolved within 1 to 2 weeks, and led to treatment discontinuation in only 5 subjects in the pooled </w:t>
      </w:r>
      <w:r w:rsidR="003C1B2B">
        <w:t>placebo controlled</w:t>
      </w:r>
      <w:r w:rsidRPr="00081B82">
        <w:t xml:space="preserve"> </w:t>
      </w:r>
      <w:r w:rsidR="00511EB7">
        <w:t>Phase III</w:t>
      </w:r>
      <w:r w:rsidRPr="00081B82">
        <w:t xml:space="preserve"> studies (all 5 subjects were in the LUM 600 mg qd/IVA 250 mg q12h group, with no SAEs or discontinuations due to respiratory AEs in the proposed LUM 400 mg q12h/IVA 250 mg q12h group). There were no notable differences in the incidence of respiratory events in analyses by screening or baseline percent predicted </w:t>
      </w:r>
      <w:r w:rsidR="00A8789D" w:rsidRPr="001D064D">
        <w:t>FEV</w:t>
      </w:r>
      <w:r w:rsidR="00A8789D" w:rsidRPr="00A8789D">
        <w:rPr>
          <w:vertAlign w:val="subscript"/>
        </w:rPr>
        <w:t>1</w:t>
      </w:r>
      <w:r w:rsidRPr="00081B82">
        <w:t xml:space="preserve">, with the exception of dyspnoea. In both the placebo group and the total LUM/IVA group, subjects with percent predicted </w:t>
      </w:r>
      <w:r w:rsidR="00A8789D" w:rsidRPr="001D064D">
        <w:t>FEV</w:t>
      </w:r>
      <w:r w:rsidR="00A8789D" w:rsidRPr="00A8789D">
        <w:rPr>
          <w:vertAlign w:val="subscript"/>
        </w:rPr>
        <w:t>1</w:t>
      </w:r>
      <w:r w:rsidRPr="00081B82">
        <w:t xml:space="preserve"> </w:t>
      </w:r>
      <w:r w:rsidR="00511EB7">
        <w:t xml:space="preserve">&lt; </w:t>
      </w:r>
      <w:r w:rsidRPr="00081B82">
        <w:t xml:space="preserve">70 at screening or percent predicted </w:t>
      </w:r>
      <w:r w:rsidR="00A8789D" w:rsidRPr="001D064D">
        <w:t>FEV</w:t>
      </w:r>
      <w:r w:rsidR="00A8789D" w:rsidRPr="00A8789D">
        <w:rPr>
          <w:vertAlign w:val="subscript"/>
        </w:rPr>
        <w:t>1</w:t>
      </w:r>
      <w:r w:rsidRPr="00081B82">
        <w:t xml:space="preserve"> </w:t>
      </w:r>
      <w:r w:rsidR="00511EB7">
        <w:t xml:space="preserve">&lt; </w:t>
      </w:r>
      <w:r w:rsidRPr="00081B82">
        <w:t xml:space="preserve">40 at baseline were approximately twice as likely to have dyspnoea compared with subjects with percent predicted </w:t>
      </w:r>
      <w:r w:rsidR="00A8789D" w:rsidRPr="001D064D">
        <w:t>FEV</w:t>
      </w:r>
      <w:r w:rsidR="00A8789D" w:rsidRPr="00A8789D">
        <w:rPr>
          <w:vertAlign w:val="subscript"/>
        </w:rPr>
        <w:t>1</w:t>
      </w:r>
      <w:r w:rsidRPr="00081B82">
        <w:t xml:space="preserve"> </w:t>
      </w:r>
      <w:r w:rsidR="00A91223">
        <w:t xml:space="preserve">≥ </w:t>
      </w:r>
      <w:r w:rsidRPr="00081B82">
        <w:t xml:space="preserve">70 at screening and percent predicted </w:t>
      </w:r>
      <w:r w:rsidR="00A8789D" w:rsidRPr="001D064D">
        <w:t>FEV</w:t>
      </w:r>
      <w:r w:rsidR="00A8789D" w:rsidRPr="00A8789D">
        <w:rPr>
          <w:vertAlign w:val="subscript"/>
        </w:rPr>
        <w:t>1</w:t>
      </w:r>
      <w:r w:rsidRPr="00081B82">
        <w:t xml:space="preserve"> </w:t>
      </w:r>
      <w:r w:rsidR="00A91223">
        <w:t xml:space="preserve">≥ </w:t>
      </w:r>
      <w:r w:rsidRPr="00081B82">
        <w:t>40 at baseline.</w:t>
      </w:r>
      <w:r>
        <w:t xml:space="preserve"> </w:t>
      </w:r>
      <w:r w:rsidRPr="00081B82">
        <w:t>For subjects new to active treatment in the long-term safety and efficacy study (</w:t>
      </w:r>
      <w:r w:rsidR="004E6042">
        <w:t>Study</w:t>
      </w:r>
      <w:r w:rsidRPr="00081B82">
        <w:t xml:space="preserve"> 105), the incidence of AESI of respiratory symptoms was similar compared with the subjects receiving active treatment in the pooled </w:t>
      </w:r>
      <w:r w:rsidR="003C1B2B">
        <w:t>placebo controlled</w:t>
      </w:r>
      <w:r w:rsidRPr="00081B82">
        <w:t xml:space="preserve"> </w:t>
      </w:r>
      <w:r w:rsidR="00511EB7">
        <w:t>Phase III</w:t>
      </w:r>
      <w:r w:rsidRPr="00081B82">
        <w:t xml:space="preserve"> studies, and was higher compared with subjects who continued on active treatment in </w:t>
      </w:r>
      <w:r w:rsidR="004E6042">
        <w:t>Study</w:t>
      </w:r>
      <w:r w:rsidRPr="00081B82">
        <w:t xml:space="preserve"> </w:t>
      </w:r>
      <w:proofErr w:type="gramStart"/>
      <w:r w:rsidRPr="00081B82">
        <w:t>105.</w:t>
      </w:r>
      <w:proofErr w:type="gramEnd"/>
      <w:r w:rsidRPr="00081B82">
        <w:t xml:space="preserve"> Overall, these data suggest that treatment with lumacaftor plus ivacaftor combination product can cause increased respiratory sympto</w:t>
      </w:r>
      <w:r w:rsidR="00A56EF4">
        <w:t>ms and AEs in some CF patients.</w:t>
      </w:r>
    </w:p>
    <w:p w:rsidR="00081B82" w:rsidRPr="00081B82" w:rsidRDefault="00081B82" w:rsidP="00081B82">
      <w:r w:rsidRPr="00081B82">
        <w:t xml:space="preserve">Menstrual abnormalities were also evaluated as an AESI due to observed increased </w:t>
      </w:r>
      <w:r w:rsidR="00A56EF4" w:rsidRPr="00081B82">
        <w:t>metrorrhagia</w:t>
      </w:r>
      <w:r w:rsidRPr="00081B82">
        <w:t xml:space="preserve"> following treatment with lumacaftor plus ivacaftor combination product compared to placebo from early phase studies. Female patients reported more menstrual </w:t>
      </w:r>
      <w:r w:rsidRPr="00081B82">
        <w:lastRenderedPageBreak/>
        <w:t xml:space="preserve">abnormalities in the lumacaftor plus ivacaftor combination product treatment arms compared to placebo (9.9% </w:t>
      </w:r>
      <w:r w:rsidR="001C171F">
        <w:t>versus</w:t>
      </w:r>
      <w:r w:rsidRPr="00081B82">
        <w:t xml:space="preserve"> 1.7%) with metrorrhagia reported most commonly, These menstrual events occurred more frequently in the subset of female patients who were taking hormonal contraceptives (25.0%) compared to patients who were not taking hormonal contraceptives (3.5%) Most of these reactions were mild </w:t>
      </w:r>
      <w:r w:rsidR="00A56EF4">
        <w:t xml:space="preserve">or moderate in severity and </w:t>
      </w:r>
      <w:r w:rsidR="005F12FF">
        <w:t>non-serious</w:t>
      </w:r>
      <w:r w:rsidR="00A56EF4">
        <w:t>.</w:t>
      </w:r>
      <w:r w:rsidRPr="00081B82">
        <w:t xml:space="preserve"> Lumacaftor is a CYP3A inducer and could reduce hormonal contraceptive exposure, which could result in disruption of the menstrual cycle. There was no apparent relationship for incidence of menstrual abnormalities and lumacaftor dose in Studies 008, 103, 104, or 105.</w:t>
      </w:r>
    </w:p>
    <w:p w:rsidR="00081B82" w:rsidRPr="00081B82" w:rsidRDefault="00081B82" w:rsidP="00081B82">
      <w:r w:rsidRPr="00081B82">
        <w:t>The clinical laboratory parameters (serum chemistry, haematology, and coagulation studies) showed minor differences between the LUM 600 mg qd/IVA 250 mg q12h, LUM 400 mg q12h/IVA 250 mg q12h, and placebo groups that were not considered to be clinically meaningful. Patients with CF are chronically ill and often have associated metabolic and nutritional disorders, so minor fluctuations in chemistry parameters ar</w:t>
      </w:r>
      <w:r w:rsidR="00A56EF4">
        <w:t>e common.</w:t>
      </w:r>
    </w:p>
    <w:p w:rsidR="00081B82" w:rsidRPr="00081B82" w:rsidRDefault="00081B82" w:rsidP="00081B82">
      <w:r w:rsidRPr="00081B82">
        <w:t>There were no clinically meaningful differences in any ECG parameter between the total LUM/IVA and placebo groups as measured by 12-lead sta</w:t>
      </w:r>
      <w:r w:rsidR="002A5A3A">
        <w:t>ndard ECGs and ambulatory ECGs.</w:t>
      </w:r>
    </w:p>
    <w:p w:rsidR="00081B82" w:rsidRPr="00081B82" w:rsidRDefault="00081B82" w:rsidP="00081B82">
      <w:r w:rsidRPr="00081B82">
        <w:t xml:space="preserve">The safety profile of LUM/IVA was similar across the different age and sex subgroups. The pattern of AEs was generally similar across the subgroups by severity of lung disease and the most common AEs within each </w:t>
      </w:r>
      <w:r w:rsidR="00A8789D" w:rsidRPr="001D064D">
        <w:t>FEV</w:t>
      </w:r>
      <w:r w:rsidR="00A8789D" w:rsidRPr="00A8789D">
        <w:rPr>
          <w:vertAlign w:val="subscript"/>
        </w:rPr>
        <w:t>1</w:t>
      </w:r>
      <w:r w:rsidRPr="00081B82">
        <w:t xml:space="preserve"> subgroup were common manifestations of CF. As expected, subjects with more severe disease (percent predicted </w:t>
      </w:r>
      <w:r w:rsidR="00A8789D" w:rsidRPr="001D064D">
        <w:t>FEV</w:t>
      </w:r>
      <w:r w:rsidR="00A8789D" w:rsidRPr="00A8789D">
        <w:rPr>
          <w:vertAlign w:val="subscript"/>
        </w:rPr>
        <w:t>1</w:t>
      </w:r>
      <w:r w:rsidRPr="00081B82">
        <w:t xml:space="preserve"> </w:t>
      </w:r>
      <w:r w:rsidR="00511EB7">
        <w:t xml:space="preserve">&lt; </w:t>
      </w:r>
      <w:r w:rsidRPr="00081B82">
        <w:t xml:space="preserve">40 at baseline or percent predicted </w:t>
      </w:r>
      <w:r w:rsidR="00A8789D" w:rsidRPr="001D064D">
        <w:t>FEV</w:t>
      </w:r>
      <w:r w:rsidR="00A8789D" w:rsidRPr="00A8789D">
        <w:rPr>
          <w:vertAlign w:val="subscript"/>
        </w:rPr>
        <w:t>1</w:t>
      </w:r>
      <w:r w:rsidRPr="00081B82">
        <w:t xml:space="preserve"> </w:t>
      </w:r>
      <w:r w:rsidR="00511EB7">
        <w:t xml:space="preserve">&lt; </w:t>
      </w:r>
      <w:r w:rsidRPr="00081B82">
        <w:t xml:space="preserve">70 at screening) had a higher incidence of AEs compared to other subgroups, but LUM/IVA was well tolerated even in this more severely compromised group. Safety analysis from the pooled </w:t>
      </w:r>
      <w:r w:rsidR="00511EB7">
        <w:t>Phase I</w:t>
      </w:r>
      <w:r w:rsidRPr="00081B82">
        <w:t xml:space="preserve"> studies and the</w:t>
      </w:r>
      <w:r w:rsidR="00A56EF4">
        <w:t xml:space="preserve"> </w:t>
      </w:r>
      <w:r w:rsidR="005F12FF">
        <w:t>non-</w:t>
      </w:r>
      <w:r w:rsidR="005F12FF" w:rsidRPr="00081B82">
        <w:t>pooled</w:t>
      </w:r>
      <w:r w:rsidRPr="00081B82">
        <w:t xml:space="preserve"> </w:t>
      </w:r>
      <w:r w:rsidR="00511EB7">
        <w:t>Phase I</w:t>
      </w:r>
      <w:r w:rsidRPr="00081B82">
        <w:t xml:space="preserve"> studies showed similar safety results to those observed in CF patients. The incidence and pattern of AEs was similar in subjects with CF who are homozygous or heterozygous for the F508del-CFTR mutation </w:t>
      </w:r>
      <w:r w:rsidR="00A56EF4">
        <w:t xml:space="preserve">and do not suggest any genotype </w:t>
      </w:r>
      <w:r w:rsidRPr="00081B82">
        <w:t>specific safety risks. Subjects with moderate hepatic impairment (Child-Pugh B) and severe hepatic impairment (Child-Pugh C) may have</w:t>
      </w:r>
      <w:r w:rsidR="00A56EF4">
        <w:t xml:space="preserve"> increased exposure to LUM/IVA.</w:t>
      </w:r>
    </w:p>
    <w:p w:rsidR="00772108" w:rsidRPr="00081B82" w:rsidRDefault="00081B82" w:rsidP="00081B82">
      <w:r w:rsidRPr="00081B82">
        <w:t>Overall, the safety of the proposed combination of LUM 400 mg q12h/IVA 250 mg q12h has been adequately established for the proposed indication of treatment of CF patients who are homozygous for the F508del-CFTR mutation. The only limitation was lack of safety data beyond 48 weeks of tr</w:t>
      </w:r>
      <w:r w:rsidR="00A56EF4">
        <w:t xml:space="preserve">eatment although the ongoing 96 week open </w:t>
      </w:r>
      <w:r w:rsidRPr="00081B82">
        <w:t xml:space="preserve">label </w:t>
      </w:r>
      <w:r w:rsidR="004E6042">
        <w:t>Study</w:t>
      </w:r>
      <w:r w:rsidRPr="00081B82">
        <w:t xml:space="preserve"> 105 should be able to address that on completion of the study.</w:t>
      </w:r>
    </w:p>
    <w:p w:rsidR="00C22678" w:rsidRDefault="00C22678" w:rsidP="00C22678">
      <w:pPr>
        <w:pStyle w:val="Heading2"/>
      </w:pPr>
      <w:bookmarkStart w:id="40" w:name="_Toc461121063"/>
      <w:r>
        <w:t>First round benefit-risk assessment</w:t>
      </w:r>
      <w:bookmarkEnd w:id="40"/>
    </w:p>
    <w:p w:rsidR="00081B82" w:rsidRPr="00081B82" w:rsidRDefault="00081B82" w:rsidP="00081B82">
      <w:pPr>
        <w:pStyle w:val="Heading3"/>
      </w:pPr>
      <w:bookmarkStart w:id="41" w:name="_Toc461121064"/>
      <w:r w:rsidRPr="00081B82">
        <w:t>Fir</w:t>
      </w:r>
      <w:r w:rsidR="00A56EF4">
        <w:t>st round assessment of benefits</w:t>
      </w:r>
      <w:bookmarkEnd w:id="41"/>
    </w:p>
    <w:p w:rsidR="00081B82" w:rsidRPr="00081B82" w:rsidRDefault="00081B82" w:rsidP="00081B82">
      <w:r w:rsidRPr="00081B82">
        <w:t xml:space="preserve">The benefits of </w:t>
      </w:r>
      <w:r w:rsidR="00511EB7">
        <w:t>Orkambi</w:t>
      </w:r>
      <w:r w:rsidR="00D1392B">
        <w:t xml:space="preserve"> in the proposed usage are:</w:t>
      </w:r>
    </w:p>
    <w:p w:rsidR="00081B82" w:rsidRPr="00081B82" w:rsidRDefault="00081B82" w:rsidP="00D1392B">
      <w:pPr>
        <w:pStyle w:val="ListBullet"/>
      </w:pPr>
      <w:r w:rsidRPr="00081B82">
        <w:t>LUM/IVA combination therapy demonstrated beneficial effects on pulmonary function, p</w:t>
      </w:r>
      <w:r w:rsidR="00A56EF4">
        <w:t xml:space="preserve">ulmonary exacerbations, patient </w:t>
      </w:r>
      <w:r w:rsidRPr="00081B82">
        <w:t>reported outcomes, and nutritional measures (BMI and weight) in subjects 12 years of age and older with CF who are homozygous for the F508de</w:t>
      </w:r>
      <w:r w:rsidR="00A56EF4">
        <w:t>l</w:t>
      </w:r>
      <w:r w:rsidR="00A56EF4">
        <w:noBreakHyphen/>
      </w:r>
      <w:r w:rsidRPr="00081B82">
        <w:t>CFTR mutation. These effects were observed while subjects continued on their usu</w:t>
      </w:r>
      <w:r w:rsidR="00A56EF4">
        <w:t>al prescribed therapies for CF</w:t>
      </w:r>
    </w:p>
    <w:p w:rsidR="00081B82" w:rsidRPr="00081B82" w:rsidRDefault="00081B82" w:rsidP="00081B82">
      <w:pPr>
        <w:pStyle w:val="ListBullet"/>
      </w:pPr>
      <w:r w:rsidRPr="00081B82">
        <w:t xml:space="preserve">While there was no clear differentiation between the 2 combination therapy regimens in other efficacy measures, treatment with the proposed LUM 400 mg q12h/ IVA 250 mg q12h regimen significantly decreased the risk for all pulmonary exacerbations by 39%, exacerbations requiring hospitalisation by 61% and exacerbations requiring treatment with </w:t>
      </w:r>
      <w:r w:rsidR="00A56EF4">
        <w:t>intravenous antibiotics by 56%</w:t>
      </w:r>
    </w:p>
    <w:p w:rsidR="00081B82" w:rsidRPr="00081B82" w:rsidRDefault="00081B82" w:rsidP="00081B82">
      <w:pPr>
        <w:pStyle w:val="ListBullet"/>
      </w:pPr>
      <w:r w:rsidRPr="00081B82">
        <w:lastRenderedPageBreak/>
        <w:t xml:space="preserve">The treatment effects favoured LUM/IVA across all subgroups, including subjects with severely compromised lung function (who have a percent predicted </w:t>
      </w:r>
      <w:r w:rsidR="00A8789D" w:rsidRPr="001D064D">
        <w:t>FEV</w:t>
      </w:r>
      <w:r w:rsidR="00A8789D" w:rsidRPr="00A8789D">
        <w:rPr>
          <w:vertAlign w:val="subscript"/>
        </w:rPr>
        <w:t>1</w:t>
      </w:r>
      <w:r w:rsidRPr="00081B82">
        <w:t xml:space="preserve"> </w:t>
      </w:r>
      <w:r w:rsidR="00511EB7">
        <w:t xml:space="preserve">&lt; </w:t>
      </w:r>
      <w:r w:rsidR="00A56EF4">
        <w:t>40 at baseline)</w:t>
      </w:r>
    </w:p>
    <w:p w:rsidR="00081B82" w:rsidRPr="00081B82" w:rsidRDefault="00081B82" w:rsidP="00081B82">
      <w:pPr>
        <w:pStyle w:val="ListBullet"/>
      </w:pPr>
      <w:r w:rsidRPr="00081B82">
        <w:t>Interim results from the rollover study (</w:t>
      </w:r>
      <w:r w:rsidR="004E6042">
        <w:t>Study</w:t>
      </w:r>
      <w:r w:rsidRPr="00081B82">
        <w:t xml:space="preserve"> 105) demonstrate that the effect of LUM/IVA persisted up to approximately 48 weeks and was reproducible in subjects who wer</w:t>
      </w:r>
      <w:r w:rsidR="00A56EF4">
        <w:t>e previously receiving placebo</w:t>
      </w:r>
    </w:p>
    <w:p w:rsidR="00081B82" w:rsidRPr="00081B82" w:rsidRDefault="00081B82" w:rsidP="00081B82">
      <w:pPr>
        <w:pStyle w:val="ListBullet"/>
      </w:pPr>
      <w:r w:rsidRPr="00081B82">
        <w:t xml:space="preserve">The PK/PD analyses of sweat chloride response in </w:t>
      </w:r>
      <w:r w:rsidR="00980975">
        <w:t>Phase II</w:t>
      </w:r>
      <w:r w:rsidRPr="00081B82">
        <w:t xml:space="preserve"> suggests that the higher lumacaftor concentrations in the presence of ivacaftor for the LUM 400 mg q12h/ IVA 250 mg q12h regimen results in a greater reduction of sweat chloride and a greater improvement in CFTR function than the LUM 600</w:t>
      </w:r>
      <w:r w:rsidR="00A56EF4">
        <w:t xml:space="preserve"> mg qd/IVA 250 mg q12h regimen</w:t>
      </w:r>
    </w:p>
    <w:p w:rsidR="00081B82" w:rsidRPr="00081B82" w:rsidRDefault="00081B82" w:rsidP="00081B82">
      <w:pPr>
        <w:pStyle w:val="ListBullet"/>
      </w:pPr>
      <w:r w:rsidRPr="00081B82">
        <w:t xml:space="preserve">The proposed </w:t>
      </w:r>
      <w:r w:rsidR="00511EB7">
        <w:t>Orkambi</w:t>
      </w:r>
      <w:r w:rsidRPr="00081B82">
        <w:t xml:space="preserve"> is manufactured as a fixed-dose combination of lumacaftor/ Ivacaftor 200 mg/125 mg tablet and 2 tablets q12h (800 mg lumacaftor/500 mg ivacaftor total daily dose) is recommended for adults aged 12 years and</w:t>
      </w:r>
      <w:r>
        <w:t xml:space="preserve"> older. The simplicity of this </w:t>
      </w:r>
      <w:r w:rsidRPr="00081B82">
        <w:t>proposed dosing regimen minim</w:t>
      </w:r>
      <w:r w:rsidR="002D7E74">
        <w:t>ise</w:t>
      </w:r>
      <w:r w:rsidRPr="00081B82">
        <w:t>s the potential of medication errors in terms of prescrip</w:t>
      </w:r>
      <w:r w:rsidR="00A56EF4">
        <w:t>tion and administration errors</w:t>
      </w:r>
    </w:p>
    <w:p w:rsidR="00081B82" w:rsidRPr="00081B82" w:rsidRDefault="00081B82" w:rsidP="00B6400E">
      <w:pPr>
        <w:pStyle w:val="ListBullet"/>
      </w:pPr>
      <w:r w:rsidRPr="00081B82">
        <w:t>The safety profile of LUM/IVA was character</w:t>
      </w:r>
      <w:r w:rsidR="002D7E74">
        <w:t>ise</w:t>
      </w:r>
      <w:r w:rsidRPr="00081B82">
        <w:t>d by AEs that were most often mild to moderate in severity and the most common risks of LUM/IVA identified in the clinical and nonclinical studies are readily monitored and recogn</w:t>
      </w:r>
      <w:r w:rsidR="002D7E74">
        <w:t>ise</w:t>
      </w:r>
      <w:r w:rsidRPr="00081B82">
        <w:t>d, and may be managed wit</w:t>
      </w:r>
      <w:r w:rsidR="00A56EF4">
        <w:t>hout treatment discontinuation.</w:t>
      </w:r>
    </w:p>
    <w:p w:rsidR="00081B82" w:rsidRPr="00081B82" w:rsidRDefault="00A56EF4" w:rsidP="00B6400E">
      <w:pPr>
        <w:pStyle w:val="Heading3"/>
      </w:pPr>
      <w:bookmarkStart w:id="42" w:name="_Toc461121065"/>
      <w:r>
        <w:t>First round assessment of risks</w:t>
      </w:r>
      <w:bookmarkEnd w:id="42"/>
    </w:p>
    <w:p w:rsidR="00081B82" w:rsidRPr="00081B82" w:rsidRDefault="00081B82" w:rsidP="00081B82">
      <w:r w:rsidRPr="00081B82">
        <w:t xml:space="preserve">The risks of </w:t>
      </w:r>
      <w:r w:rsidR="00511EB7">
        <w:t>Orkambi</w:t>
      </w:r>
      <w:r w:rsidR="00D1392B">
        <w:t xml:space="preserve"> in the proposed usage are:</w:t>
      </w:r>
    </w:p>
    <w:p w:rsidR="00081B82" w:rsidRPr="00081B82" w:rsidRDefault="00081B82" w:rsidP="00B6400E">
      <w:pPr>
        <w:pStyle w:val="ListBullet"/>
      </w:pPr>
      <w:r w:rsidRPr="00081B82">
        <w:t>Hepatic toxicity including elevated hepatic enzymes, although incidence was similar in LUM/IVA and pla</w:t>
      </w:r>
      <w:r w:rsidR="00A56EF4">
        <w:t>cebo groups</w:t>
      </w:r>
    </w:p>
    <w:p w:rsidR="00081B82" w:rsidRPr="00081B82" w:rsidRDefault="00081B82" w:rsidP="00B6400E">
      <w:pPr>
        <w:pStyle w:val="ListBullet"/>
      </w:pPr>
      <w:r w:rsidRPr="00081B82">
        <w:t>CF patients who received lumacaftor plus ivacaftor combination product had an increased frequency of respiratory symptoms, although there were no SAEs or discontinuations due to respiratory AEs in the proposed LUM 400 mg q12h/ IVA 250 mg q12h</w:t>
      </w:r>
      <w:r w:rsidR="00A56EF4">
        <w:t xml:space="preserve"> group</w:t>
      </w:r>
    </w:p>
    <w:p w:rsidR="00081B82" w:rsidRPr="00081B82" w:rsidRDefault="00A56EF4" w:rsidP="00B6400E">
      <w:pPr>
        <w:pStyle w:val="ListBullet"/>
      </w:pPr>
      <w:r>
        <w:t>Menstrual AEs</w:t>
      </w:r>
    </w:p>
    <w:p w:rsidR="00081B82" w:rsidRPr="00081B82" w:rsidRDefault="00081B82" w:rsidP="00B6400E">
      <w:pPr>
        <w:pStyle w:val="ListBullet"/>
      </w:pPr>
      <w:r w:rsidRPr="00081B82">
        <w:t>LUM is a strong inducer of CYP3A and IVA is a sensitive CYP3A substrate with potent</w:t>
      </w:r>
      <w:r w:rsidR="00A56EF4">
        <w:t>ial for drug-drug interactions</w:t>
      </w:r>
    </w:p>
    <w:p w:rsidR="00081B82" w:rsidRPr="00081B82" w:rsidRDefault="00081B82" w:rsidP="00B6400E">
      <w:pPr>
        <w:pStyle w:val="ListBullet"/>
      </w:pPr>
      <w:r w:rsidRPr="00081B82">
        <w:t>Lack of adequate data on</w:t>
      </w:r>
      <w:r w:rsidR="00A56EF4">
        <w:t xml:space="preserve"> long-term efficacy and safety.</w:t>
      </w:r>
    </w:p>
    <w:p w:rsidR="00B6400E" w:rsidRPr="00B6400E" w:rsidRDefault="00B6400E" w:rsidP="00B6400E">
      <w:pPr>
        <w:pStyle w:val="Heading3"/>
      </w:pPr>
      <w:bookmarkStart w:id="43" w:name="_Toc461121066"/>
      <w:r w:rsidRPr="00B6400E">
        <w:t>First round ass</w:t>
      </w:r>
      <w:r w:rsidR="00A56EF4">
        <w:t>essment of benefit-risk balance</w:t>
      </w:r>
      <w:bookmarkEnd w:id="43"/>
    </w:p>
    <w:p w:rsidR="00B6400E" w:rsidRPr="00B6400E" w:rsidRDefault="00B6400E" w:rsidP="00B6400E">
      <w:r w:rsidRPr="00B6400E">
        <w:t>F508del has been character</w:t>
      </w:r>
      <w:r w:rsidR="002D7E74">
        <w:t>ise</w:t>
      </w:r>
      <w:r w:rsidRPr="00B6400E">
        <w:t xml:space="preserve">d as a </w:t>
      </w:r>
      <w:r w:rsidR="00980975">
        <w:t>‘</w:t>
      </w:r>
      <w:r w:rsidRPr="00B6400E">
        <w:t>severe</w:t>
      </w:r>
      <w:r w:rsidR="00980975">
        <w:t>’</w:t>
      </w:r>
      <w:r w:rsidRPr="00B6400E">
        <w:t xml:space="preserve"> CFTR mutation, based upon the F508del-CFTR homozygote cli</w:t>
      </w:r>
      <w:r w:rsidR="00A56EF4">
        <w:t>nical phenotype (Johansen, 1991; Kerem</w:t>
      </w:r>
      <w:proofErr w:type="gramStart"/>
      <w:r w:rsidR="00A56EF4">
        <w:t>,1990</w:t>
      </w:r>
      <w:proofErr w:type="gramEnd"/>
      <w:r w:rsidR="00A56EF4">
        <w:t>;</w:t>
      </w:r>
      <w:r w:rsidRPr="00B6400E">
        <w:t xml:space="preserve"> Mckone, 2006) which is character</w:t>
      </w:r>
      <w:r w:rsidR="002D7E74">
        <w:t>ise</w:t>
      </w:r>
      <w:r w:rsidRPr="00B6400E">
        <w:t>d by an early onset of clinical manifestations, a high incidence of pancreatic insufficiency, colonization with Pseudomonas aeruginosa, a more rapid rate of lung function decline and shor</w:t>
      </w:r>
      <w:r w:rsidR="00A56EF4">
        <w:t>ter life expectancy (Kerem,1996;</w:t>
      </w:r>
      <w:r w:rsidRPr="00B6400E">
        <w:t xml:space="preserve"> Mckone, 2006.). These patients demonstrate progression of disease with advancing age and have a decreased life expectancy. According to the Australian Cystic Fibrosis Data Registry, there were 3,156 patients with CF in 2012. Of the patients with genotype data available, 51.8% are homozygous for F508del-CFTR. Given the high unmet medical need of patients with CF who are homozygous for the F508del mutation, and considering that there is no currently approved therapy to treat the underlying cause of CF in this population, there is a substantial need to improve the treatment and outlook f</w:t>
      </w:r>
      <w:r w:rsidR="00A56EF4">
        <w:t>or patients with this mutation.</w:t>
      </w:r>
    </w:p>
    <w:p w:rsidR="00B6400E" w:rsidRPr="00B6400E" w:rsidRDefault="00B6400E" w:rsidP="00B6400E">
      <w:r w:rsidRPr="00B6400E">
        <w:t xml:space="preserve">The lumacaftor and ivacaftor combination development program consists of 17 clinical studies, with 16 completed clinical studies and 1 ongoing long-term efficacy and safety study. In vitro </w:t>
      </w:r>
      <w:r w:rsidRPr="00B6400E">
        <w:lastRenderedPageBreak/>
        <w:t>data provided evidence that a combination of lumacaftor and ivacaftor could potent</w:t>
      </w:r>
      <w:r w:rsidR="00A56EF4">
        <w:t>ially increase CFTR mediated Cl</w:t>
      </w:r>
      <w:r w:rsidRPr="00B6400E">
        <w:t xml:space="preserve"> secretion in patients with CF carr</w:t>
      </w:r>
      <w:r w:rsidR="00A56EF4">
        <w:t>ying the F508del-CFTR mutation.</w:t>
      </w:r>
    </w:p>
    <w:p w:rsidR="00B6400E" w:rsidRPr="00B6400E" w:rsidRDefault="00B6400E" w:rsidP="00B6400E">
      <w:r w:rsidRPr="00B6400E">
        <w:t xml:space="preserve">The </w:t>
      </w:r>
      <w:r w:rsidR="00980975">
        <w:t>Phase II</w:t>
      </w:r>
      <w:r w:rsidRPr="00B6400E">
        <w:t xml:space="preserve"> </w:t>
      </w:r>
      <w:r w:rsidR="004E6042">
        <w:t>Study</w:t>
      </w:r>
      <w:r w:rsidRPr="00B6400E">
        <w:t xml:space="preserve"> 102 was planned to investigate lumacaftor and ivacaftor combination therapy, as well as lumacaftor monotherapy, in subjects who are homozygous or heterozygous for the F508del-CFTR mutation. Studies 005 and 006 were carried out in healthy subjects order to understand the DDI between lumacaftor (a CYP3A inducer) and ivacaftor (a sensitive CYP3A substrate) and to inform selection of the dosages used in combination therapy studies. Results from </w:t>
      </w:r>
      <w:r w:rsidR="004E6042">
        <w:t>Study</w:t>
      </w:r>
      <w:r w:rsidRPr="00B6400E">
        <w:t xml:space="preserve"> 102 demonstrated that pharmacologic modulation of CFTR function through treatment with lumacaftor in combination with ivacaftor can result in clinical benefit in subjects with CF who are homozygous for the F508del-CFTR mutation. Several clinical pharmacology studies were also performed in healthy subjects, including a bioavailability study of additional dosage strengths, as well as evaluations of potential DDIs identified from in vitro studies</w:t>
      </w:r>
      <w:r w:rsidR="00A56EF4">
        <w:t>.</w:t>
      </w:r>
    </w:p>
    <w:p w:rsidR="00081B82" w:rsidRPr="00B6400E" w:rsidRDefault="00B6400E" w:rsidP="00B6400E">
      <w:r w:rsidRPr="00B6400E">
        <w:t xml:space="preserve">Based on the results from Studies 101 and 102 (Cohorts 1 to 3), and in consultation with the US and EU regulatory authorities, the pivotal, </w:t>
      </w:r>
      <w:r w:rsidR="003C1B2B">
        <w:t>placebo controlled</w:t>
      </w:r>
      <w:r w:rsidRPr="00B6400E">
        <w:t xml:space="preserve"> </w:t>
      </w:r>
      <w:r w:rsidR="00511EB7">
        <w:t>Phase III</w:t>
      </w:r>
      <w:r w:rsidRPr="00B6400E">
        <w:t xml:space="preserve"> studies (Studies 103/104) were designed to evaluate the efficacy and safety of lumacaftor in combination with ivacaftor in subjects who are homozygous for the F508del-CFTR mutation. Two dosing regimens, LUM 600 mg qd/IVA 250 mg and LUM 400 mg q12h/IVA 250 mg q12h, were studied in pivotal </w:t>
      </w:r>
      <w:r w:rsidR="00511EB7">
        <w:t>Phase III</w:t>
      </w:r>
      <w:r w:rsidRPr="00B6400E">
        <w:t xml:space="preserve"> clinical studies in order to determine the optimal clinical dose combination of LUM/IVA for patients 12 years and older who are homozygous for the F508del-CFTR mutation.</w:t>
      </w:r>
    </w:p>
    <w:p w:rsidR="00B6400E" w:rsidRPr="00B6400E" w:rsidRDefault="00A56EF4" w:rsidP="00B6400E">
      <w:r>
        <w:t>The Phase III</w:t>
      </w:r>
      <w:r w:rsidR="00B6400E" w:rsidRPr="00B6400E">
        <w:t xml:space="preserve"> clinical data showed that lumacaftor plus ivacaftor fixed dose combination product has statistically significant benefit over placebo in </w:t>
      </w:r>
      <w:r w:rsidR="00A8789D" w:rsidRPr="001D064D">
        <w:t>FEV</w:t>
      </w:r>
      <w:r w:rsidR="00A8789D" w:rsidRPr="00A8789D">
        <w:rPr>
          <w:vertAlign w:val="subscript"/>
        </w:rPr>
        <w:t>1</w:t>
      </w:r>
      <w:r w:rsidR="00B6400E" w:rsidRPr="00B6400E">
        <w:t xml:space="preserve"> with a modest effect size of approximately 3%. Statistically significant improvements in percent predicted </w:t>
      </w:r>
      <w:r w:rsidR="00A8789D" w:rsidRPr="001D064D">
        <w:t>FEV</w:t>
      </w:r>
      <w:r w:rsidR="00A8789D" w:rsidRPr="00A8789D">
        <w:rPr>
          <w:vertAlign w:val="subscript"/>
        </w:rPr>
        <w:t>1</w:t>
      </w:r>
      <w:r w:rsidR="00B6400E" w:rsidRPr="00B6400E">
        <w:t xml:space="preserve"> were rapid in onset and sustained throughout the 24-week treatment period. Improvements were also observed for multiple secondary endpoints including reductions in risk, frequency/ duration of experiencing a pulmonary exacerbation as well as reductions in pulmonary exacerbations that required hospitalization or IV antibiotic therapy. This suggests that the numerically small but statistical significant improvement in </w:t>
      </w:r>
      <w:r w:rsidR="00A8789D" w:rsidRPr="001D064D">
        <w:t>FEV</w:t>
      </w:r>
      <w:r w:rsidR="00A8789D" w:rsidRPr="00A8789D">
        <w:rPr>
          <w:vertAlign w:val="subscript"/>
        </w:rPr>
        <w:t>1</w:t>
      </w:r>
      <w:r w:rsidR="00B6400E" w:rsidRPr="00B6400E">
        <w:t xml:space="preserve"> is a meaningful clinical benefit. The proposed combination also showed improvements in measures of nutritional status (BMI and weight) and in respiratory symptoms (as measured by CFQ-R respiratory domain score). Consistent treatment effects were observed in subjects with all degrees of disease severity, according to baseline percent predicted </w:t>
      </w:r>
      <w:r w:rsidR="00A8789D" w:rsidRPr="001D064D">
        <w:t>FEV</w:t>
      </w:r>
      <w:r w:rsidR="00A8789D" w:rsidRPr="00A8789D">
        <w:rPr>
          <w:vertAlign w:val="subscript"/>
        </w:rPr>
        <w:t>1</w:t>
      </w:r>
      <w:r w:rsidR="00B6400E" w:rsidRPr="00B6400E">
        <w:t xml:space="preserve">. Subjects with severely compromised lung function (baseline percent predicted </w:t>
      </w:r>
      <w:r w:rsidR="00A8789D" w:rsidRPr="001D064D">
        <w:t>FEV</w:t>
      </w:r>
      <w:r w:rsidR="00A8789D" w:rsidRPr="00A8789D">
        <w:rPr>
          <w:vertAlign w:val="subscript"/>
        </w:rPr>
        <w:t>1</w:t>
      </w:r>
      <w:r w:rsidR="00B6400E" w:rsidRPr="00B6400E">
        <w:t xml:space="preserve"> </w:t>
      </w:r>
      <w:r w:rsidR="00511EB7">
        <w:t xml:space="preserve">&lt; </w:t>
      </w:r>
      <w:r w:rsidR="00B6400E" w:rsidRPr="00B6400E">
        <w:t xml:space="preserve">40) had improvements that were at least similar to subjects with higher baseline percent predicted </w:t>
      </w:r>
      <w:r w:rsidR="00A8789D" w:rsidRPr="001D064D">
        <w:t>FEV</w:t>
      </w:r>
      <w:r w:rsidR="00A8789D" w:rsidRPr="00A8789D">
        <w:rPr>
          <w:vertAlign w:val="subscript"/>
        </w:rPr>
        <w:t>1</w:t>
      </w:r>
      <w:r w:rsidR="00B6400E" w:rsidRPr="00B6400E">
        <w:t xml:space="preserve"> values. Consistent treatment effects were also observed regardless of age, sex, geographic region, prior use of CF medications, and P. aeruginosa status. The treatment effects demonstrated for the primary and secondary endpoints were in addition to the benefit a subject receive</w:t>
      </w:r>
      <w:r>
        <w:t>d from prescribed CF therapies.</w:t>
      </w:r>
    </w:p>
    <w:p w:rsidR="00B6400E" w:rsidRPr="00B6400E" w:rsidRDefault="00B6400E" w:rsidP="00B6400E">
      <w:r w:rsidRPr="00B6400E">
        <w:t xml:space="preserve">While there was no clear differentiation between the 2 combination therapy regimens when percent predicted </w:t>
      </w:r>
      <w:r w:rsidR="00A8789D" w:rsidRPr="001D064D">
        <w:t>FEV</w:t>
      </w:r>
      <w:r w:rsidR="00A8789D" w:rsidRPr="00A8789D">
        <w:rPr>
          <w:vertAlign w:val="subscript"/>
        </w:rPr>
        <w:t>1</w:t>
      </w:r>
      <w:r w:rsidRPr="00B6400E">
        <w:t>, BMI, and CFQ-R respiratory domain score were evaluated, improvements in pulmonary exacerbation-related outcomes favoured the LUM 400 mg q12h/IVA 250 mg q12h regimen. Based on these results and the simplicity of the twice-daily FDC regimen, the recommended dosing regimen (for which approval is being sought in this submission) is lumacaftor 400 mg q12h in combination with ivacaftor 250 mg q12h administered as an FDC of 2 tablets of LUM 20</w:t>
      </w:r>
      <w:r w:rsidR="00A56EF4">
        <w:t>0 mg/IVA 125 mg every 12 hours.</w:t>
      </w:r>
    </w:p>
    <w:p w:rsidR="00B6400E" w:rsidRPr="00B6400E" w:rsidRDefault="00B6400E" w:rsidP="00B6400E">
      <w:r w:rsidRPr="00B6400E">
        <w:t xml:space="preserve">The maintenance of efficacy of </w:t>
      </w:r>
      <w:r w:rsidR="00511EB7">
        <w:t>Orkambi</w:t>
      </w:r>
      <w:r w:rsidRPr="00B6400E">
        <w:t xml:space="preserve"> was confirmed in an ad hoc efficacy analysis which was performed after 95 patients who had received </w:t>
      </w:r>
      <w:r w:rsidR="00511EB7">
        <w:t>Orkambi</w:t>
      </w:r>
      <w:r w:rsidRPr="00B6400E">
        <w:t xml:space="preserve"> (lumacaftor 400 mg/ivacaftor 250 mg q12h) in </w:t>
      </w:r>
      <w:r w:rsidR="003C1B2B">
        <w:t>placebo controlled</w:t>
      </w:r>
      <w:r w:rsidRPr="00B6400E">
        <w:t xml:space="preserve"> </w:t>
      </w:r>
      <w:r w:rsidR="00511EB7">
        <w:t>Phase III</w:t>
      </w:r>
      <w:r w:rsidRPr="00B6400E">
        <w:t xml:space="preserve"> studies 103 or 104 had completed the Week 24 Visit in the rollover, long-term </w:t>
      </w:r>
      <w:r w:rsidR="004E6042">
        <w:t>Study</w:t>
      </w:r>
      <w:r w:rsidRPr="00B6400E">
        <w:t xml:space="preserve"> 105 (up to 48 weeks of treatment overall). However, there was no evidence of efficacy of proposed lumacaftor 400 mg/ivacaftor 250 mg q12h beyond 48 weeks. Long-term efficacy beyond 48 weeks will require confirmat</w:t>
      </w:r>
      <w:r w:rsidR="00A56EF4">
        <w:t xml:space="preserve">ion from ongoing rollover, open </w:t>
      </w:r>
      <w:r w:rsidR="00A56EF4">
        <w:lastRenderedPageBreak/>
        <w:t xml:space="preserve">label, 96 </w:t>
      </w:r>
      <w:r w:rsidRPr="00B6400E">
        <w:t xml:space="preserve">week </w:t>
      </w:r>
      <w:r w:rsidR="004E6042">
        <w:t>Study</w:t>
      </w:r>
      <w:r w:rsidRPr="00B6400E">
        <w:t xml:space="preserve"> 105 and the data should be provided for evaluati</w:t>
      </w:r>
      <w:r w:rsidR="00A56EF4">
        <w:t>on on completion of this study.</w:t>
      </w:r>
    </w:p>
    <w:p w:rsidR="00B6400E" w:rsidRPr="00B6400E" w:rsidRDefault="00B6400E" w:rsidP="00B6400E">
      <w:r w:rsidRPr="00B6400E">
        <w:t>The contr</w:t>
      </w:r>
      <w:r w:rsidR="00A56EF4">
        <w:t>ibution of the individual drugs</w:t>
      </w:r>
      <w:r w:rsidRPr="00B6400E">
        <w:t xml:space="preserve"> lumacaftor and ivacaftor in the combination product were obtained from the in-vitro data suggesting additive benefit of the two and early clinical data suggest some additive benefit on </w:t>
      </w:r>
      <w:r w:rsidR="00A8789D" w:rsidRPr="001D064D">
        <w:t>FEV</w:t>
      </w:r>
      <w:r w:rsidR="00A8789D" w:rsidRPr="00A8789D">
        <w:rPr>
          <w:vertAlign w:val="subscript"/>
        </w:rPr>
        <w:t>1</w:t>
      </w:r>
      <w:r w:rsidRPr="00B6400E">
        <w:t xml:space="preserve"> when ivacaftor is added to lumacaftor (</w:t>
      </w:r>
      <w:r w:rsidR="004E6042">
        <w:t>Study</w:t>
      </w:r>
      <w:r w:rsidRPr="00B6400E">
        <w:t xml:space="preserve"> 102). The available clinical data are not adequate to determine whether lumacaftor provides additive clinical benefit over ivacaftor alone. However, demonstration of additive clinical benefit of lumacaftor is not necessary in this specific situation. The lumacaftor plus ivacaftor combination product provides benefit over placebo (standard of care background treatment in this case). The natural course of CF patients with F508del mutation is devastating with limited treatment options. Hence, the proposed lumacaftor plus ivacaftor combination product will provide benefit to these patients over the curr</w:t>
      </w:r>
      <w:r w:rsidR="00A56EF4">
        <w:t>ent standard of care treatment.</w:t>
      </w:r>
    </w:p>
    <w:p w:rsidR="00B6400E" w:rsidRPr="00B6400E" w:rsidRDefault="00B6400E" w:rsidP="00B6400E">
      <w:r w:rsidRPr="00B6400E">
        <w:t xml:space="preserve">Overall exposure to proposed combination of lumacaftor and ivacaftor was adequate to evaluate safety in the target patient population for the proposed indication. Treatment with lumacaftor in combination with ivacaftor was safe and well tolerated in 738 subjects who received treatment for 24 weeks (Studies 103/104) of whom 369 patients were treated with proposed dose of LUM 400 mg q12h/IVA 250 mg q12h. The safety profiles for the LUM 600 mg qd/IVA 250 mg q12h group and the proposed dose of LUM 400 mg q12h/IVA 250 mg q12h group were similar. In the long-term safety and efficacy study, no new safety signal was identified. The overall incidence of AEs was lower in subjects who continued on treatment in </w:t>
      </w:r>
      <w:r w:rsidR="004E6042">
        <w:t>Study</w:t>
      </w:r>
      <w:r w:rsidRPr="00B6400E">
        <w:t xml:space="preserve"> 105 compared with subjects who were new to treatment in </w:t>
      </w:r>
      <w:r w:rsidR="004E6042">
        <w:t>Study</w:t>
      </w:r>
      <w:r w:rsidR="00A56EF4">
        <w:t xml:space="preserve"> 105.</w:t>
      </w:r>
    </w:p>
    <w:p w:rsidR="00081B82" w:rsidRPr="00B6400E" w:rsidRDefault="00B6400E" w:rsidP="00B6400E">
      <w:r w:rsidRPr="00B6400E">
        <w:t>The safety profile of LUM/IVA was character</w:t>
      </w:r>
      <w:r w:rsidR="002D7E74">
        <w:t>ise</w:t>
      </w:r>
      <w:r w:rsidRPr="00B6400E">
        <w:t>d by AEs that were most often mild to moderate in severity and the most common risks of LUM/IVA identified in the clinical studies (such as elevated transaminases, liver toxicity, respiratory AEs and menstrual AEs) are readily monitored and recogn</w:t>
      </w:r>
      <w:r w:rsidR="002D7E74">
        <w:t>ise</w:t>
      </w:r>
      <w:r w:rsidRPr="00B6400E">
        <w:t>d, and may be managed without treatment discontinuation. Furthermore, adequate precautions have been included in the proposed PI.</w:t>
      </w:r>
    </w:p>
    <w:p w:rsidR="00B6400E" w:rsidRPr="00B6400E" w:rsidRDefault="00B6400E" w:rsidP="00B6400E">
      <w:r w:rsidRPr="00B6400E">
        <w:t>Given the broad array of clinical benefits, chronic treatment with LUM/IVA combination therapy may have potential to decrease the morbidity and mortality of patients with CF who are homozygous for the F508del mutation in the CFTR gene, although this was not specifically analysed i</w:t>
      </w:r>
      <w:r w:rsidR="00A56EF4">
        <w:t>n any of the submitted studies.</w:t>
      </w:r>
    </w:p>
    <w:p w:rsidR="00B6400E" w:rsidRPr="00B6400E" w:rsidRDefault="00B6400E" w:rsidP="00B6400E">
      <w:r w:rsidRPr="00B6400E">
        <w:t>Overall, the results of the clinical development program provide adequate evidence to support the use of LUM/IVA combination therapy for the treatment of CF in patients age 12 years and older who are homozygous for the F50</w:t>
      </w:r>
      <w:r w:rsidR="00A56EF4">
        <w:t>8del mutation on the CFTR gene.</w:t>
      </w:r>
    </w:p>
    <w:p w:rsidR="00081B82" w:rsidRPr="00B6400E" w:rsidRDefault="00B6400E" w:rsidP="00B6400E">
      <w:r w:rsidRPr="00B6400E">
        <w:t xml:space="preserve">The benefit-risk balance of </w:t>
      </w:r>
      <w:r w:rsidR="00511EB7">
        <w:t>Orkambi</w:t>
      </w:r>
      <w:r w:rsidRPr="00B6400E">
        <w:t>, given the proposed usage, is favourable.</w:t>
      </w:r>
    </w:p>
    <w:p w:rsidR="00C22678" w:rsidRDefault="00C22678" w:rsidP="00C22678">
      <w:pPr>
        <w:pStyle w:val="Heading2"/>
      </w:pPr>
      <w:bookmarkStart w:id="44" w:name="_Toc461121067"/>
      <w:r>
        <w:t>First round recommendation regarding authorisation</w:t>
      </w:r>
      <w:bookmarkEnd w:id="44"/>
    </w:p>
    <w:p w:rsidR="00A56EF4" w:rsidRDefault="00B6400E" w:rsidP="00B6400E">
      <w:pPr>
        <w:pStyle w:val="Default"/>
        <w:rPr>
          <w:sz w:val="22"/>
          <w:szCs w:val="22"/>
        </w:rPr>
      </w:pPr>
      <w:r>
        <w:rPr>
          <w:sz w:val="22"/>
          <w:szCs w:val="22"/>
        </w:rPr>
        <w:t xml:space="preserve">It is recommended that marketing approval be granted for </w:t>
      </w:r>
      <w:r w:rsidR="00511EB7">
        <w:rPr>
          <w:sz w:val="22"/>
          <w:szCs w:val="22"/>
        </w:rPr>
        <w:t>Orkambi</w:t>
      </w:r>
      <w:r>
        <w:rPr>
          <w:sz w:val="22"/>
          <w:szCs w:val="22"/>
        </w:rPr>
        <w:t xml:space="preserve"> for the proposed indication of</w:t>
      </w:r>
      <w:r w:rsidR="00A56EF4">
        <w:rPr>
          <w:sz w:val="22"/>
          <w:szCs w:val="22"/>
        </w:rPr>
        <w:t>;</w:t>
      </w:r>
    </w:p>
    <w:p w:rsidR="00B6400E" w:rsidRPr="00A56EF4" w:rsidRDefault="00B6400E" w:rsidP="00A56EF4">
      <w:pPr>
        <w:pStyle w:val="Default"/>
        <w:ind w:left="720"/>
        <w:rPr>
          <w:i/>
          <w:sz w:val="22"/>
          <w:szCs w:val="22"/>
        </w:rPr>
      </w:pPr>
      <w:proofErr w:type="gramStart"/>
      <w:r w:rsidRPr="00A56EF4">
        <w:rPr>
          <w:i/>
          <w:sz w:val="22"/>
          <w:szCs w:val="22"/>
        </w:rPr>
        <w:t>treatment</w:t>
      </w:r>
      <w:proofErr w:type="gramEnd"/>
      <w:r w:rsidRPr="00A56EF4">
        <w:rPr>
          <w:i/>
          <w:sz w:val="22"/>
          <w:szCs w:val="22"/>
        </w:rPr>
        <w:t xml:space="preserve"> of cystic fibrosis (CF) in patients aged 12 years and older who are homozygous for the F50</w:t>
      </w:r>
      <w:r w:rsidR="00A56EF4" w:rsidRPr="00A56EF4">
        <w:rPr>
          <w:i/>
          <w:sz w:val="22"/>
          <w:szCs w:val="22"/>
        </w:rPr>
        <w:t>8del mutation in the CFTR gene.</w:t>
      </w:r>
    </w:p>
    <w:p w:rsidR="00C22678" w:rsidRPr="00586F98" w:rsidRDefault="00B6400E" w:rsidP="00C22678">
      <w:pPr>
        <w:rPr>
          <w:lang w:eastAsia="ja-JP"/>
        </w:rPr>
      </w:pPr>
      <w:r>
        <w:t>Approval is subject to incorporation of suggested changes to the proposed PI and adequate response to clinical questions in this report.</w:t>
      </w:r>
    </w:p>
    <w:p w:rsidR="00C22678" w:rsidRDefault="00C22678" w:rsidP="00C22678">
      <w:pPr>
        <w:pStyle w:val="Heading2"/>
      </w:pPr>
      <w:bookmarkStart w:id="45" w:name="_Toc461121068"/>
      <w:r>
        <w:lastRenderedPageBreak/>
        <w:t>Clinical questions</w:t>
      </w:r>
      <w:bookmarkEnd w:id="45"/>
    </w:p>
    <w:p w:rsidR="00C22678" w:rsidRDefault="00C618F7" w:rsidP="00C618F7">
      <w:pPr>
        <w:pStyle w:val="Heading3"/>
      </w:pPr>
      <w:bookmarkStart w:id="46" w:name="_Toc461121069"/>
      <w:r>
        <w:t>Pharmacokinetics</w:t>
      </w:r>
      <w:bookmarkEnd w:id="46"/>
    </w:p>
    <w:p w:rsidR="006C2395" w:rsidRPr="006C2395" w:rsidRDefault="006C2395" w:rsidP="002A5A3A">
      <w:pPr>
        <w:pStyle w:val="Numberbullet0"/>
        <w:numPr>
          <w:ilvl w:val="0"/>
          <w:numId w:val="37"/>
        </w:numPr>
      </w:pPr>
      <w:r w:rsidRPr="006C2395">
        <w:t>The values given in the Clinical P</w:t>
      </w:r>
      <w:r w:rsidR="001953DA">
        <w:t>harmacology Summary (p99 of 135</w:t>
      </w:r>
      <w:r w:rsidRPr="006C2395">
        <w:t>) regarding the radioactivity associated with unchanged LUM and M28-LUM were approximately 10% higher than the values given in the study-report-body-VX08-809-004.pdf on page 63 (of 684) and Table 11.3 (p65 of 684) of the same document. Can the sponsor please clarify why these differences b</w:t>
      </w:r>
      <w:r w:rsidR="001953DA">
        <w:t>etween the two documents exist?</w:t>
      </w:r>
    </w:p>
    <w:p w:rsidR="006C2395" w:rsidRDefault="006C2395" w:rsidP="002A5A3A">
      <w:pPr>
        <w:pStyle w:val="Numberbullet0"/>
        <w:numPr>
          <w:ilvl w:val="0"/>
          <w:numId w:val="37"/>
        </w:numPr>
      </w:pPr>
      <w:r w:rsidRPr="006C2395">
        <w:t>Can the sponsor please provide information on the activity of</w:t>
      </w:r>
      <w:r w:rsidR="00A56EF4">
        <w:t xml:space="preserve"> the plasma metabolites of </w:t>
      </w:r>
      <w:proofErr w:type="gramStart"/>
      <w:r w:rsidR="00A56EF4">
        <w:t>LUM.</w:t>
      </w:r>
      <w:proofErr w:type="gramEnd"/>
    </w:p>
    <w:p w:rsidR="00C618F7" w:rsidRPr="006C2395" w:rsidRDefault="00C618F7" w:rsidP="006C2395">
      <w:pPr>
        <w:pStyle w:val="Heading3"/>
      </w:pPr>
      <w:bookmarkStart w:id="47" w:name="_Toc461121070"/>
      <w:r w:rsidRPr="006C2395">
        <w:t>Pharmacodynamics</w:t>
      </w:r>
      <w:bookmarkEnd w:id="47"/>
    </w:p>
    <w:p w:rsidR="006C2395" w:rsidRPr="006C2395" w:rsidRDefault="001953DA" w:rsidP="006C2395">
      <w:proofErr w:type="gramStart"/>
      <w:r>
        <w:t>None.</w:t>
      </w:r>
      <w:proofErr w:type="gramEnd"/>
    </w:p>
    <w:p w:rsidR="00C618F7" w:rsidRDefault="00C618F7" w:rsidP="00C618F7">
      <w:pPr>
        <w:pStyle w:val="Heading3"/>
      </w:pPr>
      <w:bookmarkStart w:id="48" w:name="_Toc461121071"/>
      <w:r>
        <w:t>Efficacy</w:t>
      </w:r>
      <w:bookmarkEnd w:id="48"/>
    </w:p>
    <w:p w:rsidR="006C2395" w:rsidRPr="006C2395" w:rsidRDefault="006C2395" w:rsidP="001953DA">
      <w:pPr>
        <w:pStyle w:val="Numberbullet0"/>
        <w:numPr>
          <w:ilvl w:val="0"/>
          <w:numId w:val="34"/>
        </w:numPr>
      </w:pPr>
      <w:r w:rsidRPr="006C2395">
        <w:t xml:space="preserve">Long-term efficacy and safety of </w:t>
      </w:r>
      <w:r w:rsidR="00511EB7">
        <w:t>Orkambi</w:t>
      </w:r>
      <w:r w:rsidRPr="006C2395">
        <w:t xml:space="preserve"> was only established up to 48 weeks. Hence, on completion of the 96-week, long-term, open-label </w:t>
      </w:r>
      <w:r w:rsidR="004E6042">
        <w:t>Study</w:t>
      </w:r>
      <w:r w:rsidRPr="006C2395">
        <w:t xml:space="preserve"> 105, data should be presented for evaluation.</w:t>
      </w:r>
    </w:p>
    <w:p w:rsidR="00C618F7" w:rsidRDefault="00C618F7" w:rsidP="00C618F7">
      <w:pPr>
        <w:pStyle w:val="Heading3"/>
      </w:pPr>
      <w:bookmarkStart w:id="49" w:name="_Toc461121072"/>
      <w:r>
        <w:t>Safety</w:t>
      </w:r>
      <w:bookmarkEnd w:id="49"/>
    </w:p>
    <w:p w:rsidR="00C618F7" w:rsidRPr="006C2395" w:rsidRDefault="006C2395" w:rsidP="006C2395">
      <w:proofErr w:type="gramStart"/>
      <w:r w:rsidRPr="006C2395">
        <w:t>None.</w:t>
      </w:r>
      <w:proofErr w:type="gramEnd"/>
    </w:p>
    <w:p w:rsidR="00C618F7" w:rsidRDefault="00C618F7" w:rsidP="00C618F7">
      <w:pPr>
        <w:pStyle w:val="Heading2"/>
      </w:pPr>
      <w:bookmarkStart w:id="50" w:name="_Toc461121073"/>
      <w:r>
        <w:t>Second round evaluation of clinical data submitted in response to questions</w:t>
      </w:r>
      <w:bookmarkEnd w:id="50"/>
    </w:p>
    <w:p w:rsidR="001953DA" w:rsidRDefault="0061242A" w:rsidP="001953DA">
      <w:pPr>
        <w:pStyle w:val="Heading3"/>
      </w:pPr>
      <w:bookmarkStart w:id="51" w:name="_Toc461121074"/>
      <w:r>
        <w:t>Pharmacokinetics Question 1</w:t>
      </w:r>
      <w:bookmarkEnd w:id="51"/>
    </w:p>
    <w:p w:rsidR="006C2395" w:rsidRPr="001953DA" w:rsidRDefault="006C2395" w:rsidP="006C2395">
      <w:pPr>
        <w:rPr>
          <w:i/>
        </w:rPr>
      </w:pPr>
      <w:r w:rsidRPr="001953DA">
        <w:rPr>
          <w:i/>
        </w:rPr>
        <w:t>The values given in the Clinical Pharmacology Summary (p99 of 135</w:t>
      </w:r>
      <w:r w:rsidR="001953DA">
        <w:rPr>
          <w:i/>
        </w:rPr>
        <w:t>, Module 2.7.2</w:t>
      </w:r>
      <w:r w:rsidRPr="001953DA">
        <w:rPr>
          <w:i/>
        </w:rPr>
        <w:t>) regarding the radioactivity associated with unchanged LUM and M28-LUM were approximately 10% higher than the values given in the study-report-body-VX08-809-004.pdf on page 63 (of 684) and Table 11.3 (p65 of 684) of the same document. Can the sponsor please clarify why these differences b</w:t>
      </w:r>
      <w:r w:rsidR="001953DA">
        <w:rPr>
          <w:i/>
        </w:rPr>
        <w:t>etween the two documents exist?</w:t>
      </w:r>
    </w:p>
    <w:p w:rsidR="001953DA" w:rsidRPr="001953DA" w:rsidRDefault="001953DA" w:rsidP="006C2395">
      <w:pPr>
        <w:rPr>
          <w:b/>
          <w:i/>
        </w:rPr>
      </w:pPr>
      <w:r>
        <w:rPr>
          <w:b/>
          <w:i/>
        </w:rPr>
        <w:t xml:space="preserve">Sponsor’s </w:t>
      </w:r>
      <w:r w:rsidR="00D1392B">
        <w:rPr>
          <w:b/>
          <w:i/>
        </w:rPr>
        <w:t>r</w:t>
      </w:r>
      <w:r>
        <w:rPr>
          <w:b/>
          <w:i/>
        </w:rPr>
        <w:t>esponse:</w:t>
      </w:r>
    </w:p>
    <w:p w:rsidR="006C2395" w:rsidRPr="006C2395" w:rsidRDefault="006C2395" w:rsidP="006C2395">
      <w:r w:rsidRPr="006C2395">
        <w:t xml:space="preserve">The Metabolite Profiling and Identification Report (Covance 6438-849) that supported Study VX08-809-004 (Study 004) was amended as </w:t>
      </w:r>
      <w:proofErr w:type="gramStart"/>
      <w:r w:rsidRPr="006C2395">
        <w:t>a subset of values were</w:t>
      </w:r>
      <w:proofErr w:type="gramEnd"/>
      <w:r w:rsidRPr="006C2395">
        <w:t xml:space="preserve"> recalculated without correcting for extraction and/or reconstitution recoveries. Thus, the corresponding information in the original Study 004 clinical study report was updated via the Study 004 Errata. Module 2.7.2 (page 99) provides cross reference to both the original Study 004 clinical study report and the Study 004 Errata as some of the corrections are relevant to the information presented in Module 2.7.2. Although the Module 2.7.2 text only presents the final corrected information, page 5 and page 7 of the Study 004 Errata depicts the corrections that were made, which account for the differences noted in TGA Question 1 for pharmacokinetics.</w:t>
      </w:r>
    </w:p>
    <w:p w:rsidR="006C2395" w:rsidRPr="006C2395" w:rsidRDefault="006C2395" w:rsidP="006C2395">
      <w:r w:rsidRPr="006C2395">
        <w:t xml:space="preserve">For example, the following is an excerpt from corrections presented on </w:t>
      </w:r>
      <w:r w:rsidR="001953DA">
        <w:t>page 5 of the Study 004 Errata:</w:t>
      </w:r>
    </w:p>
    <w:p w:rsidR="006C2395" w:rsidRPr="001953DA" w:rsidRDefault="006C2395" w:rsidP="006C2395">
      <w:pPr>
        <w:rPr>
          <w:i/>
        </w:rPr>
      </w:pPr>
      <w:r w:rsidRPr="001953DA">
        <w:rPr>
          <w:i/>
        </w:rPr>
        <w:lastRenderedPageBreak/>
        <w:t xml:space="preserve">Comparison of area under the concentration versus time curve (AUC) values in plasma for parent drug versus total radioactivity suggests that approximately 62% </w:t>
      </w:r>
      <w:r w:rsidRPr="001953DA">
        <w:rPr>
          <w:i/>
          <w:strike/>
        </w:rPr>
        <w:t>52%</w:t>
      </w:r>
      <w:r w:rsidRPr="001953DA">
        <w:rPr>
          <w:i/>
        </w:rPr>
        <w:t xml:space="preserve"> of the radioactivity was associated with unchanged VX-809. M28 was the major metabolite in plasma which represented 21% 13% of the total radioactivity and a metabolite:</w:t>
      </w:r>
      <w:r w:rsidR="001953DA">
        <w:rPr>
          <w:i/>
        </w:rPr>
        <w:t xml:space="preserve"> </w:t>
      </w:r>
      <w:r w:rsidRPr="001953DA">
        <w:rPr>
          <w:i/>
        </w:rPr>
        <w:t xml:space="preserve">parent AUC ratio of 35% </w:t>
      </w:r>
      <w:r w:rsidRPr="001953DA">
        <w:rPr>
          <w:i/>
          <w:strike/>
        </w:rPr>
        <w:t>25%</w:t>
      </w:r>
      <w:r w:rsidR="001953DA">
        <w:rPr>
          <w:i/>
        </w:rPr>
        <w:t>.</w:t>
      </w:r>
    </w:p>
    <w:p w:rsidR="006C2395" w:rsidRPr="006C2395" w:rsidRDefault="006C2395" w:rsidP="006C2395">
      <w:r w:rsidRPr="0061242A">
        <w:rPr>
          <w:b/>
          <w:i/>
        </w:rPr>
        <w:t>Evaluator’s Response</w:t>
      </w:r>
      <w:r w:rsidRPr="006C2395">
        <w:t>: The evaluator is satisfi</w:t>
      </w:r>
      <w:r w:rsidR="0061242A">
        <w:t>ed with the sponsor’s response.</w:t>
      </w:r>
    </w:p>
    <w:p w:rsidR="0061242A" w:rsidRDefault="0061242A" w:rsidP="0061242A">
      <w:pPr>
        <w:pStyle w:val="Heading3"/>
      </w:pPr>
      <w:bookmarkStart w:id="52" w:name="_Toc461121075"/>
      <w:r>
        <w:t>Pharmacokinetics Question 2</w:t>
      </w:r>
      <w:bookmarkEnd w:id="52"/>
    </w:p>
    <w:p w:rsidR="006C2395" w:rsidRPr="0061242A" w:rsidRDefault="006C2395" w:rsidP="006C2395">
      <w:pPr>
        <w:rPr>
          <w:i/>
        </w:rPr>
      </w:pPr>
      <w:r w:rsidRPr="0061242A">
        <w:rPr>
          <w:i/>
        </w:rPr>
        <w:t>Can the sponsor please provide information on the activity of the plasma metabolites o</w:t>
      </w:r>
      <w:r w:rsidR="0061242A">
        <w:rPr>
          <w:i/>
        </w:rPr>
        <w:t xml:space="preserve">f </w:t>
      </w:r>
      <w:proofErr w:type="gramStart"/>
      <w:r w:rsidR="0061242A">
        <w:rPr>
          <w:i/>
        </w:rPr>
        <w:t>LUM.</w:t>
      </w:r>
      <w:proofErr w:type="gramEnd"/>
    </w:p>
    <w:p w:rsidR="0061242A" w:rsidRPr="0061242A" w:rsidRDefault="0061242A" w:rsidP="006C2395">
      <w:pPr>
        <w:rPr>
          <w:b/>
          <w:i/>
        </w:rPr>
      </w:pPr>
      <w:r w:rsidRPr="0061242A">
        <w:rPr>
          <w:b/>
          <w:i/>
        </w:rPr>
        <w:t xml:space="preserve">Sponsor’s </w:t>
      </w:r>
      <w:r w:rsidR="00D1392B">
        <w:rPr>
          <w:b/>
          <w:i/>
        </w:rPr>
        <w:t>r</w:t>
      </w:r>
      <w:r w:rsidRPr="0061242A">
        <w:rPr>
          <w:b/>
          <w:i/>
        </w:rPr>
        <w:t>esponse:</w:t>
      </w:r>
    </w:p>
    <w:p w:rsidR="006C2395" w:rsidRPr="006C2395" w:rsidRDefault="006C2395" w:rsidP="006C2395">
      <w:r w:rsidRPr="006C2395">
        <w:t>Although M28-lumacaftor was initially categor</w:t>
      </w:r>
      <w:r w:rsidR="002D7E74">
        <w:t>ise</w:t>
      </w:r>
      <w:r w:rsidRPr="006C2395">
        <w:t xml:space="preserve">d as a major metabolite and quantitated in subsequent clinical studies, as the relevant clinical doses increased during the clinical development program, the relative amount of M28-lumacaftor to lumacaftor became lower and in accordance with ICH </w:t>
      </w:r>
      <w:proofErr w:type="gramStart"/>
      <w:r w:rsidRPr="006C2395">
        <w:t>M3(</w:t>
      </w:r>
      <w:proofErr w:type="gramEnd"/>
      <w:r w:rsidRPr="006C2395">
        <w:t>R2), M28-lumacaftor was classified as a minor but disproportionate human metabolite at relevant clinical doses (metabolite:</w:t>
      </w:r>
      <w:r w:rsidR="0061242A">
        <w:t xml:space="preserve"> </w:t>
      </w:r>
      <w:r w:rsidRPr="006C2395">
        <w:t xml:space="preserve">parent AUC ratio </w:t>
      </w:r>
      <w:r w:rsidR="00511EB7">
        <w:t xml:space="preserve">&lt; </w:t>
      </w:r>
      <w:r w:rsidR="0061242A">
        <w:t>10% at steady state exposure)</w:t>
      </w:r>
      <w:r w:rsidRPr="006C2395">
        <w:t>. In addition, M28-lumacaftor is not considered pharmacologically active</w:t>
      </w:r>
      <w:r w:rsidR="0061242A">
        <w:t>.</w:t>
      </w:r>
    </w:p>
    <w:p w:rsidR="006C2395" w:rsidRPr="006C2395" w:rsidRDefault="006C2395" w:rsidP="006C2395">
      <w:r w:rsidRPr="006C2395">
        <w:t>Based on the results from Study 004, no other metabolite exposure ex</w:t>
      </w:r>
      <w:r w:rsidR="0061242A">
        <w:t xml:space="preserve">ceeded a 5.4% metabolite ratio </w:t>
      </w:r>
      <w:r w:rsidRPr="006C2395">
        <w:t>and thus activity was not character</w:t>
      </w:r>
      <w:r w:rsidR="002D7E74">
        <w:t>ise</w:t>
      </w:r>
      <w:r w:rsidRPr="006C2395">
        <w:t>d for the other plasma met</w:t>
      </w:r>
      <w:r w:rsidR="0061242A">
        <w:t>abolites reported in Study 004.</w:t>
      </w:r>
    </w:p>
    <w:p w:rsidR="006C2395" w:rsidRPr="006C2395" w:rsidRDefault="006C2395" w:rsidP="006C2395">
      <w:r w:rsidRPr="0061242A">
        <w:rPr>
          <w:b/>
          <w:i/>
        </w:rPr>
        <w:t xml:space="preserve">Evaluator’s </w:t>
      </w:r>
      <w:r w:rsidR="00D1392B">
        <w:rPr>
          <w:b/>
          <w:i/>
        </w:rPr>
        <w:t>r</w:t>
      </w:r>
      <w:r w:rsidRPr="0061242A">
        <w:rPr>
          <w:b/>
          <w:i/>
        </w:rPr>
        <w:t>esponse:</w:t>
      </w:r>
      <w:r w:rsidRPr="006C2395">
        <w:t xml:space="preserve"> The evaluator is satisfi</w:t>
      </w:r>
      <w:r w:rsidR="0061242A">
        <w:t>ed with the sponsor’s response.</w:t>
      </w:r>
    </w:p>
    <w:p w:rsidR="0061242A" w:rsidRDefault="0061242A" w:rsidP="0061242A">
      <w:pPr>
        <w:pStyle w:val="Heading3"/>
      </w:pPr>
      <w:bookmarkStart w:id="53" w:name="_Toc461121076"/>
      <w:r>
        <w:t>Pharmacodynamics</w:t>
      </w:r>
      <w:bookmarkEnd w:id="53"/>
    </w:p>
    <w:p w:rsidR="006C2395" w:rsidRPr="006C2395" w:rsidRDefault="006C2395" w:rsidP="006C2395">
      <w:r w:rsidRPr="006C2395">
        <w:t>There were no questions relating to the PD studies raised by the evaluator.</w:t>
      </w:r>
    </w:p>
    <w:p w:rsidR="006C2395" w:rsidRPr="006C2395" w:rsidRDefault="006C2395" w:rsidP="006C2395">
      <w:r w:rsidRPr="006C2395">
        <w:t>Comments from the PK/PD evaluator regarding the annotated PI provided with th</w:t>
      </w:r>
      <w:r w:rsidR="0061242A">
        <w:t>e Round 1 evaluation documents.</w:t>
      </w:r>
    </w:p>
    <w:p w:rsidR="00DC2DB7" w:rsidRDefault="00DC2DB7" w:rsidP="00DC2DB7">
      <w:pPr>
        <w:pStyle w:val="Heading3"/>
      </w:pPr>
      <w:bookmarkStart w:id="54" w:name="_Toc461121077"/>
      <w:r>
        <w:t xml:space="preserve">Efficacy </w:t>
      </w:r>
      <w:r w:rsidR="00D1392B">
        <w:t>Q</w:t>
      </w:r>
      <w:r w:rsidRPr="00DC2DB7">
        <w:t>uestion 1</w:t>
      </w:r>
      <w:bookmarkEnd w:id="54"/>
    </w:p>
    <w:p w:rsidR="006C2395" w:rsidRPr="00DC2DB7" w:rsidRDefault="006C2395" w:rsidP="006C2395">
      <w:pPr>
        <w:rPr>
          <w:i/>
        </w:rPr>
      </w:pPr>
      <w:r w:rsidRPr="00DC2DB7">
        <w:rPr>
          <w:i/>
        </w:rPr>
        <w:t xml:space="preserve">Long-term efficacy and safety of </w:t>
      </w:r>
      <w:r w:rsidR="00511EB7" w:rsidRPr="00DC2DB7">
        <w:rPr>
          <w:i/>
        </w:rPr>
        <w:t>Orkambi</w:t>
      </w:r>
      <w:r w:rsidRPr="00DC2DB7">
        <w:rPr>
          <w:i/>
        </w:rPr>
        <w:t xml:space="preserve"> was only established up to 48 weeks.</w:t>
      </w:r>
      <w:r w:rsidR="00DC2DB7" w:rsidRPr="00DC2DB7">
        <w:rPr>
          <w:i/>
        </w:rPr>
        <w:t xml:space="preserve"> Hence, on completion of the 96 </w:t>
      </w:r>
      <w:r w:rsidRPr="00DC2DB7">
        <w:rPr>
          <w:i/>
        </w:rPr>
        <w:t>week, long-term</w:t>
      </w:r>
      <w:r w:rsidR="00DC2DB7" w:rsidRPr="00DC2DB7">
        <w:rPr>
          <w:i/>
        </w:rPr>
        <w:t xml:space="preserve">, open </w:t>
      </w:r>
      <w:r w:rsidRPr="00DC2DB7">
        <w:rPr>
          <w:i/>
        </w:rPr>
        <w:t xml:space="preserve">label </w:t>
      </w:r>
      <w:r w:rsidR="004E6042" w:rsidRPr="00DC2DB7">
        <w:rPr>
          <w:i/>
        </w:rPr>
        <w:t>Study</w:t>
      </w:r>
      <w:r w:rsidRPr="00DC2DB7">
        <w:rPr>
          <w:i/>
        </w:rPr>
        <w:t xml:space="preserve"> 105, data shou</w:t>
      </w:r>
      <w:r w:rsidR="00DC2DB7" w:rsidRPr="00DC2DB7">
        <w:rPr>
          <w:i/>
        </w:rPr>
        <w:t>ld be presented for evaluation.</w:t>
      </w:r>
    </w:p>
    <w:p w:rsidR="00DC2DB7" w:rsidRPr="00DC2DB7" w:rsidRDefault="00DC2DB7" w:rsidP="006C2395">
      <w:pPr>
        <w:rPr>
          <w:b/>
          <w:i/>
        </w:rPr>
      </w:pPr>
      <w:r>
        <w:rPr>
          <w:b/>
          <w:i/>
        </w:rPr>
        <w:t>Sponsor’s response</w:t>
      </w:r>
    </w:p>
    <w:p w:rsidR="006C2395" w:rsidRPr="006C2395" w:rsidRDefault="00DC2DB7" w:rsidP="006C2395">
      <w:r>
        <w:t xml:space="preserve">The sponsor </w:t>
      </w:r>
      <w:r w:rsidR="006C2395" w:rsidRPr="006C2395">
        <w:t xml:space="preserve">confirms that the final clinical study report for Study 105 will be submitted upon completion of the study, to provide long-term evidence on efficacy and safety, further justifying the proposed chronic treatment duration by showing conclusive evidence on maintenance of positive treatment effects over a </w:t>
      </w:r>
      <w:r>
        <w:t>total of 96 weeks of treatment.</w:t>
      </w:r>
    </w:p>
    <w:p w:rsidR="006C2395" w:rsidRPr="006C2395" w:rsidRDefault="00D1392B" w:rsidP="006C2395">
      <w:r>
        <w:rPr>
          <w:b/>
          <w:i/>
        </w:rPr>
        <w:t>Evaluator’s r</w:t>
      </w:r>
      <w:r w:rsidR="006C2395" w:rsidRPr="00DC2DB7">
        <w:rPr>
          <w:b/>
          <w:i/>
        </w:rPr>
        <w:t>esponse:</w:t>
      </w:r>
      <w:r w:rsidR="006C2395" w:rsidRPr="006C2395">
        <w:t xml:space="preserve"> The sponsor’s response is satisfactory.</w:t>
      </w:r>
    </w:p>
    <w:p w:rsidR="00C618F7" w:rsidRDefault="00C618F7" w:rsidP="00C618F7">
      <w:pPr>
        <w:pStyle w:val="Heading2"/>
      </w:pPr>
      <w:bookmarkStart w:id="55" w:name="_Toc461121078"/>
      <w:r>
        <w:t>Second round benefit-risk assessment</w:t>
      </w:r>
      <w:bookmarkEnd w:id="55"/>
    </w:p>
    <w:p w:rsidR="006C2395" w:rsidRPr="006C2395" w:rsidRDefault="006C2395" w:rsidP="006C2395">
      <w:pPr>
        <w:pStyle w:val="Heading3"/>
      </w:pPr>
      <w:bookmarkStart w:id="56" w:name="_Toc461121079"/>
      <w:r w:rsidRPr="006C2395">
        <w:t>Seco</w:t>
      </w:r>
      <w:r w:rsidR="00DC2DB7">
        <w:t>nd round assessment of benefits</w:t>
      </w:r>
      <w:bookmarkEnd w:id="56"/>
    </w:p>
    <w:p w:rsidR="006C2395" w:rsidRPr="006C2395" w:rsidRDefault="006C2395" w:rsidP="006C2395">
      <w:r w:rsidRPr="006C2395">
        <w:t xml:space="preserve">After consideration of the responses to clinical questions, the benefits of </w:t>
      </w:r>
      <w:r w:rsidR="00511EB7">
        <w:t>Orkambi</w:t>
      </w:r>
      <w:r w:rsidRPr="006C2395">
        <w:t xml:space="preserve"> in the proposed usage are unc</w:t>
      </w:r>
      <w:r w:rsidR="00DC2DB7">
        <w:t>hanged from those identified in the first round assessment of benefits.</w:t>
      </w:r>
    </w:p>
    <w:p w:rsidR="006C2395" w:rsidRPr="006C2395" w:rsidRDefault="006C2395" w:rsidP="006C2395">
      <w:pPr>
        <w:pStyle w:val="Heading3"/>
      </w:pPr>
      <w:bookmarkStart w:id="57" w:name="_Toc461121080"/>
      <w:r w:rsidRPr="006C2395">
        <w:lastRenderedPageBreak/>
        <w:t>Second round ass</w:t>
      </w:r>
      <w:r w:rsidR="00DC2DB7">
        <w:t>essment of risks</w:t>
      </w:r>
      <w:bookmarkEnd w:id="57"/>
    </w:p>
    <w:p w:rsidR="006C2395" w:rsidRPr="006C2395" w:rsidRDefault="006C2395" w:rsidP="006C2395">
      <w:r w:rsidRPr="006C2395">
        <w:t xml:space="preserve">After consideration of the responses to clinical questions, the risks of </w:t>
      </w:r>
      <w:r w:rsidR="00511EB7">
        <w:t>Orkambi</w:t>
      </w:r>
      <w:r w:rsidRPr="006C2395">
        <w:t xml:space="preserve"> in the proposed usage are unchanged from those identified in </w:t>
      </w:r>
      <w:r w:rsidR="00DC2DB7">
        <w:t>the first round assessment of risks.</w:t>
      </w:r>
    </w:p>
    <w:p w:rsidR="006C2395" w:rsidRPr="006C2395" w:rsidRDefault="006C2395" w:rsidP="006C2395">
      <w:pPr>
        <w:pStyle w:val="Heading3"/>
      </w:pPr>
      <w:bookmarkStart w:id="58" w:name="_Toc461121081"/>
      <w:r w:rsidRPr="006C2395">
        <w:t>Second round ass</w:t>
      </w:r>
      <w:r w:rsidR="00DC2DB7">
        <w:t>essment of benefit-risk balance</w:t>
      </w:r>
      <w:bookmarkEnd w:id="58"/>
    </w:p>
    <w:p w:rsidR="00C618F7" w:rsidRPr="006C2395" w:rsidRDefault="006C2395" w:rsidP="006C2395">
      <w:r w:rsidRPr="006C2395">
        <w:t xml:space="preserve">The benefit-risk balance of </w:t>
      </w:r>
      <w:r w:rsidR="00511EB7">
        <w:t>Orkambi</w:t>
      </w:r>
      <w:r w:rsidRPr="006C2395">
        <w:t xml:space="preserve"> in th</w:t>
      </w:r>
      <w:r>
        <w:t>e proposed usage is favourable.</w:t>
      </w:r>
    </w:p>
    <w:p w:rsidR="00C618F7" w:rsidRDefault="00C618F7" w:rsidP="00C618F7">
      <w:pPr>
        <w:pStyle w:val="Heading2"/>
      </w:pPr>
      <w:bookmarkStart w:id="59" w:name="_Toc461121082"/>
      <w:r>
        <w:t>Second round recommendation regarding authorisation</w:t>
      </w:r>
      <w:bookmarkEnd w:id="59"/>
    </w:p>
    <w:p w:rsidR="00DC2DB7" w:rsidRDefault="006C2395" w:rsidP="006C2395">
      <w:r w:rsidRPr="006C2395">
        <w:t xml:space="preserve">It is recommended that application for marketing of </w:t>
      </w:r>
      <w:r w:rsidR="00511EB7">
        <w:t>Orkambi</w:t>
      </w:r>
      <w:r w:rsidR="002A5A3A">
        <w:t xml:space="preserve"> 200/125 </w:t>
      </w:r>
      <w:r w:rsidRPr="006C2395">
        <w:t xml:space="preserve">(lumacaftor </w:t>
      </w:r>
      <w:r w:rsidR="00511EB7">
        <w:t>200 mg</w:t>
      </w:r>
      <w:r w:rsidRPr="006C2395">
        <w:t>/ ivacaftor 125mg tablets) be a</w:t>
      </w:r>
      <w:r w:rsidR="002A5A3A">
        <w:t>pproved for proposed indication;</w:t>
      </w:r>
    </w:p>
    <w:p w:rsidR="00AF3533" w:rsidRPr="00AF3533" w:rsidRDefault="006C2395" w:rsidP="00AF3533">
      <w:pPr>
        <w:ind w:left="567"/>
        <w:rPr>
          <w:i/>
        </w:rPr>
      </w:pPr>
      <w:proofErr w:type="gramStart"/>
      <w:r w:rsidRPr="00DC2DB7">
        <w:rPr>
          <w:i/>
        </w:rPr>
        <w:t>for</w:t>
      </w:r>
      <w:proofErr w:type="gramEnd"/>
      <w:r w:rsidRPr="00DC2DB7">
        <w:rPr>
          <w:i/>
        </w:rPr>
        <w:t xml:space="preserve"> the treatment of cystic fibrosis (CF) in patients aged 12 years and older who are homozygous for the F508del mutation in the CFTR gene.</w:t>
      </w:r>
    </w:p>
    <w:p w:rsidR="00C618F7" w:rsidRDefault="00C618F7" w:rsidP="00AF3533">
      <w:pPr>
        <w:pStyle w:val="Heading2"/>
        <w:pageBreakBefore/>
      </w:pPr>
      <w:bookmarkStart w:id="60" w:name="_Toc461121083"/>
      <w:r>
        <w:lastRenderedPageBreak/>
        <w:t>References</w:t>
      </w:r>
      <w:bookmarkEnd w:id="60"/>
    </w:p>
    <w:p w:rsidR="006C2395" w:rsidRPr="006C2395" w:rsidRDefault="006C2395" w:rsidP="006C2395">
      <w:r w:rsidRPr="006C2395">
        <w:t xml:space="preserve">Blumer, JL, Saiman L, Konstan MW, Melnick D. </w:t>
      </w:r>
      <w:proofErr w:type="gramStart"/>
      <w:r w:rsidRPr="006C2395">
        <w:t xml:space="preserve">The efficacy and safety of meropenem and tobramycin </w:t>
      </w:r>
      <w:r w:rsidR="001C171F">
        <w:t>versus</w:t>
      </w:r>
      <w:r w:rsidRPr="006C2395">
        <w:t>.</w:t>
      </w:r>
      <w:proofErr w:type="gramEnd"/>
      <w:r w:rsidRPr="006C2395">
        <w:t xml:space="preserve"> </w:t>
      </w:r>
      <w:proofErr w:type="gramStart"/>
      <w:r w:rsidRPr="006C2395">
        <w:t>ceftazidime</w:t>
      </w:r>
      <w:proofErr w:type="gramEnd"/>
      <w:r w:rsidRPr="006C2395">
        <w:t xml:space="preserve"> and tobramycin in the treatment of acute pulmonary exacerbations in patients with cystic fibro</w:t>
      </w:r>
      <w:r w:rsidR="002A5A3A">
        <w:t xml:space="preserve">sis. </w:t>
      </w:r>
      <w:proofErr w:type="gramStart"/>
      <w:r w:rsidR="002A5A3A">
        <w:t>Chest.</w:t>
      </w:r>
      <w:proofErr w:type="gramEnd"/>
      <w:r w:rsidR="002A5A3A">
        <w:t xml:space="preserve"> 2005</w:t>
      </w:r>
      <w:proofErr w:type="gramStart"/>
      <w:r w:rsidR="002A5A3A">
        <w:t>;128</w:t>
      </w:r>
      <w:proofErr w:type="gramEnd"/>
      <w:r w:rsidR="002A5A3A">
        <w:t>(4):2336-46</w:t>
      </w:r>
    </w:p>
    <w:p w:rsidR="006C2395" w:rsidRPr="006C2395" w:rsidRDefault="006C2395" w:rsidP="006C2395">
      <w:proofErr w:type="gramStart"/>
      <w:r w:rsidRPr="006C2395">
        <w:t>Cystic Fibrosis Australia.</w:t>
      </w:r>
      <w:proofErr w:type="gramEnd"/>
      <w:r w:rsidRPr="006C2395">
        <w:t xml:space="preserve"> Cystic Fibrosis in Australia 2012: 15th Annual Report </w:t>
      </w:r>
      <w:proofErr w:type="gramStart"/>
      <w:r w:rsidRPr="006C2395">
        <w:t>From</w:t>
      </w:r>
      <w:proofErr w:type="gramEnd"/>
      <w:r w:rsidRPr="006C2395">
        <w:t xml:space="preserve"> the Australian Cystic Fibrosis Data Registry. B</w:t>
      </w:r>
      <w:r w:rsidR="002A5A3A">
        <w:t>aulkham Hills, Australia: 2013.</w:t>
      </w:r>
    </w:p>
    <w:p w:rsidR="006C2395" w:rsidRPr="006C2395" w:rsidRDefault="006C2395" w:rsidP="006C2395">
      <w:proofErr w:type="gramStart"/>
      <w:r w:rsidRPr="006C2395">
        <w:t>Cystic Fibrosis Canada.</w:t>
      </w:r>
      <w:proofErr w:type="gramEnd"/>
      <w:r w:rsidRPr="006C2395">
        <w:t xml:space="preserve"> The Canadian Cystic Fibrosis Registry: 2012 Annual</w:t>
      </w:r>
      <w:r w:rsidR="002A5A3A">
        <w:t xml:space="preserve"> Report. Toronto, Canada: 2014.</w:t>
      </w:r>
    </w:p>
    <w:p w:rsidR="006C2395" w:rsidRPr="006C2395" w:rsidRDefault="006C2395" w:rsidP="006C2395">
      <w:proofErr w:type="gramStart"/>
      <w:r w:rsidRPr="006C2395">
        <w:t>Cystic Fibrosis Foundation.</w:t>
      </w:r>
      <w:proofErr w:type="gramEnd"/>
      <w:r w:rsidRPr="006C2395">
        <w:t xml:space="preserve"> Cystic Fibrosis Foundation Patient Registry: 2012 Annual D</w:t>
      </w:r>
      <w:r w:rsidR="002A5A3A">
        <w:t>ata Report. Bethesda, MD: 2013.</w:t>
      </w:r>
    </w:p>
    <w:p w:rsidR="006C2395" w:rsidRPr="006C2395" w:rsidRDefault="006C2395" w:rsidP="006C2395">
      <w:proofErr w:type="gramStart"/>
      <w:r w:rsidRPr="006C2395">
        <w:t>Cystic Fibrosis Trust.</w:t>
      </w:r>
      <w:proofErr w:type="gramEnd"/>
      <w:r w:rsidRPr="006C2395">
        <w:t xml:space="preserve"> United Kingdom Cystic Fibrosis Registry: Annual Data Repor</w:t>
      </w:r>
      <w:r w:rsidR="002A5A3A">
        <w:t>t 2013. Bromley, England: 2014.</w:t>
      </w:r>
    </w:p>
    <w:p w:rsidR="006C2395" w:rsidRPr="006C2395" w:rsidRDefault="006C2395" w:rsidP="006C2395">
      <w:proofErr w:type="gramStart"/>
      <w:r w:rsidRPr="006C2395">
        <w:t>European Cystic Fibrosis Society.</w:t>
      </w:r>
      <w:proofErr w:type="gramEnd"/>
      <w:r w:rsidRPr="006C2395">
        <w:t xml:space="preserve"> ECFS Patient Registry: 2010 Annua</w:t>
      </w:r>
      <w:r w:rsidR="002A5A3A">
        <w:t>l Report. Karup, Denmark: 2014.</w:t>
      </w:r>
    </w:p>
    <w:p w:rsidR="006C2395" w:rsidRPr="006C2395" w:rsidRDefault="006C2395" w:rsidP="006C2395">
      <w:proofErr w:type="gramStart"/>
      <w:r w:rsidRPr="006C2395">
        <w:t>Fuchs HJ, Borowitz DS, Christiansen DH, Morris EM, Nash ML, Ramsey BW, et al. Effect of aerosolized recombinant human DNase on exacerbations of respiratory symptoms and on pulmonary function in patients with cystic fibrosis.</w:t>
      </w:r>
      <w:proofErr w:type="gramEnd"/>
      <w:r w:rsidR="002A5A3A">
        <w:t xml:space="preserve"> N Engl J Med. 1994</w:t>
      </w:r>
      <w:proofErr w:type="gramStart"/>
      <w:r w:rsidR="002A5A3A">
        <w:t>;331:637</w:t>
      </w:r>
      <w:proofErr w:type="gramEnd"/>
      <w:r w:rsidR="002A5A3A">
        <w:t>-42.</w:t>
      </w:r>
    </w:p>
    <w:p w:rsidR="006C2395" w:rsidRPr="006C2395" w:rsidRDefault="006C2395" w:rsidP="006C2395">
      <w:r w:rsidRPr="006C2395">
        <w:t>Guidance for industry for chronic obstructive pulmonary disease: developing drugs for treatment (draft). US Department of Health and Human Services Food and Drug Administration Center for Drug Evaluat</w:t>
      </w:r>
      <w:r w:rsidR="002A5A3A">
        <w:t>ion and Research, November 2007</w:t>
      </w:r>
    </w:p>
    <w:p w:rsidR="006C2395" w:rsidRPr="006C2395" w:rsidRDefault="006C2395" w:rsidP="006C2395">
      <w:proofErr w:type="gramStart"/>
      <w:r w:rsidRPr="006C2395">
        <w:t>Guideline on clinical investigation of medicinal products in the treatment of chronic obstructive pulmonary disease (COPD) (Draft 3) (CPMP/EWP/562/98 Rev. 1).</w:t>
      </w:r>
      <w:proofErr w:type="gramEnd"/>
      <w:r w:rsidRPr="006C2395">
        <w:t xml:space="preserve"> </w:t>
      </w:r>
      <w:proofErr w:type="gramStart"/>
      <w:r w:rsidRPr="006C2395">
        <w:t>E</w:t>
      </w:r>
      <w:r w:rsidR="002A5A3A">
        <w:t>uropean Medicines Agency, 2010.</w:t>
      </w:r>
      <w:proofErr w:type="gramEnd"/>
    </w:p>
    <w:p w:rsidR="006C2395" w:rsidRPr="007A0885" w:rsidRDefault="006C2395" w:rsidP="007A0885">
      <w:proofErr w:type="gramStart"/>
      <w:r w:rsidRPr="006C2395">
        <w:t>Guideline on the clinical development of medicinal products for the treatment of cystic fibrosis (EMEA/CHMP/EWP/9147/2008-corr*).</w:t>
      </w:r>
      <w:proofErr w:type="gramEnd"/>
      <w:r w:rsidRPr="006C2395">
        <w:t xml:space="preserve"> </w:t>
      </w:r>
      <w:proofErr w:type="gramStart"/>
      <w:r w:rsidRPr="006C2395">
        <w:t xml:space="preserve">European Medicines Agency Committee for Medicinal </w:t>
      </w:r>
      <w:r w:rsidRPr="007A0885">
        <w:t xml:space="preserve">Products for Human Use, </w:t>
      </w:r>
      <w:r w:rsidR="002A5A3A">
        <w:t>2009.</w:t>
      </w:r>
      <w:proofErr w:type="gramEnd"/>
    </w:p>
    <w:p w:rsidR="006C2395" w:rsidRPr="007A0885" w:rsidRDefault="006C2395" w:rsidP="007A0885">
      <w:r w:rsidRPr="007A0885">
        <w:t>Hankinson JL, Odencrantz JR, Fedan KB. Spirometric reference values from a sample of the general US population. Am J Respir Crit Care Med. 1999</w:t>
      </w:r>
      <w:proofErr w:type="gramStart"/>
      <w:r w:rsidRPr="007A0885">
        <w:t>;159:179</w:t>
      </w:r>
      <w:proofErr w:type="gramEnd"/>
      <w:r w:rsidRPr="007A0885">
        <w:t xml:space="preserve"> 87.</w:t>
      </w:r>
    </w:p>
    <w:p w:rsidR="006C2395" w:rsidRPr="007A0885" w:rsidRDefault="006C2395" w:rsidP="007A0885">
      <w:proofErr w:type="gramStart"/>
      <w:r w:rsidRPr="007A0885">
        <w:t>Johansen HK, Nir M, Hoiby N, Koch C, Schwartz M. Severity of cystic fibrosis in patients homozygous and heterozygous for delta F508 mu</w:t>
      </w:r>
      <w:r w:rsidR="002A5A3A">
        <w:t>tation.</w:t>
      </w:r>
      <w:proofErr w:type="gramEnd"/>
      <w:r w:rsidR="002A5A3A">
        <w:t xml:space="preserve"> </w:t>
      </w:r>
      <w:proofErr w:type="gramStart"/>
      <w:r w:rsidR="002A5A3A">
        <w:t>Lancet.</w:t>
      </w:r>
      <w:proofErr w:type="gramEnd"/>
      <w:r w:rsidR="002A5A3A">
        <w:t xml:space="preserve"> 1991</w:t>
      </w:r>
      <w:proofErr w:type="gramStart"/>
      <w:r w:rsidR="002A5A3A">
        <w:t>;337:631</w:t>
      </w:r>
      <w:proofErr w:type="gramEnd"/>
      <w:r w:rsidR="002A5A3A">
        <w:t>-4.</w:t>
      </w:r>
    </w:p>
    <w:p w:rsidR="006C2395" w:rsidRPr="007A0885" w:rsidRDefault="006C2395" w:rsidP="007A0885">
      <w:r w:rsidRPr="007A0885">
        <w:t xml:space="preserve">Kerem E, Corey M, Kerem BS, Rommens J, Markiewicz D, Levison H, et al. </w:t>
      </w:r>
      <w:proofErr w:type="gramStart"/>
      <w:r w:rsidRPr="007A0885">
        <w:t>The relation between genotype and phenotype in cystic fibrosis—analysis of the most common mutation (delta F508).</w:t>
      </w:r>
      <w:proofErr w:type="gramEnd"/>
      <w:r w:rsidRPr="007A0885">
        <w:t xml:space="preserve"> </w:t>
      </w:r>
      <w:r w:rsidR="002A5A3A">
        <w:t>N Engl J Med. 1990</w:t>
      </w:r>
      <w:proofErr w:type="gramStart"/>
      <w:r w:rsidR="002A5A3A">
        <w:t>;323:1517</w:t>
      </w:r>
      <w:proofErr w:type="gramEnd"/>
      <w:r w:rsidR="002A5A3A">
        <w:t>-22.</w:t>
      </w:r>
    </w:p>
    <w:p w:rsidR="006C2395" w:rsidRPr="007A0885" w:rsidRDefault="006C2395" w:rsidP="007A0885">
      <w:r w:rsidRPr="007A0885">
        <w:t>Kerem E, Kerem B. Genotype-phenotype correlations in cystic fibrosis. Pe</w:t>
      </w:r>
      <w:r w:rsidR="002A5A3A">
        <w:t>diatr Pulmonol. 1996</w:t>
      </w:r>
      <w:proofErr w:type="gramStart"/>
      <w:r w:rsidR="002A5A3A">
        <w:t>;22:387</w:t>
      </w:r>
      <w:proofErr w:type="gramEnd"/>
      <w:r w:rsidR="002A5A3A">
        <w:t>-95.</w:t>
      </w:r>
    </w:p>
    <w:p w:rsidR="006C2395" w:rsidRPr="007A0885" w:rsidRDefault="006C2395" w:rsidP="007A0885">
      <w:proofErr w:type="gramStart"/>
      <w:r w:rsidRPr="007A0885">
        <w:t>Mayer-Hamblett N, Ramsey BW, Kronmal RA.</w:t>
      </w:r>
      <w:proofErr w:type="gramEnd"/>
      <w:r w:rsidRPr="007A0885">
        <w:t xml:space="preserve"> </w:t>
      </w:r>
      <w:proofErr w:type="gramStart"/>
      <w:r w:rsidRPr="007A0885">
        <w:t>Advancing outcome measures for the new era of drug development in cystic fibrosis.</w:t>
      </w:r>
      <w:proofErr w:type="gramEnd"/>
      <w:r w:rsidRPr="007A0885">
        <w:t xml:space="preserve"> Proc </w:t>
      </w:r>
      <w:r w:rsidR="002A5A3A">
        <w:t>Am Thorac Soc. 2007</w:t>
      </w:r>
      <w:proofErr w:type="gramStart"/>
      <w:r w:rsidR="002A5A3A">
        <w:t>;4</w:t>
      </w:r>
      <w:proofErr w:type="gramEnd"/>
      <w:r w:rsidR="002A5A3A">
        <w:t>(4):370-7.</w:t>
      </w:r>
    </w:p>
    <w:p w:rsidR="006C2395" w:rsidRPr="007A0885" w:rsidRDefault="006C2395" w:rsidP="007A0885">
      <w:r w:rsidRPr="007A0885">
        <w:t xml:space="preserve">McKone EF, Emerson SS, Edwards KL, Aitken ML. Effect of genotype on phenotype and mortality in cystic fibrosis: a retrospective cohort study. </w:t>
      </w:r>
      <w:proofErr w:type="gramStart"/>
      <w:r w:rsidR="002A5A3A">
        <w:t>Lancet.</w:t>
      </w:r>
      <w:proofErr w:type="gramEnd"/>
      <w:r w:rsidR="002A5A3A">
        <w:t xml:space="preserve"> 2003</w:t>
      </w:r>
      <w:proofErr w:type="gramStart"/>
      <w:r w:rsidR="002A5A3A">
        <w:t>;361</w:t>
      </w:r>
      <w:proofErr w:type="gramEnd"/>
      <w:r w:rsidR="002A5A3A">
        <w:t>(9370): 1671-6.</w:t>
      </w:r>
    </w:p>
    <w:p w:rsidR="006C2395" w:rsidRPr="007A0885" w:rsidRDefault="006C2395" w:rsidP="007A0885">
      <w:proofErr w:type="gramStart"/>
      <w:r w:rsidRPr="007A0885">
        <w:t>McKone EF, Goss CH, Aitken ML. CFTR genotype as a predictor of prognosis in cystic fi</w:t>
      </w:r>
      <w:r w:rsidR="002A5A3A">
        <w:t>brosis.</w:t>
      </w:r>
      <w:proofErr w:type="gramEnd"/>
      <w:r w:rsidR="002A5A3A">
        <w:t xml:space="preserve"> </w:t>
      </w:r>
      <w:proofErr w:type="gramStart"/>
      <w:r w:rsidR="002A5A3A">
        <w:t>Chest.</w:t>
      </w:r>
      <w:proofErr w:type="gramEnd"/>
      <w:r w:rsidR="002A5A3A">
        <w:t xml:space="preserve"> 2006</w:t>
      </w:r>
      <w:proofErr w:type="gramStart"/>
      <w:r w:rsidR="002A5A3A">
        <w:t>;130:1441</w:t>
      </w:r>
      <w:proofErr w:type="gramEnd"/>
      <w:r w:rsidR="002A5A3A">
        <w:t>-7.</w:t>
      </w:r>
    </w:p>
    <w:p w:rsidR="006C2395" w:rsidRPr="007A0885" w:rsidRDefault="006C2395" w:rsidP="007A0885">
      <w:r w:rsidRPr="007A0885">
        <w:t>Rabin HR, Butler SM, Wohl ME, Geller DE, Colin AA, Schidlow DV, et al. Pulmonary exacerbations in cystic fibrosis. Pedi</w:t>
      </w:r>
      <w:r w:rsidR="002A5A3A">
        <w:t>atr Pulmonol. 2004</w:t>
      </w:r>
      <w:proofErr w:type="gramStart"/>
      <w:r w:rsidR="002A5A3A">
        <w:t>;37</w:t>
      </w:r>
      <w:proofErr w:type="gramEnd"/>
      <w:r w:rsidR="002A5A3A">
        <w:t>(5):400-6.</w:t>
      </w:r>
    </w:p>
    <w:p w:rsidR="006C2395" w:rsidRPr="007A0885" w:rsidRDefault="006C2395" w:rsidP="007A0885">
      <w:r w:rsidRPr="007A0885">
        <w:lastRenderedPageBreak/>
        <w:t>Rommens JM, Iannuzzi MC, Kerem B, Drumm ML, Melmer G, Dean M, et al. Identification of the cystic fibrosis gene: chromosome walking and jump</w:t>
      </w:r>
      <w:r w:rsidR="002A5A3A">
        <w:t xml:space="preserve">ing. </w:t>
      </w:r>
      <w:proofErr w:type="gramStart"/>
      <w:r w:rsidR="002A5A3A">
        <w:t>Science.</w:t>
      </w:r>
      <w:proofErr w:type="gramEnd"/>
      <w:r w:rsidR="002A5A3A">
        <w:t xml:space="preserve"> 1989</w:t>
      </w:r>
      <w:proofErr w:type="gramStart"/>
      <w:r w:rsidR="002A5A3A">
        <w:t>;245:1059</w:t>
      </w:r>
      <w:proofErr w:type="gramEnd"/>
      <w:r w:rsidR="002A5A3A">
        <w:t>-65.</w:t>
      </w:r>
    </w:p>
    <w:p w:rsidR="006C2395" w:rsidRPr="007A0885" w:rsidRDefault="006C2395" w:rsidP="007A0885">
      <w:r w:rsidRPr="007A0885">
        <w:t>Rosenfeld M, Emerson J, Williams-Warren J, Pepe M, Smith A, Montgomery AB, et al. Defining a pulmonary exacerbation in cystic fibrosis.</w:t>
      </w:r>
      <w:r w:rsidR="002A5A3A">
        <w:t xml:space="preserve"> </w:t>
      </w:r>
      <w:proofErr w:type="gramStart"/>
      <w:r w:rsidR="002A5A3A">
        <w:t>J Pediatr.</w:t>
      </w:r>
      <w:proofErr w:type="gramEnd"/>
      <w:r w:rsidR="002A5A3A">
        <w:t xml:space="preserve"> 2001</w:t>
      </w:r>
      <w:proofErr w:type="gramStart"/>
      <w:r w:rsidR="002A5A3A">
        <w:t>;139</w:t>
      </w:r>
      <w:proofErr w:type="gramEnd"/>
      <w:r w:rsidR="002A5A3A">
        <w:t>(3):359-65.</w:t>
      </w:r>
    </w:p>
    <w:p w:rsidR="006C2395" w:rsidRPr="007A0885" w:rsidRDefault="006C2395" w:rsidP="007A0885">
      <w:proofErr w:type="gramStart"/>
      <w:r w:rsidRPr="007A0885">
        <w:t>Wang X, Dockery DW, Wypij D, Fay ME, Ferris BG. Pulmonary function between 6 and 18 years of age.</w:t>
      </w:r>
      <w:proofErr w:type="gramEnd"/>
      <w:r w:rsidRPr="007A0885">
        <w:t xml:space="preserve"> P</w:t>
      </w:r>
      <w:r w:rsidR="002A5A3A">
        <w:t>ediatr Pulmonol. 1993</w:t>
      </w:r>
      <w:proofErr w:type="gramStart"/>
      <w:r w:rsidR="002A5A3A">
        <w:t>;15:75</w:t>
      </w:r>
      <w:proofErr w:type="gramEnd"/>
      <w:r w:rsidR="002A5A3A">
        <w:t>-88.</w:t>
      </w:r>
    </w:p>
    <w:p w:rsidR="003D1E62" w:rsidRPr="001D043B" w:rsidRDefault="008E7846" w:rsidP="002666AC">
      <w:pPr>
        <w:sectPr w:rsidR="003D1E62" w:rsidRPr="001D043B" w:rsidSect="008D770F">
          <w:headerReference w:type="even" r:id="rId101"/>
          <w:headerReference w:type="default" r:id="rId102"/>
          <w:headerReference w:type="first" r:id="rId103"/>
          <w:footerReference w:type="first" r:id="rId104"/>
          <w:pgSz w:w="11906" w:h="16838" w:code="9"/>
          <w:pgMar w:top="1440" w:right="1440" w:bottom="1440" w:left="1440" w:header="907" w:footer="216" w:gutter="0"/>
          <w:cols w:space="708"/>
          <w:docGrid w:linePitch="360"/>
        </w:sectPr>
      </w:pPr>
      <w:bookmarkStart w:id="61" w:name="_GoBack"/>
      <w:bookmarkEnd w:id="2"/>
      <w:bookmarkEnd w:id="1"/>
      <w:bookmarkEnd w:id="0"/>
      <w:bookmarkEnd w:id="61"/>
      <w:r>
        <w:br w:type="page"/>
      </w: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B3567E" w:rsidRPr="00487162" w:rsidTr="00FD22FB">
        <w:trPr>
          <w:trHeight w:hRule="exact" w:val="564"/>
        </w:trPr>
        <w:tc>
          <w:tcPr>
            <w:tcW w:w="9175" w:type="dxa"/>
          </w:tcPr>
          <w:p w:rsidR="00B3567E" w:rsidRPr="00487162" w:rsidRDefault="00B3567E" w:rsidP="00FD22FB">
            <w:pPr>
              <w:pStyle w:val="TGASignoff"/>
            </w:pPr>
            <w:r w:rsidRPr="00487162">
              <w:lastRenderedPageBreak/>
              <w:t>Therapeutic Goods Administration</w:t>
            </w:r>
          </w:p>
        </w:tc>
      </w:tr>
      <w:tr w:rsidR="00B3567E" w:rsidRPr="00487162" w:rsidTr="00FD22FB">
        <w:trPr>
          <w:trHeight w:val="1221"/>
        </w:trPr>
        <w:tc>
          <w:tcPr>
            <w:tcW w:w="9175" w:type="dxa"/>
            <w:tcMar>
              <w:top w:w="28" w:type="dxa"/>
            </w:tcMar>
          </w:tcPr>
          <w:p w:rsidR="00B3567E" w:rsidRPr="00487162" w:rsidRDefault="00B3567E" w:rsidP="00FD22FB">
            <w:pPr>
              <w:pStyle w:val="Address"/>
            </w:pPr>
            <w:r w:rsidRPr="00487162">
              <w:t>PO Box 100 Woden ACT 2606 Australia</w:t>
            </w:r>
          </w:p>
          <w:p w:rsidR="00B3567E" w:rsidRPr="00487162" w:rsidRDefault="00B3567E" w:rsidP="00FD22FB">
            <w:pPr>
              <w:pStyle w:val="Address"/>
            </w:pPr>
            <w:r w:rsidRPr="00487162">
              <w:t xml:space="preserve">Email: </w:t>
            </w:r>
            <w:hyperlink r:id="rId105" w:history="1">
              <w:r w:rsidRPr="008D770F">
                <w:rPr>
                  <w:rStyle w:val="Hyperlink"/>
                </w:rPr>
                <w:t>info@tga.gov.au</w:t>
              </w:r>
            </w:hyperlink>
            <w:r w:rsidR="00511EB7">
              <w:t xml:space="preserve"> </w:t>
            </w:r>
            <w:r w:rsidRPr="00487162">
              <w:t>Phone: 1800 020 653</w:t>
            </w:r>
            <w:r w:rsidR="00511EB7">
              <w:t xml:space="preserve"> </w:t>
            </w:r>
            <w:r w:rsidRPr="00487162">
              <w:t>Fax: 02 6232 8605</w:t>
            </w:r>
          </w:p>
          <w:p w:rsidR="00B3567E" w:rsidRPr="008D770F" w:rsidRDefault="00D1392B" w:rsidP="00FD22FB">
            <w:pPr>
              <w:pStyle w:val="Address"/>
              <w:spacing w:line="260" w:lineRule="atLeast"/>
              <w:rPr>
                <w:b/>
                <w:color w:val="0000FF"/>
                <w:u w:val="single"/>
              </w:rPr>
            </w:pPr>
            <w:hyperlink r:id="rId106" w:history="1">
              <w:r w:rsidR="00E979F4" w:rsidRPr="00FE02B1">
                <w:rPr>
                  <w:rStyle w:val="Hyperlink"/>
                  <w:b/>
                </w:rPr>
                <w:t>https://www.tga.gov.au</w:t>
              </w:r>
            </w:hyperlink>
          </w:p>
        </w:tc>
      </w:tr>
    </w:tbl>
    <w:p w:rsidR="00774E1D" w:rsidRPr="008A5E0B" w:rsidRDefault="00774E1D" w:rsidP="008A5E0B"/>
    <w:sectPr w:rsidR="00774E1D" w:rsidRPr="008A5E0B" w:rsidSect="00B3567E">
      <w:headerReference w:type="even" r:id="rId107"/>
      <w:headerReference w:type="default" r:id="rId108"/>
      <w:footerReference w:type="default" r:id="rId109"/>
      <w:headerReference w:type="first" r:id="rId110"/>
      <w:footerReference w:type="first" r:id="rId111"/>
      <w:pgSz w:w="11906" w:h="16838" w:code="9"/>
      <w:pgMar w:top="13609" w:right="1701" w:bottom="709" w:left="1701" w:header="907" w:footer="51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E4A33" w:rsidRDefault="003E4A33" w:rsidP="00C40A36">
      <w:pPr>
        <w:spacing w:after="0"/>
      </w:pPr>
      <w:r>
        <w:separator/>
      </w:r>
    </w:p>
  </w:endnote>
  <w:endnote w:type="continuationSeparator" w:id="0">
    <w:p w:rsidR="003E4A33" w:rsidRDefault="003E4A33"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Wingdings">
    <w:panose1 w:val="05000000000000000000"/>
    <w:charset w:val="02"/>
    <w:family w:val="auto"/>
    <w:pitch w:val="variable"/>
    <w:sig w:usb0="00000000" w:usb1="10000000" w:usb2="00000000" w:usb3="00000000" w:csb0="80000000" w:csb1="00000000"/>
  </w:font>
  <w:font w:name="Helv">
    <w:panose1 w:val="020B060402020203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Arial Unicode MS">
    <w:panose1 w:val="020B0604020202020204"/>
    <w:charset w:val="80"/>
    <w:family w:val="swiss"/>
    <w:pitch w:val="variable"/>
    <w:sig w:usb0="F7FFAFFF" w:usb1="E9DFFFFF" w:usb2="0000003F" w:usb3="00000000" w:csb0="003F01FF" w:csb1="00000000"/>
  </w:font>
  <w:font w:name="MingLiU">
    <w:altName w:val="細明體"/>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655"/>
      <w:gridCol w:w="1206"/>
    </w:tblGrid>
    <w:tr w:rsidR="003E4A33" w:rsidRPr="00487162" w:rsidTr="006E4954">
      <w:trPr>
        <w:trHeight w:val="269"/>
      </w:trPr>
      <w:tc>
        <w:tcPr>
          <w:tcW w:w="7655" w:type="dxa"/>
          <w:tcMar>
            <w:top w:w="142" w:type="dxa"/>
            <w:bottom w:w="0" w:type="dxa"/>
          </w:tcMar>
        </w:tcPr>
        <w:p w:rsidR="003E4A33" w:rsidRPr="00487162" w:rsidRDefault="003E4A33" w:rsidP="003E4A33">
          <w:pPr>
            <w:pStyle w:val="Footer"/>
          </w:pPr>
          <w:r>
            <w:t>Submission</w:t>
          </w:r>
          <w:r w:rsidRPr="00487162">
            <w:t xml:space="preserve"> PM-20</w:t>
          </w:r>
          <w:r>
            <w:t>15</w:t>
          </w:r>
          <w:r w:rsidRPr="00487162">
            <w:t>-</w:t>
          </w:r>
          <w:r>
            <w:t xml:space="preserve">00424-1-5 Extract from the Clinical Evaluation Report for </w:t>
          </w:r>
          <w:r w:rsidRPr="00EF78EF">
            <w:t xml:space="preserve">ORKAMBI 200/125 - Lumacaftor / Ivacaftor - Vertex Pharmaceuticals Australia Pty Ltd </w:t>
          </w:r>
          <w:r>
            <w:t>FINAL 8 September 2016</w:t>
          </w:r>
        </w:p>
      </w:tc>
      <w:tc>
        <w:tcPr>
          <w:tcW w:w="1206" w:type="dxa"/>
          <w:tcMar>
            <w:top w:w="142" w:type="dxa"/>
            <w:bottom w:w="0" w:type="dxa"/>
          </w:tcMar>
        </w:tcPr>
        <w:p w:rsidR="003E4A33" w:rsidRPr="00981D66" w:rsidRDefault="003E4A33"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D1392B">
            <w:rPr>
              <w:noProof/>
            </w:rPr>
            <w:t>9</w:t>
          </w:r>
          <w:r w:rsidRPr="00981D66">
            <w:fldChar w:fldCharType="end"/>
          </w:r>
          <w:r w:rsidRPr="00981D66">
            <w:t xml:space="preserve"> of </w:t>
          </w:r>
          <w:fldSimple w:instr=" NUMPAGES  \* Arabic  \* MERGEFORMAT ">
            <w:r w:rsidR="00D1392B">
              <w:rPr>
                <w:noProof/>
              </w:rPr>
              <w:t>156</w:t>
            </w:r>
          </w:fldSimple>
        </w:p>
      </w:tc>
    </w:tr>
  </w:tbl>
  <w:p w:rsidR="003E4A33" w:rsidRDefault="003E4A33" w:rsidP="0043797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3E4A33" w:rsidRPr="00487162" w:rsidTr="00E45619">
      <w:trPr>
        <w:trHeight w:val="269"/>
      </w:trPr>
      <w:tc>
        <w:tcPr>
          <w:tcW w:w="4519" w:type="dxa"/>
          <w:tcBorders>
            <w:top w:val="single" w:sz="4" w:space="0" w:color="auto"/>
          </w:tcBorders>
          <w:tcMar>
            <w:top w:w="142" w:type="dxa"/>
            <w:bottom w:w="0" w:type="dxa"/>
          </w:tcMar>
        </w:tcPr>
        <w:p w:rsidR="003E4A33" w:rsidRPr="00487162" w:rsidRDefault="003E4A33" w:rsidP="00FE1DEE">
          <w:pPr>
            <w:pStyle w:val="Footer"/>
          </w:pPr>
          <w:r w:rsidRPr="00487162">
            <w:t>Document title, Part #, Section # - Section title</w:t>
          </w:r>
        </w:p>
        <w:p w:rsidR="003E4A33" w:rsidRPr="00487162" w:rsidRDefault="003E4A33" w:rsidP="00FE1DEE">
          <w:pPr>
            <w:pStyle w:val="Footer"/>
          </w:pPr>
          <w:r w:rsidRPr="00487162">
            <w:t>V1.0 October 2010</w:t>
          </w:r>
        </w:p>
      </w:tc>
      <w:tc>
        <w:tcPr>
          <w:tcW w:w="4342" w:type="dxa"/>
          <w:tcBorders>
            <w:top w:val="single" w:sz="4" w:space="0" w:color="auto"/>
          </w:tcBorders>
          <w:tcMar>
            <w:top w:w="142" w:type="dxa"/>
            <w:bottom w:w="0" w:type="dxa"/>
          </w:tcMar>
        </w:tcPr>
        <w:p w:rsidR="003E4A33" w:rsidRPr="00487162" w:rsidRDefault="003E4A33"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r w:rsidR="00892601">
            <w:fldChar w:fldCharType="begin"/>
          </w:r>
          <w:r w:rsidR="00892601">
            <w:instrText xml:space="preserve"> NUMPAGES  </w:instrText>
          </w:r>
          <w:r w:rsidR="00892601">
            <w:fldChar w:fldCharType="separate"/>
          </w:r>
          <w:r>
            <w:rPr>
              <w:noProof/>
            </w:rPr>
            <w:t>3</w:t>
          </w:r>
          <w:r w:rsidR="00892601">
            <w:rPr>
              <w:noProof/>
            </w:rPr>
            <w:fldChar w:fldCharType="end"/>
          </w:r>
        </w:p>
      </w:tc>
    </w:tr>
  </w:tbl>
  <w:p w:rsidR="003E4A33" w:rsidRDefault="003E4A3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4A33" w:rsidRDefault="003E4A33" w:rsidP="008E7846">
    <w:pPr>
      <w:pStyle w:val="Note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3E4A33" w:rsidTr="0010601F">
      <w:trPr>
        <w:trHeight w:val="108"/>
      </w:trPr>
      <w:tc>
        <w:tcPr>
          <w:tcW w:w="8875" w:type="dxa"/>
          <w:gridSpan w:val="2"/>
          <w:tcBorders>
            <w:bottom w:val="single" w:sz="4" w:space="0" w:color="auto"/>
          </w:tcBorders>
          <w:tcMar>
            <w:right w:w="284" w:type="dxa"/>
          </w:tcMar>
        </w:tcPr>
        <w:p w:rsidR="003E4A33" w:rsidRDefault="003E4A33" w:rsidP="006E08B3">
          <w:pPr>
            <w:pStyle w:val="Heading3"/>
          </w:pPr>
          <w:r>
            <w:t>Copyright</w:t>
          </w:r>
        </w:p>
        <w:p w:rsidR="003E4A33" w:rsidRDefault="003E4A33" w:rsidP="006E08B3">
          <w:r>
            <w:rPr>
              <w:rFonts w:cs="Arial"/>
            </w:rPr>
            <w:t>©</w:t>
          </w:r>
          <w:r>
            <w:t xml:space="preserve"> Commonwealth of Australia [add year]</w:t>
          </w:r>
        </w:p>
        <w:p w:rsidR="003E4A33" w:rsidRDefault="003E4A33" w:rsidP="006E08B3"/>
        <w:p w:rsidR="003E4A33" w:rsidRDefault="003E4A33"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rsidR="003E4A33" w:rsidRDefault="003E4A33" w:rsidP="006E08B3"/>
        <w:p w:rsidR="003E4A33" w:rsidRDefault="003E4A33" w:rsidP="006E08B3">
          <w:pPr>
            <w:pStyle w:val="Heading3"/>
          </w:pPr>
          <w:r>
            <w:t>Confidentiality</w:t>
          </w:r>
        </w:p>
        <w:p w:rsidR="003E4A33" w:rsidRDefault="003E4A33"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rsidR="003E4A33" w:rsidRDefault="003E4A33" w:rsidP="006E08B3"/>
        <w:p w:rsidR="003E4A33" w:rsidRDefault="003E4A33" w:rsidP="006E08B3">
          <w:r>
            <w:t>For submission made by individuals, all personal details, other than your name, will be removed from your submission before it is published on the TGA’s Internet site.</w:t>
          </w:r>
        </w:p>
        <w:p w:rsidR="003E4A33" w:rsidRDefault="003E4A33" w:rsidP="006E08B3"/>
        <w:p w:rsidR="003E4A33" w:rsidRDefault="003E4A33" w:rsidP="006E08B3">
          <w:r>
            <w:t>In addition, a list of parties making submissions will be published. If you do not wish to be identified with your submission you must specifically request this in the space provided ib the submission coversheet.</w:t>
          </w:r>
        </w:p>
      </w:tc>
    </w:tr>
    <w:tr w:rsidR="003E4A33" w:rsidTr="0010601F">
      <w:trPr>
        <w:trHeight w:val="417"/>
      </w:trPr>
      <w:tc>
        <w:tcPr>
          <w:tcW w:w="4519" w:type="dxa"/>
          <w:tcBorders>
            <w:top w:val="single" w:sz="4" w:space="0" w:color="auto"/>
          </w:tcBorders>
          <w:tcMar>
            <w:top w:w="142" w:type="dxa"/>
            <w:bottom w:w="0" w:type="dxa"/>
          </w:tcMar>
        </w:tcPr>
        <w:p w:rsidR="003E4A33" w:rsidRDefault="003E4A33" w:rsidP="006E08B3">
          <w:r>
            <w:t>Document title, Part #, Section # - Section title</w:t>
          </w:r>
        </w:p>
        <w:p w:rsidR="003E4A33" w:rsidRDefault="003E4A33" w:rsidP="006E08B3">
          <w:r>
            <w:t>V1.0 October 2010</w:t>
          </w:r>
        </w:p>
      </w:tc>
      <w:tc>
        <w:tcPr>
          <w:tcW w:w="4356" w:type="dxa"/>
          <w:tcBorders>
            <w:top w:val="single" w:sz="4" w:space="0" w:color="auto"/>
          </w:tcBorders>
          <w:tcMar>
            <w:top w:w="142" w:type="dxa"/>
            <w:bottom w:w="0" w:type="dxa"/>
          </w:tcMar>
        </w:tcPr>
        <w:p w:rsidR="003E4A33" w:rsidRDefault="003E4A33"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rsidR="00892601">
            <w:fldChar w:fldCharType="begin"/>
          </w:r>
          <w:r w:rsidR="00892601">
            <w:instrText xml:space="preserve"> NUMPAGES  \* Arabic </w:instrText>
          </w:r>
          <w:r w:rsidR="00892601">
            <w:fldChar w:fldCharType="separate"/>
          </w:r>
          <w:r>
            <w:rPr>
              <w:noProof/>
            </w:rPr>
            <w:t>3</w:t>
          </w:r>
          <w:r w:rsidR="00892601">
            <w:rPr>
              <w:noProof/>
            </w:rPr>
            <w:fldChar w:fldCharType="end"/>
          </w:r>
          <w:r>
            <w:t xml:space="preserve"> </w:t>
          </w:r>
        </w:p>
      </w:tc>
    </w:tr>
  </w:tbl>
  <w:p w:rsidR="003E4A33" w:rsidRDefault="003E4A3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E4A33" w:rsidRDefault="003E4A33" w:rsidP="00C40A36">
      <w:pPr>
        <w:spacing w:after="0"/>
      </w:pPr>
      <w:r>
        <w:separator/>
      </w:r>
    </w:p>
  </w:footnote>
  <w:footnote w:type="continuationSeparator" w:id="0">
    <w:p w:rsidR="003E4A33" w:rsidRDefault="003E4A33" w:rsidP="00C40A36">
      <w:pPr>
        <w:spacing w:after="0"/>
      </w:pPr>
      <w:r>
        <w:continuationSeparator/>
      </w:r>
    </w:p>
  </w:footnote>
  <w:footnote w:id="1">
    <w:p w:rsidR="003E4A33" w:rsidRDefault="003E4A33" w:rsidP="005F7A8E">
      <w:pPr>
        <w:pStyle w:val="FootnoteText"/>
      </w:pPr>
      <w:r>
        <w:rPr>
          <w:rStyle w:val="FootnoteReference"/>
        </w:rPr>
        <w:footnoteRef/>
      </w:r>
      <w:r>
        <w:t xml:space="preserve"> </w:t>
      </w:r>
      <w:r w:rsidRPr="00A91223">
        <w:t>According to the eligibility criteria for Study 105, subjects who prematurely discontinued study drug treatment were only eligibl</w:t>
      </w:r>
      <w:r>
        <w:t>e for the Observational Cohort.</w:t>
      </w:r>
    </w:p>
  </w:footnote>
  <w:footnote w:id="2">
    <w:p w:rsidR="003E4A33" w:rsidRPr="005F7A8E" w:rsidRDefault="003E4A33" w:rsidP="005F7A8E">
      <w:pPr>
        <w:pStyle w:val="FootnoteText"/>
      </w:pPr>
      <w:r>
        <w:rPr>
          <w:rStyle w:val="FootnoteReference"/>
        </w:rPr>
        <w:footnoteRef/>
      </w:r>
      <w:r>
        <w:t xml:space="preserve"> </w:t>
      </w:r>
      <w:r w:rsidRPr="00F87564">
        <w:t>S</w:t>
      </w:r>
      <w:r w:rsidRPr="005F7A8E">
        <w:t>ubjects and all site personnel, including the investigator, site monitor, and study team were blinded, with some exceptions which are:</w:t>
      </w:r>
    </w:p>
    <w:p w:rsidR="003E4A33" w:rsidRPr="005F7A8E" w:rsidRDefault="003E4A33" w:rsidP="005F7A8E">
      <w:pPr>
        <w:pStyle w:val="FootnoteText"/>
      </w:pPr>
      <w:r w:rsidRPr="005F7A8E">
        <w:t>-Any site personnel for whom the information was important to ensure the safety of the subject in the event of a life-threatening medical emergency; -Any site personnel for whom the information was important to ensure the safety of the subject and their foetus in the event of a pregnancy; -Vertex Global Patient Safety (GPS) and Regulatory Affairs personnel to satisfy SAE processing and reporting regulations</w:t>
      </w:r>
    </w:p>
    <w:p w:rsidR="003E4A33" w:rsidRPr="005F7A8E" w:rsidRDefault="003E4A33" w:rsidP="005F7A8E">
      <w:pPr>
        <w:pStyle w:val="FootnoteText"/>
      </w:pPr>
      <w:r w:rsidRPr="005F7A8E">
        <w:t>- Unblinded statistician preparing the final (production) randomization list who was not part of the study team; -Vertex Clinical operations IWRS management; -Vertex Clinical Supply Chain; - DMC; - Vendor that prepared the unblinded analysis for the DMC; - Vendor that analysed PK samples; - Vendor that conducted the population PK analysis; - Vertex medical monitor was permitted to unblind individual subjects at any time for matters relating to safety concerns.</w:t>
      </w:r>
    </w:p>
  </w:footnote>
  <w:footnote w:id="3">
    <w:p w:rsidR="003E4A33" w:rsidRPr="00F87564" w:rsidRDefault="003E4A33" w:rsidP="005F7A8E">
      <w:pPr>
        <w:pStyle w:val="FootnoteText"/>
      </w:pPr>
      <w:r>
        <w:rPr>
          <w:rStyle w:val="FootnoteReference"/>
        </w:rPr>
        <w:footnoteRef/>
      </w:r>
      <w:r>
        <w:t xml:space="preserve"> </w:t>
      </w:r>
      <w:r w:rsidRPr="00F87564">
        <w:t>Subjects who had less than 80% compliance with study drug treatment.; Subject is not homozygous for the F508del-CFTR mutation.; Percent predicted FEV1 at Screening was not between 40 and 90, inclusive; Subject had an acute upper or lower respiratory infection,</w:t>
      </w:r>
      <w:r w:rsidRPr="00215AB0">
        <w:rPr>
          <w:sz w:val="22"/>
          <w:szCs w:val="22"/>
        </w:rPr>
        <w:t xml:space="preserve"> </w:t>
      </w:r>
      <w:r w:rsidRPr="00215AB0">
        <w:t>pulmonary exacerbation, or changes in therapy (including antibiotics) for pulmonary disease within 4 weeks before Day 1 (first dose of study drug); Subject had a history of solid organ or</w:t>
      </w:r>
      <w:r w:rsidRPr="00F87564">
        <w:t xml:space="preserve"> haematological transplantation; Subject participated in an investigational drug study (including studies investigating lumacaftor and/or ivacaftor) within 30 days of screening or during the study; Subject received prohibited medication that may have confounded efficacy results (as determined by case-by-case review of data); Subject did not provide any informed consent.</w:t>
      </w:r>
    </w:p>
  </w:footnote>
  <w:footnote w:id="4">
    <w:p w:rsidR="003E4A33" w:rsidRDefault="003E4A33" w:rsidP="005F7A8E">
      <w:pPr>
        <w:pStyle w:val="FootnoteText"/>
      </w:pPr>
      <w:r>
        <w:rPr>
          <w:rStyle w:val="FootnoteReference"/>
        </w:rPr>
        <w:footnoteRef/>
      </w:r>
      <w:r>
        <w:t xml:space="preserve"> </w:t>
      </w:r>
      <w:r w:rsidRPr="00AA5E22">
        <w:t>10 subjects discontinued the study before receiving their first dose</w:t>
      </w:r>
    </w:p>
  </w:footnote>
  <w:footnote w:id="5">
    <w:p w:rsidR="003E4A33" w:rsidRDefault="003E4A33" w:rsidP="005F7A8E">
      <w:pPr>
        <w:pStyle w:val="FootnoteText"/>
      </w:pPr>
      <w:r>
        <w:rPr>
          <w:rStyle w:val="FootnoteReference"/>
        </w:rPr>
        <w:footnoteRef/>
      </w:r>
      <w:r>
        <w:t xml:space="preserve"> </w:t>
      </w:r>
      <w:r w:rsidRPr="00AA5E22">
        <w:t>A minor protocol deviation was defined as an isolated or nonsystemic deviation from the protocol that does not present significant risk</w:t>
      </w:r>
    </w:p>
  </w:footnote>
  <w:footnote w:id="6">
    <w:p w:rsidR="003E4A33" w:rsidRDefault="003E4A33" w:rsidP="005F7A8E">
      <w:pPr>
        <w:pStyle w:val="FootnoteText"/>
      </w:pPr>
      <w:r>
        <w:rPr>
          <w:rStyle w:val="FootnoteReference"/>
        </w:rPr>
        <w:footnoteRef/>
      </w:r>
      <w:r>
        <w:t xml:space="preserve"> </w:t>
      </w:r>
      <w:r w:rsidRPr="004C09BF">
        <w:t>A major protocol deviation was defined as a significant deviation from the protocol that may put the subject's welfare or the product at significant risk</w:t>
      </w:r>
      <w:r>
        <w:t xml:space="preserve"> </w:t>
      </w:r>
    </w:p>
  </w:footnote>
  <w:footnote w:id="7">
    <w:p w:rsidR="003E4A33" w:rsidRPr="00D933A6" w:rsidRDefault="003E4A33" w:rsidP="005F7A8E">
      <w:pPr>
        <w:pStyle w:val="FootnoteText"/>
      </w:pPr>
      <w:r>
        <w:rPr>
          <w:rStyle w:val="FootnoteReference"/>
        </w:rPr>
        <w:footnoteRef/>
      </w:r>
      <w:r>
        <w:t xml:space="preserve"> </w:t>
      </w:r>
      <w:r w:rsidRPr="00D933A6">
        <w:t>Overall study drug compliance (%) was defined as the ratio of the total number of days study drug was not interrupted to the duration of study drug exposure, expressed as a percentage</w:t>
      </w:r>
    </w:p>
  </w:footnote>
  <w:footnote w:id="8">
    <w:p w:rsidR="003E4A33" w:rsidRPr="00D933A6" w:rsidRDefault="003E4A33" w:rsidP="005F7A8E">
      <w:pPr>
        <w:pStyle w:val="FootnoteText"/>
      </w:pPr>
      <w:r>
        <w:rPr>
          <w:rStyle w:val="FootnoteReference"/>
        </w:rPr>
        <w:footnoteRef/>
      </w:r>
      <w:r>
        <w:t xml:space="preserve"> </w:t>
      </w:r>
      <w:r w:rsidRPr="00D933A6">
        <w:t>In the first sensitivity analysis, the MMRM approach described for the primary analysis was repeated using on-treatment measurements only. In the second sensitivity analysis, the impact of missing data was assessed using an ANCOVA model with missing data imputed using MI.</w:t>
      </w:r>
    </w:p>
  </w:footnote>
  <w:footnote w:id="9">
    <w:p w:rsidR="003E4A33" w:rsidRPr="00D933A6" w:rsidRDefault="003E4A33" w:rsidP="005F7A8E">
      <w:pPr>
        <w:pStyle w:val="FootnoteText"/>
      </w:pPr>
      <w:r>
        <w:rPr>
          <w:rStyle w:val="FootnoteReference"/>
        </w:rPr>
        <w:footnoteRef/>
      </w:r>
      <w:r>
        <w:t xml:space="preserve"> </w:t>
      </w:r>
      <w:r w:rsidRPr="00D933A6">
        <w:t>For subjects who had multiple occurrences of the same clinical event, the durations of all occurrences were included in calculating the total duration for each subject. The total duration was normal</w:t>
      </w:r>
      <w:r>
        <w:t>ise</w:t>
      </w:r>
      <w:r w:rsidRPr="00D933A6">
        <w:t xml:space="preserve">d for the time spent in the study by multiplying the observed percent of days with event by the expected total study days. </w:t>
      </w:r>
    </w:p>
  </w:footnote>
  <w:footnote w:id="10">
    <w:p w:rsidR="003E4A33" w:rsidRPr="00D933A6" w:rsidRDefault="003E4A33" w:rsidP="005F7A8E">
      <w:pPr>
        <w:pStyle w:val="FootnoteText"/>
      </w:pPr>
      <w:r w:rsidRPr="00D933A6">
        <w:rPr>
          <w:rStyle w:val="FootnoteReference"/>
          <w:szCs w:val="18"/>
        </w:rPr>
        <w:footnoteRef/>
      </w:r>
      <w:r w:rsidRPr="00D933A6">
        <w:t xml:space="preserve"> Response defined as ≥</w:t>
      </w:r>
      <w:r>
        <w:t xml:space="preserve"> </w:t>
      </w:r>
      <w:r w:rsidRPr="00D933A6">
        <w:t>0.10 L and ≥</w:t>
      </w:r>
      <w:r>
        <w:t xml:space="preserve"> </w:t>
      </w:r>
      <w:r w:rsidRPr="00D933A6">
        <w:t>0.15 L increase in absolute change from baseline in FEV1 Or a ≥</w:t>
      </w:r>
      <w:r>
        <w:t xml:space="preserve"> </w:t>
      </w:r>
      <w:r w:rsidRPr="00D933A6">
        <w:t>5% and ≥</w:t>
      </w:r>
      <w:r>
        <w:t xml:space="preserve"> </w:t>
      </w:r>
      <w:r w:rsidRPr="00D933A6">
        <w:t xml:space="preserve">10% increase in relative change from baseline in FEV1 at each visit </w:t>
      </w:r>
    </w:p>
  </w:footnote>
  <w:footnote w:id="11">
    <w:p w:rsidR="003E4A33" w:rsidRPr="00D933A6" w:rsidRDefault="003E4A33" w:rsidP="005F7A8E">
      <w:pPr>
        <w:pStyle w:val="FootnoteText"/>
      </w:pPr>
      <w:r w:rsidRPr="00D933A6">
        <w:rPr>
          <w:rStyle w:val="FootnoteReference"/>
          <w:szCs w:val="18"/>
        </w:rPr>
        <w:footnoteRef/>
      </w:r>
      <w:r w:rsidRPr="00D933A6">
        <w:t xml:space="preserve"> Response defined as ≥</w:t>
      </w:r>
      <w:r>
        <w:t xml:space="preserve"> </w:t>
      </w:r>
      <w:r w:rsidRPr="00D933A6">
        <w:t>0.5 kg/m</w:t>
      </w:r>
      <w:r w:rsidRPr="00D933A6">
        <w:rPr>
          <w:vertAlign w:val="superscript"/>
        </w:rPr>
        <w:t>2</w:t>
      </w:r>
      <w:r w:rsidRPr="00D933A6">
        <w:t xml:space="preserve"> increase in absolute change from baseline in BMI at each visit </w:t>
      </w:r>
    </w:p>
  </w:footnote>
  <w:footnote w:id="12">
    <w:p w:rsidR="003E4A33" w:rsidRPr="00D933A6" w:rsidRDefault="003E4A33" w:rsidP="005F7A8E">
      <w:pPr>
        <w:pStyle w:val="FootnoteText"/>
      </w:pPr>
      <w:r w:rsidRPr="00D933A6">
        <w:rPr>
          <w:rStyle w:val="FootnoteReference"/>
          <w:szCs w:val="18"/>
        </w:rPr>
        <w:footnoteRef/>
      </w:r>
      <w:r w:rsidRPr="00D933A6">
        <w:t xml:space="preserve"> Response defined as ≥</w:t>
      </w:r>
      <w:r>
        <w:t xml:space="preserve"> </w:t>
      </w:r>
      <w:r w:rsidRPr="00D933A6">
        <w:t xml:space="preserve">1 kg increase in absolute change from baseline in weight at each visit </w:t>
      </w:r>
    </w:p>
  </w:footnote>
  <w:footnote w:id="13">
    <w:p w:rsidR="003E4A33" w:rsidRPr="00D933A6" w:rsidRDefault="003E4A33" w:rsidP="005F7A8E">
      <w:pPr>
        <w:pStyle w:val="FootnoteText"/>
      </w:pPr>
      <w:r w:rsidRPr="00D933A6">
        <w:rPr>
          <w:rStyle w:val="FootnoteReference"/>
          <w:szCs w:val="18"/>
        </w:rPr>
        <w:footnoteRef/>
      </w:r>
      <w:r w:rsidRPr="00D933A6">
        <w:t xml:space="preserve"> Response defined as ≥</w:t>
      </w:r>
      <w:r>
        <w:t xml:space="preserve"> </w:t>
      </w:r>
      <w:r w:rsidRPr="00D933A6">
        <w:t xml:space="preserve">4 point increase in absolute change from baseline in pooled (Children Ages 12 and 13 Version and Adolescents and Adults Version) CFQ-R respiratory domain score at each visit </w:t>
      </w:r>
    </w:p>
  </w:footnote>
  <w:footnote w:id="14">
    <w:p w:rsidR="003E4A33" w:rsidRPr="000B5385" w:rsidRDefault="003E4A33" w:rsidP="005F7A8E">
      <w:pPr>
        <w:pStyle w:val="FootnoteText"/>
      </w:pPr>
      <w:r>
        <w:rPr>
          <w:rStyle w:val="FootnoteReference"/>
        </w:rPr>
        <w:footnoteRef/>
      </w:r>
      <w:r>
        <w:t xml:space="preserve"> </w:t>
      </w:r>
      <w:r w:rsidRPr="000B5385">
        <w:t>In the first sensitivity analysis, the MMRM approach described for the primary analysis was repeated using on-treatment measurements only. In the second sensitivity analysis, the impact of missing data was assessed using an ANCOVA model wit</w:t>
      </w:r>
      <w:r>
        <w:t>h missing data imputed using MI</w:t>
      </w:r>
    </w:p>
  </w:footnote>
  <w:footnote w:id="15">
    <w:p w:rsidR="003E4A33" w:rsidRPr="00307E0C" w:rsidRDefault="003E4A33" w:rsidP="005F7A8E">
      <w:pPr>
        <w:pStyle w:val="FootnoteText"/>
      </w:pPr>
      <w:r w:rsidRPr="00307E0C">
        <w:rPr>
          <w:rStyle w:val="FootnoteReference"/>
        </w:rPr>
        <w:footnoteRef/>
      </w:r>
      <w:r w:rsidRPr="00307E0C">
        <w:t xml:space="preserve"> Subjects who received lumacaftor in combination with ivacaftor in Cohort 4 of Study 102 continued to receive the same dose and regimen of study drug, as follows</w:t>
      </w:r>
      <w:proofErr w:type="gramStart"/>
      <w:r w:rsidRPr="00307E0C">
        <w:t>:-</w:t>
      </w:r>
      <w:proofErr w:type="gramEnd"/>
      <w:r w:rsidRPr="00307E0C">
        <w:t xml:space="preserve"> Subjects who received active study drug in Cohort 4 of Study 102 were assigned to Treatment Group 3; Subjects who received placebo in Cohort 4 of Study 102 were assigned to Treatment Group 3</w:t>
      </w:r>
      <w:r>
        <w:t>.</w:t>
      </w:r>
    </w:p>
  </w:footnote>
  <w:footnote w:id="16">
    <w:p w:rsidR="003E4A33" w:rsidRPr="00307E0C" w:rsidRDefault="003E4A33" w:rsidP="005F7A8E">
      <w:pPr>
        <w:pStyle w:val="FootnoteText"/>
      </w:pPr>
      <w:r w:rsidRPr="00307E0C">
        <w:rPr>
          <w:rStyle w:val="FootnoteReference"/>
        </w:rPr>
        <w:footnoteRef/>
      </w:r>
      <w:r w:rsidRPr="00307E0C">
        <w:t xml:space="preserve"> </w:t>
      </w:r>
      <w:proofErr w:type="gramStart"/>
      <w:r w:rsidRPr="00307E0C">
        <w:t>subjects</w:t>
      </w:r>
      <w:proofErr w:type="gramEnd"/>
      <w:r w:rsidRPr="00307E0C">
        <w:t xml:space="preserve"> who had study drug interruptions were also allowed but they must have completed study visits up to Week 24 of Study 103 or Study 104. Subjects who had study drug interruptions at the Week 24 Visit were required to have their enrolment approved by Vertex.</w:t>
      </w:r>
    </w:p>
  </w:footnote>
  <w:footnote w:id="17">
    <w:p w:rsidR="003E4A33" w:rsidRPr="00583DB8" w:rsidRDefault="003E4A33" w:rsidP="005F7A8E">
      <w:pPr>
        <w:pStyle w:val="FootnoteText"/>
      </w:pPr>
      <w:r>
        <w:rPr>
          <w:rStyle w:val="FootnoteReference"/>
        </w:rPr>
        <w:footnoteRef/>
      </w:r>
      <w:r>
        <w:t xml:space="preserve"> </w:t>
      </w:r>
      <w:r w:rsidRPr="00583DB8">
        <w:t xml:space="preserve">Subjects who received at least 4 weeks of study drug in Study 103 or Study 104 and completed visits up to Week 24 but did not take study drug at Week 24 because of a drug interruption and did not receive approval from Vertex to enrol </w:t>
      </w:r>
      <w:r>
        <w:t>in the Part A Treatment Cohort.</w:t>
      </w:r>
    </w:p>
    <w:p w:rsidR="003E4A33" w:rsidRDefault="003E4A33" w:rsidP="005F7A8E">
      <w:pPr>
        <w:pStyle w:val="FootnoteText"/>
      </w:pPr>
      <w:r w:rsidRPr="00583DB8">
        <w:t>Subjects who permanently discontinued study drug after receiving at least 4 weeks of study drug in Study 103 or Study 104 and remained in the study from the time of discontinuation of study drug treatment through the Week 24 Visit</w:t>
      </w:r>
      <w:r>
        <w:t>.</w:t>
      </w:r>
    </w:p>
  </w:footnote>
  <w:footnote w:id="18">
    <w:p w:rsidR="003E4A33" w:rsidRPr="00583DB8" w:rsidRDefault="003E4A33" w:rsidP="005F7A8E">
      <w:pPr>
        <w:pStyle w:val="FootnoteText"/>
      </w:pPr>
      <w:r>
        <w:rPr>
          <w:rStyle w:val="FootnoteReference"/>
        </w:rPr>
        <w:footnoteRef/>
      </w:r>
      <w:r>
        <w:t xml:space="preserve"> </w:t>
      </w:r>
      <w:r w:rsidRPr="00583DB8">
        <w:t>Part B Treatment Cohort Subjects who had study drug interruptions were also allowed but they must have completed study visits up to Day 56 of Study 102. Subjects who had study drug interruptions at the Day 56 Visit were required to have their enrolment approved by Vertex.</w:t>
      </w:r>
    </w:p>
  </w:footnote>
  <w:footnote w:id="19">
    <w:p w:rsidR="003E4A33" w:rsidRDefault="003E4A33" w:rsidP="005F7A8E">
      <w:pPr>
        <w:pStyle w:val="FootnoteText"/>
      </w:pPr>
      <w:r>
        <w:rPr>
          <w:rStyle w:val="FootnoteReference"/>
        </w:rPr>
        <w:footnoteRef/>
      </w:r>
      <w:r>
        <w:t xml:space="preserve"> </w:t>
      </w:r>
      <w:r w:rsidRPr="001A55D7">
        <w:t xml:space="preserve">The Part </w:t>
      </w:r>
      <w:proofErr w:type="gramStart"/>
      <w:r w:rsidRPr="001A55D7">
        <w:t>A</w:t>
      </w:r>
      <w:proofErr w:type="gramEnd"/>
      <w:r w:rsidRPr="001A55D7">
        <w:t xml:space="preserve"> LTSS was used for defined long-term safety analyses. For subjects receiving study drug from more than 1 treatment group during the study, the treatment group allocation for the as-treated analysis was the lower dose of the active treatments assigned. LUM 600 mg qd + IVA 250 mg q12h was considered a lower dose than LUM 400 mg q12h + IVA 250 mg q12h.</w:t>
      </w:r>
    </w:p>
  </w:footnote>
  <w:footnote w:id="20">
    <w:p w:rsidR="003E4A33" w:rsidRDefault="003E4A33" w:rsidP="005F7A8E">
      <w:pPr>
        <w:pStyle w:val="FootnoteText"/>
      </w:pPr>
      <w:r>
        <w:rPr>
          <w:rStyle w:val="FootnoteReference"/>
        </w:rPr>
        <w:footnoteRef/>
      </w:r>
      <w:r>
        <w:t xml:space="preserve"> </w:t>
      </w:r>
      <w:r w:rsidRPr="00F52CF2">
        <w:t>Regulatory advice on the cli</w:t>
      </w:r>
      <w:r w:rsidRPr="005F7A8E">
        <w:t>nical development plan and the designs for Studies 103 and 104 was sought from regulatory authorities in the U</w:t>
      </w:r>
      <w:r w:rsidRPr="00F52CF2">
        <w:t>S and EU.</w:t>
      </w:r>
    </w:p>
  </w:footnote>
  <w:footnote w:id="21">
    <w:p w:rsidR="003E4A33" w:rsidRDefault="003E4A33" w:rsidP="005F7A8E">
      <w:pPr>
        <w:pStyle w:val="FootnoteText"/>
      </w:pPr>
      <w:r>
        <w:rPr>
          <w:rStyle w:val="FootnoteReference"/>
        </w:rPr>
        <w:footnoteRef/>
      </w:r>
      <w:r>
        <w:t xml:space="preserve"> </w:t>
      </w:r>
      <w:r w:rsidRPr="00BD7931">
        <w:t xml:space="preserve">AEs were classified using MedDRA preferred terms and coded consistently across studies using Version 16.1 for </w:t>
      </w:r>
      <w:r>
        <w:t>Phase I</w:t>
      </w:r>
      <w:r w:rsidRPr="00BD7931">
        <w:t xml:space="preserve"> ISS studies and Ve</w:t>
      </w:r>
      <w:r w:rsidRPr="005F7A8E">
        <w:t>rsion 17.0 for the Phase III ISS studies. When summarizing the number and percentages of subjects, subjects with mu</w:t>
      </w:r>
      <w:r w:rsidRPr="00BD7931">
        <w:t>ltiple occurrences of the same adverse event or a continuing adverse event were counted once. Only the maximum severity level was presented in the severity summaries, and only the worst/highest relationship level was presented in the relationship summaries.</w:t>
      </w:r>
    </w:p>
  </w:footnote>
  <w:footnote w:id="22">
    <w:p w:rsidR="003E4A33" w:rsidRPr="001A3AFD" w:rsidRDefault="003E4A33" w:rsidP="005F7A8E">
      <w:pPr>
        <w:pStyle w:val="FootnoteText"/>
      </w:pPr>
      <w:r>
        <w:rPr>
          <w:rStyle w:val="FootnoteReference"/>
        </w:rPr>
        <w:footnoteRef/>
      </w:r>
      <w:r>
        <w:t xml:space="preserve"> </w:t>
      </w:r>
      <w:r w:rsidRPr="001A3AFD">
        <w:t xml:space="preserve">Many of the </w:t>
      </w:r>
      <w:r>
        <w:t>Phase I</w:t>
      </w:r>
      <w:r w:rsidRPr="001A3AFD">
        <w:t xml:space="preserve"> studies in the pooled analyses were crossover studies with multiple treatment periods, where a subject either received different dose levels of lumacaftor, or received lumacaftor monotherapy in 1 period and lumacaftor with a co-administered drug (</w:t>
      </w:r>
      <w:r>
        <w:t>for example,</w:t>
      </w:r>
      <w:r w:rsidRPr="001A3AFD">
        <w:t xml:space="preserve"> ivacaftor or a DDI drug) in another period. Therefore, subjects may be included in more than 1 treatment group.</w:t>
      </w:r>
    </w:p>
  </w:footnote>
  <w:footnote w:id="23">
    <w:p w:rsidR="003E4A33" w:rsidRPr="00544646" w:rsidRDefault="003E4A33" w:rsidP="005F7A8E">
      <w:pPr>
        <w:pStyle w:val="FootnoteText"/>
      </w:pPr>
      <w:r>
        <w:rPr>
          <w:rStyle w:val="FootnoteReference"/>
        </w:rPr>
        <w:footnoteRef/>
      </w:r>
      <w:r>
        <w:t xml:space="preserve"> </w:t>
      </w:r>
      <w:r w:rsidRPr="00544646">
        <w:t>The pooled ‘Any LUM’ group includes all subjects who received at least 1 dose of lumacaftor monotherapy or lumacaftor co-administered with another drug. Exposure to study drug was defined for each treatment arm as the cumulative days of dosing (last dose date minus first dose date plus 1 day). The duration of exposure differed across studies.</w:t>
      </w:r>
    </w:p>
  </w:footnote>
  <w:footnote w:id="24">
    <w:p w:rsidR="003E4A33" w:rsidRPr="003A21E2" w:rsidRDefault="003E4A33" w:rsidP="005F7A8E">
      <w:pPr>
        <w:pStyle w:val="FootnoteText"/>
      </w:pPr>
      <w:r>
        <w:rPr>
          <w:rStyle w:val="FootnoteReference"/>
        </w:rPr>
        <w:footnoteRef/>
      </w:r>
      <w:r>
        <w:t xml:space="preserve"> </w:t>
      </w:r>
      <w:r w:rsidRPr="003A21E2">
        <w:t>One subject from the LUM 400 mg q12h/IVA 250 mg q12h group of Study 103 rolled over into Study 105 and had an SAE (infective pulmonary exacerbation of cystic fibrosis) with fatal outcome approximately 1 year after starting study drug. This event was considered unrelated to study drug by the investigator.</w:t>
      </w:r>
    </w:p>
  </w:footnote>
  <w:footnote w:id="25">
    <w:p w:rsidR="003E4A33" w:rsidRDefault="003E4A33" w:rsidP="005F7A8E">
      <w:pPr>
        <w:pStyle w:val="FootnoteText"/>
      </w:pPr>
      <w:r>
        <w:rPr>
          <w:rStyle w:val="FootnoteReference"/>
        </w:rPr>
        <w:footnoteRef/>
      </w:r>
      <w:r>
        <w:t xml:space="preserve"> </w:t>
      </w:r>
      <w:r w:rsidRPr="003A21E2">
        <w:t>The subject had a life-threatening adverse event of pulmonary exacerbation on Day 344. The event was considered not related to the study drug by the investigator. Study drug was withdrawn due the adverse event. On Day 366, the subject died due to respiratory failure</w:t>
      </w:r>
      <w:r>
        <w:t>.</w:t>
      </w:r>
    </w:p>
  </w:footnote>
  <w:footnote w:id="26">
    <w:p w:rsidR="003E4A33" w:rsidRPr="00374CC3" w:rsidRDefault="003E4A33" w:rsidP="005F7A8E">
      <w:pPr>
        <w:pStyle w:val="FootnoteText"/>
      </w:pPr>
      <w:r>
        <w:rPr>
          <w:rStyle w:val="FootnoteReference"/>
        </w:rPr>
        <w:footnoteRef/>
      </w:r>
      <w:r>
        <w:t xml:space="preserve"> </w:t>
      </w:r>
      <w:r w:rsidRPr="00374CC3">
        <w:t>The subject (32 year old, white male) was in the LUM 400 mg q12h/ IVA 250 mg q12h group and had an asymptomatic electrocardiogram T wave inversion considered pos</w:t>
      </w:r>
      <w:r>
        <w:t xml:space="preserve">sibly related to study drug. The </w:t>
      </w:r>
      <w:r w:rsidRPr="00374CC3">
        <w:t>event occurred 168 days after the first dose of study drug and 1 day after the last dose of study drug. No treatment was administered for the event, which was found to be resolved at a safety follow-up visit 7 days after the event started. The subject enrolled in Study 105 and continued receiving treatment with the LUM 400 mg q12h/IVA 250 mg q12h.</w:t>
      </w:r>
    </w:p>
  </w:footnote>
  <w:footnote w:id="27">
    <w:p w:rsidR="003E4A33" w:rsidRDefault="003E4A33" w:rsidP="005F7A8E">
      <w:pPr>
        <w:pStyle w:val="FootnoteText"/>
      </w:pPr>
      <w:r>
        <w:rPr>
          <w:rStyle w:val="FootnoteReference"/>
        </w:rPr>
        <w:footnoteRef/>
      </w:r>
      <w:r>
        <w:t xml:space="preserve"> </w:t>
      </w:r>
      <w:r w:rsidRPr="00374CC3">
        <w:t>The subject was in the LUM 600 mg qd/IVA 250 mg q12h group and had tachycardia of moderate severity that led to treatment discontinuation</w:t>
      </w:r>
      <w:r>
        <w:t>.</w:t>
      </w:r>
    </w:p>
  </w:footnote>
  <w:footnote w:id="28">
    <w:p w:rsidR="003E4A33" w:rsidRDefault="003E4A33" w:rsidP="005F7A8E">
      <w:pPr>
        <w:pStyle w:val="FootnoteText"/>
      </w:pPr>
      <w:r>
        <w:rPr>
          <w:rStyle w:val="FootnoteReference"/>
        </w:rPr>
        <w:footnoteRef/>
      </w:r>
      <w:r>
        <w:t xml:space="preserve"> </w:t>
      </w:r>
      <w:r w:rsidRPr="00AD0CF3">
        <w:t>2 AESI categories (respiratory symptoms and reactive airways) were created to evaluate respiratory adverse events</w:t>
      </w:r>
      <w:r>
        <w:t>.</w:t>
      </w:r>
    </w:p>
  </w:footnote>
  <w:footnote w:id="29">
    <w:p w:rsidR="003E4A33" w:rsidRPr="002367AA" w:rsidRDefault="003E4A33" w:rsidP="00537390">
      <w:pPr>
        <w:pStyle w:val="FootnoteText"/>
      </w:pPr>
      <w:r>
        <w:rPr>
          <w:rStyle w:val="FootnoteReference"/>
        </w:rPr>
        <w:footnoteRef/>
      </w:r>
      <w:r>
        <w:t xml:space="preserve"> </w:t>
      </w:r>
      <w:r w:rsidRPr="002367AA">
        <w:t xml:space="preserve">An increased incidence of several individual events related to menstrual cycles was noted during review of data from the pooled placebo-controlled </w:t>
      </w:r>
      <w:r>
        <w:t>Phase III</w:t>
      </w:r>
      <w:r w:rsidRPr="002367AA">
        <w:t xml:space="preserve"> studies. An ad hoc custom MedDRA query (CMQ) was defined using the following PTs from the System Organ Class (SOC) of ‘Reproductive and Breast System Disorders’ and ‘Endocrine Disorders’:- Abnormal withdrawal bleeding, Early menarche; Menstruation irregular; Amenorrhea; Hypomenorrhea; Metrorrhagia; Bleeding anovulatory; Menometrorrhagia; Oligomenorrhea; Delayed menarche; Menorrhagia; Polymenorrhagia; Dysfunctional uterine bleeding; Menstrual discomfort; Polymenorrhea, Dysmenorrhea; Menstrual disorder; Premature menopause; Menstruation delayed. The incidence of menstrual abnormalities was summar</w:t>
      </w:r>
      <w:r>
        <w:t>ise</w:t>
      </w:r>
      <w:r w:rsidRPr="002367AA">
        <w:t>d for female subjects by treatment group and hormonal contraceptive use during the treatment-emergent period.</w:t>
      </w:r>
    </w:p>
  </w:footnote>
  <w:footnote w:id="30">
    <w:p w:rsidR="003E4A33" w:rsidRPr="00081B82" w:rsidRDefault="003E4A33" w:rsidP="005F7A8E">
      <w:pPr>
        <w:pStyle w:val="FootnoteText"/>
      </w:pPr>
      <w:r>
        <w:rPr>
          <w:rStyle w:val="FootnoteReference"/>
        </w:rPr>
        <w:footnoteRef/>
      </w:r>
      <w:r>
        <w:t xml:space="preserve"> </w:t>
      </w:r>
      <w:r w:rsidRPr="00081B82">
        <w:t>The patient reporting SAE of hepatic encephalop</w:t>
      </w:r>
      <w:r>
        <w:t xml:space="preserve">athy (mentioned above) was a 25 </w:t>
      </w:r>
      <w:r w:rsidRPr="00081B82">
        <w:t xml:space="preserve">yearold male with a CF related liver cirrhosis, portal hypertension, splenomegaly, and thrombocytopenia. </w:t>
      </w:r>
      <w:proofErr w:type="gramStart"/>
      <w:r w:rsidRPr="00081B82">
        <w:t>After 6 days of lumacaftor plus ivacaftor combination product treatment, the patient presented to ER with disorientation.</w:t>
      </w:r>
      <w:proofErr w:type="gramEnd"/>
      <w:r w:rsidRPr="00081B82">
        <w:t xml:space="preserve"> Laboratory evaluation showed elevated transaminases and increased ammonia level, but bilirubin level was not reported. The patients improved over approximately a week on in hospital treatment. Based on the available information, causality to treatment cannot be assessed, but it is possible that the treatment could have contributed to hepatic decompensation.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4A33" w:rsidRDefault="003E4A33" w:rsidP="00E45619">
    <w:pPr>
      <w:pStyle w:val="Header"/>
    </w:pPr>
    <w:r>
      <w:t>Therapeutic Goods Administration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4A33" w:rsidRDefault="003E4A33">
    <w:pPr>
      <w:rPr>
        <w:noProof/>
        <w:lang w:eastAsia="en-AU"/>
      </w:rPr>
    </w:pPr>
    <w:r w:rsidRPr="002D545C">
      <w:rPr>
        <w:noProof/>
        <w:lang w:eastAsia="en-AU"/>
      </w:rPr>
      <w:drawing>
        <wp:anchor distT="0" distB="0" distL="114300" distR="114300" simplePos="0" relativeHeight="251659264" behindDoc="1" locked="0" layoutInCell="1" allowOverlap="1" wp14:anchorId="0B1652E7" wp14:editId="727720A3">
          <wp:simplePos x="0" y="0"/>
          <wp:positionH relativeFrom="column">
            <wp:posOffset>-1089660</wp:posOffset>
          </wp:positionH>
          <wp:positionV relativeFrom="paragraph">
            <wp:posOffset>-585470</wp:posOffset>
          </wp:positionV>
          <wp:extent cx="7572375" cy="10706100"/>
          <wp:effectExtent l="19050" t="0" r="0" b="0"/>
          <wp:wrapNone/>
          <wp:docPr id="2"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68736" cy="10706100"/>
                  </a:xfrm>
                  <a:prstGeom prst="rect">
                    <a:avLst/>
                  </a:prstGeom>
                </pic:spPr>
              </pic:pic>
            </a:graphicData>
          </a:graphic>
        </wp:anchor>
      </w:drawing>
    </w:r>
  </w:p>
  <w:p w:rsidR="003E4A33" w:rsidRDefault="003E4A33" w:rsidP="00593AD1">
    <w:pPr>
      <w:pStyle w:val="HeaderNoLine"/>
    </w:pPr>
    <w:r>
      <w:rPr>
        <w:noProof/>
        <w:lang w:eastAsia="en-AU"/>
      </w:rPr>
      <w:drawing>
        <wp:inline distT="0" distB="0" distL="0" distR="0" wp14:anchorId="5F2BFA4F" wp14:editId="352E9486">
          <wp:extent cx="5400675" cy="7639050"/>
          <wp:effectExtent l="0" t="0" r="9525" b="0"/>
          <wp:docPr id="1" name="Picture 1" descr="Light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blu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4A33" w:rsidRDefault="003E4A33">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4A33" w:rsidRDefault="003E4A33">
    <w:pPr>
      <w:pStyle w:val="Header"/>
    </w:pPr>
    <w:r>
      <w:t>Therapeutic Goods Administration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4A33" w:rsidRDefault="003E4A33">
    <w:pPr>
      <w:pStyle w:val="Header"/>
    </w:pPr>
    <w:r>
      <w:t>Therapeutic Goods Administration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4A33" w:rsidRDefault="003E4A33">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4A33" w:rsidRDefault="003E4A33" w:rsidP="008D770F">
    <w:pPr>
      <w:pStyle w:val="HeaderNoLin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4A33" w:rsidRDefault="003E4A33" w:rsidP="006E08B3">
    <w:r>
      <w:t>Therapeutic Goods Administration</w:t>
    </w:r>
  </w:p>
  <w:p w:rsidR="003E4A33" w:rsidRDefault="003E4A33"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406830BE"/>
    <w:lvl w:ilvl="0">
      <w:start w:val="1"/>
      <w:numFmt w:val="bullet"/>
      <w:lvlText w:val=""/>
      <w:lvlJc w:val="left"/>
      <w:pPr>
        <w:tabs>
          <w:tab w:val="num" w:pos="926"/>
        </w:tabs>
        <w:ind w:left="926" w:hanging="360"/>
      </w:pPr>
      <w:rPr>
        <w:rFonts w:ascii="Symbol" w:hAnsi="Symbol" w:hint="default"/>
      </w:rPr>
    </w:lvl>
  </w:abstractNum>
  <w:abstractNum w:abstractNumId="1">
    <w:nsid w:val="FFFFFF83"/>
    <w:multiLevelType w:val="singleLevel"/>
    <w:tmpl w:val="A04AD474"/>
    <w:lvl w:ilvl="0">
      <w:start w:val="1"/>
      <w:numFmt w:val="bullet"/>
      <w:lvlText w:val="–"/>
      <w:lvlJc w:val="left"/>
      <w:pPr>
        <w:ind w:left="643" w:hanging="360"/>
      </w:pPr>
      <w:rPr>
        <w:rFonts w:ascii="Arial" w:hAnsi="Arial" w:hint="default"/>
      </w:rPr>
    </w:lvl>
  </w:abstractNum>
  <w:abstractNum w:abstractNumId="2">
    <w:nsid w:val="FFFFFF89"/>
    <w:multiLevelType w:val="singleLevel"/>
    <w:tmpl w:val="B4DCD8A8"/>
    <w:lvl w:ilvl="0">
      <w:start w:val="1"/>
      <w:numFmt w:val="bullet"/>
      <w:lvlText w:val=""/>
      <w:lvlJc w:val="left"/>
      <w:pPr>
        <w:tabs>
          <w:tab w:val="num" w:pos="360"/>
        </w:tabs>
        <w:ind w:left="360" w:hanging="360"/>
      </w:pPr>
      <w:rPr>
        <w:rFonts w:ascii="Symbol" w:hAnsi="Symbol" w:hint="default"/>
      </w:rPr>
    </w:lvl>
  </w:abstractNum>
  <w:abstractNum w:abstractNumId="3">
    <w:nsid w:val="FFFFFFFE"/>
    <w:multiLevelType w:val="singleLevel"/>
    <w:tmpl w:val="B8320B0A"/>
    <w:lvl w:ilvl="0">
      <w:numFmt w:val="bullet"/>
      <w:lvlText w:val="*"/>
      <w:lvlJc w:val="left"/>
    </w:lvl>
  </w:abstractNum>
  <w:abstractNum w:abstractNumId="4">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5">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6">
    <w:nsid w:val="3CDE52D0"/>
    <w:multiLevelType w:val="hybridMultilevel"/>
    <w:tmpl w:val="BB3EDD04"/>
    <w:lvl w:ilvl="0" w:tplc="1D1E80C4">
      <w:start w:val="1"/>
      <w:numFmt w:val="decimal"/>
      <w:lvlText w:val="2.6.%1"/>
      <w:lvlJc w:val="left"/>
      <w:pPr>
        <w:ind w:left="720" w:hanging="360"/>
      </w:pPr>
      <w:rPr>
        <w:rFonts w:ascii="Arial" w:hAnsi="Arial" w:hint="default"/>
        <w:b/>
        <w:i w:val="0"/>
        <w:color w:val="auto"/>
        <w:sz w:val="32"/>
        <w:u w:color="FFFFFF" w:themeColor="background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nsid w:val="4D6B36A5"/>
    <w:multiLevelType w:val="hybridMultilevel"/>
    <w:tmpl w:val="78888DE2"/>
    <w:lvl w:ilvl="0" w:tplc="0310CC48">
      <w:numFmt w:val="decimal"/>
      <w:lvlText w:val="2.6.%1"/>
      <w:lvlJc w:val="left"/>
      <w:pPr>
        <w:ind w:left="1495" w:hanging="360"/>
      </w:pPr>
      <w:rPr>
        <w:rFonts w:ascii="Arial" w:hAnsi="Arial" w:hint="default"/>
        <w:b/>
        <w:i w:val="0"/>
        <w:color w:val="auto"/>
        <w:sz w:val="32"/>
        <w:u w:color="FFFFFF" w:themeColor="background1"/>
      </w:rPr>
    </w:lvl>
    <w:lvl w:ilvl="1" w:tplc="0C090019" w:tentative="1">
      <w:start w:val="1"/>
      <w:numFmt w:val="lowerLetter"/>
      <w:lvlText w:val="%2."/>
      <w:lvlJc w:val="left"/>
      <w:pPr>
        <w:ind w:left="2215" w:hanging="360"/>
      </w:pPr>
    </w:lvl>
    <w:lvl w:ilvl="2" w:tplc="0C09001B" w:tentative="1">
      <w:start w:val="1"/>
      <w:numFmt w:val="lowerRoman"/>
      <w:lvlText w:val="%3."/>
      <w:lvlJc w:val="right"/>
      <w:pPr>
        <w:ind w:left="2935" w:hanging="180"/>
      </w:pPr>
    </w:lvl>
    <w:lvl w:ilvl="3" w:tplc="0C09000F" w:tentative="1">
      <w:start w:val="1"/>
      <w:numFmt w:val="decimal"/>
      <w:lvlText w:val="%4."/>
      <w:lvlJc w:val="left"/>
      <w:pPr>
        <w:ind w:left="3655" w:hanging="360"/>
      </w:pPr>
    </w:lvl>
    <w:lvl w:ilvl="4" w:tplc="0C090019" w:tentative="1">
      <w:start w:val="1"/>
      <w:numFmt w:val="lowerLetter"/>
      <w:lvlText w:val="%5."/>
      <w:lvlJc w:val="left"/>
      <w:pPr>
        <w:ind w:left="4375" w:hanging="360"/>
      </w:pPr>
    </w:lvl>
    <w:lvl w:ilvl="5" w:tplc="0C09001B" w:tentative="1">
      <w:start w:val="1"/>
      <w:numFmt w:val="lowerRoman"/>
      <w:lvlText w:val="%6."/>
      <w:lvlJc w:val="right"/>
      <w:pPr>
        <w:ind w:left="5095" w:hanging="180"/>
      </w:pPr>
    </w:lvl>
    <w:lvl w:ilvl="6" w:tplc="0C09000F" w:tentative="1">
      <w:start w:val="1"/>
      <w:numFmt w:val="decimal"/>
      <w:lvlText w:val="%7."/>
      <w:lvlJc w:val="left"/>
      <w:pPr>
        <w:ind w:left="5815" w:hanging="360"/>
      </w:pPr>
    </w:lvl>
    <w:lvl w:ilvl="7" w:tplc="0C090019" w:tentative="1">
      <w:start w:val="1"/>
      <w:numFmt w:val="lowerLetter"/>
      <w:lvlText w:val="%8."/>
      <w:lvlJc w:val="left"/>
      <w:pPr>
        <w:ind w:left="6535" w:hanging="360"/>
      </w:pPr>
    </w:lvl>
    <w:lvl w:ilvl="8" w:tplc="0C09001B" w:tentative="1">
      <w:start w:val="1"/>
      <w:numFmt w:val="lowerRoman"/>
      <w:lvlText w:val="%9."/>
      <w:lvlJc w:val="right"/>
      <w:pPr>
        <w:ind w:left="7255" w:hanging="180"/>
      </w:pPr>
    </w:lvl>
  </w:abstractNum>
  <w:abstractNum w:abstractNumId="8">
    <w:nsid w:val="5D693CE8"/>
    <w:multiLevelType w:val="hybridMultilevel"/>
    <w:tmpl w:val="870E9A24"/>
    <w:lvl w:ilvl="0" w:tplc="0310CC48">
      <w:numFmt w:val="decimal"/>
      <w:lvlText w:val="2.6.%1"/>
      <w:lvlJc w:val="left"/>
      <w:pPr>
        <w:ind w:left="1495" w:hanging="360"/>
      </w:pPr>
      <w:rPr>
        <w:rFonts w:ascii="Arial" w:hAnsi="Arial" w:hint="default"/>
        <w:b/>
        <w:i w:val="0"/>
        <w:color w:val="auto"/>
        <w:sz w:val="32"/>
        <w:u w:color="FFFFFF" w:themeColor="background1"/>
      </w:rPr>
    </w:lvl>
    <w:lvl w:ilvl="1" w:tplc="0C090019" w:tentative="1">
      <w:start w:val="1"/>
      <w:numFmt w:val="lowerLetter"/>
      <w:lvlText w:val="%2."/>
      <w:lvlJc w:val="left"/>
      <w:pPr>
        <w:ind w:left="2215" w:hanging="360"/>
      </w:pPr>
    </w:lvl>
    <w:lvl w:ilvl="2" w:tplc="0C09001B" w:tentative="1">
      <w:start w:val="1"/>
      <w:numFmt w:val="lowerRoman"/>
      <w:lvlText w:val="%3."/>
      <w:lvlJc w:val="right"/>
      <w:pPr>
        <w:ind w:left="2935" w:hanging="180"/>
      </w:pPr>
    </w:lvl>
    <w:lvl w:ilvl="3" w:tplc="0C09000F" w:tentative="1">
      <w:start w:val="1"/>
      <w:numFmt w:val="decimal"/>
      <w:lvlText w:val="%4."/>
      <w:lvlJc w:val="left"/>
      <w:pPr>
        <w:ind w:left="3655" w:hanging="360"/>
      </w:pPr>
    </w:lvl>
    <w:lvl w:ilvl="4" w:tplc="0C090019" w:tentative="1">
      <w:start w:val="1"/>
      <w:numFmt w:val="lowerLetter"/>
      <w:lvlText w:val="%5."/>
      <w:lvlJc w:val="left"/>
      <w:pPr>
        <w:ind w:left="4375" w:hanging="360"/>
      </w:pPr>
    </w:lvl>
    <w:lvl w:ilvl="5" w:tplc="0C09001B" w:tentative="1">
      <w:start w:val="1"/>
      <w:numFmt w:val="lowerRoman"/>
      <w:lvlText w:val="%6."/>
      <w:lvlJc w:val="right"/>
      <w:pPr>
        <w:ind w:left="5095" w:hanging="180"/>
      </w:pPr>
    </w:lvl>
    <w:lvl w:ilvl="6" w:tplc="0C09000F" w:tentative="1">
      <w:start w:val="1"/>
      <w:numFmt w:val="decimal"/>
      <w:lvlText w:val="%7."/>
      <w:lvlJc w:val="left"/>
      <w:pPr>
        <w:ind w:left="5815" w:hanging="360"/>
      </w:pPr>
    </w:lvl>
    <w:lvl w:ilvl="7" w:tplc="0C090019" w:tentative="1">
      <w:start w:val="1"/>
      <w:numFmt w:val="lowerLetter"/>
      <w:lvlText w:val="%8."/>
      <w:lvlJc w:val="left"/>
      <w:pPr>
        <w:ind w:left="6535" w:hanging="360"/>
      </w:pPr>
    </w:lvl>
    <w:lvl w:ilvl="8" w:tplc="0C09001B" w:tentative="1">
      <w:start w:val="1"/>
      <w:numFmt w:val="lowerRoman"/>
      <w:lvlText w:val="%9."/>
      <w:lvlJc w:val="right"/>
      <w:pPr>
        <w:ind w:left="7255" w:hanging="180"/>
      </w:pPr>
    </w:lvl>
  </w:abstractNum>
  <w:abstractNum w:abstractNumId="9">
    <w:nsid w:val="678B0AC9"/>
    <w:multiLevelType w:val="hybridMultilevel"/>
    <w:tmpl w:val="870E9A24"/>
    <w:lvl w:ilvl="0" w:tplc="0310CC48">
      <w:numFmt w:val="decimal"/>
      <w:lvlText w:val="2.6.%1"/>
      <w:lvlJc w:val="left"/>
      <w:pPr>
        <w:ind w:left="1495" w:hanging="360"/>
      </w:pPr>
      <w:rPr>
        <w:rFonts w:ascii="Arial" w:hAnsi="Arial" w:hint="default"/>
        <w:b/>
        <w:i w:val="0"/>
        <w:color w:val="auto"/>
        <w:sz w:val="32"/>
        <w:u w:color="FFFFFF" w:themeColor="background1"/>
      </w:rPr>
    </w:lvl>
    <w:lvl w:ilvl="1" w:tplc="0C090019" w:tentative="1">
      <w:start w:val="1"/>
      <w:numFmt w:val="lowerLetter"/>
      <w:lvlText w:val="%2."/>
      <w:lvlJc w:val="left"/>
      <w:pPr>
        <w:ind w:left="2215" w:hanging="360"/>
      </w:pPr>
    </w:lvl>
    <w:lvl w:ilvl="2" w:tplc="0C09001B" w:tentative="1">
      <w:start w:val="1"/>
      <w:numFmt w:val="lowerRoman"/>
      <w:lvlText w:val="%3."/>
      <w:lvlJc w:val="right"/>
      <w:pPr>
        <w:ind w:left="2935" w:hanging="180"/>
      </w:pPr>
    </w:lvl>
    <w:lvl w:ilvl="3" w:tplc="0C09000F" w:tentative="1">
      <w:start w:val="1"/>
      <w:numFmt w:val="decimal"/>
      <w:lvlText w:val="%4."/>
      <w:lvlJc w:val="left"/>
      <w:pPr>
        <w:ind w:left="3655" w:hanging="360"/>
      </w:pPr>
    </w:lvl>
    <w:lvl w:ilvl="4" w:tplc="0C090019" w:tentative="1">
      <w:start w:val="1"/>
      <w:numFmt w:val="lowerLetter"/>
      <w:lvlText w:val="%5."/>
      <w:lvlJc w:val="left"/>
      <w:pPr>
        <w:ind w:left="4375" w:hanging="360"/>
      </w:pPr>
    </w:lvl>
    <w:lvl w:ilvl="5" w:tplc="0C09001B" w:tentative="1">
      <w:start w:val="1"/>
      <w:numFmt w:val="lowerRoman"/>
      <w:lvlText w:val="%6."/>
      <w:lvlJc w:val="right"/>
      <w:pPr>
        <w:ind w:left="5095" w:hanging="180"/>
      </w:pPr>
    </w:lvl>
    <w:lvl w:ilvl="6" w:tplc="0C09000F" w:tentative="1">
      <w:start w:val="1"/>
      <w:numFmt w:val="decimal"/>
      <w:lvlText w:val="%7."/>
      <w:lvlJc w:val="left"/>
      <w:pPr>
        <w:ind w:left="5815" w:hanging="360"/>
      </w:pPr>
    </w:lvl>
    <w:lvl w:ilvl="7" w:tplc="0C090019" w:tentative="1">
      <w:start w:val="1"/>
      <w:numFmt w:val="lowerLetter"/>
      <w:lvlText w:val="%8."/>
      <w:lvlJc w:val="left"/>
      <w:pPr>
        <w:ind w:left="6535" w:hanging="360"/>
      </w:pPr>
    </w:lvl>
    <w:lvl w:ilvl="8" w:tplc="0C09001B" w:tentative="1">
      <w:start w:val="1"/>
      <w:numFmt w:val="lowerRoman"/>
      <w:lvlText w:val="%9."/>
      <w:lvlJc w:val="right"/>
      <w:pPr>
        <w:ind w:left="7255" w:hanging="180"/>
      </w:pPr>
    </w:lvl>
  </w:abstractNum>
  <w:abstractNum w:abstractNumId="10">
    <w:nsid w:val="6D0B1B75"/>
    <w:multiLevelType w:val="multilevel"/>
    <w:tmpl w:val="D3FAAFB8"/>
    <w:lvl w:ilvl="0">
      <w:start w:val="1"/>
      <w:numFmt w:val="decimal"/>
      <w:pStyle w:val="Heading2"/>
      <w:lvlText w:val="%1."/>
      <w:lvlJc w:val="left"/>
      <w:pPr>
        <w:tabs>
          <w:tab w:val="num" w:pos="567"/>
        </w:tabs>
        <w:ind w:left="567" w:hanging="567"/>
      </w:pPr>
      <w:rPr>
        <w:rFonts w:hint="default"/>
      </w:rPr>
    </w:lvl>
    <w:lvl w:ilvl="1">
      <w:start w:val="1"/>
      <w:numFmt w:val="decimal"/>
      <w:pStyle w:val="Heading3"/>
      <w:lvlText w:val="%1.%2."/>
      <w:lvlJc w:val="left"/>
      <w:pPr>
        <w:tabs>
          <w:tab w:val="num" w:pos="1135"/>
        </w:tabs>
        <w:ind w:left="1135" w:hanging="1022"/>
      </w:pPr>
      <w:rPr>
        <w:rFonts w:hint="default"/>
      </w:rPr>
    </w:lvl>
    <w:lvl w:ilvl="2">
      <w:start w:val="1"/>
      <w:numFmt w:val="decimal"/>
      <w:pStyle w:val="Heading4"/>
      <w:lvlText w:val="%1.%2.%3."/>
      <w:lvlJc w:val="left"/>
      <w:pPr>
        <w:tabs>
          <w:tab w:val="num" w:pos="1134"/>
        </w:tabs>
        <w:ind w:left="1134" w:hanging="964"/>
      </w:pPr>
      <w:rPr>
        <w:rFonts w:hint="default"/>
      </w:rPr>
    </w:lvl>
    <w:lvl w:ilvl="3">
      <w:start w:val="1"/>
      <w:numFmt w:val="decimal"/>
      <w:pStyle w:val="Heading5"/>
      <w:lvlText w:val="%1.%2.%3.%4."/>
      <w:lvlJc w:val="left"/>
      <w:pPr>
        <w:tabs>
          <w:tab w:val="num" w:pos="1418"/>
        </w:tabs>
        <w:ind w:left="1418" w:hanging="1191"/>
      </w:pPr>
      <w:rPr>
        <w:rFonts w:hint="default"/>
      </w:rPr>
    </w:lvl>
    <w:lvl w:ilvl="4">
      <w:start w:val="1"/>
      <w:numFmt w:val="decimal"/>
      <w:lvlText w:val="%1.%2.%3.%4.%5."/>
      <w:lvlJc w:val="left"/>
      <w:pPr>
        <w:tabs>
          <w:tab w:val="num" w:pos="1701"/>
        </w:tabs>
        <w:ind w:left="1701" w:hanging="1417"/>
      </w:pPr>
      <w:rPr>
        <w:rFonts w:hint="default"/>
      </w:rPr>
    </w:lvl>
    <w:lvl w:ilvl="5">
      <w:start w:val="1"/>
      <w:numFmt w:val="decimal"/>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num w:numId="1">
    <w:abstractNumId w:val="2"/>
  </w:num>
  <w:num w:numId="2">
    <w:abstractNumId w:val="1"/>
  </w:num>
  <w:num w:numId="3">
    <w:abstractNumId w:val="5"/>
  </w:num>
  <w:num w:numId="4">
    <w:abstractNumId w:val="5"/>
  </w:num>
  <w:num w:numId="5">
    <w:abstractNumId w:val="0"/>
  </w:num>
  <w:num w:numId="6">
    <w:abstractNumId w:val="5"/>
  </w:num>
  <w:num w:numId="7">
    <w:abstractNumId w:val="5"/>
  </w:num>
  <w:num w:numId="8">
    <w:abstractNumId w:val="4"/>
  </w:num>
  <w:num w:numId="9">
    <w:abstractNumId w:val="4"/>
  </w:num>
  <w:num w:numId="10">
    <w:abstractNumId w:val="4"/>
  </w:num>
  <w:num w:numId="11">
    <w:abstractNumId w:val="4"/>
  </w:num>
  <w:num w:numId="12">
    <w:abstractNumId w:val="3"/>
    <w:lvlOverride w:ilvl="0">
      <w:lvl w:ilvl="0">
        <w:numFmt w:val="bullet"/>
        <w:lvlText w:val="•"/>
        <w:legacy w:legacy="1" w:legacySpace="0" w:legacyIndent="0"/>
        <w:lvlJc w:val="left"/>
        <w:rPr>
          <w:rFonts w:ascii="Helv" w:hAnsi="Helv" w:hint="default"/>
        </w:rPr>
      </w:lvl>
    </w:lvlOverride>
  </w:num>
  <w:num w:numId="13">
    <w:abstractNumId w:val="5"/>
  </w:num>
  <w:num w:numId="14">
    <w:abstractNumId w:val="5"/>
  </w:num>
  <w:num w:numId="15">
    <w:abstractNumId w:val="5"/>
  </w:num>
  <w:num w:numId="16">
    <w:abstractNumId w:val="4"/>
  </w:num>
  <w:num w:numId="17">
    <w:abstractNumId w:val="4"/>
  </w:num>
  <w:num w:numId="18">
    <w:abstractNumId w:val="4"/>
  </w:num>
  <w:num w:numId="19">
    <w:abstractNumId w:val="5"/>
  </w:num>
  <w:num w:numId="20">
    <w:abstractNumId w:val="5"/>
  </w:num>
  <w:num w:numId="21">
    <w:abstractNumId w:val="5"/>
  </w:num>
  <w:num w:numId="22">
    <w:abstractNumId w:val="4"/>
  </w:num>
  <w:num w:numId="23">
    <w:abstractNumId w:val="4"/>
  </w:num>
  <w:num w:numId="24">
    <w:abstractNumId w:val="4"/>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25">
    <w:abstractNumId w:val="6"/>
  </w:num>
  <w:num w:numId="26">
    <w:abstractNumId w:val="7"/>
  </w:num>
  <w:num w:numId="27">
    <w:abstractNumId w:val="8"/>
  </w:num>
  <w:num w:numId="28">
    <w:abstractNumId w:val="9"/>
  </w:num>
  <w:num w:numId="29">
    <w:abstractNumId w:val="10"/>
  </w:num>
  <w:num w:numId="30">
    <w:abstractNumId w:val="10"/>
  </w:num>
  <w:num w:numId="31">
    <w:abstractNumId w:val="10"/>
  </w:num>
  <w:num w:numId="32">
    <w:abstractNumId w:val="4"/>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3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35">
    <w:abstractNumId w:val="4"/>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36">
    <w:abstractNumId w:val="4"/>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37">
    <w:abstractNumId w:val="4"/>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isplayBackgroundShape/>
  <w:proofState w:grammar="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7475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0CC5"/>
    <w:rsid w:val="0000088C"/>
    <w:rsid w:val="000019F6"/>
    <w:rsid w:val="00002031"/>
    <w:rsid w:val="000022CC"/>
    <w:rsid w:val="00004734"/>
    <w:rsid w:val="00006B22"/>
    <w:rsid w:val="0001276A"/>
    <w:rsid w:val="00015EEF"/>
    <w:rsid w:val="000246AE"/>
    <w:rsid w:val="00025C67"/>
    <w:rsid w:val="00031FFF"/>
    <w:rsid w:val="00037B46"/>
    <w:rsid w:val="00037D93"/>
    <w:rsid w:val="00040ACB"/>
    <w:rsid w:val="00046CA8"/>
    <w:rsid w:val="00052908"/>
    <w:rsid w:val="0005559E"/>
    <w:rsid w:val="000570F4"/>
    <w:rsid w:val="00071D8E"/>
    <w:rsid w:val="00077453"/>
    <w:rsid w:val="00077775"/>
    <w:rsid w:val="00081B82"/>
    <w:rsid w:val="00090471"/>
    <w:rsid w:val="00097B5E"/>
    <w:rsid w:val="000A3AED"/>
    <w:rsid w:val="000A63AF"/>
    <w:rsid w:val="000A7A56"/>
    <w:rsid w:val="000B3532"/>
    <w:rsid w:val="000B3A75"/>
    <w:rsid w:val="000B5385"/>
    <w:rsid w:val="000C28AE"/>
    <w:rsid w:val="000C690F"/>
    <w:rsid w:val="000C752C"/>
    <w:rsid w:val="000D1295"/>
    <w:rsid w:val="000D391B"/>
    <w:rsid w:val="000D3D6D"/>
    <w:rsid w:val="000D4FC7"/>
    <w:rsid w:val="000E248D"/>
    <w:rsid w:val="000F02F9"/>
    <w:rsid w:val="000F1730"/>
    <w:rsid w:val="000F2965"/>
    <w:rsid w:val="000F299E"/>
    <w:rsid w:val="000F4869"/>
    <w:rsid w:val="000F5B42"/>
    <w:rsid w:val="000F6E6F"/>
    <w:rsid w:val="0010193C"/>
    <w:rsid w:val="00104613"/>
    <w:rsid w:val="0010601F"/>
    <w:rsid w:val="0010788A"/>
    <w:rsid w:val="00107A31"/>
    <w:rsid w:val="00110EA5"/>
    <w:rsid w:val="00112F56"/>
    <w:rsid w:val="00125318"/>
    <w:rsid w:val="001305A2"/>
    <w:rsid w:val="00133238"/>
    <w:rsid w:val="0014197B"/>
    <w:rsid w:val="001447CD"/>
    <w:rsid w:val="001516B1"/>
    <w:rsid w:val="00154EBB"/>
    <w:rsid w:val="00156316"/>
    <w:rsid w:val="001607BB"/>
    <w:rsid w:val="00165389"/>
    <w:rsid w:val="0017078F"/>
    <w:rsid w:val="0017693F"/>
    <w:rsid w:val="0018110E"/>
    <w:rsid w:val="00181684"/>
    <w:rsid w:val="001829D6"/>
    <w:rsid w:val="001843C6"/>
    <w:rsid w:val="001850E0"/>
    <w:rsid w:val="001953DA"/>
    <w:rsid w:val="001A2158"/>
    <w:rsid w:val="001A3AFD"/>
    <w:rsid w:val="001A525F"/>
    <w:rsid w:val="001A55D7"/>
    <w:rsid w:val="001B09F9"/>
    <w:rsid w:val="001B15CD"/>
    <w:rsid w:val="001B5740"/>
    <w:rsid w:val="001B5D98"/>
    <w:rsid w:val="001B6448"/>
    <w:rsid w:val="001C171F"/>
    <w:rsid w:val="001C657B"/>
    <w:rsid w:val="001D064D"/>
    <w:rsid w:val="001E07CF"/>
    <w:rsid w:val="001E0FDB"/>
    <w:rsid w:val="001E1E4D"/>
    <w:rsid w:val="001E48C6"/>
    <w:rsid w:val="001E59F1"/>
    <w:rsid w:val="001F497A"/>
    <w:rsid w:val="001F49EB"/>
    <w:rsid w:val="001F6CBA"/>
    <w:rsid w:val="00201D4E"/>
    <w:rsid w:val="00204280"/>
    <w:rsid w:val="00204B0C"/>
    <w:rsid w:val="00205AF9"/>
    <w:rsid w:val="002076C9"/>
    <w:rsid w:val="0021120B"/>
    <w:rsid w:val="0021431D"/>
    <w:rsid w:val="00215AB0"/>
    <w:rsid w:val="002164D3"/>
    <w:rsid w:val="00220B8A"/>
    <w:rsid w:val="002227DB"/>
    <w:rsid w:val="002257F3"/>
    <w:rsid w:val="00233456"/>
    <w:rsid w:val="002339A5"/>
    <w:rsid w:val="002367AA"/>
    <w:rsid w:val="00256F44"/>
    <w:rsid w:val="00257848"/>
    <w:rsid w:val="002623B3"/>
    <w:rsid w:val="00264100"/>
    <w:rsid w:val="002666AC"/>
    <w:rsid w:val="0027084A"/>
    <w:rsid w:val="00276D7B"/>
    <w:rsid w:val="00286434"/>
    <w:rsid w:val="00286C59"/>
    <w:rsid w:val="00292113"/>
    <w:rsid w:val="002942D1"/>
    <w:rsid w:val="0029501A"/>
    <w:rsid w:val="00295A83"/>
    <w:rsid w:val="002A0FB0"/>
    <w:rsid w:val="002A5A3A"/>
    <w:rsid w:val="002B1638"/>
    <w:rsid w:val="002B336A"/>
    <w:rsid w:val="002B6EEE"/>
    <w:rsid w:val="002C63ED"/>
    <w:rsid w:val="002C65F4"/>
    <w:rsid w:val="002D2383"/>
    <w:rsid w:val="002D545C"/>
    <w:rsid w:val="002D6161"/>
    <w:rsid w:val="002D7E74"/>
    <w:rsid w:val="002E1D03"/>
    <w:rsid w:val="002E4C9A"/>
    <w:rsid w:val="002F11F8"/>
    <w:rsid w:val="002F3F56"/>
    <w:rsid w:val="002F44B5"/>
    <w:rsid w:val="00307E0C"/>
    <w:rsid w:val="00311AC0"/>
    <w:rsid w:val="0031316F"/>
    <w:rsid w:val="00313FF7"/>
    <w:rsid w:val="0032583B"/>
    <w:rsid w:val="003273F6"/>
    <w:rsid w:val="00327883"/>
    <w:rsid w:val="00335504"/>
    <w:rsid w:val="00337378"/>
    <w:rsid w:val="0034106B"/>
    <w:rsid w:val="003521E8"/>
    <w:rsid w:val="003633C2"/>
    <w:rsid w:val="003728F3"/>
    <w:rsid w:val="0037496E"/>
    <w:rsid w:val="00374CC3"/>
    <w:rsid w:val="0037623D"/>
    <w:rsid w:val="00382215"/>
    <w:rsid w:val="00386150"/>
    <w:rsid w:val="003874CE"/>
    <w:rsid w:val="00390900"/>
    <w:rsid w:val="00396C92"/>
    <w:rsid w:val="003A21E2"/>
    <w:rsid w:val="003A7F6C"/>
    <w:rsid w:val="003B1113"/>
    <w:rsid w:val="003B23A6"/>
    <w:rsid w:val="003B4D60"/>
    <w:rsid w:val="003B634F"/>
    <w:rsid w:val="003B7E39"/>
    <w:rsid w:val="003C1B2B"/>
    <w:rsid w:val="003C58DC"/>
    <w:rsid w:val="003D0A3B"/>
    <w:rsid w:val="003D1E62"/>
    <w:rsid w:val="003E1098"/>
    <w:rsid w:val="003E2486"/>
    <w:rsid w:val="003E3208"/>
    <w:rsid w:val="003E343E"/>
    <w:rsid w:val="003E4A33"/>
    <w:rsid w:val="003F0B04"/>
    <w:rsid w:val="0040134E"/>
    <w:rsid w:val="00402228"/>
    <w:rsid w:val="00402B70"/>
    <w:rsid w:val="00415D59"/>
    <w:rsid w:val="0043797D"/>
    <w:rsid w:val="00440A2D"/>
    <w:rsid w:val="0044164E"/>
    <w:rsid w:val="004564A7"/>
    <w:rsid w:val="004617BF"/>
    <w:rsid w:val="00463658"/>
    <w:rsid w:val="004655EA"/>
    <w:rsid w:val="00471087"/>
    <w:rsid w:val="004722CC"/>
    <w:rsid w:val="00490CC5"/>
    <w:rsid w:val="00491191"/>
    <w:rsid w:val="004936E4"/>
    <w:rsid w:val="00494E60"/>
    <w:rsid w:val="00497487"/>
    <w:rsid w:val="004A172F"/>
    <w:rsid w:val="004A7E13"/>
    <w:rsid w:val="004B7B76"/>
    <w:rsid w:val="004C09BF"/>
    <w:rsid w:val="004C250E"/>
    <w:rsid w:val="004C2DCA"/>
    <w:rsid w:val="004C530B"/>
    <w:rsid w:val="004E6042"/>
    <w:rsid w:val="004F0F38"/>
    <w:rsid w:val="004F4AF5"/>
    <w:rsid w:val="00500FF6"/>
    <w:rsid w:val="00501921"/>
    <w:rsid w:val="0050714D"/>
    <w:rsid w:val="00511EB7"/>
    <w:rsid w:val="005204D4"/>
    <w:rsid w:val="00530354"/>
    <w:rsid w:val="00535A59"/>
    <w:rsid w:val="0053625B"/>
    <w:rsid w:val="00537390"/>
    <w:rsid w:val="0054030A"/>
    <w:rsid w:val="00540B24"/>
    <w:rsid w:val="005434C6"/>
    <w:rsid w:val="00543B39"/>
    <w:rsid w:val="00544646"/>
    <w:rsid w:val="00550096"/>
    <w:rsid w:val="00557FF9"/>
    <w:rsid w:val="00562FF4"/>
    <w:rsid w:val="0057618D"/>
    <w:rsid w:val="00576378"/>
    <w:rsid w:val="00577945"/>
    <w:rsid w:val="00577E38"/>
    <w:rsid w:val="005815E4"/>
    <w:rsid w:val="00583DB8"/>
    <w:rsid w:val="0058502C"/>
    <w:rsid w:val="00585322"/>
    <w:rsid w:val="005857C6"/>
    <w:rsid w:val="00586F98"/>
    <w:rsid w:val="00592F6E"/>
    <w:rsid w:val="00593AD1"/>
    <w:rsid w:val="005A3437"/>
    <w:rsid w:val="005A68B6"/>
    <w:rsid w:val="005A7790"/>
    <w:rsid w:val="005C5570"/>
    <w:rsid w:val="005C79A4"/>
    <w:rsid w:val="005D5442"/>
    <w:rsid w:val="005E35C0"/>
    <w:rsid w:val="005F12FF"/>
    <w:rsid w:val="005F7A8E"/>
    <w:rsid w:val="00603F32"/>
    <w:rsid w:val="006040A9"/>
    <w:rsid w:val="00604376"/>
    <w:rsid w:val="0061242A"/>
    <w:rsid w:val="006170F0"/>
    <w:rsid w:val="00620406"/>
    <w:rsid w:val="006270EA"/>
    <w:rsid w:val="00632398"/>
    <w:rsid w:val="006379F0"/>
    <w:rsid w:val="00637DA3"/>
    <w:rsid w:val="00640FC3"/>
    <w:rsid w:val="00642020"/>
    <w:rsid w:val="00646206"/>
    <w:rsid w:val="00647228"/>
    <w:rsid w:val="0065337B"/>
    <w:rsid w:val="0065419D"/>
    <w:rsid w:val="006604D8"/>
    <w:rsid w:val="00661279"/>
    <w:rsid w:val="00661535"/>
    <w:rsid w:val="006638AF"/>
    <w:rsid w:val="00664A5B"/>
    <w:rsid w:val="006763D2"/>
    <w:rsid w:val="00680C08"/>
    <w:rsid w:val="006931B1"/>
    <w:rsid w:val="00693F12"/>
    <w:rsid w:val="00694D97"/>
    <w:rsid w:val="006A15C0"/>
    <w:rsid w:val="006B0155"/>
    <w:rsid w:val="006B4C50"/>
    <w:rsid w:val="006C130C"/>
    <w:rsid w:val="006C2395"/>
    <w:rsid w:val="006C3E2A"/>
    <w:rsid w:val="006C642F"/>
    <w:rsid w:val="006D03E5"/>
    <w:rsid w:val="006D5D3E"/>
    <w:rsid w:val="006E08B3"/>
    <w:rsid w:val="006E4954"/>
    <w:rsid w:val="006F17AC"/>
    <w:rsid w:val="006F1D37"/>
    <w:rsid w:val="006F26D0"/>
    <w:rsid w:val="006F2796"/>
    <w:rsid w:val="006F572E"/>
    <w:rsid w:val="006F610A"/>
    <w:rsid w:val="00703C13"/>
    <w:rsid w:val="007046D6"/>
    <w:rsid w:val="00705DB0"/>
    <w:rsid w:val="007138B8"/>
    <w:rsid w:val="00722B57"/>
    <w:rsid w:val="00731F86"/>
    <w:rsid w:val="00732A2F"/>
    <w:rsid w:val="007339AE"/>
    <w:rsid w:val="00733FFE"/>
    <w:rsid w:val="0074253D"/>
    <w:rsid w:val="0074429B"/>
    <w:rsid w:val="00750835"/>
    <w:rsid w:val="007513B4"/>
    <w:rsid w:val="007553CB"/>
    <w:rsid w:val="0076110B"/>
    <w:rsid w:val="007615BC"/>
    <w:rsid w:val="00761E27"/>
    <w:rsid w:val="00762F05"/>
    <w:rsid w:val="007652FF"/>
    <w:rsid w:val="00767FA8"/>
    <w:rsid w:val="00770EF1"/>
    <w:rsid w:val="00772108"/>
    <w:rsid w:val="00773EF7"/>
    <w:rsid w:val="0077491A"/>
    <w:rsid w:val="00774E1D"/>
    <w:rsid w:val="0077675A"/>
    <w:rsid w:val="00780355"/>
    <w:rsid w:val="007831A2"/>
    <w:rsid w:val="00785721"/>
    <w:rsid w:val="00790BED"/>
    <w:rsid w:val="00791753"/>
    <w:rsid w:val="00791AA8"/>
    <w:rsid w:val="00792792"/>
    <w:rsid w:val="00793A59"/>
    <w:rsid w:val="00795496"/>
    <w:rsid w:val="00795F30"/>
    <w:rsid w:val="007A0321"/>
    <w:rsid w:val="007A0885"/>
    <w:rsid w:val="007B6E9F"/>
    <w:rsid w:val="007C1216"/>
    <w:rsid w:val="007C1AF7"/>
    <w:rsid w:val="007E6E27"/>
    <w:rsid w:val="007F1BD1"/>
    <w:rsid w:val="007F3E00"/>
    <w:rsid w:val="007F4B4F"/>
    <w:rsid w:val="008034DD"/>
    <w:rsid w:val="00805D27"/>
    <w:rsid w:val="008125B9"/>
    <w:rsid w:val="008145FC"/>
    <w:rsid w:val="0081607E"/>
    <w:rsid w:val="00820498"/>
    <w:rsid w:val="00821776"/>
    <w:rsid w:val="008321F5"/>
    <w:rsid w:val="00832369"/>
    <w:rsid w:val="00834660"/>
    <w:rsid w:val="00836BC2"/>
    <w:rsid w:val="008414A0"/>
    <w:rsid w:val="00850FC0"/>
    <w:rsid w:val="0085641B"/>
    <w:rsid w:val="0085675F"/>
    <w:rsid w:val="00857136"/>
    <w:rsid w:val="00860734"/>
    <w:rsid w:val="0087197C"/>
    <w:rsid w:val="00886D15"/>
    <w:rsid w:val="00887DD8"/>
    <w:rsid w:val="00892601"/>
    <w:rsid w:val="0089573F"/>
    <w:rsid w:val="00896018"/>
    <w:rsid w:val="008960DD"/>
    <w:rsid w:val="0089635C"/>
    <w:rsid w:val="0089782E"/>
    <w:rsid w:val="008A2B9D"/>
    <w:rsid w:val="008A5E0B"/>
    <w:rsid w:val="008A6D59"/>
    <w:rsid w:val="008A78DA"/>
    <w:rsid w:val="008B4B03"/>
    <w:rsid w:val="008B596F"/>
    <w:rsid w:val="008B5A3E"/>
    <w:rsid w:val="008C159F"/>
    <w:rsid w:val="008C1623"/>
    <w:rsid w:val="008C1850"/>
    <w:rsid w:val="008C329B"/>
    <w:rsid w:val="008C33DE"/>
    <w:rsid w:val="008C36F9"/>
    <w:rsid w:val="008C51A9"/>
    <w:rsid w:val="008D012F"/>
    <w:rsid w:val="008D770F"/>
    <w:rsid w:val="008E7846"/>
    <w:rsid w:val="008F1CCC"/>
    <w:rsid w:val="008F2967"/>
    <w:rsid w:val="008F5E20"/>
    <w:rsid w:val="008F6943"/>
    <w:rsid w:val="008F69AF"/>
    <w:rsid w:val="00902A21"/>
    <w:rsid w:val="00906445"/>
    <w:rsid w:val="009130BA"/>
    <w:rsid w:val="00920330"/>
    <w:rsid w:val="009219D7"/>
    <w:rsid w:val="00922D53"/>
    <w:rsid w:val="00923B70"/>
    <w:rsid w:val="00923C89"/>
    <w:rsid w:val="00924482"/>
    <w:rsid w:val="00927BD8"/>
    <w:rsid w:val="00930237"/>
    <w:rsid w:val="009438E8"/>
    <w:rsid w:val="0094614A"/>
    <w:rsid w:val="00946EA5"/>
    <w:rsid w:val="0095160F"/>
    <w:rsid w:val="00963298"/>
    <w:rsid w:val="00963C08"/>
    <w:rsid w:val="00975A10"/>
    <w:rsid w:val="00977809"/>
    <w:rsid w:val="00980975"/>
    <w:rsid w:val="00981D66"/>
    <w:rsid w:val="0098585A"/>
    <w:rsid w:val="0098669D"/>
    <w:rsid w:val="00994C95"/>
    <w:rsid w:val="009A2A14"/>
    <w:rsid w:val="009A4CED"/>
    <w:rsid w:val="009A5DDF"/>
    <w:rsid w:val="009A690D"/>
    <w:rsid w:val="009B1D12"/>
    <w:rsid w:val="009B416B"/>
    <w:rsid w:val="009C4BD5"/>
    <w:rsid w:val="009C50B7"/>
    <w:rsid w:val="009D71D1"/>
    <w:rsid w:val="009D7B77"/>
    <w:rsid w:val="009E0BB0"/>
    <w:rsid w:val="009E3FBB"/>
    <w:rsid w:val="00A0441B"/>
    <w:rsid w:val="00A102E4"/>
    <w:rsid w:val="00A11920"/>
    <w:rsid w:val="00A12C42"/>
    <w:rsid w:val="00A14DF7"/>
    <w:rsid w:val="00A235D9"/>
    <w:rsid w:val="00A267CE"/>
    <w:rsid w:val="00A31C15"/>
    <w:rsid w:val="00A3246D"/>
    <w:rsid w:val="00A36FA7"/>
    <w:rsid w:val="00A475B7"/>
    <w:rsid w:val="00A47AF7"/>
    <w:rsid w:val="00A47C3E"/>
    <w:rsid w:val="00A50226"/>
    <w:rsid w:val="00A56EF4"/>
    <w:rsid w:val="00A60BAD"/>
    <w:rsid w:val="00A615D6"/>
    <w:rsid w:val="00A83F66"/>
    <w:rsid w:val="00A8424F"/>
    <w:rsid w:val="00A8789D"/>
    <w:rsid w:val="00A91223"/>
    <w:rsid w:val="00A964D1"/>
    <w:rsid w:val="00A964D2"/>
    <w:rsid w:val="00AA0ED0"/>
    <w:rsid w:val="00AA188D"/>
    <w:rsid w:val="00AA3499"/>
    <w:rsid w:val="00AA5E22"/>
    <w:rsid w:val="00AB047C"/>
    <w:rsid w:val="00AB32E7"/>
    <w:rsid w:val="00AB3949"/>
    <w:rsid w:val="00AB6231"/>
    <w:rsid w:val="00AC0603"/>
    <w:rsid w:val="00AC2B40"/>
    <w:rsid w:val="00AC2BB2"/>
    <w:rsid w:val="00AC2C3C"/>
    <w:rsid w:val="00AC512D"/>
    <w:rsid w:val="00AD0CF3"/>
    <w:rsid w:val="00AE01C2"/>
    <w:rsid w:val="00AE3814"/>
    <w:rsid w:val="00AE65EB"/>
    <w:rsid w:val="00AE67A7"/>
    <w:rsid w:val="00AE7B02"/>
    <w:rsid w:val="00AF1D94"/>
    <w:rsid w:val="00AF3533"/>
    <w:rsid w:val="00AF60C5"/>
    <w:rsid w:val="00B009C6"/>
    <w:rsid w:val="00B01548"/>
    <w:rsid w:val="00B02208"/>
    <w:rsid w:val="00B1425E"/>
    <w:rsid w:val="00B21D29"/>
    <w:rsid w:val="00B25034"/>
    <w:rsid w:val="00B275F4"/>
    <w:rsid w:val="00B33588"/>
    <w:rsid w:val="00B33863"/>
    <w:rsid w:val="00B34EC5"/>
    <w:rsid w:val="00B3567E"/>
    <w:rsid w:val="00B37D17"/>
    <w:rsid w:val="00B40857"/>
    <w:rsid w:val="00B4175E"/>
    <w:rsid w:val="00B452CE"/>
    <w:rsid w:val="00B45941"/>
    <w:rsid w:val="00B50E2F"/>
    <w:rsid w:val="00B54C25"/>
    <w:rsid w:val="00B6400E"/>
    <w:rsid w:val="00B7404C"/>
    <w:rsid w:val="00B754E8"/>
    <w:rsid w:val="00B76B91"/>
    <w:rsid w:val="00B77EB1"/>
    <w:rsid w:val="00B811C6"/>
    <w:rsid w:val="00B85A87"/>
    <w:rsid w:val="00B92E08"/>
    <w:rsid w:val="00B96EBE"/>
    <w:rsid w:val="00BC622A"/>
    <w:rsid w:val="00BC7036"/>
    <w:rsid w:val="00BD45E3"/>
    <w:rsid w:val="00BD60DF"/>
    <w:rsid w:val="00BD7931"/>
    <w:rsid w:val="00BE0A78"/>
    <w:rsid w:val="00BE32A6"/>
    <w:rsid w:val="00BE401D"/>
    <w:rsid w:val="00BE43FE"/>
    <w:rsid w:val="00BE6252"/>
    <w:rsid w:val="00BE79F0"/>
    <w:rsid w:val="00BF046D"/>
    <w:rsid w:val="00BF1190"/>
    <w:rsid w:val="00BF5D04"/>
    <w:rsid w:val="00C04AF4"/>
    <w:rsid w:val="00C1164D"/>
    <w:rsid w:val="00C137CE"/>
    <w:rsid w:val="00C16861"/>
    <w:rsid w:val="00C16A21"/>
    <w:rsid w:val="00C176C3"/>
    <w:rsid w:val="00C22678"/>
    <w:rsid w:val="00C31493"/>
    <w:rsid w:val="00C31D91"/>
    <w:rsid w:val="00C404A6"/>
    <w:rsid w:val="00C40A36"/>
    <w:rsid w:val="00C41440"/>
    <w:rsid w:val="00C44419"/>
    <w:rsid w:val="00C45E7B"/>
    <w:rsid w:val="00C4625F"/>
    <w:rsid w:val="00C471B1"/>
    <w:rsid w:val="00C57926"/>
    <w:rsid w:val="00C61640"/>
    <w:rsid w:val="00C618F7"/>
    <w:rsid w:val="00C6316B"/>
    <w:rsid w:val="00C634A9"/>
    <w:rsid w:val="00C64586"/>
    <w:rsid w:val="00C64606"/>
    <w:rsid w:val="00C70D53"/>
    <w:rsid w:val="00C73267"/>
    <w:rsid w:val="00C73D0B"/>
    <w:rsid w:val="00C772FF"/>
    <w:rsid w:val="00C801AF"/>
    <w:rsid w:val="00C80256"/>
    <w:rsid w:val="00C811C0"/>
    <w:rsid w:val="00C87FE8"/>
    <w:rsid w:val="00C93707"/>
    <w:rsid w:val="00CA706D"/>
    <w:rsid w:val="00CB159A"/>
    <w:rsid w:val="00CB1BAD"/>
    <w:rsid w:val="00CB6BC0"/>
    <w:rsid w:val="00CC1B7C"/>
    <w:rsid w:val="00CC3BC8"/>
    <w:rsid w:val="00CC727F"/>
    <w:rsid w:val="00CE11AD"/>
    <w:rsid w:val="00CE3A83"/>
    <w:rsid w:val="00CF15C3"/>
    <w:rsid w:val="00CF2B6F"/>
    <w:rsid w:val="00CF58B6"/>
    <w:rsid w:val="00D017ED"/>
    <w:rsid w:val="00D040D3"/>
    <w:rsid w:val="00D04C65"/>
    <w:rsid w:val="00D1092B"/>
    <w:rsid w:val="00D1392B"/>
    <w:rsid w:val="00D13AF6"/>
    <w:rsid w:val="00D166EB"/>
    <w:rsid w:val="00D21740"/>
    <w:rsid w:val="00D224FE"/>
    <w:rsid w:val="00D24E3F"/>
    <w:rsid w:val="00D331CA"/>
    <w:rsid w:val="00D36851"/>
    <w:rsid w:val="00D425B8"/>
    <w:rsid w:val="00D46C80"/>
    <w:rsid w:val="00D53A31"/>
    <w:rsid w:val="00D627AD"/>
    <w:rsid w:val="00D6493E"/>
    <w:rsid w:val="00D7301E"/>
    <w:rsid w:val="00D74F5A"/>
    <w:rsid w:val="00D8332A"/>
    <w:rsid w:val="00D83AE1"/>
    <w:rsid w:val="00D855D4"/>
    <w:rsid w:val="00D87961"/>
    <w:rsid w:val="00D933A6"/>
    <w:rsid w:val="00D93466"/>
    <w:rsid w:val="00D96319"/>
    <w:rsid w:val="00DA1124"/>
    <w:rsid w:val="00DA2E47"/>
    <w:rsid w:val="00DA4E52"/>
    <w:rsid w:val="00DB6A87"/>
    <w:rsid w:val="00DB75B7"/>
    <w:rsid w:val="00DC156B"/>
    <w:rsid w:val="00DC2DB7"/>
    <w:rsid w:val="00DC3314"/>
    <w:rsid w:val="00DC3E1F"/>
    <w:rsid w:val="00DC6E02"/>
    <w:rsid w:val="00DE02AE"/>
    <w:rsid w:val="00DE2C52"/>
    <w:rsid w:val="00DF1D7F"/>
    <w:rsid w:val="00DF4BE4"/>
    <w:rsid w:val="00E02FB4"/>
    <w:rsid w:val="00E07F15"/>
    <w:rsid w:val="00E20571"/>
    <w:rsid w:val="00E235F7"/>
    <w:rsid w:val="00E23659"/>
    <w:rsid w:val="00E239D4"/>
    <w:rsid w:val="00E26130"/>
    <w:rsid w:val="00E2741C"/>
    <w:rsid w:val="00E40B22"/>
    <w:rsid w:val="00E45619"/>
    <w:rsid w:val="00E4588F"/>
    <w:rsid w:val="00E46DA3"/>
    <w:rsid w:val="00E50DAF"/>
    <w:rsid w:val="00E51BB1"/>
    <w:rsid w:val="00E60A6A"/>
    <w:rsid w:val="00E624A5"/>
    <w:rsid w:val="00E70DBD"/>
    <w:rsid w:val="00E7344E"/>
    <w:rsid w:val="00E74C81"/>
    <w:rsid w:val="00E77B22"/>
    <w:rsid w:val="00E80040"/>
    <w:rsid w:val="00E8084F"/>
    <w:rsid w:val="00E936E3"/>
    <w:rsid w:val="00E9740D"/>
    <w:rsid w:val="00E979F4"/>
    <w:rsid w:val="00EA198A"/>
    <w:rsid w:val="00EB0798"/>
    <w:rsid w:val="00EB40AD"/>
    <w:rsid w:val="00EB586E"/>
    <w:rsid w:val="00EB5FC8"/>
    <w:rsid w:val="00EB7717"/>
    <w:rsid w:val="00ED23AB"/>
    <w:rsid w:val="00ED3CAD"/>
    <w:rsid w:val="00ED400A"/>
    <w:rsid w:val="00ED5A41"/>
    <w:rsid w:val="00EE1C1E"/>
    <w:rsid w:val="00EE1DE8"/>
    <w:rsid w:val="00EE38F4"/>
    <w:rsid w:val="00EE42EC"/>
    <w:rsid w:val="00EF78EF"/>
    <w:rsid w:val="00F00BD8"/>
    <w:rsid w:val="00F033EC"/>
    <w:rsid w:val="00F042D0"/>
    <w:rsid w:val="00F04F68"/>
    <w:rsid w:val="00F12670"/>
    <w:rsid w:val="00F13E89"/>
    <w:rsid w:val="00F14B27"/>
    <w:rsid w:val="00F21B6F"/>
    <w:rsid w:val="00F22BFD"/>
    <w:rsid w:val="00F3148D"/>
    <w:rsid w:val="00F325C5"/>
    <w:rsid w:val="00F32FE0"/>
    <w:rsid w:val="00F35298"/>
    <w:rsid w:val="00F47333"/>
    <w:rsid w:val="00F476C2"/>
    <w:rsid w:val="00F47E37"/>
    <w:rsid w:val="00F5007E"/>
    <w:rsid w:val="00F52CF2"/>
    <w:rsid w:val="00F53C07"/>
    <w:rsid w:val="00F54B65"/>
    <w:rsid w:val="00F640B6"/>
    <w:rsid w:val="00F80E40"/>
    <w:rsid w:val="00F848D9"/>
    <w:rsid w:val="00F87564"/>
    <w:rsid w:val="00FA3786"/>
    <w:rsid w:val="00FA5B82"/>
    <w:rsid w:val="00FA639E"/>
    <w:rsid w:val="00FB69BC"/>
    <w:rsid w:val="00FC25E4"/>
    <w:rsid w:val="00FC4EF7"/>
    <w:rsid w:val="00FC768B"/>
    <w:rsid w:val="00FD22FB"/>
    <w:rsid w:val="00FE1DEE"/>
    <w:rsid w:val="00FF0482"/>
    <w:rsid w:val="00FF1BE0"/>
    <w:rsid w:val="00FF2126"/>
    <w:rsid w:val="00FF2FED"/>
    <w:rsid w:val="00FF456B"/>
    <w:rsid w:val="00FF5755"/>
    <w:rsid w:val="00FF69BE"/>
    <w:rsid w:val="00FF7B93"/>
    <w:rsid w:val="00FF7DF3"/>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7475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9" w:unhideWhenUsed="0"/>
    <w:lsdException w:name="heading 6" w:uiPriority="9"/>
    <w:lsdException w:name="heading 7" w:uiPriority="9"/>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35" w:unhideWhenUsed="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Subtitle" w:semiHidden="0" w:uiPriority="11" w:unhideWhenUsed="0"/>
    <w:lsdException w:name="Date" w:semiHidden="0"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307E0C"/>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31"/>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31"/>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31"/>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uiPriority w:val="9"/>
    <w:rsid w:val="00906445"/>
    <w:pPr>
      <w:keepNext/>
      <w:keepLines/>
      <w:numPr>
        <w:ilvl w:val="3"/>
        <w:numId w:val="31"/>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uiPriority w:val="9"/>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uiPriority w:val="9"/>
    <w:rsid w:val="007F3E00"/>
    <w:pPr>
      <w:keepNext/>
      <w:spacing w:after="60" w:line="180" w:lineRule="atLeast"/>
      <w:ind w:left="397"/>
      <w:outlineLvl w:val="6"/>
    </w:pPr>
    <w:rPr>
      <w:rFonts w:eastAsia="Times New Roman"/>
      <w:bCs/>
      <w:sz w:val="18"/>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F3148D"/>
    <w:pPr>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uiPriority w:val="9"/>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uiPriority w:val="9"/>
    <w:rsid w:val="007F3E00"/>
    <w:rPr>
      <w:rFonts w:ascii="Cambria" w:eastAsia="Times New Roman" w:hAnsi="Cambria" w:cs="Times New Roman"/>
      <w:bCs/>
      <w:i/>
      <w:szCs w:val="21"/>
    </w:rPr>
  </w:style>
  <w:style w:type="character" w:customStyle="1" w:styleId="Heading7Char">
    <w:name w:val="Heading 7 Char"/>
    <w:basedOn w:val="DefaultParagraphFont"/>
    <w:link w:val="Heading7"/>
    <w:uiPriority w:val="9"/>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21"/>
      </w:numPr>
    </w:pPr>
  </w:style>
  <w:style w:type="paragraph" w:styleId="ListBullet2">
    <w:name w:val="List Bullet 2"/>
    <w:basedOn w:val="Normal"/>
    <w:uiPriority w:val="99"/>
    <w:qFormat/>
    <w:rsid w:val="004C2DCA"/>
    <w:pPr>
      <w:numPr>
        <w:ilvl w:val="1"/>
        <w:numId w:val="21"/>
      </w:numPr>
    </w:pPr>
  </w:style>
  <w:style w:type="paragraph" w:styleId="ListBullet3">
    <w:name w:val="List Bullet 3"/>
    <w:basedOn w:val="Normal"/>
    <w:uiPriority w:val="99"/>
    <w:qFormat/>
    <w:rsid w:val="004C2DCA"/>
    <w:pPr>
      <w:numPr>
        <w:ilvl w:val="2"/>
        <w:numId w:val="21"/>
      </w:numPr>
    </w:pPr>
  </w:style>
  <w:style w:type="numbering" w:customStyle="1" w:styleId="ListBullets">
    <w:name w:val="ListBullets"/>
    <w:uiPriority w:val="99"/>
    <w:locked/>
    <w:rsid w:val="00F3148D"/>
    <w:pPr>
      <w:numPr>
        <w:numId w:val="3"/>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24"/>
      </w:numPr>
    </w:pPr>
  </w:style>
  <w:style w:type="paragraph" w:customStyle="1" w:styleId="Numberbullet2">
    <w:name w:val="Number bullet 2"/>
    <w:basedOn w:val="ListBullet2"/>
    <w:qFormat/>
    <w:rsid w:val="004C2DCA"/>
    <w:pPr>
      <w:numPr>
        <w:numId w:val="24"/>
      </w:numPr>
    </w:pPr>
  </w:style>
  <w:style w:type="paragraph" w:customStyle="1" w:styleId="Numberbullet3">
    <w:name w:val="Number bullet 3"/>
    <w:basedOn w:val="ListBullet3"/>
    <w:qFormat/>
    <w:rsid w:val="004C2DCA"/>
    <w:pPr>
      <w:numPr>
        <w:numId w:val="24"/>
      </w:numPr>
    </w:pPr>
  </w:style>
  <w:style w:type="numbering" w:customStyle="1" w:styleId="NumberBullet">
    <w:name w:val="NumberBullet"/>
    <w:uiPriority w:val="99"/>
    <w:locked/>
    <w:rsid w:val="00F3148D"/>
    <w:pPr>
      <w:numPr>
        <w:numId w:val="8"/>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ED23AB"/>
    <w:pPr>
      <w:framePr w:hSpace="180" w:wrap="around" w:vAnchor="page" w:hAnchor="text" w:y="3316"/>
      <w:numPr>
        <w:ilvl w:val="1"/>
      </w:numPr>
      <w:spacing w:after="360"/>
      <w:ind w:left="170"/>
    </w:pPr>
    <w:rPr>
      <w:rFonts w:ascii="Arial" w:eastAsia="Times New Roman" w:hAnsi="Arial"/>
      <w:bCs/>
      <w:iCs/>
      <w:color w:val="FFFFFF" w:themeColor="background1"/>
      <w:sz w:val="40"/>
      <w:szCs w:val="24"/>
    </w:rPr>
  </w:style>
  <w:style w:type="character" w:customStyle="1" w:styleId="SubtitleChar">
    <w:name w:val="Subtitle Char"/>
    <w:basedOn w:val="DefaultParagraphFont"/>
    <w:link w:val="Subtitle"/>
    <w:uiPriority w:val="11"/>
    <w:rsid w:val="00ED23AB"/>
    <w:rPr>
      <w:rFonts w:ascii="Arial" w:eastAsia="Times New Roman" w:hAnsi="Arial" w:cs="Times New Roman"/>
      <w:bCs/>
      <w:iCs/>
      <w:color w:val="FFFFFF" w:themeColor="background1"/>
      <w:sz w:val="40"/>
      <w:szCs w:val="24"/>
    </w:rPr>
  </w:style>
  <w:style w:type="paragraph" w:customStyle="1" w:styleId="TableDescription">
    <w:name w:val="Table Description"/>
    <w:basedOn w:val="FigureDescription"/>
    <w:rsid w:val="00791753"/>
    <w:pPr>
      <w:spacing w:after="120" w:line="240" w:lineRule="auto"/>
    </w:pPr>
    <w:rPr>
      <w:szCs w:val="19"/>
    </w:rPr>
  </w:style>
  <w:style w:type="table" w:styleId="TableGrid">
    <w:name w:val="Table Grid"/>
    <w:basedOn w:val="TableNormal"/>
    <w:uiPriority w:val="59"/>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ED23AB"/>
    <w:pPr>
      <w:framePr w:hSpace="180" w:wrap="around" w:vAnchor="page" w:hAnchor="text" w:y="3316"/>
      <w:spacing w:after="480" w:line="240" w:lineRule="auto"/>
      <w:contextualSpacing/>
    </w:pPr>
    <w:rPr>
      <w:rFonts w:ascii="Arial" w:eastAsia="Times New Roman" w:hAnsi="Arial" w:cs="Times New Roman"/>
      <w:color w:val="FFFFFF" w:themeColor="background1"/>
      <w:spacing w:val="5"/>
      <w:kern w:val="28"/>
      <w:sz w:val="52"/>
      <w:szCs w:val="52"/>
    </w:rPr>
  </w:style>
  <w:style w:type="character" w:customStyle="1" w:styleId="TitleChar">
    <w:name w:val="Title Char"/>
    <w:basedOn w:val="DefaultParagraphFont"/>
    <w:link w:val="Title"/>
    <w:uiPriority w:val="10"/>
    <w:rsid w:val="00ED23AB"/>
    <w:rPr>
      <w:rFonts w:ascii="Arial" w:eastAsia="Times New Roman" w:hAnsi="Arial" w:cs="Times New Roman"/>
      <w:color w:val="FFFFFF" w:themeColor="background1"/>
      <w:spacing w:val="5"/>
      <w:kern w:val="28"/>
      <w:sz w:val="52"/>
      <w:szCs w:val="52"/>
    </w:rPr>
  </w:style>
  <w:style w:type="paragraph" w:styleId="TOC1">
    <w:name w:val="toc 1"/>
    <w:basedOn w:val="Normal"/>
    <w:next w:val="Normal"/>
    <w:uiPriority w:val="39"/>
    <w:semiHidden/>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semiHidden/>
    <w:unhideWhenUsed/>
    <w:rsid w:val="001C657B"/>
    <w:rPr>
      <w:sz w:val="16"/>
      <w:szCs w:val="16"/>
    </w:rPr>
  </w:style>
  <w:style w:type="paragraph" w:styleId="CommentText">
    <w:name w:val="annotation text"/>
    <w:basedOn w:val="Normal"/>
    <w:link w:val="CommentTextChar"/>
    <w:uiPriority w:val="99"/>
    <w:semiHidden/>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semiHidden/>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customStyle="1" w:styleId="Default">
    <w:name w:val="Default"/>
    <w:rsid w:val="00FD22FB"/>
    <w:pPr>
      <w:autoSpaceDE w:val="0"/>
      <w:autoSpaceDN w:val="0"/>
      <w:adjustRightInd w:val="0"/>
      <w:spacing w:after="0" w:line="240" w:lineRule="auto"/>
    </w:pPr>
    <w:rPr>
      <w:rFonts w:ascii="Cambria" w:hAnsi="Cambria" w:cs="Cambria"/>
      <w:color w:val="000000"/>
      <w:sz w:val="24"/>
      <w:szCs w:val="24"/>
    </w:rPr>
  </w:style>
  <w:style w:type="paragraph" w:styleId="FootnoteText">
    <w:name w:val="footnote text"/>
    <w:basedOn w:val="Normal"/>
    <w:link w:val="FootnoteTextChar"/>
    <w:uiPriority w:val="99"/>
    <w:unhideWhenUsed/>
    <w:rsid w:val="005F7A8E"/>
    <w:pPr>
      <w:spacing w:before="0" w:after="0" w:line="240" w:lineRule="auto"/>
    </w:pPr>
    <w:rPr>
      <w:sz w:val="18"/>
      <w:szCs w:val="20"/>
    </w:rPr>
  </w:style>
  <w:style w:type="character" w:customStyle="1" w:styleId="FootnoteTextChar">
    <w:name w:val="Footnote Text Char"/>
    <w:basedOn w:val="DefaultParagraphFont"/>
    <w:link w:val="FootnoteText"/>
    <w:uiPriority w:val="99"/>
    <w:rsid w:val="005F7A8E"/>
    <w:rPr>
      <w:rFonts w:ascii="Cambria" w:eastAsia="Cambria" w:hAnsi="Cambria" w:cs="Times New Roman"/>
      <w:sz w:val="18"/>
      <w:szCs w:val="20"/>
    </w:rPr>
  </w:style>
  <w:style w:type="character" w:styleId="FootnoteReference">
    <w:name w:val="footnote reference"/>
    <w:basedOn w:val="DefaultParagraphFont"/>
    <w:uiPriority w:val="99"/>
    <w:semiHidden/>
    <w:unhideWhenUsed/>
    <w:rsid w:val="00F13E89"/>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9" w:unhideWhenUsed="0"/>
    <w:lsdException w:name="heading 6" w:uiPriority="9"/>
    <w:lsdException w:name="heading 7" w:uiPriority="9"/>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35" w:unhideWhenUsed="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Subtitle" w:semiHidden="0" w:uiPriority="11" w:unhideWhenUsed="0"/>
    <w:lsdException w:name="Date" w:semiHidden="0"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307E0C"/>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31"/>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31"/>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31"/>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uiPriority w:val="9"/>
    <w:rsid w:val="00906445"/>
    <w:pPr>
      <w:keepNext/>
      <w:keepLines/>
      <w:numPr>
        <w:ilvl w:val="3"/>
        <w:numId w:val="31"/>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uiPriority w:val="9"/>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uiPriority w:val="9"/>
    <w:rsid w:val="007F3E00"/>
    <w:pPr>
      <w:keepNext/>
      <w:spacing w:after="60" w:line="180" w:lineRule="atLeast"/>
      <w:ind w:left="397"/>
      <w:outlineLvl w:val="6"/>
    </w:pPr>
    <w:rPr>
      <w:rFonts w:eastAsia="Times New Roman"/>
      <w:bCs/>
      <w:sz w:val="18"/>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F3148D"/>
    <w:pPr>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uiPriority w:val="9"/>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uiPriority w:val="9"/>
    <w:rsid w:val="007F3E00"/>
    <w:rPr>
      <w:rFonts w:ascii="Cambria" w:eastAsia="Times New Roman" w:hAnsi="Cambria" w:cs="Times New Roman"/>
      <w:bCs/>
      <w:i/>
      <w:szCs w:val="21"/>
    </w:rPr>
  </w:style>
  <w:style w:type="character" w:customStyle="1" w:styleId="Heading7Char">
    <w:name w:val="Heading 7 Char"/>
    <w:basedOn w:val="DefaultParagraphFont"/>
    <w:link w:val="Heading7"/>
    <w:uiPriority w:val="9"/>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21"/>
      </w:numPr>
    </w:pPr>
  </w:style>
  <w:style w:type="paragraph" w:styleId="ListBullet2">
    <w:name w:val="List Bullet 2"/>
    <w:basedOn w:val="Normal"/>
    <w:uiPriority w:val="99"/>
    <w:qFormat/>
    <w:rsid w:val="004C2DCA"/>
    <w:pPr>
      <w:numPr>
        <w:ilvl w:val="1"/>
        <w:numId w:val="21"/>
      </w:numPr>
    </w:pPr>
  </w:style>
  <w:style w:type="paragraph" w:styleId="ListBullet3">
    <w:name w:val="List Bullet 3"/>
    <w:basedOn w:val="Normal"/>
    <w:uiPriority w:val="99"/>
    <w:qFormat/>
    <w:rsid w:val="004C2DCA"/>
    <w:pPr>
      <w:numPr>
        <w:ilvl w:val="2"/>
        <w:numId w:val="21"/>
      </w:numPr>
    </w:pPr>
  </w:style>
  <w:style w:type="numbering" w:customStyle="1" w:styleId="ListBullets">
    <w:name w:val="ListBullets"/>
    <w:uiPriority w:val="99"/>
    <w:locked/>
    <w:rsid w:val="00F3148D"/>
    <w:pPr>
      <w:numPr>
        <w:numId w:val="3"/>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24"/>
      </w:numPr>
    </w:pPr>
  </w:style>
  <w:style w:type="paragraph" w:customStyle="1" w:styleId="Numberbullet2">
    <w:name w:val="Number bullet 2"/>
    <w:basedOn w:val="ListBullet2"/>
    <w:qFormat/>
    <w:rsid w:val="004C2DCA"/>
    <w:pPr>
      <w:numPr>
        <w:numId w:val="24"/>
      </w:numPr>
    </w:pPr>
  </w:style>
  <w:style w:type="paragraph" w:customStyle="1" w:styleId="Numberbullet3">
    <w:name w:val="Number bullet 3"/>
    <w:basedOn w:val="ListBullet3"/>
    <w:qFormat/>
    <w:rsid w:val="004C2DCA"/>
    <w:pPr>
      <w:numPr>
        <w:numId w:val="24"/>
      </w:numPr>
    </w:pPr>
  </w:style>
  <w:style w:type="numbering" w:customStyle="1" w:styleId="NumberBullet">
    <w:name w:val="NumberBullet"/>
    <w:uiPriority w:val="99"/>
    <w:locked/>
    <w:rsid w:val="00F3148D"/>
    <w:pPr>
      <w:numPr>
        <w:numId w:val="8"/>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ED23AB"/>
    <w:pPr>
      <w:framePr w:hSpace="180" w:wrap="around" w:vAnchor="page" w:hAnchor="text" w:y="3316"/>
      <w:numPr>
        <w:ilvl w:val="1"/>
      </w:numPr>
      <w:spacing w:after="360"/>
      <w:ind w:left="170"/>
    </w:pPr>
    <w:rPr>
      <w:rFonts w:ascii="Arial" w:eastAsia="Times New Roman" w:hAnsi="Arial"/>
      <w:bCs/>
      <w:iCs/>
      <w:color w:val="FFFFFF" w:themeColor="background1"/>
      <w:sz w:val="40"/>
      <w:szCs w:val="24"/>
    </w:rPr>
  </w:style>
  <w:style w:type="character" w:customStyle="1" w:styleId="SubtitleChar">
    <w:name w:val="Subtitle Char"/>
    <w:basedOn w:val="DefaultParagraphFont"/>
    <w:link w:val="Subtitle"/>
    <w:uiPriority w:val="11"/>
    <w:rsid w:val="00ED23AB"/>
    <w:rPr>
      <w:rFonts w:ascii="Arial" w:eastAsia="Times New Roman" w:hAnsi="Arial" w:cs="Times New Roman"/>
      <w:bCs/>
      <w:iCs/>
      <w:color w:val="FFFFFF" w:themeColor="background1"/>
      <w:sz w:val="40"/>
      <w:szCs w:val="24"/>
    </w:rPr>
  </w:style>
  <w:style w:type="paragraph" w:customStyle="1" w:styleId="TableDescription">
    <w:name w:val="Table Description"/>
    <w:basedOn w:val="FigureDescription"/>
    <w:rsid w:val="00791753"/>
    <w:pPr>
      <w:spacing w:after="120" w:line="240" w:lineRule="auto"/>
    </w:pPr>
    <w:rPr>
      <w:szCs w:val="19"/>
    </w:rPr>
  </w:style>
  <w:style w:type="table" w:styleId="TableGrid">
    <w:name w:val="Table Grid"/>
    <w:basedOn w:val="TableNormal"/>
    <w:uiPriority w:val="59"/>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ED23AB"/>
    <w:pPr>
      <w:framePr w:hSpace="180" w:wrap="around" w:vAnchor="page" w:hAnchor="text" w:y="3316"/>
      <w:spacing w:after="480" w:line="240" w:lineRule="auto"/>
      <w:contextualSpacing/>
    </w:pPr>
    <w:rPr>
      <w:rFonts w:ascii="Arial" w:eastAsia="Times New Roman" w:hAnsi="Arial" w:cs="Times New Roman"/>
      <w:color w:val="FFFFFF" w:themeColor="background1"/>
      <w:spacing w:val="5"/>
      <w:kern w:val="28"/>
      <w:sz w:val="52"/>
      <w:szCs w:val="52"/>
    </w:rPr>
  </w:style>
  <w:style w:type="character" w:customStyle="1" w:styleId="TitleChar">
    <w:name w:val="Title Char"/>
    <w:basedOn w:val="DefaultParagraphFont"/>
    <w:link w:val="Title"/>
    <w:uiPriority w:val="10"/>
    <w:rsid w:val="00ED23AB"/>
    <w:rPr>
      <w:rFonts w:ascii="Arial" w:eastAsia="Times New Roman" w:hAnsi="Arial" w:cs="Times New Roman"/>
      <w:color w:val="FFFFFF" w:themeColor="background1"/>
      <w:spacing w:val="5"/>
      <w:kern w:val="28"/>
      <w:sz w:val="52"/>
      <w:szCs w:val="52"/>
    </w:rPr>
  </w:style>
  <w:style w:type="paragraph" w:styleId="TOC1">
    <w:name w:val="toc 1"/>
    <w:basedOn w:val="Normal"/>
    <w:next w:val="Normal"/>
    <w:uiPriority w:val="39"/>
    <w:semiHidden/>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semiHidden/>
    <w:unhideWhenUsed/>
    <w:rsid w:val="001C657B"/>
    <w:rPr>
      <w:sz w:val="16"/>
      <w:szCs w:val="16"/>
    </w:rPr>
  </w:style>
  <w:style w:type="paragraph" w:styleId="CommentText">
    <w:name w:val="annotation text"/>
    <w:basedOn w:val="Normal"/>
    <w:link w:val="CommentTextChar"/>
    <w:uiPriority w:val="99"/>
    <w:semiHidden/>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semiHidden/>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customStyle="1" w:styleId="Default">
    <w:name w:val="Default"/>
    <w:rsid w:val="00FD22FB"/>
    <w:pPr>
      <w:autoSpaceDE w:val="0"/>
      <w:autoSpaceDN w:val="0"/>
      <w:adjustRightInd w:val="0"/>
      <w:spacing w:after="0" w:line="240" w:lineRule="auto"/>
    </w:pPr>
    <w:rPr>
      <w:rFonts w:ascii="Cambria" w:hAnsi="Cambria" w:cs="Cambria"/>
      <w:color w:val="000000"/>
      <w:sz w:val="24"/>
      <w:szCs w:val="24"/>
    </w:rPr>
  </w:style>
  <w:style w:type="paragraph" w:styleId="FootnoteText">
    <w:name w:val="footnote text"/>
    <w:basedOn w:val="Normal"/>
    <w:link w:val="FootnoteTextChar"/>
    <w:uiPriority w:val="99"/>
    <w:unhideWhenUsed/>
    <w:rsid w:val="005F7A8E"/>
    <w:pPr>
      <w:spacing w:before="0" w:after="0" w:line="240" w:lineRule="auto"/>
    </w:pPr>
    <w:rPr>
      <w:sz w:val="18"/>
      <w:szCs w:val="20"/>
    </w:rPr>
  </w:style>
  <w:style w:type="character" w:customStyle="1" w:styleId="FootnoteTextChar">
    <w:name w:val="Footnote Text Char"/>
    <w:basedOn w:val="DefaultParagraphFont"/>
    <w:link w:val="FootnoteText"/>
    <w:uiPriority w:val="99"/>
    <w:rsid w:val="005F7A8E"/>
    <w:rPr>
      <w:rFonts w:ascii="Cambria" w:eastAsia="Cambria" w:hAnsi="Cambria" w:cs="Times New Roman"/>
      <w:sz w:val="18"/>
      <w:szCs w:val="20"/>
    </w:rPr>
  </w:style>
  <w:style w:type="character" w:styleId="FootnoteReference">
    <w:name w:val="footnote reference"/>
    <w:basedOn w:val="DefaultParagraphFont"/>
    <w:uiPriority w:val="99"/>
    <w:semiHidden/>
    <w:unhideWhenUsed/>
    <w:rsid w:val="00F13E8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4061725">
      <w:bodyDiv w:val="1"/>
      <w:marLeft w:val="0"/>
      <w:marRight w:val="0"/>
      <w:marTop w:val="0"/>
      <w:marBottom w:val="0"/>
      <w:divBdr>
        <w:top w:val="none" w:sz="0" w:space="0" w:color="auto"/>
        <w:left w:val="none" w:sz="0" w:space="0" w:color="auto"/>
        <w:bottom w:val="none" w:sz="0" w:space="0" w:color="auto"/>
        <w:right w:val="none" w:sz="0" w:space="0" w:color="auto"/>
      </w:divBdr>
    </w:div>
    <w:div w:id="8777442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8.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7.png"/><Relationship Id="rId68" Type="http://schemas.openxmlformats.org/officeDocument/2006/relationships/image" Target="media/image51.png"/><Relationship Id="rId84" Type="http://schemas.openxmlformats.org/officeDocument/2006/relationships/image" Target="media/image64.png"/><Relationship Id="rId89" Type="http://schemas.microsoft.com/office/2007/relationships/hdphoto" Target="media/hdphoto10.wdp"/><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5.png"/><Relationship Id="rId107" Type="http://schemas.openxmlformats.org/officeDocument/2006/relationships/header" Target="header6.xml"/><Relationship Id="rId11" Type="http://schemas.openxmlformats.org/officeDocument/2006/relationships/hyperlink" Target="mailto:tga.copyright@tga.gov.au" TargetMode="External"/><Relationship Id="rId24" Type="http://schemas.openxmlformats.org/officeDocument/2006/relationships/image" Target="media/image11.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8.png"/><Relationship Id="rId58" Type="http://schemas.openxmlformats.org/officeDocument/2006/relationships/image" Target="media/image42.png"/><Relationship Id="rId66" Type="http://schemas.microsoft.com/office/2007/relationships/hdphoto" Target="media/hdphoto5.wdp"/><Relationship Id="rId74" Type="http://schemas.openxmlformats.org/officeDocument/2006/relationships/image" Target="media/image56.png"/><Relationship Id="rId79" Type="http://schemas.microsoft.com/office/2007/relationships/hdphoto" Target="media/hdphoto7.wdp"/><Relationship Id="rId87" Type="http://schemas.openxmlformats.org/officeDocument/2006/relationships/image" Target="media/image66.png"/><Relationship Id="rId102" Type="http://schemas.openxmlformats.org/officeDocument/2006/relationships/header" Target="header4.xml"/><Relationship Id="rId110" Type="http://schemas.openxmlformats.org/officeDocument/2006/relationships/header" Target="header8.xml"/><Relationship Id="rId5" Type="http://schemas.openxmlformats.org/officeDocument/2006/relationships/settings" Target="settings.xml"/><Relationship Id="rId61" Type="http://schemas.openxmlformats.org/officeDocument/2006/relationships/image" Target="media/image45.png"/><Relationship Id="rId82" Type="http://schemas.openxmlformats.org/officeDocument/2006/relationships/image" Target="media/image62.png"/><Relationship Id="rId90" Type="http://schemas.openxmlformats.org/officeDocument/2006/relationships/image" Target="media/image68.png"/><Relationship Id="rId95" Type="http://schemas.openxmlformats.org/officeDocument/2006/relationships/image" Target="media/image73.png"/><Relationship Id="rId19" Type="http://schemas.openxmlformats.org/officeDocument/2006/relationships/image" Target="media/image6.png"/><Relationship Id="rId14" Type="http://schemas.openxmlformats.org/officeDocument/2006/relationships/header" Target="header2.xml"/><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0.png"/><Relationship Id="rId64" Type="http://schemas.openxmlformats.org/officeDocument/2006/relationships/image" Target="media/image48.png"/><Relationship Id="rId69" Type="http://schemas.openxmlformats.org/officeDocument/2006/relationships/image" Target="media/image52.png"/><Relationship Id="rId77" Type="http://schemas.openxmlformats.org/officeDocument/2006/relationships/image" Target="media/image59.png"/><Relationship Id="rId100" Type="http://schemas.openxmlformats.org/officeDocument/2006/relationships/image" Target="media/image78.png"/><Relationship Id="rId105" Type="http://schemas.openxmlformats.org/officeDocument/2006/relationships/hyperlink" Target="mailto:info@tga.gov.au" TargetMode="External"/><Relationship Id="rId113"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54.png"/><Relationship Id="rId80" Type="http://schemas.openxmlformats.org/officeDocument/2006/relationships/image" Target="media/image61.png"/><Relationship Id="rId85" Type="http://schemas.microsoft.com/office/2007/relationships/hdphoto" Target="media/hdphoto9.wdp"/><Relationship Id="rId93" Type="http://schemas.openxmlformats.org/officeDocument/2006/relationships/image" Target="media/image71.png"/><Relationship Id="rId98" Type="http://schemas.openxmlformats.org/officeDocument/2006/relationships/image" Target="media/image76.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5.png"/><Relationship Id="rId25" Type="http://schemas.microsoft.com/office/2007/relationships/hdphoto" Target="media/hdphoto2.wdp"/><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3.png"/><Relationship Id="rId67" Type="http://schemas.openxmlformats.org/officeDocument/2006/relationships/image" Target="media/image50.png"/><Relationship Id="rId103" Type="http://schemas.openxmlformats.org/officeDocument/2006/relationships/header" Target="header5.xml"/><Relationship Id="rId108" Type="http://schemas.openxmlformats.org/officeDocument/2006/relationships/header" Target="header7.xml"/><Relationship Id="rId20" Type="http://schemas.openxmlformats.org/officeDocument/2006/relationships/image" Target="media/image7.png"/><Relationship Id="rId41" Type="http://schemas.openxmlformats.org/officeDocument/2006/relationships/image" Target="media/image27.png"/><Relationship Id="rId54" Type="http://schemas.openxmlformats.org/officeDocument/2006/relationships/image" Target="media/image39.png"/><Relationship Id="rId62" Type="http://schemas.openxmlformats.org/officeDocument/2006/relationships/image" Target="media/image46.png"/><Relationship Id="rId70" Type="http://schemas.openxmlformats.org/officeDocument/2006/relationships/image" Target="media/image53.png"/><Relationship Id="rId75" Type="http://schemas.openxmlformats.org/officeDocument/2006/relationships/image" Target="media/image57.png"/><Relationship Id="rId83" Type="http://schemas.openxmlformats.org/officeDocument/2006/relationships/image" Target="media/image63.png"/><Relationship Id="rId88" Type="http://schemas.openxmlformats.org/officeDocument/2006/relationships/image" Target="media/image67.png"/><Relationship Id="rId91" Type="http://schemas.openxmlformats.org/officeDocument/2006/relationships/image" Target="media/image69.png"/><Relationship Id="rId96" Type="http://schemas.openxmlformats.org/officeDocument/2006/relationships/image" Target="media/image74.png"/><Relationship Id="rId111"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1.png"/><Relationship Id="rId106" Type="http://schemas.openxmlformats.org/officeDocument/2006/relationships/hyperlink" Target="https://www.tga.gov.au" TargetMode="External"/><Relationship Id="rId10" Type="http://schemas.openxmlformats.org/officeDocument/2006/relationships/hyperlink" Target="https://www.tga.gov.au/product-information-pi" TargetMode="Externa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7.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5.png"/><Relationship Id="rId78" Type="http://schemas.openxmlformats.org/officeDocument/2006/relationships/image" Target="media/image60.png"/><Relationship Id="rId81" Type="http://schemas.microsoft.com/office/2007/relationships/hdphoto" Target="media/hdphoto8.wdp"/><Relationship Id="rId86" Type="http://schemas.openxmlformats.org/officeDocument/2006/relationships/image" Target="media/image65.png"/><Relationship Id="rId94" Type="http://schemas.openxmlformats.org/officeDocument/2006/relationships/image" Target="media/image72.png"/><Relationship Id="rId99" Type="http://schemas.openxmlformats.org/officeDocument/2006/relationships/image" Target="media/image77.png"/><Relationship Id="rId101" Type="http://schemas.openxmlformats.org/officeDocument/2006/relationships/header" Target="header3.xml"/><Relationship Id="rId4" Type="http://schemas.microsoft.com/office/2007/relationships/stylesWithEffects" Target="stylesWithEffects.xml"/><Relationship Id="rId9" Type="http://schemas.openxmlformats.org/officeDocument/2006/relationships/hyperlink" Target="https://www.tga.gov.au" TargetMode="External"/><Relationship Id="rId13" Type="http://schemas.openxmlformats.org/officeDocument/2006/relationships/footer" Target="footer1.xml"/><Relationship Id="rId18" Type="http://schemas.microsoft.com/office/2007/relationships/hdphoto" Target="media/hdphoto1.wdp"/><Relationship Id="rId39" Type="http://schemas.openxmlformats.org/officeDocument/2006/relationships/image" Target="media/image25.png"/><Relationship Id="rId109" Type="http://schemas.openxmlformats.org/officeDocument/2006/relationships/footer" Target="footer3.xml"/><Relationship Id="rId34" Type="http://schemas.openxmlformats.org/officeDocument/2006/relationships/image" Target="media/image20.png"/><Relationship Id="rId50" Type="http://schemas.microsoft.com/office/2007/relationships/hdphoto" Target="media/hdphoto3.wdp"/><Relationship Id="rId55" Type="http://schemas.microsoft.com/office/2007/relationships/hdphoto" Target="media/hdphoto4.wdp"/><Relationship Id="rId76" Type="http://schemas.openxmlformats.org/officeDocument/2006/relationships/image" Target="media/image58.png"/><Relationship Id="rId97" Type="http://schemas.openxmlformats.org/officeDocument/2006/relationships/image" Target="media/image75.png"/><Relationship Id="rId104" Type="http://schemas.openxmlformats.org/officeDocument/2006/relationships/footer" Target="footer2.xml"/><Relationship Id="rId7" Type="http://schemas.openxmlformats.org/officeDocument/2006/relationships/footnotes" Target="footnotes.xml"/><Relationship Id="rId71" Type="http://schemas.microsoft.com/office/2007/relationships/hdphoto" Target="media/hdphoto6.wdp"/><Relationship Id="rId92" Type="http://schemas.openxmlformats.org/officeDocument/2006/relationships/image" Target="media/image70.png"/></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whilel\AppData\Local\Hewlett-Packard\HP%20TRIM\TEMP\HPTRIM.5628\R13%20453302%20%20Clinical%20Evaluation%20Report%20Extract%20template.DOTX" TargetMode="External"/></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D1B5AD-17BC-4FF5-A8CF-D3A2890A9E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R13 453302  Clinical Evaluation Report Extract template.DOTX</Template>
  <TotalTime>58</TotalTime>
  <Pages>156</Pages>
  <Words>56036</Words>
  <Characters>306520</Characters>
  <Application>Microsoft Office Word</Application>
  <DocSecurity>0</DocSecurity>
  <Lines>7298</Lines>
  <Paragraphs>3098</Paragraphs>
  <ScaleCrop>false</ScaleCrop>
  <HeadingPairs>
    <vt:vector size="2" baseType="variant">
      <vt:variant>
        <vt:lpstr>Title</vt:lpstr>
      </vt:variant>
      <vt:variant>
        <vt:i4>1</vt:i4>
      </vt:variant>
    </vt:vector>
  </HeadingPairs>
  <TitlesOfParts>
    <vt:vector size="1" baseType="lpstr">
      <vt:lpstr>Extract from the Clinical Evaluation Report for [...]</vt:lpstr>
    </vt:vector>
  </TitlesOfParts>
  <Company>TGA</Company>
  <LinksUpToDate>false</LinksUpToDate>
  <CharactersWithSpaces>359458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AusPAR Attachment 2: Extract from the Clinical Evaluation Report for Lumacaftor / Ivacaftor (Orkambi</dc:title>
  <dc:subject>prescription medicines</dc:subject>
  <dc:creator>Therapeutic Goods Administration</dc:creator>
  <cp:keywords>AusPARs</cp:keywords>
  <cp:lastModifiedBy>Sheppard, Fran</cp:lastModifiedBy>
  <cp:revision>11</cp:revision>
  <cp:lastPrinted>2015-09-22T23:53:00Z</cp:lastPrinted>
  <dcterms:created xsi:type="dcterms:W3CDTF">2016-09-08T07:31:00Z</dcterms:created>
  <dcterms:modified xsi:type="dcterms:W3CDTF">2016-09-20T06:01:00Z</dcterms:modified>
</cp:coreProperties>
</file>