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8B" w:rsidRDefault="00582A8B" w:rsidP="00666877">
      <w:pPr>
        <w:pStyle w:val="Title"/>
        <w:spacing w:line="360" w:lineRule="auto"/>
        <w:jc w:val="both"/>
        <w:rPr>
          <w:caps/>
          <w:szCs w:val="24"/>
        </w:rPr>
      </w:pPr>
    </w:p>
    <w:p w:rsidR="000B734D" w:rsidRPr="00D206E8" w:rsidRDefault="000B734D" w:rsidP="00666877">
      <w:pPr>
        <w:pStyle w:val="Title"/>
        <w:spacing w:line="360" w:lineRule="auto"/>
        <w:rPr>
          <w:caps/>
          <w:szCs w:val="24"/>
        </w:rPr>
      </w:pPr>
      <w:r w:rsidRPr="00D206E8">
        <w:rPr>
          <w:caps/>
          <w:szCs w:val="24"/>
        </w:rPr>
        <w:t>Product Information</w:t>
      </w:r>
    </w:p>
    <w:p w:rsidR="00423117" w:rsidRPr="00FF459F" w:rsidRDefault="001620DA" w:rsidP="00666877">
      <w:pPr>
        <w:pStyle w:val="CM10"/>
        <w:spacing w:line="360" w:lineRule="auto"/>
        <w:jc w:val="center"/>
        <w:rPr>
          <w:b/>
          <w:bCs/>
          <w:sz w:val="28"/>
          <w:szCs w:val="28"/>
        </w:rPr>
      </w:pPr>
      <w:r w:rsidRPr="00FF459F">
        <w:rPr>
          <w:b/>
          <w:bCs/>
          <w:sz w:val="28"/>
          <w:szCs w:val="28"/>
        </w:rPr>
        <w:t>Lotemax</w:t>
      </w:r>
      <w:r w:rsidR="00AB5DFE" w:rsidRPr="00AB5DFE">
        <w:rPr>
          <w:b/>
          <w:bCs/>
          <w:sz w:val="28"/>
          <w:szCs w:val="28"/>
          <w:vertAlign w:val="superscript"/>
        </w:rPr>
        <w:t>®</w:t>
      </w:r>
    </w:p>
    <w:p w:rsidR="00B70EE3" w:rsidRDefault="00423117" w:rsidP="00666877">
      <w:pPr>
        <w:pStyle w:val="CM10"/>
        <w:spacing w:line="360" w:lineRule="auto"/>
        <w:jc w:val="center"/>
        <w:rPr>
          <w:b/>
          <w:bCs/>
        </w:rPr>
      </w:pPr>
      <w:proofErr w:type="gramStart"/>
      <w:r>
        <w:rPr>
          <w:b/>
          <w:bCs/>
        </w:rPr>
        <w:t>loteprednol</w:t>
      </w:r>
      <w:proofErr w:type="gramEnd"/>
      <w:r>
        <w:rPr>
          <w:b/>
          <w:bCs/>
        </w:rPr>
        <w:t xml:space="preserve"> etabonate </w:t>
      </w:r>
      <w:r w:rsidR="001620DA">
        <w:rPr>
          <w:b/>
          <w:bCs/>
        </w:rPr>
        <w:t>0.5</w:t>
      </w:r>
      <w:r w:rsidR="00B70EE3" w:rsidRPr="00D206E8">
        <w:rPr>
          <w:b/>
          <w:bCs/>
        </w:rPr>
        <w:t xml:space="preserve">% </w:t>
      </w:r>
      <w:r>
        <w:rPr>
          <w:b/>
          <w:bCs/>
        </w:rPr>
        <w:t>eye drops s</w:t>
      </w:r>
      <w:r w:rsidR="00AA5E41">
        <w:rPr>
          <w:b/>
          <w:bCs/>
        </w:rPr>
        <w:t>uspension</w:t>
      </w:r>
    </w:p>
    <w:p w:rsidR="00666877" w:rsidRPr="00666877" w:rsidRDefault="00666877" w:rsidP="00666877">
      <w:pPr>
        <w:pStyle w:val="Default"/>
        <w:rPr>
          <w:lang w:val="en-AU"/>
        </w:rPr>
      </w:pPr>
    </w:p>
    <w:p w:rsidR="00B267AF" w:rsidRPr="00D206E8" w:rsidRDefault="000078AD" w:rsidP="00D8190F">
      <w:pPr>
        <w:pStyle w:val="Heading1"/>
        <w:tabs>
          <w:tab w:val="left" w:pos="567"/>
        </w:tabs>
        <w:spacing w:line="360" w:lineRule="auto"/>
        <w:jc w:val="both"/>
        <w:rPr>
          <w:szCs w:val="24"/>
        </w:rPr>
      </w:pPr>
      <w:r w:rsidRPr="00D206E8">
        <w:rPr>
          <w:szCs w:val="24"/>
        </w:rPr>
        <w:t>Name of the medicine</w:t>
      </w:r>
    </w:p>
    <w:p w:rsidR="00EC739C" w:rsidRDefault="00E4284C" w:rsidP="00666877">
      <w:pPr>
        <w:pStyle w:val="Default"/>
        <w:tabs>
          <w:tab w:val="left" w:pos="567"/>
        </w:tabs>
        <w:spacing w:line="360" w:lineRule="auto"/>
        <w:ind w:left="567" w:hanging="567"/>
        <w:jc w:val="both"/>
        <w:rPr>
          <w:rFonts w:ascii="Times New Roman" w:hAnsi="Times New Roman" w:cs="Times New Roman"/>
          <w:color w:val="auto"/>
        </w:rPr>
      </w:pPr>
      <w:r w:rsidRPr="00D206E8">
        <w:rPr>
          <w:rFonts w:ascii="Times New Roman" w:hAnsi="Times New Roman" w:cs="Times New Roman"/>
          <w:color w:val="auto"/>
        </w:rPr>
        <w:t>N</w:t>
      </w:r>
      <w:r w:rsidR="00B267AF" w:rsidRPr="00D206E8">
        <w:rPr>
          <w:rFonts w:ascii="Times New Roman" w:hAnsi="Times New Roman" w:cs="Times New Roman"/>
          <w:color w:val="auto"/>
        </w:rPr>
        <w:t xml:space="preserve">ame: </w:t>
      </w:r>
      <w:r w:rsidR="001620DA">
        <w:rPr>
          <w:rFonts w:ascii="Times New Roman" w:hAnsi="Times New Roman" w:cs="Times New Roman"/>
          <w:color w:val="auto"/>
        </w:rPr>
        <w:t xml:space="preserve">loteprednol etabonate </w:t>
      </w:r>
    </w:p>
    <w:p w:rsidR="001620DA" w:rsidRDefault="00B267AF" w:rsidP="00666877">
      <w:pPr>
        <w:tabs>
          <w:tab w:val="left" w:pos="567"/>
        </w:tabs>
        <w:spacing w:line="360" w:lineRule="auto"/>
        <w:ind w:left="567" w:hanging="567"/>
        <w:jc w:val="both"/>
        <w:rPr>
          <w:sz w:val="24"/>
          <w:szCs w:val="24"/>
        </w:rPr>
      </w:pPr>
      <w:r w:rsidRPr="00D206E8">
        <w:rPr>
          <w:sz w:val="24"/>
          <w:szCs w:val="24"/>
        </w:rPr>
        <w:t>Chemical structure:</w:t>
      </w:r>
      <w:r w:rsidR="001620DA" w:rsidRPr="001620DA">
        <w:rPr>
          <w:sz w:val="24"/>
          <w:szCs w:val="24"/>
        </w:rPr>
        <w:t xml:space="preserve"> </w:t>
      </w:r>
    </w:p>
    <w:p w:rsidR="003608CE" w:rsidRPr="00C83443" w:rsidRDefault="004570DF" w:rsidP="00666877">
      <w:pPr>
        <w:tabs>
          <w:tab w:val="left" w:pos="567"/>
        </w:tabs>
        <w:spacing w:line="360" w:lineRule="auto"/>
        <w:ind w:left="567" w:hanging="567"/>
        <w:jc w:val="both"/>
        <w:rPr>
          <w:sz w:val="24"/>
          <w:szCs w:val="24"/>
        </w:rPr>
      </w:pPr>
      <w:r w:rsidRPr="00C8344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style="width:206.25pt;height:125.25pt;mso-position-horizontal:absolute">
            <v:imagedata r:id="rId9" o:title=""/>
          </v:shape>
        </w:pict>
      </w:r>
    </w:p>
    <w:p w:rsidR="00F87312" w:rsidRPr="00C83443" w:rsidRDefault="00C83443" w:rsidP="00666877">
      <w:pPr>
        <w:tabs>
          <w:tab w:val="left" w:pos="567"/>
        </w:tabs>
        <w:spacing w:line="360" w:lineRule="auto"/>
        <w:ind w:left="567" w:hanging="567"/>
        <w:jc w:val="both"/>
        <w:rPr>
          <w:sz w:val="24"/>
          <w:szCs w:val="24"/>
        </w:rPr>
      </w:pPr>
      <w:r w:rsidRPr="00C83443">
        <w:rPr>
          <w:sz w:val="24"/>
          <w:szCs w:val="24"/>
        </w:rPr>
        <w:t>CAS Registry Number: 82034-46-6</w:t>
      </w:r>
    </w:p>
    <w:p w:rsidR="00D206E8" w:rsidRDefault="00D206E8" w:rsidP="00666877">
      <w:pPr>
        <w:pStyle w:val="Default"/>
        <w:tabs>
          <w:tab w:val="left" w:pos="567"/>
        </w:tabs>
        <w:spacing w:line="360" w:lineRule="auto"/>
        <w:ind w:left="567" w:hanging="567"/>
        <w:jc w:val="both"/>
        <w:rPr>
          <w:rFonts w:ascii="Times New Roman" w:hAnsi="Times New Roman" w:cs="Times New Roman"/>
          <w:b/>
          <w:bCs/>
          <w:color w:val="auto"/>
        </w:rPr>
      </w:pPr>
    </w:p>
    <w:p w:rsidR="00666877" w:rsidRPr="00582A8B" w:rsidRDefault="000078AD" w:rsidP="00582A8B">
      <w:pPr>
        <w:pStyle w:val="Heading1"/>
        <w:spacing w:line="360" w:lineRule="auto"/>
        <w:jc w:val="both"/>
        <w:rPr>
          <w:bCs/>
          <w:szCs w:val="24"/>
        </w:rPr>
      </w:pPr>
      <w:r w:rsidRPr="00582A8B">
        <w:rPr>
          <w:bCs/>
          <w:szCs w:val="24"/>
        </w:rPr>
        <w:t>Description</w:t>
      </w:r>
    </w:p>
    <w:p w:rsidR="00666877" w:rsidRDefault="002736F4" w:rsidP="00280886">
      <w:pPr>
        <w:autoSpaceDE w:val="0"/>
        <w:autoSpaceDN w:val="0"/>
        <w:adjustRightInd w:val="0"/>
        <w:jc w:val="both"/>
        <w:rPr>
          <w:sz w:val="24"/>
          <w:szCs w:val="24"/>
        </w:rPr>
      </w:pPr>
      <w:r w:rsidRPr="002F6B08">
        <w:rPr>
          <w:sz w:val="24"/>
          <w:szCs w:val="24"/>
        </w:rPr>
        <w:t>L</w:t>
      </w:r>
      <w:r w:rsidRPr="001620DA">
        <w:rPr>
          <w:sz w:val="24"/>
          <w:szCs w:val="24"/>
        </w:rPr>
        <w:t xml:space="preserve">oteprednol etabonate </w:t>
      </w:r>
      <w:r w:rsidRPr="002F6B08">
        <w:rPr>
          <w:sz w:val="24"/>
          <w:szCs w:val="24"/>
        </w:rPr>
        <w:t xml:space="preserve">is a white to off-white powder. </w:t>
      </w:r>
      <w:r w:rsidR="00163714" w:rsidRPr="002F6B08">
        <w:rPr>
          <w:sz w:val="24"/>
          <w:szCs w:val="24"/>
        </w:rPr>
        <w:t xml:space="preserve">The chemical name for loteprednol etabonate is </w:t>
      </w:r>
      <w:r w:rsidR="001620DA" w:rsidRPr="002F6B08">
        <w:rPr>
          <w:sz w:val="24"/>
          <w:szCs w:val="24"/>
        </w:rPr>
        <w:t>chloromethyl 17α-[(ethoxycarbonyl</w:t>
      </w:r>
      <w:proofErr w:type="gramStart"/>
      <w:r w:rsidR="001620DA" w:rsidRPr="002F6B08">
        <w:rPr>
          <w:sz w:val="24"/>
          <w:szCs w:val="24"/>
        </w:rPr>
        <w:t>)oxy</w:t>
      </w:r>
      <w:proofErr w:type="gramEnd"/>
      <w:r w:rsidR="001620DA" w:rsidRPr="002F6B08">
        <w:rPr>
          <w:sz w:val="24"/>
          <w:szCs w:val="24"/>
        </w:rPr>
        <w:t>]-11β-hydroxy-3-oxoandrosta-1,4-diene-17β-carboxylate</w:t>
      </w:r>
      <w:r w:rsidR="00163714" w:rsidRPr="002F6B08">
        <w:rPr>
          <w:sz w:val="24"/>
          <w:szCs w:val="24"/>
        </w:rPr>
        <w:t xml:space="preserve">. </w:t>
      </w:r>
      <w:r w:rsidR="00163714" w:rsidRPr="00163714">
        <w:rPr>
          <w:sz w:val="24"/>
          <w:szCs w:val="24"/>
        </w:rPr>
        <w:t xml:space="preserve">The empirical formula is </w:t>
      </w:r>
      <w:proofErr w:type="gramStart"/>
      <w:r w:rsidR="001620DA" w:rsidRPr="00163714">
        <w:rPr>
          <w:sz w:val="24"/>
          <w:szCs w:val="24"/>
        </w:rPr>
        <w:t>C</w:t>
      </w:r>
      <w:r w:rsidR="001620DA" w:rsidRPr="00541191">
        <w:rPr>
          <w:sz w:val="24"/>
          <w:szCs w:val="24"/>
          <w:vertAlign w:val="subscript"/>
        </w:rPr>
        <w:t>24</w:t>
      </w:r>
      <w:r w:rsidR="001620DA" w:rsidRPr="00163714">
        <w:rPr>
          <w:sz w:val="24"/>
          <w:szCs w:val="24"/>
        </w:rPr>
        <w:t>H</w:t>
      </w:r>
      <w:r w:rsidR="001620DA" w:rsidRPr="00541191">
        <w:rPr>
          <w:sz w:val="24"/>
          <w:szCs w:val="24"/>
          <w:vertAlign w:val="subscript"/>
        </w:rPr>
        <w:t>31</w:t>
      </w:r>
      <w:r w:rsidR="001620DA" w:rsidRPr="00163714">
        <w:rPr>
          <w:sz w:val="24"/>
          <w:szCs w:val="24"/>
        </w:rPr>
        <w:t>ClO</w:t>
      </w:r>
      <w:r w:rsidR="001620DA" w:rsidRPr="00DC6CA2">
        <w:rPr>
          <w:sz w:val="24"/>
          <w:szCs w:val="24"/>
          <w:vertAlign w:val="subscript"/>
        </w:rPr>
        <w:t>7</w:t>
      </w:r>
      <w:r w:rsidR="00163714" w:rsidRPr="00DC6CA2">
        <w:rPr>
          <w:sz w:val="24"/>
          <w:szCs w:val="24"/>
          <w:vertAlign w:val="subscript"/>
        </w:rPr>
        <w:t xml:space="preserve"> </w:t>
      </w:r>
      <w:r w:rsidR="00163714" w:rsidRPr="002F6B08">
        <w:rPr>
          <w:sz w:val="24"/>
          <w:szCs w:val="24"/>
        </w:rPr>
        <w:t xml:space="preserve"> and</w:t>
      </w:r>
      <w:proofErr w:type="gramEnd"/>
      <w:r w:rsidR="00163714" w:rsidRPr="002F6B08">
        <w:rPr>
          <w:sz w:val="24"/>
          <w:szCs w:val="24"/>
        </w:rPr>
        <w:t xml:space="preserve"> its molecular weight is </w:t>
      </w:r>
      <w:r w:rsidR="001620DA" w:rsidRPr="002F6B08">
        <w:rPr>
          <w:sz w:val="24"/>
          <w:szCs w:val="24"/>
        </w:rPr>
        <w:t>466.96</w:t>
      </w:r>
      <w:r w:rsidR="00163714" w:rsidRPr="002F6B08">
        <w:rPr>
          <w:sz w:val="24"/>
          <w:szCs w:val="24"/>
        </w:rPr>
        <w:t xml:space="preserve">. </w:t>
      </w:r>
    </w:p>
    <w:p w:rsidR="00E42909" w:rsidRDefault="00E42909" w:rsidP="00280886">
      <w:pPr>
        <w:autoSpaceDE w:val="0"/>
        <w:autoSpaceDN w:val="0"/>
        <w:adjustRightInd w:val="0"/>
        <w:jc w:val="both"/>
        <w:rPr>
          <w:sz w:val="24"/>
          <w:szCs w:val="24"/>
        </w:rPr>
      </w:pPr>
    </w:p>
    <w:p w:rsidR="004E06B8" w:rsidRPr="004E06B8" w:rsidRDefault="00AA5E41" w:rsidP="00280886">
      <w:pPr>
        <w:autoSpaceDE w:val="0"/>
        <w:autoSpaceDN w:val="0"/>
        <w:adjustRightInd w:val="0"/>
        <w:jc w:val="both"/>
        <w:rPr>
          <w:sz w:val="24"/>
          <w:szCs w:val="24"/>
        </w:rPr>
      </w:pPr>
      <w:r w:rsidRPr="002F6B08">
        <w:rPr>
          <w:sz w:val="24"/>
          <w:szCs w:val="24"/>
        </w:rPr>
        <w:t xml:space="preserve">Lotemax is a </w:t>
      </w:r>
      <w:r w:rsidR="00484156" w:rsidRPr="002F6B08">
        <w:rPr>
          <w:sz w:val="24"/>
          <w:szCs w:val="24"/>
        </w:rPr>
        <w:t>topical anti-</w:t>
      </w:r>
      <w:r w:rsidR="001620DA" w:rsidRPr="002F6B08">
        <w:rPr>
          <w:sz w:val="24"/>
          <w:szCs w:val="24"/>
        </w:rPr>
        <w:t xml:space="preserve">inflammatory corticosteroid </w:t>
      </w:r>
      <w:r w:rsidR="007F7AA1" w:rsidRPr="002F6B08">
        <w:rPr>
          <w:sz w:val="24"/>
          <w:szCs w:val="24"/>
        </w:rPr>
        <w:t xml:space="preserve">for </w:t>
      </w:r>
      <w:r w:rsidR="00B54B99" w:rsidRPr="002F6B08">
        <w:rPr>
          <w:sz w:val="24"/>
          <w:szCs w:val="24"/>
        </w:rPr>
        <w:t>ophthalmic use.</w:t>
      </w:r>
      <w:r w:rsidRPr="002F6B08">
        <w:rPr>
          <w:sz w:val="24"/>
          <w:szCs w:val="24"/>
        </w:rPr>
        <w:t xml:space="preserve"> It is a </w:t>
      </w:r>
      <w:r w:rsidR="00F460F0" w:rsidRPr="00AA5E41">
        <w:rPr>
          <w:sz w:val="24"/>
          <w:szCs w:val="24"/>
        </w:rPr>
        <w:t>sterile</w:t>
      </w:r>
      <w:r w:rsidR="006B66D7">
        <w:rPr>
          <w:sz w:val="24"/>
          <w:szCs w:val="24"/>
        </w:rPr>
        <w:t xml:space="preserve">, </w:t>
      </w:r>
      <w:r w:rsidR="006B66D7" w:rsidRPr="002F6B08">
        <w:rPr>
          <w:sz w:val="24"/>
          <w:szCs w:val="24"/>
        </w:rPr>
        <w:t xml:space="preserve">milky white </w:t>
      </w:r>
      <w:r w:rsidR="00F460F0" w:rsidRPr="002F6B08">
        <w:rPr>
          <w:sz w:val="24"/>
          <w:szCs w:val="24"/>
        </w:rPr>
        <w:t xml:space="preserve">ophthalmic suspension of </w:t>
      </w:r>
      <w:r w:rsidR="007F7AA1" w:rsidRPr="002F6B08">
        <w:rPr>
          <w:sz w:val="24"/>
          <w:szCs w:val="24"/>
        </w:rPr>
        <w:t>loteprednol etabonate</w:t>
      </w:r>
      <w:r w:rsidR="00F460F0" w:rsidRPr="002F6B08">
        <w:rPr>
          <w:sz w:val="24"/>
          <w:szCs w:val="24"/>
        </w:rPr>
        <w:t xml:space="preserve">. </w:t>
      </w:r>
      <w:r w:rsidR="002F6B08" w:rsidRPr="002F6B08">
        <w:rPr>
          <w:sz w:val="24"/>
          <w:szCs w:val="24"/>
        </w:rPr>
        <w:t xml:space="preserve">The suspension is </w:t>
      </w:r>
      <w:r w:rsidR="002F6B08">
        <w:rPr>
          <w:sz w:val="24"/>
          <w:szCs w:val="24"/>
        </w:rPr>
        <w:t>e</w:t>
      </w:r>
      <w:r w:rsidR="002F6B08" w:rsidRPr="002F6B08">
        <w:rPr>
          <w:sz w:val="24"/>
          <w:szCs w:val="24"/>
        </w:rPr>
        <w:t xml:space="preserve">ssentially isotonic with a tonicity </w:t>
      </w:r>
      <w:proofErr w:type="gramStart"/>
      <w:r w:rsidR="002F6B08" w:rsidRPr="002F6B08">
        <w:rPr>
          <w:sz w:val="24"/>
          <w:szCs w:val="24"/>
        </w:rPr>
        <w:t>of 250 to 310</w:t>
      </w:r>
      <w:r w:rsidR="002F6B08">
        <w:rPr>
          <w:sz w:val="24"/>
          <w:szCs w:val="24"/>
        </w:rPr>
        <w:t xml:space="preserve"> </w:t>
      </w:r>
      <w:r w:rsidR="002F6B08" w:rsidRPr="002F6B08">
        <w:rPr>
          <w:sz w:val="24"/>
          <w:szCs w:val="24"/>
        </w:rPr>
        <w:t>m</w:t>
      </w:r>
      <w:r w:rsidR="002F6B08" w:rsidRPr="004E0104">
        <w:rPr>
          <w:color w:val="000000"/>
          <w:sz w:val="24"/>
          <w:szCs w:val="24"/>
        </w:rPr>
        <w:t>O</w:t>
      </w:r>
      <w:r w:rsidR="002F6B08" w:rsidRPr="002F6B08">
        <w:rPr>
          <w:sz w:val="24"/>
          <w:szCs w:val="24"/>
        </w:rPr>
        <w:t>smol/kg</w:t>
      </w:r>
      <w:proofErr w:type="gramEnd"/>
      <w:r w:rsidR="002F6B08" w:rsidRPr="002F6B08">
        <w:rPr>
          <w:sz w:val="24"/>
          <w:szCs w:val="24"/>
        </w:rPr>
        <w:t xml:space="preserve">. The pH is adjusted to </w:t>
      </w:r>
      <w:r w:rsidR="002F6B08" w:rsidRPr="004E06B8">
        <w:rPr>
          <w:sz w:val="24"/>
          <w:szCs w:val="24"/>
        </w:rPr>
        <w:t>5.5</w:t>
      </w:r>
      <w:r w:rsidR="004E0104">
        <w:rPr>
          <w:sz w:val="24"/>
          <w:szCs w:val="24"/>
        </w:rPr>
        <w:t xml:space="preserve"> </w:t>
      </w:r>
      <w:r w:rsidR="002F6B08" w:rsidRPr="004E06B8">
        <w:rPr>
          <w:sz w:val="24"/>
          <w:szCs w:val="24"/>
        </w:rPr>
        <w:t>-</w:t>
      </w:r>
      <w:r w:rsidR="004E0104">
        <w:rPr>
          <w:sz w:val="24"/>
          <w:szCs w:val="24"/>
        </w:rPr>
        <w:t xml:space="preserve"> </w:t>
      </w:r>
      <w:r w:rsidR="002F6B08" w:rsidRPr="004E06B8">
        <w:rPr>
          <w:sz w:val="24"/>
          <w:szCs w:val="24"/>
        </w:rPr>
        <w:t>5.6.</w:t>
      </w:r>
    </w:p>
    <w:p w:rsidR="00547ED3" w:rsidRPr="004E06B8" w:rsidRDefault="00547ED3" w:rsidP="00280886">
      <w:pPr>
        <w:autoSpaceDE w:val="0"/>
        <w:autoSpaceDN w:val="0"/>
        <w:adjustRightInd w:val="0"/>
        <w:spacing w:before="120" w:after="120"/>
        <w:jc w:val="both"/>
        <w:rPr>
          <w:sz w:val="24"/>
          <w:szCs w:val="24"/>
        </w:rPr>
      </w:pPr>
      <w:r w:rsidRPr="004E06B8">
        <w:rPr>
          <w:sz w:val="24"/>
          <w:szCs w:val="24"/>
        </w:rPr>
        <w:t xml:space="preserve">Each mL of </w:t>
      </w:r>
      <w:r w:rsidR="00484156" w:rsidRPr="004E06B8">
        <w:rPr>
          <w:sz w:val="24"/>
          <w:szCs w:val="24"/>
        </w:rPr>
        <w:t>Lotemax</w:t>
      </w:r>
      <w:r w:rsidRPr="004E06B8">
        <w:rPr>
          <w:sz w:val="24"/>
          <w:szCs w:val="24"/>
        </w:rPr>
        <w:t xml:space="preserve"> contains </w:t>
      </w:r>
      <w:r w:rsidR="00484156" w:rsidRPr="004E06B8">
        <w:rPr>
          <w:sz w:val="24"/>
          <w:szCs w:val="24"/>
        </w:rPr>
        <w:t>5</w:t>
      </w:r>
      <w:r w:rsidR="00E42909">
        <w:rPr>
          <w:sz w:val="24"/>
          <w:szCs w:val="24"/>
        </w:rPr>
        <w:t xml:space="preserve"> </w:t>
      </w:r>
      <w:r w:rsidR="00484156" w:rsidRPr="004E06B8">
        <w:rPr>
          <w:sz w:val="24"/>
          <w:szCs w:val="24"/>
        </w:rPr>
        <w:t>mg of loteprednol etabonate.</w:t>
      </w:r>
      <w:r w:rsidR="00E4284C" w:rsidRPr="004E06B8">
        <w:rPr>
          <w:sz w:val="24"/>
          <w:szCs w:val="24"/>
        </w:rPr>
        <w:t xml:space="preserve"> </w:t>
      </w:r>
    </w:p>
    <w:p w:rsidR="00E42909" w:rsidRPr="00DF5130" w:rsidRDefault="002736F4" w:rsidP="00280886">
      <w:pPr>
        <w:autoSpaceDE w:val="0"/>
        <w:autoSpaceDN w:val="0"/>
        <w:adjustRightInd w:val="0"/>
        <w:spacing w:before="120" w:after="120"/>
        <w:jc w:val="both"/>
        <w:rPr>
          <w:sz w:val="24"/>
          <w:szCs w:val="24"/>
        </w:rPr>
      </w:pPr>
      <w:r w:rsidRPr="00DF5130">
        <w:rPr>
          <w:sz w:val="24"/>
          <w:szCs w:val="24"/>
        </w:rPr>
        <w:t xml:space="preserve">Lotemax contains the following inactive ingredients: </w:t>
      </w:r>
      <w:r w:rsidR="00D206E8" w:rsidRPr="00DF5130">
        <w:rPr>
          <w:sz w:val="24"/>
          <w:szCs w:val="24"/>
        </w:rPr>
        <w:t>benzalkonium chloride 0.01% (preservative),</w:t>
      </w:r>
      <w:r w:rsidR="00484156" w:rsidRPr="00DF5130">
        <w:rPr>
          <w:sz w:val="24"/>
          <w:szCs w:val="24"/>
        </w:rPr>
        <w:t xml:space="preserve"> </w:t>
      </w:r>
      <w:r w:rsidR="00DC6CA2" w:rsidRPr="00DF5130">
        <w:rPr>
          <w:sz w:val="24"/>
          <w:szCs w:val="24"/>
        </w:rPr>
        <w:t xml:space="preserve">disodium </w:t>
      </w:r>
      <w:r w:rsidRPr="00DF5130">
        <w:rPr>
          <w:sz w:val="24"/>
          <w:szCs w:val="24"/>
        </w:rPr>
        <w:t>e</w:t>
      </w:r>
      <w:r w:rsidR="00484156" w:rsidRPr="00DF5130">
        <w:rPr>
          <w:sz w:val="24"/>
          <w:szCs w:val="24"/>
        </w:rPr>
        <w:t xml:space="preserve">detate, </w:t>
      </w:r>
      <w:r w:rsidR="00BE3469">
        <w:rPr>
          <w:sz w:val="24"/>
          <w:szCs w:val="24"/>
        </w:rPr>
        <w:t>glycerol</w:t>
      </w:r>
      <w:r w:rsidR="00484156" w:rsidRPr="00DF5130">
        <w:rPr>
          <w:sz w:val="24"/>
          <w:szCs w:val="24"/>
        </w:rPr>
        <w:t xml:space="preserve">, </w:t>
      </w:r>
      <w:r w:rsidRPr="00DF5130">
        <w:rPr>
          <w:sz w:val="24"/>
          <w:szCs w:val="24"/>
        </w:rPr>
        <w:t>p</w:t>
      </w:r>
      <w:r w:rsidR="00484156" w:rsidRPr="00DF5130">
        <w:rPr>
          <w:sz w:val="24"/>
          <w:szCs w:val="24"/>
        </w:rPr>
        <w:t xml:space="preserve">ovidone, </w:t>
      </w:r>
      <w:r w:rsidRPr="00DF5130">
        <w:rPr>
          <w:sz w:val="24"/>
          <w:szCs w:val="24"/>
        </w:rPr>
        <w:t>purified w</w:t>
      </w:r>
      <w:r w:rsidR="00484156" w:rsidRPr="00DF5130">
        <w:rPr>
          <w:sz w:val="24"/>
          <w:szCs w:val="24"/>
        </w:rPr>
        <w:t xml:space="preserve">ater and </w:t>
      </w:r>
      <w:r w:rsidRPr="00DF5130">
        <w:rPr>
          <w:sz w:val="24"/>
          <w:szCs w:val="24"/>
        </w:rPr>
        <w:t>tyloxapol.</w:t>
      </w:r>
      <w:r w:rsidRPr="00DF5130">
        <w:rPr>
          <w:rFonts w:cs="BauschlombRegCond"/>
          <w:sz w:val="24"/>
          <w:szCs w:val="24"/>
        </w:rPr>
        <w:t xml:space="preserve"> </w:t>
      </w:r>
      <w:r w:rsidR="00C8711B">
        <w:rPr>
          <w:sz w:val="24"/>
          <w:szCs w:val="24"/>
        </w:rPr>
        <w:t>H</w:t>
      </w:r>
      <w:r w:rsidRPr="00DF5130">
        <w:rPr>
          <w:sz w:val="24"/>
          <w:szCs w:val="24"/>
        </w:rPr>
        <w:t>ydrochloric a</w:t>
      </w:r>
      <w:r w:rsidR="00484156" w:rsidRPr="00DF5130">
        <w:rPr>
          <w:sz w:val="24"/>
          <w:szCs w:val="24"/>
        </w:rPr>
        <w:t xml:space="preserve">cid and/or </w:t>
      </w:r>
      <w:r w:rsidRPr="00DF5130">
        <w:rPr>
          <w:sz w:val="24"/>
          <w:szCs w:val="24"/>
        </w:rPr>
        <w:t>s</w:t>
      </w:r>
      <w:r w:rsidR="00484156" w:rsidRPr="00DF5130">
        <w:rPr>
          <w:sz w:val="24"/>
          <w:szCs w:val="24"/>
        </w:rPr>
        <w:t xml:space="preserve">odium </w:t>
      </w:r>
      <w:r w:rsidRPr="00DF5130">
        <w:rPr>
          <w:sz w:val="24"/>
          <w:szCs w:val="24"/>
        </w:rPr>
        <w:t>h</w:t>
      </w:r>
      <w:r w:rsidR="00484156" w:rsidRPr="00DF5130">
        <w:rPr>
          <w:sz w:val="24"/>
          <w:szCs w:val="24"/>
        </w:rPr>
        <w:t>ydroxide may be added to adjust the pH.</w:t>
      </w:r>
    </w:p>
    <w:p w:rsidR="00E42909" w:rsidRDefault="00E42909" w:rsidP="00E42909">
      <w:pPr>
        <w:autoSpaceDE w:val="0"/>
        <w:autoSpaceDN w:val="0"/>
        <w:adjustRightInd w:val="0"/>
        <w:spacing w:before="120" w:after="120" w:line="360" w:lineRule="auto"/>
        <w:jc w:val="both"/>
      </w:pPr>
    </w:p>
    <w:p w:rsidR="009C1E08" w:rsidRPr="00582A8B" w:rsidRDefault="000078AD" w:rsidP="00582A8B">
      <w:pPr>
        <w:pStyle w:val="Heading1"/>
        <w:spacing w:line="360" w:lineRule="auto"/>
        <w:jc w:val="both"/>
        <w:rPr>
          <w:bCs/>
          <w:szCs w:val="24"/>
        </w:rPr>
      </w:pPr>
      <w:r w:rsidRPr="00582A8B">
        <w:rPr>
          <w:bCs/>
          <w:szCs w:val="24"/>
        </w:rPr>
        <w:t xml:space="preserve">Pharmacology </w:t>
      </w:r>
    </w:p>
    <w:p w:rsidR="00AF4B7F" w:rsidRDefault="0008014C" w:rsidP="00666877">
      <w:pPr>
        <w:pStyle w:val="CM10"/>
        <w:tabs>
          <w:tab w:val="left" w:pos="567"/>
        </w:tabs>
        <w:spacing w:line="360" w:lineRule="auto"/>
        <w:ind w:left="567" w:right="2195" w:hanging="567"/>
        <w:jc w:val="both"/>
        <w:rPr>
          <w:u w:val="single"/>
          <w:lang w:val="en-US"/>
        </w:rPr>
      </w:pPr>
      <w:r>
        <w:rPr>
          <w:u w:val="single"/>
          <w:lang w:val="en-US"/>
        </w:rPr>
        <w:t>Mechanism of action</w:t>
      </w:r>
    </w:p>
    <w:p w:rsidR="0055584E" w:rsidRDefault="0055584E" w:rsidP="00EA7276">
      <w:pPr>
        <w:autoSpaceDE w:val="0"/>
        <w:autoSpaceDN w:val="0"/>
        <w:adjustRightInd w:val="0"/>
        <w:jc w:val="both"/>
        <w:rPr>
          <w:rFonts w:cs="BauschlombRegCond"/>
          <w:sz w:val="24"/>
          <w:szCs w:val="24"/>
        </w:rPr>
      </w:pPr>
      <w:r w:rsidRPr="004E06B8">
        <w:rPr>
          <w:sz w:val="24"/>
          <w:szCs w:val="24"/>
        </w:rPr>
        <w:t xml:space="preserve">Corticosteroids inhibit the inflammatory response to a variety of inciting agents and </w:t>
      </w:r>
      <w:r w:rsidR="00C87E60">
        <w:rPr>
          <w:sz w:val="24"/>
          <w:szCs w:val="24"/>
        </w:rPr>
        <w:t xml:space="preserve">may </w:t>
      </w:r>
      <w:r w:rsidRPr="004E06B8">
        <w:rPr>
          <w:sz w:val="24"/>
          <w:szCs w:val="24"/>
        </w:rPr>
        <w:t xml:space="preserve">delay or slow healing. They inhibit the </w:t>
      </w:r>
      <w:r w:rsidR="0094252F">
        <w:rPr>
          <w:sz w:val="24"/>
          <w:szCs w:val="24"/>
        </w:rPr>
        <w:t>oedema</w:t>
      </w:r>
      <w:r w:rsidRPr="004E06B8">
        <w:rPr>
          <w:sz w:val="24"/>
          <w:szCs w:val="24"/>
        </w:rPr>
        <w:t xml:space="preserve">, fibrin deposition, capillary dilation, </w:t>
      </w:r>
      <w:r w:rsidRPr="004E06B8">
        <w:rPr>
          <w:sz w:val="24"/>
          <w:szCs w:val="24"/>
        </w:rPr>
        <w:lastRenderedPageBreak/>
        <w:t>leukocyte migration, capillary proliferation, fibroblast proliferation, deposition of collagen, and scar formation associated with inflammation. There is no generally accepted explanation for the mechanism of action of ocular corticosteroids. However, corticosteroids are thought to act by the induction of phospholipase A2 inhibitory</w:t>
      </w:r>
      <w:r w:rsidR="00D11050">
        <w:rPr>
          <w:sz w:val="24"/>
          <w:szCs w:val="24"/>
        </w:rPr>
        <w:t xml:space="preserve"> </w:t>
      </w:r>
      <w:r w:rsidRPr="004E06B8">
        <w:rPr>
          <w:sz w:val="24"/>
          <w:szCs w:val="24"/>
        </w:rPr>
        <w:t>proteins</w:t>
      </w:r>
      <w:r w:rsidRPr="005A08B5">
        <w:rPr>
          <w:rFonts w:cs="BauschlombRegCond"/>
          <w:sz w:val="24"/>
          <w:szCs w:val="24"/>
        </w:rPr>
        <w:t>, collectively called lipocortins. It is postulated that these proteins control the biosynthesis of potent mediators of inflammation such as prostaglandins and leukotrienes by inhibiting the release of their common precursor arachidonic acid. Arachidonic acid is released from membrane phospholipids by phospholipase A2. Corticosteroids are capable of producing a rise in intraocular pressure.</w:t>
      </w:r>
    </w:p>
    <w:p w:rsidR="00666877" w:rsidRPr="005A08B5" w:rsidRDefault="00666877" w:rsidP="0090456F">
      <w:pPr>
        <w:autoSpaceDE w:val="0"/>
        <w:autoSpaceDN w:val="0"/>
        <w:adjustRightInd w:val="0"/>
        <w:jc w:val="both"/>
        <w:rPr>
          <w:rFonts w:cs="BauschlombRegCond"/>
          <w:sz w:val="24"/>
          <w:szCs w:val="24"/>
        </w:rPr>
      </w:pPr>
    </w:p>
    <w:p w:rsidR="005C44A0" w:rsidRPr="005A08B5" w:rsidRDefault="0055584E" w:rsidP="0090456F">
      <w:pPr>
        <w:autoSpaceDE w:val="0"/>
        <w:autoSpaceDN w:val="0"/>
        <w:adjustRightInd w:val="0"/>
        <w:jc w:val="both"/>
        <w:rPr>
          <w:rFonts w:cs="BauschlombRegCond"/>
          <w:sz w:val="24"/>
          <w:szCs w:val="24"/>
        </w:rPr>
      </w:pPr>
      <w:r w:rsidRPr="005A08B5">
        <w:rPr>
          <w:rFonts w:cs="BauschlombRegCond"/>
          <w:sz w:val="24"/>
          <w:szCs w:val="24"/>
        </w:rPr>
        <w:t>Loteprednol etabonate is structurally similar to other corticosteroids. However, the number 20 position ketone group is absent</w:t>
      </w:r>
      <w:r w:rsidR="00D11050">
        <w:rPr>
          <w:rFonts w:cs="BauschlombRegCond"/>
          <w:sz w:val="24"/>
          <w:szCs w:val="24"/>
        </w:rPr>
        <w:t>.</w:t>
      </w:r>
      <w:r w:rsidR="00D11050" w:rsidRPr="00D11050">
        <w:rPr>
          <w:rFonts w:cs="BauschlombRegCond"/>
          <w:sz w:val="24"/>
          <w:szCs w:val="24"/>
        </w:rPr>
        <w:t xml:space="preserve"> </w:t>
      </w:r>
      <w:r w:rsidR="00D11050" w:rsidRPr="005A08B5">
        <w:rPr>
          <w:rFonts w:cs="BauschlombRegCond"/>
          <w:sz w:val="24"/>
          <w:szCs w:val="24"/>
        </w:rPr>
        <w:t>Loteprednol etabonate is synthesi</w:t>
      </w:r>
      <w:r w:rsidR="00D11050">
        <w:rPr>
          <w:rFonts w:cs="BauschlombRegCond"/>
          <w:sz w:val="24"/>
          <w:szCs w:val="24"/>
        </w:rPr>
        <w:t>s</w:t>
      </w:r>
      <w:r w:rsidR="00D11050" w:rsidRPr="005A08B5">
        <w:rPr>
          <w:rFonts w:cs="BauschlombRegCond"/>
          <w:sz w:val="24"/>
          <w:szCs w:val="24"/>
        </w:rPr>
        <w:t>ed through structural modifications of prednisolone-related compounds so that it will undergo a predictable transformation to an inactive metabolite</w:t>
      </w:r>
      <w:r w:rsidR="00D11050">
        <w:rPr>
          <w:rFonts w:cs="BauschlombRegCond"/>
          <w:sz w:val="24"/>
          <w:szCs w:val="24"/>
        </w:rPr>
        <w:t xml:space="preserve">, which may account for the lower risk of intraocular pressure </w:t>
      </w:r>
      <w:r w:rsidR="0046243C">
        <w:rPr>
          <w:rFonts w:cs="BauschlombRegCond"/>
          <w:sz w:val="24"/>
          <w:szCs w:val="24"/>
        </w:rPr>
        <w:t>elevation</w:t>
      </w:r>
      <w:r w:rsidR="00D11050">
        <w:rPr>
          <w:rFonts w:cs="BauschlombRegCond"/>
          <w:sz w:val="24"/>
          <w:szCs w:val="24"/>
        </w:rPr>
        <w:t xml:space="preserve"> observed in clinical trials, compared to prednisolone. Loteprednol etabonate </w:t>
      </w:r>
      <w:r w:rsidRPr="005A08B5">
        <w:rPr>
          <w:rFonts w:cs="BauschlombRegCond"/>
          <w:sz w:val="24"/>
          <w:szCs w:val="24"/>
        </w:rPr>
        <w:t>is highly lipid soluble which enhances its penetration into cells</w:t>
      </w:r>
      <w:r w:rsidR="00D11050">
        <w:rPr>
          <w:rFonts w:cs="BauschlombRegCond"/>
          <w:sz w:val="24"/>
          <w:szCs w:val="24"/>
        </w:rPr>
        <w:t xml:space="preserve"> and its binding at the glucocorticoid receptor</w:t>
      </w:r>
      <w:r w:rsidRPr="005A08B5">
        <w:rPr>
          <w:rFonts w:cs="BauschlombRegCond"/>
          <w:sz w:val="24"/>
          <w:szCs w:val="24"/>
        </w:rPr>
        <w:t>.</w:t>
      </w:r>
    </w:p>
    <w:p w:rsidR="004E06B8" w:rsidRDefault="004E06B8" w:rsidP="00666877">
      <w:pPr>
        <w:pStyle w:val="CM10"/>
        <w:tabs>
          <w:tab w:val="left" w:pos="567"/>
        </w:tabs>
        <w:spacing w:line="360" w:lineRule="auto"/>
        <w:ind w:left="567" w:right="2195" w:hanging="567"/>
        <w:jc w:val="both"/>
        <w:rPr>
          <w:u w:val="single"/>
          <w:lang w:val="en-US"/>
        </w:rPr>
      </w:pPr>
    </w:p>
    <w:p w:rsidR="006C7C38" w:rsidRDefault="006C7C38" w:rsidP="0090456F">
      <w:pPr>
        <w:pStyle w:val="CM10"/>
        <w:tabs>
          <w:tab w:val="left" w:pos="567"/>
        </w:tabs>
        <w:ind w:left="567" w:right="2195" w:hanging="567"/>
        <w:jc w:val="both"/>
        <w:rPr>
          <w:u w:val="single"/>
          <w:lang w:val="en-US"/>
        </w:rPr>
      </w:pPr>
      <w:r w:rsidRPr="005A08B5">
        <w:rPr>
          <w:u w:val="single"/>
          <w:lang w:val="en-US"/>
        </w:rPr>
        <w:t xml:space="preserve">Pharmacokinetics </w:t>
      </w:r>
    </w:p>
    <w:p w:rsidR="004E06B8" w:rsidRDefault="001075B5" w:rsidP="0090456F">
      <w:pPr>
        <w:autoSpaceDE w:val="0"/>
        <w:autoSpaceDN w:val="0"/>
        <w:adjustRightInd w:val="0"/>
        <w:jc w:val="both"/>
        <w:rPr>
          <w:rFonts w:cs="BauschlombRegCond"/>
          <w:sz w:val="24"/>
          <w:szCs w:val="24"/>
        </w:rPr>
      </w:pPr>
      <w:bookmarkStart w:id="0" w:name="PRECLINICAL_SAFETY"/>
      <w:bookmarkEnd w:id="0"/>
      <w:r w:rsidRPr="00DC6CA2">
        <w:rPr>
          <w:rFonts w:cs="BauschlombRegCond"/>
          <w:sz w:val="24"/>
          <w:szCs w:val="24"/>
        </w:rPr>
        <w:t xml:space="preserve">The available pharmacokinetic data from </w:t>
      </w:r>
      <w:r w:rsidRPr="00E42909">
        <w:rPr>
          <w:rFonts w:cs="BauschlombRegCond"/>
          <w:i/>
          <w:sz w:val="24"/>
          <w:szCs w:val="24"/>
        </w:rPr>
        <w:t>in vivo</w:t>
      </w:r>
      <w:r w:rsidRPr="00DC6CA2">
        <w:rPr>
          <w:rFonts w:cs="BauschlombRegCond"/>
          <w:sz w:val="24"/>
          <w:szCs w:val="24"/>
        </w:rPr>
        <w:t xml:space="preserve"> and </w:t>
      </w:r>
      <w:r w:rsidRPr="00E42909">
        <w:rPr>
          <w:rFonts w:cs="BauschlombRegCond"/>
          <w:i/>
          <w:sz w:val="24"/>
          <w:szCs w:val="24"/>
        </w:rPr>
        <w:t>in vitro</w:t>
      </w:r>
      <w:r w:rsidRPr="00DC6CA2">
        <w:rPr>
          <w:rFonts w:cs="BauschlombRegCond"/>
          <w:sz w:val="24"/>
          <w:szCs w:val="24"/>
        </w:rPr>
        <w:t xml:space="preserve"> studies indicate that </w:t>
      </w:r>
      <w:r w:rsidR="00197E10" w:rsidRPr="00DC6CA2">
        <w:rPr>
          <w:rFonts w:cs="BauschlombRegCond"/>
          <w:sz w:val="24"/>
          <w:szCs w:val="24"/>
        </w:rPr>
        <w:t>l</w:t>
      </w:r>
      <w:r w:rsidR="00197E10" w:rsidRPr="005A08B5">
        <w:rPr>
          <w:rFonts w:cs="BauschlombRegCond"/>
          <w:sz w:val="24"/>
          <w:szCs w:val="24"/>
        </w:rPr>
        <w:t xml:space="preserve">oteprednol etabonate </w:t>
      </w:r>
      <w:r w:rsidRPr="00DC6CA2">
        <w:rPr>
          <w:rFonts w:cs="BauschlombRegCond"/>
          <w:sz w:val="24"/>
          <w:szCs w:val="24"/>
        </w:rPr>
        <w:t>is</w:t>
      </w:r>
      <w:r w:rsidR="00197E10" w:rsidRPr="00DC6CA2">
        <w:rPr>
          <w:rFonts w:cs="BauschlombRegCond"/>
          <w:sz w:val="24"/>
          <w:szCs w:val="24"/>
        </w:rPr>
        <w:t xml:space="preserve"> </w:t>
      </w:r>
      <w:r w:rsidRPr="00DC6CA2">
        <w:rPr>
          <w:rFonts w:cs="BauschlombRegCond"/>
          <w:sz w:val="24"/>
          <w:szCs w:val="24"/>
        </w:rPr>
        <w:t>readily absorbed into ocular tissues, with low systemic exposure following topical ocular</w:t>
      </w:r>
      <w:r w:rsidR="00197E10" w:rsidRPr="00DC6CA2">
        <w:rPr>
          <w:rFonts w:cs="BauschlombRegCond"/>
          <w:sz w:val="24"/>
          <w:szCs w:val="24"/>
        </w:rPr>
        <w:t xml:space="preserve"> </w:t>
      </w:r>
      <w:r w:rsidRPr="00DC6CA2">
        <w:rPr>
          <w:rFonts w:cs="BauschlombRegCond"/>
          <w:sz w:val="24"/>
          <w:szCs w:val="24"/>
        </w:rPr>
        <w:t>administration.</w:t>
      </w:r>
    </w:p>
    <w:p w:rsidR="00666877" w:rsidRDefault="00666877" w:rsidP="0090456F">
      <w:pPr>
        <w:autoSpaceDE w:val="0"/>
        <w:autoSpaceDN w:val="0"/>
        <w:adjustRightInd w:val="0"/>
        <w:jc w:val="both"/>
        <w:rPr>
          <w:rFonts w:cs="BauschlombRegCond"/>
          <w:i/>
          <w:sz w:val="24"/>
          <w:szCs w:val="24"/>
        </w:rPr>
      </w:pPr>
    </w:p>
    <w:p w:rsidR="0008014C" w:rsidRPr="004E06B8" w:rsidRDefault="0008014C" w:rsidP="0090456F">
      <w:pPr>
        <w:autoSpaceDE w:val="0"/>
        <w:autoSpaceDN w:val="0"/>
        <w:adjustRightInd w:val="0"/>
        <w:jc w:val="both"/>
        <w:rPr>
          <w:rFonts w:cs="BauschlombRegCond"/>
          <w:sz w:val="24"/>
          <w:szCs w:val="24"/>
        </w:rPr>
      </w:pPr>
      <w:r w:rsidRPr="0008014C">
        <w:rPr>
          <w:rFonts w:cs="BauschlombRegCond"/>
          <w:i/>
          <w:sz w:val="24"/>
          <w:szCs w:val="24"/>
        </w:rPr>
        <w:t>Absorption</w:t>
      </w:r>
    </w:p>
    <w:p w:rsidR="0008014C" w:rsidRDefault="0008014C" w:rsidP="0090456F">
      <w:pPr>
        <w:autoSpaceDE w:val="0"/>
        <w:autoSpaceDN w:val="0"/>
        <w:adjustRightInd w:val="0"/>
        <w:jc w:val="both"/>
        <w:rPr>
          <w:rFonts w:cs="BauschlombRegCond"/>
          <w:sz w:val="24"/>
          <w:szCs w:val="24"/>
        </w:rPr>
      </w:pPr>
      <w:r w:rsidRPr="005A08B5">
        <w:rPr>
          <w:rFonts w:cs="BauschlombRegCond"/>
          <w:sz w:val="24"/>
          <w:szCs w:val="24"/>
        </w:rPr>
        <w:t xml:space="preserve">Results from a bioavailability study in normal volunteers established that plasma levels of loteprednol etabonate and </w:t>
      </w:r>
      <w:r w:rsidRPr="005A08B5">
        <w:rPr>
          <w:rFonts w:cs="Symbol"/>
          <w:sz w:val="24"/>
          <w:szCs w:val="24"/>
        </w:rPr>
        <w:t>Δ</w:t>
      </w:r>
      <w:r w:rsidRPr="00A1111A">
        <w:rPr>
          <w:rFonts w:cs="Symbol"/>
          <w:sz w:val="24"/>
          <w:szCs w:val="24"/>
          <w:vertAlign w:val="superscript"/>
        </w:rPr>
        <w:t>1</w:t>
      </w:r>
      <w:r w:rsidRPr="005A08B5">
        <w:rPr>
          <w:rFonts w:cs="Symbol"/>
          <w:sz w:val="24"/>
          <w:szCs w:val="24"/>
        </w:rPr>
        <w:t xml:space="preserve"> </w:t>
      </w:r>
      <w:r w:rsidR="00E42909">
        <w:rPr>
          <w:rFonts w:cs="BauschlombRegCond"/>
          <w:sz w:val="24"/>
          <w:szCs w:val="24"/>
        </w:rPr>
        <w:t>cortienic acid etabonate (PJ-</w:t>
      </w:r>
      <w:r w:rsidRPr="005A08B5">
        <w:rPr>
          <w:rFonts w:cs="BauschlombRegCond"/>
          <w:sz w:val="24"/>
          <w:szCs w:val="24"/>
        </w:rPr>
        <w:t xml:space="preserve">91), its primary, inactive metabolite, were below the limit of quantitation (1 ng/mL) at all sampling times. The results were obtained following the ocular administration of one drop in each eye of 0.5% loteprednol etabonate </w:t>
      </w:r>
      <w:r w:rsidR="00DC6CA2">
        <w:rPr>
          <w:rFonts w:cs="BauschlombRegCond"/>
          <w:sz w:val="24"/>
          <w:szCs w:val="24"/>
        </w:rPr>
        <w:t>eight</w:t>
      </w:r>
      <w:r w:rsidRPr="005A08B5">
        <w:rPr>
          <w:rFonts w:cs="BauschlombRegCond"/>
          <w:sz w:val="24"/>
          <w:szCs w:val="24"/>
        </w:rPr>
        <w:t xml:space="preserve"> times daily for 2 days or 4 times daily for 42 days. This study suggests that limited (&lt;1 ng/ml) systemic absorption occurs with </w:t>
      </w:r>
      <w:r>
        <w:rPr>
          <w:rFonts w:cs="BauschlombRegCond"/>
          <w:sz w:val="24"/>
          <w:szCs w:val="24"/>
        </w:rPr>
        <w:t>Lotemax</w:t>
      </w:r>
      <w:r w:rsidRPr="005A08B5">
        <w:rPr>
          <w:rFonts w:cs="BauschlombRegCond"/>
          <w:sz w:val="24"/>
          <w:szCs w:val="24"/>
        </w:rPr>
        <w:t xml:space="preserve">. </w:t>
      </w:r>
    </w:p>
    <w:p w:rsidR="00666877" w:rsidRDefault="00666877" w:rsidP="0090456F">
      <w:pPr>
        <w:autoSpaceDE w:val="0"/>
        <w:autoSpaceDN w:val="0"/>
        <w:adjustRightInd w:val="0"/>
        <w:jc w:val="both"/>
        <w:rPr>
          <w:rFonts w:cs="BauschlombRegCond"/>
          <w:i/>
          <w:sz w:val="24"/>
          <w:szCs w:val="24"/>
        </w:rPr>
      </w:pPr>
    </w:p>
    <w:p w:rsidR="0008014C" w:rsidRPr="0008014C" w:rsidRDefault="0008014C" w:rsidP="0090456F">
      <w:pPr>
        <w:autoSpaceDE w:val="0"/>
        <w:autoSpaceDN w:val="0"/>
        <w:adjustRightInd w:val="0"/>
        <w:jc w:val="both"/>
        <w:rPr>
          <w:rFonts w:cs="BauschlombRegCond"/>
          <w:i/>
          <w:sz w:val="24"/>
          <w:szCs w:val="24"/>
        </w:rPr>
      </w:pPr>
      <w:r w:rsidRPr="0008014C">
        <w:rPr>
          <w:rFonts w:cs="BauschlombRegCond"/>
          <w:i/>
          <w:sz w:val="24"/>
          <w:szCs w:val="24"/>
        </w:rPr>
        <w:t>Distribution</w:t>
      </w:r>
    </w:p>
    <w:p w:rsidR="001075B5" w:rsidRDefault="001075B5" w:rsidP="0090456F">
      <w:pPr>
        <w:autoSpaceDE w:val="0"/>
        <w:autoSpaceDN w:val="0"/>
        <w:adjustRightInd w:val="0"/>
        <w:jc w:val="both"/>
        <w:rPr>
          <w:rFonts w:cs="BauschlombRegCond"/>
          <w:sz w:val="24"/>
          <w:szCs w:val="24"/>
        </w:rPr>
      </w:pPr>
      <w:r w:rsidRPr="00DC6CA2">
        <w:rPr>
          <w:rFonts w:cs="BauschlombRegCond"/>
          <w:sz w:val="24"/>
          <w:szCs w:val="24"/>
        </w:rPr>
        <w:t xml:space="preserve">Topical ocular administration of Lotemax </w:t>
      </w:r>
      <w:r w:rsidR="00197E10" w:rsidRPr="00DC6CA2">
        <w:rPr>
          <w:rFonts w:cs="BauschlombRegCond"/>
          <w:sz w:val="24"/>
          <w:szCs w:val="24"/>
        </w:rPr>
        <w:t xml:space="preserve">in humans </w:t>
      </w:r>
      <w:r w:rsidRPr="00DC6CA2">
        <w:rPr>
          <w:rFonts w:cs="BauschlombRegCond"/>
          <w:sz w:val="24"/>
          <w:szCs w:val="24"/>
        </w:rPr>
        <w:t xml:space="preserve">resulted in measurable </w:t>
      </w:r>
      <w:r w:rsidR="00197E10" w:rsidRPr="00DC6CA2">
        <w:rPr>
          <w:rFonts w:cs="BauschlombRegCond"/>
          <w:sz w:val="24"/>
          <w:szCs w:val="24"/>
        </w:rPr>
        <w:t>l</w:t>
      </w:r>
      <w:r w:rsidR="00197E10" w:rsidRPr="005A08B5">
        <w:rPr>
          <w:rFonts w:cs="BauschlombRegCond"/>
          <w:sz w:val="24"/>
          <w:szCs w:val="24"/>
        </w:rPr>
        <w:t xml:space="preserve">oteprednol etabonate </w:t>
      </w:r>
      <w:r w:rsidRPr="00DC6CA2">
        <w:rPr>
          <w:rFonts w:cs="BauschlombRegCond"/>
          <w:sz w:val="24"/>
          <w:szCs w:val="24"/>
        </w:rPr>
        <w:t xml:space="preserve">concentrations in </w:t>
      </w:r>
      <w:r w:rsidR="00197E10" w:rsidRPr="00DC6CA2">
        <w:rPr>
          <w:rFonts w:cs="BauschlombRegCond"/>
          <w:sz w:val="24"/>
          <w:szCs w:val="24"/>
        </w:rPr>
        <w:t>aqueous humo</w:t>
      </w:r>
      <w:r w:rsidR="00DF66A8">
        <w:rPr>
          <w:rFonts w:cs="BauschlombRegCond"/>
          <w:sz w:val="24"/>
          <w:szCs w:val="24"/>
        </w:rPr>
        <w:t>u</w:t>
      </w:r>
      <w:r w:rsidR="00197E10" w:rsidRPr="00DC6CA2">
        <w:rPr>
          <w:rFonts w:cs="BauschlombRegCond"/>
          <w:sz w:val="24"/>
          <w:szCs w:val="24"/>
        </w:rPr>
        <w:t>r</w:t>
      </w:r>
      <w:r w:rsidRPr="00DC6CA2">
        <w:rPr>
          <w:rFonts w:cs="BauschlombRegCond"/>
          <w:sz w:val="24"/>
          <w:szCs w:val="24"/>
        </w:rPr>
        <w:t xml:space="preserve"> within 20 min</w:t>
      </w:r>
      <w:r w:rsidR="00197E10" w:rsidRPr="00DC6CA2">
        <w:rPr>
          <w:rFonts w:cs="BauschlombRegCond"/>
          <w:sz w:val="24"/>
          <w:szCs w:val="24"/>
        </w:rPr>
        <w:t>utes</w:t>
      </w:r>
      <w:r w:rsidRPr="00DC6CA2">
        <w:rPr>
          <w:rFonts w:cs="BauschlombRegCond"/>
          <w:sz w:val="24"/>
          <w:szCs w:val="24"/>
        </w:rPr>
        <w:t xml:space="preserve"> after dosing, and concentrations </w:t>
      </w:r>
      <w:proofErr w:type="gramStart"/>
      <w:r w:rsidRPr="00DC6CA2">
        <w:rPr>
          <w:rFonts w:cs="BauschlombRegCond"/>
          <w:sz w:val="24"/>
          <w:szCs w:val="24"/>
        </w:rPr>
        <w:t>of approximately 3.7 ng/mL</w:t>
      </w:r>
      <w:proofErr w:type="gramEnd"/>
      <w:r w:rsidRPr="00DC6CA2">
        <w:rPr>
          <w:rFonts w:cs="BauschlombRegCond"/>
          <w:sz w:val="24"/>
          <w:szCs w:val="24"/>
        </w:rPr>
        <w:t xml:space="preserve"> were observed at one hour after dosing.</w:t>
      </w:r>
      <w:r w:rsidR="00606AA8">
        <w:rPr>
          <w:rFonts w:cs="BauschlombRegCond"/>
          <w:sz w:val="24"/>
          <w:szCs w:val="24"/>
        </w:rPr>
        <w:t xml:space="preserve"> </w:t>
      </w:r>
      <w:r w:rsidR="00197E10">
        <w:rPr>
          <w:rFonts w:cs="BauschlombRegCond"/>
          <w:sz w:val="24"/>
          <w:szCs w:val="24"/>
        </w:rPr>
        <w:t>L</w:t>
      </w:r>
      <w:r w:rsidR="00197E10" w:rsidRPr="005A08B5">
        <w:rPr>
          <w:rFonts w:cs="BauschlombRegCond"/>
          <w:sz w:val="24"/>
          <w:szCs w:val="24"/>
        </w:rPr>
        <w:t xml:space="preserve">oteprednol etabonate </w:t>
      </w:r>
      <w:r w:rsidR="00197E10" w:rsidRPr="00DC6CA2">
        <w:rPr>
          <w:rFonts w:cs="BauschlombRegCond"/>
          <w:sz w:val="24"/>
          <w:szCs w:val="24"/>
        </w:rPr>
        <w:t>is highly protein bound in plasma, and distributes preferentially into the cellular components of blood.</w:t>
      </w:r>
    </w:p>
    <w:p w:rsidR="00666877" w:rsidRDefault="00666877" w:rsidP="00666877">
      <w:pPr>
        <w:autoSpaceDE w:val="0"/>
        <w:autoSpaceDN w:val="0"/>
        <w:adjustRightInd w:val="0"/>
        <w:spacing w:line="360" w:lineRule="auto"/>
        <w:jc w:val="both"/>
        <w:rPr>
          <w:rFonts w:cs="BauschlombRegCond"/>
          <w:i/>
          <w:sz w:val="24"/>
          <w:szCs w:val="24"/>
        </w:rPr>
      </w:pPr>
    </w:p>
    <w:p w:rsidR="0008014C" w:rsidRPr="0008014C" w:rsidRDefault="0008014C" w:rsidP="0090456F">
      <w:pPr>
        <w:autoSpaceDE w:val="0"/>
        <w:autoSpaceDN w:val="0"/>
        <w:adjustRightInd w:val="0"/>
        <w:jc w:val="both"/>
        <w:rPr>
          <w:rFonts w:cs="BauschlombRegCond"/>
          <w:i/>
          <w:sz w:val="24"/>
          <w:szCs w:val="24"/>
        </w:rPr>
      </w:pPr>
      <w:r w:rsidRPr="0008014C">
        <w:rPr>
          <w:rFonts w:cs="BauschlombRegCond"/>
          <w:i/>
          <w:sz w:val="24"/>
          <w:szCs w:val="24"/>
        </w:rPr>
        <w:t>Metabolism</w:t>
      </w:r>
    </w:p>
    <w:p w:rsidR="00197E10" w:rsidRPr="00C63E1D" w:rsidRDefault="00DE5841" w:rsidP="0090456F">
      <w:pPr>
        <w:autoSpaceDE w:val="0"/>
        <w:autoSpaceDN w:val="0"/>
        <w:adjustRightInd w:val="0"/>
        <w:jc w:val="both"/>
        <w:rPr>
          <w:rFonts w:cs="BauschlombRegCond"/>
          <w:sz w:val="24"/>
          <w:szCs w:val="24"/>
        </w:rPr>
      </w:pPr>
      <w:r>
        <w:rPr>
          <w:rFonts w:cs="BauschlombRegCond"/>
          <w:sz w:val="24"/>
          <w:szCs w:val="24"/>
        </w:rPr>
        <w:t>Loteprednol</w:t>
      </w:r>
      <w:r w:rsidR="00F70F3C">
        <w:rPr>
          <w:rFonts w:cs="BauschlombRegCond"/>
          <w:sz w:val="24"/>
          <w:szCs w:val="24"/>
        </w:rPr>
        <w:t xml:space="preserve"> etabonate </w:t>
      </w:r>
      <w:r w:rsidR="00DF66A8">
        <w:rPr>
          <w:rFonts w:cs="BauschlombRegCond"/>
          <w:sz w:val="24"/>
          <w:szCs w:val="24"/>
        </w:rPr>
        <w:t>is readily metabolis</w:t>
      </w:r>
      <w:r w:rsidR="00197E10" w:rsidRPr="00DC6CA2">
        <w:rPr>
          <w:rFonts w:cs="BauschlombRegCond"/>
          <w:sz w:val="24"/>
          <w:szCs w:val="24"/>
        </w:rPr>
        <w:t>ed to two inactive metabolites, PJ-</w:t>
      </w:r>
      <w:r w:rsidR="00DF66A8" w:rsidRPr="00DC6CA2">
        <w:rPr>
          <w:rFonts w:cs="BauschlombRegCond"/>
          <w:sz w:val="24"/>
          <w:szCs w:val="24"/>
        </w:rPr>
        <w:t>90</w:t>
      </w:r>
      <w:r w:rsidR="00197E10" w:rsidRPr="00DC6CA2">
        <w:rPr>
          <w:rFonts w:cs="BauschlombRegCond"/>
          <w:sz w:val="24"/>
          <w:szCs w:val="24"/>
        </w:rPr>
        <w:t xml:space="preserve"> </w:t>
      </w:r>
      <w:r w:rsidR="00212F24" w:rsidRPr="00212F24">
        <w:rPr>
          <w:rFonts w:cs="BauschlombRegCond"/>
          <w:sz w:val="24"/>
          <w:szCs w:val="24"/>
        </w:rPr>
        <w:t>(Δ</w:t>
      </w:r>
      <w:r w:rsidR="00212F24" w:rsidRPr="00A1111A">
        <w:rPr>
          <w:rFonts w:cs="BauschlombRegCond"/>
          <w:sz w:val="24"/>
          <w:szCs w:val="24"/>
          <w:vertAlign w:val="superscript"/>
        </w:rPr>
        <w:t>1</w:t>
      </w:r>
      <w:r w:rsidR="00212F24" w:rsidRPr="00212F24">
        <w:rPr>
          <w:rFonts w:cs="BauschlombRegCond"/>
          <w:sz w:val="24"/>
          <w:szCs w:val="24"/>
        </w:rPr>
        <w:t xml:space="preserve">-cortienic acid) </w:t>
      </w:r>
      <w:r w:rsidR="00197E10" w:rsidRPr="00DC6CA2">
        <w:rPr>
          <w:rFonts w:cs="BauschlombRegCond"/>
          <w:sz w:val="24"/>
          <w:szCs w:val="24"/>
        </w:rPr>
        <w:t>and PJ-</w:t>
      </w:r>
      <w:r w:rsidR="00DF66A8" w:rsidRPr="00DC6CA2">
        <w:rPr>
          <w:rFonts w:cs="BauschlombRegCond"/>
          <w:sz w:val="24"/>
          <w:szCs w:val="24"/>
        </w:rPr>
        <w:t>91</w:t>
      </w:r>
      <w:r w:rsidR="00212F24">
        <w:rPr>
          <w:rFonts w:cs="BauschlombRegCond"/>
          <w:sz w:val="24"/>
          <w:szCs w:val="24"/>
        </w:rPr>
        <w:t xml:space="preserve"> (</w:t>
      </w:r>
      <w:r w:rsidR="00212F24" w:rsidRPr="00212F24">
        <w:rPr>
          <w:rFonts w:cs="BauschlombRegCond"/>
          <w:sz w:val="24"/>
          <w:szCs w:val="24"/>
        </w:rPr>
        <w:t>Δ</w:t>
      </w:r>
      <w:r w:rsidR="00212F24" w:rsidRPr="00A1111A">
        <w:rPr>
          <w:rFonts w:cs="BauschlombRegCond"/>
          <w:sz w:val="24"/>
          <w:szCs w:val="24"/>
          <w:vertAlign w:val="superscript"/>
        </w:rPr>
        <w:t>1</w:t>
      </w:r>
      <w:r w:rsidR="00212F24" w:rsidRPr="00212F24">
        <w:rPr>
          <w:rFonts w:cs="BauschlombRegCond"/>
          <w:sz w:val="24"/>
          <w:szCs w:val="24"/>
        </w:rPr>
        <w:t>-cortienic acid etabonate</w:t>
      </w:r>
      <w:r w:rsidR="00212F24">
        <w:rPr>
          <w:rFonts w:cs="BauschlombRegCond"/>
          <w:sz w:val="24"/>
          <w:szCs w:val="24"/>
        </w:rPr>
        <w:t>).</w:t>
      </w:r>
      <w:r w:rsidR="00C63E1D">
        <w:rPr>
          <w:rFonts w:cs="BauschlombRegCond"/>
          <w:sz w:val="24"/>
          <w:szCs w:val="24"/>
        </w:rPr>
        <w:t xml:space="preserve">  </w:t>
      </w:r>
      <w:r w:rsidR="00C63E1D" w:rsidRPr="00C63E1D">
        <w:rPr>
          <w:sz w:val="24"/>
          <w:szCs w:val="24"/>
        </w:rPr>
        <w:t>Metabolism occurs locally in ocular tissues, and to the extent that loteprednol etabonate reaches the systemic circulation, likely the liver and other tissues into which it distributes.</w:t>
      </w:r>
    </w:p>
    <w:p w:rsidR="00666877" w:rsidRDefault="00666877" w:rsidP="0090456F">
      <w:pPr>
        <w:autoSpaceDE w:val="0"/>
        <w:autoSpaceDN w:val="0"/>
        <w:adjustRightInd w:val="0"/>
        <w:jc w:val="both"/>
        <w:rPr>
          <w:rFonts w:ascii="TimesNewRomanPSMT" w:hAnsi="TimesNewRomanPSMT" w:cs="TimesNewRomanPSMT"/>
          <w:sz w:val="24"/>
          <w:szCs w:val="24"/>
          <w:lang w:eastAsia="en-AU"/>
        </w:rPr>
      </w:pPr>
    </w:p>
    <w:p w:rsidR="001075B5" w:rsidRDefault="0008014C" w:rsidP="0090456F">
      <w:pPr>
        <w:autoSpaceDE w:val="0"/>
        <w:autoSpaceDN w:val="0"/>
        <w:adjustRightInd w:val="0"/>
        <w:jc w:val="both"/>
        <w:rPr>
          <w:rFonts w:cs="BauschlombRegCond"/>
          <w:i/>
          <w:sz w:val="24"/>
          <w:szCs w:val="24"/>
        </w:rPr>
      </w:pPr>
      <w:r w:rsidRPr="0008014C">
        <w:rPr>
          <w:rFonts w:cs="BauschlombRegCond"/>
          <w:i/>
          <w:sz w:val="24"/>
          <w:szCs w:val="24"/>
        </w:rPr>
        <w:t xml:space="preserve">Excretion </w:t>
      </w:r>
    </w:p>
    <w:p w:rsidR="00666877" w:rsidRDefault="00197E10" w:rsidP="0090456F">
      <w:pPr>
        <w:autoSpaceDE w:val="0"/>
        <w:autoSpaceDN w:val="0"/>
        <w:adjustRightInd w:val="0"/>
        <w:jc w:val="both"/>
        <w:rPr>
          <w:rFonts w:cs="BauschlombRegCond"/>
          <w:sz w:val="24"/>
          <w:szCs w:val="24"/>
        </w:rPr>
      </w:pPr>
      <w:r w:rsidRPr="00DC6CA2">
        <w:rPr>
          <w:rFonts w:cs="BauschlombRegCond"/>
          <w:sz w:val="24"/>
          <w:szCs w:val="24"/>
        </w:rPr>
        <w:lastRenderedPageBreak/>
        <w:t xml:space="preserve">Following systemic administration to rats, </w:t>
      </w:r>
      <w:r w:rsidR="00D6570A" w:rsidRPr="00DC6CA2">
        <w:rPr>
          <w:rFonts w:cs="BauschlombRegCond"/>
          <w:sz w:val="24"/>
          <w:szCs w:val="24"/>
        </w:rPr>
        <w:t>l</w:t>
      </w:r>
      <w:r w:rsidR="00D6570A" w:rsidRPr="005A08B5">
        <w:rPr>
          <w:rFonts w:cs="BauschlombRegCond"/>
          <w:sz w:val="24"/>
          <w:szCs w:val="24"/>
        </w:rPr>
        <w:t xml:space="preserve">oteprednol etabonate </w:t>
      </w:r>
      <w:r w:rsidRPr="00DC6CA2">
        <w:rPr>
          <w:rFonts w:cs="BauschlombRegCond"/>
          <w:sz w:val="24"/>
          <w:szCs w:val="24"/>
        </w:rPr>
        <w:t>is elimina</w:t>
      </w:r>
      <w:r w:rsidR="00D6570A" w:rsidRPr="00DC6CA2">
        <w:rPr>
          <w:rFonts w:cs="BauschlombRegCond"/>
          <w:sz w:val="24"/>
          <w:szCs w:val="24"/>
        </w:rPr>
        <w:t>ted primarily via the biliary/fae</w:t>
      </w:r>
      <w:r w:rsidRPr="00DC6CA2">
        <w:rPr>
          <w:rFonts w:cs="BauschlombRegCond"/>
          <w:sz w:val="24"/>
          <w:szCs w:val="24"/>
        </w:rPr>
        <w:t xml:space="preserve">cal route, with most of the dose eliminated in the form of </w:t>
      </w:r>
      <w:r w:rsidR="00606AA8">
        <w:rPr>
          <w:rFonts w:cs="BauschlombRegCond"/>
          <w:sz w:val="24"/>
          <w:szCs w:val="24"/>
        </w:rPr>
        <w:t xml:space="preserve">the </w:t>
      </w:r>
      <w:r w:rsidRPr="00DC6CA2">
        <w:rPr>
          <w:rFonts w:cs="BauschlombRegCond"/>
          <w:sz w:val="24"/>
          <w:szCs w:val="24"/>
        </w:rPr>
        <w:t xml:space="preserve">metabolite, </w:t>
      </w:r>
      <w:r w:rsidR="00212F24" w:rsidRPr="00DC6CA2">
        <w:rPr>
          <w:rFonts w:cs="BauschlombRegCond"/>
          <w:sz w:val="24"/>
          <w:szCs w:val="24"/>
        </w:rPr>
        <w:t>PJ-90</w:t>
      </w:r>
      <w:r w:rsidR="00606AA8">
        <w:rPr>
          <w:rFonts w:cs="BauschlombRegCond"/>
          <w:sz w:val="24"/>
          <w:szCs w:val="24"/>
        </w:rPr>
        <w:t>.</w:t>
      </w:r>
    </w:p>
    <w:p w:rsidR="00212F24" w:rsidRDefault="00212F24" w:rsidP="00666877">
      <w:pPr>
        <w:autoSpaceDE w:val="0"/>
        <w:autoSpaceDN w:val="0"/>
        <w:adjustRightInd w:val="0"/>
        <w:spacing w:line="360" w:lineRule="auto"/>
        <w:jc w:val="both"/>
        <w:rPr>
          <w:rFonts w:cs="BauschlombRegCond"/>
          <w:sz w:val="24"/>
          <w:szCs w:val="24"/>
        </w:rPr>
      </w:pPr>
    </w:p>
    <w:p w:rsidR="009C1E08" w:rsidRPr="00582A8B" w:rsidRDefault="000078AD" w:rsidP="00582A8B">
      <w:pPr>
        <w:pStyle w:val="Heading1"/>
        <w:spacing w:line="360" w:lineRule="auto"/>
        <w:jc w:val="both"/>
        <w:rPr>
          <w:bCs/>
        </w:rPr>
      </w:pPr>
      <w:r w:rsidRPr="00582A8B">
        <w:rPr>
          <w:bCs/>
        </w:rPr>
        <w:t>Clinical trials</w:t>
      </w:r>
      <w:r w:rsidR="009C1E08" w:rsidRPr="00582A8B">
        <w:rPr>
          <w:bCs/>
        </w:rPr>
        <w:t xml:space="preserve"> </w:t>
      </w:r>
      <w:r w:rsidR="008D3D88">
        <w:rPr>
          <w:bCs/>
        </w:rPr>
        <w:t xml:space="preserve"> </w:t>
      </w:r>
    </w:p>
    <w:p w:rsidR="006722D6" w:rsidRPr="0047427C" w:rsidRDefault="00AF4B7F" w:rsidP="0090456F">
      <w:pPr>
        <w:autoSpaceDE w:val="0"/>
        <w:autoSpaceDN w:val="0"/>
        <w:adjustRightInd w:val="0"/>
        <w:jc w:val="both"/>
        <w:rPr>
          <w:sz w:val="24"/>
          <w:szCs w:val="24"/>
          <w:u w:val="single"/>
        </w:rPr>
      </w:pPr>
      <w:r w:rsidRPr="0047427C">
        <w:rPr>
          <w:sz w:val="24"/>
          <w:szCs w:val="24"/>
          <w:u w:val="single"/>
        </w:rPr>
        <w:t>Post-Operative Inflammation</w:t>
      </w:r>
      <w:r w:rsidR="00B41015">
        <w:rPr>
          <w:sz w:val="24"/>
          <w:szCs w:val="24"/>
          <w:u w:val="single"/>
        </w:rPr>
        <w:t xml:space="preserve"> following cataract surgery</w:t>
      </w:r>
    </w:p>
    <w:p w:rsidR="00840F9D" w:rsidRDefault="00840F9D" w:rsidP="0090456F">
      <w:pPr>
        <w:autoSpaceDE w:val="0"/>
        <w:autoSpaceDN w:val="0"/>
        <w:adjustRightInd w:val="0"/>
        <w:jc w:val="both"/>
        <w:rPr>
          <w:sz w:val="24"/>
          <w:szCs w:val="24"/>
          <w:lang w:eastAsia="en-AU"/>
        </w:rPr>
      </w:pPr>
      <w:r w:rsidRPr="00840F9D">
        <w:rPr>
          <w:sz w:val="24"/>
          <w:szCs w:val="24"/>
          <w:lang w:eastAsia="en-AU"/>
        </w:rPr>
        <w:t xml:space="preserve">Two double-masked, </w:t>
      </w:r>
      <w:r w:rsidR="00D82B86" w:rsidRPr="00840F9D">
        <w:rPr>
          <w:sz w:val="24"/>
          <w:szCs w:val="24"/>
          <w:lang w:eastAsia="en-AU"/>
        </w:rPr>
        <w:t>randomi</w:t>
      </w:r>
      <w:r w:rsidR="00D82B86">
        <w:rPr>
          <w:sz w:val="24"/>
          <w:szCs w:val="24"/>
          <w:lang w:eastAsia="en-AU"/>
        </w:rPr>
        <w:t>s</w:t>
      </w:r>
      <w:r w:rsidR="00D82B86" w:rsidRPr="00840F9D">
        <w:rPr>
          <w:sz w:val="24"/>
          <w:szCs w:val="24"/>
          <w:lang w:eastAsia="en-AU"/>
        </w:rPr>
        <w:t>ed</w:t>
      </w:r>
      <w:r w:rsidR="00DF66A8" w:rsidRPr="00840F9D">
        <w:rPr>
          <w:sz w:val="24"/>
          <w:szCs w:val="24"/>
          <w:lang w:eastAsia="en-AU"/>
        </w:rPr>
        <w:t>, placebo controlled, parallel group multicent</w:t>
      </w:r>
      <w:r w:rsidR="00C8711B">
        <w:rPr>
          <w:sz w:val="24"/>
          <w:szCs w:val="24"/>
          <w:lang w:eastAsia="en-AU"/>
        </w:rPr>
        <w:t>re</w:t>
      </w:r>
      <w:r w:rsidR="00DF66A8">
        <w:rPr>
          <w:sz w:val="24"/>
          <w:szCs w:val="24"/>
          <w:lang w:eastAsia="en-AU"/>
        </w:rPr>
        <w:t xml:space="preserve"> </w:t>
      </w:r>
      <w:r w:rsidRPr="00840F9D">
        <w:rPr>
          <w:sz w:val="24"/>
          <w:szCs w:val="24"/>
          <w:lang w:eastAsia="en-AU"/>
        </w:rPr>
        <w:t>trials were conducted to evaluate the safety and</w:t>
      </w:r>
      <w:r w:rsidR="00DF66A8">
        <w:rPr>
          <w:sz w:val="24"/>
          <w:szCs w:val="24"/>
          <w:lang w:eastAsia="en-AU"/>
        </w:rPr>
        <w:t xml:space="preserve"> </w:t>
      </w:r>
      <w:r w:rsidRPr="00840F9D">
        <w:rPr>
          <w:sz w:val="24"/>
          <w:szCs w:val="24"/>
          <w:lang w:eastAsia="en-AU"/>
        </w:rPr>
        <w:t>efficacy of Lotemax</w:t>
      </w:r>
      <w:r w:rsidR="009A335D">
        <w:rPr>
          <w:sz w:val="24"/>
          <w:szCs w:val="24"/>
          <w:lang w:eastAsia="en-AU"/>
        </w:rPr>
        <w:t xml:space="preserve"> </w:t>
      </w:r>
      <w:r w:rsidRPr="00840F9D">
        <w:rPr>
          <w:sz w:val="24"/>
          <w:szCs w:val="24"/>
          <w:lang w:eastAsia="en-AU"/>
        </w:rPr>
        <w:t>in controlling anterior chamber cell and flare reaction in patients</w:t>
      </w:r>
      <w:r w:rsidR="00DF66A8">
        <w:rPr>
          <w:sz w:val="24"/>
          <w:szCs w:val="24"/>
          <w:lang w:eastAsia="en-AU"/>
        </w:rPr>
        <w:t xml:space="preserve"> requiring </w:t>
      </w:r>
      <w:r w:rsidRPr="00840F9D">
        <w:rPr>
          <w:sz w:val="24"/>
          <w:szCs w:val="24"/>
          <w:lang w:eastAsia="en-AU"/>
        </w:rPr>
        <w:t>elective cataract removal and posterior chamber</w:t>
      </w:r>
      <w:r w:rsidR="00DF66A8">
        <w:rPr>
          <w:sz w:val="24"/>
          <w:szCs w:val="24"/>
          <w:lang w:eastAsia="en-AU"/>
        </w:rPr>
        <w:t xml:space="preserve"> </w:t>
      </w:r>
      <w:r w:rsidRPr="00840F9D">
        <w:rPr>
          <w:sz w:val="24"/>
          <w:szCs w:val="24"/>
          <w:lang w:eastAsia="en-AU"/>
        </w:rPr>
        <w:t>intraocular lens</w:t>
      </w:r>
      <w:r w:rsidR="0094252F">
        <w:rPr>
          <w:sz w:val="24"/>
          <w:szCs w:val="24"/>
          <w:lang w:eastAsia="en-AU"/>
        </w:rPr>
        <w:t xml:space="preserve"> </w:t>
      </w:r>
      <w:r w:rsidR="0094252F" w:rsidRPr="00840F9D">
        <w:rPr>
          <w:sz w:val="24"/>
          <w:szCs w:val="24"/>
          <w:lang w:eastAsia="en-AU"/>
        </w:rPr>
        <w:t>(IOL)</w:t>
      </w:r>
      <w:r w:rsidRPr="00840F9D">
        <w:rPr>
          <w:sz w:val="24"/>
          <w:szCs w:val="24"/>
          <w:lang w:eastAsia="en-AU"/>
        </w:rPr>
        <w:t xml:space="preserve"> implantation who, on the day following surgery, exhibited a</w:t>
      </w:r>
      <w:r w:rsidR="00DF66A8">
        <w:rPr>
          <w:sz w:val="24"/>
          <w:szCs w:val="24"/>
          <w:lang w:eastAsia="en-AU"/>
        </w:rPr>
        <w:t xml:space="preserve"> </w:t>
      </w:r>
      <w:r w:rsidRPr="00840F9D">
        <w:rPr>
          <w:sz w:val="24"/>
          <w:szCs w:val="24"/>
          <w:lang w:eastAsia="en-AU"/>
        </w:rPr>
        <w:t xml:space="preserve">minimum </w:t>
      </w:r>
      <w:r w:rsidR="00DF5130" w:rsidRPr="00840F9D">
        <w:rPr>
          <w:sz w:val="24"/>
          <w:szCs w:val="24"/>
          <w:lang w:eastAsia="en-AU"/>
        </w:rPr>
        <w:t>anterior chamber</w:t>
      </w:r>
      <w:r w:rsidR="00DF5130">
        <w:rPr>
          <w:sz w:val="24"/>
          <w:szCs w:val="24"/>
          <w:lang w:eastAsia="en-AU"/>
        </w:rPr>
        <w:t xml:space="preserve"> </w:t>
      </w:r>
      <w:r w:rsidR="00DF5130" w:rsidRPr="00840F9D">
        <w:rPr>
          <w:sz w:val="24"/>
          <w:szCs w:val="24"/>
          <w:lang w:eastAsia="en-AU"/>
        </w:rPr>
        <w:t xml:space="preserve">inflammation </w:t>
      </w:r>
      <w:r w:rsidR="00DF5130">
        <w:rPr>
          <w:sz w:val="24"/>
          <w:szCs w:val="24"/>
          <w:lang w:eastAsia="en-AU"/>
        </w:rPr>
        <w:t>(</w:t>
      </w:r>
      <w:r w:rsidRPr="00840F9D">
        <w:rPr>
          <w:sz w:val="24"/>
          <w:szCs w:val="24"/>
          <w:lang w:eastAsia="en-AU"/>
        </w:rPr>
        <w:t>ACI</w:t>
      </w:r>
      <w:r w:rsidR="00DF5130">
        <w:rPr>
          <w:sz w:val="24"/>
          <w:szCs w:val="24"/>
          <w:lang w:eastAsia="en-AU"/>
        </w:rPr>
        <w:t>)</w:t>
      </w:r>
      <w:r w:rsidRPr="00840F9D">
        <w:rPr>
          <w:sz w:val="24"/>
          <w:szCs w:val="24"/>
          <w:lang w:eastAsia="en-AU"/>
        </w:rPr>
        <w:t xml:space="preserve"> score (sum of cell and flare reaction) of 3 (moderate, 0 to 9 scale).</w:t>
      </w:r>
    </w:p>
    <w:p w:rsidR="00C8711B" w:rsidRDefault="00C8711B" w:rsidP="0090456F">
      <w:pPr>
        <w:autoSpaceDE w:val="0"/>
        <w:autoSpaceDN w:val="0"/>
        <w:adjustRightInd w:val="0"/>
        <w:jc w:val="both"/>
        <w:rPr>
          <w:sz w:val="24"/>
          <w:szCs w:val="24"/>
          <w:lang w:eastAsia="en-AU"/>
        </w:rPr>
      </w:pPr>
    </w:p>
    <w:p w:rsidR="00840F9D" w:rsidRDefault="00840F9D" w:rsidP="0090456F">
      <w:pPr>
        <w:autoSpaceDE w:val="0"/>
        <w:autoSpaceDN w:val="0"/>
        <w:adjustRightInd w:val="0"/>
        <w:jc w:val="both"/>
        <w:rPr>
          <w:sz w:val="24"/>
          <w:szCs w:val="24"/>
          <w:lang w:eastAsia="en-AU"/>
        </w:rPr>
      </w:pPr>
      <w:r w:rsidRPr="00840F9D">
        <w:rPr>
          <w:sz w:val="24"/>
          <w:szCs w:val="24"/>
          <w:lang w:eastAsia="en-AU"/>
        </w:rPr>
        <w:t>Patients with history of intraocular or laser surgery on the eye within the past six months</w:t>
      </w:r>
      <w:r w:rsidR="00D11050">
        <w:rPr>
          <w:sz w:val="24"/>
          <w:szCs w:val="24"/>
          <w:lang w:eastAsia="en-AU"/>
        </w:rPr>
        <w:t xml:space="preserve"> </w:t>
      </w:r>
      <w:r w:rsidRPr="00840F9D">
        <w:rPr>
          <w:sz w:val="24"/>
          <w:szCs w:val="24"/>
          <w:lang w:eastAsia="en-AU"/>
        </w:rPr>
        <w:t>or the presence of any ocular pathology other than the cataract (for example vernal</w:t>
      </w:r>
      <w:r w:rsidR="00D11050">
        <w:rPr>
          <w:sz w:val="24"/>
          <w:szCs w:val="24"/>
          <w:lang w:eastAsia="en-AU"/>
        </w:rPr>
        <w:t xml:space="preserve"> </w:t>
      </w:r>
      <w:r w:rsidRPr="00840F9D">
        <w:rPr>
          <w:sz w:val="24"/>
          <w:szCs w:val="24"/>
          <w:lang w:eastAsia="en-AU"/>
        </w:rPr>
        <w:t>conjunctivitis, glaucoma of any kind, giant papillary conjunctivitis, viral or bacterial</w:t>
      </w:r>
      <w:r w:rsidR="00D11050">
        <w:rPr>
          <w:sz w:val="24"/>
          <w:szCs w:val="24"/>
          <w:lang w:eastAsia="en-AU"/>
        </w:rPr>
        <w:t xml:space="preserve"> </w:t>
      </w:r>
      <w:r w:rsidRPr="00840F9D">
        <w:rPr>
          <w:sz w:val="24"/>
          <w:szCs w:val="24"/>
          <w:lang w:eastAsia="en-AU"/>
        </w:rPr>
        <w:t>conjunctivitis, uveitis, retinopathies) were excluded from the trials.</w:t>
      </w:r>
    </w:p>
    <w:p w:rsidR="00666877" w:rsidRDefault="00666877" w:rsidP="0090456F">
      <w:pPr>
        <w:autoSpaceDE w:val="0"/>
        <w:autoSpaceDN w:val="0"/>
        <w:adjustRightInd w:val="0"/>
        <w:jc w:val="both"/>
        <w:rPr>
          <w:sz w:val="24"/>
          <w:szCs w:val="24"/>
          <w:lang w:eastAsia="en-AU"/>
        </w:rPr>
      </w:pPr>
    </w:p>
    <w:p w:rsidR="00840F9D" w:rsidRDefault="00840F9D" w:rsidP="0090456F">
      <w:pPr>
        <w:autoSpaceDE w:val="0"/>
        <w:autoSpaceDN w:val="0"/>
        <w:adjustRightInd w:val="0"/>
        <w:jc w:val="both"/>
        <w:rPr>
          <w:sz w:val="24"/>
          <w:szCs w:val="24"/>
          <w:lang w:eastAsia="en-AU"/>
        </w:rPr>
      </w:pPr>
      <w:r w:rsidRPr="00840F9D">
        <w:rPr>
          <w:sz w:val="24"/>
          <w:szCs w:val="24"/>
          <w:lang w:eastAsia="en-AU"/>
        </w:rPr>
        <w:t>Patients received Lotemax</w:t>
      </w:r>
      <w:r w:rsidR="009A335D">
        <w:rPr>
          <w:sz w:val="24"/>
          <w:szCs w:val="24"/>
          <w:lang w:eastAsia="en-AU"/>
        </w:rPr>
        <w:t xml:space="preserve"> </w:t>
      </w:r>
      <w:r w:rsidRPr="00840F9D">
        <w:rPr>
          <w:sz w:val="24"/>
          <w:szCs w:val="24"/>
          <w:lang w:eastAsia="en-AU"/>
        </w:rPr>
        <w:t xml:space="preserve">or placebo </w:t>
      </w:r>
      <w:r w:rsidR="009A335D">
        <w:rPr>
          <w:sz w:val="24"/>
          <w:szCs w:val="24"/>
          <w:lang w:eastAsia="en-AU"/>
        </w:rPr>
        <w:t xml:space="preserve">four </w:t>
      </w:r>
      <w:r w:rsidRPr="00840F9D">
        <w:rPr>
          <w:sz w:val="24"/>
          <w:szCs w:val="24"/>
          <w:lang w:eastAsia="en-AU"/>
        </w:rPr>
        <w:t>times a day in the operated eye one day</w:t>
      </w:r>
      <w:r w:rsidR="00D82B86">
        <w:rPr>
          <w:sz w:val="24"/>
          <w:szCs w:val="24"/>
          <w:lang w:eastAsia="en-AU"/>
        </w:rPr>
        <w:t xml:space="preserve"> </w:t>
      </w:r>
      <w:r w:rsidRPr="00840F9D">
        <w:rPr>
          <w:sz w:val="24"/>
          <w:szCs w:val="24"/>
          <w:lang w:eastAsia="en-AU"/>
        </w:rPr>
        <w:t>after surgery for up to 14 days.</w:t>
      </w:r>
    </w:p>
    <w:p w:rsidR="00666877" w:rsidRDefault="00666877" w:rsidP="0090456F">
      <w:pPr>
        <w:autoSpaceDE w:val="0"/>
        <w:autoSpaceDN w:val="0"/>
        <w:adjustRightInd w:val="0"/>
        <w:jc w:val="both"/>
        <w:rPr>
          <w:sz w:val="24"/>
          <w:szCs w:val="24"/>
          <w:lang w:eastAsia="en-AU"/>
        </w:rPr>
      </w:pPr>
    </w:p>
    <w:p w:rsidR="00840F9D" w:rsidRDefault="00840F9D" w:rsidP="0090456F">
      <w:pPr>
        <w:autoSpaceDE w:val="0"/>
        <w:autoSpaceDN w:val="0"/>
        <w:adjustRightInd w:val="0"/>
        <w:jc w:val="both"/>
        <w:rPr>
          <w:sz w:val="24"/>
          <w:szCs w:val="24"/>
          <w:lang w:eastAsia="en-AU"/>
        </w:rPr>
      </w:pPr>
      <w:r w:rsidRPr="00840F9D">
        <w:rPr>
          <w:sz w:val="24"/>
          <w:szCs w:val="24"/>
          <w:lang w:eastAsia="en-AU"/>
        </w:rPr>
        <w:t xml:space="preserve">The </w:t>
      </w:r>
      <w:r w:rsidR="00DF66A8">
        <w:rPr>
          <w:sz w:val="24"/>
          <w:szCs w:val="24"/>
          <w:lang w:eastAsia="en-AU"/>
        </w:rPr>
        <w:t>p</w:t>
      </w:r>
      <w:r w:rsidRPr="00840F9D">
        <w:rPr>
          <w:sz w:val="24"/>
          <w:szCs w:val="24"/>
          <w:lang w:eastAsia="en-AU"/>
        </w:rPr>
        <w:t xml:space="preserve">rimary </w:t>
      </w:r>
      <w:r w:rsidR="00DF66A8" w:rsidRPr="00840F9D">
        <w:rPr>
          <w:sz w:val="24"/>
          <w:szCs w:val="24"/>
          <w:lang w:eastAsia="en-AU"/>
        </w:rPr>
        <w:t xml:space="preserve">efficacy </w:t>
      </w:r>
      <w:r w:rsidRPr="00840F9D">
        <w:rPr>
          <w:sz w:val="24"/>
          <w:szCs w:val="24"/>
          <w:lang w:eastAsia="en-AU"/>
        </w:rPr>
        <w:t xml:space="preserve">endpoint was the </w:t>
      </w:r>
      <w:r w:rsidR="00DF5130">
        <w:rPr>
          <w:sz w:val="24"/>
          <w:szCs w:val="24"/>
          <w:lang w:eastAsia="en-AU"/>
        </w:rPr>
        <w:t>ACI</w:t>
      </w:r>
      <w:r w:rsidRPr="00840F9D">
        <w:rPr>
          <w:sz w:val="24"/>
          <w:szCs w:val="24"/>
          <w:lang w:eastAsia="en-AU"/>
        </w:rPr>
        <w:t xml:space="preserve"> score (the sum of cell and flare ratings) at the final visit (14 days of</w:t>
      </w:r>
      <w:r w:rsidR="00DF66A8">
        <w:rPr>
          <w:sz w:val="24"/>
          <w:szCs w:val="24"/>
          <w:lang w:eastAsia="en-AU"/>
        </w:rPr>
        <w:t xml:space="preserve"> </w:t>
      </w:r>
      <w:r w:rsidRPr="00840F9D">
        <w:rPr>
          <w:sz w:val="24"/>
          <w:szCs w:val="24"/>
          <w:lang w:eastAsia="en-AU"/>
        </w:rPr>
        <w:t>treatment). Secondary variables assessed for efficacy included: resolution of cell and</w:t>
      </w:r>
      <w:r w:rsidR="00DF66A8">
        <w:rPr>
          <w:sz w:val="24"/>
          <w:szCs w:val="24"/>
          <w:lang w:eastAsia="en-AU"/>
        </w:rPr>
        <w:t xml:space="preserve"> </w:t>
      </w:r>
      <w:r w:rsidRPr="00840F9D">
        <w:rPr>
          <w:sz w:val="24"/>
          <w:szCs w:val="24"/>
          <w:lang w:eastAsia="en-AU"/>
        </w:rPr>
        <w:t>flare individually, the magnitude of change in the cell and flare ratings, treatment failure</w:t>
      </w:r>
      <w:r w:rsidR="00DF66A8">
        <w:rPr>
          <w:sz w:val="24"/>
          <w:szCs w:val="24"/>
          <w:lang w:eastAsia="en-AU"/>
        </w:rPr>
        <w:t xml:space="preserve"> </w:t>
      </w:r>
      <w:r w:rsidRPr="00840F9D">
        <w:rPr>
          <w:sz w:val="24"/>
          <w:szCs w:val="24"/>
          <w:lang w:eastAsia="en-AU"/>
        </w:rPr>
        <w:t xml:space="preserve">and the Investigator’s Global Assessment </w:t>
      </w:r>
      <w:r w:rsidR="00A03081">
        <w:rPr>
          <w:sz w:val="24"/>
          <w:szCs w:val="24"/>
          <w:lang w:eastAsia="en-AU"/>
        </w:rPr>
        <w:t xml:space="preserve">(IGA) </w:t>
      </w:r>
      <w:r w:rsidRPr="00840F9D">
        <w:rPr>
          <w:sz w:val="24"/>
          <w:szCs w:val="24"/>
          <w:lang w:eastAsia="en-AU"/>
        </w:rPr>
        <w:t>at final visit.</w:t>
      </w:r>
    </w:p>
    <w:p w:rsidR="00030581" w:rsidRDefault="00030581" w:rsidP="0090456F">
      <w:pPr>
        <w:autoSpaceDE w:val="0"/>
        <w:autoSpaceDN w:val="0"/>
        <w:adjustRightInd w:val="0"/>
        <w:jc w:val="both"/>
        <w:rPr>
          <w:sz w:val="24"/>
          <w:szCs w:val="24"/>
          <w:lang w:eastAsia="en-AU"/>
        </w:rPr>
      </w:pPr>
    </w:p>
    <w:p w:rsidR="00ED0DE5" w:rsidRDefault="00E02E50" w:rsidP="0090456F">
      <w:pPr>
        <w:autoSpaceDE w:val="0"/>
        <w:autoSpaceDN w:val="0"/>
        <w:adjustRightInd w:val="0"/>
        <w:jc w:val="both"/>
        <w:rPr>
          <w:sz w:val="24"/>
          <w:szCs w:val="24"/>
          <w:lang w:eastAsia="en-AU"/>
        </w:rPr>
      </w:pPr>
      <w:r>
        <w:rPr>
          <w:sz w:val="24"/>
          <w:szCs w:val="24"/>
          <w:lang w:eastAsia="en-AU"/>
        </w:rPr>
        <w:t>In</w:t>
      </w:r>
      <w:r w:rsidRPr="00840F9D">
        <w:rPr>
          <w:sz w:val="24"/>
          <w:szCs w:val="24"/>
          <w:lang w:eastAsia="en-AU"/>
        </w:rPr>
        <w:t xml:space="preserve"> </w:t>
      </w:r>
      <w:r w:rsidR="00840F9D" w:rsidRPr="00840F9D">
        <w:rPr>
          <w:sz w:val="24"/>
          <w:szCs w:val="24"/>
          <w:lang w:eastAsia="en-AU"/>
        </w:rPr>
        <w:t xml:space="preserve">trial </w:t>
      </w:r>
      <w:r w:rsidR="00FF7D99">
        <w:rPr>
          <w:sz w:val="24"/>
          <w:szCs w:val="24"/>
          <w:lang w:eastAsia="en-AU"/>
        </w:rPr>
        <w:t>125</w:t>
      </w:r>
      <w:r w:rsidR="00840F9D" w:rsidRPr="00840F9D">
        <w:rPr>
          <w:sz w:val="24"/>
          <w:szCs w:val="24"/>
          <w:lang w:eastAsia="en-AU"/>
        </w:rPr>
        <w:t>, by the final visit (L</w:t>
      </w:r>
      <w:r w:rsidR="00BA7300">
        <w:rPr>
          <w:sz w:val="24"/>
          <w:szCs w:val="24"/>
          <w:lang w:eastAsia="en-AU"/>
        </w:rPr>
        <w:t>ast Observation Carried Forward [L</w:t>
      </w:r>
      <w:r w:rsidR="00840F9D" w:rsidRPr="00840F9D">
        <w:rPr>
          <w:sz w:val="24"/>
          <w:szCs w:val="24"/>
          <w:lang w:eastAsia="en-AU"/>
        </w:rPr>
        <w:t>OCF</w:t>
      </w:r>
      <w:r w:rsidR="00BA7300">
        <w:rPr>
          <w:sz w:val="24"/>
          <w:szCs w:val="24"/>
          <w:lang w:eastAsia="en-AU"/>
        </w:rPr>
        <w:t>]</w:t>
      </w:r>
      <w:r w:rsidR="00840F9D" w:rsidRPr="00840F9D">
        <w:rPr>
          <w:sz w:val="24"/>
          <w:szCs w:val="24"/>
          <w:lang w:eastAsia="en-AU"/>
        </w:rPr>
        <w:t xml:space="preserve">), ACI had resolved in 64% </w:t>
      </w:r>
      <w:r w:rsidR="0096538C">
        <w:rPr>
          <w:sz w:val="24"/>
          <w:szCs w:val="24"/>
          <w:lang w:eastAsia="en-AU"/>
        </w:rPr>
        <w:t xml:space="preserve">(70/109) </w:t>
      </w:r>
      <w:r w:rsidR="00840F9D" w:rsidRPr="00840F9D">
        <w:rPr>
          <w:sz w:val="24"/>
          <w:szCs w:val="24"/>
          <w:lang w:eastAsia="en-AU"/>
        </w:rPr>
        <w:t>of patients in</w:t>
      </w:r>
      <w:r w:rsidR="00D82B86">
        <w:rPr>
          <w:sz w:val="24"/>
          <w:szCs w:val="24"/>
          <w:lang w:eastAsia="en-AU"/>
        </w:rPr>
        <w:t xml:space="preserve"> </w:t>
      </w:r>
      <w:r w:rsidR="00840F9D" w:rsidRPr="00840F9D">
        <w:rPr>
          <w:sz w:val="24"/>
          <w:szCs w:val="24"/>
          <w:lang w:eastAsia="en-AU"/>
        </w:rPr>
        <w:t>the Lotemax</w:t>
      </w:r>
      <w:r w:rsidR="009A335D">
        <w:rPr>
          <w:sz w:val="24"/>
          <w:szCs w:val="24"/>
          <w:lang w:eastAsia="en-AU"/>
        </w:rPr>
        <w:t xml:space="preserve"> </w:t>
      </w:r>
      <w:r w:rsidR="00840F9D" w:rsidRPr="00840F9D">
        <w:rPr>
          <w:sz w:val="24"/>
          <w:szCs w:val="24"/>
          <w:lang w:eastAsia="en-AU"/>
        </w:rPr>
        <w:t xml:space="preserve">group and 29% </w:t>
      </w:r>
      <w:r w:rsidR="0096538C">
        <w:rPr>
          <w:sz w:val="24"/>
          <w:szCs w:val="24"/>
          <w:lang w:eastAsia="en-AU"/>
        </w:rPr>
        <w:t xml:space="preserve">(33/113) </w:t>
      </w:r>
      <w:r w:rsidR="00840F9D" w:rsidRPr="00840F9D">
        <w:rPr>
          <w:sz w:val="24"/>
          <w:szCs w:val="24"/>
          <w:lang w:eastAsia="en-AU"/>
        </w:rPr>
        <w:t>of those in the placebo group (</w:t>
      </w:r>
      <w:r w:rsidR="00FF7D99">
        <w:rPr>
          <w:sz w:val="24"/>
          <w:szCs w:val="24"/>
          <w:lang w:eastAsia="en-AU"/>
        </w:rPr>
        <w:t>p</w:t>
      </w:r>
      <w:r w:rsidR="00840F9D" w:rsidRPr="00840F9D">
        <w:rPr>
          <w:sz w:val="24"/>
          <w:szCs w:val="24"/>
          <w:lang w:eastAsia="en-AU"/>
        </w:rPr>
        <w:t xml:space="preserve"> &lt; </w:t>
      </w:r>
      <w:r w:rsidR="00FF7D99">
        <w:rPr>
          <w:sz w:val="24"/>
          <w:szCs w:val="24"/>
          <w:lang w:eastAsia="en-AU"/>
        </w:rPr>
        <w:t>0</w:t>
      </w:r>
      <w:r w:rsidR="00840F9D" w:rsidRPr="00840F9D">
        <w:rPr>
          <w:sz w:val="24"/>
          <w:szCs w:val="24"/>
          <w:lang w:eastAsia="en-AU"/>
        </w:rPr>
        <w:t>.001)</w:t>
      </w:r>
      <w:r w:rsidR="002E7B28">
        <w:rPr>
          <w:sz w:val="24"/>
          <w:szCs w:val="24"/>
          <w:lang w:eastAsia="en-AU"/>
        </w:rPr>
        <w:t xml:space="preserve"> (Table 1).</w:t>
      </w:r>
    </w:p>
    <w:p w:rsidR="00840F9D" w:rsidRDefault="00840F9D" w:rsidP="00666877">
      <w:pPr>
        <w:autoSpaceDE w:val="0"/>
        <w:autoSpaceDN w:val="0"/>
        <w:adjustRightInd w:val="0"/>
        <w:spacing w:line="360" w:lineRule="auto"/>
        <w:jc w:val="both"/>
        <w:rPr>
          <w:sz w:val="24"/>
          <w:szCs w:val="24"/>
          <w:lang w:eastAsia="en-AU"/>
        </w:rPr>
      </w:pPr>
    </w:p>
    <w:p w:rsidR="002A5C83" w:rsidRPr="002A5C83" w:rsidRDefault="002A5C83" w:rsidP="002A5C83">
      <w:pPr>
        <w:pStyle w:val="Default"/>
        <w:rPr>
          <w:rFonts w:ascii="Times New Roman" w:hAnsi="Times New Roman" w:cs="Times New Roman"/>
          <w:b/>
          <w:color w:val="auto"/>
          <w:sz w:val="22"/>
          <w:szCs w:val="22"/>
        </w:rPr>
      </w:pPr>
      <w:r w:rsidRPr="002A5C83">
        <w:rPr>
          <w:rFonts w:ascii="Times New Roman" w:hAnsi="Times New Roman" w:cs="Times New Roman"/>
          <w:b/>
          <w:color w:val="auto"/>
          <w:sz w:val="22"/>
          <w:szCs w:val="22"/>
        </w:rPr>
        <w:t>Table 1: Study # 125: Resolution of ACR</w:t>
      </w:r>
    </w:p>
    <w:p w:rsidR="00ED0DE5" w:rsidRPr="00ED0DE5" w:rsidRDefault="004570DF" w:rsidP="00666877">
      <w:pPr>
        <w:autoSpaceDE w:val="0"/>
        <w:autoSpaceDN w:val="0"/>
        <w:adjustRightInd w:val="0"/>
        <w:spacing w:line="360" w:lineRule="auto"/>
        <w:jc w:val="both"/>
        <w:rPr>
          <w:sz w:val="24"/>
          <w:szCs w:val="24"/>
          <w:lang w:eastAsia="en-AU"/>
        </w:rPr>
      </w:pPr>
      <w:r w:rsidRPr="00ED0DE5">
        <w:rPr>
          <w:sz w:val="24"/>
          <w:szCs w:val="24"/>
          <w:lang w:eastAsia="en-AU"/>
        </w:rPr>
        <w:pict>
          <v:shape id="_x0000_i1026" type="#_x0000_t75" alt="Table 1" style="width:6in;height:202.5pt;mso-position-horizontal:absolute">
            <v:imagedata r:id="rId10" o:title=""/>
          </v:shape>
        </w:pict>
      </w:r>
    </w:p>
    <w:p w:rsidR="003E41F3" w:rsidRDefault="003E41F3" w:rsidP="0090456F">
      <w:pPr>
        <w:autoSpaceDE w:val="0"/>
        <w:autoSpaceDN w:val="0"/>
        <w:adjustRightInd w:val="0"/>
        <w:jc w:val="both"/>
        <w:rPr>
          <w:sz w:val="24"/>
          <w:szCs w:val="24"/>
          <w:lang w:eastAsia="en-AU"/>
        </w:rPr>
      </w:pPr>
      <w:r w:rsidRPr="00840F9D">
        <w:rPr>
          <w:sz w:val="24"/>
          <w:szCs w:val="24"/>
          <w:lang w:eastAsia="en-AU"/>
        </w:rPr>
        <w:lastRenderedPageBreak/>
        <w:t>The</w:t>
      </w:r>
      <w:r>
        <w:rPr>
          <w:sz w:val="24"/>
          <w:szCs w:val="24"/>
          <w:lang w:eastAsia="en-AU"/>
        </w:rPr>
        <w:t xml:space="preserve"> </w:t>
      </w:r>
      <w:r w:rsidRPr="00840F9D">
        <w:rPr>
          <w:sz w:val="24"/>
          <w:szCs w:val="24"/>
          <w:lang w:eastAsia="en-AU"/>
        </w:rPr>
        <w:t>resolution rate and mean change from baseline of the individual components of ACI (cell</w:t>
      </w:r>
      <w:r>
        <w:rPr>
          <w:sz w:val="24"/>
          <w:szCs w:val="24"/>
          <w:lang w:eastAsia="en-AU"/>
        </w:rPr>
        <w:t xml:space="preserve"> </w:t>
      </w:r>
      <w:r w:rsidRPr="00840F9D">
        <w:rPr>
          <w:sz w:val="24"/>
          <w:szCs w:val="24"/>
          <w:lang w:eastAsia="en-AU"/>
        </w:rPr>
        <w:t xml:space="preserve">and flare), as well as other signs and symptoms, </w:t>
      </w:r>
      <w:r w:rsidR="00E02E50">
        <w:rPr>
          <w:sz w:val="24"/>
          <w:szCs w:val="24"/>
          <w:lang w:eastAsia="en-AU"/>
        </w:rPr>
        <w:t>were</w:t>
      </w:r>
      <w:r w:rsidR="00E02E50" w:rsidRPr="00840F9D">
        <w:rPr>
          <w:sz w:val="24"/>
          <w:szCs w:val="24"/>
          <w:lang w:eastAsia="en-AU"/>
        </w:rPr>
        <w:t xml:space="preserve"> </w:t>
      </w:r>
      <w:r w:rsidRPr="00840F9D">
        <w:rPr>
          <w:sz w:val="24"/>
          <w:szCs w:val="24"/>
          <w:lang w:eastAsia="en-AU"/>
        </w:rPr>
        <w:t xml:space="preserve">better in the </w:t>
      </w:r>
      <w:r w:rsidR="0096538C">
        <w:rPr>
          <w:sz w:val="24"/>
          <w:szCs w:val="24"/>
          <w:lang w:eastAsia="en-AU"/>
        </w:rPr>
        <w:t>Lotemax</w:t>
      </w:r>
      <w:r>
        <w:rPr>
          <w:sz w:val="24"/>
          <w:szCs w:val="24"/>
          <w:lang w:eastAsia="en-AU"/>
        </w:rPr>
        <w:t xml:space="preserve"> </w:t>
      </w:r>
      <w:r w:rsidRPr="00840F9D">
        <w:rPr>
          <w:sz w:val="24"/>
          <w:szCs w:val="24"/>
          <w:lang w:eastAsia="en-AU"/>
        </w:rPr>
        <w:t>group. The treatment failure rate and the time course of failures were lower in the</w:t>
      </w:r>
      <w:r>
        <w:rPr>
          <w:sz w:val="24"/>
          <w:szCs w:val="24"/>
          <w:lang w:eastAsia="en-AU"/>
        </w:rPr>
        <w:t xml:space="preserve"> </w:t>
      </w:r>
      <w:r w:rsidRPr="00840F9D">
        <w:rPr>
          <w:sz w:val="24"/>
          <w:szCs w:val="24"/>
          <w:lang w:eastAsia="en-AU"/>
        </w:rPr>
        <w:t>Lotemax</w:t>
      </w:r>
      <w:r>
        <w:rPr>
          <w:sz w:val="24"/>
          <w:szCs w:val="24"/>
          <w:lang w:eastAsia="en-AU"/>
        </w:rPr>
        <w:t xml:space="preserve"> </w:t>
      </w:r>
      <w:r w:rsidRPr="00840F9D">
        <w:rPr>
          <w:sz w:val="24"/>
          <w:szCs w:val="24"/>
          <w:lang w:eastAsia="en-AU"/>
        </w:rPr>
        <w:t>group; the differences were clinically meaningful and statistically significant</w:t>
      </w:r>
      <w:r w:rsidR="00E02E50">
        <w:rPr>
          <w:sz w:val="24"/>
          <w:szCs w:val="24"/>
          <w:lang w:eastAsia="en-AU"/>
        </w:rPr>
        <w:t xml:space="preserve"> </w:t>
      </w:r>
      <w:r w:rsidRPr="00840F9D">
        <w:rPr>
          <w:sz w:val="24"/>
          <w:szCs w:val="24"/>
          <w:lang w:eastAsia="en-AU"/>
        </w:rPr>
        <w:t>(</w:t>
      </w:r>
      <w:r>
        <w:rPr>
          <w:sz w:val="24"/>
          <w:szCs w:val="24"/>
          <w:lang w:eastAsia="en-AU"/>
        </w:rPr>
        <w:t>p</w:t>
      </w:r>
      <w:r w:rsidRPr="00840F9D">
        <w:rPr>
          <w:sz w:val="24"/>
          <w:szCs w:val="24"/>
          <w:lang w:eastAsia="en-AU"/>
        </w:rPr>
        <w:t xml:space="preserve"> &lt; </w:t>
      </w:r>
      <w:r>
        <w:rPr>
          <w:sz w:val="24"/>
          <w:szCs w:val="24"/>
          <w:lang w:eastAsia="en-AU"/>
        </w:rPr>
        <w:t>0</w:t>
      </w:r>
      <w:r w:rsidRPr="00840F9D">
        <w:rPr>
          <w:sz w:val="24"/>
          <w:szCs w:val="24"/>
          <w:lang w:eastAsia="en-AU"/>
        </w:rPr>
        <w:t xml:space="preserve">.001). Three patients in the </w:t>
      </w:r>
      <w:r w:rsidR="0096538C">
        <w:rPr>
          <w:sz w:val="24"/>
          <w:szCs w:val="24"/>
          <w:lang w:eastAsia="en-AU"/>
        </w:rPr>
        <w:t xml:space="preserve">Lotemax </w:t>
      </w:r>
      <w:r w:rsidRPr="00840F9D">
        <w:rPr>
          <w:sz w:val="24"/>
          <w:szCs w:val="24"/>
          <w:lang w:eastAsia="en-AU"/>
        </w:rPr>
        <w:t>group had an intraocular pressure</w:t>
      </w:r>
      <w:r w:rsidR="00E02E50">
        <w:rPr>
          <w:sz w:val="24"/>
          <w:szCs w:val="24"/>
          <w:lang w:eastAsia="en-AU"/>
        </w:rPr>
        <w:t xml:space="preserve"> </w:t>
      </w:r>
      <w:r w:rsidRPr="00840F9D">
        <w:rPr>
          <w:sz w:val="24"/>
          <w:szCs w:val="24"/>
          <w:lang w:eastAsia="en-AU"/>
        </w:rPr>
        <w:t xml:space="preserve">elevation of </w:t>
      </w:r>
      <w:r w:rsidR="00436805">
        <w:rPr>
          <w:rFonts w:ascii="Arial" w:hAnsi="Arial" w:cs="Arial"/>
          <w:color w:val="000000"/>
          <w:sz w:val="23"/>
          <w:szCs w:val="23"/>
          <w:lang w:eastAsia="en-AU"/>
        </w:rPr>
        <w:t xml:space="preserve">≥ </w:t>
      </w:r>
      <w:r w:rsidR="00436805">
        <w:rPr>
          <w:color w:val="000000"/>
          <w:sz w:val="24"/>
          <w:szCs w:val="24"/>
          <w:lang w:eastAsia="en-AU"/>
        </w:rPr>
        <w:t>10 mm Hg</w:t>
      </w:r>
      <w:r w:rsidRPr="00840F9D">
        <w:rPr>
          <w:sz w:val="24"/>
          <w:szCs w:val="24"/>
          <w:lang w:eastAsia="en-AU"/>
        </w:rPr>
        <w:t xml:space="preserve"> over the preoperative screening value at one or more</w:t>
      </w:r>
      <w:r w:rsidR="00E02E50">
        <w:rPr>
          <w:sz w:val="24"/>
          <w:szCs w:val="24"/>
          <w:lang w:eastAsia="en-AU"/>
        </w:rPr>
        <w:t xml:space="preserve"> </w:t>
      </w:r>
      <w:r w:rsidRPr="00840F9D">
        <w:rPr>
          <w:sz w:val="24"/>
          <w:szCs w:val="24"/>
          <w:lang w:eastAsia="en-AU"/>
        </w:rPr>
        <w:t>visits</w:t>
      </w:r>
      <w:r>
        <w:rPr>
          <w:sz w:val="24"/>
          <w:szCs w:val="24"/>
          <w:lang w:eastAsia="en-AU"/>
        </w:rPr>
        <w:t>.</w:t>
      </w:r>
    </w:p>
    <w:p w:rsidR="003E41F3" w:rsidRDefault="003E41F3" w:rsidP="0090456F">
      <w:pPr>
        <w:autoSpaceDE w:val="0"/>
        <w:autoSpaceDN w:val="0"/>
        <w:adjustRightInd w:val="0"/>
        <w:jc w:val="both"/>
        <w:rPr>
          <w:sz w:val="24"/>
          <w:szCs w:val="24"/>
          <w:lang w:eastAsia="en-AU"/>
        </w:rPr>
      </w:pPr>
    </w:p>
    <w:p w:rsidR="00840F9D" w:rsidRDefault="00840F9D" w:rsidP="0090456F">
      <w:pPr>
        <w:autoSpaceDE w:val="0"/>
        <w:autoSpaceDN w:val="0"/>
        <w:adjustRightInd w:val="0"/>
        <w:jc w:val="both"/>
        <w:rPr>
          <w:sz w:val="24"/>
          <w:szCs w:val="24"/>
          <w:lang w:eastAsia="en-AU"/>
        </w:rPr>
      </w:pPr>
      <w:r w:rsidRPr="00840F9D">
        <w:rPr>
          <w:sz w:val="24"/>
          <w:szCs w:val="24"/>
          <w:lang w:eastAsia="en-AU"/>
        </w:rPr>
        <w:t xml:space="preserve">In study </w:t>
      </w:r>
      <w:r w:rsidR="00FF7D99">
        <w:rPr>
          <w:sz w:val="24"/>
          <w:szCs w:val="24"/>
          <w:lang w:eastAsia="en-AU"/>
        </w:rPr>
        <w:t>127</w:t>
      </w:r>
      <w:r w:rsidRPr="00840F9D">
        <w:rPr>
          <w:sz w:val="24"/>
          <w:szCs w:val="24"/>
          <w:lang w:eastAsia="en-AU"/>
        </w:rPr>
        <w:t xml:space="preserve">, the proportion of patients with ACI resolved by the final visit </w:t>
      </w:r>
      <w:r w:rsidR="00A03081">
        <w:rPr>
          <w:sz w:val="24"/>
          <w:szCs w:val="24"/>
          <w:lang w:eastAsia="en-AU"/>
        </w:rPr>
        <w:t xml:space="preserve">[LOCF)] </w:t>
      </w:r>
      <w:r w:rsidRPr="00840F9D">
        <w:rPr>
          <w:sz w:val="24"/>
          <w:szCs w:val="24"/>
          <w:lang w:eastAsia="en-AU"/>
        </w:rPr>
        <w:t>was</w:t>
      </w:r>
      <w:r w:rsidR="00A03081">
        <w:rPr>
          <w:sz w:val="24"/>
          <w:szCs w:val="24"/>
          <w:lang w:eastAsia="en-AU"/>
        </w:rPr>
        <w:t xml:space="preserve"> </w:t>
      </w:r>
      <w:r w:rsidRPr="00840F9D">
        <w:rPr>
          <w:sz w:val="24"/>
          <w:szCs w:val="24"/>
          <w:lang w:eastAsia="en-AU"/>
        </w:rPr>
        <w:t>55%</w:t>
      </w:r>
      <w:r w:rsidR="00562F99">
        <w:rPr>
          <w:sz w:val="24"/>
          <w:szCs w:val="24"/>
          <w:lang w:eastAsia="en-AU"/>
        </w:rPr>
        <w:t xml:space="preserve"> (56/102) </w:t>
      </w:r>
      <w:r w:rsidRPr="00840F9D">
        <w:rPr>
          <w:sz w:val="24"/>
          <w:szCs w:val="24"/>
          <w:lang w:eastAsia="en-AU"/>
        </w:rPr>
        <w:t>in the Lotemax</w:t>
      </w:r>
      <w:r w:rsidR="009A335D">
        <w:rPr>
          <w:sz w:val="24"/>
          <w:szCs w:val="24"/>
          <w:lang w:eastAsia="en-AU"/>
        </w:rPr>
        <w:t xml:space="preserve"> </w:t>
      </w:r>
      <w:r w:rsidR="00C57949">
        <w:rPr>
          <w:sz w:val="24"/>
          <w:szCs w:val="24"/>
          <w:lang w:eastAsia="en-AU"/>
        </w:rPr>
        <w:t xml:space="preserve">group and 28% </w:t>
      </w:r>
      <w:r w:rsidR="00A3240A">
        <w:rPr>
          <w:sz w:val="24"/>
          <w:szCs w:val="24"/>
          <w:lang w:eastAsia="en-AU"/>
        </w:rPr>
        <w:t>(28/100)</w:t>
      </w:r>
      <w:r w:rsidRPr="00840F9D">
        <w:rPr>
          <w:sz w:val="24"/>
          <w:szCs w:val="24"/>
          <w:lang w:eastAsia="en-AU"/>
        </w:rPr>
        <w:t xml:space="preserve"> in the placebo group (p &lt; 0.001)</w:t>
      </w:r>
      <w:r w:rsidR="000B659A">
        <w:rPr>
          <w:sz w:val="24"/>
          <w:szCs w:val="24"/>
          <w:lang w:eastAsia="en-AU"/>
        </w:rPr>
        <w:t xml:space="preserve"> (Table 2)</w:t>
      </w:r>
      <w:r w:rsidRPr="00840F9D">
        <w:rPr>
          <w:sz w:val="24"/>
          <w:szCs w:val="24"/>
          <w:lang w:eastAsia="en-AU"/>
        </w:rPr>
        <w:t>.</w:t>
      </w:r>
    </w:p>
    <w:p w:rsidR="003E41F3" w:rsidRDefault="003E41F3" w:rsidP="00666877">
      <w:pPr>
        <w:autoSpaceDE w:val="0"/>
        <w:autoSpaceDN w:val="0"/>
        <w:adjustRightInd w:val="0"/>
        <w:spacing w:line="360" w:lineRule="auto"/>
        <w:jc w:val="both"/>
      </w:pPr>
    </w:p>
    <w:p w:rsidR="001F21C5" w:rsidRPr="00FD75AB" w:rsidRDefault="00ED0DE5" w:rsidP="00666877">
      <w:pPr>
        <w:autoSpaceDE w:val="0"/>
        <w:autoSpaceDN w:val="0"/>
        <w:adjustRightInd w:val="0"/>
        <w:spacing w:line="360" w:lineRule="auto"/>
        <w:jc w:val="both"/>
        <w:rPr>
          <w:b/>
          <w:sz w:val="22"/>
          <w:szCs w:val="22"/>
        </w:rPr>
      </w:pPr>
      <w:r w:rsidRPr="00FD75AB">
        <w:rPr>
          <w:b/>
          <w:sz w:val="22"/>
          <w:szCs w:val="22"/>
        </w:rPr>
        <w:t>Table 2: Study # 127: Resolution of ACR</w:t>
      </w:r>
    </w:p>
    <w:p w:rsidR="001F21C5" w:rsidRPr="00ED0DE5" w:rsidRDefault="004570DF" w:rsidP="00666877">
      <w:pPr>
        <w:autoSpaceDE w:val="0"/>
        <w:autoSpaceDN w:val="0"/>
        <w:adjustRightInd w:val="0"/>
        <w:spacing w:line="360" w:lineRule="auto"/>
        <w:jc w:val="both"/>
      </w:pPr>
      <w:r w:rsidRPr="00ED0DE5">
        <w:pict>
          <v:shape id="_x0000_i1027" type="#_x0000_t75" alt="Table 2" style="width:6in;height:207.75pt;mso-position-horizontal:absolute">
            <v:imagedata r:id="rId11" o:title=""/>
          </v:shape>
        </w:pict>
      </w:r>
    </w:p>
    <w:p w:rsidR="003E41F3" w:rsidRDefault="003E41F3" w:rsidP="0090456F">
      <w:pPr>
        <w:autoSpaceDE w:val="0"/>
        <w:autoSpaceDN w:val="0"/>
        <w:adjustRightInd w:val="0"/>
        <w:jc w:val="both"/>
        <w:rPr>
          <w:sz w:val="24"/>
          <w:szCs w:val="24"/>
          <w:lang w:eastAsia="en-AU"/>
        </w:rPr>
      </w:pPr>
      <w:r w:rsidRPr="00840F9D">
        <w:rPr>
          <w:sz w:val="24"/>
          <w:szCs w:val="24"/>
          <w:lang w:eastAsia="en-AU"/>
        </w:rPr>
        <w:t xml:space="preserve">In </w:t>
      </w:r>
      <w:r>
        <w:rPr>
          <w:sz w:val="24"/>
          <w:szCs w:val="24"/>
          <w:lang w:eastAsia="en-AU"/>
        </w:rPr>
        <w:t xml:space="preserve">both trials by the final visit </w:t>
      </w:r>
      <w:r w:rsidR="003D3099">
        <w:rPr>
          <w:sz w:val="24"/>
          <w:szCs w:val="24"/>
          <w:lang w:eastAsia="en-AU"/>
        </w:rPr>
        <w:t>(LOCF)</w:t>
      </w:r>
      <w:r w:rsidRPr="00840F9D">
        <w:rPr>
          <w:sz w:val="24"/>
          <w:szCs w:val="24"/>
          <w:lang w:eastAsia="en-AU"/>
        </w:rPr>
        <w:t>,</w:t>
      </w:r>
      <w:r w:rsidR="003D3099">
        <w:rPr>
          <w:sz w:val="24"/>
          <w:szCs w:val="24"/>
          <w:lang w:eastAsia="en-AU"/>
        </w:rPr>
        <w:t xml:space="preserve"> </w:t>
      </w:r>
      <w:r w:rsidRPr="00840F9D">
        <w:rPr>
          <w:sz w:val="24"/>
          <w:szCs w:val="24"/>
          <w:lang w:eastAsia="en-AU"/>
        </w:rPr>
        <w:t>the ACI had resolved in a larger proportion of patients</w:t>
      </w:r>
      <w:r>
        <w:rPr>
          <w:sz w:val="24"/>
          <w:szCs w:val="24"/>
          <w:lang w:eastAsia="en-AU"/>
        </w:rPr>
        <w:t xml:space="preserve"> </w:t>
      </w:r>
      <w:r w:rsidRPr="00840F9D">
        <w:rPr>
          <w:sz w:val="24"/>
          <w:szCs w:val="24"/>
          <w:lang w:eastAsia="en-AU"/>
        </w:rPr>
        <w:t>treated with Lotemax</w:t>
      </w:r>
      <w:r>
        <w:rPr>
          <w:sz w:val="24"/>
          <w:szCs w:val="24"/>
          <w:lang w:eastAsia="en-AU"/>
        </w:rPr>
        <w:t xml:space="preserve"> </w:t>
      </w:r>
      <w:r w:rsidRPr="00840F9D">
        <w:rPr>
          <w:sz w:val="24"/>
          <w:szCs w:val="24"/>
          <w:lang w:eastAsia="en-AU"/>
        </w:rPr>
        <w:t>compared to placebo (</w:t>
      </w:r>
      <w:r>
        <w:rPr>
          <w:sz w:val="24"/>
          <w:szCs w:val="24"/>
          <w:lang w:eastAsia="en-AU"/>
        </w:rPr>
        <w:t>p</w:t>
      </w:r>
      <w:r w:rsidRPr="00840F9D">
        <w:rPr>
          <w:sz w:val="24"/>
          <w:szCs w:val="24"/>
          <w:lang w:eastAsia="en-AU"/>
        </w:rPr>
        <w:t xml:space="preserve"> &lt;</w:t>
      </w:r>
      <w:r w:rsidR="0094252F">
        <w:rPr>
          <w:sz w:val="24"/>
          <w:szCs w:val="24"/>
          <w:lang w:eastAsia="en-AU"/>
        </w:rPr>
        <w:t xml:space="preserve"> </w:t>
      </w:r>
      <w:r w:rsidRPr="00840F9D">
        <w:rPr>
          <w:sz w:val="24"/>
          <w:szCs w:val="24"/>
          <w:lang w:eastAsia="en-AU"/>
        </w:rPr>
        <w:t>0.001).</w:t>
      </w:r>
    </w:p>
    <w:p w:rsidR="0090456F" w:rsidRDefault="0090456F" w:rsidP="0090456F">
      <w:pPr>
        <w:autoSpaceDE w:val="0"/>
        <w:autoSpaceDN w:val="0"/>
        <w:adjustRightInd w:val="0"/>
        <w:jc w:val="both"/>
        <w:rPr>
          <w:sz w:val="24"/>
          <w:szCs w:val="24"/>
          <w:lang w:eastAsia="en-AU"/>
        </w:rPr>
      </w:pPr>
    </w:p>
    <w:p w:rsidR="0090456F" w:rsidRPr="00840F9D" w:rsidRDefault="0090456F" w:rsidP="0090456F">
      <w:pPr>
        <w:autoSpaceDE w:val="0"/>
        <w:autoSpaceDN w:val="0"/>
        <w:adjustRightInd w:val="0"/>
        <w:jc w:val="both"/>
        <w:rPr>
          <w:sz w:val="24"/>
          <w:szCs w:val="24"/>
          <w:lang w:eastAsia="en-AU"/>
        </w:rPr>
      </w:pPr>
      <w:r w:rsidRPr="00840F9D">
        <w:rPr>
          <w:sz w:val="24"/>
          <w:szCs w:val="24"/>
          <w:lang w:eastAsia="en-AU"/>
        </w:rPr>
        <w:t>For all the individual components of ACI (cell and flare), as well as other signs and</w:t>
      </w:r>
      <w:r>
        <w:rPr>
          <w:sz w:val="24"/>
          <w:szCs w:val="24"/>
          <w:lang w:eastAsia="en-AU"/>
        </w:rPr>
        <w:t xml:space="preserve"> </w:t>
      </w:r>
      <w:r w:rsidRPr="00840F9D">
        <w:rPr>
          <w:sz w:val="24"/>
          <w:szCs w:val="24"/>
          <w:lang w:eastAsia="en-AU"/>
        </w:rPr>
        <w:t xml:space="preserve">symptoms, the resolution rate and mean change from baseline </w:t>
      </w:r>
      <w:r>
        <w:rPr>
          <w:sz w:val="24"/>
          <w:szCs w:val="24"/>
          <w:lang w:eastAsia="en-AU"/>
        </w:rPr>
        <w:t>favour</w:t>
      </w:r>
      <w:r w:rsidRPr="00840F9D">
        <w:rPr>
          <w:sz w:val="24"/>
          <w:szCs w:val="24"/>
          <w:lang w:eastAsia="en-AU"/>
        </w:rPr>
        <w:t>ed Lotemax</w:t>
      </w:r>
      <w:r>
        <w:rPr>
          <w:sz w:val="24"/>
          <w:szCs w:val="24"/>
          <w:lang w:eastAsia="en-AU"/>
        </w:rPr>
        <w:t>.</w:t>
      </w:r>
    </w:p>
    <w:p w:rsidR="0090456F" w:rsidRDefault="0090456F" w:rsidP="0090456F">
      <w:pPr>
        <w:autoSpaceDE w:val="0"/>
        <w:autoSpaceDN w:val="0"/>
        <w:adjustRightInd w:val="0"/>
        <w:jc w:val="both"/>
        <w:rPr>
          <w:sz w:val="24"/>
          <w:szCs w:val="24"/>
          <w:lang w:eastAsia="en-AU"/>
        </w:rPr>
      </w:pPr>
    </w:p>
    <w:p w:rsidR="0090456F" w:rsidRPr="00840F9D" w:rsidRDefault="0090456F" w:rsidP="0090456F">
      <w:pPr>
        <w:autoSpaceDE w:val="0"/>
        <w:autoSpaceDN w:val="0"/>
        <w:adjustRightInd w:val="0"/>
        <w:jc w:val="both"/>
        <w:rPr>
          <w:sz w:val="24"/>
          <w:szCs w:val="24"/>
          <w:lang w:eastAsia="en-AU"/>
        </w:rPr>
      </w:pPr>
      <w:r w:rsidRPr="00840F9D">
        <w:rPr>
          <w:sz w:val="24"/>
          <w:szCs w:val="24"/>
          <w:lang w:eastAsia="en-AU"/>
        </w:rPr>
        <w:t>Expanding the efficacy criterion to include patients with mild inflammation at final visit,</w:t>
      </w:r>
      <w:r>
        <w:rPr>
          <w:sz w:val="24"/>
          <w:szCs w:val="24"/>
          <w:lang w:eastAsia="en-AU"/>
        </w:rPr>
        <w:t xml:space="preserve"> </w:t>
      </w:r>
      <w:r w:rsidRPr="00840F9D">
        <w:rPr>
          <w:sz w:val="24"/>
          <w:szCs w:val="24"/>
          <w:lang w:eastAsia="en-AU"/>
        </w:rPr>
        <w:t>the efficacy of Lotemax</w:t>
      </w:r>
      <w:r>
        <w:rPr>
          <w:sz w:val="24"/>
          <w:szCs w:val="24"/>
          <w:lang w:eastAsia="en-AU"/>
        </w:rPr>
        <w:t xml:space="preserve"> </w:t>
      </w:r>
      <w:r w:rsidRPr="00840F9D">
        <w:rPr>
          <w:sz w:val="24"/>
          <w:szCs w:val="24"/>
          <w:lang w:eastAsia="en-AU"/>
        </w:rPr>
        <w:t>was 93% (95/102), in contrast to 65% (65/100)</w:t>
      </w:r>
      <w:r w:rsidR="00C8711B">
        <w:rPr>
          <w:sz w:val="24"/>
          <w:szCs w:val="24"/>
          <w:lang w:eastAsia="en-AU"/>
        </w:rPr>
        <w:t xml:space="preserve"> </w:t>
      </w:r>
      <w:r w:rsidRPr="00840F9D">
        <w:rPr>
          <w:sz w:val="24"/>
          <w:szCs w:val="24"/>
          <w:lang w:eastAsia="en-AU"/>
        </w:rPr>
        <w:t>for placebo</w:t>
      </w:r>
      <w:r w:rsidR="00C8711B">
        <w:rPr>
          <w:sz w:val="24"/>
          <w:szCs w:val="24"/>
          <w:lang w:eastAsia="en-AU"/>
        </w:rPr>
        <w:t>.</w:t>
      </w:r>
      <w:r w:rsidRPr="00840F9D">
        <w:rPr>
          <w:sz w:val="24"/>
          <w:szCs w:val="24"/>
          <w:lang w:eastAsia="en-AU"/>
        </w:rPr>
        <w:t xml:space="preserve"> The difference in the treatment failure rates, as well the difference in the time-course of</w:t>
      </w:r>
      <w:r>
        <w:rPr>
          <w:sz w:val="24"/>
          <w:szCs w:val="24"/>
          <w:lang w:eastAsia="en-AU"/>
        </w:rPr>
        <w:t xml:space="preserve"> </w:t>
      </w:r>
      <w:r w:rsidRPr="00840F9D">
        <w:rPr>
          <w:sz w:val="24"/>
          <w:szCs w:val="24"/>
          <w:lang w:eastAsia="en-AU"/>
        </w:rPr>
        <w:t xml:space="preserve">failures was both clinically meaningful and statistically significant, in </w:t>
      </w:r>
      <w:r>
        <w:rPr>
          <w:sz w:val="24"/>
          <w:szCs w:val="24"/>
          <w:lang w:eastAsia="en-AU"/>
        </w:rPr>
        <w:t>favour</w:t>
      </w:r>
      <w:r w:rsidRPr="00840F9D">
        <w:rPr>
          <w:sz w:val="24"/>
          <w:szCs w:val="24"/>
          <w:lang w:eastAsia="en-AU"/>
        </w:rPr>
        <w:t xml:space="preserve"> of Lotemax</w:t>
      </w:r>
      <w:r>
        <w:rPr>
          <w:sz w:val="24"/>
          <w:szCs w:val="24"/>
          <w:lang w:eastAsia="en-AU"/>
        </w:rPr>
        <w:t xml:space="preserve"> </w:t>
      </w:r>
      <w:r w:rsidRPr="00840F9D">
        <w:rPr>
          <w:sz w:val="24"/>
          <w:szCs w:val="24"/>
          <w:lang w:eastAsia="en-AU"/>
        </w:rPr>
        <w:t>(p &lt; 0.001). Both treatments were well tolerated. No clinically significant elevations in intraocular</w:t>
      </w:r>
      <w:r>
        <w:rPr>
          <w:sz w:val="24"/>
          <w:szCs w:val="24"/>
          <w:lang w:eastAsia="en-AU"/>
        </w:rPr>
        <w:t xml:space="preserve"> </w:t>
      </w:r>
      <w:r w:rsidRPr="00840F9D">
        <w:rPr>
          <w:sz w:val="24"/>
          <w:szCs w:val="24"/>
          <w:lang w:eastAsia="en-AU"/>
        </w:rPr>
        <w:t>pressure (</w:t>
      </w:r>
      <w:r w:rsidRPr="00840F9D">
        <w:rPr>
          <w:rFonts w:hint="eastAsia"/>
          <w:sz w:val="24"/>
          <w:szCs w:val="24"/>
          <w:lang w:eastAsia="en-AU"/>
        </w:rPr>
        <w:t>≥</w:t>
      </w:r>
      <w:r w:rsidRPr="00840F9D">
        <w:rPr>
          <w:sz w:val="24"/>
          <w:szCs w:val="24"/>
          <w:lang w:eastAsia="en-AU"/>
        </w:rPr>
        <w:t xml:space="preserve"> 10 mm Hg) were seen in the Lotemax</w:t>
      </w:r>
      <w:r>
        <w:rPr>
          <w:sz w:val="24"/>
          <w:szCs w:val="24"/>
          <w:lang w:eastAsia="en-AU"/>
        </w:rPr>
        <w:t xml:space="preserve"> </w:t>
      </w:r>
      <w:r w:rsidRPr="00840F9D">
        <w:rPr>
          <w:sz w:val="24"/>
          <w:szCs w:val="24"/>
          <w:lang w:eastAsia="en-AU"/>
        </w:rPr>
        <w:t>treatment group in this trial.</w:t>
      </w:r>
    </w:p>
    <w:p w:rsidR="0090456F" w:rsidRDefault="0090456F" w:rsidP="0090456F">
      <w:pPr>
        <w:autoSpaceDE w:val="0"/>
        <w:autoSpaceDN w:val="0"/>
        <w:adjustRightInd w:val="0"/>
        <w:jc w:val="both"/>
        <w:rPr>
          <w:sz w:val="24"/>
          <w:szCs w:val="24"/>
          <w:lang w:eastAsia="en-AU"/>
        </w:rPr>
      </w:pPr>
    </w:p>
    <w:p w:rsidR="0047427C" w:rsidRPr="00AC5640" w:rsidRDefault="00AF4B7F" w:rsidP="00666877">
      <w:pPr>
        <w:autoSpaceDE w:val="0"/>
        <w:autoSpaceDN w:val="0"/>
        <w:adjustRightInd w:val="0"/>
        <w:spacing w:line="360" w:lineRule="auto"/>
        <w:jc w:val="both"/>
        <w:rPr>
          <w:color w:val="000000"/>
          <w:sz w:val="24"/>
          <w:szCs w:val="24"/>
          <w:u w:val="single"/>
          <w:lang w:eastAsia="en-AU"/>
        </w:rPr>
      </w:pPr>
      <w:r w:rsidRPr="00AC5640">
        <w:rPr>
          <w:color w:val="000000"/>
          <w:sz w:val="24"/>
          <w:szCs w:val="24"/>
          <w:u w:val="single"/>
          <w:lang w:eastAsia="en-AU"/>
        </w:rPr>
        <w:t xml:space="preserve">Giant Papillary Conjunctivitis </w:t>
      </w:r>
      <w:r w:rsidR="00C57949" w:rsidRPr="00AC5640">
        <w:rPr>
          <w:color w:val="000000"/>
          <w:sz w:val="24"/>
          <w:szCs w:val="24"/>
          <w:u w:val="single"/>
          <w:lang w:eastAsia="en-AU"/>
        </w:rPr>
        <w:t>(GPC)</w:t>
      </w:r>
    </w:p>
    <w:p w:rsidR="00C97799" w:rsidRPr="00030581" w:rsidRDefault="0047427C" w:rsidP="0090456F">
      <w:pPr>
        <w:autoSpaceDE w:val="0"/>
        <w:autoSpaceDN w:val="0"/>
        <w:adjustRightInd w:val="0"/>
        <w:jc w:val="both"/>
        <w:rPr>
          <w:color w:val="000000"/>
          <w:sz w:val="24"/>
          <w:szCs w:val="24"/>
          <w:lang w:eastAsia="en-AU"/>
        </w:rPr>
      </w:pPr>
      <w:r w:rsidRPr="00DC6CA2">
        <w:rPr>
          <w:color w:val="000000"/>
          <w:sz w:val="24"/>
          <w:szCs w:val="24"/>
          <w:lang w:eastAsia="en-AU"/>
        </w:rPr>
        <w:t xml:space="preserve">Three </w:t>
      </w:r>
      <w:r w:rsidR="00BA7300" w:rsidRPr="00DC6CA2">
        <w:rPr>
          <w:color w:val="000000"/>
          <w:sz w:val="24"/>
          <w:szCs w:val="24"/>
          <w:lang w:eastAsia="en-AU"/>
        </w:rPr>
        <w:t>multicent</w:t>
      </w:r>
      <w:r w:rsidR="00BA7300">
        <w:rPr>
          <w:color w:val="000000"/>
          <w:sz w:val="24"/>
          <w:szCs w:val="24"/>
          <w:lang w:eastAsia="en-AU"/>
        </w:rPr>
        <w:t>re</w:t>
      </w:r>
      <w:r w:rsidRPr="00DC6CA2">
        <w:rPr>
          <w:color w:val="000000"/>
          <w:sz w:val="24"/>
          <w:szCs w:val="24"/>
          <w:lang w:eastAsia="en-AU"/>
        </w:rPr>
        <w:t xml:space="preserve">, double-masked, parallel-group, </w:t>
      </w:r>
      <w:r w:rsidR="00FE3E3E" w:rsidRPr="00DC6CA2">
        <w:rPr>
          <w:color w:val="000000"/>
          <w:sz w:val="24"/>
          <w:szCs w:val="24"/>
          <w:lang w:eastAsia="en-AU"/>
        </w:rPr>
        <w:t>placebo</w:t>
      </w:r>
      <w:r w:rsidRPr="00DC6CA2">
        <w:rPr>
          <w:color w:val="000000"/>
          <w:sz w:val="24"/>
          <w:szCs w:val="24"/>
          <w:lang w:eastAsia="en-AU"/>
        </w:rPr>
        <w:t xml:space="preserve">-controlled studies (Studies </w:t>
      </w:r>
      <w:r w:rsidR="00C57949">
        <w:rPr>
          <w:color w:val="000000"/>
          <w:sz w:val="24"/>
          <w:szCs w:val="24"/>
          <w:lang w:eastAsia="en-AU"/>
        </w:rPr>
        <w:t>106, 107, 108)</w:t>
      </w:r>
      <w:r w:rsidRPr="00DC6CA2">
        <w:rPr>
          <w:color w:val="000000"/>
          <w:sz w:val="24"/>
          <w:szCs w:val="24"/>
          <w:lang w:eastAsia="en-AU"/>
        </w:rPr>
        <w:t xml:space="preserve"> </w:t>
      </w:r>
      <w:r w:rsidR="00C97799" w:rsidRPr="00DC6CA2">
        <w:rPr>
          <w:color w:val="000000"/>
          <w:sz w:val="24"/>
          <w:szCs w:val="24"/>
          <w:lang w:eastAsia="en-AU"/>
        </w:rPr>
        <w:t xml:space="preserve">were conducted to evaluate the safety and efficacy of Lotemax in </w:t>
      </w:r>
      <w:r w:rsidRPr="00DC6CA2">
        <w:rPr>
          <w:color w:val="000000"/>
          <w:sz w:val="24"/>
          <w:szCs w:val="24"/>
          <w:lang w:eastAsia="en-AU"/>
        </w:rPr>
        <w:t xml:space="preserve">the </w:t>
      </w:r>
      <w:r w:rsidRPr="00030581">
        <w:rPr>
          <w:color w:val="000000"/>
          <w:sz w:val="24"/>
          <w:szCs w:val="24"/>
          <w:lang w:eastAsia="en-AU"/>
        </w:rPr>
        <w:t>treatment of</w:t>
      </w:r>
      <w:r w:rsidR="00FF7886" w:rsidRPr="00030581">
        <w:rPr>
          <w:color w:val="000000"/>
          <w:sz w:val="24"/>
          <w:szCs w:val="24"/>
          <w:lang w:eastAsia="en-AU"/>
        </w:rPr>
        <w:t xml:space="preserve"> </w:t>
      </w:r>
      <w:r w:rsidRPr="00030581">
        <w:rPr>
          <w:color w:val="000000"/>
          <w:sz w:val="24"/>
          <w:szCs w:val="24"/>
          <w:lang w:eastAsia="en-AU"/>
        </w:rPr>
        <w:t>GPC associated with wearing contact lenses</w:t>
      </w:r>
      <w:r w:rsidR="00C97799" w:rsidRPr="00030581">
        <w:rPr>
          <w:color w:val="000000"/>
          <w:sz w:val="24"/>
          <w:szCs w:val="24"/>
          <w:lang w:eastAsia="en-AU"/>
        </w:rPr>
        <w:t>.</w:t>
      </w:r>
    </w:p>
    <w:p w:rsidR="00C8711B" w:rsidRDefault="00C8711B" w:rsidP="0090456F">
      <w:pPr>
        <w:autoSpaceDE w:val="0"/>
        <w:autoSpaceDN w:val="0"/>
        <w:adjustRightInd w:val="0"/>
        <w:jc w:val="both"/>
        <w:rPr>
          <w:color w:val="000000"/>
          <w:sz w:val="24"/>
          <w:szCs w:val="24"/>
          <w:lang w:eastAsia="en-AU"/>
        </w:rPr>
      </w:pPr>
    </w:p>
    <w:p w:rsidR="0047427C" w:rsidRPr="00030581" w:rsidRDefault="0047427C" w:rsidP="0090456F">
      <w:pPr>
        <w:autoSpaceDE w:val="0"/>
        <w:autoSpaceDN w:val="0"/>
        <w:adjustRightInd w:val="0"/>
        <w:jc w:val="both"/>
        <w:rPr>
          <w:color w:val="000000"/>
          <w:sz w:val="24"/>
          <w:szCs w:val="24"/>
          <w:lang w:eastAsia="en-AU"/>
        </w:rPr>
      </w:pPr>
      <w:r w:rsidRPr="00030581">
        <w:rPr>
          <w:color w:val="000000"/>
          <w:sz w:val="24"/>
          <w:szCs w:val="24"/>
          <w:lang w:eastAsia="en-AU"/>
        </w:rPr>
        <w:lastRenderedPageBreak/>
        <w:t xml:space="preserve">The test medication, </w:t>
      </w:r>
      <w:r w:rsidRPr="00030581">
        <w:rPr>
          <w:iCs/>
          <w:color w:val="000000"/>
          <w:sz w:val="24"/>
          <w:szCs w:val="24"/>
          <w:lang w:eastAsia="en-AU"/>
        </w:rPr>
        <w:t>Lotemax</w:t>
      </w:r>
      <w:r w:rsidRPr="00030581">
        <w:rPr>
          <w:i/>
          <w:iCs/>
          <w:color w:val="000000"/>
          <w:sz w:val="24"/>
          <w:szCs w:val="24"/>
          <w:lang w:eastAsia="en-AU"/>
        </w:rPr>
        <w:t xml:space="preserve"> </w:t>
      </w:r>
      <w:r w:rsidRPr="00030581">
        <w:rPr>
          <w:color w:val="000000"/>
          <w:sz w:val="24"/>
          <w:szCs w:val="24"/>
          <w:lang w:eastAsia="en-AU"/>
        </w:rPr>
        <w:t xml:space="preserve">or </w:t>
      </w:r>
      <w:r w:rsidR="00FF7886" w:rsidRPr="00030581">
        <w:rPr>
          <w:color w:val="000000"/>
          <w:sz w:val="24"/>
          <w:szCs w:val="24"/>
          <w:lang w:eastAsia="en-AU"/>
        </w:rPr>
        <w:t>placebo</w:t>
      </w:r>
      <w:r w:rsidRPr="00030581">
        <w:rPr>
          <w:color w:val="000000"/>
          <w:sz w:val="24"/>
          <w:szCs w:val="24"/>
          <w:lang w:eastAsia="en-AU"/>
        </w:rPr>
        <w:t xml:space="preserve">, was administered </w:t>
      </w:r>
      <w:r w:rsidR="00FF7886" w:rsidRPr="00030581">
        <w:rPr>
          <w:color w:val="000000"/>
          <w:sz w:val="24"/>
          <w:szCs w:val="24"/>
          <w:lang w:eastAsia="en-AU"/>
        </w:rPr>
        <w:t>four times a day</w:t>
      </w:r>
      <w:r w:rsidRPr="00030581">
        <w:rPr>
          <w:color w:val="000000"/>
          <w:sz w:val="24"/>
          <w:szCs w:val="24"/>
          <w:lang w:eastAsia="en-AU"/>
        </w:rPr>
        <w:t xml:space="preserve"> for 28 days (Study </w:t>
      </w:r>
      <w:r w:rsidR="00C57949" w:rsidRPr="00030581">
        <w:rPr>
          <w:bCs/>
          <w:color w:val="000000"/>
          <w:sz w:val="24"/>
          <w:szCs w:val="24"/>
          <w:lang w:eastAsia="en-AU"/>
        </w:rPr>
        <w:t>106</w:t>
      </w:r>
      <w:r w:rsidRPr="00030581">
        <w:rPr>
          <w:color w:val="000000"/>
          <w:sz w:val="24"/>
          <w:szCs w:val="24"/>
          <w:lang w:eastAsia="en-AU"/>
        </w:rPr>
        <w:t xml:space="preserve">) or for 42 days (Study </w:t>
      </w:r>
      <w:r w:rsidR="00C57949" w:rsidRPr="00030581">
        <w:rPr>
          <w:bCs/>
          <w:color w:val="000000"/>
          <w:sz w:val="24"/>
          <w:szCs w:val="24"/>
          <w:lang w:eastAsia="en-AU"/>
        </w:rPr>
        <w:t>107</w:t>
      </w:r>
      <w:r w:rsidR="00BA7300">
        <w:rPr>
          <w:color w:val="000000"/>
          <w:sz w:val="24"/>
          <w:szCs w:val="24"/>
          <w:lang w:eastAsia="en-AU"/>
        </w:rPr>
        <w:t xml:space="preserve"> and</w:t>
      </w:r>
      <w:r w:rsidR="00BA7300" w:rsidRPr="00030581">
        <w:rPr>
          <w:color w:val="000000"/>
          <w:sz w:val="24"/>
          <w:szCs w:val="24"/>
          <w:lang w:eastAsia="en-AU"/>
        </w:rPr>
        <w:t xml:space="preserve"> </w:t>
      </w:r>
      <w:r w:rsidRPr="00030581">
        <w:rPr>
          <w:color w:val="000000"/>
          <w:sz w:val="24"/>
          <w:szCs w:val="24"/>
          <w:lang w:eastAsia="en-AU"/>
        </w:rPr>
        <w:t xml:space="preserve">Study </w:t>
      </w:r>
      <w:r w:rsidR="00C57949" w:rsidRPr="00030581">
        <w:rPr>
          <w:bCs/>
          <w:color w:val="000000"/>
          <w:sz w:val="24"/>
          <w:szCs w:val="24"/>
          <w:lang w:eastAsia="en-AU"/>
        </w:rPr>
        <w:t>108</w:t>
      </w:r>
      <w:r w:rsidRPr="00030581">
        <w:rPr>
          <w:color w:val="000000"/>
          <w:sz w:val="24"/>
          <w:szCs w:val="24"/>
          <w:lang w:eastAsia="en-AU"/>
        </w:rPr>
        <w:t>).</w:t>
      </w:r>
    </w:p>
    <w:p w:rsidR="00666877" w:rsidRPr="00030581" w:rsidRDefault="00666877" w:rsidP="0090456F">
      <w:pPr>
        <w:autoSpaceDE w:val="0"/>
        <w:autoSpaceDN w:val="0"/>
        <w:adjustRightInd w:val="0"/>
        <w:jc w:val="both"/>
        <w:rPr>
          <w:color w:val="000000"/>
          <w:sz w:val="24"/>
          <w:szCs w:val="24"/>
          <w:lang w:eastAsia="en-AU"/>
        </w:rPr>
      </w:pPr>
    </w:p>
    <w:p w:rsidR="0047427C" w:rsidRDefault="0047427C" w:rsidP="0090456F">
      <w:pPr>
        <w:autoSpaceDE w:val="0"/>
        <w:autoSpaceDN w:val="0"/>
        <w:adjustRightInd w:val="0"/>
        <w:jc w:val="both"/>
        <w:rPr>
          <w:color w:val="000000"/>
          <w:sz w:val="24"/>
          <w:szCs w:val="24"/>
          <w:lang w:eastAsia="en-AU"/>
        </w:rPr>
      </w:pPr>
      <w:r w:rsidRPr="00030581">
        <w:rPr>
          <w:color w:val="000000"/>
          <w:sz w:val="24"/>
          <w:szCs w:val="24"/>
          <w:lang w:eastAsia="en-AU"/>
        </w:rPr>
        <w:t xml:space="preserve">Study </w:t>
      </w:r>
      <w:r w:rsidR="00C57949" w:rsidRPr="00030581">
        <w:rPr>
          <w:color w:val="000000"/>
          <w:sz w:val="24"/>
          <w:szCs w:val="24"/>
          <w:lang w:eastAsia="en-AU"/>
        </w:rPr>
        <w:t>106</w:t>
      </w:r>
      <w:r w:rsidRPr="00030581">
        <w:rPr>
          <w:bCs/>
          <w:color w:val="0000FF"/>
          <w:sz w:val="24"/>
          <w:szCs w:val="24"/>
          <w:lang w:eastAsia="en-AU"/>
        </w:rPr>
        <w:t xml:space="preserve"> </w:t>
      </w:r>
      <w:r w:rsidRPr="00030581">
        <w:rPr>
          <w:color w:val="000000"/>
          <w:sz w:val="24"/>
          <w:szCs w:val="24"/>
          <w:lang w:eastAsia="en-AU"/>
        </w:rPr>
        <w:t xml:space="preserve">was a </w:t>
      </w:r>
      <w:r w:rsidR="00BA7300" w:rsidRPr="00030581">
        <w:rPr>
          <w:color w:val="000000"/>
          <w:sz w:val="24"/>
          <w:szCs w:val="24"/>
          <w:lang w:eastAsia="en-AU"/>
        </w:rPr>
        <w:t>multicent</w:t>
      </w:r>
      <w:r w:rsidR="00BA7300">
        <w:rPr>
          <w:color w:val="000000"/>
          <w:sz w:val="24"/>
          <w:szCs w:val="24"/>
          <w:lang w:eastAsia="en-AU"/>
        </w:rPr>
        <w:t>re</w:t>
      </w:r>
      <w:r w:rsidRPr="00030581">
        <w:rPr>
          <w:color w:val="000000"/>
          <w:sz w:val="24"/>
          <w:szCs w:val="24"/>
          <w:lang w:eastAsia="en-AU"/>
        </w:rPr>
        <w:t xml:space="preserve">, </w:t>
      </w:r>
      <w:r w:rsidR="00BA7300" w:rsidRPr="00030581">
        <w:rPr>
          <w:color w:val="000000"/>
          <w:sz w:val="24"/>
          <w:szCs w:val="24"/>
          <w:lang w:eastAsia="en-AU"/>
        </w:rPr>
        <w:t>randomi</w:t>
      </w:r>
      <w:r w:rsidR="00BA7300">
        <w:rPr>
          <w:color w:val="000000"/>
          <w:sz w:val="24"/>
          <w:szCs w:val="24"/>
          <w:lang w:eastAsia="en-AU"/>
        </w:rPr>
        <w:t>s</w:t>
      </w:r>
      <w:r w:rsidR="00BA7300" w:rsidRPr="00030581">
        <w:rPr>
          <w:color w:val="000000"/>
          <w:sz w:val="24"/>
          <w:szCs w:val="24"/>
          <w:lang w:eastAsia="en-AU"/>
        </w:rPr>
        <w:t>ed</w:t>
      </w:r>
      <w:r w:rsidRPr="00030581">
        <w:rPr>
          <w:color w:val="000000"/>
          <w:sz w:val="24"/>
          <w:szCs w:val="24"/>
          <w:lang w:eastAsia="en-AU"/>
        </w:rPr>
        <w:t xml:space="preserve">, double-masked, </w:t>
      </w:r>
      <w:proofErr w:type="gramStart"/>
      <w:r w:rsidR="00C97799" w:rsidRPr="00030581">
        <w:rPr>
          <w:color w:val="000000"/>
          <w:sz w:val="24"/>
          <w:szCs w:val="24"/>
          <w:lang w:eastAsia="en-AU"/>
        </w:rPr>
        <w:t>placebo</w:t>
      </w:r>
      <w:proofErr w:type="gramEnd"/>
      <w:r w:rsidRPr="00030581">
        <w:rPr>
          <w:color w:val="000000"/>
          <w:sz w:val="24"/>
          <w:szCs w:val="24"/>
          <w:lang w:eastAsia="en-AU"/>
        </w:rPr>
        <w:t xml:space="preserve">-controlled, parallel-group comparison of </w:t>
      </w:r>
      <w:r w:rsidR="009A335D" w:rsidRPr="00030581">
        <w:rPr>
          <w:iCs/>
          <w:color w:val="000000"/>
          <w:sz w:val="24"/>
          <w:szCs w:val="24"/>
          <w:lang w:eastAsia="en-AU"/>
        </w:rPr>
        <w:t>Lotemax</w:t>
      </w:r>
      <w:r w:rsidR="009A335D" w:rsidRPr="00030581">
        <w:rPr>
          <w:i/>
          <w:iCs/>
          <w:color w:val="000000"/>
          <w:sz w:val="24"/>
          <w:szCs w:val="24"/>
          <w:lang w:eastAsia="en-AU"/>
        </w:rPr>
        <w:t xml:space="preserve"> </w:t>
      </w:r>
      <w:r w:rsidRPr="00030581">
        <w:rPr>
          <w:color w:val="000000"/>
          <w:sz w:val="24"/>
          <w:szCs w:val="24"/>
          <w:lang w:eastAsia="en-AU"/>
        </w:rPr>
        <w:t xml:space="preserve">and </w:t>
      </w:r>
      <w:r w:rsidR="00C97799" w:rsidRPr="00030581">
        <w:rPr>
          <w:color w:val="000000"/>
          <w:sz w:val="24"/>
          <w:szCs w:val="24"/>
          <w:lang w:eastAsia="en-AU"/>
        </w:rPr>
        <w:t xml:space="preserve">placebo </w:t>
      </w:r>
      <w:r w:rsidRPr="00030581">
        <w:rPr>
          <w:color w:val="000000"/>
          <w:sz w:val="24"/>
          <w:szCs w:val="24"/>
          <w:lang w:eastAsia="en-AU"/>
        </w:rPr>
        <w:t>in subjects with bilateral GPC. Subjects</w:t>
      </w:r>
      <w:r w:rsidRPr="00DC6CA2">
        <w:rPr>
          <w:color w:val="000000"/>
          <w:sz w:val="24"/>
          <w:szCs w:val="24"/>
          <w:lang w:eastAsia="en-AU"/>
        </w:rPr>
        <w:t xml:space="preserve"> instilled one drop of the test medication into each eye </w:t>
      </w:r>
      <w:r w:rsidR="003D3099">
        <w:rPr>
          <w:color w:val="000000"/>
          <w:sz w:val="24"/>
          <w:szCs w:val="24"/>
          <w:lang w:eastAsia="en-AU"/>
        </w:rPr>
        <w:t>four times a day</w:t>
      </w:r>
      <w:r w:rsidRPr="00DC6CA2">
        <w:rPr>
          <w:color w:val="000000"/>
          <w:sz w:val="24"/>
          <w:szCs w:val="24"/>
          <w:lang w:eastAsia="en-AU"/>
        </w:rPr>
        <w:t xml:space="preserve"> for four weeks. A total of 110 subjects (</w:t>
      </w:r>
      <w:r w:rsidR="003D3099">
        <w:rPr>
          <w:color w:val="000000"/>
          <w:sz w:val="24"/>
          <w:szCs w:val="24"/>
          <w:lang w:eastAsia="en-AU"/>
        </w:rPr>
        <w:t>Lotemax</w:t>
      </w:r>
      <w:r w:rsidRPr="00DC6CA2">
        <w:rPr>
          <w:color w:val="000000"/>
          <w:sz w:val="24"/>
          <w:szCs w:val="24"/>
          <w:lang w:eastAsia="en-AU"/>
        </w:rPr>
        <w:t xml:space="preserve"> = 55; </w:t>
      </w:r>
      <w:r w:rsidR="003D3099">
        <w:rPr>
          <w:color w:val="000000"/>
          <w:sz w:val="24"/>
          <w:szCs w:val="24"/>
          <w:lang w:eastAsia="en-AU"/>
        </w:rPr>
        <w:t>placebo</w:t>
      </w:r>
      <w:r w:rsidRPr="00DC6CA2">
        <w:rPr>
          <w:color w:val="000000"/>
          <w:sz w:val="24"/>
          <w:szCs w:val="24"/>
          <w:lang w:eastAsia="en-AU"/>
        </w:rPr>
        <w:t xml:space="preserve"> = 55) completed the study. </w:t>
      </w:r>
      <w:r w:rsidR="00FE3E3E" w:rsidRPr="00DC6CA2">
        <w:rPr>
          <w:color w:val="000000"/>
          <w:sz w:val="24"/>
          <w:szCs w:val="24"/>
          <w:lang w:eastAsia="en-AU"/>
        </w:rPr>
        <w:t xml:space="preserve">Subjects receiving </w:t>
      </w:r>
      <w:r w:rsidR="009A335D" w:rsidRPr="00DC6CA2">
        <w:rPr>
          <w:iCs/>
          <w:color w:val="000000"/>
          <w:sz w:val="24"/>
          <w:szCs w:val="24"/>
          <w:lang w:eastAsia="en-AU"/>
        </w:rPr>
        <w:t>Lotemax</w:t>
      </w:r>
      <w:r w:rsidR="009A335D" w:rsidRPr="00DC6CA2">
        <w:rPr>
          <w:i/>
          <w:iCs/>
          <w:color w:val="000000"/>
          <w:sz w:val="24"/>
          <w:szCs w:val="24"/>
          <w:lang w:eastAsia="en-AU"/>
        </w:rPr>
        <w:t xml:space="preserve"> </w:t>
      </w:r>
      <w:r w:rsidRPr="00DC6CA2">
        <w:rPr>
          <w:color w:val="000000"/>
          <w:sz w:val="24"/>
          <w:szCs w:val="24"/>
          <w:lang w:eastAsia="en-AU"/>
        </w:rPr>
        <w:t xml:space="preserve">demonstrated </w:t>
      </w:r>
      <w:r w:rsidR="00FE3E3E" w:rsidRPr="00DC6CA2">
        <w:rPr>
          <w:color w:val="000000"/>
          <w:sz w:val="24"/>
          <w:szCs w:val="24"/>
          <w:lang w:eastAsia="en-AU"/>
        </w:rPr>
        <w:t>a significant reduction in the</w:t>
      </w:r>
      <w:r w:rsidRPr="00DC6CA2">
        <w:rPr>
          <w:color w:val="000000"/>
          <w:sz w:val="24"/>
          <w:szCs w:val="24"/>
          <w:lang w:eastAsia="en-AU"/>
        </w:rPr>
        <w:t xml:space="preserve"> primary ocular sign of GPC (papillae, p &lt; 0.001) and</w:t>
      </w:r>
      <w:r w:rsidR="00FE3E3E" w:rsidRPr="00DC6CA2">
        <w:rPr>
          <w:color w:val="000000"/>
          <w:sz w:val="24"/>
          <w:szCs w:val="24"/>
          <w:lang w:eastAsia="en-AU"/>
        </w:rPr>
        <w:t xml:space="preserve"> were </w:t>
      </w:r>
      <w:r w:rsidRPr="00DC6CA2">
        <w:rPr>
          <w:color w:val="000000"/>
          <w:sz w:val="24"/>
          <w:szCs w:val="24"/>
          <w:lang w:eastAsia="en-AU"/>
        </w:rPr>
        <w:t xml:space="preserve">rated better in the IGA (p = 0.017). </w:t>
      </w:r>
      <w:r w:rsidR="009A335D" w:rsidRPr="00DC6CA2">
        <w:rPr>
          <w:iCs/>
          <w:color w:val="000000"/>
          <w:sz w:val="24"/>
          <w:szCs w:val="24"/>
          <w:lang w:eastAsia="en-AU"/>
        </w:rPr>
        <w:t>Lotemax</w:t>
      </w:r>
      <w:r w:rsidR="009A335D" w:rsidRPr="00DC6CA2">
        <w:rPr>
          <w:i/>
          <w:iCs/>
          <w:color w:val="000000"/>
          <w:sz w:val="24"/>
          <w:szCs w:val="24"/>
          <w:lang w:eastAsia="en-AU"/>
        </w:rPr>
        <w:t xml:space="preserve"> </w:t>
      </w:r>
      <w:r w:rsidRPr="00DC6CA2">
        <w:rPr>
          <w:color w:val="000000"/>
          <w:sz w:val="24"/>
          <w:szCs w:val="24"/>
          <w:lang w:eastAsia="en-AU"/>
        </w:rPr>
        <w:t xml:space="preserve">did not elevate IOP during the study </w:t>
      </w:r>
      <w:r w:rsidR="00866004" w:rsidRPr="00DC6CA2">
        <w:rPr>
          <w:color w:val="000000"/>
          <w:sz w:val="24"/>
          <w:szCs w:val="24"/>
          <w:lang w:eastAsia="en-AU"/>
        </w:rPr>
        <w:t>and was</w:t>
      </w:r>
      <w:r w:rsidRPr="00DC6CA2">
        <w:rPr>
          <w:color w:val="000000"/>
          <w:sz w:val="24"/>
          <w:szCs w:val="24"/>
          <w:lang w:eastAsia="en-AU"/>
        </w:rPr>
        <w:t xml:space="preserve"> clinically effective for the treatment of GPC.</w:t>
      </w:r>
    </w:p>
    <w:p w:rsidR="00462AD8" w:rsidRDefault="00462AD8" w:rsidP="0090456F">
      <w:pPr>
        <w:autoSpaceDE w:val="0"/>
        <w:autoSpaceDN w:val="0"/>
        <w:adjustRightInd w:val="0"/>
        <w:jc w:val="both"/>
        <w:rPr>
          <w:color w:val="000000"/>
          <w:sz w:val="24"/>
          <w:szCs w:val="24"/>
          <w:lang w:eastAsia="en-AU"/>
        </w:rPr>
      </w:pPr>
    </w:p>
    <w:p w:rsidR="00462AD8" w:rsidRPr="00DC6CA2" w:rsidRDefault="00462AD8" w:rsidP="0090456F">
      <w:pPr>
        <w:autoSpaceDE w:val="0"/>
        <w:autoSpaceDN w:val="0"/>
        <w:adjustRightInd w:val="0"/>
        <w:jc w:val="both"/>
        <w:rPr>
          <w:color w:val="000000"/>
          <w:sz w:val="24"/>
          <w:szCs w:val="24"/>
          <w:lang w:eastAsia="en-AU"/>
        </w:rPr>
      </w:pPr>
      <w:r>
        <w:rPr>
          <w:color w:val="000000"/>
          <w:sz w:val="24"/>
          <w:szCs w:val="24"/>
          <w:lang w:eastAsia="en-AU"/>
        </w:rPr>
        <w:t>There was no significant improvement in the other primary efficacy endpoints of discharge, dryness and itching.  Although the IGA showed significant improvement, there was no significant differen</w:t>
      </w:r>
      <w:r w:rsidR="001A3DCD">
        <w:rPr>
          <w:color w:val="000000"/>
          <w:sz w:val="24"/>
          <w:szCs w:val="24"/>
          <w:lang w:eastAsia="en-AU"/>
        </w:rPr>
        <w:t>ce</w:t>
      </w:r>
      <w:r>
        <w:rPr>
          <w:color w:val="000000"/>
          <w:sz w:val="24"/>
          <w:szCs w:val="24"/>
          <w:lang w:eastAsia="en-AU"/>
        </w:rPr>
        <w:t xml:space="preserve"> between LE and placebo in Patient’s global assessment of their condition.  </w:t>
      </w:r>
    </w:p>
    <w:p w:rsidR="00666877" w:rsidRDefault="00666877" w:rsidP="0090456F">
      <w:pPr>
        <w:autoSpaceDE w:val="0"/>
        <w:autoSpaceDN w:val="0"/>
        <w:adjustRightInd w:val="0"/>
        <w:jc w:val="both"/>
        <w:rPr>
          <w:color w:val="000000"/>
          <w:sz w:val="24"/>
          <w:szCs w:val="24"/>
          <w:lang w:eastAsia="en-AU"/>
        </w:rPr>
      </w:pPr>
    </w:p>
    <w:p w:rsidR="00866004" w:rsidRPr="00DC6CA2" w:rsidRDefault="00C97799" w:rsidP="0090456F">
      <w:pPr>
        <w:autoSpaceDE w:val="0"/>
        <w:autoSpaceDN w:val="0"/>
        <w:adjustRightInd w:val="0"/>
        <w:jc w:val="both"/>
        <w:rPr>
          <w:color w:val="000000"/>
          <w:sz w:val="24"/>
          <w:szCs w:val="24"/>
          <w:lang w:eastAsia="en-AU"/>
        </w:rPr>
      </w:pPr>
      <w:r w:rsidRPr="00DC6CA2">
        <w:rPr>
          <w:color w:val="000000"/>
          <w:sz w:val="24"/>
          <w:szCs w:val="24"/>
          <w:lang w:eastAsia="en-AU"/>
        </w:rPr>
        <w:t xml:space="preserve">Study </w:t>
      </w:r>
      <w:r w:rsidR="00C57949">
        <w:rPr>
          <w:color w:val="000000"/>
          <w:sz w:val="24"/>
          <w:szCs w:val="24"/>
          <w:lang w:eastAsia="en-AU"/>
        </w:rPr>
        <w:t>107</w:t>
      </w:r>
      <w:r w:rsidR="0047427C" w:rsidRPr="00DC6CA2">
        <w:rPr>
          <w:color w:val="000000"/>
          <w:sz w:val="24"/>
          <w:szCs w:val="24"/>
          <w:lang w:eastAsia="en-AU"/>
        </w:rPr>
        <w:t xml:space="preserve"> was a </w:t>
      </w:r>
      <w:r w:rsidR="00BA7300" w:rsidRPr="00DC6CA2">
        <w:rPr>
          <w:color w:val="000000"/>
          <w:sz w:val="24"/>
          <w:szCs w:val="24"/>
          <w:lang w:eastAsia="en-AU"/>
        </w:rPr>
        <w:t>randomi</w:t>
      </w:r>
      <w:r w:rsidR="00BA7300">
        <w:rPr>
          <w:color w:val="000000"/>
          <w:sz w:val="24"/>
          <w:szCs w:val="24"/>
          <w:lang w:eastAsia="en-AU"/>
        </w:rPr>
        <w:t>s</w:t>
      </w:r>
      <w:r w:rsidR="00BA7300" w:rsidRPr="00DC6CA2">
        <w:rPr>
          <w:color w:val="000000"/>
          <w:sz w:val="24"/>
          <w:szCs w:val="24"/>
          <w:lang w:eastAsia="en-AU"/>
        </w:rPr>
        <w:t>ed</w:t>
      </w:r>
      <w:r w:rsidR="0047427C" w:rsidRPr="00DC6CA2">
        <w:rPr>
          <w:color w:val="000000"/>
          <w:sz w:val="24"/>
          <w:szCs w:val="24"/>
          <w:lang w:eastAsia="en-AU"/>
        </w:rPr>
        <w:t xml:space="preserve">, double-masked, </w:t>
      </w:r>
      <w:r w:rsidR="00C57949">
        <w:rPr>
          <w:color w:val="000000"/>
          <w:sz w:val="24"/>
          <w:szCs w:val="24"/>
          <w:lang w:eastAsia="en-AU"/>
        </w:rPr>
        <w:t>placebo-</w:t>
      </w:r>
      <w:r w:rsidR="0047427C" w:rsidRPr="00DC6CA2">
        <w:rPr>
          <w:color w:val="000000"/>
          <w:sz w:val="24"/>
          <w:szCs w:val="24"/>
          <w:lang w:eastAsia="en-AU"/>
        </w:rPr>
        <w:t xml:space="preserve">controlled, parallel-group comparison of the safety and </w:t>
      </w:r>
      <w:r w:rsidR="009A335D" w:rsidRPr="00DC6CA2">
        <w:rPr>
          <w:color w:val="000000"/>
          <w:sz w:val="24"/>
          <w:szCs w:val="24"/>
          <w:lang w:eastAsia="en-AU"/>
        </w:rPr>
        <w:t>efficacy</w:t>
      </w:r>
      <w:r w:rsidR="0047427C" w:rsidRPr="00DC6CA2">
        <w:rPr>
          <w:color w:val="000000"/>
          <w:sz w:val="24"/>
          <w:szCs w:val="24"/>
          <w:lang w:eastAsia="en-AU"/>
        </w:rPr>
        <w:t xml:space="preserve"> of Lotemax </w:t>
      </w:r>
      <w:r w:rsidR="009A335D" w:rsidRPr="00DC6CA2">
        <w:rPr>
          <w:color w:val="000000"/>
          <w:sz w:val="24"/>
          <w:szCs w:val="24"/>
          <w:lang w:eastAsia="en-AU"/>
        </w:rPr>
        <w:t>versus</w:t>
      </w:r>
      <w:r w:rsidR="0047427C" w:rsidRPr="00DC6CA2">
        <w:rPr>
          <w:color w:val="000000"/>
          <w:sz w:val="24"/>
          <w:szCs w:val="24"/>
          <w:lang w:eastAsia="en-AU"/>
        </w:rPr>
        <w:t xml:space="preserve"> </w:t>
      </w:r>
      <w:r w:rsidR="009A335D" w:rsidRPr="00DC6CA2">
        <w:rPr>
          <w:color w:val="000000"/>
          <w:sz w:val="24"/>
          <w:szCs w:val="24"/>
          <w:lang w:eastAsia="en-AU"/>
        </w:rPr>
        <w:t>placebo</w:t>
      </w:r>
      <w:r w:rsidR="0047427C" w:rsidRPr="00DC6CA2">
        <w:rPr>
          <w:color w:val="000000"/>
          <w:sz w:val="24"/>
          <w:szCs w:val="24"/>
          <w:lang w:eastAsia="en-AU"/>
        </w:rPr>
        <w:t xml:space="preserve"> in reducing the ocular signs and symptoms accompanying contact lens-associated GPC. A total of 223 adults </w:t>
      </w:r>
      <w:r w:rsidR="00FE3E3E" w:rsidRPr="00DC6CA2">
        <w:rPr>
          <w:color w:val="000000"/>
          <w:sz w:val="24"/>
          <w:szCs w:val="24"/>
          <w:lang w:eastAsia="en-AU"/>
        </w:rPr>
        <w:t>with contact lens associated</w:t>
      </w:r>
      <w:r w:rsidR="00866004" w:rsidRPr="00DC6CA2">
        <w:rPr>
          <w:color w:val="000000"/>
          <w:sz w:val="24"/>
          <w:szCs w:val="24"/>
          <w:lang w:eastAsia="en-AU"/>
        </w:rPr>
        <w:t xml:space="preserve"> GPC </w:t>
      </w:r>
      <w:r w:rsidR="0047427C" w:rsidRPr="00DC6CA2">
        <w:rPr>
          <w:color w:val="000000"/>
          <w:sz w:val="24"/>
          <w:szCs w:val="24"/>
          <w:lang w:eastAsia="en-AU"/>
        </w:rPr>
        <w:t xml:space="preserve">received study medication as one drop, </w:t>
      </w:r>
      <w:r w:rsidR="00866004" w:rsidRPr="00DC6CA2">
        <w:rPr>
          <w:color w:val="000000"/>
          <w:sz w:val="24"/>
          <w:szCs w:val="24"/>
          <w:lang w:eastAsia="en-AU"/>
        </w:rPr>
        <w:t>four times a day</w:t>
      </w:r>
      <w:r w:rsidR="0047427C" w:rsidRPr="00DC6CA2">
        <w:rPr>
          <w:color w:val="000000"/>
          <w:sz w:val="24"/>
          <w:szCs w:val="24"/>
          <w:lang w:eastAsia="en-AU"/>
        </w:rPr>
        <w:t xml:space="preserve"> for six w</w:t>
      </w:r>
      <w:r w:rsidR="00666877">
        <w:rPr>
          <w:color w:val="000000"/>
          <w:sz w:val="24"/>
          <w:szCs w:val="24"/>
          <w:lang w:eastAsia="en-AU"/>
        </w:rPr>
        <w:t>e</w:t>
      </w:r>
      <w:r w:rsidR="0047427C" w:rsidRPr="00DC6CA2">
        <w:rPr>
          <w:color w:val="000000"/>
          <w:sz w:val="24"/>
          <w:szCs w:val="24"/>
          <w:lang w:eastAsia="en-AU"/>
        </w:rPr>
        <w:t>eks.</w:t>
      </w:r>
    </w:p>
    <w:p w:rsidR="00666877" w:rsidRDefault="00666877" w:rsidP="0090456F">
      <w:pPr>
        <w:autoSpaceDE w:val="0"/>
        <w:autoSpaceDN w:val="0"/>
        <w:adjustRightInd w:val="0"/>
        <w:jc w:val="both"/>
        <w:rPr>
          <w:color w:val="000000"/>
          <w:sz w:val="24"/>
          <w:szCs w:val="24"/>
          <w:lang w:eastAsia="en-AU"/>
        </w:rPr>
      </w:pPr>
    </w:p>
    <w:p w:rsidR="00866004" w:rsidRPr="00DC6CA2" w:rsidRDefault="00866004" w:rsidP="0090456F">
      <w:pPr>
        <w:autoSpaceDE w:val="0"/>
        <w:autoSpaceDN w:val="0"/>
        <w:adjustRightInd w:val="0"/>
        <w:jc w:val="both"/>
        <w:rPr>
          <w:color w:val="000000"/>
          <w:sz w:val="24"/>
          <w:szCs w:val="24"/>
          <w:lang w:eastAsia="en-AU"/>
        </w:rPr>
      </w:pPr>
      <w:r w:rsidRPr="00DC6CA2">
        <w:rPr>
          <w:color w:val="000000"/>
          <w:sz w:val="24"/>
          <w:szCs w:val="24"/>
          <w:lang w:eastAsia="en-AU"/>
        </w:rPr>
        <w:t>Papillae, itching, contact lens intolerance, other signs and symptoms of GPC (0-3 or 0-4 grading scales), and IOP were measured. In these studies, subjects were allowed to wear their contact lenses. This decision was partially based upon the preference of myopic subjects not to return to spectacle correction, even with the presence of an inflammatory eye disorder.</w:t>
      </w:r>
    </w:p>
    <w:p w:rsidR="00666877" w:rsidRDefault="00666877" w:rsidP="00666877">
      <w:pPr>
        <w:autoSpaceDE w:val="0"/>
        <w:autoSpaceDN w:val="0"/>
        <w:adjustRightInd w:val="0"/>
        <w:spacing w:line="360" w:lineRule="auto"/>
        <w:jc w:val="both"/>
        <w:rPr>
          <w:color w:val="000000"/>
          <w:sz w:val="24"/>
          <w:szCs w:val="24"/>
          <w:lang w:eastAsia="en-AU"/>
        </w:rPr>
      </w:pPr>
    </w:p>
    <w:p w:rsidR="00866004" w:rsidRPr="0096538C" w:rsidRDefault="00866004" w:rsidP="0090456F">
      <w:pPr>
        <w:autoSpaceDE w:val="0"/>
        <w:autoSpaceDN w:val="0"/>
        <w:adjustRightInd w:val="0"/>
        <w:jc w:val="both"/>
        <w:rPr>
          <w:color w:val="000000"/>
          <w:sz w:val="24"/>
          <w:szCs w:val="24"/>
          <w:lang w:eastAsia="en-AU"/>
        </w:rPr>
      </w:pPr>
      <w:r w:rsidRPr="00DC6CA2">
        <w:rPr>
          <w:color w:val="000000"/>
          <w:sz w:val="24"/>
          <w:szCs w:val="24"/>
          <w:lang w:eastAsia="en-AU"/>
        </w:rPr>
        <w:t xml:space="preserve">The proportion of subjects treated with </w:t>
      </w:r>
      <w:r w:rsidR="009A335D" w:rsidRPr="00DC6CA2">
        <w:rPr>
          <w:iCs/>
          <w:color w:val="000000"/>
          <w:sz w:val="24"/>
          <w:szCs w:val="24"/>
          <w:lang w:eastAsia="en-AU"/>
        </w:rPr>
        <w:t>Lotemax</w:t>
      </w:r>
      <w:r w:rsidR="009A335D" w:rsidRPr="00DC6CA2">
        <w:rPr>
          <w:i/>
          <w:iCs/>
          <w:color w:val="000000"/>
          <w:sz w:val="24"/>
          <w:szCs w:val="24"/>
          <w:lang w:eastAsia="en-AU"/>
        </w:rPr>
        <w:t xml:space="preserve"> </w:t>
      </w:r>
      <w:r w:rsidRPr="00DC6CA2">
        <w:rPr>
          <w:color w:val="000000"/>
          <w:sz w:val="24"/>
          <w:szCs w:val="24"/>
          <w:lang w:eastAsia="en-AU"/>
        </w:rPr>
        <w:t xml:space="preserve">who at final visit demonstrated an improvement in papillae of at least one grade (78%, 85/109) was significantly greater than the proportion of those treated with </w:t>
      </w:r>
      <w:r w:rsidR="003D3099">
        <w:rPr>
          <w:color w:val="000000"/>
          <w:sz w:val="24"/>
          <w:szCs w:val="24"/>
          <w:lang w:eastAsia="en-AU"/>
        </w:rPr>
        <w:t>placebo</w:t>
      </w:r>
      <w:r w:rsidRPr="00DC6CA2">
        <w:rPr>
          <w:color w:val="000000"/>
          <w:sz w:val="24"/>
          <w:szCs w:val="24"/>
          <w:lang w:eastAsia="en-AU"/>
        </w:rPr>
        <w:t xml:space="preserve"> (51%, 56/110; p &lt; 0.001). A treatment difference favo</w:t>
      </w:r>
      <w:r w:rsidR="009A335D" w:rsidRPr="00DC6CA2">
        <w:rPr>
          <w:color w:val="000000"/>
          <w:sz w:val="24"/>
          <w:szCs w:val="24"/>
          <w:lang w:eastAsia="en-AU"/>
        </w:rPr>
        <w:t>u</w:t>
      </w:r>
      <w:r w:rsidRPr="00DC6CA2">
        <w:rPr>
          <w:color w:val="000000"/>
          <w:sz w:val="24"/>
          <w:szCs w:val="24"/>
          <w:lang w:eastAsia="en-AU"/>
        </w:rPr>
        <w:t xml:space="preserve">ring </w:t>
      </w:r>
      <w:r w:rsidR="009A335D" w:rsidRPr="00DC6CA2">
        <w:rPr>
          <w:iCs/>
          <w:color w:val="000000"/>
          <w:sz w:val="24"/>
          <w:szCs w:val="24"/>
          <w:lang w:eastAsia="en-AU"/>
        </w:rPr>
        <w:t>Lotemax</w:t>
      </w:r>
      <w:r w:rsidR="009A335D" w:rsidRPr="00DC6CA2">
        <w:rPr>
          <w:i/>
          <w:iCs/>
          <w:color w:val="000000"/>
          <w:sz w:val="24"/>
          <w:szCs w:val="24"/>
          <w:lang w:eastAsia="en-AU"/>
        </w:rPr>
        <w:t xml:space="preserve"> </w:t>
      </w:r>
      <w:r w:rsidRPr="00DC6CA2">
        <w:rPr>
          <w:color w:val="000000"/>
          <w:sz w:val="24"/>
          <w:szCs w:val="24"/>
          <w:lang w:eastAsia="en-AU"/>
        </w:rPr>
        <w:t xml:space="preserve">was seen with improvement in itching </w:t>
      </w:r>
      <w:r w:rsidRPr="0096538C">
        <w:rPr>
          <w:color w:val="000000"/>
          <w:sz w:val="24"/>
          <w:szCs w:val="24"/>
          <w:lang w:eastAsia="en-AU"/>
        </w:rPr>
        <w:t xml:space="preserve">(95% </w:t>
      </w:r>
      <w:r w:rsidR="00236E97">
        <w:rPr>
          <w:color w:val="000000"/>
          <w:sz w:val="24"/>
          <w:szCs w:val="24"/>
          <w:lang w:eastAsia="en-AU"/>
        </w:rPr>
        <w:t>[</w:t>
      </w:r>
      <w:r w:rsidR="00236E97" w:rsidRPr="0096538C">
        <w:rPr>
          <w:color w:val="000000"/>
          <w:sz w:val="24"/>
          <w:szCs w:val="24"/>
          <w:lang w:eastAsia="en-AU"/>
        </w:rPr>
        <w:t>104/109</w:t>
      </w:r>
      <w:r w:rsidR="00236E97">
        <w:rPr>
          <w:color w:val="000000"/>
          <w:sz w:val="24"/>
          <w:szCs w:val="24"/>
          <w:lang w:eastAsia="en-AU"/>
        </w:rPr>
        <w:t>]</w:t>
      </w:r>
      <w:r w:rsidR="00236E97" w:rsidRPr="0096538C">
        <w:rPr>
          <w:color w:val="000000"/>
          <w:sz w:val="24"/>
          <w:szCs w:val="24"/>
          <w:lang w:eastAsia="en-AU"/>
        </w:rPr>
        <w:t xml:space="preserve"> </w:t>
      </w:r>
      <w:r w:rsidRPr="0096538C">
        <w:rPr>
          <w:color w:val="000000"/>
          <w:sz w:val="24"/>
          <w:szCs w:val="24"/>
          <w:lang w:eastAsia="en-AU"/>
        </w:rPr>
        <w:t xml:space="preserve">vs. 81% </w:t>
      </w:r>
      <w:r w:rsidR="00236E97">
        <w:rPr>
          <w:color w:val="000000"/>
          <w:sz w:val="24"/>
          <w:szCs w:val="24"/>
          <w:lang w:eastAsia="en-AU"/>
        </w:rPr>
        <w:t>[</w:t>
      </w:r>
      <w:r w:rsidR="00236E97" w:rsidRPr="0096538C">
        <w:rPr>
          <w:color w:val="000000"/>
          <w:sz w:val="24"/>
          <w:szCs w:val="24"/>
          <w:lang w:eastAsia="en-AU"/>
        </w:rPr>
        <w:t>89/110</w:t>
      </w:r>
      <w:r w:rsidR="00236E97">
        <w:rPr>
          <w:color w:val="000000"/>
          <w:sz w:val="24"/>
          <w:szCs w:val="24"/>
          <w:lang w:eastAsia="en-AU"/>
        </w:rPr>
        <w:t>]</w:t>
      </w:r>
      <w:r w:rsidRPr="0096538C">
        <w:rPr>
          <w:color w:val="000000"/>
          <w:sz w:val="24"/>
          <w:szCs w:val="24"/>
          <w:lang w:eastAsia="en-AU"/>
        </w:rPr>
        <w:t xml:space="preserve">; p = 0.001) and lens intolerance (87% </w:t>
      </w:r>
      <w:r w:rsidR="00236E97">
        <w:rPr>
          <w:color w:val="000000"/>
          <w:sz w:val="24"/>
          <w:szCs w:val="24"/>
          <w:lang w:eastAsia="en-AU"/>
        </w:rPr>
        <w:t>[</w:t>
      </w:r>
      <w:r w:rsidR="00236E97" w:rsidRPr="0096538C">
        <w:rPr>
          <w:color w:val="000000"/>
          <w:sz w:val="24"/>
          <w:szCs w:val="24"/>
          <w:lang w:eastAsia="en-AU"/>
        </w:rPr>
        <w:t>95/109</w:t>
      </w:r>
      <w:r w:rsidR="00236E97">
        <w:rPr>
          <w:color w:val="000000"/>
          <w:sz w:val="24"/>
          <w:szCs w:val="24"/>
          <w:lang w:eastAsia="en-AU"/>
        </w:rPr>
        <w:t>]</w:t>
      </w:r>
      <w:r w:rsidR="00236E97" w:rsidRPr="0096538C">
        <w:rPr>
          <w:color w:val="000000"/>
          <w:sz w:val="24"/>
          <w:szCs w:val="24"/>
          <w:lang w:eastAsia="en-AU"/>
        </w:rPr>
        <w:t xml:space="preserve"> </w:t>
      </w:r>
      <w:r w:rsidRPr="0096538C">
        <w:rPr>
          <w:color w:val="000000"/>
          <w:sz w:val="24"/>
          <w:szCs w:val="24"/>
          <w:lang w:eastAsia="en-AU"/>
        </w:rPr>
        <w:t xml:space="preserve">vs 77%, </w:t>
      </w:r>
      <w:r w:rsidR="00236E97">
        <w:rPr>
          <w:color w:val="000000"/>
          <w:sz w:val="24"/>
          <w:szCs w:val="24"/>
          <w:lang w:eastAsia="en-AU"/>
        </w:rPr>
        <w:t>[</w:t>
      </w:r>
      <w:r w:rsidRPr="0096538C">
        <w:rPr>
          <w:color w:val="000000"/>
          <w:sz w:val="24"/>
          <w:szCs w:val="24"/>
          <w:lang w:eastAsia="en-AU"/>
        </w:rPr>
        <w:t>85/110</w:t>
      </w:r>
      <w:r w:rsidR="00236E97">
        <w:rPr>
          <w:color w:val="000000"/>
          <w:sz w:val="24"/>
          <w:szCs w:val="24"/>
          <w:lang w:eastAsia="en-AU"/>
        </w:rPr>
        <w:t>]</w:t>
      </w:r>
      <w:r w:rsidRPr="0096538C">
        <w:rPr>
          <w:color w:val="000000"/>
          <w:sz w:val="24"/>
          <w:szCs w:val="24"/>
          <w:lang w:eastAsia="en-AU"/>
        </w:rPr>
        <w:t>; p = 0.053).</w:t>
      </w:r>
    </w:p>
    <w:p w:rsidR="00666877" w:rsidRDefault="004570DF" w:rsidP="0090456F">
      <w:pPr>
        <w:autoSpaceDE w:val="0"/>
        <w:autoSpaceDN w:val="0"/>
        <w:adjustRightInd w:val="0"/>
        <w:jc w:val="both"/>
        <w:rPr>
          <w:color w:val="000000"/>
          <w:sz w:val="24"/>
          <w:szCs w:val="24"/>
          <w:lang w:eastAsia="en-AU"/>
        </w:rPr>
      </w:pPr>
      <w:r w:rsidRPr="0096538C">
        <w:rPr>
          <w:sz w:val="23"/>
          <w:szCs w:val="23"/>
        </w:rPr>
        <w:pict>
          <v:shape id="_x0000_i1028" type="#_x0000_t75" alt="Table 3" style="width:415.5pt;height:112.5pt;mso-position-horizontal:absolute">
            <v:imagedata r:id="rId12" o:title=""/>
          </v:shape>
        </w:pict>
      </w:r>
    </w:p>
    <w:p w:rsidR="00C37A42" w:rsidRDefault="00C37A42" w:rsidP="0090456F">
      <w:pPr>
        <w:autoSpaceDE w:val="0"/>
        <w:autoSpaceDN w:val="0"/>
        <w:adjustRightInd w:val="0"/>
        <w:jc w:val="both"/>
        <w:rPr>
          <w:color w:val="000000"/>
          <w:sz w:val="24"/>
          <w:szCs w:val="24"/>
          <w:lang w:eastAsia="en-AU"/>
        </w:rPr>
      </w:pPr>
    </w:p>
    <w:p w:rsidR="00C37A42" w:rsidRDefault="00C37A42" w:rsidP="0090456F">
      <w:pPr>
        <w:autoSpaceDE w:val="0"/>
        <w:autoSpaceDN w:val="0"/>
        <w:adjustRightInd w:val="0"/>
        <w:jc w:val="both"/>
        <w:rPr>
          <w:sz w:val="24"/>
          <w:szCs w:val="24"/>
        </w:rPr>
      </w:pPr>
      <w:r w:rsidRPr="00DC6CA2">
        <w:rPr>
          <w:color w:val="000000"/>
          <w:sz w:val="24"/>
          <w:szCs w:val="24"/>
          <w:lang w:eastAsia="en-AU"/>
        </w:rPr>
        <w:t xml:space="preserve">Eight of 109 subjects (7%, all treated with </w:t>
      </w:r>
      <w:r w:rsidRPr="00DC6CA2">
        <w:rPr>
          <w:iCs/>
          <w:color w:val="000000"/>
          <w:sz w:val="24"/>
          <w:szCs w:val="24"/>
          <w:lang w:eastAsia="en-AU"/>
        </w:rPr>
        <w:t>Lotemax</w:t>
      </w:r>
      <w:r w:rsidRPr="00DC6CA2">
        <w:rPr>
          <w:color w:val="000000"/>
          <w:sz w:val="24"/>
          <w:szCs w:val="24"/>
          <w:lang w:eastAsia="en-AU"/>
        </w:rPr>
        <w:t>) had an IOP</w:t>
      </w:r>
      <w:r w:rsidRPr="00DC6CA2">
        <w:rPr>
          <w:sz w:val="24"/>
          <w:szCs w:val="24"/>
        </w:rPr>
        <w:t xml:space="preserve"> increase of </w:t>
      </w:r>
      <w:r w:rsidR="00436805">
        <w:rPr>
          <w:rFonts w:ascii="Arial" w:hAnsi="Arial" w:cs="Arial"/>
          <w:color w:val="000000"/>
          <w:sz w:val="23"/>
          <w:szCs w:val="23"/>
          <w:lang w:eastAsia="en-AU"/>
        </w:rPr>
        <w:t xml:space="preserve">≥ </w:t>
      </w:r>
      <w:r w:rsidR="00436805">
        <w:rPr>
          <w:color w:val="000000"/>
          <w:sz w:val="24"/>
          <w:szCs w:val="24"/>
          <w:lang w:eastAsia="en-AU"/>
        </w:rPr>
        <w:t xml:space="preserve">10 mm Hg </w:t>
      </w:r>
      <w:r w:rsidRPr="00DC6CA2">
        <w:rPr>
          <w:sz w:val="24"/>
          <w:szCs w:val="24"/>
        </w:rPr>
        <w:t xml:space="preserve">on at least one visit during treatment. After discontinuation of </w:t>
      </w:r>
      <w:r w:rsidRPr="00DC6CA2">
        <w:rPr>
          <w:iCs/>
          <w:color w:val="000000"/>
          <w:sz w:val="24"/>
          <w:szCs w:val="24"/>
          <w:lang w:eastAsia="en-AU"/>
        </w:rPr>
        <w:t>Lotemax</w:t>
      </w:r>
      <w:r w:rsidRPr="00DC6CA2">
        <w:rPr>
          <w:sz w:val="24"/>
          <w:szCs w:val="24"/>
        </w:rPr>
        <w:t>, IOP returned to normal levels.</w:t>
      </w:r>
    </w:p>
    <w:p w:rsidR="00C37A42" w:rsidRDefault="00C37A42" w:rsidP="00666877">
      <w:pPr>
        <w:autoSpaceDE w:val="0"/>
        <w:autoSpaceDN w:val="0"/>
        <w:adjustRightInd w:val="0"/>
        <w:spacing w:line="360" w:lineRule="auto"/>
        <w:jc w:val="both"/>
        <w:rPr>
          <w:sz w:val="24"/>
          <w:szCs w:val="24"/>
        </w:rPr>
      </w:pPr>
    </w:p>
    <w:p w:rsidR="006722D6" w:rsidRPr="0096538C" w:rsidRDefault="00C97799" w:rsidP="0090456F">
      <w:pPr>
        <w:autoSpaceDE w:val="0"/>
        <w:autoSpaceDN w:val="0"/>
        <w:adjustRightInd w:val="0"/>
        <w:jc w:val="both"/>
        <w:rPr>
          <w:color w:val="000000"/>
          <w:sz w:val="23"/>
          <w:szCs w:val="23"/>
          <w:lang w:eastAsia="en-AU"/>
        </w:rPr>
      </w:pPr>
      <w:r w:rsidRPr="0096538C">
        <w:rPr>
          <w:color w:val="000000"/>
          <w:sz w:val="24"/>
          <w:szCs w:val="24"/>
          <w:lang w:eastAsia="en-AU"/>
        </w:rPr>
        <w:t xml:space="preserve">Study </w:t>
      </w:r>
      <w:r w:rsidR="00C37A42" w:rsidRPr="0096538C">
        <w:rPr>
          <w:color w:val="000000"/>
          <w:sz w:val="24"/>
          <w:szCs w:val="24"/>
          <w:lang w:eastAsia="en-AU"/>
        </w:rPr>
        <w:t>108</w:t>
      </w:r>
      <w:r w:rsidR="00C63CF0" w:rsidRPr="0096538C">
        <w:rPr>
          <w:color w:val="000000"/>
          <w:sz w:val="24"/>
          <w:szCs w:val="24"/>
          <w:lang w:eastAsia="en-AU"/>
        </w:rPr>
        <w:t xml:space="preserve"> was a </w:t>
      </w:r>
      <w:r w:rsidR="00236E97" w:rsidRPr="0096538C">
        <w:rPr>
          <w:color w:val="000000"/>
          <w:sz w:val="24"/>
          <w:szCs w:val="24"/>
          <w:lang w:eastAsia="en-AU"/>
        </w:rPr>
        <w:t>randomi</w:t>
      </w:r>
      <w:r w:rsidR="00236E97">
        <w:rPr>
          <w:color w:val="000000"/>
          <w:sz w:val="24"/>
          <w:szCs w:val="24"/>
          <w:lang w:eastAsia="en-AU"/>
        </w:rPr>
        <w:t>s</w:t>
      </w:r>
      <w:r w:rsidR="00236E97" w:rsidRPr="0096538C">
        <w:rPr>
          <w:color w:val="000000"/>
          <w:sz w:val="24"/>
          <w:szCs w:val="24"/>
          <w:lang w:eastAsia="en-AU"/>
        </w:rPr>
        <w:t>ed</w:t>
      </w:r>
      <w:r w:rsidR="00C63CF0" w:rsidRPr="0096538C">
        <w:rPr>
          <w:color w:val="000000"/>
          <w:sz w:val="24"/>
          <w:szCs w:val="24"/>
          <w:lang w:eastAsia="en-AU"/>
        </w:rPr>
        <w:t xml:space="preserve">, double-masked, </w:t>
      </w:r>
      <w:r w:rsidR="00866004" w:rsidRPr="0096538C">
        <w:rPr>
          <w:color w:val="000000"/>
          <w:sz w:val="24"/>
          <w:szCs w:val="24"/>
          <w:lang w:eastAsia="en-AU"/>
        </w:rPr>
        <w:t>placebo</w:t>
      </w:r>
      <w:r w:rsidR="00C63CF0" w:rsidRPr="0096538C">
        <w:rPr>
          <w:color w:val="000000"/>
          <w:sz w:val="24"/>
          <w:szCs w:val="24"/>
          <w:lang w:eastAsia="en-AU"/>
        </w:rPr>
        <w:t xml:space="preserve">-controlled, parallel-group comparison of Lotemax </w:t>
      </w:r>
      <w:r w:rsidR="009A335D" w:rsidRPr="0096538C">
        <w:rPr>
          <w:color w:val="000000"/>
          <w:sz w:val="24"/>
          <w:szCs w:val="24"/>
          <w:lang w:eastAsia="en-AU"/>
        </w:rPr>
        <w:t>versus placebo</w:t>
      </w:r>
      <w:r w:rsidR="00C63CF0" w:rsidRPr="0096538C">
        <w:rPr>
          <w:color w:val="000000"/>
          <w:sz w:val="24"/>
          <w:szCs w:val="24"/>
          <w:lang w:eastAsia="en-AU"/>
        </w:rPr>
        <w:t xml:space="preserve"> for reducing the ocular signs and symptoms accompanying contact lens associated GPC. A total of 220 adults were treated </w:t>
      </w:r>
      <w:r w:rsidR="00866004" w:rsidRPr="0096538C">
        <w:rPr>
          <w:color w:val="000000"/>
          <w:sz w:val="24"/>
          <w:szCs w:val="24"/>
          <w:lang w:eastAsia="en-AU"/>
        </w:rPr>
        <w:t xml:space="preserve">four times a day </w:t>
      </w:r>
      <w:r w:rsidR="00C63CF0" w:rsidRPr="0096538C">
        <w:rPr>
          <w:color w:val="000000"/>
          <w:sz w:val="24"/>
          <w:szCs w:val="24"/>
          <w:lang w:eastAsia="en-AU"/>
        </w:rPr>
        <w:t xml:space="preserve">for six weeks. Papillae, itching, lens intolerance, as well as other signs and symptoms of GPC (0-3 or 0-4 point severity scales), and IOP were measured. The proportion of subjects treated with Lotemax demonstrating an improvement in papillae of at least one grade was significantly greater than those treated with </w:t>
      </w:r>
      <w:r w:rsidR="003D3099" w:rsidRPr="0096538C">
        <w:rPr>
          <w:color w:val="000000"/>
          <w:sz w:val="24"/>
          <w:szCs w:val="24"/>
          <w:lang w:eastAsia="en-AU"/>
        </w:rPr>
        <w:t>placebo</w:t>
      </w:r>
      <w:r w:rsidR="00C63CF0" w:rsidRPr="0096538C">
        <w:rPr>
          <w:color w:val="000000"/>
          <w:sz w:val="24"/>
          <w:szCs w:val="24"/>
          <w:lang w:eastAsia="en-AU"/>
        </w:rPr>
        <w:t xml:space="preserve"> (75% </w:t>
      </w:r>
      <w:r w:rsidR="00236E97">
        <w:rPr>
          <w:color w:val="000000"/>
          <w:sz w:val="24"/>
          <w:szCs w:val="24"/>
          <w:lang w:eastAsia="en-AU"/>
        </w:rPr>
        <w:t>[</w:t>
      </w:r>
      <w:r w:rsidR="00236E97" w:rsidRPr="0096538C">
        <w:rPr>
          <w:color w:val="000000"/>
          <w:sz w:val="24"/>
          <w:szCs w:val="24"/>
          <w:lang w:eastAsia="en-AU"/>
        </w:rPr>
        <w:t>83/111</w:t>
      </w:r>
      <w:r w:rsidR="00236E97">
        <w:rPr>
          <w:color w:val="000000"/>
          <w:sz w:val="24"/>
          <w:szCs w:val="24"/>
          <w:lang w:eastAsia="en-AU"/>
        </w:rPr>
        <w:t>]</w:t>
      </w:r>
      <w:r w:rsidR="00236E97" w:rsidRPr="0096538C">
        <w:rPr>
          <w:color w:val="000000"/>
          <w:sz w:val="24"/>
          <w:szCs w:val="24"/>
          <w:lang w:eastAsia="en-AU"/>
        </w:rPr>
        <w:t xml:space="preserve"> </w:t>
      </w:r>
      <w:r w:rsidR="00C63CF0" w:rsidRPr="0096538C">
        <w:rPr>
          <w:color w:val="000000"/>
          <w:sz w:val="24"/>
          <w:szCs w:val="24"/>
          <w:lang w:eastAsia="en-AU"/>
        </w:rPr>
        <w:t xml:space="preserve">vs 50% </w:t>
      </w:r>
      <w:r w:rsidR="00236E97">
        <w:rPr>
          <w:color w:val="000000"/>
          <w:sz w:val="24"/>
          <w:szCs w:val="24"/>
          <w:lang w:eastAsia="en-AU"/>
        </w:rPr>
        <w:t>[</w:t>
      </w:r>
      <w:r w:rsidR="00236E97" w:rsidRPr="0096538C">
        <w:rPr>
          <w:color w:val="000000"/>
          <w:sz w:val="24"/>
          <w:szCs w:val="24"/>
          <w:lang w:eastAsia="en-AU"/>
        </w:rPr>
        <w:t>55/109</w:t>
      </w:r>
      <w:r w:rsidR="00236E97">
        <w:rPr>
          <w:color w:val="000000"/>
          <w:sz w:val="24"/>
          <w:szCs w:val="24"/>
          <w:lang w:eastAsia="en-AU"/>
        </w:rPr>
        <w:t>]</w:t>
      </w:r>
      <w:r w:rsidR="00562F99" w:rsidRPr="0096538C">
        <w:rPr>
          <w:color w:val="000000"/>
          <w:sz w:val="24"/>
          <w:szCs w:val="24"/>
          <w:lang w:eastAsia="en-AU"/>
        </w:rPr>
        <w:t xml:space="preserve">, </w:t>
      </w:r>
      <w:r w:rsidR="00C63CF0" w:rsidRPr="0096538C">
        <w:rPr>
          <w:color w:val="000000"/>
          <w:sz w:val="24"/>
          <w:szCs w:val="24"/>
          <w:lang w:eastAsia="en-AU"/>
        </w:rPr>
        <w:t xml:space="preserve">p &lt; 0.001). A treatment difference </w:t>
      </w:r>
      <w:r w:rsidR="00C57949" w:rsidRPr="0096538C">
        <w:rPr>
          <w:color w:val="000000"/>
          <w:sz w:val="24"/>
          <w:szCs w:val="24"/>
          <w:lang w:eastAsia="en-AU"/>
        </w:rPr>
        <w:t>favour</w:t>
      </w:r>
      <w:r w:rsidR="00C63CF0" w:rsidRPr="0096538C">
        <w:rPr>
          <w:color w:val="000000"/>
          <w:sz w:val="24"/>
          <w:szCs w:val="24"/>
          <w:lang w:eastAsia="en-AU"/>
        </w:rPr>
        <w:t xml:space="preserve">ing Lotemax was also seen with itching (92% </w:t>
      </w:r>
      <w:r w:rsidR="00236E97">
        <w:rPr>
          <w:color w:val="000000"/>
          <w:sz w:val="24"/>
          <w:szCs w:val="24"/>
          <w:lang w:eastAsia="en-AU"/>
        </w:rPr>
        <w:t>[</w:t>
      </w:r>
      <w:r w:rsidR="00236E97" w:rsidRPr="0096538C">
        <w:rPr>
          <w:color w:val="000000"/>
          <w:sz w:val="24"/>
          <w:szCs w:val="24"/>
          <w:lang w:eastAsia="en-AU"/>
        </w:rPr>
        <w:t>102/111</w:t>
      </w:r>
      <w:r w:rsidR="00236E97">
        <w:rPr>
          <w:color w:val="000000"/>
          <w:sz w:val="24"/>
          <w:szCs w:val="24"/>
          <w:lang w:eastAsia="en-AU"/>
        </w:rPr>
        <w:t>]</w:t>
      </w:r>
      <w:r w:rsidR="00236E97" w:rsidRPr="0096538C">
        <w:rPr>
          <w:color w:val="000000"/>
          <w:sz w:val="24"/>
          <w:szCs w:val="24"/>
          <w:lang w:eastAsia="en-AU"/>
        </w:rPr>
        <w:t xml:space="preserve"> </w:t>
      </w:r>
      <w:r w:rsidR="00C63CF0" w:rsidRPr="0096538C">
        <w:rPr>
          <w:color w:val="000000"/>
          <w:sz w:val="24"/>
          <w:szCs w:val="24"/>
          <w:lang w:eastAsia="en-AU"/>
        </w:rPr>
        <w:t>vs 76%</w:t>
      </w:r>
      <w:r w:rsidR="00562F99" w:rsidRPr="0096538C">
        <w:rPr>
          <w:color w:val="000000"/>
          <w:sz w:val="24"/>
          <w:szCs w:val="24"/>
          <w:lang w:eastAsia="en-AU"/>
        </w:rPr>
        <w:t xml:space="preserve"> </w:t>
      </w:r>
      <w:r w:rsidR="00236E97">
        <w:rPr>
          <w:color w:val="000000"/>
          <w:sz w:val="24"/>
          <w:szCs w:val="24"/>
          <w:lang w:eastAsia="en-AU"/>
        </w:rPr>
        <w:t>[</w:t>
      </w:r>
      <w:r w:rsidR="00236E97" w:rsidRPr="0096538C">
        <w:rPr>
          <w:color w:val="000000"/>
          <w:sz w:val="24"/>
          <w:szCs w:val="24"/>
          <w:lang w:eastAsia="en-AU"/>
        </w:rPr>
        <w:t>83/109</w:t>
      </w:r>
      <w:r w:rsidR="00236E97">
        <w:rPr>
          <w:color w:val="000000"/>
          <w:sz w:val="24"/>
          <w:szCs w:val="24"/>
          <w:lang w:eastAsia="en-AU"/>
        </w:rPr>
        <w:t>]</w:t>
      </w:r>
      <w:r w:rsidR="00562F99" w:rsidRPr="0096538C">
        <w:rPr>
          <w:color w:val="000000"/>
          <w:sz w:val="24"/>
          <w:szCs w:val="24"/>
          <w:lang w:eastAsia="en-AU"/>
        </w:rPr>
        <w:t xml:space="preserve">, </w:t>
      </w:r>
      <w:r w:rsidR="00C63CF0" w:rsidRPr="0096538C">
        <w:rPr>
          <w:color w:val="000000"/>
          <w:sz w:val="24"/>
          <w:szCs w:val="24"/>
          <w:lang w:eastAsia="en-AU"/>
        </w:rPr>
        <w:t xml:space="preserve">p </w:t>
      </w:r>
      <w:r w:rsidR="00562F99" w:rsidRPr="0096538C">
        <w:rPr>
          <w:color w:val="000000"/>
          <w:sz w:val="24"/>
          <w:szCs w:val="24"/>
          <w:lang w:eastAsia="en-AU"/>
        </w:rPr>
        <w:t>&lt;</w:t>
      </w:r>
      <w:r w:rsidR="00C63CF0" w:rsidRPr="0096538C">
        <w:rPr>
          <w:color w:val="000000"/>
          <w:sz w:val="24"/>
          <w:szCs w:val="24"/>
          <w:lang w:eastAsia="en-AU"/>
        </w:rPr>
        <w:t xml:space="preserve"> 0.001) and lens intolerance (84% </w:t>
      </w:r>
      <w:r w:rsidR="00236E97">
        <w:rPr>
          <w:color w:val="000000"/>
          <w:sz w:val="24"/>
          <w:szCs w:val="24"/>
          <w:lang w:eastAsia="en-AU"/>
        </w:rPr>
        <w:t>[</w:t>
      </w:r>
      <w:r w:rsidR="00236E97" w:rsidRPr="0096538C">
        <w:rPr>
          <w:color w:val="000000"/>
          <w:sz w:val="24"/>
          <w:szCs w:val="24"/>
          <w:lang w:eastAsia="en-AU"/>
        </w:rPr>
        <w:t>93/111</w:t>
      </w:r>
      <w:r w:rsidR="00236E97">
        <w:rPr>
          <w:color w:val="000000"/>
          <w:sz w:val="24"/>
          <w:szCs w:val="24"/>
          <w:lang w:eastAsia="en-AU"/>
        </w:rPr>
        <w:t>]</w:t>
      </w:r>
      <w:r w:rsidR="00236E97" w:rsidRPr="0096538C">
        <w:rPr>
          <w:color w:val="000000"/>
          <w:sz w:val="24"/>
          <w:szCs w:val="24"/>
          <w:lang w:eastAsia="en-AU"/>
        </w:rPr>
        <w:t xml:space="preserve"> </w:t>
      </w:r>
      <w:r w:rsidR="00C63CF0" w:rsidRPr="0096538C">
        <w:rPr>
          <w:color w:val="000000"/>
          <w:sz w:val="24"/>
          <w:szCs w:val="24"/>
          <w:lang w:eastAsia="en-AU"/>
        </w:rPr>
        <w:t>vs 66%</w:t>
      </w:r>
      <w:r w:rsidR="00562F99" w:rsidRPr="0096538C">
        <w:rPr>
          <w:color w:val="000000"/>
          <w:sz w:val="24"/>
          <w:szCs w:val="24"/>
          <w:lang w:eastAsia="en-AU"/>
        </w:rPr>
        <w:t xml:space="preserve"> </w:t>
      </w:r>
      <w:r w:rsidR="00236E97">
        <w:rPr>
          <w:color w:val="000000"/>
          <w:sz w:val="24"/>
          <w:szCs w:val="24"/>
          <w:lang w:eastAsia="en-AU"/>
        </w:rPr>
        <w:t>[</w:t>
      </w:r>
      <w:r w:rsidR="00236E97" w:rsidRPr="0096538C">
        <w:rPr>
          <w:color w:val="000000"/>
          <w:sz w:val="24"/>
          <w:szCs w:val="24"/>
          <w:lang w:eastAsia="en-AU"/>
        </w:rPr>
        <w:t>72/109</w:t>
      </w:r>
      <w:r w:rsidR="00236E97">
        <w:rPr>
          <w:color w:val="000000"/>
          <w:sz w:val="24"/>
          <w:szCs w:val="24"/>
          <w:lang w:eastAsia="en-AU"/>
        </w:rPr>
        <w:t>]</w:t>
      </w:r>
      <w:r w:rsidR="00562F99" w:rsidRPr="0096538C">
        <w:rPr>
          <w:color w:val="000000"/>
          <w:sz w:val="24"/>
          <w:szCs w:val="24"/>
          <w:lang w:eastAsia="en-AU"/>
        </w:rPr>
        <w:t>,</w:t>
      </w:r>
      <w:r w:rsidR="00C63CF0" w:rsidRPr="0096538C">
        <w:rPr>
          <w:color w:val="000000"/>
          <w:sz w:val="24"/>
          <w:szCs w:val="24"/>
          <w:lang w:eastAsia="en-AU"/>
        </w:rPr>
        <w:t xml:space="preserve"> p </w:t>
      </w:r>
      <w:r w:rsidR="00562F99" w:rsidRPr="0096538C">
        <w:rPr>
          <w:color w:val="000000"/>
          <w:sz w:val="24"/>
          <w:szCs w:val="24"/>
          <w:lang w:eastAsia="en-AU"/>
        </w:rPr>
        <w:t>&lt;</w:t>
      </w:r>
      <w:r w:rsidR="00C63CF0" w:rsidRPr="0096538C">
        <w:rPr>
          <w:color w:val="000000"/>
          <w:sz w:val="24"/>
          <w:szCs w:val="24"/>
          <w:lang w:eastAsia="en-AU"/>
        </w:rPr>
        <w:t xml:space="preserve"> 0.002).</w:t>
      </w:r>
    </w:p>
    <w:p w:rsidR="00666877" w:rsidRDefault="004570DF" w:rsidP="00666877">
      <w:pPr>
        <w:autoSpaceDE w:val="0"/>
        <w:autoSpaceDN w:val="0"/>
        <w:adjustRightInd w:val="0"/>
        <w:spacing w:line="360" w:lineRule="auto"/>
        <w:jc w:val="both"/>
        <w:rPr>
          <w:color w:val="000000"/>
          <w:sz w:val="23"/>
          <w:szCs w:val="23"/>
          <w:lang w:eastAsia="en-AU"/>
        </w:rPr>
      </w:pPr>
      <w:r w:rsidRPr="0096538C">
        <w:rPr>
          <w:sz w:val="23"/>
          <w:szCs w:val="23"/>
        </w:rPr>
        <w:pict>
          <v:shape id="_x0000_i1029" type="#_x0000_t75" alt="Table 4" style="width:415.5pt;height:114pt;mso-position-horizontal:absolute">
            <v:imagedata r:id="rId13" o:title=""/>
          </v:shape>
        </w:pict>
      </w:r>
    </w:p>
    <w:p w:rsidR="008E7441" w:rsidRDefault="008E7441" w:rsidP="0090456F">
      <w:pPr>
        <w:autoSpaceDE w:val="0"/>
        <w:autoSpaceDN w:val="0"/>
        <w:adjustRightInd w:val="0"/>
        <w:jc w:val="both"/>
        <w:rPr>
          <w:color w:val="000000"/>
          <w:sz w:val="24"/>
          <w:szCs w:val="24"/>
          <w:lang w:eastAsia="en-AU"/>
        </w:rPr>
      </w:pPr>
    </w:p>
    <w:p w:rsidR="008E7441" w:rsidRPr="00DC6CA2" w:rsidRDefault="008E7441" w:rsidP="0090456F">
      <w:pPr>
        <w:autoSpaceDE w:val="0"/>
        <w:autoSpaceDN w:val="0"/>
        <w:adjustRightInd w:val="0"/>
        <w:jc w:val="both"/>
        <w:rPr>
          <w:color w:val="000000"/>
          <w:sz w:val="24"/>
          <w:szCs w:val="24"/>
          <w:lang w:eastAsia="en-AU"/>
        </w:rPr>
      </w:pPr>
      <w:r w:rsidRPr="00DC6CA2">
        <w:rPr>
          <w:color w:val="000000"/>
          <w:sz w:val="24"/>
          <w:szCs w:val="24"/>
          <w:lang w:eastAsia="en-AU"/>
        </w:rPr>
        <w:t xml:space="preserve">Three subjects (all on Lotemax) had an IOP elevation of </w:t>
      </w:r>
      <w:r w:rsidR="00436805">
        <w:rPr>
          <w:rFonts w:ascii="Arial" w:hAnsi="Arial" w:cs="Arial"/>
          <w:color w:val="000000"/>
          <w:sz w:val="23"/>
          <w:szCs w:val="23"/>
          <w:lang w:eastAsia="en-AU"/>
        </w:rPr>
        <w:t xml:space="preserve">≥ </w:t>
      </w:r>
      <w:r w:rsidR="00436805">
        <w:rPr>
          <w:color w:val="000000"/>
          <w:sz w:val="24"/>
          <w:szCs w:val="24"/>
          <w:lang w:eastAsia="en-AU"/>
        </w:rPr>
        <w:t xml:space="preserve">10 mm Hg </w:t>
      </w:r>
      <w:r w:rsidRPr="00DC6CA2">
        <w:rPr>
          <w:color w:val="000000"/>
          <w:sz w:val="24"/>
          <w:szCs w:val="24"/>
          <w:lang w:eastAsia="en-AU"/>
        </w:rPr>
        <w:t>from baseline on at least one on-treatment visit.</w:t>
      </w:r>
    </w:p>
    <w:p w:rsidR="00666877" w:rsidRDefault="00666877" w:rsidP="0090456F">
      <w:pPr>
        <w:autoSpaceDE w:val="0"/>
        <w:autoSpaceDN w:val="0"/>
        <w:adjustRightInd w:val="0"/>
        <w:jc w:val="both"/>
        <w:rPr>
          <w:color w:val="000000"/>
          <w:sz w:val="23"/>
          <w:szCs w:val="23"/>
          <w:u w:val="single"/>
          <w:lang w:eastAsia="en-AU"/>
        </w:rPr>
      </w:pPr>
    </w:p>
    <w:p w:rsidR="00287FA1" w:rsidRDefault="00287FA1" w:rsidP="00582A8B">
      <w:pPr>
        <w:pStyle w:val="Heading1"/>
        <w:spacing w:line="360" w:lineRule="auto"/>
        <w:jc w:val="both"/>
        <w:rPr>
          <w:bCs/>
        </w:rPr>
      </w:pPr>
    </w:p>
    <w:p w:rsidR="009C1E08" w:rsidRPr="00582A8B" w:rsidRDefault="009C1E08" w:rsidP="00582A8B">
      <w:pPr>
        <w:pStyle w:val="Heading1"/>
        <w:spacing w:line="360" w:lineRule="auto"/>
        <w:jc w:val="both"/>
        <w:rPr>
          <w:bCs/>
        </w:rPr>
      </w:pPr>
      <w:r w:rsidRPr="00582A8B">
        <w:rPr>
          <w:bCs/>
        </w:rPr>
        <w:t>I</w:t>
      </w:r>
      <w:r w:rsidR="000078AD" w:rsidRPr="00582A8B">
        <w:rPr>
          <w:bCs/>
        </w:rPr>
        <w:t>ndications</w:t>
      </w:r>
      <w:r w:rsidRPr="00582A8B">
        <w:rPr>
          <w:bCs/>
        </w:rPr>
        <w:t xml:space="preserve"> </w:t>
      </w:r>
    </w:p>
    <w:p w:rsidR="00EF07BC" w:rsidRDefault="00EF07BC" w:rsidP="0090456F">
      <w:pPr>
        <w:autoSpaceDE w:val="0"/>
        <w:autoSpaceDN w:val="0"/>
        <w:adjustRightInd w:val="0"/>
        <w:jc w:val="both"/>
        <w:rPr>
          <w:rFonts w:cs="BauschlombRegCond"/>
          <w:sz w:val="24"/>
          <w:szCs w:val="24"/>
        </w:rPr>
      </w:pPr>
      <w:r>
        <w:rPr>
          <w:rFonts w:cs="BauschlombRegCond"/>
          <w:sz w:val="24"/>
          <w:szCs w:val="24"/>
        </w:rPr>
        <w:t>Lotemax is indicated for:</w:t>
      </w:r>
    </w:p>
    <w:p w:rsidR="00806D1B" w:rsidRDefault="00806D1B" w:rsidP="002437BF">
      <w:pPr>
        <w:numPr>
          <w:ilvl w:val="0"/>
          <w:numId w:val="28"/>
        </w:numPr>
        <w:tabs>
          <w:tab w:val="num" w:pos="360"/>
        </w:tabs>
        <w:autoSpaceDE w:val="0"/>
        <w:autoSpaceDN w:val="0"/>
        <w:adjustRightInd w:val="0"/>
        <w:ind w:left="0" w:firstLine="0"/>
        <w:jc w:val="both"/>
        <w:rPr>
          <w:rFonts w:cs="BauschlombRegCond"/>
          <w:sz w:val="24"/>
          <w:szCs w:val="24"/>
        </w:rPr>
      </w:pPr>
      <w:r w:rsidRPr="005A08B5">
        <w:rPr>
          <w:rFonts w:cs="BauschlombRegCond"/>
          <w:sz w:val="24"/>
          <w:szCs w:val="24"/>
        </w:rPr>
        <w:t xml:space="preserve">treatment of post-operative inflammation following </w:t>
      </w:r>
      <w:r w:rsidR="00385A49">
        <w:rPr>
          <w:rFonts w:cs="BauschlombRegCond"/>
          <w:sz w:val="24"/>
          <w:szCs w:val="24"/>
        </w:rPr>
        <w:t xml:space="preserve">cataract </w:t>
      </w:r>
      <w:r w:rsidRPr="005A08B5">
        <w:rPr>
          <w:rFonts w:cs="BauschlombRegCond"/>
          <w:sz w:val="24"/>
          <w:szCs w:val="24"/>
        </w:rPr>
        <w:t>surgery</w:t>
      </w:r>
    </w:p>
    <w:p w:rsidR="00673FBF" w:rsidRDefault="00AF4B7F" w:rsidP="002437BF">
      <w:pPr>
        <w:numPr>
          <w:ilvl w:val="0"/>
          <w:numId w:val="28"/>
        </w:numPr>
        <w:tabs>
          <w:tab w:val="num" w:pos="360"/>
        </w:tabs>
        <w:autoSpaceDE w:val="0"/>
        <w:autoSpaceDN w:val="0"/>
        <w:adjustRightInd w:val="0"/>
        <w:ind w:left="0" w:firstLine="0"/>
        <w:jc w:val="both"/>
        <w:rPr>
          <w:rFonts w:cs="BauschlombRegCond"/>
          <w:sz w:val="24"/>
          <w:szCs w:val="24"/>
        </w:rPr>
      </w:pPr>
      <w:proofErr w:type="gramStart"/>
      <w:r w:rsidRPr="005A08B5">
        <w:rPr>
          <w:rFonts w:cs="BauschlombRegCond"/>
          <w:sz w:val="24"/>
          <w:szCs w:val="24"/>
        </w:rPr>
        <w:t>treatment</w:t>
      </w:r>
      <w:proofErr w:type="gramEnd"/>
      <w:r w:rsidRPr="005A08B5">
        <w:rPr>
          <w:rFonts w:cs="BauschlombRegCond"/>
          <w:sz w:val="24"/>
          <w:szCs w:val="24"/>
        </w:rPr>
        <w:t xml:space="preserve"> of steroid responsive inflammatory conditions of</w:t>
      </w:r>
      <w:r w:rsidR="00913357">
        <w:rPr>
          <w:rFonts w:cs="BauschlombRegCond"/>
          <w:sz w:val="24"/>
          <w:szCs w:val="24"/>
        </w:rPr>
        <w:t xml:space="preserve"> </w:t>
      </w:r>
      <w:r w:rsidR="00385A49">
        <w:rPr>
          <w:rFonts w:cs="BauschlombRegCond"/>
          <w:sz w:val="24"/>
          <w:szCs w:val="24"/>
        </w:rPr>
        <w:t xml:space="preserve">contact lens associated </w:t>
      </w:r>
      <w:r w:rsidR="000329D2">
        <w:rPr>
          <w:rFonts w:cs="BauschlombRegCond"/>
          <w:sz w:val="24"/>
          <w:szCs w:val="24"/>
        </w:rPr>
        <w:tab/>
      </w:r>
      <w:r w:rsidR="00385A49">
        <w:rPr>
          <w:rFonts w:cs="BauschlombRegCond"/>
          <w:sz w:val="24"/>
          <w:szCs w:val="24"/>
        </w:rPr>
        <w:t>giant papillary conjunctivitis (GPC)</w:t>
      </w:r>
      <w:r w:rsidR="00430E86">
        <w:rPr>
          <w:rFonts w:cs="BauschlombRegCond"/>
          <w:sz w:val="24"/>
          <w:szCs w:val="24"/>
        </w:rPr>
        <w:t>.</w:t>
      </w:r>
      <w:r w:rsidR="00385A49">
        <w:rPr>
          <w:rFonts w:cs="BauschlombRegCond"/>
          <w:sz w:val="24"/>
          <w:szCs w:val="24"/>
        </w:rPr>
        <w:t xml:space="preserve"> </w:t>
      </w:r>
    </w:p>
    <w:p w:rsidR="00AF4B7F" w:rsidRDefault="00AF4B7F" w:rsidP="000329D2">
      <w:pPr>
        <w:autoSpaceDE w:val="0"/>
        <w:autoSpaceDN w:val="0"/>
        <w:adjustRightInd w:val="0"/>
        <w:jc w:val="both"/>
        <w:rPr>
          <w:rFonts w:cs="BauschlombRegCond"/>
          <w:sz w:val="24"/>
          <w:szCs w:val="24"/>
        </w:rPr>
      </w:pPr>
    </w:p>
    <w:p w:rsidR="009A5C62" w:rsidRPr="005A08B5" w:rsidRDefault="009A5C62" w:rsidP="0090456F">
      <w:pPr>
        <w:autoSpaceDE w:val="0"/>
        <w:autoSpaceDN w:val="0"/>
        <w:adjustRightInd w:val="0"/>
        <w:jc w:val="both"/>
        <w:rPr>
          <w:rFonts w:cs="BauschlombRegCond"/>
          <w:sz w:val="24"/>
          <w:szCs w:val="24"/>
        </w:rPr>
      </w:pPr>
    </w:p>
    <w:p w:rsidR="009C1E08" w:rsidRPr="00582A8B" w:rsidRDefault="009C1E08" w:rsidP="00582A8B">
      <w:pPr>
        <w:pStyle w:val="Heading1"/>
        <w:spacing w:line="360" w:lineRule="auto"/>
        <w:jc w:val="both"/>
        <w:rPr>
          <w:bCs/>
        </w:rPr>
      </w:pPr>
      <w:r w:rsidRPr="00582A8B">
        <w:rPr>
          <w:bCs/>
        </w:rPr>
        <w:t>C</w:t>
      </w:r>
      <w:r w:rsidR="000078AD" w:rsidRPr="00582A8B">
        <w:rPr>
          <w:bCs/>
        </w:rPr>
        <w:t xml:space="preserve">ontraindications </w:t>
      </w:r>
    </w:p>
    <w:p w:rsidR="000B66EB" w:rsidRPr="005A08B5" w:rsidRDefault="00EF07BC" w:rsidP="0090456F">
      <w:pPr>
        <w:autoSpaceDE w:val="0"/>
        <w:autoSpaceDN w:val="0"/>
        <w:adjustRightInd w:val="0"/>
        <w:jc w:val="both"/>
        <w:rPr>
          <w:rFonts w:cs="BauschlombRegCond"/>
          <w:sz w:val="24"/>
          <w:szCs w:val="24"/>
        </w:rPr>
      </w:pPr>
      <w:r>
        <w:rPr>
          <w:rFonts w:cs="BauschlombRegCond"/>
          <w:sz w:val="24"/>
          <w:szCs w:val="24"/>
        </w:rPr>
        <w:t xml:space="preserve">Lotemax </w:t>
      </w:r>
      <w:r w:rsidR="000B66EB" w:rsidRPr="005A08B5">
        <w:rPr>
          <w:rFonts w:cs="BauschlombRegCond"/>
          <w:sz w:val="24"/>
          <w:szCs w:val="24"/>
        </w:rPr>
        <w:t>is contraindicated in most viral diseases of the cornea and conjunctiva</w:t>
      </w:r>
      <w:r w:rsidR="0061695C">
        <w:rPr>
          <w:rFonts w:cs="BauschlombRegCond"/>
          <w:sz w:val="24"/>
          <w:szCs w:val="24"/>
        </w:rPr>
        <w:t xml:space="preserve"> </w:t>
      </w:r>
      <w:r w:rsidR="000B66EB" w:rsidRPr="005A08B5">
        <w:rPr>
          <w:rFonts w:cs="BauschlombRegCond"/>
          <w:sz w:val="24"/>
          <w:szCs w:val="24"/>
        </w:rPr>
        <w:t xml:space="preserve">including epithelial herpes simplex keratitis (dendritic keratitis), vaccinia and varicella, and also in mycobacterial infection of the eye and fungal diseases of ocular structures. </w:t>
      </w:r>
    </w:p>
    <w:p w:rsidR="00666877" w:rsidRDefault="00666877" w:rsidP="0090456F">
      <w:pPr>
        <w:autoSpaceDE w:val="0"/>
        <w:autoSpaceDN w:val="0"/>
        <w:adjustRightInd w:val="0"/>
        <w:jc w:val="both"/>
        <w:rPr>
          <w:rFonts w:cs="BauschlombRegCond"/>
          <w:sz w:val="24"/>
          <w:szCs w:val="24"/>
        </w:rPr>
      </w:pPr>
    </w:p>
    <w:p w:rsidR="000B66EB" w:rsidRPr="005A08B5" w:rsidRDefault="00806D1B" w:rsidP="0090456F">
      <w:pPr>
        <w:autoSpaceDE w:val="0"/>
        <w:autoSpaceDN w:val="0"/>
        <w:adjustRightInd w:val="0"/>
        <w:jc w:val="both"/>
        <w:rPr>
          <w:rFonts w:cs="BauschlombRegCond"/>
          <w:sz w:val="24"/>
          <w:szCs w:val="24"/>
        </w:rPr>
      </w:pPr>
      <w:r>
        <w:rPr>
          <w:rFonts w:cs="BauschlombRegCond"/>
          <w:sz w:val="24"/>
          <w:szCs w:val="24"/>
        </w:rPr>
        <w:t xml:space="preserve">Lotemax </w:t>
      </w:r>
      <w:r w:rsidR="000B66EB" w:rsidRPr="005A08B5">
        <w:rPr>
          <w:rFonts w:cs="BauschlombRegCond"/>
          <w:sz w:val="24"/>
          <w:szCs w:val="24"/>
        </w:rPr>
        <w:t>is also contraindicated in individuals with known or suspected</w:t>
      </w:r>
      <w:r w:rsidR="0061695C">
        <w:rPr>
          <w:rFonts w:cs="BauschlombRegCond"/>
          <w:sz w:val="24"/>
          <w:szCs w:val="24"/>
        </w:rPr>
        <w:t xml:space="preserve"> </w:t>
      </w:r>
      <w:r w:rsidR="000B66EB" w:rsidRPr="005A08B5">
        <w:rPr>
          <w:rFonts w:cs="BauschlombRegCond"/>
          <w:sz w:val="24"/>
          <w:szCs w:val="24"/>
        </w:rPr>
        <w:t xml:space="preserve">hypersensitivity to </w:t>
      </w:r>
      <w:r w:rsidR="000B66EB" w:rsidRPr="005A08B5">
        <w:rPr>
          <w:sz w:val="24"/>
          <w:szCs w:val="24"/>
        </w:rPr>
        <w:t xml:space="preserve">loteprednol etabonate or any of the excipients </w:t>
      </w:r>
      <w:r w:rsidR="000B66EB" w:rsidRPr="005A08B5">
        <w:rPr>
          <w:rFonts w:cs="BauschlombRegCond"/>
          <w:sz w:val="24"/>
          <w:szCs w:val="24"/>
        </w:rPr>
        <w:t>of this preparation and to other corticosteroids.</w:t>
      </w:r>
    </w:p>
    <w:p w:rsidR="000B66EB" w:rsidRPr="005A08B5" w:rsidRDefault="000B66EB" w:rsidP="0090456F">
      <w:pPr>
        <w:autoSpaceDE w:val="0"/>
        <w:autoSpaceDN w:val="0"/>
        <w:adjustRightInd w:val="0"/>
        <w:jc w:val="both"/>
        <w:rPr>
          <w:rFonts w:cs="BauschlombBoldCond"/>
          <w:b/>
          <w:bCs/>
          <w:sz w:val="24"/>
          <w:szCs w:val="24"/>
        </w:rPr>
      </w:pPr>
    </w:p>
    <w:p w:rsidR="009C1E08" w:rsidRPr="00582A8B" w:rsidRDefault="009C1E08" w:rsidP="00582A8B">
      <w:pPr>
        <w:pStyle w:val="Heading1"/>
        <w:spacing w:line="360" w:lineRule="auto"/>
        <w:jc w:val="both"/>
        <w:rPr>
          <w:bCs/>
        </w:rPr>
      </w:pPr>
      <w:r w:rsidRPr="00582A8B">
        <w:rPr>
          <w:bCs/>
        </w:rPr>
        <w:t>P</w:t>
      </w:r>
      <w:r w:rsidR="000078AD" w:rsidRPr="00582A8B">
        <w:rPr>
          <w:bCs/>
        </w:rPr>
        <w:t xml:space="preserve">recautions </w:t>
      </w:r>
    </w:p>
    <w:p w:rsidR="008B068E" w:rsidRDefault="00697E92" w:rsidP="0090456F">
      <w:pPr>
        <w:autoSpaceDE w:val="0"/>
        <w:autoSpaceDN w:val="0"/>
        <w:adjustRightInd w:val="0"/>
        <w:jc w:val="both"/>
        <w:rPr>
          <w:color w:val="000000"/>
          <w:sz w:val="24"/>
          <w:szCs w:val="24"/>
          <w:lang w:eastAsia="en-AU"/>
        </w:rPr>
      </w:pPr>
      <w:r w:rsidRPr="00D2665E">
        <w:rPr>
          <w:color w:val="000000"/>
          <w:sz w:val="24"/>
          <w:szCs w:val="24"/>
          <w:lang w:eastAsia="en-AU"/>
        </w:rPr>
        <w:t xml:space="preserve">Prolonged use of corticosteroids may result in glaucoma with damage to the optic nerve, defects in visual acuity and fields of vision, and in posterior subcapsular cataract formation. </w:t>
      </w:r>
    </w:p>
    <w:p w:rsidR="00582A8B" w:rsidRDefault="00582A8B" w:rsidP="0090456F">
      <w:pPr>
        <w:autoSpaceDE w:val="0"/>
        <w:autoSpaceDN w:val="0"/>
        <w:adjustRightInd w:val="0"/>
        <w:jc w:val="both"/>
        <w:rPr>
          <w:color w:val="000000"/>
          <w:sz w:val="24"/>
          <w:szCs w:val="24"/>
          <w:lang w:eastAsia="en-AU"/>
        </w:rPr>
      </w:pPr>
    </w:p>
    <w:p w:rsidR="007923F7" w:rsidRDefault="00697E92" w:rsidP="0090456F">
      <w:pPr>
        <w:autoSpaceDE w:val="0"/>
        <w:autoSpaceDN w:val="0"/>
        <w:adjustRightInd w:val="0"/>
        <w:jc w:val="both"/>
        <w:rPr>
          <w:rFonts w:cs="BauschlombRegCond"/>
          <w:sz w:val="24"/>
          <w:szCs w:val="24"/>
        </w:rPr>
      </w:pPr>
      <w:r w:rsidRPr="00D2665E">
        <w:rPr>
          <w:color w:val="000000"/>
          <w:sz w:val="24"/>
          <w:szCs w:val="24"/>
          <w:lang w:eastAsia="en-AU"/>
        </w:rPr>
        <w:t xml:space="preserve">Steroids should be used with caution in the presence of glaucoma. </w:t>
      </w:r>
      <w:r w:rsidR="00AC0132" w:rsidRPr="00AC0132">
        <w:rPr>
          <w:color w:val="000000"/>
          <w:sz w:val="24"/>
          <w:szCs w:val="24"/>
          <w:lang w:eastAsia="en-AU"/>
        </w:rPr>
        <w:t xml:space="preserve"> </w:t>
      </w:r>
    </w:p>
    <w:p w:rsidR="008B068E" w:rsidRDefault="008B068E" w:rsidP="00AC0132">
      <w:pPr>
        <w:autoSpaceDE w:val="0"/>
        <w:autoSpaceDN w:val="0"/>
        <w:adjustRightInd w:val="0"/>
        <w:spacing w:line="360" w:lineRule="auto"/>
        <w:jc w:val="both"/>
        <w:rPr>
          <w:rFonts w:cs="BauschlombRegCond"/>
          <w:sz w:val="24"/>
          <w:szCs w:val="24"/>
        </w:rPr>
      </w:pPr>
    </w:p>
    <w:p w:rsidR="009856F3" w:rsidRPr="006722D6" w:rsidRDefault="00697E92" w:rsidP="0090456F">
      <w:pPr>
        <w:autoSpaceDE w:val="0"/>
        <w:autoSpaceDN w:val="0"/>
        <w:adjustRightInd w:val="0"/>
        <w:jc w:val="both"/>
        <w:rPr>
          <w:color w:val="000000"/>
          <w:sz w:val="24"/>
          <w:szCs w:val="24"/>
          <w:lang w:eastAsia="en-AU"/>
        </w:rPr>
      </w:pPr>
      <w:r w:rsidRPr="006722D6">
        <w:rPr>
          <w:color w:val="000000"/>
          <w:sz w:val="24"/>
          <w:szCs w:val="24"/>
          <w:lang w:eastAsia="en-AU"/>
        </w:rPr>
        <w:t xml:space="preserve">Prolonged use of corticosteroids may suppress the host response and may increase the possibility of secondary ocular infections. In those diseases causing thinning of the cornea or sclera, perforations have been known to occur with the use of topical steroids. </w:t>
      </w:r>
    </w:p>
    <w:p w:rsidR="00666877" w:rsidRDefault="00666877" w:rsidP="0090456F">
      <w:pPr>
        <w:autoSpaceDE w:val="0"/>
        <w:autoSpaceDN w:val="0"/>
        <w:adjustRightInd w:val="0"/>
        <w:jc w:val="both"/>
        <w:rPr>
          <w:color w:val="000000"/>
          <w:sz w:val="24"/>
          <w:szCs w:val="24"/>
          <w:lang w:eastAsia="en-AU"/>
        </w:rPr>
      </w:pPr>
    </w:p>
    <w:p w:rsidR="005E2CE6" w:rsidRPr="006722D6" w:rsidRDefault="00697E92" w:rsidP="00FD75AB">
      <w:pPr>
        <w:autoSpaceDE w:val="0"/>
        <w:autoSpaceDN w:val="0"/>
        <w:adjustRightInd w:val="0"/>
        <w:jc w:val="both"/>
        <w:rPr>
          <w:color w:val="000000"/>
          <w:sz w:val="24"/>
          <w:szCs w:val="24"/>
          <w:lang w:eastAsia="en-AU"/>
        </w:rPr>
      </w:pPr>
      <w:r w:rsidRPr="006722D6">
        <w:rPr>
          <w:color w:val="000000"/>
          <w:sz w:val="24"/>
          <w:szCs w:val="24"/>
          <w:lang w:eastAsia="en-AU"/>
        </w:rPr>
        <w:t xml:space="preserve">In acute purulent conditions of the eye, steroids may mask infection or enhance existing infection. </w:t>
      </w:r>
    </w:p>
    <w:p w:rsidR="00666877" w:rsidRDefault="00666877" w:rsidP="00FD75AB">
      <w:pPr>
        <w:autoSpaceDE w:val="0"/>
        <w:autoSpaceDN w:val="0"/>
        <w:adjustRightInd w:val="0"/>
        <w:jc w:val="both"/>
        <w:rPr>
          <w:color w:val="000000"/>
          <w:sz w:val="24"/>
          <w:szCs w:val="24"/>
          <w:lang w:eastAsia="en-AU"/>
        </w:rPr>
      </w:pPr>
    </w:p>
    <w:p w:rsidR="00E74CE7" w:rsidRDefault="00E74CE7" w:rsidP="00FD75AB">
      <w:pPr>
        <w:autoSpaceDE w:val="0"/>
        <w:autoSpaceDN w:val="0"/>
        <w:adjustRightInd w:val="0"/>
        <w:jc w:val="both"/>
        <w:rPr>
          <w:color w:val="000000"/>
          <w:sz w:val="24"/>
          <w:szCs w:val="24"/>
          <w:lang w:eastAsia="en-AU"/>
        </w:rPr>
      </w:pPr>
      <w:r w:rsidRPr="006722D6">
        <w:rPr>
          <w:color w:val="000000"/>
          <w:sz w:val="24"/>
          <w:szCs w:val="24"/>
          <w:lang w:eastAsia="en-AU"/>
        </w:rPr>
        <w:t>The use</w:t>
      </w:r>
      <w:r w:rsidRPr="00D2665E">
        <w:rPr>
          <w:color w:val="000000"/>
          <w:sz w:val="24"/>
          <w:szCs w:val="24"/>
          <w:lang w:eastAsia="en-AU"/>
        </w:rPr>
        <w:t xml:space="preserve"> of steroids after cataract surgery may delay healing. </w:t>
      </w:r>
    </w:p>
    <w:p w:rsidR="00666877" w:rsidRDefault="00666877" w:rsidP="00FD75AB">
      <w:pPr>
        <w:autoSpaceDE w:val="0"/>
        <w:autoSpaceDN w:val="0"/>
        <w:adjustRightInd w:val="0"/>
        <w:jc w:val="both"/>
        <w:rPr>
          <w:color w:val="000000"/>
          <w:sz w:val="24"/>
          <w:szCs w:val="24"/>
          <w:lang w:eastAsia="en-AU"/>
        </w:rPr>
      </w:pPr>
    </w:p>
    <w:p w:rsidR="009856F3" w:rsidRDefault="009856F3" w:rsidP="00FD75AB">
      <w:pPr>
        <w:autoSpaceDE w:val="0"/>
        <w:autoSpaceDN w:val="0"/>
        <w:adjustRightInd w:val="0"/>
        <w:jc w:val="both"/>
        <w:rPr>
          <w:color w:val="000000"/>
          <w:sz w:val="24"/>
          <w:szCs w:val="24"/>
          <w:lang w:eastAsia="en-AU"/>
        </w:rPr>
      </w:pPr>
      <w:r w:rsidRPr="009856F3">
        <w:rPr>
          <w:color w:val="000000"/>
          <w:sz w:val="24"/>
          <w:szCs w:val="24"/>
          <w:lang w:eastAsia="en-AU"/>
        </w:rPr>
        <w:t>If signs and symptoms fail to improve after two days, the patient should be re-evaluated.</w:t>
      </w:r>
    </w:p>
    <w:p w:rsidR="00B83DCE" w:rsidRPr="009856F3" w:rsidRDefault="00B83DCE" w:rsidP="00FD75AB">
      <w:pPr>
        <w:autoSpaceDE w:val="0"/>
        <w:autoSpaceDN w:val="0"/>
        <w:adjustRightInd w:val="0"/>
        <w:jc w:val="both"/>
        <w:rPr>
          <w:color w:val="000000"/>
          <w:sz w:val="24"/>
          <w:szCs w:val="24"/>
          <w:lang w:eastAsia="en-AU"/>
        </w:rPr>
      </w:pPr>
    </w:p>
    <w:p w:rsidR="009856F3" w:rsidRPr="009856F3" w:rsidRDefault="009856F3" w:rsidP="00FD75AB">
      <w:pPr>
        <w:autoSpaceDE w:val="0"/>
        <w:autoSpaceDN w:val="0"/>
        <w:adjustRightInd w:val="0"/>
        <w:jc w:val="both"/>
        <w:rPr>
          <w:color w:val="000000"/>
          <w:sz w:val="24"/>
          <w:szCs w:val="24"/>
          <w:lang w:eastAsia="en-AU"/>
        </w:rPr>
      </w:pPr>
      <w:r w:rsidRPr="009856F3">
        <w:rPr>
          <w:color w:val="000000"/>
          <w:sz w:val="24"/>
          <w:szCs w:val="24"/>
          <w:lang w:eastAsia="en-AU"/>
        </w:rPr>
        <w:t>If this product is used for 10 days or longer, intraocular pressure should be monitored</w:t>
      </w:r>
      <w:r>
        <w:rPr>
          <w:color w:val="000000"/>
          <w:sz w:val="24"/>
          <w:szCs w:val="24"/>
          <w:lang w:eastAsia="en-AU"/>
        </w:rPr>
        <w:t xml:space="preserve">. </w:t>
      </w:r>
    </w:p>
    <w:p w:rsidR="009856F3" w:rsidRDefault="009856F3" w:rsidP="00FD75AB">
      <w:pPr>
        <w:autoSpaceDE w:val="0"/>
        <w:autoSpaceDN w:val="0"/>
        <w:adjustRightInd w:val="0"/>
        <w:jc w:val="both"/>
        <w:rPr>
          <w:sz w:val="24"/>
          <w:szCs w:val="24"/>
        </w:rPr>
      </w:pPr>
    </w:p>
    <w:p w:rsidR="009856F3" w:rsidRDefault="00D2665E" w:rsidP="00FD75AB">
      <w:pPr>
        <w:autoSpaceDE w:val="0"/>
        <w:autoSpaceDN w:val="0"/>
        <w:adjustRightInd w:val="0"/>
        <w:jc w:val="both"/>
        <w:rPr>
          <w:sz w:val="24"/>
          <w:szCs w:val="24"/>
        </w:rPr>
      </w:pPr>
      <w:r w:rsidRPr="00D2665E">
        <w:rPr>
          <w:sz w:val="24"/>
          <w:szCs w:val="24"/>
        </w:rPr>
        <w:t xml:space="preserve">Formulations with </w:t>
      </w:r>
      <w:r w:rsidR="00895A66" w:rsidRPr="00D2665E">
        <w:rPr>
          <w:sz w:val="24"/>
          <w:szCs w:val="24"/>
        </w:rPr>
        <w:t>benzalkonium chloride</w:t>
      </w:r>
      <w:r w:rsidRPr="00D2665E">
        <w:rPr>
          <w:sz w:val="24"/>
          <w:szCs w:val="24"/>
        </w:rPr>
        <w:t xml:space="preserve"> should be used with caution in soft contact lens wearers. </w:t>
      </w:r>
    </w:p>
    <w:p w:rsidR="004E06B8" w:rsidRDefault="004E06B8" w:rsidP="0090456F">
      <w:pPr>
        <w:pStyle w:val="Default"/>
        <w:tabs>
          <w:tab w:val="left" w:pos="567"/>
        </w:tabs>
        <w:jc w:val="both"/>
        <w:rPr>
          <w:rFonts w:ascii="Times New Roman" w:hAnsi="Times New Roman" w:cs="Times New Roman"/>
          <w:color w:val="auto"/>
          <w:u w:val="single"/>
          <w:lang w:val="en-AU"/>
        </w:rPr>
      </w:pPr>
    </w:p>
    <w:p w:rsidR="00451A58" w:rsidRDefault="00A20947" w:rsidP="0090456F">
      <w:pPr>
        <w:pStyle w:val="Default"/>
        <w:tabs>
          <w:tab w:val="left" w:pos="567"/>
        </w:tabs>
        <w:jc w:val="both"/>
        <w:rPr>
          <w:rFonts w:ascii="Times New Roman" w:hAnsi="Times New Roman" w:cs="Times New Roman"/>
          <w:color w:val="auto"/>
          <w:u w:val="single"/>
          <w:lang w:val="en-AU"/>
        </w:rPr>
      </w:pPr>
      <w:r w:rsidRPr="00A20947">
        <w:rPr>
          <w:rFonts w:ascii="Times New Roman" w:hAnsi="Times New Roman" w:cs="Times New Roman"/>
          <w:color w:val="auto"/>
          <w:u w:val="single"/>
          <w:lang w:val="en-AU"/>
        </w:rPr>
        <w:t xml:space="preserve">Effects on Fertility </w:t>
      </w:r>
    </w:p>
    <w:p w:rsidR="00666877" w:rsidRDefault="00666877" w:rsidP="0090456F">
      <w:pPr>
        <w:pStyle w:val="Default"/>
        <w:tabs>
          <w:tab w:val="left" w:pos="567"/>
        </w:tabs>
        <w:jc w:val="both"/>
        <w:rPr>
          <w:rFonts w:ascii="Times New Roman" w:hAnsi="Times New Roman" w:cs="Times New Roman"/>
          <w:color w:val="auto"/>
          <w:u w:val="single"/>
          <w:lang w:val="en-AU"/>
        </w:rPr>
      </w:pPr>
    </w:p>
    <w:p w:rsidR="005A08B5" w:rsidRPr="00D4609F" w:rsidRDefault="00A20947" w:rsidP="0090456F">
      <w:pPr>
        <w:autoSpaceDE w:val="0"/>
        <w:autoSpaceDN w:val="0"/>
        <w:adjustRightInd w:val="0"/>
        <w:jc w:val="both"/>
        <w:rPr>
          <w:sz w:val="24"/>
          <w:szCs w:val="24"/>
        </w:rPr>
      </w:pPr>
      <w:r w:rsidRPr="00A20947">
        <w:rPr>
          <w:sz w:val="24"/>
          <w:szCs w:val="24"/>
          <w:lang w:eastAsia="en-AU"/>
        </w:rPr>
        <w:t xml:space="preserve">The effects of Lotemax on sexual function and reproduction have not been studied in humans. </w:t>
      </w:r>
      <w:r w:rsidR="005A08B5" w:rsidRPr="00D4609F">
        <w:rPr>
          <w:sz w:val="24"/>
          <w:szCs w:val="24"/>
        </w:rPr>
        <w:t xml:space="preserve">Treatment of male and female rats with </w:t>
      </w:r>
      <w:r w:rsidR="00DE5841">
        <w:rPr>
          <w:sz w:val="24"/>
          <w:szCs w:val="24"/>
        </w:rPr>
        <w:t xml:space="preserve">oral doses </w:t>
      </w:r>
      <w:r w:rsidR="005A08B5" w:rsidRPr="00D4609F">
        <w:rPr>
          <w:sz w:val="24"/>
          <w:szCs w:val="24"/>
        </w:rPr>
        <w:t>up to 50 mg/kg/day and 25 mg/kg/day of loteprednol etabonate, respectively, (</w:t>
      </w:r>
      <w:r w:rsidR="00E30593">
        <w:rPr>
          <w:sz w:val="24"/>
          <w:szCs w:val="24"/>
        </w:rPr>
        <w:t xml:space="preserve">approximately 80 and 40 </w:t>
      </w:r>
      <w:r w:rsidR="005A08B5" w:rsidRPr="00D4609F">
        <w:rPr>
          <w:sz w:val="24"/>
          <w:szCs w:val="24"/>
        </w:rPr>
        <w:t>times the maximum clinical dose, respectively</w:t>
      </w:r>
      <w:r w:rsidR="00333EA7">
        <w:rPr>
          <w:sz w:val="24"/>
          <w:szCs w:val="24"/>
        </w:rPr>
        <w:t>, based on body surface area</w:t>
      </w:r>
      <w:r w:rsidR="005A08B5" w:rsidRPr="00D4609F">
        <w:rPr>
          <w:sz w:val="24"/>
          <w:szCs w:val="24"/>
        </w:rPr>
        <w:t xml:space="preserve">) prior to and during mating did not impair fertility in either gender. </w:t>
      </w:r>
    </w:p>
    <w:p w:rsidR="00D4609F" w:rsidRDefault="00D4609F" w:rsidP="0090456F">
      <w:pPr>
        <w:autoSpaceDE w:val="0"/>
        <w:autoSpaceDN w:val="0"/>
        <w:adjustRightInd w:val="0"/>
        <w:jc w:val="both"/>
        <w:rPr>
          <w:sz w:val="24"/>
          <w:szCs w:val="24"/>
          <w:lang w:eastAsia="en-AU"/>
        </w:rPr>
      </w:pPr>
    </w:p>
    <w:p w:rsidR="00FD75AB" w:rsidRDefault="00A20947" w:rsidP="0090456F">
      <w:pPr>
        <w:autoSpaceDE w:val="0"/>
        <w:autoSpaceDN w:val="0"/>
        <w:adjustRightInd w:val="0"/>
        <w:jc w:val="both"/>
        <w:rPr>
          <w:sz w:val="24"/>
          <w:szCs w:val="24"/>
          <w:u w:val="single"/>
        </w:rPr>
      </w:pPr>
      <w:r w:rsidRPr="00FD188E">
        <w:rPr>
          <w:sz w:val="24"/>
          <w:szCs w:val="24"/>
          <w:u w:val="single"/>
        </w:rPr>
        <w:t xml:space="preserve">Use in </w:t>
      </w:r>
      <w:r w:rsidR="001A7DC3" w:rsidRPr="00FD188E">
        <w:rPr>
          <w:sz w:val="24"/>
          <w:szCs w:val="24"/>
          <w:u w:val="single"/>
        </w:rPr>
        <w:t>pregnancy</w:t>
      </w:r>
    </w:p>
    <w:p w:rsidR="00A20947" w:rsidRDefault="00FD188E" w:rsidP="0090456F">
      <w:pPr>
        <w:autoSpaceDE w:val="0"/>
        <w:autoSpaceDN w:val="0"/>
        <w:adjustRightInd w:val="0"/>
        <w:jc w:val="both"/>
        <w:rPr>
          <w:b/>
        </w:rPr>
      </w:pPr>
      <w:r w:rsidRPr="001A7DC3">
        <w:rPr>
          <w:b/>
          <w:sz w:val="24"/>
          <w:szCs w:val="24"/>
        </w:rPr>
        <w:t>Category B3</w:t>
      </w:r>
    </w:p>
    <w:p w:rsidR="00A471A4" w:rsidRDefault="00A471A4" w:rsidP="0090456F">
      <w:pPr>
        <w:autoSpaceDE w:val="0"/>
        <w:autoSpaceDN w:val="0"/>
        <w:adjustRightInd w:val="0"/>
        <w:jc w:val="both"/>
        <w:rPr>
          <w:sz w:val="24"/>
          <w:szCs w:val="24"/>
        </w:rPr>
      </w:pPr>
    </w:p>
    <w:p w:rsidR="00DE5841" w:rsidRDefault="006D033B" w:rsidP="0090456F">
      <w:pPr>
        <w:autoSpaceDE w:val="0"/>
        <w:autoSpaceDN w:val="0"/>
        <w:adjustRightInd w:val="0"/>
        <w:jc w:val="both"/>
        <w:rPr>
          <w:sz w:val="24"/>
          <w:szCs w:val="24"/>
        </w:rPr>
      </w:pPr>
      <w:r w:rsidRPr="00B96CB0">
        <w:rPr>
          <w:sz w:val="24"/>
          <w:szCs w:val="24"/>
        </w:rPr>
        <w:t xml:space="preserve">Loteprednol etabonate, like other corticosteroids, has been shown to be teratogenic in laboratory animal species. In rats, oral treatment during organogenesis resulted in malformations (cleft palate and umbilical hernia), decreased fetal body weight and retardation of skeletal ossification at ≥50 mg/kg/day, and increased post-implantation loss at 100 mg/kg/day; maternal toxicity (significantly reduced body weight gain during treatment) was observed at ≥5 mg/kg/day. Oral administration at a dose of 3 mg/kg/day to rabbits during organogenesis caused malformations (meningocele), limb flexure, decreased fetal weight and retarded ossification, occurring in the absence of maternal toxicity. The no-observed-effect-level (NOEL) for these embryofetal effects was 5 mg/kg/day in rats and 0.5 mg/kg/day in rabbits. </w:t>
      </w:r>
    </w:p>
    <w:p w:rsidR="00DE5841" w:rsidRDefault="00DE5841" w:rsidP="0090456F">
      <w:pPr>
        <w:autoSpaceDE w:val="0"/>
        <w:autoSpaceDN w:val="0"/>
        <w:adjustRightInd w:val="0"/>
        <w:jc w:val="both"/>
        <w:rPr>
          <w:sz w:val="24"/>
          <w:szCs w:val="24"/>
        </w:rPr>
      </w:pPr>
    </w:p>
    <w:p w:rsidR="00DE5841" w:rsidRDefault="006D033B" w:rsidP="0090456F">
      <w:pPr>
        <w:autoSpaceDE w:val="0"/>
        <w:autoSpaceDN w:val="0"/>
        <w:adjustRightInd w:val="0"/>
        <w:jc w:val="both"/>
        <w:rPr>
          <w:sz w:val="24"/>
          <w:szCs w:val="24"/>
        </w:rPr>
      </w:pPr>
      <w:r w:rsidRPr="00B96CB0">
        <w:rPr>
          <w:sz w:val="24"/>
          <w:szCs w:val="24"/>
        </w:rPr>
        <w:t xml:space="preserve">Oral administration of loteprednol etabonate to female rats from the start of the fetal period through to the end of lactation gave rise to decreased pup birth weight at ≥5 mg/kg/day and decreased growth, reduced survival and retarded development in the offspring during lactation at 50 mg/kg/day. Treatment at these dose levels was maternotoxic (significantly decreased body weight gain). The NOEL for these effects was 0.5 mg/kg/day. Loteprednol etabonate has no significant effect on the duration of </w:t>
      </w:r>
      <w:r w:rsidRPr="00B96CB0">
        <w:rPr>
          <w:sz w:val="24"/>
          <w:szCs w:val="24"/>
        </w:rPr>
        <w:lastRenderedPageBreak/>
        <w:t xml:space="preserve">gestation or parturition when administered orally to pregnant rats at doses up to 50 mg/kg/day during the fetal period. </w:t>
      </w:r>
    </w:p>
    <w:p w:rsidR="00DE5841" w:rsidRDefault="00DE5841" w:rsidP="0090456F">
      <w:pPr>
        <w:autoSpaceDE w:val="0"/>
        <w:autoSpaceDN w:val="0"/>
        <w:adjustRightInd w:val="0"/>
        <w:jc w:val="both"/>
        <w:rPr>
          <w:sz w:val="24"/>
          <w:szCs w:val="24"/>
        </w:rPr>
      </w:pPr>
    </w:p>
    <w:p w:rsidR="006D033B" w:rsidRPr="00B96CB0" w:rsidRDefault="006D033B" w:rsidP="0090456F">
      <w:pPr>
        <w:autoSpaceDE w:val="0"/>
        <w:autoSpaceDN w:val="0"/>
        <w:adjustRightInd w:val="0"/>
        <w:jc w:val="both"/>
        <w:rPr>
          <w:sz w:val="24"/>
          <w:szCs w:val="24"/>
        </w:rPr>
      </w:pPr>
      <w:r w:rsidRPr="00B96CB0">
        <w:rPr>
          <w:sz w:val="24"/>
          <w:szCs w:val="24"/>
        </w:rPr>
        <w:t xml:space="preserve">There are no adequate and well controlled studies in pregnant women. Loteprednol etabonate should be used during pregnancy only if the potential benefit justifies the potential risk to the fetus. </w:t>
      </w:r>
    </w:p>
    <w:p w:rsidR="00A20947" w:rsidRDefault="00A20947" w:rsidP="0090456F">
      <w:pPr>
        <w:pStyle w:val="Default"/>
        <w:jc w:val="both"/>
        <w:rPr>
          <w:rFonts w:eastAsia="TimesNewRoman,Italic"/>
          <w:lang w:val="en-AU"/>
        </w:rPr>
      </w:pPr>
    </w:p>
    <w:p w:rsidR="00A20947" w:rsidRDefault="00A20947" w:rsidP="0090456F">
      <w:pPr>
        <w:pStyle w:val="Default"/>
        <w:tabs>
          <w:tab w:val="left" w:pos="567"/>
        </w:tabs>
        <w:jc w:val="both"/>
        <w:rPr>
          <w:rFonts w:ascii="Times New Roman" w:hAnsi="Times New Roman" w:cs="Times New Roman"/>
          <w:color w:val="auto"/>
          <w:u w:val="single"/>
        </w:rPr>
      </w:pPr>
      <w:r w:rsidRPr="00D206E8">
        <w:rPr>
          <w:rFonts w:ascii="Times New Roman" w:hAnsi="Times New Roman" w:cs="Times New Roman"/>
          <w:color w:val="auto"/>
          <w:u w:val="single"/>
        </w:rPr>
        <w:t>Use in lactation</w:t>
      </w:r>
    </w:p>
    <w:p w:rsidR="004E06B8" w:rsidRDefault="00ED02FC" w:rsidP="0090456F">
      <w:pPr>
        <w:autoSpaceDE w:val="0"/>
        <w:autoSpaceDN w:val="0"/>
        <w:adjustRightInd w:val="0"/>
        <w:jc w:val="both"/>
        <w:rPr>
          <w:rFonts w:cs="BauschlombRegCond"/>
          <w:sz w:val="24"/>
          <w:szCs w:val="24"/>
        </w:rPr>
      </w:pPr>
      <w:r w:rsidRPr="00DC6CA2">
        <w:rPr>
          <w:rFonts w:cs="BauschlombRegCond"/>
          <w:sz w:val="24"/>
          <w:szCs w:val="24"/>
        </w:rPr>
        <w:t xml:space="preserve">Caution should be exercised when Lotemax is administered to a nursing mother as studies in lactating women have not been conducted. </w:t>
      </w:r>
      <w:r w:rsidR="005678CE">
        <w:rPr>
          <w:rFonts w:cs="BauschlombRegCond"/>
          <w:sz w:val="24"/>
          <w:szCs w:val="24"/>
        </w:rPr>
        <w:t xml:space="preserve"> </w:t>
      </w:r>
      <w:r w:rsidR="005678CE" w:rsidRPr="005678CE">
        <w:rPr>
          <w:sz w:val="24"/>
          <w:szCs w:val="24"/>
        </w:rPr>
        <w:t xml:space="preserve">Adverse effects have been observed in the offspring of rats treated orally with loteprednol etabonate during gestation and lactation (see Use in Pregnancy).  </w:t>
      </w:r>
      <w:r w:rsidRPr="00DC6CA2">
        <w:rPr>
          <w:rFonts w:cs="BauschlombRegCond"/>
          <w:sz w:val="24"/>
          <w:szCs w:val="24"/>
        </w:rPr>
        <w:t>It is not known whether topical ophthalmic administration of corticosteroids could result in sufficient systemic absorption to produce detectable quantities in human milk.</w:t>
      </w:r>
    </w:p>
    <w:p w:rsidR="004E06B8" w:rsidRDefault="004E06B8" w:rsidP="0090456F">
      <w:pPr>
        <w:autoSpaceDE w:val="0"/>
        <w:autoSpaceDN w:val="0"/>
        <w:adjustRightInd w:val="0"/>
        <w:jc w:val="both"/>
        <w:rPr>
          <w:rFonts w:cs="BauschlombRegCond"/>
          <w:sz w:val="24"/>
          <w:szCs w:val="24"/>
        </w:rPr>
      </w:pPr>
    </w:p>
    <w:p w:rsidR="00A20947" w:rsidRPr="004E06B8" w:rsidRDefault="00A20947" w:rsidP="0090456F">
      <w:pPr>
        <w:autoSpaceDE w:val="0"/>
        <w:autoSpaceDN w:val="0"/>
        <w:adjustRightInd w:val="0"/>
        <w:jc w:val="both"/>
        <w:rPr>
          <w:rFonts w:cs="BauschlombRegCond"/>
          <w:sz w:val="24"/>
          <w:szCs w:val="24"/>
        </w:rPr>
      </w:pPr>
      <w:r>
        <w:rPr>
          <w:iCs/>
          <w:sz w:val="24"/>
          <w:szCs w:val="24"/>
          <w:u w:val="single"/>
          <w:lang w:val="en-US"/>
        </w:rPr>
        <w:t>Use in children</w:t>
      </w:r>
    </w:p>
    <w:p w:rsidR="00F85ECA" w:rsidRDefault="00266869" w:rsidP="0090456F">
      <w:pPr>
        <w:tabs>
          <w:tab w:val="left" w:pos="567"/>
        </w:tabs>
        <w:autoSpaceDE w:val="0"/>
        <w:autoSpaceDN w:val="0"/>
        <w:adjustRightInd w:val="0"/>
        <w:jc w:val="both"/>
        <w:rPr>
          <w:rFonts w:cs="BauschlombRegCond"/>
          <w:sz w:val="24"/>
          <w:szCs w:val="24"/>
        </w:rPr>
      </w:pPr>
      <w:r>
        <w:rPr>
          <w:rFonts w:cs="BauschlombRegCond"/>
          <w:sz w:val="24"/>
          <w:szCs w:val="24"/>
        </w:rPr>
        <w:t>Lotemax should not be used in children.  The safety and efficacy of Lotemax has not been studied in children.</w:t>
      </w:r>
    </w:p>
    <w:p w:rsidR="00266869" w:rsidRDefault="00266869" w:rsidP="0090456F">
      <w:pPr>
        <w:tabs>
          <w:tab w:val="left" w:pos="567"/>
        </w:tabs>
        <w:autoSpaceDE w:val="0"/>
        <w:autoSpaceDN w:val="0"/>
        <w:adjustRightInd w:val="0"/>
        <w:jc w:val="both"/>
        <w:rPr>
          <w:rFonts w:cs="BauschlombRegCond"/>
          <w:sz w:val="24"/>
          <w:szCs w:val="24"/>
        </w:rPr>
      </w:pPr>
    </w:p>
    <w:p w:rsidR="00A20947" w:rsidRPr="00CD4D4A" w:rsidRDefault="00A20947" w:rsidP="0090456F">
      <w:pPr>
        <w:tabs>
          <w:tab w:val="left" w:pos="567"/>
        </w:tabs>
        <w:autoSpaceDE w:val="0"/>
        <w:autoSpaceDN w:val="0"/>
        <w:adjustRightInd w:val="0"/>
        <w:jc w:val="both"/>
        <w:rPr>
          <w:iCs/>
          <w:sz w:val="24"/>
          <w:szCs w:val="24"/>
          <w:u w:val="single"/>
          <w:lang w:val="en-US"/>
        </w:rPr>
      </w:pPr>
      <w:r w:rsidRPr="00CD4D4A">
        <w:rPr>
          <w:iCs/>
          <w:sz w:val="24"/>
          <w:szCs w:val="24"/>
          <w:u w:val="single"/>
          <w:lang w:val="en-US"/>
        </w:rPr>
        <w:t>Use in the elderly</w:t>
      </w:r>
    </w:p>
    <w:p w:rsidR="00A20947" w:rsidRPr="00DC6CA2" w:rsidRDefault="00BB2FD0" w:rsidP="0090456F">
      <w:pPr>
        <w:autoSpaceDE w:val="0"/>
        <w:autoSpaceDN w:val="0"/>
        <w:adjustRightInd w:val="0"/>
        <w:jc w:val="both"/>
        <w:rPr>
          <w:rFonts w:cs="BauschlombRegCond"/>
          <w:sz w:val="24"/>
          <w:szCs w:val="24"/>
        </w:rPr>
      </w:pPr>
      <w:r w:rsidRPr="00DC6CA2">
        <w:rPr>
          <w:rFonts w:cs="BauschlombRegCond"/>
          <w:sz w:val="24"/>
          <w:szCs w:val="24"/>
        </w:rPr>
        <w:t>No differences in efficacy or adverse events profile have been observed between the elderly and younger patients. Therefore, no dosage adjustment is required for elderly patients.</w:t>
      </w:r>
    </w:p>
    <w:p w:rsidR="00ED02FC" w:rsidRPr="00DC6CA2" w:rsidRDefault="00ED02FC" w:rsidP="0090456F">
      <w:pPr>
        <w:autoSpaceDE w:val="0"/>
        <w:autoSpaceDN w:val="0"/>
        <w:adjustRightInd w:val="0"/>
        <w:jc w:val="both"/>
        <w:rPr>
          <w:rFonts w:cs="BauschlombRegCond"/>
          <w:sz w:val="24"/>
          <w:szCs w:val="24"/>
        </w:rPr>
      </w:pPr>
    </w:p>
    <w:p w:rsidR="00A20947" w:rsidRPr="00A20947" w:rsidRDefault="00A20947" w:rsidP="0090456F">
      <w:pPr>
        <w:tabs>
          <w:tab w:val="left" w:pos="567"/>
        </w:tabs>
        <w:autoSpaceDE w:val="0"/>
        <w:autoSpaceDN w:val="0"/>
        <w:adjustRightInd w:val="0"/>
        <w:jc w:val="both"/>
        <w:rPr>
          <w:iCs/>
          <w:sz w:val="24"/>
          <w:szCs w:val="24"/>
          <w:u w:val="single"/>
          <w:lang w:val="en-US"/>
        </w:rPr>
      </w:pPr>
      <w:r w:rsidRPr="00A20947">
        <w:rPr>
          <w:iCs/>
          <w:sz w:val="24"/>
          <w:szCs w:val="24"/>
          <w:u w:val="single"/>
          <w:lang w:val="en-US"/>
        </w:rPr>
        <w:t>Genotoxicity</w:t>
      </w:r>
    </w:p>
    <w:p w:rsidR="00362619" w:rsidRDefault="00362619" w:rsidP="0090456F">
      <w:pPr>
        <w:autoSpaceDE w:val="0"/>
        <w:autoSpaceDN w:val="0"/>
        <w:adjustRightInd w:val="0"/>
        <w:jc w:val="both"/>
        <w:rPr>
          <w:sz w:val="24"/>
          <w:szCs w:val="24"/>
        </w:rPr>
      </w:pPr>
      <w:r w:rsidRPr="00D4609F">
        <w:rPr>
          <w:sz w:val="24"/>
          <w:szCs w:val="24"/>
        </w:rPr>
        <w:t xml:space="preserve">Loteprednol etabonate was not genotoxic </w:t>
      </w:r>
      <w:r w:rsidRPr="001E3620">
        <w:rPr>
          <w:rFonts w:cs="BauschlombRegCondIta"/>
          <w:i/>
          <w:sz w:val="24"/>
          <w:szCs w:val="24"/>
        </w:rPr>
        <w:t>in vitro</w:t>
      </w:r>
      <w:r w:rsidRPr="00D4609F">
        <w:rPr>
          <w:rFonts w:cs="BauschlombRegCondIta"/>
          <w:sz w:val="24"/>
          <w:szCs w:val="24"/>
        </w:rPr>
        <w:t xml:space="preserve"> </w:t>
      </w:r>
      <w:r w:rsidRPr="00D4609F">
        <w:rPr>
          <w:sz w:val="24"/>
          <w:szCs w:val="24"/>
        </w:rPr>
        <w:t xml:space="preserve">in the Ames test, the mouse lymphoma tk assay, or in a chromosome aberration test in human lymphocytes, or </w:t>
      </w:r>
      <w:r w:rsidRPr="001E3620">
        <w:rPr>
          <w:rFonts w:cs="BauschlombRegCondIta"/>
          <w:i/>
          <w:sz w:val="24"/>
          <w:szCs w:val="24"/>
        </w:rPr>
        <w:t>in vivo</w:t>
      </w:r>
      <w:r w:rsidRPr="00D4609F">
        <w:rPr>
          <w:rFonts w:cs="BauschlombRegCondIta"/>
          <w:sz w:val="24"/>
          <w:szCs w:val="24"/>
        </w:rPr>
        <w:t xml:space="preserve"> </w:t>
      </w:r>
      <w:r w:rsidRPr="00D4609F">
        <w:rPr>
          <w:sz w:val="24"/>
          <w:szCs w:val="24"/>
        </w:rPr>
        <w:t xml:space="preserve">in the single dose mouse micronucleus assay. </w:t>
      </w:r>
    </w:p>
    <w:p w:rsidR="004E06B8" w:rsidRDefault="004E06B8" w:rsidP="0090456F">
      <w:pPr>
        <w:autoSpaceDE w:val="0"/>
        <w:autoSpaceDN w:val="0"/>
        <w:adjustRightInd w:val="0"/>
        <w:jc w:val="both"/>
        <w:rPr>
          <w:sz w:val="24"/>
          <w:szCs w:val="24"/>
          <w:u w:val="single"/>
        </w:rPr>
      </w:pPr>
    </w:p>
    <w:p w:rsidR="009C1E08" w:rsidRPr="00362619" w:rsidRDefault="00362619" w:rsidP="0090456F">
      <w:pPr>
        <w:autoSpaceDE w:val="0"/>
        <w:autoSpaceDN w:val="0"/>
        <w:adjustRightInd w:val="0"/>
        <w:jc w:val="both"/>
        <w:rPr>
          <w:sz w:val="24"/>
          <w:szCs w:val="24"/>
          <w:u w:val="single"/>
        </w:rPr>
      </w:pPr>
      <w:r>
        <w:rPr>
          <w:sz w:val="24"/>
          <w:szCs w:val="24"/>
          <w:u w:val="single"/>
        </w:rPr>
        <w:t>Carcinogenicity</w:t>
      </w:r>
    </w:p>
    <w:p w:rsidR="000C0966" w:rsidRDefault="00451A58" w:rsidP="0090456F">
      <w:pPr>
        <w:autoSpaceDE w:val="0"/>
        <w:autoSpaceDN w:val="0"/>
        <w:adjustRightInd w:val="0"/>
        <w:jc w:val="both"/>
        <w:rPr>
          <w:sz w:val="24"/>
          <w:szCs w:val="24"/>
        </w:rPr>
      </w:pPr>
      <w:r w:rsidRPr="00D4609F">
        <w:rPr>
          <w:sz w:val="24"/>
          <w:szCs w:val="24"/>
        </w:rPr>
        <w:t>Long-term animal studies have not been conducted to evaluate the carcinogenic potential of loteprednol etabonate</w:t>
      </w:r>
      <w:r w:rsidR="00362619">
        <w:rPr>
          <w:sz w:val="24"/>
          <w:szCs w:val="24"/>
        </w:rPr>
        <w:t xml:space="preserve">. </w:t>
      </w:r>
    </w:p>
    <w:p w:rsidR="00666877" w:rsidRDefault="00666877" w:rsidP="0090456F">
      <w:pPr>
        <w:autoSpaceDE w:val="0"/>
        <w:autoSpaceDN w:val="0"/>
        <w:adjustRightInd w:val="0"/>
        <w:jc w:val="both"/>
        <w:rPr>
          <w:iCs/>
          <w:sz w:val="24"/>
          <w:szCs w:val="24"/>
          <w:u w:val="single"/>
          <w:lang w:val="en-US"/>
        </w:rPr>
      </w:pPr>
    </w:p>
    <w:p w:rsidR="00A20947" w:rsidRPr="00A20947" w:rsidRDefault="00A20947" w:rsidP="0090456F">
      <w:pPr>
        <w:autoSpaceDE w:val="0"/>
        <w:autoSpaceDN w:val="0"/>
        <w:adjustRightInd w:val="0"/>
        <w:jc w:val="both"/>
        <w:rPr>
          <w:iCs/>
          <w:sz w:val="24"/>
          <w:szCs w:val="24"/>
          <w:u w:val="single"/>
          <w:lang w:val="en-US"/>
        </w:rPr>
      </w:pPr>
      <w:r w:rsidRPr="00A20947">
        <w:rPr>
          <w:iCs/>
          <w:sz w:val="24"/>
          <w:szCs w:val="24"/>
          <w:u w:val="single"/>
          <w:lang w:val="en-US"/>
        </w:rPr>
        <w:t>Effects on laboratory tests</w:t>
      </w:r>
    </w:p>
    <w:p w:rsidR="006C7C38" w:rsidRPr="005A08B5" w:rsidRDefault="005A08B5" w:rsidP="0090456F">
      <w:pPr>
        <w:autoSpaceDE w:val="0"/>
        <w:autoSpaceDN w:val="0"/>
        <w:adjustRightInd w:val="0"/>
        <w:jc w:val="both"/>
        <w:rPr>
          <w:rFonts w:eastAsia="TimesNewRoman,Italic"/>
          <w:sz w:val="24"/>
          <w:szCs w:val="24"/>
        </w:rPr>
      </w:pPr>
      <w:proofErr w:type="gramStart"/>
      <w:r w:rsidRPr="005A08B5">
        <w:rPr>
          <w:sz w:val="24"/>
          <w:szCs w:val="24"/>
        </w:rPr>
        <w:t>None.</w:t>
      </w:r>
      <w:proofErr w:type="gramEnd"/>
      <w:r w:rsidRPr="005A08B5">
        <w:rPr>
          <w:sz w:val="24"/>
          <w:szCs w:val="24"/>
        </w:rPr>
        <w:t xml:space="preserve"> </w:t>
      </w:r>
    </w:p>
    <w:p w:rsidR="006C7C38" w:rsidRDefault="006C7C38" w:rsidP="00666877">
      <w:pPr>
        <w:pStyle w:val="Default"/>
        <w:spacing w:line="360" w:lineRule="auto"/>
        <w:jc w:val="both"/>
        <w:rPr>
          <w:rFonts w:eastAsia="TimesNewRoman,Italic"/>
          <w:lang w:val="en-AU"/>
        </w:rPr>
      </w:pPr>
    </w:p>
    <w:p w:rsidR="00A260FC" w:rsidRPr="00582A8B" w:rsidRDefault="00A260FC" w:rsidP="00582A8B">
      <w:pPr>
        <w:pStyle w:val="Heading1"/>
        <w:spacing w:line="360" w:lineRule="auto"/>
        <w:jc w:val="both"/>
        <w:rPr>
          <w:bCs/>
          <w:caps/>
        </w:rPr>
      </w:pPr>
      <w:r w:rsidRPr="00582A8B">
        <w:rPr>
          <w:bCs/>
          <w:caps/>
        </w:rPr>
        <w:t>i</w:t>
      </w:r>
      <w:r w:rsidR="000078AD" w:rsidRPr="00582A8B">
        <w:rPr>
          <w:bCs/>
        </w:rPr>
        <w:t>nteractions with other medicines</w:t>
      </w:r>
    </w:p>
    <w:p w:rsidR="003B7B54" w:rsidRPr="003B7B54" w:rsidRDefault="00A62A79" w:rsidP="0090456F">
      <w:pPr>
        <w:autoSpaceDE w:val="0"/>
        <w:autoSpaceDN w:val="0"/>
        <w:adjustRightInd w:val="0"/>
        <w:jc w:val="both"/>
        <w:rPr>
          <w:sz w:val="24"/>
          <w:szCs w:val="24"/>
        </w:rPr>
      </w:pPr>
      <w:r w:rsidRPr="003B7B54">
        <w:rPr>
          <w:sz w:val="24"/>
          <w:szCs w:val="24"/>
        </w:rPr>
        <w:t xml:space="preserve">No interactions are anticipated in humans, since systemic concentrations of </w:t>
      </w:r>
      <w:r w:rsidR="003B7B54" w:rsidRPr="003B7B54">
        <w:rPr>
          <w:sz w:val="24"/>
          <w:szCs w:val="24"/>
        </w:rPr>
        <w:t xml:space="preserve">loteprednol etabonate </w:t>
      </w:r>
      <w:r w:rsidRPr="003B7B54">
        <w:rPr>
          <w:sz w:val="24"/>
          <w:szCs w:val="24"/>
        </w:rPr>
        <w:t xml:space="preserve">are extremely low following ocular dosing. Therefore, specific drug interaction studies have not been performed with </w:t>
      </w:r>
      <w:r w:rsidR="003B7B54" w:rsidRPr="003B7B54">
        <w:rPr>
          <w:sz w:val="24"/>
          <w:szCs w:val="24"/>
        </w:rPr>
        <w:t>loteprednol etabonate</w:t>
      </w:r>
      <w:r w:rsidRPr="003B7B54">
        <w:rPr>
          <w:sz w:val="24"/>
          <w:szCs w:val="24"/>
        </w:rPr>
        <w:t xml:space="preserve">. </w:t>
      </w:r>
    </w:p>
    <w:p w:rsidR="003B7B54" w:rsidRPr="003B7B54" w:rsidRDefault="003B7B54" w:rsidP="00666877">
      <w:pPr>
        <w:autoSpaceDE w:val="0"/>
        <w:autoSpaceDN w:val="0"/>
        <w:adjustRightInd w:val="0"/>
        <w:spacing w:line="360" w:lineRule="auto"/>
        <w:jc w:val="both"/>
        <w:rPr>
          <w:sz w:val="24"/>
          <w:szCs w:val="24"/>
        </w:rPr>
      </w:pPr>
    </w:p>
    <w:p w:rsidR="009C1E08" w:rsidRPr="00582A8B" w:rsidRDefault="009C1E08" w:rsidP="00582A8B">
      <w:pPr>
        <w:pStyle w:val="Heading1"/>
        <w:spacing w:line="360" w:lineRule="auto"/>
        <w:jc w:val="both"/>
        <w:rPr>
          <w:bCs/>
          <w:caps/>
        </w:rPr>
      </w:pPr>
      <w:r w:rsidRPr="00582A8B">
        <w:rPr>
          <w:bCs/>
        </w:rPr>
        <w:t>A</w:t>
      </w:r>
      <w:r w:rsidR="000078AD" w:rsidRPr="00582A8B">
        <w:rPr>
          <w:bCs/>
        </w:rPr>
        <w:t>dverse effects</w:t>
      </w:r>
    </w:p>
    <w:p w:rsidR="00B96B51" w:rsidRDefault="00B96B51" w:rsidP="00B96B51">
      <w:pPr>
        <w:jc w:val="both"/>
        <w:rPr>
          <w:sz w:val="24"/>
          <w:szCs w:val="24"/>
        </w:rPr>
      </w:pPr>
      <w:r w:rsidRPr="00CB496C">
        <w:rPr>
          <w:sz w:val="24"/>
          <w:szCs w:val="24"/>
        </w:rPr>
        <w:t>Very commonly reported ocular adverse events (occurring in &gt;10% of subjects receiving LE) in clinical trials (Studies 106, 107, 108, 125</w:t>
      </w:r>
      <w:r>
        <w:rPr>
          <w:sz w:val="24"/>
          <w:szCs w:val="24"/>
        </w:rPr>
        <w:t>,</w:t>
      </w:r>
      <w:r w:rsidRPr="00B96B51">
        <w:rPr>
          <w:sz w:val="24"/>
          <w:szCs w:val="24"/>
        </w:rPr>
        <w:t xml:space="preserve"> </w:t>
      </w:r>
      <w:r w:rsidRPr="00CB496C">
        <w:rPr>
          <w:sz w:val="24"/>
          <w:szCs w:val="24"/>
        </w:rPr>
        <w:t>127</w:t>
      </w:r>
      <w:r>
        <w:rPr>
          <w:sz w:val="24"/>
          <w:szCs w:val="24"/>
        </w:rPr>
        <w:t xml:space="preserve">, </w:t>
      </w:r>
      <w:r w:rsidRPr="00B96B51">
        <w:rPr>
          <w:sz w:val="24"/>
          <w:szCs w:val="24"/>
        </w:rPr>
        <w:t>122/1221, 126</w:t>
      </w:r>
      <w:r w:rsidRPr="00CB496C">
        <w:rPr>
          <w:sz w:val="24"/>
          <w:szCs w:val="24"/>
        </w:rPr>
        <w:t xml:space="preserve">) were abnormal </w:t>
      </w:r>
      <w:r w:rsidRPr="00CB496C">
        <w:rPr>
          <w:sz w:val="24"/>
          <w:szCs w:val="24"/>
        </w:rPr>
        <w:lastRenderedPageBreak/>
        <w:t xml:space="preserve">vision and IOP increased. </w:t>
      </w:r>
      <w:r>
        <w:rPr>
          <w:sz w:val="24"/>
          <w:szCs w:val="24"/>
        </w:rPr>
        <w:t xml:space="preserve"> Studies 122/1221 and 126 are studies for Acute Anterior Uveitis and are not described in the Clinical Trials section. </w:t>
      </w:r>
    </w:p>
    <w:p w:rsidR="00FD3E3F" w:rsidRDefault="00FD3E3F" w:rsidP="00CB496C">
      <w:pPr>
        <w:jc w:val="both"/>
        <w:rPr>
          <w:sz w:val="24"/>
          <w:szCs w:val="24"/>
        </w:rPr>
      </w:pPr>
    </w:p>
    <w:p w:rsidR="00846831" w:rsidRPr="00CB496C" w:rsidRDefault="00233B76" w:rsidP="00CB496C">
      <w:pPr>
        <w:jc w:val="both"/>
        <w:rPr>
          <w:sz w:val="24"/>
          <w:szCs w:val="24"/>
        </w:rPr>
      </w:pPr>
      <w:r w:rsidRPr="00942547">
        <w:rPr>
          <w:sz w:val="24"/>
          <w:szCs w:val="24"/>
        </w:rPr>
        <w:t>There was no v</w:t>
      </w:r>
      <w:r w:rsidR="00E374C7" w:rsidRPr="00942547">
        <w:rPr>
          <w:sz w:val="24"/>
          <w:szCs w:val="24"/>
        </w:rPr>
        <w:t xml:space="preserve">ery commonly reported non-ocular adverse </w:t>
      </w:r>
      <w:r w:rsidRPr="00942547">
        <w:rPr>
          <w:sz w:val="24"/>
          <w:szCs w:val="24"/>
        </w:rPr>
        <w:t xml:space="preserve">in subjects </w:t>
      </w:r>
      <w:r w:rsidR="00846831" w:rsidRPr="00942547">
        <w:rPr>
          <w:sz w:val="24"/>
          <w:szCs w:val="24"/>
        </w:rPr>
        <w:t>receiving LE.</w:t>
      </w:r>
    </w:p>
    <w:p w:rsidR="00E374C7" w:rsidRPr="00CB496C" w:rsidRDefault="00E374C7" w:rsidP="00CB496C">
      <w:pPr>
        <w:jc w:val="both"/>
        <w:rPr>
          <w:sz w:val="24"/>
          <w:szCs w:val="24"/>
        </w:rPr>
      </w:pPr>
    </w:p>
    <w:p w:rsidR="00E374C7" w:rsidRPr="00CB496C" w:rsidRDefault="00E374C7" w:rsidP="00CB496C">
      <w:pPr>
        <w:jc w:val="both"/>
        <w:rPr>
          <w:sz w:val="24"/>
          <w:szCs w:val="24"/>
        </w:rPr>
      </w:pPr>
      <w:r w:rsidRPr="00CB496C">
        <w:rPr>
          <w:sz w:val="24"/>
          <w:szCs w:val="24"/>
        </w:rPr>
        <w:t xml:space="preserve">Commonly reported  adverse </w:t>
      </w:r>
      <w:r w:rsidR="00E316F0" w:rsidRPr="00CB496C">
        <w:rPr>
          <w:sz w:val="24"/>
          <w:szCs w:val="24"/>
        </w:rPr>
        <w:t xml:space="preserve">events </w:t>
      </w:r>
      <w:r w:rsidRPr="00CB496C">
        <w:rPr>
          <w:sz w:val="24"/>
          <w:szCs w:val="24"/>
        </w:rPr>
        <w:t xml:space="preserve">(occurring in ≥1% to &lt;10% of subjects)  were </w:t>
      </w:r>
      <w:r w:rsidR="004A24D5" w:rsidRPr="00CB496C">
        <w:rPr>
          <w:sz w:val="24"/>
          <w:szCs w:val="24"/>
        </w:rPr>
        <w:t xml:space="preserve">itching eye, photophobia, epiphora, injection (pooled), discomfort eye, foreign body sensation, discharge eye, dry eye, eye pain, uveitis, cells anterior chamber, burning/stinging eye, erythema eyelids, keratic precipitate, flare anterior chamber, papilla, inflammation anterior chamber, ciliary flush, corneal abnormality. </w:t>
      </w:r>
    </w:p>
    <w:p w:rsidR="00E374C7" w:rsidRPr="00CB496C" w:rsidRDefault="00E374C7" w:rsidP="00CB496C">
      <w:pPr>
        <w:jc w:val="both"/>
        <w:rPr>
          <w:sz w:val="24"/>
          <w:szCs w:val="24"/>
        </w:rPr>
      </w:pPr>
    </w:p>
    <w:p w:rsidR="00E374C7" w:rsidRPr="00CB496C" w:rsidRDefault="00E374C7" w:rsidP="00CB496C">
      <w:pPr>
        <w:autoSpaceDE w:val="0"/>
        <w:autoSpaceDN w:val="0"/>
        <w:adjustRightInd w:val="0"/>
        <w:jc w:val="both"/>
        <w:rPr>
          <w:sz w:val="24"/>
          <w:szCs w:val="24"/>
        </w:rPr>
      </w:pPr>
      <w:r w:rsidRPr="00942547">
        <w:rPr>
          <w:sz w:val="24"/>
          <w:szCs w:val="24"/>
        </w:rPr>
        <w:t xml:space="preserve">Commonly reported non-ocular adverse events included </w:t>
      </w:r>
      <w:r w:rsidR="004A24D5" w:rsidRPr="00942547">
        <w:rPr>
          <w:sz w:val="24"/>
          <w:szCs w:val="24"/>
        </w:rPr>
        <w:t>headache and infection</w:t>
      </w:r>
      <w:r w:rsidR="008D3D88">
        <w:rPr>
          <w:sz w:val="24"/>
          <w:szCs w:val="24"/>
        </w:rPr>
        <w:t>.</w:t>
      </w:r>
      <w:r w:rsidR="008D3D88" w:rsidRPr="00CB496C">
        <w:rPr>
          <w:sz w:val="24"/>
          <w:szCs w:val="24"/>
        </w:rPr>
        <w:t xml:space="preserve"> </w:t>
      </w:r>
    </w:p>
    <w:p w:rsidR="004A24D5" w:rsidRPr="00CB496C" w:rsidRDefault="004A24D5" w:rsidP="00CB496C">
      <w:pPr>
        <w:autoSpaceDE w:val="0"/>
        <w:autoSpaceDN w:val="0"/>
        <w:adjustRightInd w:val="0"/>
        <w:jc w:val="both"/>
        <w:rPr>
          <w:rFonts w:cs="BauschlombRegCond"/>
          <w:sz w:val="24"/>
          <w:szCs w:val="24"/>
        </w:rPr>
      </w:pPr>
    </w:p>
    <w:p w:rsidR="00E374C7" w:rsidRPr="00CB496C" w:rsidRDefault="00E374C7" w:rsidP="00CB496C">
      <w:pPr>
        <w:jc w:val="both"/>
        <w:rPr>
          <w:sz w:val="24"/>
          <w:szCs w:val="24"/>
        </w:rPr>
      </w:pPr>
      <w:r w:rsidRPr="00CB496C">
        <w:rPr>
          <w:sz w:val="24"/>
          <w:szCs w:val="24"/>
        </w:rPr>
        <w:t xml:space="preserve">Tabulated adverse </w:t>
      </w:r>
      <w:r w:rsidR="00E316F0" w:rsidRPr="00CB496C">
        <w:rPr>
          <w:sz w:val="24"/>
          <w:szCs w:val="24"/>
        </w:rPr>
        <w:t xml:space="preserve">events </w:t>
      </w:r>
      <w:r w:rsidRPr="00CB496C">
        <w:rPr>
          <w:sz w:val="24"/>
          <w:szCs w:val="24"/>
        </w:rPr>
        <w:t>of incidence &gt;1% from clinical trials (</w:t>
      </w:r>
      <w:r w:rsidR="004A24D5" w:rsidRPr="00CB496C">
        <w:rPr>
          <w:sz w:val="24"/>
          <w:szCs w:val="24"/>
        </w:rPr>
        <w:t>S</w:t>
      </w:r>
      <w:r w:rsidRPr="00CB496C">
        <w:rPr>
          <w:sz w:val="24"/>
          <w:szCs w:val="24"/>
        </w:rPr>
        <w:t>tudies 106, 107, 108, 122/1221</w:t>
      </w:r>
      <w:r w:rsidR="004A24D5" w:rsidRPr="00CB496C">
        <w:rPr>
          <w:sz w:val="24"/>
          <w:szCs w:val="24"/>
        </w:rPr>
        <w:t>, 125, 126 and 127</w:t>
      </w:r>
      <w:r w:rsidRPr="00CB496C">
        <w:rPr>
          <w:sz w:val="24"/>
          <w:szCs w:val="24"/>
        </w:rPr>
        <w:t>) comparing loteprednol etabonate to vehicle/comparator are provided in Table 8.</w:t>
      </w:r>
    </w:p>
    <w:p w:rsidR="00E374C7" w:rsidRDefault="00E374C7" w:rsidP="0090456F">
      <w:pPr>
        <w:autoSpaceDE w:val="0"/>
        <w:autoSpaceDN w:val="0"/>
        <w:adjustRightInd w:val="0"/>
        <w:jc w:val="both"/>
        <w:rPr>
          <w:rFonts w:cs="BauschlombRegCond"/>
          <w:sz w:val="24"/>
          <w:szCs w:val="24"/>
        </w:rPr>
      </w:pPr>
    </w:p>
    <w:p w:rsidR="003C4035" w:rsidRDefault="003C4035" w:rsidP="003C4035">
      <w:pPr>
        <w:jc w:val="center"/>
        <w:rPr>
          <w:b/>
          <w:bCs/>
          <w:sz w:val="18"/>
          <w:szCs w:val="18"/>
        </w:rPr>
      </w:pPr>
      <w:r w:rsidRPr="00CA0200">
        <w:t>Table 8</w:t>
      </w:r>
      <w:r w:rsidRPr="00CA0200">
        <w:rPr>
          <w:b/>
          <w:bCs/>
          <w:sz w:val="18"/>
          <w:szCs w:val="18"/>
        </w:rPr>
        <w:t xml:space="preserve"> </w:t>
      </w:r>
      <w:r>
        <w:rPr>
          <w:b/>
          <w:bCs/>
          <w:sz w:val="18"/>
          <w:szCs w:val="18"/>
        </w:rPr>
        <w:t>Adverse Events &gt;1% in loteprednol etabonate and placebo/comparator groups</w:t>
      </w:r>
    </w:p>
    <w:p w:rsidR="003C4035" w:rsidRDefault="003C4035" w:rsidP="003C4035">
      <w:pPr>
        <w:jc w:val="center"/>
        <w:rPr>
          <w:b/>
          <w:bCs/>
          <w:sz w:val="18"/>
          <w:szCs w:val="18"/>
        </w:rPr>
      </w:pPr>
      <w:proofErr w:type="gramStart"/>
      <w:r>
        <w:rPr>
          <w:b/>
          <w:bCs/>
          <w:sz w:val="18"/>
          <w:szCs w:val="18"/>
        </w:rPr>
        <w:t>from</w:t>
      </w:r>
      <w:proofErr w:type="gramEnd"/>
      <w:r>
        <w:rPr>
          <w:b/>
          <w:bCs/>
          <w:sz w:val="18"/>
          <w:szCs w:val="18"/>
        </w:rPr>
        <w:t xml:space="preserve"> Clinical Studies 106, 107, 108, 122/122l, 125, 126 and 127</w:t>
      </w:r>
    </w:p>
    <w:p w:rsidR="003C4035" w:rsidRDefault="003C4035" w:rsidP="0090456F">
      <w:pPr>
        <w:autoSpaceDE w:val="0"/>
        <w:autoSpaceDN w:val="0"/>
        <w:adjustRightInd w:val="0"/>
        <w:jc w:val="both"/>
        <w:rPr>
          <w:rFonts w:cs="BauschlombRegCond"/>
          <w:sz w:val="24"/>
          <w:szCs w:val="24"/>
        </w:rPr>
      </w:pPr>
    </w:p>
    <w:tbl>
      <w:tblPr>
        <w:tblW w:w="6017" w:type="dxa"/>
        <w:jc w:val="center"/>
        <w:tblInd w:w="93" w:type="dxa"/>
        <w:tblLook w:val="04A0" w:firstRow="1" w:lastRow="0" w:firstColumn="1" w:lastColumn="0" w:noHBand="0" w:noVBand="1"/>
      </w:tblPr>
      <w:tblGrid>
        <w:gridCol w:w="2992"/>
        <w:gridCol w:w="992"/>
        <w:gridCol w:w="816"/>
        <w:gridCol w:w="1217"/>
      </w:tblGrid>
      <w:tr w:rsidR="003C4035" w:rsidRPr="00D6284D" w:rsidTr="00DB71C1">
        <w:trPr>
          <w:trHeight w:val="240"/>
          <w:tblHeader/>
          <w:jc w:val="center"/>
        </w:trPr>
        <w:tc>
          <w:tcPr>
            <w:tcW w:w="299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C4035" w:rsidRPr="00253E1B" w:rsidRDefault="003C4035" w:rsidP="008835CD">
            <w:pPr>
              <w:jc w:val="center"/>
              <w:rPr>
                <w:b/>
                <w:bCs/>
                <w:sz w:val="18"/>
                <w:szCs w:val="18"/>
              </w:rPr>
            </w:pPr>
            <w:r>
              <w:rPr>
                <w:b/>
                <w:bCs/>
                <w:sz w:val="18"/>
                <w:szCs w:val="18"/>
              </w:rPr>
              <w:t>Adverse Events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C4035" w:rsidRPr="00D6284D" w:rsidRDefault="003C4035" w:rsidP="008835CD">
            <w:pPr>
              <w:jc w:val="center"/>
              <w:rPr>
                <w:b/>
                <w:bCs/>
                <w:sz w:val="18"/>
                <w:szCs w:val="18"/>
              </w:rPr>
            </w:pPr>
            <w:r w:rsidRPr="00D6284D">
              <w:rPr>
                <w:b/>
                <w:bCs/>
                <w:sz w:val="18"/>
                <w:szCs w:val="18"/>
              </w:rPr>
              <w:t>LE 0.5%</w:t>
            </w:r>
          </w:p>
          <w:p w:rsidR="003C4035" w:rsidRPr="00D6284D" w:rsidRDefault="003C4035" w:rsidP="008835CD">
            <w:pPr>
              <w:jc w:val="center"/>
              <w:rPr>
                <w:b/>
                <w:bCs/>
                <w:sz w:val="18"/>
                <w:szCs w:val="18"/>
              </w:rPr>
            </w:pPr>
            <w:r>
              <w:rPr>
                <w:b/>
                <w:bCs/>
                <w:sz w:val="18"/>
                <w:szCs w:val="18"/>
              </w:rPr>
              <w:t>(n=656</w:t>
            </w:r>
            <w:r w:rsidRPr="00D6284D">
              <w:rPr>
                <w:b/>
                <w:bCs/>
                <w:sz w:val="18"/>
                <w:szCs w:val="18"/>
              </w:rPr>
              <w:t>)</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3C4035" w:rsidRPr="00D6284D" w:rsidRDefault="003C4035" w:rsidP="008835CD">
            <w:pPr>
              <w:jc w:val="center"/>
              <w:rPr>
                <w:b/>
                <w:bCs/>
                <w:sz w:val="18"/>
                <w:szCs w:val="18"/>
              </w:rPr>
            </w:pPr>
            <w:r w:rsidRPr="00D6284D">
              <w:rPr>
                <w:b/>
                <w:bCs/>
                <w:sz w:val="18"/>
                <w:szCs w:val="18"/>
              </w:rPr>
              <w:t>Placebo</w:t>
            </w:r>
          </w:p>
          <w:p w:rsidR="003C4035" w:rsidRPr="00D6284D" w:rsidRDefault="003C4035" w:rsidP="008835CD">
            <w:pPr>
              <w:jc w:val="center"/>
              <w:rPr>
                <w:b/>
                <w:bCs/>
                <w:sz w:val="18"/>
                <w:szCs w:val="18"/>
              </w:rPr>
            </w:pPr>
            <w:r>
              <w:rPr>
                <w:b/>
                <w:bCs/>
                <w:sz w:val="18"/>
                <w:szCs w:val="18"/>
              </w:rPr>
              <w:t>(n=497</w:t>
            </w:r>
            <w:r w:rsidRPr="00D6284D">
              <w:rPr>
                <w:b/>
                <w:bCs/>
                <w:sz w:val="18"/>
                <w:szCs w:val="18"/>
              </w:rPr>
              <w:t>)</w:t>
            </w:r>
          </w:p>
        </w:tc>
        <w:tc>
          <w:tcPr>
            <w:tcW w:w="1217" w:type="dxa"/>
            <w:tcBorders>
              <w:top w:val="single" w:sz="4" w:space="0" w:color="auto"/>
              <w:left w:val="nil"/>
              <w:bottom w:val="single" w:sz="4" w:space="0" w:color="auto"/>
              <w:right w:val="single" w:sz="8" w:space="0" w:color="auto"/>
            </w:tcBorders>
            <w:shd w:val="clear" w:color="auto" w:fill="auto"/>
            <w:noWrap/>
            <w:vAlign w:val="center"/>
            <w:hideMark/>
          </w:tcPr>
          <w:p w:rsidR="003C4035" w:rsidRPr="00D6284D" w:rsidRDefault="003C4035" w:rsidP="008835CD">
            <w:pPr>
              <w:jc w:val="center"/>
              <w:rPr>
                <w:b/>
                <w:bCs/>
                <w:sz w:val="18"/>
                <w:szCs w:val="18"/>
              </w:rPr>
            </w:pPr>
            <w:r w:rsidRPr="00D6284D">
              <w:rPr>
                <w:b/>
                <w:bCs/>
                <w:sz w:val="18"/>
                <w:szCs w:val="18"/>
              </w:rPr>
              <w:t>Prednisolone Acetate (n=170)</w:t>
            </w:r>
          </w:p>
        </w:tc>
      </w:tr>
      <w:tr w:rsidR="003C4035" w:rsidRPr="00D6284D" w:rsidTr="003C4035">
        <w:trPr>
          <w:trHeight w:val="240"/>
          <w:jc w:val="center"/>
        </w:trPr>
        <w:tc>
          <w:tcPr>
            <w:tcW w:w="2992" w:type="dxa"/>
            <w:tcBorders>
              <w:top w:val="single" w:sz="4" w:space="0" w:color="auto"/>
              <w:left w:val="single" w:sz="8" w:space="0" w:color="auto"/>
              <w:bottom w:val="single" w:sz="4" w:space="0" w:color="auto"/>
              <w:right w:val="single" w:sz="4" w:space="0" w:color="auto"/>
            </w:tcBorders>
            <w:shd w:val="clear" w:color="auto" w:fill="auto"/>
            <w:hideMark/>
          </w:tcPr>
          <w:p w:rsidR="003C4035" w:rsidRPr="00253E1B" w:rsidRDefault="003C4035" w:rsidP="008835CD">
            <w:pPr>
              <w:tabs>
                <w:tab w:val="left" w:pos="191"/>
              </w:tabs>
              <w:rPr>
                <w:rFonts w:eastAsia="Calibri"/>
                <w:b/>
                <w:i/>
                <w:sz w:val="18"/>
                <w:szCs w:val="18"/>
              </w:rPr>
            </w:pPr>
            <w:r>
              <w:rPr>
                <w:b/>
                <w:i/>
                <w:sz w:val="18"/>
                <w:szCs w:val="18"/>
              </w:rPr>
              <w:tab/>
            </w:r>
            <w:r w:rsidRPr="00EE1A16">
              <w:rPr>
                <w:rFonts w:eastAsia="Calibri"/>
                <w:b/>
                <w:i/>
                <w:sz w:val="18"/>
                <w:szCs w:val="18"/>
              </w:rPr>
              <w:t>Eye Disorders</w:t>
            </w:r>
          </w:p>
        </w:tc>
        <w:tc>
          <w:tcPr>
            <w:tcW w:w="992" w:type="dxa"/>
            <w:tcBorders>
              <w:top w:val="nil"/>
              <w:left w:val="nil"/>
              <w:bottom w:val="single" w:sz="4" w:space="0" w:color="auto"/>
              <w:right w:val="single" w:sz="4" w:space="0" w:color="auto"/>
            </w:tcBorders>
            <w:shd w:val="clear" w:color="auto" w:fill="auto"/>
            <w:hideMark/>
          </w:tcPr>
          <w:p w:rsidR="003C4035" w:rsidRPr="00253E1B" w:rsidRDefault="003C4035" w:rsidP="008835CD">
            <w:pPr>
              <w:jc w:val="right"/>
              <w:rPr>
                <w:bCs/>
                <w:sz w:val="18"/>
                <w:szCs w:val="18"/>
              </w:rPr>
            </w:pPr>
            <w:r w:rsidRPr="00D6284D">
              <w:rPr>
                <w:bCs/>
                <w:sz w:val="18"/>
                <w:szCs w:val="18"/>
              </w:rPr>
              <w:t>%</w:t>
            </w:r>
            <w:r w:rsidRPr="00253E1B">
              <w:rPr>
                <w:bCs/>
                <w:sz w:val="18"/>
                <w:szCs w:val="18"/>
              </w:rPr>
              <w:t> </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D6284D">
              <w:rPr>
                <w:bCs/>
                <w:sz w:val="18"/>
                <w:szCs w:val="18"/>
              </w:rPr>
              <w:t>%</w:t>
            </w:r>
            <w:r w:rsidRPr="00253E1B">
              <w:rPr>
                <w:bCs/>
                <w:sz w:val="18"/>
                <w:szCs w:val="18"/>
              </w:rPr>
              <w:t> </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D6284D">
              <w:rPr>
                <w:bCs/>
                <w:sz w:val="18"/>
                <w:szCs w:val="18"/>
              </w:rPr>
              <w:t>%</w:t>
            </w:r>
            <w:r w:rsidRPr="00253E1B">
              <w:rPr>
                <w:bCs/>
                <w:sz w:val="18"/>
                <w:szCs w:val="18"/>
              </w:rPr>
              <w:t> </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Abnormal vision</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15.4</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16.7</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21.2</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000000" w:fill="FFFFFF"/>
            <w:vAlign w:val="bottom"/>
            <w:hideMark/>
          </w:tcPr>
          <w:p w:rsidR="003C4035" w:rsidRPr="00253E1B" w:rsidRDefault="003C4035" w:rsidP="008835CD">
            <w:pPr>
              <w:rPr>
                <w:sz w:val="18"/>
                <w:szCs w:val="18"/>
              </w:rPr>
            </w:pPr>
            <w:r w:rsidRPr="00D6284D">
              <w:rPr>
                <w:sz w:val="18"/>
                <w:szCs w:val="18"/>
              </w:rPr>
              <w:t>IOP</w:t>
            </w:r>
            <w:r w:rsidRPr="00253E1B">
              <w:rPr>
                <w:sz w:val="18"/>
                <w:szCs w:val="18"/>
              </w:rPr>
              <w:t xml:space="preserve"> increased</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10.2</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3.4</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23.5</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Itching</w:t>
            </w:r>
            <w:r w:rsidRPr="00253E1B">
              <w:rPr>
                <w:sz w:val="18"/>
                <w:szCs w:val="18"/>
              </w:rPr>
              <w:t xml:space="preserve"> eye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9.0</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14.3</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4.7</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Photophobia</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7.6</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21.9</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Epiphora</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7.5</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15.5</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1.2</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Injection</w:t>
            </w:r>
            <w:r w:rsidRPr="00D6284D">
              <w:rPr>
                <w:sz w:val="18"/>
                <w:szCs w:val="18"/>
              </w:rPr>
              <w:t xml:space="preserve"> (pooled)</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6.4</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20.5</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 xml:space="preserve">Discomfort </w:t>
            </w:r>
            <w:r w:rsidRPr="00253E1B">
              <w:rPr>
                <w:sz w:val="18"/>
                <w:szCs w:val="18"/>
              </w:rPr>
              <w:t>eye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6.3</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10.9</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4.7</w:t>
            </w:r>
          </w:p>
        </w:tc>
      </w:tr>
      <w:tr w:rsidR="003C4035" w:rsidRPr="00D6284D" w:rsidTr="003C4035">
        <w:trPr>
          <w:trHeight w:val="19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Foreign body sensation</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6.1</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9.3</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Discharge</w:t>
            </w:r>
            <w:r w:rsidRPr="00253E1B">
              <w:rPr>
                <w:sz w:val="18"/>
                <w:szCs w:val="18"/>
              </w:rPr>
              <w:t xml:space="preserve"> eye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5.5</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8.2</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1.2</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Dry eye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4.4</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4.7</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Eye pain</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3.5</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11.1</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3.5</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Uveitis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2.7</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1.6</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2.4</w:t>
            </w:r>
          </w:p>
        </w:tc>
      </w:tr>
      <w:tr w:rsidR="003C4035" w:rsidRPr="00D6284D" w:rsidTr="003C4035">
        <w:trPr>
          <w:trHeight w:val="25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Cells</w:t>
            </w:r>
            <w:r w:rsidRPr="00253E1B">
              <w:rPr>
                <w:sz w:val="18"/>
                <w:szCs w:val="18"/>
              </w:rPr>
              <w:t xml:space="preserve"> anterior chamber</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2.6</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4.0</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68"/>
          <w:jc w:val="center"/>
        </w:trPr>
        <w:tc>
          <w:tcPr>
            <w:tcW w:w="2992" w:type="dxa"/>
            <w:tcBorders>
              <w:top w:val="nil"/>
              <w:left w:val="single" w:sz="8" w:space="0" w:color="auto"/>
              <w:bottom w:val="single" w:sz="4" w:space="0" w:color="auto"/>
              <w:right w:val="single" w:sz="4" w:space="0" w:color="auto"/>
            </w:tcBorders>
            <w:shd w:val="clear" w:color="000000" w:fill="FFFFFF"/>
            <w:hideMark/>
          </w:tcPr>
          <w:p w:rsidR="003C4035" w:rsidRPr="00253E1B" w:rsidRDefault="003C4035" w:rsidP="008835CD">
            <w:pPr>
              <w:rPr>
                <w:sz w:val="18"/>
                <w:szCs w:val="18"/>
              </w:rPr>
            </w:pPr>
            <w:r w:rsidRPr="00D6284D">
              <w:rPr>
                <w:sz w:val="18"/>
                <w:szCs w:val="18"/>
              </w:rPr>
              <w:t>Burning/stinging</w:t>
            </w:r>
            <w:r w:rsidRPr="00253E1B">
              <w:rPr>
                <w:sz w:val="18"/>
                <w:szCs w:val="18"/>
              </w:rPr>
              <w:t xml:space="preserve"> eye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bookmarkStart w:id="1" w:name="_GoBack"/>
            <w:bookmarkEnd w:id="1"/>
            <w:r w:rsidRPr="00253E1B">
              <w:rPr>
                <w:bCs/>
                <w:sz w:val="18"/>
                <w:szCs w:val="18"/>
              </w:rPr>
              <w:t>2.1</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Erythema</w:t>
            </w:r>
            <w:r w:rsidRPr="00253E1B">
              <w:rPr>
                <w:sz w:val="18"/>
                <w:szCs w:val="18"/>
              </w:rPr>
              <w:t xml:space="preserve"> eyelids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2.0</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6.4</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Keratic precipitate</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2.0</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2.9</w:t>
            </w:r>
          </w:p>
        </w:tc>
      </w:tr>
      <w:tr w:rsidR="003C4035" w:rsidRPr="00D6284D" w:rsidTr="003C4035">
        <w:trPr>
          <w:trHeight w:val="194"/>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Flare</w:t>
            </w:r>
            <w:r w:rsidRPr="00253E1B">
              <w:rPr>
                <w:sz w:val="18"/>
                <w:szCs w:val="18"/>
              </w:rPr>
              <w:t xml:space="preserve"> anterior chamber</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1.7</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4.6</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Papilla</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1.2</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3.6</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r>
      <w:tr w:rsidR="003C4035" w:rsidRPr="00D6284D" w:rsidTr="003C4035">
        <w:trPr>
          <w:trHeight w:val="158"/>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Inflammation</w:t>
            </w:r>
            <w:r w:rsidRPr="00253E1B">
              <w:rPr>
                <w:sz w:val="18"/>
                <w:szCs w:val="18"/>
              </w:rPr>
              <w:t xml:space="preserve"> anterior chamber</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1.2</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2.8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Ciliary flush</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1.1</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3.4</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3C4035">
        <w:trPr>
          <w:trHeight w:val="268"/>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Corneal abnormality</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1.1</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1.2</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Iritis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0.9</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1.6</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D6284D">
              <w:rPr>
                <w:sz w:val="18"/>
                <w:szCs w:val="18"/>
              </w:rPr>
              <w:t>V</w:t>
            </w:r>
            <w:r w:rsidRPr="00253E1B">
              <w:rPr>
                <w:sz w:val="18"/>
                <w:szCs w:val="18"/>
              </w:rPr>
              <w:t>ision, blurred</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0.9</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1.6</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Oedema, corneal</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0.8</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3.4</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Eye disorder</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0.8</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3C4035">
        <w:trPr>
          <w:trHeight w:val="27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Keratoconjunctivitis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0.8</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0.4</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r>
      <w:tr w:rsidR="003C4035" w:rsidRPr="00D6284D" w:rsidTr="003C4035">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t>Conjunctivitis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1.0</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0.0</w:t>
            </w:r>
          </w:p>
        </w:tc>
      </w:tr>
      <w:tr w:rsidR="003C4035" w:rsidRPr="00D6284D" w:rsidTr="00605246">
        <w:trPr>
          <w:trHeight w:val="240"/>
          <w:jc w:val="center"/>
        </w:trPr>
        <w:tc>
          <w:tcPr>
            <w:tcW w:w="2992" w:type="dxa"/>
            <w:tcBorders>
              <w:top w:val="nil"/>
              <w:left w:val="single" w:sz="8" w:space="0" w:color="auto"/>
              <w:bottom w:val="single" w:sz="4" w:space="0" w:color="auto"/>
              <w:right w:val="single" w:sz="4" w:space="0" w:color="auto"/>
            </w:tcBorders>
            <w:shd w:val="clear" w:color="auto" w:fill="auto"/>
            <w:hideMark/>
          </w:tcPr>
          <w:p w:rsidR="003C4035" w:rsidRPr="00253E1B" w:rsidRDefault="003C4035" w:rsidP="008835CD">
            <w:pPr>
              <w:rPr>
                <w:sz w:val="18"/>
                <w:szCs w:val="18"/>
              </w:rPr>
            </w:pPr>
            <w:r w:rsidRPr="00253E1B">
              <w:rPr>
                <w:sz w:val="18"/>
                <w:szCs w:val="18"/>
              </w:rPr>
              <w:lastRenderedPageBreak/>
              <w:t>Chemosis</w:t>
            </w:r>
          </w:p>
        </w:tc>
        <w:tc>
          <w:tcPr>
            <w:tcW w:w="992"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0.5</w:t>
            </w:r>
          </w:p>
        </w:tc>
        <w:tc>
          <w:tcPr>
            <w:tcW w:w="816" w:type="dxa"/>
            <w:tcBorders>
              <w:top w:val="nil"/>
              <w:left w:val="nil"/>
              <w:bottom w:val="single" w:sz="4" w:space="0" w:color="auto"/>
              <w:right w:val="single" w:sz="4"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1.8</w:t>
            </w:r>
          </w:p>
        </w:tc>
        <w:tc>
          <w:tcPr>
            <w:tcW w:w="1217" w:type="dxa"/>
            <w:tcBorders>
              <w:top w:val="nil"/>
              <w:left w:val="nil"/>
              <w:bottom w:val="single" w:sz="4" w:space="0" w:color="auto"/>
              <w:right w:val="single" w:sz="8" w:space="0" w:color="auto"/>
            </w:tcBorders>
            <w:shd w:val="clear" w:color="auto" w:fill="auto"/>
            <w:noWrap/>
            <w:vAlign w:val="bottom"/>
            <w:hideMark/>
          </w:tcPr>
          <w:p w:rsidR="003C4035" w:rsidRPr="00253E1B" w:rsidRDefault="003C4035" w:rsidP="008835CD">
            <w:pPr>
              <w:jc w:val="right"/>
              <w:rPr>
                <w:bCs/>
                <w:sz w:val="18"/>
                <w:szCs w:val="18"/>
              </w:rPr>
            </w:pPr>
            <w:r w:rsidRPr="00253E1B">
              <w:rPr>
                <w:bCs/>
                <w:sz w:val="18"/>
                <w:szCs w:val="18"/>
              </w:rPr>
              <w:t>0.6</w:t>
            </w:r>
          </w:p>
        </w:tc>
      </w:tr>
      <w:tr w:rsidR="003C4035" w:rsidRPr="00D6284D" w:rsidTr="00605246">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4035" w:rsidRPr="00253E1B" w:rsidRDefault="003C4035" w:rsidP="008835CD">
            <w:pPr>
              <w:rPr>
                <w:sz w:val="18"/>
                <w:szCs w:val="18"/>
              </w:rPr>
            </w:pPr>
            <w:r w:rsidRPr="00253E1B">
              <w:rPr>
                <w:sz w:val="18"/>
                <w:szCs w:val="18"/>
              </w:rPr>
              <w:t>Papillae increased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C4035" w:rsidRPr="00CB496C" w:rsidRDefault="003C4035" w:rsidP="008835CD">
            <w:pPr>
              <w:jc w:val="right"/>
              <w:rPr>
                <w:bCs/>
                <w:sz w:val="18"/>
                <w:szCs w:val="18"/>
              </w:rPr>
            </w:pPr>
            <w:r w:rsidRPr="00CB496C">
              <w:rPr>
                <w:bCs/>
                <w:sz w:val="18"/>
                <w:szCs w:val="18"/>
              </w:rPr>
              <w:t>0.5</w:t>
            </w:r>
          </w:p>
        </w:tc>
        <w:tc>
          <w:tcPr>
            <w:tcW w:w="816" w:type="dxa"/>
            <w:tcBorders>
              <w:top w:val="single" w:sz="4" w:space="0" w:color="auto"/>
              <w:left w:val="nil"/>
              <w:bottom w:val="single" w:sz="4" w:space="0" w:color="auto"/>
              <w:right w:val="single" w:sz="4" w:space="0" w:color="auto"/>
            </w:tcBorders>
            <w:shd w:val="clear" w:color="000000" w:fill="auto"/>
            <w:noWrap/>
            <w:vAlign w:val="bottom"/>
            <w:hideMark/>
          </w:tcPr>
          <w:p w:rsidR="003C4035" w:rsidRPr="00605246" w:rsidRDefault="003C4035" w:rsidP="008835CD">
            <w:pPr>
              <w:jc w:val="right"/>
              <w:rPr>
                <w:bCs/>
                <w:sz w:val="18"/>
                <w:szCs w:val="18"/>
              </w:rPr>
            </w:pPr>
            <w:r w:rsidRPr="00605246">
              <w:rPr>
                <w:bCs/>
                <w:sz w:val="18"/>
                <w:szCs w:val="18"/>
              </w:rPr>
              <w:t>1.2</w:t>
            </w:r>
          </w:p>
        </w:tc>
        <w:tc>
          <w:tcPr>
            <w:tcW w:w="1217" w:type="dxa"/>
            <w:tcBorders>
              <w:top w:val="single" w:sz="4" w:space="0" w:color="auto"/>
              <w:left w:val="nil"/>
              <w:bottom w:val="single" w:sz="4" w:space="0" w:color="auto"/>
              <w:right w:val="single" w:sz="8" w:space="0" w:color="auto"/>
            </w:tcBorders>
            <w:shd w:val="clear" w:color="auto" w:fill="auto"/>
            <w:noWrap/>
            <w:vAlign w:val="bottom"/>
            <w:hideMark/>
          </w:tcPr>
          <w:p w:rsidR="003C4035" w:rsidRPr="002C699B" w:rsidRDefault="003C4035" w:rsidP="008835CD">
            <w:pPr>
              <w:jc w:val="right"/>
              <w:rPr>
                <w:bCs/>
                <w:sz w:val="18"/>
                <w:szCs w:val="18"/>
              </w:rPr>
            </w:pPr>
            <w:r w:rsidRPr="002C699B">
              <w:rPr>
                <w:bCs/>
                <w:sz w:val="18"/>
                <w:szCs w:val="18"/>
              </w:rPr>
              <w:t>0.0</w:t>
            </w:r>
          </w:p>
        </w:tc>
      </w:tr>
      <w:tr w:rsidR="003C4035" w:rsidRPr="00D6284D" w:rsidTr="00605246">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3C4035" w:rsidRPr="00D6284D" w:rsidRDefault="003C4035" w:rsidP="008835CD">
            <w:pPr>
              <w:tabs>
                <w:tab w:val="left" w:pos="191"/>
              </w:tabs>
              <w:rPr>
                <w:b/>
                <w:i/>
                <w:sz w:val="18"/>
                <w:szCs w:val="18"/>
              </w:rPr>
            </w:pPr>
            <w:r>
              <w:rPr>
                <w:b/>
                <w:i/>
                <w:sz w:val="18"/>
                <w:szCs w:val="18"/>
              </w:rPr>
              <w:tab/>
            </w:r>
            <w:r w:rsidRPr="00D6284D">
              <w:rPr>
                <w:b/>
                <w:i/>
                <w:sz w:val="18"/>
                <w:szCs w:val="18"/>
              </w:rPr>
              <w:t>Nervous System Disorder</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C4035" w:rsidRPr="00CB496C" w:rsidRDefault="003C4035" w:rsidP="008835CD">
            <w:pPr>
              <w:jc w:val="right"/>
              <w:rPr>
                <w:bCs/>
                <w:sz w:val="18"/>
                <w:szCs w:val="18"/>
              </w:rPr>
            </w:pP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3C4035" w:rsidRPr="00605246" w:rsidRDefault="003C4035" w:rsidP="008835CD">
            <w:pPr>
              <w:jc w:val="right"/>
              <w:rPr>
                <w:bCs/>
                <w:sz w:val="18"/>
                <w:szCs w:val="18"/>
              </w:rPr>
            </w:pP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3C4035" w:rsidRPr="002C699B" w:rsidRDefault="003C4035" w:rsidP="008835CD">
            <w:pPr>
              <w:jc w:val="right"/>
              <w:rPr>
                <w:bCs/>
                <w:sz w:val="18"/>
                <w:szCs w:val="18"/>
              </w:rPr>
            </w:pPr>
          </w:p>
        </w:tc>
      </w:tr>
      <w:tr w:rsidR="003C4035" w:rsidRPr="00D6284D" w:rsidTr="00605246">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3C4035" w:rsidRPr="00D6284D" w:rsidRDefault="003C4035" w:rsidP="008835CD">
            <w:pPr>
              <w:rPr>
                <w:sz w:val="18"/>
                <w:szCs w:val="18"/>
              </w:rPr>
            </w:pPr>
            <w:r w:rsidRPr="00D6284D">
              <w:rPr>
                <w:sz w:val="18"/>
                <w:szCs w:val="18"/>
              </w:rPr>
              <w:t>Headache</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C4035" w:rsidRPr="00CB496C" w:rsidRDefault="003C4035" w:rsidP="008835CD">
            <w:pPr>
              <w:jc w:val="right"/>
              <w:rPr>
                <w:bCs/>
                <w:sz w:val="18"/>
                <w:szCs w:val="18"/>
              </w:rPr>
            </w:pPr>
            <w:r w:rsidRPr="00CB496C">
              <w:rPr>
                <w:bCs/>
                <w:sz w:val="18"/>
                <w:szCs w:val="18"/>
              </w:rPr>
              <w:t>7.6</w:t>
            </w: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3C4035" w:rsidRPr="00605246" w:rsidRDefault="003C4035" w:rsidP="008835CD">
            <w:pPr>
              <w:jc w:val="right"/>
              <w:rPr>
                <w:bCs/>
                <w:sz w:val="18"/>
                <w:szCs w:val="18"/>
              </w:rPr>
            </w:pPr>
            <w:r w:rsidRPr="00605246">
              <w:rPr>
                <w:bCs/>
                <w:sz w:val="18"/>
                <w:szCs w:val="18"/>
              </w:rPr>
              <w:t>12.5</w:t>
            </w: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3C4035" w:rsidRPr="002C699B" w:rsidRDefault="003C4035" w:rsidP="008835CD">
            <w:pPr>
              <w:jc w:val="right"/>
              <w:rPr>
                <w:bCs/>
                <w:sz w:val="18"/>
                <w:szCs w:val="18"/>
              </w:rPr>
            </w:pPr>
            <w:r w:rsidRPr="002C699B">
              <w:rPr>
                <w:bCs/>
                <w:sz w:val="18"/>
                <w:szCs w:val="18"/>
              </w:rPr>
              <w:t>4.7</w:t>
            </w:r>
          </w:p>
        </w:tc>
      </w:tr>
      <w:tr w:rsidR="003C4035" w:rsidRPr="00D6284D" w:rsidTr="00605246">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3C4035" w:rsidRPr="00D6284D" w:rsidRDefault="003C4035" w:rsidP="008835CD">
            <w:pPr>
              <w:tabs>
                <w:tab w:val="left" w:pos="191"/>
              </w:tabs>
              <w:rPr>
                <w:b/>
                <w:i/>
                <w:sz w:val="18"/>
                <w:szCs w:val="18"/>
              </w:rPr>
            </w:pPr>
            <w:r>
              <w:rPr>
                <w:b/>
                <w:i/>
                <w:sz w:val="18"/>
                <w:szCs w:val="18"/>
              </w:rPr>
              <w:tab/>
            </w:r>
            <w:r w:rsidRPr="00D6284D">
              <w:rPr>
                <w:b/>
                <w:i/>
                <w:sz w:val="18"/>
                <w:szCs w:val="18"/>
              </w:rPr>
              <w:t>Infections and Infestations</w:t>
            </w:r>
          </w:p>
        </w:tc>
        <w:tc>
          <w:tcPr>
            <w:tcW w:w="992" w:type="dxa"/>
            <w:tcBorders>
              <w:top w:val="single" w:sz="4" w:space="0" w:color="auto"/>
              <w:left w:val="nil"/>
              <w:bottom w:val="single" w:sz="4" w:space="0" w:color="auto"/>
              <w:right w:val="single" w:sz="4" w:space="0" w:color="auto"/>
            </w:tcBorders>
            <w:shd w:val="clear" w:color="auto" w:fill="auto"/>
            <w:noWrap/>
          </w:tcPr>
          <w:p w:rsidR="003C4035" w:rsidRPr="00CB496C" w:rsidRDefault="003C4035" w:rsidP="008835CD">
            <w:pPr>
              <w:jc w:val="right"/>
              <w:rPr>
                <w:bCs/>
                <w:sz w:val="18"/>
                <w:szCs w:val="18"/>
              </w:rPr>
            </w:pPr>
          </w:p>
        </w:tc>
        <w:tc>
          <w:tcPr>
            <w:tcW w:w="816" w:type="dxa"/>
            <w:tcBorders>
              <w:top w:val="single" w:sz="4" w:space="0" w:color="auto"/>
              <w:left w:val="nil"/>
              <w:bottom w:val="single" w:sz="4" w:space="0" w:color="auto"/>
              <w:right w:val="single" w:sz="4" w:space="0" w:color="auto"/>
            </w:tcBorders>
            <w:shd w:val="clear" w:color="000000" w:fill="auto"/>
            <w:noWrap/>
          </w:tcPr>
          <w:p w:rsidR="003C4035" w:rsidRPr="00605246" w:rsidRDefault="003C4035" w:rsidP="008835CD">
            <w:pPr>
              <w:jc w:val="right"/>
              <w:rPr>
                <w:bCs/>
                <w:sz w:val="18"/>
                <w:szCs w:val="18"/>
              </w:rPr>
            </w:pPr>
          </w:p>
        </w:tc>
        <w:tc>
          <w:tcPr>
            <w:tcW w:w="1217" w:type="dxa"/>
            <w:tcBorders>
              <w:top w:val="single" w:sz="4" w:space="0" w:color="auto"/>
              <w:left w:val="nil"/>
              <w:bottom w:val="single" w:sz="4" w:space="0" w:color="auto"/>
              <w:right w:val="single" w:sz="8" w:space="0" w:color="auto"/>
            </w:tcBorders>
            <w:shd w:val="clear" w:color="auto" w:fill="auto"/>
            <w:noWrap/>
          </w:tcPr>
          <w:p w:rsidR="003C4035" w:rsidRPr="002C699B" w:rsidRDefault="003C4035" w:rsidP="008835CD">
            <w:pPr>
              <w:jc w:val="right"/>
              <w:rPr>
                <w:bCs/>
                <w:sz w:val="18"/>
                <w:szCs w:val="18"/>
              </w:rPr>
            </w:pPr>
          </w:p>
        </w:tc>
      </w:tr>
      <w:tr w:rsidR="003C4035" w:rsidRPr="00D6284D" w:rsidTr="00DB71C1">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3C4035" w:rsidRPr="00D6284D" w:rsidRDefault="003C4035" w:rsidP="008835CD">
            <w:pPr>
              <w:rPr>
                <w:sz w:val="18"/>
                <w:szCs w:val="18"/>
              </w:rPr>
            </w:pPr>
            <w:r w:rsidRPr="00D6284D">
              <w:rPr>
                <w:sz w:val="18"/>
                <w:szCs w:val="18"/>
              </w:rPr>
              <w:t>Infections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C4035" w:rsidRPr="00CB496C" w:rsidRDefault="003C4035" w:rsidP="00B47E03">
            <w:pPr>
              <w:jc w:val="right"/>
              <w:rPr>
                <w:sz w:val="18"/>
                <w:szCs w:val="18"/>
              </w:rPr>
            </w:pPr>
            <w:r w:rsidRPr="00CB496C">
              <w:rPr>
                <w:sz w:val="18"/>
                <w:szCs w:val="18"/>
              </w:rPr>
              <w:t>2.0</w:t>
            </w: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3C4035" w:rsidRPr="00605246" w:rsidRDefault="003C4035" w:rsidP="00D00CDB">
            <w:pPr>
              <w:jc w:val="right"/>
              <w:rPr>
                <w:sz w:val="18"/>
                <w:szCs w:val="18"/>
              </w:rPr>
            </w:pPr>
            <w:r w:rsidRPr="00605246">
              <w:rPr>
                <w:sz w:val="18"/>
                <w:szCs w:val="18"/>
              </w:rPr>
              <w:t>2.4</w:t>
            </w: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3C4035" w:rsidRPr="002C699B" w:rsidRDefault="003C4035" w:rsidP="00942547">
            <w:pPr>
              <w:jc w:val="right"/>
              <w:rPr>
                <w:sz w:val="18"/>
                <w:szCs w:val="18"/>
              </w:rPr>
            </w:pPr>
            <w:r w:rsidRPr="002C699B">
              <w:rPr>
                <w:sz w:val="18"/>
                <w:szCs w:val="18"/>
              </w:rPr>
              <w:t>0.6</w:t>
            </w:r>
          </w:p>
        </w:tc>
      </w:tr>
      <w:tr w:rsidR="001041F9" w:rsidRPr="00D6284D" w:rsidTr="00DB71C1">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1041F9" w:rsidRDefault="001041F9" w:rsidP="00605246">
            <w:pPr>
              <w:tabs>
                <w:tab w:val="left" w:pos="138"/>
              </w:tabs>
              <w:rPr>
                <w:b/>
                <w:i/>
                <w:sz w:val="18"/>
                <w:szCs w:val="18"/>
              </w:rPr>
            </w:pPr>
            <w:r>
              <w:rPr>
                <w:b/>
                <w:i/>
                <w:sz w:val="18"/>
                <w:szCs w:val="18"/>
              </w:rPr>
              <w:tab/>
              <w:t>Respiratory, thoracic and mediastinal disorders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41F9" w:rsidRPr="00CB496C" w:rsidRDefault="001041F9" w:rsidP="00B47E03">
            <w:pPr>
              <w:jc w:val="right"/>
              <w:rPr>
                <w:sz w:val="18"/>
                <w:szCs w:val="18"/>
              </w:rPr>
            </w:pP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1041F9" w:rsidRPr="00605246" w:rsidRDefault="001041F9" w:rsidP="00D00CDB">
            <w:pPr>
              <w:jc w:val="right"/>
              <w:rPr>
                <w:sz w:val="18"/>
                <w:szCs w:val="18"/>
              </w:rPr>
            </w:pP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1041F9" w:rsidRPr="002C699B" w:rsidRDefault="001041F9" w:rsidP="00942547">
            <w:pPr>
              <w:jc w:val="right"/>
              <w:rPr>
                <w:sz w:val="18"/>
                <w:szCs w:val="18"/>
              </w:rPr>
            </w:pPr>
          </w:p>
        </w:tc>
      </w:tr>
      <w:tr w:rsidR="001041F9" w:rsidRPr="00D6284D" w:rsidTr="00DB71C1">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1041F9" w:rsidRDefault="001041F9" w:rsidP="00605246">
            <w:pPr>
              <w:tabs>
                <w:tab w:val="left" w:pos="138"/>
              </w:tabs>
              <w:rPr>
                <w:b/>
                <w:i/>
                <w:sz w:val="18"/>
                <w:szCs w:val="18"/>
              </w:rPr>
            </w:pPr>
            <w:r>
              <w:rPr>
                <w:sz w:val="18"/>
                <w:szCs w:val="18"/>
              </w:rPr>
              <w:t>Rhinitis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41F9" w:rsidRPr="00CB496C" w:rsidRDefault="001041F9" w:rsidP="00B47E03">
            <w:pPr>
              <w:jc w:val="right"/>
              <w:rPr>
                <w:sz w:val="18"/>
                <w:szCs w:val="18"/>
              </w:rPr>
            </w:pPr>
            <w:r>
              <w:rPr>
                <w:sz w:val="18"/>
                <w:szCs w:val="18"/>
              </w:rPr>
              <w:t>0.9</w:t>
            </w: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1041F9" w:rsidRPr="00605246" w:rsidRDefault="001041F9" w:rsidP="00D00CDB">
            <w:pPr>
              <w:jc w:val="right"/>
              <w:rPr>
                <w:sz w:val="18"/>
                <w:szCs w:val="18"/>
              </w:rPr>
            </w:pPr>
            <w:r>
              <w:rPr>
                <w:sz w:val="18"/>
                <w:szCs w:val="18"/>
              </w:rPr>
              <w:t>1.0</w:t>
            </w: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1041F9" w:rsidRPr="002C699B" w:rsidRDefault="001041F9" w:rsidP="00942547">
            <w:pPr>
              <w:jc w:val="right"/>
              <w:rPr>
                <w:sz w:val="18"/>
                <w:szCs w:val="18"/>
              </w:rPr>
            </w:pPr>
            <w:r w:rsidRPr="00605246">
              <w:rPr>
                <w:sz w:val="18"/>
                <w:szCs w:val="18"/>
              </w:rPr>
              <w:t>1.8</w:t>
            </w:r>
          </w:p>
        </w:tc>
      </w:tr>
      <w:tr w:rsidR="001041F9" w:rsidRPr="00D6284D" w:rsidTr="00DB71C1">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1041F9" w:rsidRDefault="001041F9" w:rsidP="00605246">
            <w:pPr>
              <w:tabs>
                <w:tab w:val="left" w:pos="138"/>
              </w:tabs>
              <w:rPr>
                <w:b/>
                <w:i/>
                <w:sz w:val="18"/>
                <w:szCs w:val="18"/>
              </w:rPr>
            </w:pPr>
            <w:r>
              <w:rPr>
                <w:b/>
                <w:i/>
                <w:sz w:val="18"/>
                <w:szCs w:val="18"/>
              </w:rPr>
              <w:tab/>
              <w:t>Immune System Disorder</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41F9" w:rsidRPr="00CB496C" w:rsidRDefault="001041F9" w:rsidP="00B47E03">
            <w:pPr>
              <w:jc w:val="right"/>
              <w:rPr>
                <w:sz w:val="18"/>
                <w:szCs w:val="18"/>
              </w:rPr>
            </w:pP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1041F9" w:rsidRPr="00605246" w:rsidRDefault="001041F9" w:rsidP="00D00CDB">
            <w:pPr>
              <w:jc w:val="right"/>
              <w:rPr>
                <w:sz w:val="18"/>
                <w:szCs w:val="18"/>
              </w:rPr>
            </w:pP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1041F9" w:rsidRPr="002C699B" w:rsidRDefault="001041F9" w:rsidP="00942547">
            <w:pPr>
              <w:jc w:val="right"/>
              <w:rPr>
                <w:sz w:val="18"/>
                <w:szCs w:val="18"/>
              </w:rPr>
            </w:pPr>
          </w:p>
        </w:tc>
      </w:tr>
      <w:tr w:rsidR="001041F9" w:rsidRPr="00D6284D" w:rsidTr="00DB71C1">
        <w:trPr>
          <w:trHeight w:val="240"/>
          <w:jc w:val="center"/>
        </w:trPr>
        <w:tc>
          <w:tcPr>
            <w:tcW w:w="2992" w:type="dxa"/>
            <w:tcBorders>
              <w:top w:val="single" w:sz="4" w:space="0" w:color="auto"/>
              <w:left w:val="single" w:sz="4" w:space="0" w:color="auto"/>
              <w:bottom w:val="single" w:sz="4" w:space="0" w:color="auto"/>
              <w:right w:val="single" w:sz="4" w:space="0" w:color="auto"/>
            </w:tcBorders>
            <w:shd w:val="clear" w:color="auto" w:fill="auto"/>
          </w:tcPr>
          <w:p w:rsidR="001041F9" w:rsidRDefault="001041F9" w:rsidP="00605246">
            <w:pPr>
              <w:tabs>
                <w:tab w:val="left" w:pos="138"/>
              </w:tabs>
              <w:rPr>
                <w:b/>
                <w:i/>
                <w:sz w:val="18"/>
                <w:szCs w:val="18"/>
              </w:rPr>
            </w:pPr>
            <w:r>
              <w:rPr>
                <w:sz w:val="18"/>
                <w:szCs w:val="18"/>
              </w:rPr>
              <w:t>Allergic reaction</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041F9" w:rsidRPr="00CB496C" w:rsidRDefault="001041F9" w:rsidP="00B47E03">
            <w:pPr>
              <w:jc w:val="right"/>
              <w:rPr>
                <w:sz w:val="18"/>
                <w:szCs w:val="18"/>
              </w:rPr>
            </w:pPr>
            <w:r>
              <w:rPr>
                <w:sz w:val="18"/>
                <w:szCs w:val="18"/>
              </w:rPr>
              <w:t>0.8</w:t>
            </w:r>
          </w:p>
        </w:tc>
        <w:tc>
          <w:tcPr>
            <w:tcW w:w="816" w:type="dxa"/>
            <w:tcBorders>
              <w:top w:val="single" w:sz="4" w:space="0" w:color="auto"/>
              <w:left w:val="nil"/>
              <w:bottom w:val="single" w:sz="4" w:space="0" w:color="auto"/>
              <w:right w:val="single" w:sz="4" w:space="0" w:color="auto"/>
            </w:tcBorders>
            <w:shd w:val="clear" w:color="000000" w:fill="auto"/>
            <w:noWrap/>
            <w:vAlign w:val="bottom"/>
          </w:tcPr>
          <w:p w:rsidR="001041F9" w:rsidRPr="00605246" w:rsidRDefault="001041F9" w:rsidP="00D00CDB">
            <w:pPr>
              <w:jc w:val="right"/>
              <w:rPr>
                <w:sz w:val="18"/>
                <w:szCs w:val="18"/>
              </w:rPr>
            </w:pPr>
            <w:r>
              <w:rPr>
                <w:sz w:val="18"/>
                <w:szCs w:val="18"/>
              </w:rPr>
              <w:t>2.6</w:t>
            </w:r>
          </w:p>
        </w:tc>
        <w:tc>
          <w:tcPr>
            <w:tcW w:w="1217" w:type="dxa"/>
            <w:tcBorders>
              <w:top w:val="single" w:sz="4" w:space="0" w:color="auto"/>
              <w:left w:val="nil"/>
              <w:bottom w:val="single" w:sz="4" w:space="0" w:color="auto"/>
              <w:right w:val="single" w:sz="8" w:space="0" w:color="auto"/>
            </w:tcBorders>
            <w:shd w:val="clear" w:color="auto" w:fill="auto"/>
            <w:noWrap/>
            <w:vAlign w:val="bottom"/>
          </w:tcPr>
          <w:p w:rsidR="001041F9" w:rsidRPr="002C699B" w:rsidRDefault="001041F9" w:rsidP="00942547">
            <w:pPr>
              <w:jc w:val="right"/>
              <w:rPr>
                <w:sz w:val="18"/>
                <w:szCs w:val="18"/>
              </w:rPr>
            </w:pPr>
            <w:r>
              <w:rPr>
                <w:sz w:val="18"/>
                <w:szCs w:val="18"/>
              </w:rPr>
              <w:t>0.6</w:t>
            </w:r>
          </w:p>
        </w:tc>
      </w:tr>
    </w:tbl>
    <w:p w:rsidR="003C4035" w:rsidRDefault="003C4035" w:rsidP="00605246">
      <w:pPr>
        <w:tabs>
          <w:tab w:val="left" w:pos="1985"/>
        </w:tabs>
        <w:autoSpaceDE w:val="0"/>
        <w:autoSpaceDN w:val="0"/>
        <w:adjustRightInd w:val="0"/>
        <w:jc w:val="both"/>
        <w:rPr>
          <w:rFonts w:cs="BauschlombRegCond"/>
          <w:sz w:val="24"/>
          <w:szCs w:val="24"/>
        </w:rPr>
      </w:pPr>
    </w:p>
    <w:p w:rsidR="00E374C7" w:rsidRDefault="00E374C7" w:rsidP="0090456F">
      <w:pPr>
        <w:autoSpaceDE w:val="0"/>
        <w:autoSpaceDN w:val="0"/>
        <w:adjustRightInd w:val="0"/>
        <w:jc w:val="both"/>
        <w:rPr>
          <w:rFonts w:cs="BauschlombRegCond"/>
          <w:sz w:val="24"/>
          <w:szCs w:val="24"/>
        </w:rPr>
      </w:pPr>
    </w:p>
    <w:p w:rsidR="00E374C7" w:rsidRPr="00605246" w:rsidRDefault="00E374C7" w:rsidP="00605246">
      <w:pPr>
        <w:jc w:val="both"/>
        <w:rPr>
          <w:sz w:val="24"/>
          <w:szCs w:val="24"/>
        </w:rPr>
      </w:pPr>
      <w:r w:rsidRPr="00605246">
        <w:rPr>
          <w:sz w:val="24"/>
          <w:szCs w:val="24"/>
        </w:rPr>
        <w:t>Uncommon ocular adverse events (occurring ≥</w:t>
      </w:r>
      <w:r w:rsidR="00DE3A3C">
        <w:rPr>
          <w:sz w:val="24"/>
          <w:szCs w:val="24"/>
        </w:rPr>
        <w:t xml:space="preserve"> </w:t>
      </w:r>
      <w:r w:rsidRPr="00605246">
        <w:rPr>
          <w:sz w:val="24"/>
          <w:szCs w:val="24"/>
        </w:rPr>
        <w:t>0.1% to ≤</w:t>
      </w:r>
      <w:r w:rsidR="00DE3A3C">
        <w:rPr>
          <w:sz w:val="24"/>
          <w:szCs w:val="24"/>
        </w:rPr>
        <w:t xml:space="preserve"> </w:t>
      </w:r>
      <w:r w:rsidRPr="00605246">
        <w:rPr>
          <w:sz w:val="24"/>
          <w:szCs w:val="24"/>
        </w:rPr>
        <w:t xml:space="preserve">1% of subjects) included </w:t>
      </w:r>
      <w:r w:rsidR="00E316F0" w:rsidRPr="00605246">
        <w:rPr>
          <w:sz w:val="24"/>
          <w:szCs w:val="24"/>
        </w:rPr>
        <w:t xml:space="preserve">iritis, vision blurred, lacrimation disorder, corneal oedema, eye disorder, keratoconjunctivitis, conjunctivitis, corneal lesion, eyelid abnormality, tearing, chemosis, papillae increased, macular oedema, </w:t>
      </w:r>
      <w:r w:rsidR="009A0317" w:rsidRPr="00605246">
        <w:rPr>
          <w:sz w:val="24"/>
          <w:szCs w:val="24"/>
        </w:rPr>
        <w:t xml:space="preserve">keratitis, mucus, redness, </w:t>
      </w:r>
      <w:r w:rsidR="00E316F0" w:rsidRPr="00605246">
        <w:rPr>
          <w:sz w:val="24"/>
          <w:szCs w:val="24"/>
        </w:rPr>
        <w:t>contact le</w:t>
      </w:r>
      <w:r w:rsidR="009A0317" w:rsidRPr="00605246">
        <w:rPr>
          <w:sz w:val="24"/>
          <w:szCs w:val="24"/>
        </w:rPr>
        <w:t>ns intolerance, irritation eye,</w:t>
      </w:r>
      <w:r w:rsidR="00E316F0" w:rsidRPr="00605246">
        <w:rPr>
          <w:sz w:val="24"/>
          <w:szCs w:val="24"/>
        </w:rPr>
        <w:t xml:space="preserve"> synechia anterior chamber, vitreous disorder, </w:t>
      </w:r>
      <w:r w:rsidR="009A0317" w:rsidRPr="00605246">
        <w:rPr>
          <w:sz w:val="24"/>
          <w:szCs w:val="24"/>
        </w:rPr>
        <w:t>sticky eyes</w:t>
      </w:r>
      <w:r w:rsidR="00E316F0" w:rsidRPr="00605246">
        <w:rPr>
          <w:sz w:val="24"/>
          <w:szCs w:val="24"/>
        </w:rPr>
        <w:t>,</w:t>
      </w:r>
      <w:r w:rsidR="009A0317" w:rsidRPr="00605246">
        <w:rPr>
          <w:sz w:val="24"/>
          <w:szCs w:val="24"/>
        </w:rPr>
        <w:t xml:space="preserve"> hyphaema,</w:t>
      </w:r>
      <w:r w:rsidR="00E316F0" w:rsidRPr="00605246">
        <w:rPr>
          <w:sz w:val="24"/>
          <w:szCs w:val="24"/>
        </w:rPr>
        <w:t xml:space="preserve"> </w:t>
      </w:r>
      <w:r w:rsidR="009A0317" w:rsidRPr="00605246">
        <w:rPr>
          <w:sz w:val="24"/>
          <w:szCs w:val="24"/>
        </w:rPr>
        <w:t xml:space="preserve">limbal staining, </w:t>
      </w:r>
      <w:r w:rsidR="00E316F0" w:rsidRPr="00605246">
        <w:rPr>
          <w:sz w:val="24"/>
          <w:szCs w:val="24"/>
        </w:rPr>
        <w:t xml:space="preserve">accommodation abnormality, conjunctival hemorrhage, mydriasis, </w:t>
      </w:r>
      <w:r w:rsidR="009A0317" w:rsidRPr="00605246">
        <w:rPr>
          <w:sz w:val="24"/>
          <w:szCs w:val="24"/>
        </w:rPr>
        <w:t xml:space="preserve">amblyopia,  </w:t>
      </w:r>
      <w:r w:rsidR="00E316F0" w:rsidRPr="00605246">
        <w:rPr>
          <w:sz w:val="24"/>
          <w:szCs w:val="24"/>
        </w:rPr>
        <w:t xml:space="preserve">ophthalmitis, papilledema, vasculitis, vitreous strands, vitritis, fluorescein staining, swollen tear duct, corneal abrasion, tired and puffy eyes. </w:t>
      </w:r>
      <w:r w:rsidRPr="00605246">
        <w:rPr>
          <w:sz w:val="24"/>
          <w:szCs w:val="24"/>
        </w:rPr>
        <w:t xml:space="preserve"> </w:t>
      </w:r>
    </w:p>
    <w:p w:rsidR="00913357" w:rsidRPr="00605246" w:rsidRDefault="00913357" w:rsidP="00CB496C">
      <w:pPr>
        <w:autoSpaceDE w:val="0"/>
        <w:autoSpaceDN w:val="0"/>
        <w:adjustRightInd w:val="0"/>
        <w:jc w:val="both"/>
        <w:rPr>
          <w:sz w:val="24"/>
          <w:szCs w:val="24"/>
        </w:rPr>
      </w:pPr>
    </w:p>
    <w:p w:rsidR="00E374C7" w:rsidRPr="00605246" w:rsidRDefault="00E374C7" w:rsidP="00CB496C">
      <w:pPr>
        <w:autoSpaceDE w:val="0"/>
        <w:autoSpaceDN w:val="0"/>
        <w:adjustRightInd w:val="0"/>
        <w:jc w:val="both"/>
        <w:rPr>
          <w:sz w:val="24"/>
          <w:szCs w:val="24"/>
        </w:rPr>
      </w:pPr>
      <w:r w:rsidRPr="00942547">
        <w:rPr>
          <w:sz w:val="24"/>
          <w:szCs w:val="24"/>
        </w:rPr>
        <w:t xml:space="preserve">Uncommon non-ocular adverse events included </w:t>
      </w:r>
      <w:r w:rsidR="001041F9" w:rsidRPr="00942547">
        <w:rPr>
          <w:sz w:val="24"/>
          <w:szCs w:val="24"/>
        </w:rPr>
        <w:t xml:space="preserve">rhinitis, </w:t>
      </w:r>
      <w:r w:rsidR="00B47E03" w:rsidRPr="00942547">
        <w:rPr>
          <w:sz w:val="24"/>
          <w:szCs w:val="24"/>
        </w:rPr>
        <w:t xml:space="preserve">pharyngitis, </w:t>
      </w:r>
      <w:r w:rsidR="001041F9" w:rsidRPr="00942547">
        <w:rPr>
          <w:sz w:val="24"/>
          <w:szCs w:val="24"/>
        </w:rPr>
        <w:t xml:space="preserve">allergic reaction, </w:t>
      </w:r>
      <w:r w:rsidRPr="00942547">
        <w:rPr>
          <w:sz w:val="24"/>
          <w:szCs w:val="24"/>
        </w:rPr>
        <w:t>migraine, facial edema, fever, gastritis, nausea and vomiting.</w:t>
      </w:r>
      <w:r w:rsidRPr="00605246">
        <w:rPr>
          <w:sz w:val="24"/>
          <w:szCs w:val="24"/>
        </w:rPr>
        <w:t xml:space="preserve">  </w:t>
      </w:r>
    </w:p>
    <w:p w:rsidR="002151C8" w:rsidRDefault="002151C8" w:rsidP="0090456F">
      <w:pPr>
        <w:autoSpaceDE w:val="0"/>
        <w:autoSpaceDN w:val="0"/>
        <w:adjustRightInd w:val="0"/>
        <w:jc w:val="both"/>
        <w:rPr>
          <w:rFonts w:cs="BauschlombRegCond"/>
          <w:sz w:val="24"/>
          <w:szCs w:val="24"/>
        </w:rPr>
      </w:pPr>
    </w:p>
    <w:p w:rsidR="001B6247" w:rsidRDefault="001B6247" w:rsidP="002151C8">
      <w:pPr>
        <w:autoSpaceDE w:val="0"/>
        <w:autoSpaceDN w:val="0"/>
        <w:adjustRightInd w:val="0"/>
        <w:jc w:val="both"/>
        <w:rPr>
          <w:color w:val="000000"/>
          <w:sz w:val="24"/>
          <w:szCs w:val="24"/>
          <w:lang w:eastAsia="en-AU"/>
        </w:rPr>
      </w:pPr>
      <w:r>
        <w:rPr>
          <w:color w:val="000000"/>
          <w:sz w:val="24"/>
          <w:szCs w:val="24"/>
          <w:lang w:eastAsia="en-AU"/>
        </w:rPr>
        <w:t>In controlled randomised studies of patients treated for 28 days or longer with loteprednol etabonate, the percentage of patients with an increase in intraocular pressure greater than 10 mm Hg was 2% (15/901) for loteprednol etabonate, 7% (11/164) for 1% prednisolone acetate, and 0.5% (3/583) for placebo.</w:t>
      </w:r>
    </w:p>
    <w:p w:rsidR="00913357" w:rsidRDefault="00913357" w:rsidP="00E374C7">
      <w:pPr>
        <w:rPr>
          <w:sz w:val="24"/>
          <w:szCs w:val="24"/>
        </w:rPr>
      </w:pPr>
    </w:p>
    <w:p w:rsidR="00942547" w:rsidRPr="00125AA7" w:rsidRDefault="00942547" w:rsidP="00942547">
      <w:pPr>
        <w:rPr>
          <w:b/>
          <w:sz w:val="24"/>
          <w:szCs w:val="24"/>
        </w:rPr>
      </w:pPr>
      <w:r w:rsidRPr="00125AA7">
        <w:rPr>
          <w:b/>
          <w:sz w:val="24"/>
          <w:szCs w:val="24"/>
        </w:rPr>
        <w:t>Post-Marketing events:</w:t>
      </w:r>
    </w:p>
    <w:p w:rsidR="00E374C7" w:rsidRDefault="00E374C7" w:rsidP="00E374C7"/>
    <w:p w:rsidR="00E374C7" w:rsidRDefault="00E374C7" w:rsidP="00E374C7">
      <w:pPr>
        <w:rPr>
          <w:sz w:val="22"/>
          <w:szCs w:val="22"/>
        </w:rPr>
      </w:pPr>
      <w:r w:rsidRPr="004A3007">
        <w:rPr>
          <w:sz w:val="22"/>
          <w:szCs w:val="22"/>
        </w:rPr>
        <w:t>The following adverse reactions are classified according to the following c</w:t>
      </w:r>
      <w:r w:rsidRPr="00710393">
        <w:rPr>
          <w:sz w:val="22"/>
          <w:szCs w:val="22"/>
        </w:rPr>
        <w:t>onvention</w:t>
      </w:r>
      <w:r>
        <w:rPr>
          <w:sz w:val="22"/>
          <w:szCs w:val="22"/>
        </w:rPr>
        <w:t xml:space="preserve"> (% of total adverse events reported for loteprednol etabonate)</w:t>
      </w:r>
      <w:r w:rsidRPr="00710393">
        <w:rPr>
          <w:sz w:val="22"/>
          <w:szCs w:val="22"/>
        </w:rPr>
        <w:t xml:space="preserve">: </w:t>
      </w:r>
    </w:p>
    <w:p w:rsidR="00E374C7" w:rsidRDefault="00E374C7" w:rsidP="00E374C7">
      <w:pPr>
        <w:numPr>
          <w:ilvl w:val="0"/>
          <w:numId w:val="29"/>
        </w:numPr>
        <w:rPr>
          <w:sz w:val="22"/>
          <w:szCs w:val="22"/>
        </w:rPr>
      </w:pPr>
      <w:r>
        <w:rPr>
          <w:sz w:val="22"/>
          <w:szCs w:val="22"/>
        </w:rPr>
        <w:t>V</w:t>
      </w:r>
      <w:r w:rsidRPr="00710393">
        <w:rPr>
          <w:sz w:val="22"/>
          <w:szCs w:val="22"/>
        </w:rPr>
        <w:t>ery common</w:t>
      </w:r>
      <w:r>
        <w:rPr>
          <w:sz w:val="22"/>
          <w:szCs w:val="22"/>
        </w:rPr>
        <w:t xml:space="preserve"> (≥</w:t>
      </w:r>
      <w:r w:rsidR="00DE3A3C">
        <w:rPr>
          <w:sz w:val="22"/>
          <w:szCs w:val="22"/>
        </w:rPr>
        <w:t xml:space="preserve"> </w:t>
      </w:r>
      <w:r>
        <w:rPr>
          <w:sz w:val="22"/>
          <w:szCs w:val="22"/>
        </w:rPr>
        <w:t>10%)</w:t>
      </w:r>
    </w:p>
    <w:p w:rsidR="00E374C7" w:rsidRDefault="00E374C7" w:rsidP="00E374C7">
      <w:pPr>
        <w:numPr>
          <w:ilvl w:val="0"/>
          <w:numId w:val="29"/>
        </w:numPr>
        <w:rPr>
          <w:sz w:val="22"/>
          <w:szCs w:val="22"/>
        </w:rPr>
      </w:pPr>
      <w:r>
        <w:rPr>
          <w:sz w:val="22"/>
          <w:szCs w:val="22"/>
        </w:rPr>
        <w:t>Common (≥</w:t>
      </w:r>
      <w:r w:rsidR="00DE3A3C">
        <w:rPr>
          <w:sz w:val="22"/>
          <w:szCs w:val="22"/>
        </w:rPr>
        <w:t xml:space="preserve"> </w:t>
      </w:r>
      <w:r>
        <w:rPr>
          <w:sz w:val="22"/>
          <w:szCs w:val="22"/>
        </w:rPr>
        <w:t>1% to &lt;</w:t>
      </w:r>
      <w:r w:rsidR="00DE3A3C">
        <w:rPr>
          <w:sz w:val="22"/>
          <w:szCs w:val="22"/>
        </w:rPr>
        <w:t xml:space="preserve"> </w:t>
      </w:r>
      <w:r>
        <w:rPr>
          <w:sz w:val="22"/>
          <w:szCs w:val="22"/>
        </w:rPr>
        <w:t>10%)</w:t>
      </w:r>
    </w:p>
    <w:p w:rsidR="00E374C7" w:rsidRDefault="00E374C7" w:rsidP="00E374C7">
      <w:pPr>
        <w:numPr>
          <w:ilvl w:val="0"/>
          <w:numId w:val="29"/>
        </w:numPr>
        <w:rPr>
          <w:sz w:val="22"/>
          <w:szCs w:val="22"/>
        </w:rPr>
      </w:pPr>
      <w:r>
        <w:rPr>
          <w:sz w:val="22"/>
          <w:szCs w:val="22"/>
        </w:rPr>
        <w:t>U</w:t>
      </w:r>
      <w:r w:rsidRPr="004A3007">
        <w:rPr>
          <w:sz w:val="22"/>
          <w:szCs w:val="22"/>
        </w:rPr>
        <w:t>ncommon</w:t>
      </w:r>
      <w:r>
        <w:rPr>
          <w:sz w:val="22"/>
          <w:szCs w:val="22"/>
        </w:rPr>
        <w:t xml:space="preserve"> (≥</w:t>
      </w:r>
      <w:r w:rsidR="00DE3A3C">
        <w:rPr>
          <w:sz w:val="22"/>
          <w:szCs w:val="22"/>
        </w:rPr>
        <w:t xml:space="preserve"> </w:t>
      </w:r>
      <w:r>
        <w:rPr>
          <w:sz w:val="22"/>
          <w:szCs w:val="22"/>
        </w:rPr>
        <w:t>0.1% to &lt;</w:t>
      </w:r>
      <w:r w:rsidR="00DE3A3C">
        <w:rPr>
          <w:sz w:val="22"/>
          <w:szCs w:val="22"/>
        </w:rPr>
        <w:t xml:space="preserve"> </w:t>
      </w:r>
      <w:r>
        <w:rPr>
          <w:sz w:val="22"/>
          <w:szCs w:val="22"/>
        </w:rPr>
        <w:t>1%)</w:t>
      </w:r>
      <w:r w:rsidRPr="004A3007">
        <w:rPr>
          <w:sz w:val="22"/>
          <w:szCs w:val="22"/>
        </w:rPr>
        <w:t xml:space="preserve"> </w:t>
      </w:r>
    </w:p>
    <w:p w:rsidR="00E374C7" w:rsidRDefault="00E374C7" w:rsidP="00E374C7">
      <w:pPr>
        <w:numPr>
          <w:ilvl w:val="0"/>
          <w:numId w:val="29"/>
        </w:numPr>
        <w:rPr>
          <w:sz w:val="22"/>
          <w:szCs w:val="22"/>
        </w:rPr>
      </w:pPr>
      <w:r>
        <w:rPr>
          <w:sz w:val="22"/>
          <w:szCs w:val="22"/>
        </w:rPr>
        <w:t>R</w:t>
      </w:r>
      <w:r w:rsidRPr="004A3007">
        <w:rPr>
          <w:sz w:val="22"/>
          <w:szCs w:val="22"/>
        </w:rPr>
        <w:t>are</w:t>
      </w:r>
      <w:r>
        <w:rPr>
          <w:sz w:val="22"/>
          <w:szCs w:val="22"/>
        </w:rPr>
        <w:t xml:space="preserve"> (≥</w:t>
      </w:r>
      <w:r w:rsidR="00DE3A3C">
        <w:rPr>
          <w:sz w:val="22"/>
          <w:szCs w:val="22"/>
        </w:rPr>
        <w:t xml:space="preserve"> </w:t>
      </w:r>
      <w:r>
        <w:rPr>
          <w:sz w:val="22"/>
          <w:szCs w:val="22"/>
        </w:rPr>
        <w:t>0.01% to &lt;</w:t>
      </w:r>
      <w:r w:rsidR="00DE3A3C">
        <w:rPr>
          <w:sz w:val="22"/>
          <w:szCs w:val="22"/>
        </w:rPr>
        <w:t xml:space="preserve"> </w:t>
      </w:r>
      <w:r>
        <w:rPr>
          <w:sz w:val="22"/>
          <w:szCs w:val="22"/>
        </w:rPr>
        <w:t>0.1%)</w:t>
      </w:r>
    </w:p>
    <w:p w:rsidR="00E374C7" w:rsidRDefault="00E374C7" w:rsidP="00E374C7">
      <w:pPr>
        <w:numPr>
          <w:ilvl w:val="0"/>
          <w:numId w:val="29"/>
        </w:numPr>
        <w:rPr>
          <w:sz w:val="22"/>
          <w:szCs w:val="22"/>
        </w:rPr>
      </w:pPr>
      <w:r>
        <w:rPr>
          <w:sz w:val="22"/>
          <w:szCs w:val="22"/>
        </w:rPr>
        <w:t>V</w:t>
      </w:r>
      <w:r w:rsidRPr="004A3007">
        <w:rPr>
          <w:sz w:val="22"/>
          <w:szCs w:val="22"/>
        </w:rPr>
        <w:t>ery rare</w:t>
      </w:r>
      <w:r>
        <w:rPr>
          <w:sz w:val="22"/>
          <w:szCs w:val="22"/>
        </w:rPr>
        <w:t xml:space="preserve"> (≥</w:t>
      </w:r>
      <w:r w:rsidR="00DE3A3C">
        <w:rPr>
          <w:sz w:val="22"/>
          <w:szCs w:val="22"/>
        </w:rPr>
        <w:t xml:space="preserve"> </w:t>
      </w:r>
      <w:r>
        <w:rPr>
          <w:sz w:val="22"/>
          <w:szCs w:val="22"/>
        </w:rPr>
        <w:t>0.001% to &lt;</w:t>
      </w:r>
      <w:r w:rsidR="00DE3A3C">
        <w:rPr>
          <w:sz w:val="22"/>
          <w:szCs w:val="22"/>
        </w:rPr>
        <w:t xml:space="preserve"> </w:t>
      </w:r>
      <w:r>
        <w:rPr>
          <w:sz w:val="22"/>
          <w:szCs w:val="22"/>
        </w:rPr>
        <w:t>0.01%)</w:t>
      </w:r>
      <w:r w:rsidRPr="004A3007">
        <w:rPr>
          <w:sz w:val="22"/>
          <w:szCs w:val="22"/>
        </w:rPr>
        <w:t xml:space="preserve"> </w:t>
      </w:r>
    </w:p>
    <w:p w:rsidR="00E374C7" w:rsidRDefault="00E374C7" w:rsidP="00E374C7">
      <w:pPr>
        <w:numPr>
          <w:ilvl w:val="0"/>
          <w:numId w:val="29"/>
        </w:numPr>
        <w:rPr>
          <w:sz w:val="22"/>
          <w:szCs w:val="22"/>
        </w:rPr>
      </w:pPr>
      <w:r>
        <w:rPr>
          <w:sz w:val="22"/>
          <w:szCs w:val="22"/>
        </w:rPr>
        <w:t>N</w:t>
      </w:r>
      <w:r w:rsidRPr="004A3007">
        <w:rPr>
          <w:sz w:val="22"/>
          <w:szCs w:val="22"/>
        </w:rPr>
        <w:t>ot known (cannot be estimated from the available data)</w:t>
      </w:r>
    </w:p>
    <w:p w:rsidR="00E374C7" w:rsidRDefault="00E374C7" w:rsidP="00E374C7">
      <w:pPr>
        <w:rPr>
          <w:sz w:val="22"/>
          <w:szCs w:val="22"/>
        </w:rPr>
      </w:pPr>
    </w:p>
    <w:p w:rsidR="00815D07" w:rsidRDefault="00815D07" w:rsidP="00DB71C1">
      <w:pPr>
        <w:jc w:val="both"/>
        <w:rPr>
          <w:sz w:val="22"/>
          <w:szCs w:val="22"/>
        </w:rPr>
      </w:pPr>
      <w:r>
        <w:rPr>
          <w:sz w:val="22"/>
          <w:szCs w:val="22"/>
        </w:rPr>
        <w:t>A</w:t>
      </w:r>
      <w:r w:rsidRPr="004A3007">
        <w:rPr>
          <w:sz w:val="22"/>
          <w:szCs w:val="22"/>
        </w:rPr>
        <w:t>ccording to system organ</w:t>
      </w:r>
      <w:r>
        <w:rPr>
          <w:sz w:val="22"/>
          <w:szCs w:val="22"/>
        </w:rPr>
        <w:t xml:space="preserve"> </w:t>
      </w:r>
      <w:r w:rsidRPr="004A3007">
        <w:rPr>
          <w:sz w:val="22"/>
          <w:szCs w:val="22"/>
        </w:rPr>
        <w:t>classes</w:t>
      </w:r>
      <w:r>
        <w:rPr>
          <w:sz w:val="22"/>
          <w:szCs w:val="22"/>
        </w:rPr>
        <w:t xml:space="preserve">, the </w:t>
      </w:r>
      <w:r w:rsidR="00E144A2">
        <w:rPr>
          <w:sz w:val="22"/>
          <w:szCs w:val="22"/>
        </w:rPr>
        <w:t xml:space="preserve">following </w:t>
      </w:r>
      <w:r>
        <w:rPr>
          <w:sz w:val="22"/>
          <w:szCs w:val="22"/>
        </w:rPr>
        <w:t xml:space="preserve">adverse reactions have been </w:t>
      </w:r>
      <w:r w:rsidR="00E144A2">
        <w:rPr>
          <w:sz w:val="22"/>
          <w:szCs w:val="22"/>
        </w:rPr>
        <w:t xml:space="preserve">reported </w:t>
      </w:r>
      <w:r>
        <w:rPr>
          <w:sz w:val="22"/>
          <w:szCs w:val="22"/>
        </w:rPr>
        <w:t xml:space="preserve">during post-marketing experience. The </w:t>
      </w:r>
      <w:r w:rsidR="00E144A2">
        <w:rPr>
          <w:sz w:val="22"/>
          <w:szCs w:val="22"/>
        </w:rPr>
        <w:t>percentages are</w:t>
      </w:r>
      <w:r>
        <w:rPr>
          <w:sz w:val="22"/>
          <w:szCs w:val="22"/>
        </w:rPr>
        <w:t xml:space="preserve"> based on the total number of adverse events reported in post-marketing data. </w:t>
      </w:r>
    </w:p>
    <w:p w:rsidR="00815D07" w:rsidRDefault="00815D07" w:rsidP="00815D07">
      <w:pPr>
        <w:rPr>
          <w:sz w:val="22"/>
          <w:szCs w:val="22"/>
        </w:rPr>
      </w:pPr>
    </w:p>
    <w:p w:rsidR="00815D07" w:rsidRPr="008B4CE1" w:rsidRDefault="00815D07" w:rsidP="00815D07">
      <w:pPr>
        <w:rPr>
          <w:sz w:val="22"/>
          <w:szCs w:val="22"/>
          <w:u w:val="single"/>
        </w:rPr>
      </w:pPr>
      <w:r w:rsidRPr="008B4CE1">
        <w:rPr>
          <w:sz w:val="22"/>
          <w:szCs w:val="22"/>
          <w:u w:val="single"/>
        </w:rPr>
        <w:t>Ear and labyrinth disorders:</w:t>
      </w:r>
    </w:p>
    <w:p w:rsidR="00815D07" w:rsidRDefault="00815D07" w:rsidP="00815D07">
      <w:pPr>
        <w:rPr>
          <w:bCs/>
          <w:sz w:val="22"/>
          <w:szCs w:val="22"/>
        </w:rPr>
      </w:pPr>
      <w:r w:rsidRPr="009032CD">
        <w:rPr>
          <w:bCs/>
          <w:sz w:val="22"/>
          <w:szCs w:val="22"/>
        </w:rPr>
        <w:t xml:space="preserve">Uncommon </w:t>
      </w:r>
      <w:r w:rsidR="00E144A2">
        <w:rPr>
          <w:bCs/>
          <w:sz w:val="22"/>
          <w:szCs w:val="22"/>
        </w:rPr>
        <w:t xml:space="preserve">- </w:t>
      </w:r>
      <w:r>
        <w:rPr>
          <w:bCs/>
          <w:sz w:val="22"/>
          <w:szCs w:val="22"/>
        </w:rPr>
        <w:t>hypoacusis, tinnitus</w:t>
      </w:r>
      <w:r w:rsidR="00E144A2">
        <w:rPr>
          <w:bCs/>
          <w:sz w:val="22"/>
          <w:szCs w:val="22"/>
        </w:rPr>
        <w:t xml:space="preserve"> and vertigo</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Eye disorders</w:t>
      </w:r>
      <w:r>
        <w:rPr>
          <w:bCs/>
          <w:sz w:val="22"/>
          <w:szCs w:val="22"/>
        </w:rPr>
        <w:t>:</w:t>
      </w:r>
    </w:p>
    <w:p w:rsidR="00815D07" w:rsidRDefault="00815D07" w:rsidP="00DB71C1">
      <w:pPr>
        <w:jc w:val="both"/>
        <w:rPr>
          <w:bCs/>
          <w:sz w:val="22"/>
          <w:szCs w:val="22"/>
        </w:rPr>
      </w:pPr>
      <w:r w:rsidRPr="000C5A24">
        <w:rPr>
          <w:bCs/>
          <w:sz w:val="22"/>
          <w:szCs w:val="22"/>
        </w:rPr>
        <w:t xml:space="preserve">Common </w:t>
      </w:r>
      <w:r w:rsidR="00E144A2">
        <w:rPr>
          <w:bCs/>
          <w:sz w:val="22"/>
          <w:szCs w:val="22"/>
        </w:rPr>
        <w:t xml:space="preserve">- </w:t>
      </w:r>
      <w:r>
        <w:rPr>
          <w:bCs/>
          <w:sz w:val="22"/>
          <w:szCs w:val="22"/>
        </w:rPr>
        <w:t>corneal deposits, corneal infiltrates, corneal oedema</w:t>
      </w:r>
      <w:proofErr w:type="gramStart"/>
      <w:r>
        <w:rPr>
          <w:bCs/>
          <w:sz w:val="22"/>
          <w:szCs w:val="22"/>
        </w:rPr>
        <w:t>,  corneal</w:t>
      </w:r>
      <w:proofErr w:type="gramEnd"/>
      <w:r>
        <w:rPr>
          <w:bCs/>
          <w:sz w:val="22"/>
          <w:szCs w:val="22"/>
        </w:rPr>
        <w:t xml:space="preserve"> striae, dry eye, eye irritation,  eye pain, </w:t>
      </w:r>
      <w:r w:rsidR="00E144A2">
        <w:rPr>
          <w:bCs/>
          <w:sz w:val="22"/>
          <w:szCs w:val="22"/>
        </w:rPr>
        <w:t xml:space="preserve">eye pruritis, eye swelling, </w:t>
      </w:r>
      <w:r>
        <w:rPr>
          <w:bCs/>
          <w:sz w:val="22"/>
          <w:szCs w:val="22"/>
        </w:rPr>
        <w:t>foreign body sensation in eyes, lacrimation increased, ocular discomfort, ocular hyperaemia,</w:t>
      </w:r>
      <w:r w:rsidR="00E144A2">
        <w:rPr>
          <w:bCs/>
          <w:sz w:val="22"/>
          <w:szCs w:val="22"/>
        </w:rPr>
        <w:t xml:space="preserve"> periorbital edema</w:t>
      </w:r>
      <w:r>
        <w:rPr>
          <w:bCs/>
          <w:sz w:val="22"/>
          <w:szCs w:val="22"/>
        </w:rPr>
        <w:t>, punctate keratitis</w:t>
      </w:r>
      <w:r w:rsidR="000A6118">
        <w:rPr>
          <w:bCs/>
          <w:sz w:val="22"/>
          <w:szCs w:val="22"/>
        </w:rPr>
        <w:t>,</w:t>
      </w:r>
      <w:r>
        <w:rPr>
          <w:bCs/>
          <w:sz w:val="22"/>
          <w:szCs w:val="22"/>
        </w:rPr>
        <w:t xml:space="preserve"> </w:t>
      </w:r>
      <w:r w:rsidR="00E144A2">
        <w:rPr>
          <w:bCs/>
          <w:sz w:val="22"/>
          <w:szCs w:val="22"/>
        </w:rPr>
        <w:t xml:space="preserve">visual acuity reduced </w:t>
      </w:r>
      <w:r>
        <w:rPr>
          <w:bCs/>
          <w:sz w:val="22"/>
          <w:szCs w:val="22"/>
        </w:rPr>
        <w:t>and vision blurred.</w:t>
      </w:r>
    </w:p>
    <w:p w:rsidR="00815D07" w:rsidRDefault="00815D07" w:rsidP="00815D07">
      <w:pPr>
        <w:rPr>
          <w:bCs/>
          <w:sz w:val="22"/>
          <w:szCs w:val="22"/>
        </w:rPr>
      </w:pPr>
    </w:p>
    <w:p w:rsidR="00815D07" w:rsidRDefault="00815D07" w:rsidP="00DB71C1">
      <w:pPr>
        <w:jc w:val="both"/>
        <w:rPr>
          <w:bCs/>
          <w:sz w:val="22"/>
          <w:szCs w:val="22"/>
          <w:lang w:val="en-US"/>
        </w:rPr>
      </w:pPr>
      <w:r w:rsidRPr="000C5A24">
        <w:rPr>
          <w:bCs/>
          <w:sz w:val="22"/>
          <w:szCs w:val="22"/>
        </w:rPr>
        <w:t xml:space="preserve">Uncommon </w:t>
      </w:r>
      <w:r w:rsidR="00E144A2">
        <w:rPr>
          <w:bCs/>
          <w:sz w:val="22"/>
          <w:szCs w:val="22"/>
        </w:rPr>
        <w:t>– anterior chamber cell, anterior chamber fibrin, aqueous fi</w:t>
      </w:r>
      <w:r w:rsidR="006530A0">
        <w:rPr>
          <w:bCs/>
          <w:sz w:val="22"/>
          <w:szCs w:val="22"/>
        </w:rPr>
        <w:t>b</w:t>
      </w:r>
      <w:r w:rsidR="00E144A2">
        <w:rPr>
          <w:bCs/>
          <w:sz w:val="22"/>
          <w:szCs w:val="22"/>
        </w:rPr>
        <w:t xml:space="preserve">rin, </w:t>
      </w:r>
      <w:r>
        <w:rPr>
          <w:bCs/>
          <w:sz w:val="22"/>
          <w:szCs w:val="22"/>
        </w:rPr>
        <w:t xml:space="preserve">abnormal sensation in eye, </w:t>
      </w:r>
      <w:r>
        <w:rPr>
          <w:bCs/>
          <w:sz w:val="22"/>
          <w:szCs w:val="22"/>
          <w:lang w:val="en-US"/>
        </w:rPr>
        <w:t>a</w:t>
      </w:r>
      <w:r w:rsidRPr="007D162F">
        <w:rPr>
          <w:bCs/>
          <w:sz w:val="22"/>
          <w:szCs w:val="22"/>
          <w:lang w:val="en-US"/>
        </w:rPr>
        <w:t>trophy of globe</w:t>
      </w:r>
      <w:r>
        <w:rPr>
          <w:bCs/>
          <w:sz w:val="22"/>
          <w:szCs w:val="22"/>
          <w:lang w:val="en-US"/>
        </w:rPr>
        <w:t xml:space="preserve">, </w:t>
      </w:r>
      <w:r w:rsidR="00E144A2">
        <w:rPr>
          <w:bCs/>
          <w:sz w:val="22"/>
          <w:szCs w:val="22"/>
          <w:lang w:val="en-US"/>
        </w:rPr>
        <w:t>cataract, conjunctival hyperemia</w:t>
      </w:r>
      <w:r>
        <w:rPr>
          <w:bCs/>
          <w:sz w:val="22"/>
          <w:szCs w:val="22"/>
          <w:lang w:val="en-US"/>
        </w:rPr>
        <w:t xml:space="preserve">, conjunctivitis, corneal </w:t>
      </w:r>
      <w:r w:rsidR="00E144A2">
        <w:rPr>
          <w:bCs/>
          <w:sz w:val="22"/>
          <w:szCs w:val="22"/>
          <w:lang w:val="en-US"/>
        </w:rPr>
        <w:t>opacity</w:t>
      </w:r>
      <w:r>
        <w:rPr>
          <w:bCs/>
          <w:sz w:val="22"/>
          <w:szCs w:val="22"/>
          <w:lang w:val="en-US"/>
        </w:rPr>
        <w:t xml:space="preserve">, corneal scar, </w:t>
      </w:r>
      <w:r w:rsidR="00E144A2">
        <w:rPr>
          <w:bCs/>
          <w:sz w:val="22"/>
          <w:szCs w:val="22"/>
          <w:lang w:val="en-US"/>
        </w:rPr>
        <w:t xml:space="preserve">corneal striae, </w:t>
      </w:r>
      <w:r>
        <w:rPr>
          <w:bCs/>
          <w:sz w:val="22"/>
          <w:szCs w:val="22"/>
          <w:lang w:val="en-US"/>
        </w:rPr>
        <w:t xml:space="preserve"> eye discharge, eye inflammation,  eyelid oedema, </w:t>
      </w:r>
      <w:r w:rsidR="00E144A2">
        <w:rPr>
          <w:bCs/>
          <w:sz w:val="22"/>
          <w:szCs w:val="22"/>
          <w:lang w:val="en-US"/>
        </w:rPr>
        <w:t>keratitis, glaucoma</w:t>
      </w:r>
      <w:r>
        <w:rPr>
          <w:bCs/>
          <w:sz w:val="22"/>
          <w:szCs w:val="22"/>
          <w:lang w:val="en-US"/>
        </w:rPr>
        <w:t>, halo vision, iritis,  ulcerative keratitis, visual acuity reduced and visual impairment</w:t>
      </w:r>
    </w:p>
    <w:p w:rsidR="00815D07" w:rsidRDefault="00815D07" w:rsidP="00815D07">
      <w:pPr>
        <w:rPr>
          <w:bCs/>
          <w:sz w:val="22"/>
          <w:szCs w:val="22"/>
          <w:lang w:val="en-US"/>
        </w:rPr>
      </w:pPr>
    </w:p>
    <w:p w:rsidR="00815D07" w:rsidRDefault="00815D07" w:rsidP="00815D07">
      <w:pPr>
        <w:rPr>
          <w:bCs/>
          <w:sz w:val="22"/>
          <w:szCs w:val="22"/>
          <w:lang w:val="en-US"/>
        </w:rPr>
      </w:pPr>
      <w:r w:rsidRPr="004A3007">
        <w:rPr>
          <w:bCs/>
          <w:sz w:val="22"/>
          <w:szCs w:val="22"/>
          <w:u w:val="single"/>
          <w:lang w:val="en-US"/>
        </w:rPr>
        <w:t>Gastrointestinal disorders</w:t>
      </w:r>
      <w:r>
        <w:rPr>
          <w:bCs/>
          <w:sz w:val="22"/>
          <w:szCs w:val="22"/>
          <w:lang w:val="en-US"/>
        </w:rPr>
        <w:t>:</w:t>
      </w:r>
    </w:p>
    <w:p w:rsidR="00815D07" w:rsidRDefault="00815D07" w:rsidP="00815D07">
      <w:pPr>
        <w:rPr>
          <w:bCs/>
          <w:sz w:val="22"/>
          <w:szCs w:val="22"/>
        </w:rPr>
      </w:pPr>
      <w:r w:rsidRPr="007D162F">
        <w:rPr>
          <w:bCs/>
          <w:sz w:val="22"/>
          <w:szCs w:val="22"/>
        </w:rPr>
        <w:t>Uncommon:</w:t>
      </w:r>
      <w:r w:rsidR="00B82541">
        <w:rPr>
          <w:bCs/>
          <w:sz w:val="22"/>
          <w:szCs w:val="22"/>
        </w:rPr>
        <w:t xml:space="preserve"> </w:t>
      </w:r>
      <w:proofErr w:type="gramStart"/>
      <w:r>
        <w:rPr>
          <w:bCs/>
          <w:sz w:val="22"/>
          <w:szCs w:val="22"/>
        </w:rPr>
        <w:t>nausea,</w:t>
      </w:r>
      <w:proofErr w:type="gramEnd"/>
      <w:r>
        <w:rPr>
          <w:bCs/>
          <w:sz w:val="22"/>
          <w:szCs w:val="22"/>
        </w:rPr>
        <w:t xml:space="preserve"> </w:t>
      </w:r>
      <w:r w:rsidR="00E144A2">
        <w:rPr>
          <w:bCs/>
          <w:sz w:val="22"/>
          <w:szCs w:val="22"/>
        </w:rPr>
        <w:t>and tooth ache</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General disorders and administrative site conditions</w:t>
      </w:r>
      <w:r>
        <w:rPr>
          <w:bCs/>
          <w:sz w:val="22"/>
          <w:szCs w:val="22"/>
        </w:rPr>
        <w:t>:</w:t>
      </w:r>
    </w:p>
    <w:p w:rsidR="00815D07" w:rsidRDefault="00815D07" w:rsidP="00815D07">
      <w:pPr>
        <w:rPr>
          <w:bCs/>
          <w:sz w:val="22"/>
          <w:szCs w:val="22"/>
        </w:rPr>
      </w:pPr>
      <w:r>
        <w:rPr>
          <w:bCs/>
          <w:sz w:val="22"/>
          <w:szCs w:val="22"/>
        </w:rPr>
        <w:t xml:space="preserve">Common: </w:t>
      </w:r>
      <w:r w:rsidR="00E144A2">
        <w:rPr>
          <w:bCs/>
          <w:sz w:val="22"/>
          <w:szCs w:val="22"/>
        </w:rPr>
        <w:t xml:space="preserve">condition aggravated, drug ineffective and </w:t>
      </w:r>
      <w:r>
        <w:rPr>
          <w:bCs/>
          <w:sz w:val="22"/>
          <w:szCs w:val="22"/>
        </w:rPr>
        <w:t>medication residue</w:t>
      </w:r>
    </w:p>
    <w:p w:rsidR="00815D07" w:rsidRDefault="00815D07" w:rsidP="00815D07">
      <w:pPr>
        <w:rPr>
          <w:bCs/>
          <w:sz w:val="22"/>
          <w:szCs w:val="22"/>
        </w:rPr>
      </w:pPr>
    </w:p>
    <w:p w:rsidR="006530A0" w:rsidRDefault="00B82541" w:rsidP="00815D07">
      <w:pPr>
        <w:rPr>
          <w:bCs/>
          <w:sz w:val="22"/>
          <w:szCs w:val="22"/>
        </w:rPr>
      </w:pPr>
      <w:r>
        <w:rPr>
          <w:bCs/>
          <w:sz w:val="22"/>
          <w:szCs w:val="22"/>
        </w:rPr>
        <w:t>Uncommon</w:t>
      </w:r>
      <w:r w:rsidR="00815D07">
        <w:rPr>
          <w:bCs/>
          <w:sz w:val="22"/>
          <w:szCs w:val="22"/>
        </w:rPr>
        <w:t xml:space="preserve">: drug ineffective for unapproved indication, impaired healing, inflammation, malaise, </w:t>
      </w:r>
      <w:r w:rsidR="002F5503">
        <w:rPr>
          <w:bCs/>
          <w:sz w:val="22"/>
          <w:szCs w:val="22"/>
        </w:rPr>
        <w:t xml:space="preserve">and </w:t>
      </w:r>
      <w:r w:rsidR="00815D07">
        <w:rPr>
          <w:bCs/>
          <w:sz w:val="22"/>
          <w:szCs w:val="22"/>
        </w:rPr>
        <w:t>pain</w:t>
      </w:r>
    </w:p>
    <w:p w:rsidR="00815D07" w:rsidRDefault="00815D07" w:rsidP="00815D07">
      <w:pPr>
        <w:rPr>
          <w:bCs/>
          <w:sz w:val="22"/>
          <w:szCs w:val="22"/>
        </w:rPr>
      </w:pPr>
    </w:p>
    <w:p w:rsidR="00815D07" w:rsidRPr="004A3007" w:rsidRDefault="00815D07" w:rsidP="00815D07">
      <w:pPr>
        <w:rPr>
          <w:bCs/>
          <w:sz w:val="22"/>
          <w:szCs w:val="22"/>
        </w:rPr>
      </w:pPr>
      <w:r w:rsidRPr="004A3007">
        <w:rPr>
          <w:bCs/>
          <w:sz w:val="22"/>
          <w:szCs w:val="22"/>
          <w:u w:val="single"/>
        </w:rPr>
        <w:t>Immune system disorders</w:t>
      </w:r>
      <w:r w:rsidRPr="004A3007">
        <w:rPr>
          <w:bCs/>
          <w:sz w:val="22"/>
          <w:szCs w:val="22"/>
        </w:rPr>
        <w:t>:</w:t>
      </w:r>
    </w:p>
    <w:p w:rsidR="00815D07" w:rsidRPr="004A3007" w:rsidRDefault="002F5503" w:rsidP="00815D07">
      <w:pPr>
        <w:rPr>
          <w:bCs/>
          <w:sz w:val="22"/>
          <w:szCs w:val="22"/>
        </w:rPr>
      </w:pPr>
      <w:r>
        <w:rPr>
          <w:bCs/>
          <w:sz w:val="22"/>
          <w:szCs w:val="22"/>
        </w:rPr>
        <w:t>C</w:t>
      </w:r>
      <w:r w:rsidR="00815D07">
        <w:rPr>
          <w:bCs/>
          <w:sz w:val="22"/>
          <w:szCs w:val="22"/>
        </w:rPr>
        <w:t>ommon:</w:t>
      </w:r>
      <w:r w:rsidR="00815D07" w:rsidRPr="004A3007">
        <w:rPr>
          <w:bCs/>
          <w:sz w:val="22"/>
          <w:szCs w:val="22"/>
        </w:rPr>
        <w:t xml:space="preserve"> drug hypersensitivity, hypersensitivity</w:t>
      </w:r>
    </w:p>
    <w:p w:rsidR="00815D07" w:rsidRPr="004A3007" w:rsidRDefault="00815D07" w:rsidP="00815D07">
      <w:pPr>
        <w:rPr>
          <w:bCs/>
          <w:sz w:val="22"/>
          <w:szCs w:val="22"/>
        </w:rPr>
      </w:pPr>
    </w:p>
    <w:p w:rsidR="00815D07" w:rsidRDefault="00815D07" w:rsidP="00815D07">
      <w:pPr>
        <w:rPr>
          <w:bCs/>
          <w:sz w:val="22"/>
          <w:szCs w:val="22"/>
          <w:u w:val="single"/>
        </w:rPr>
      </w:pPr>
      <w:r>
        <w:rPr>
          <w:bCs/>
          <w:sz w:val="22"/>
          <w:szCs w:val="22"/>
          <w:u w:val="single"/>
        </w:rPr>
        <w:t>Infections and infestations:</w:t>
      </w:r>
    </w:p>
    <w:p w:rsidR="00815D07" w:rsidRPr="008B4CE1" w:rsidRDefault="00815D07" w:rsidP="00815D07">
      <w:pPr>
        <w:rPr>
          <w:bCs/>
          <w:sz w:val="22"/>
          <w:szCs w:val="22"/>
        </w:rPr>
      </w:pPr>
      <w:r>
        <w:rPr>
          <w:bCs/>
          <w:sz w:val="22"/>
          <w:szCs w:val="22"/>
        </w:rPr>
        <w:t>Uncommon</w:t>
      </w:r>
      <w:r w:rsidRPr="008B4CE1">
        <w:rPr>
          <w:bCs/>
          <w:sz w:val="22"/>
          <w:szCs w:val="22"/>
        </w:rPr>
        <w:t>:</w:t>
      </w:r>
      <w:r w:rsidR="002F5503">
        <w:rPr>
          <w:bCs/>
          <w:sz w:val="22"/>
          <w:szCs w:val="22"/>
        </w:rPr>
        <w:t xml:space="preserve"> endophthalmitis and sinusitis</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Injury, poisoning and procedural complications</w:t>
      </w:r>
      <w:r>
        <w:rPr>
          <w:bCs/>
          <w:sz w:val="22"/>
          <w:szCs w:val="22"/>
        </w:rPr>
        <w:t>:</w:t>
      </w:r>
    </w:p>
    <w:p w:rsidR="00815D07" w:rsidRDefault="00815D07" w:rsidP="00815D07">
      <w:pPr>
        <w:rPr>
          <w:bCs/>
          <w:sz w:val="22"/>
          <w:szCs w:val="22"/>
        </w:rPr>
      </w:pPr>
      <w:r>
        <w:rPr>
          <w:bCs/>
          <w:sz w:val="22"/>
          <w:szCs w:val="22"/>
        </w:rPr>
        <w:t>Common: corneal flap complication, diffuse lamellar keratitis</w:t>
      </w:r>
    </w:p>
    <w:p w:rsidR="00815D07" w:rsidRDefault="00815D07" w:rsidP="00815D07">
      <w:pPr>
        <w:rPr>
          <w:bCs/>
          <w:sz w:val="22"/>
          <w:szCs w:val="22"/>
        </w:rPr>
      </w:pPr>
    </w:p>
    <w:p w:rsidR="00815D07" w:rsidRDefault="00815D07" w:rsidP="00815D07">
      <w:pPr>
        <w:rPr>
          <w:bCs/>
          <w:sz w:val="22"/>
          <w:szCs w:val="22"/>
        </w:rPr>
      </w:pPr>
      <w:r>
        <w:rPr>
          <w:bCs/>
          <w:sz w:val="22"/>
          <w:szCs w:val="22"/>
        </w:rPr>
        <w:t xml:space="preserve">Uncommon: </w:t>
      </w:r>
      <w:r w:rsidR="002F5503">
        <w:rPr>
          <w:bCs/>
          <w:sz w:val="22"/>
          <w:szCs w:val="22"/>
        </w:rPr>
        <w:t>corneal abrasion</w:t>
      </w:r>
      <w:proofErr w:type="gramStart"/>
      <w:r w:rsidR="002F5503">
        <w:rPr>
          <w:bCs/>
          <w:sz w:val="22"/>
          <w:szCs w:val="22"/>
        </w:rPr>
        <w:t xml:space="preserve">, </w:t>
      </w:r>
      <w:r>
        <w:rPr>
          <w:bCs/>
          <w:sz w:val="22"/>
          <w:szCs w:val="22"/>
        </w:rPr>
        <w:t xml:space="preserve"> foreign</w:t>
      </w:r>
      <w:proofErr w:type="gramEnd"/>
      <w:r>
        <w:rPr>
          <w:bCs/>
          <w:sz w:val="22"/>
          <w:szCs w:val="22"/>
        </w:rPr>
        <w:t xml:space="preserve"> body in eye,  incorrect drug administration duration,  medication error, and </w:t>
      </w:r>
      <w:r w:rsidR="002F5503">
        <w:rPr>
          <w:bCs/>
          <w:sz w:val="22"/>
          <w:szCs w:val="22"/>
        </w:rPr>
        <w:t>toxicity to various agents</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Investigations</w:t>
      </w:r>
      <w:r>
        <w:rPr>
          <w:bCs/>
          <w:sz w:val="22"/>
          <w:szCs w:val="22"/>
        </w:rPr>
        <w:t xml:space="preserve">: </w:t>
      </w:r>
    </w:p>
    <w:p w:rsidR="00815D07" w:rsidRDefault="00815D07" w:rsidP="00815D07">
      <w:pPr>
        <w:rPr>
          <w:bCs/>
          <w:sz w:val="22"/>
          <w:szCs w:val="22"/>
        </w:rPr>
      </w:pPr>
      <w:r>
        <w:rPr>
          <w:bCs/>
          <w:sz w:val="22"/>
          <w:szCs w:val="22"/>
        </w:rPr>
        <w:t>Common: intraocular pressure increased</w:t>
      </w:r>
    </w:p>
    <w:p w:rsidR="00815D07" w:rsidRDefault="00815D07" w:rsidP="00815D07">
      <w:pPr>
        <w:rPr>
          <w:bCs/>
          <w:sz w:val="22"/>
          <w:szCs w:val="22"/>
        </w:rPr>
      </w:pPr>
      <w:r>
        <w:rPr>
          <w:bCs/>
          <w:sz w:val="22"/>
          <w:szCs w:val="22"/>
        </w:rPr>
        <w:t xml:space="preserve">Uncommon: </w:t>
      </w:r>
      <w:r w:rsidR="002151C8">
        <w:rPr>
          <w:bCs/>
          <w:sz w:val="22"/>
          <w:szCs w:val="22"/>
        </w:rPr>
        <w:t>blood glucose increase</w:t>
      </w:r>
      <w:r>
        <w:rPr>
          <w:bCs/>
          <w:sz w:val="22"/>
          <w:szCs w:val="22"/>
        </w:rPr>
        <w:t>,</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Metabolism and nutrition disorders</w:t>
      </w:r>
      <w:r>
        <w:rPr>
          <w:bCs/>
          <w:sz w:val="22"/>
          <w:szCs w:val="22"/>
        </w:rPr>
        <w:t>:</w:t>
      </w:r>
    </w:p>
    <w:p w:rsidR="00815D07" w:rsidRDefault="00815D07" w:rsidP="00815D07">
      <w:pPr>
        <w:rPr>
          <w:bCs/>
          <w:sz w:val="22"/>
          <w:szCs w:val="22"/>
        </w:rPr>
      </w:pPr>
      <w:r>
        <w:rPr>
          <w:bCs/>
          <w:sz w:val="22"/>
          <w:szCs w:val="22"/>
        </w:rPr>
        <w:t>Uncommon: decreased appetite</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Musculoskeletal and connective tissue disorders</w:t>
      </w:r>
      <w:r>
        <w:rPr>
          <w:bCs/>
          <w:sz w:val="22"/>
          <w:szCs w:val="22"/>
        </w:rPr>
        <w:t>:</w:t>
      </w:r>
    </w:p>
    <w:p w:rsidR="00815D07" w:rsidRDefault="002151C8" w:rsidP="00815D07">
      <w:pPr>
        <w:rPr>
          <w:bCs/>
          <w:sz w:val="22"/>
          <w:szCs w:val="22"/>
        </w:rPr>
      </w:pPr>
      <w:r>
        <w:rPr>
          <w:bCs/>
          <w:sz w:val="22"/>
          <w:szCs w:val="22"/>
        </w:rPr>
        <w:t>Rare</w:t>
      </w:r>
      <w:r w:rsidR="00815D07">
        <w:rPr>
          <w:bCs/>
          <w:sz w:val="22"/>
          <w:szCs w:val="22"/>
        </w:rPr>
        <w:t>: back pain, muscle spasms, muscle twitching</w:t>
      </w:r>
    </w:p>
    <w:p w:rsidR="00815D07" w:rsidRDefault="00815D07" w:rsidP="00815D07">
      <w:pPr>
        <w:rPr>
          <w:bCs/>
          <w:sz w:val="22"/>
          <w:szCs w:val="22"/>
        </w:rPr>
      </w:pPr>
    </w:p>
    <w:p w:rsidR="00815D07" w:rsidRDefault="00815D07" w:rsidP="00815D07">
      <w:pPr>
        <w:rPr>
          <w:bCs/>
          <w:sz w:val="22"/>
          <w:szCs w:val="22"/>
        </w:rPr>
      </w:pPr>
      <w:r w:rsidRPr="004A3007">
        <w:rPr>
          <w:bCs/>
          <w:sz w:val="22"/>
          <w:szCs w:val="22"/>
          <w:u w:val="single"/>
        </w:rPr>
        <w:t>Nervous system disorders</w:t>
      </w:r>
      <w:r>
        <w:rPr>
          <w:bCs/>
          <w:sz w:val="22"/>
          <w:szCs w:val="22"/>
        </w:rPr>
        <w:t>:</w:t>
      </w:r>
    </w:p>
    <w:p w:rsidR="00815D07" w:rsidRDefault="00815D07" w:rsidP="00815D07">
      <w:pPr>
        <w:rPr>
          <w:bCs/>
          <w:sz w:val="22"/>
          <w:szCs w:val="22"/>
        </w:rPr>
      </w:pPr>
      <w:r>
        <w:rPr>
          <w:bCs/>
          <w:sz w:val="22"/>
          <w:szCs w:val="22"/>
        </w:rPr>
        <w:t>Common: headache</w:t>
      </w:r>
    </w:p>
    <w:p w:rsidR="00815D07" w:rsidRDefault="00815D07" w:rsidP="00815D07">
      <w:pPr>
        <w:rPr>
          <w:bCs/>
          <w:sz w:val="22"/>
          <w:szCs w:val="22"/>
        </w:rPr>
      </w:pPr>
      <w:r>
        <w:rPr>
          <w:bCs/>
          <w:sz w:val="22"/>
          <w:szCs w:val="22"/>
        </w:rPr>
        <w:t>Uncommon: dizziness, facial spasms, migraine</w:t>
      </w:r>
      <w:r w:rsidR="002151C8">
        <w:rPr>
          <w:bCs/>
          <w:sz w:val="22"/>
          <w:szCs w:val="22"/>
        </w:rPr>
        <w:t>, sinus headache and visual field defect</w:t>
      </w:r>
    </w:p>
    <w:p w:rsidR="00815D07" w:rsidRDefault="00815D07" w:rsidP="00815D07">
      <w:pPr>
        <w:rPr>
          <w:bCs/>
          <w:sz w:val="22"/>
          <w:szCs w:val="22"/>
        </w:rPr>
      </w:pPr>
    </w:p>
    <w:p w:rsidR="002151C8" w:rsidRDefault="002151C8" w:rsidP="00815D07">
      <w:pPr>
        <w:rPr>
          <w:bCs/>
          <w:sz w:val="22"/>
          <w:szCs w:val="22"/>
          <w:u w:val="single"/>
        </w:rPr>
      </w:pPr>
      <w:r>
        <w:rPr>
          <w:bCs/>
          <w:sz w:val="22"/>
          <w:szCs w:val="22"/>
          <w:u w:val="single"/>
        </w:rPr>
        <w:t xml:space="preserve">Psychiatric Disorder: </w:t>
      </w:r>
    </w:p>
    <w:p w:rsidR="002151C8" w:rsidRDefault="002151C8" w:rsidP="00815D07">
      <w:pPr>
        <w:rPr>
          <w:bCs/>
          <w:sz w:val="22"/>
          <w:szCs w:val="22"/>
        </w:rPr>
      </w:pPr>
      <w:r>
        <w:rPr>
          <w:bCs/>
          <w:sz w:val="22"/>
          <w:szCs w:val="22"/>
        </w:rPr>
        <w:t>Uncommon: Insomnia, anxiety</w:t>
      </w:r>
    </w:p>
    <w:p w:rsidR="002151C8" w:rsidRPr="000A6118" w:rsidRDefault="002151C8" w:rsidP="00815D07">
      <w:pPr>
        <w:rPr>
          <w:bCs/>
          <w:sz w:val="22"/>
          <w:szCs w:val="22"/>
        </w:rPr>
      </w:pPr>
    </w:p>
    <w:p w:rsidR="00815D07" w:rsidRPr="00E46BA0" w:rsidRDefault="00815D07" w:rsidP="00815D07">
      <w:pPr>
        <w:rPr>
          <w:bCs/>
          <w:sz w:val="22"/>
          <w:szCs w:val="22"/>
        </w:rPr>
      </w:pPr>
      <w:r w:rsidRPr="00E46BA0">
        <w:rPr>
          <w:bCs/>
          <w:sz w:val="22"/>
          <w:szCs w:val="22"/>
          <w:u w:val="single"/>
        </w:rPr>
        <w:t>Respiratory, thoracic and mediastinal disorders</w:t>
      </w:r>
      <w:r w:rsidRPr="00E46BA0">
        <w:rPr>
          <w:bCs/>
          <w:sz w:val="22"/>
          <w:szCs w:val="22"/>
        </w:rPr>
        <w:t>:</w:t>
      </w:r>
    </w:p>
    <w:p w:rsidR="00815D07" w:rsidRDefault="00815D07" w:rsidP="00815D07">
      <w:pPr>
        <w:rPr>
          <w:bCs/>
          <w:sz w:val="22"/>
          <w:szCs w:val="22"/>
        </w:rPr>
      </w:pPr>
      <w:r>
        <w:rPr>
          <w:bCs/>
          <w:sz w:val="22"/>
          <w:szCs w:val="22"/>
        </w:rPr>
        <w:lastRenderedPageBreak/>
        <w:t>Uncommon: oropharyngeal pain</w:t>
      </w:r>
      <w:r w:rsidR="002151C8">
        <w:rPr>
          <w:bCs/>
          <w:sz w:val="22"/>
          <w:szCs w:val="22"/>
        </w:rPr>
        <w:t xml:space="preserve"> and dyspnoea</w:t>
      </w:r>
    </w:p>
    <w:p w:rsidR="00815D07" w:rsidRDefault="00815D07" w:rsidP="00815D07">
      <w:pPr>
        <w:rPr>
          <w:bCs/>
          <w:sz w:val="22"/>
          <w:szCs w:val="22"/>
        </w:rPr>
      </w:pPr>
    </w:p>
    <w:p w:rsidR="00815D07" w:rsidRPr="00E46BA0" w:rsidRDefault="00815D07" w:rsidP="00815D07">
      <w:pPr>
        <w:rPr>
          <w:bCs/>
          <w:sz w:val="22"/>
          <w:szCs w:val="22"/>
        </w:rPr>
      </w:pPr>
      <w:r w:rsidRPr="00E46BA0">
        <w:rPr>
          <w:bCs/>
          <w:sz w:val="22"/>
          <w:szCs w:val="22"/>
          <w:u w:val="single"/>
        </w:rPr>
        <w:t>Skin and subcutaneous tissue disorders</w:t>
      </w:r>
      <w:r w:rsidRPr="00E46BA0">
        <w:rPr>
          <w:bCs/>
          <w:sz w:val="22"/>
          <w:szCs w:val="22"/>
        </w:rPr>
        <w:t>:</w:t>
      </w:r>
    </w:p>
    <w:p w:rsidR="00815D07" w:rsidRDefault="00815D07" w:rsidP="00815D07">
      <w:pPr>
        <w:rPr>
          <w:bCs/>
          <w:sz w:val="22"/>
          <w:szCs w:val="22"/>
        </w:rPr>
      </w:pPr>
      <w:r>
        <w:rPr>
          <w:bCs/>
          <w:sz w:val="22"/>
          <w:szCs w:val="22"/>
        </w:rPr>
        <w:t xml:space="preserve">Uncommon: alopecia, erythema, </w:t>
      </w:r>
      <w:r w:rsidR="002151C8">
        <w:rPr>
          <w:bCs/>
          <w:sz w:val="22"/>
          <w:szCs w:val="22"/>
        </w:rPr>
        <w:t xml:space="preserve">madarosis, </w:t>
      </w:r>
      <w:r>
        <w:rPr>
          <w:bCs/>
          <w:sz w:val="22"/>
          <w:szCs w:val="22"/>
        </w:rPr>
        <w:t xml:space="preserve">photosensitivity reaction, </w:t>
      </w:r>
      <w:r w:rsidR="002151C8">
        <w:rPr>
          <w:bCs/>
          <w:sz w:val="22"/>
          <w:szCs w:val="22"/>
        </w:rPr>
        <w:t>pruritis generalised, skin burning sensation</w:t>
      </w:r>
      <w:r>
        <w:rPr>
          <w:bCs/>
          <w:sz w:val="22"/>
          <w:szCs w:val="22"/>
        </w:rPr>
        <w:t>, swelling face</w:t>
      </w:r>
    </w:p>
    <w:p w:rsidR="00815D07" w:rsidRDefault="00815D07" w:rsidP="00815D07">
      <w:pPr>
        <w:rPr>
          <w:bCs/>
          <w:sz w:val="22"/>
          <w:szCs w:val="22"/>
        </w:rPr>
      </w:pPr>
    </w:p>
    <w:p w:rsidR="00815D07" w:rsidRPr="00E46BA0" w:rsidRDefault="00815D07" w:rsidP="00815D07">
      <w:pPr>
        <w:rPr>
          <w:bCs/>
          <w:sz w:val="22"/>
          <w:szCs w:val="22"/>
        </w:rPr>
      </w:pPr>
      <w:r w:rsidRPr="00E46BA0">
        <w:rPr>
          <w:bCs/>
          <w:sz w:val="22"/>
          <w:szCs w:val="22"/>
          <w:u w:val="single"/>
        </w:rPr>
        <w:t>Surgical and medical procedure</w:t>
      </w:r>
      <w:r w:rsidRPr="00E46BA0">
        <w:rPr>
          <w:bCs/>
          <w:sz w:val="22"/>
          <w:szCs w:val="22"/>
        </w:rPr>
        <w:t>:</w:t>
      </w:r>
    </w:p>
    <w:p w:rsidR="00815D07" w:rsidRDefault="00815D07" w:rsidP="00815D07">
      <w:pPr>
        <w:rPr>
          <w:bCs/>
          <w:sz w:val="22"/>
          <w:szCs w:val="22"/>
        </w:rPr>
      </w:pPr>
      <w:r>
        <w:rPr>
          <w:bCs/>
          <w:sz w:val="22"/>
          <w:szCs w:val="22"/>
        </w:rPr>
        <w:t>Common:</w:t>
      </w:r>
      <w:r w:rsidRPr="00E46BA0">
        <w:rPr>
          <w:bCs/>
          <w:sz w:val="22"/>
          <w:szCs w:val="22"/>
        </w:rPr>
        <w:t xml:space="preserve"> Off label use</w:t>
      </w:r>
      <w:r>
        <w:rPr>
          <w:bCs/>
          <w:sz w:val="22"/>
          <w:szCs w:val="22"/>
        </w:rPr>
        <w:t>.</w:t>
      </w:r>
    </w:p>
    <w:p w:rsidR="00DE3A3C" w:rsidRDefault="00DE3A3C" w:rsidP="00815D07">
      <w:pPr>
        <w:rPr>
          <w:bCs/>
          <w:sz w:val="22"/>
          <w:szCs w:val="22"/>
        </w:rPr>
      </w:pPr>
    </w:p>
    <w:p w:rsidR="00DE3A3C" w:rsidRDefault="00DE3A3C" w:rsidP="00815D07">
      <w:pPr>
        <w:rPr>
          <w:bCs/>
          <w:sz w:val="22"/>
          <w:szCs w:val="22"/>
        </w:rPr>
      </w:pPr>
    </w:p>
    <w:p w:rsidR="009C1E08" w:rsidRPr="00582A8B" w:rsidRDefault="00CD4D4A" w:rsidP="00582A8B">
      <w:pPr>
        <w:pStyle w:val="Heading1"/>
        <w:spacing w:line="360" w:lineRule="auto"/>
        <w:jc w:val="both"/>
        <w:rPr>
          <w:bCs/>
        </w:rPr>
      </w:pPr>
      <w:r w:rsidRPr="00582A8B">
        <w:rPr>
          <w:bCs/>
        </w:rPr>
        <w:t>D</w:t>
      </w:r>
      <w:r w:rsidR="000078AD" w:rsidRPr="00582A8B">
        <w:rPr>
          <w:bCs/>
        </w:rPr>
        <w:t>osage and administration</w:t>
      </w:r>
      <w:r w:rsidR="009C1E08" w:rsidRPr="00582A8B">
        <w:rPr>
          <w:bCs/>
        </w:rPr>
        <w:t xml:space="preserve"> </w:t>
      </w:r>
    </w:p>
    <w:p w:rsidR="00895A66" w:rsidRDefault="00895A66" w:rsidP="0090456F">
      <w:pPr>
        <w:autoSpaceDE w:val="0"/>
        <w:autoSpaceDN w:val="0"/>
        <w:adjustRightInd w:val="0"/>
        <w:jc w:val="both"/>
        <w:rPr>
          <w:rFonts w:cs="BauschlombRegCond"/>
          <w:sz w:val="24"/>
          <w:szCs w:val="24"/>
        </w:rPr>
      </w:pPr>
      <w:r w:rsidRPr="005A08B5">
        <w:rPr>
          <w:rFonts w:cs="BauschlombRegCond"/>
          <w:sz w:val="24"/>
          <w:szCs w:val="24"/>
        </w:rPr>
        <w:t>SHAKE VIGOROUSLY BEFORE USING.</w:t>
      </w:r>
    </w:p>
    <w:p w:rsidR="00097E2B" w:rsidRDefault="00097E2B" w:rsidP="0090456F">
      <w:pPr>
        <w:autoSpaceDE w:val="0"/>
        <w:autoSpaceDN w:val="0"/>
        <w:adjustRightInd w:val="0"/>
        <w:jc w:val="both"/>
        <w:rPr>
          <w:rFonts w:cs="BauschlombRegCond"/>
          <w:sz w:val="24"/>
          <w:szCs w:val="24"/>
        </w:rPr>
      </w:pPr>
    </w:p>
    <w:p w:rsidR="00097E2B" w:rsidRDefault="00097E2B" w:rsidP="0090456F">
      <w:pPr>
        <w:autoSpaceDE w:val="0"/>
        <w:autoSpaceDN w:val="0"/>
        <w:adjustRightInd w:val="0"/>
        <w:jc w:val="both"/>
        <w:rPr>
          <w:rFonts w:cs="BauschlombRegCond"/>
          <w:sz w:val="24"/>
          <w:szCs w:val="24"/>
        </w:rPr>
      </w:pPr>
      <w:r>
        <w:rPr>
          <w:rFonts w:cs="BauschlombRegCond"/>
          <w:sz w:val="24"/>
          <w:szCs w:val="24"/>
        </w:rPr>
        <w:t>For individual patient use only</w:t>
      </w:r>
    </w:p>
    <w:p w:rsidR="00097E2B" w:rsidRDefault="00097E2B" w:rsidP="0090456F">
      <w:pPr>
        <w:autoSpaceDE w:val="0"/>
        <w:autoSpaceDN w:val="0"/>
        <w:adjustRightInd w:val="0"/>
        <w:jc w:val="both"/>
        <w:rPr>
          <w:rFonts w:cs="BauschlombRegCond"/>
          <w:sz w:val="24"/>
          <w:szCs w:val="24"/>
        </w:rPr>
      </w:pPr>
    </w:p>
    <w:p w:rsidR="00B83DCE" w:rsidRPr="005A08B5" w:rsidRDefault="00B83DCE" w:rsidP="0090456F">
      <w:pPr>
        <w:autoSpaceDE w:val="0"/>
        <w:autoSpaceDN w:val="0"/>
        <w:adjustRightInd w:val="0"/>
        <w:jc w:val="both"/>
        <w:rPr>
          <w:rFonts w:cs="BauschlombRegCond"/>
          <w:sz w:val="24"/>
          <w:szCs w:val="24"/>
        </w:rPr>
      </w:pPr>
      <w:r w:rsidRPr="0092488A">
        <w:rPr>
          <w:rFonts w:cs="BauschlombRegCond"/>
          <w:sz w:val="24"/>
          <w:szCs w:val="24"/>
        </w:rPr>
        <w:t xml:space="preserve">If signs and symptoms fail to improve after two days, the patient should be re-evaluated (See </w:t>
      </w:r>
      <w:r w:rsidRPr="0092488A">
        <w:rPr>
          <w:rFonts w:cs="BauschlombRegCond"/>
          <w:b/>
          <w:sz w:val="24"/>
          <w:szCs w:val="24"/>
        </w:rPr>
        <w:t>Precautions</w:t>
      </w:r>
      <w:r w:rsidRPr="0092488A">
        <w:rPr>
          <w:rFonts w:cs="BauschlombRegCond"/>
          <w:sz w:val="24"/>
          <w:szCs w:val="24"/>
        </w:rPr>
        <w:t>).</w:t>
      </w:r>
    </w:p>
    <w:p w:rsidR="00B83DCE" w:rsidRPr="005A08B5" w:rsidRDefault="00B83DCE" w:rsidP="0090456F">
      <w:pPr>
        <w:autoSpaceDE w:val="0"/>
        <w:autoSpaceDN w:val="0"/>
        <w:adjustRightInd w:val="0"/>
        <w:jc w:val="both"/>
        <w:rPr>
          <w:rFonts w:cs="BauschlombRegCond"/>
          <w:sz w:val="24"/>
          <w:szCs w:val="24"/>
        </w:rPr>
      </w:pPr>
    </w:p>
    <w:p w:rsidR="00B83DCE" w:rsidRDefault="00B83DCE" w:rsidP="0090456F">
      <w:pPr>
        <w:autoSpaceDE w:val="0"/>
        <w:autoSpaceDN w:val="0"/>
        <w:adjustRightInd w:val="0"/>
        <w:jc w:val="both"/>
        <w:rPr>
          <w:rFonts w:cs="BauschlombRegCond"/>
          <w:sz w:val="24"/>
          <w:szCs w:val="24"/>
        </w:rPr>
      </w:pPr>
      <w:r w:rsidRPr="00666877">
        <w:rPr>
          <w:rFonts w:cs="BauschlombRegCond"/>
          <w:i/>
          <w:sz w:val="24"/>
          <w:szCs w:val="24"/>
        </w:rPr>
        <w:t>Post-Operative Inflammation</w:t>
      </w:r>
      <w:r w:rsidR="00906E0C">
        <w:rPr>
          <w:rFonts w:cs="BauschlombRegCond"/>
          <w:i/>
          <w:sz w:val="24"/>
          <w:szCs w:val="24"/>
        </w:rPr>
        <w:t xml:space="preserve"> following cataract surgery</w:t>
      </w:r>
    </w:p>
    <w:p w:rsidR="00B83DCE" w:rsidRPr="005A08B5" w:rsidRDefault="00B83DCE" w:rsidP="0090456F">
      <w:pPr>
        <w:autoSpaceDE w:val="0"/>
        <w:autoSpaceDN w:val="0"/>
        <w:adjustRightInd w:val="0"/>
        <w:jc w:val="both"/>
        <w:rPr>
          <w:rFonts w:cs="BauschlombRegCond"/>
          <w:sz w:val="24"/>
          <w:szCs w:val="24"/>
        </w:rPr>
      </w:pPr>
      <w:r w:rsidRPr="005A08B5">
        <w:rPr>
          <w:rFonts w:cs="BauschlombRegCond"/>
          <w:sz w:val="24"/>
          <w:szCs w:val="24"/>
        </w:rPr>
        <w:t xml:space="preserve">Apply one to two drops of </w:t>
      </w:r>
      <w:r>
        <w:rPr>
          <w:rFonts w:cs="BauschlombRegCond"/>
          <w:sz w:val="24"/>
          <w:szCs w:val="24"/>
        </w:rPr>
        <w:t>Lotemax</w:t>
      </w:r>
      <w:r w:rsidRPr="005A08B5">
        <w:rPr>
          <w:rFonts w:cs="BauschlombRegCond"/>
          <w:sz w:val="24"/>
          <w:szCs w:val="24"/>
        </w:rPr>
        <w:t xml:space="preserve"> into the conjunctival sac of the operated eye(s) four times daily beginning 24 hours after surgery and continuing throughout the first 2 weeks of the post-operative period.</w:t>
      </w:r>
    </w:p>
    <w:p w:rsidR="00666877" w:rsidRPr="005A08B5" w:rsidRDefault="00666877" w:rsidP="0090456F">
      <w:pPr>
        <w:autoSpaceDE w:val="0"/>
        <w:autoSpaceDN w:val="0"/>
        <w:adjustRightInd w:val="0"/>
        <w:jc w:val="both"/>
        <w:rPr>
          <w:rFonts w:cs="BauschlombRegCond"/>
          <w:sz w:val="24"/>
          <w:szCs w:val="24"/>
        </w:rPr>
      </w:pPr>
    </w:p>
    <w:p w:rsidR="00666877" w:rsidRPr="00B659A8" w:rsidRDefault="00895A66" w:rsidP="0090456F">
      <w:pPr>
        <w:autoSpaceDE w:val="0"/>
        <w:autoSpaceDN w:val="0"/>
        <w:adjustRightInd w:val="0"/>
        <w:jc w:val="both"/>
        <w:rPr>
          <w:rFonts w:cs="BauschlombRegCond"/>
          <w:sz w:val="24"/>
          <w:szCs w:val="24"/>
        </w:rPr>
      </w:pPr>
      <w:r w:rsidRPr="00666877">
        <w:rPr>
          <w:rFonts w:cs="BauschlombRegCond"/>
          <w:i/>
          <w:sz w:val="24"/>
          <w:szCs w:val="24"/>
        </w:rPr>
        <w:t xml:space="preserve">Steroid </w:t>
      </w:r>
      <w:r w:rsidR="00B659A8" w:rsidRPr="00B659A8">
        <w:rPr>
          <w:bCs/>
          <w:i/>
          <w:sz w:val="24"/>
          <w:szCs w:val="24"/>
          <w:lang w:val="en-GB"/>
        </w:rPr>
        <w:t>responsive</w:t>
      </w:r>
      <w:r w:rsidR="00B659A8">
        <w:rPr>
          <w:bCs/>
          <w:i/>
          <w:szCs w:val="22"/>
          <w:lang w:val="en-GB"/>
        </w:rPr>
        <w:t xml:space="preserve"> </w:t>
      </w:r>
      <w:r w:rsidR="00B659A8" w:rsidRPr="00B659A8">
        <w:rPr>
          <w:bCs/>
          <w:i/>
          <w:sz w:val="24"/>
          <w:szCs w:val="24"/>
          <w:lang w:val="en-GB"/>
        </w:rPr>
        <w:t>inflammatory conditions of contact lens associated giant papillary conjunctivitis (GPC</w:t>
      </w:r>
      <w:r w:rsidR="00C35E20">
        <w:rPr>
          <w:bCs/>
          <w:i/>
          <w:sz w:val="24"/>
          <w:szCs w:val="24"/>
          <w:lang w:val="en-GB"/>
        </w:rPr>
        <w:t>)</w:t>
      </w:r>
    </w:p>
    <w:p w:rsidR="006722D6" w:rsidRDefault="00895A66" w:rsidP="0090456F">
      <w:pPr>
        <w:autoSpaceDE w:val="0"/>
        <w:autoSpaceDN w:val="0"/>
        <w:adjustRightInd w:val="0"/>
        <w:jc w:val="both"/>
        <w:rPr>
          <w:rFonts w:cs="BauschlombRegCond"/>
          <w:sz w:val="24"/>
          <w:szCs w:val="24"/>
        </w:rPr>
      </w:pPr>
      <w:r w:rsidRPr="005A08B5">
        <w:rPr>
          <w:rFonts w:cs="BauschlombRegCond"/>
          <w:sz w:val="24"/>
          <w:szCs w:val="24"/>
        </w:rPr>
        <w:t xml:space="preserve">Apply one to two drops of </w:t>
      </w:r>
      <w:r w:rsidR="00BB2FD0">
        <w:rPr>
          <w:rFonts w:cs="BauschlombRegCond"/>
          <w:sz w:val="24"/>
          <w:szCs w:val="24"/>
        </w:rPr>
        <w:t>Lotemax</w:t>
      </w:r>
      <w:r w:rsidRPr="005A08B5">
        <w:rPr>
          <w:rFonts w:cs="BauschlombRegCond"/>
          <w:sz w:val="24"/>
          <w:szCs w:val="24"/>
        </w:rPr>
        <w:t xml:space="preserve"> into the conjunctival sac of the affected eye(s) four times daily. </w:t>
      </w:r>
    </w:p>
    <w:p w:rsidR="008870BA" w:rsidRDefault="008870BA" w:rsidP="0090456F">
      <w:pPr>
        <w:autoSpaceDE w:val="0"/>
        <w:autoSpaceDN w:val="0"/>
        <w:adjustRightInd w:val="0"/>
        <w:jc w:val="both"/>
        <w:rPr>
          <w:rFonts w:cs="BauschlombRegCond"/>
          <w:sz w:val="24"/>
          <w:szCs w:val="24"/>
        </w:rPr>
      </w:pPr>
    </w:p>
    <w:p w:rsidR="008870BA" w:rsidRDefault="008870BA" w:rsidP="0090456F">
      <w:pPr>
        <w:autoSpaceDE w:val="0"/>
        <w:autoSpaceDN w:val="0"/>
        <w:adjustRightInd w:val="0"/>
        <w:jc w:val="both"/>
        <w:rPr>
          <w:rFonts w:cs="BauschlombRegCond"/>
          <w:sz w:val="24"/>
          <w:szCs w:val="24"/>
        </w:rPr>
      </w:pPr>
      <w:r>
        <w:rPr>
          <w:rFonts w:cs="BauschlombRegCond"/>
          <w:sz w:val="24"/>
          <w:szCs w:val="24"/>
        </w:rPr>
        <w:t xml:space="preserve">Systemic </w:t>
      </w:r>
      <w:r w:rsidR="005F07D1">
        <w:rPr>
          <w:rFonts w:cs="BauschlombRegCond"/>
          <w:sz w:val="24"/>
          <w:szCs w:val="24"/>
        </w:rPr>
        <w:t xml:space="preserve">absorption of </w:t>
      </w:r>
      <w:r w:rsidR="00DD59DC">
        <w:rPr>
          <w:rFonts w:cs="BauschlombRegCond"/>
          <w:sz w:val="24"/>
          <w:szCs w:val="24"/>
        </w:rPr>
        <w:t xml:space="preserve">Lotemax </w:t>
      </w:r>
      <w:r w:rsidR="005F07D1">
        <w:rPr>
          <w:rFonts w:cs="BauschlombRegCond"/>
          <w:sz w:val="24"/>
          <w:szCs w:val="24"/>
        </w:rPr>
        <w:t xml:space="preserve">may be reduced by compressing the lacrimal sac at the medial canthus for a minute during and following the instillation of the drops (this blocks the passage of the drops via the </w:t>
      </w:r>
      <w:r w:rsidR="00956C0A">
        <w:rPr>
          <w:rFonts w:cs="BauschlombRegCond"/>
          <w:sz w:val="24"/>
          <w:szCs w:val="24"/>
        </w:rPr>
        <w:t>n</w:t>
      </w:r>
      <w:r w:rsidR="005F07D1">
        <w:rPr>
          <w:rFonts w:cs="BauschlombRegCond"/>
          <w:sz w:val="24"/>
          <w:szCs w:val="24"/>
        </w:rPr>
        <w:t>aso-lacrimal duct to the wide absorptive area of the nasal and pharyngeal mucosa).</w:t>
      </w:r>
    </w:p>
    <w:p w:rsidR="001D0A9C" w:rsidRDefault="001D0A9C" w:rsidP="0090456F">
      <w:pPr>
        <w:autoSpaceDE w:val="0"/>
        <w:autoSpaceDN w:val="0"/>
        <w:adjustRightInd w:val="0"/>
        <w:jc w:val="both"/>
        <w:rPr>
          <w:rFonts w:cs="BauschlombRegCond"/>
          <w:sz w:val="24"/>
          <w:szCs w:val="24"/>
          <w:u w:val="single"/>
        </w:rPr>
      </w:pPr>
    </w:p>
    <w:p w:rsidR="009C1E08" w:rsidRPr="00582A8B" w:rsidRDefault="00FA11F5" w:rsidP="00582A8B">
      <w:pPr>
        <w:pStyle w:val="Heading1"/>
        <w:spacing w:line="360" w:lineRule="auto"/>
        <w:jc w:val="both"/>
        <w:rPr>
          <w:bCs/>
        </w:rPr>
      </w:pPr>
      <w:r w:rsidRPr="00582A8B">
        <w:rPr>
          <w:bCs/>
        </w:rPr>
        <w:t>O</w:t>
      </w:r>
      <w:r w:rsidR="000078AD" w:rsidRPr="00582A8B">
        <w:rPr>
          <w:bCs/>
        </w:rPr>
        <w:t xml:space="preserve">verdosage </w:t>
      </w:r>
    </w:p>
    <w:p w:rsidR="005A08B5" w:rsidRPr="00BB2FD0" w:rsidRDefault="00BB2FD0" w:rsidP="0090456F">
      <w:pPr>
        <w:autoSpaceDE w:val="0"/>
        <w:autoSpaceDN w:val="0"/>
        <w:adjustRightInd w:val="0"/>
        <w:jc w:val="both"/>
        <w:rPr>
          <w:rFonts w:cs="BauschlombRegCond"/>
          <w:sz w:val="24"/>
          <w:szCs w:val="24"/>
        </w:rPr>
      </w:pPr>
      <w:r w:rsidRPr="00BB2FD0">
        <w:rPr>
          <w:rFonts w:cs="BauschlombRegCond"/>
          <w:sz w:val="24"/>
          <w:szCs w:val="24"/>
        </w:rPr>
        <w:t xml:space="preserve">Overdose is unlikely to occur after ocular administration. If overdose occurs, treatment should be symptomatic. </w:t>
      </w:r>
      <w:r w:rsidR="004E06B8">
        <w:rPr>
          <w:rFonts w:cs="BauschlombRegCond"/>
          <w:sz w:val="24"/>
          <w:szCs w:val="24"/>
        </w:rPr>
        <w:t xml:space="preserve"> </w:t>
      </w:r>
      <w:r w:rsidRPr="00BB2FD0">
        <w:rPr>
          <w:rFonts w:cs="BauschlombRegCond"/>
          <w:sz w:val="24"/>
          <w:szCs w:val="24"/>
        </w:rPr>
        <w:t>Contact the Poisons Information Centre on 131126 for advice on management.</w:t>
      </w:r>
    </w:p>
    <w:p w:rsidR="00E42EFD" w:rsidRDefault="00E42EFD" w:rsidP="0090456F">
      <w:pPr>
        <w:tabs>
          <w:tab w:val="left" w:pos="567"/>
        </w:tabs>
        <w:autoSpaceDE w:val="0"/>
        <w:autoSpaceDN w:val="0"/>
        <w:adjustRightInd w:val="0"/>
        <w:jc w:val="both"/>
        <w:rPr>
          <w:sz w:val="24"/>
          <w:szCs w:val="24"/>
        </w:rPr>
      </w:pPr>
    </w:p>
    <w:p w:rsidR="00E42EFD" w:rsidRPr="00D206E8" w:rsidRDefault="00E42EFD" w:rsidP="0090456F">
      <w:pPr>
        <w:tabs>
          <w:tab w:val="left" w:pos="567"/>
        </w:tabs>
        <w:autoSpaceDE w:val="0"/>
        <w:autoSpaceDN w:val="0"/>
        <w:adjustRightInd w:val="0"/>
        <w:jc w:val="both"/>
        <w:rPr>
          <w:sz w:val="24"/>
          <w:szCs w:val="24"/>
        </w:rPr>
      </w:pPr>
    </w:p>
    <w:p w:rsidR="002D4D47" w:rsidRPr="00582A8B" w:rsidRDefault="009C1E08" w:rsidP="0090456F">
      <w:pPr>
        <w:pStyle w:val="Heading1"/>
        <w:keepNext w:val="0"/>
        <w:autoSpaceDE w:val="0"/>
        <w:autoSpaceDN w:val="0"/>
        <w:adjustRightInd w:val="0"/>
        <w:jc w:val="both"/>
        <w:rPr>
          <w:bCs/>
        </w:rPr>
      </w:pPr>
      <w:r w:rsidRPr="00582A8B">
        <w:rPr>
          <w:bCs/>
        </w:rPr>
        <w:t>P</w:t>
      </w:r>
      <w:r w:rsidR="000078AD" w:rsidRPr="00582A8B">
        <w:rPr>
          <w:bCs/>
        </w:rPr>
        <w:t>resentation and storage conditions</w:t>
      </w:r>
    </w:p>
    <w:p w:rsidR="00503E7D" w:rsidRPr="00503E7D" w:rsidRDefault="00503E7D" w:rsidP="0090456F">
      <w:pPr>
        <w:pStyle w:val="Default"/>
        <w:jc w:val="both"/>
        <w:rPr>
          <w:lang w:val="en-AU"/>
        </w:rPr>
      </w:pPr>
    </w:p>
    <w:p w:rsidR="00A0698B" w:rsidRDefault="00A0698B" w:rsidP="0090456F">
      <w:pPr>
        <w:pStyle w:val="CM10"/>
        <w:tabs>
          <w:tab w:val="left" w:pos="567"/>
        </w:tabs>
        <w:jc w:val="both"/>
        <w:rPr>
          <w:u w:val="single"/>
        </w:rPr>
      </w:pPr>
      <w:r w:rsidRPr="000078AD">
        <w:rPr>
          <w:u w:val="single"/>
        </w:rPr>
        <w:t>Presentation</w:t>
      </w:r>
    </w:p>
    <w:p w:rsidR="00B70EE3" w:rsidRPr="00D206E8" w:rsidRDefault="0041137E" w:rsidP="0090456F">
      <w:pPr>
        <w:pStyle w:val="CM10"/>
        <w:tabs>
          <w:tab w:val="left" w:pos="0"/>
        </w:tabs>
        <w:jc w:val="both"/>
      </w:pPr>
      <w:r>
        <w:t>Lotemax</w:t>
      </w:r>
      <w:r w:rsidR="00B70EE3" w:rsidRPr="00D206E8">
        <w:t xml:space="preserve"> </w:t>
      </w:r>
      <w:r w:rsidR="008E11B8">
        <w:t xml:space="preserve">loteprednol etabonate </w:t>
      </w:r>
      <w:r w:rsidR="001D1DE4" w:rsidRPr="00D206E8">
        <w:t>0.</w:t>
      </w:r>
      <w:r w:rsidR="001D1DE4">
        <w:t xml:space="preserve">5% </w:t>
      </w:r>
      <w:r w:rsidR="008E11B8">
        <w:t>eye drops s</w:t>
      </w:r>
      <w:r w:rsidR="00B70EE3" w:rsidRPr="00D206E8">
        <w:t xml:space="preserve">uspension </w:t>
      </w:r>
      <w:r w:rsidR="004E06B8">
        <w:t>is supplied as a sterile</w:t>
      </w:r>
      <w:r w:rsidR="00507F02">
        <w:t xml:space="preserve"> </w:t>
      </w:r>
      <w:r w:rsidR="00B70EE3" w:rsidRPr="00D206E8">
        <w:t xml:space="preserve">suspension in a white low density polyethylene (LDPE) bottle with a controlled dropper tip and polypropylene cap. Tamper evidence is provided with a shrink band around the cap and neck area of the </w:t>
      </w:r>
      <w:r w:rsidR="00503E7D">
        <w:t>bottle</w:t>
      </w:r>
      <w:r w:rsidR="00B70EE3" w:rsidRPr="00D206E8">
        <w:t>.</w:t>
      </w:r>
      <w:r w:rsidR="004E06B8">
        <w:t xml:space="preserve"> </w:t>
      </w:r>
    </w:p>
    <w:p w:rsidR="00547ED3" w:rsidRPr="00D206E8" w:rsidRDefault="00CD4D4A" w:rsidP="0090456F">
      <w:pPr>
        <w:pStyle w:val="CM15"/>
        <w:tabs>
          <w:tab w:val="left" w:pos="567"/>
        </w:tabs>
        <w:jc w:val="both"/>
      </w:pPr>
      <w:r>
        <w:lastRenderedPageBreak/>
        <w:t>Lotemax</w:t>
      </w:r>
      <w:r w:rsidR="00F77DBE" w:rsidRPr="00D206E8">
        <w:t xml:space="preserve"> </w:t>
      </w:r>
      <w:r w:rsidR="008E11B8">
        <w:t xml:space="preserve">loteprednol etabonate </w:t>
      </w:r>
      <w:r w:rsidR="00F77DBE" w:rsidRPr="00D206E8">
        <w:t>0.</w:t>
      </w:r>
      <w:r>
        <w:t>5</w:t>
      </w:r>
      <w:r w:rsidR="00F77DBE" w:rsidRPr="00D206E8">
        <w:t xml:space="preserve">% </w:t>
      </w:r>
      <w:r w:rsidR="008E11B8">
        <w:t>eye drops s</w:t>
      </w:r>
      <w:r w:rsidR="005D08AF">
        <w:t>uspension</w:t>
      </w:r>
      <w:r w:rsidR="006722D6">
        <w:t xml:space="preserve"> is available in the following pack sizes</w:t>
      </w:r>
      <w:r w:rsidR="00507F02">
        <w:t>:</w:t>
      </w:r>
      <w:r w:rsidR="006722D6">
        <w:t xml:space="preserve"> </w:t>
      </w:r>
      <w:r w:rsidR="0008014C">
        <w:t>2.5ml</w:t>
      </w:r>
      <w:r w:rsidR="00606A15">
        <w:t xml:space="preserve"> (sample pack)</w:t>
      </w:r>
      <w:r w:rsidR="0008014C">
        <w:t xml:space="preserve">, </w:t>
      </w:r>
      <w:r>
        <w:t>5ml</w:t>
      </w:r>
      <w:r w:rsidR="0008014C">
        <w:t xml:space="preserve">, </w:t>
      </w:r>
      <w:r>
        <w:t>10ml</w:t>
      </w:r>
      <w:r w:rsidR="0008014C">
        <w:t xml:space="preserve"> and 15ml</w:t>
      </w:r>
      <w:r>
        <w:t>.</w:t>
      </w:r>
      <w:r w:rsidR="00F77DBE" w:rsidRPr="00D206E8">
        <w:t xml:space="preserve"> </w:t>
      </w:r>
    </w:p>
    <w:p w:rsidR="004E06B8" w:rsidRDefault="004E06B8" w:rsidP="0090456F">
      <w:pPr>
        <w:pStyle w:val="CM10"/>
        <w:tabs>
          <w:tab w:val="left" w:pos="567"/>
        </w:tabs>
        <w:jc w:val="both"/>
        <w:rPr>
          <w:u w:val="single"/>
        </w:rPr>
      </w:pPr>
    </w:p>
    <w:p w:rsidR="00A0698B" w:rsidRDefault="00A0698B" w:rsidP="0090456F">
      <w:pPr>
        <w:pStyle w:val="CM10"/>
        <w:tabs>
          <w:tab w:val="left" w:pos="567"/>
        </w:tabs>
        <w:jc w:val="both"/>
        <w:rPr>
          <w:u w:val="single"/>
        </w:rPr>
      </w:pPr>
      <w:r w:rsidRPr="000078AD">
        <w:rPr>
          <w:u w:val="single"/>
        </w:rPr>
        <w:t>Storage Condition</w:t>
      </w:r>
      <w:r w:rsidR="000078AD">
        <w:rPr>
          <w:u w:val="single"/>
        </w:rPr>
        <w:t>s</w:t>
      </w:r>
    </w:p>
    <w:p w:rsidR="004E06B8" w:rsidRDefault="00F77DBE" w:rsidP="0090456F">
      <w:pPr>
        <w:pStyle w:val="CM10"/>
        <w:tabs>
          <w:tab w:val="left" w:pos="567"/>
        </w:tabs>
        <w:jc w:val="both"/>
      </w:pPr>
      <w:r w:rsidRPr="00D206E8">
        <w:t>Store below 25°C.</w:t>
      </w:r>
      <w:r w:rsidR="0008014C" w:rsidRPr="0008014C">
        <w:t xml:space="preserve"> </w:t>
      </w:r>
    </w:p>
    <w:p w:rsidR="0077500D" w:rsidRPr="0077500D" w:rsidRDefault="0077500D" w:rsidP="0077500D">
      <w:pPr>
        <w:pStyle w:val="Default"/>
        <w:rPr>
          <w:rFonts w:ascii="Times New Roman" w:hAnsi="Times New Roman" w:cs="Times New Roman"/>
          <w:lang w:val="en-AU" w:eastAsia="en-AU"/>
        </w:rPr>
      </w:pPr>
      <w:r w:rsidRPr="0077500D">
        <w:rPr>
          <w:rFonts w:ascii="Times New Roman" w:hAnsi="Times New Roman" w:cs="Times New Roman"/>
          <w:lang w:val="en-AU" w:eastAsia="en-AU"/>
        </w:rPr>
        <w:t>Do not freeze.</w:t>
      </w:r>
    </w:p>
    <w:p w:rsidR="0077500D" w:rsidRPr="0077500D" w:rsidRDefault="0077500D" w:rsidP="0077500D">
      <w:pPr>
        <w:pStyle w:val="Default"/>
        <w:rPr>
          <w:rFonts w:ascii="Times New Roman" w:hAnsi="Times New Roman" w:cs="Times New Roman"/>
          <w:lang w:val="en-AU" w:eastAsia="en-AU"/>
        </w:rPr>
      </w:pPr>
      <w:proofErr w:type="gramStart"/>
      <w:r w:rsidRPr="0077500D">
        <w:rPr>
          <w:rFonts w:ascii="Times New Roman" w:hAnsi="Times New Roman" w:cs="Times New Roman"/>
          <w:lang w:val="en-AU" w:eastAsia="en-AU"/>
        </w:rPr>
        <w:t>Store in an upright position.</w:t>
      </w:r>
      <w:proofErr w:type="gramEnd"/>
    </w:p>
    <w:p w:rsidR="00F77DBE" w:rsidRPr="0008014C" w:rsidRDefault="00F77DBE" w:rsidP="0090456F">
      <w:pPr>
        <w:pStyle w:val="CM10"/>
        <w:tabs>
          <w:tab w:val="left" w:pos="567"/>
        </w:tabs>
        <w:jc w:val="both"/>
        <w:rPr>
          <w:sz w:val="16"/>
          <w:szCs w:val="16"/>
          <w:lang w:eastAsia="en-US"/>
        </w:rPr>
      </w:pPr>
      <w:r w:rsidRPr="00D206E8">
        <w:t>Discard container four weeks after opening.</w:t>
      </w:r>
    </w:p>
    <w:p w:rsidR="00D206E8" w:rsidRDefault="00D206E8" w:rsidP="0090456F">
      <w:pPr>
        <w:pStyle w:val="Default"/>
        <w:tabs>
          <w:tab w:val="left" w:pos="567"/>
        </w:tabs>
        <w:jc w:val="both"/>
        <w:rPr>
          <w:color w:val="auto"/>
        </w:rPr>
      </w:pPr>
    </w:p>
    <w:p w:rsidR="00097E2B" w:rsidRDefault="00097E2B" w:rsidP="0090456F">
      <w:pPr>
        <w:pStyle w:val="Default"/>
        <w:tabs>
          <w:tab w:val="left" w:pos="567"/>
        </w:tabs>
        <w:jc w:val="both"/>
        <w:rPr>
          <w:color w:val="auto"/>
        </w:rPr>
      </w:pPr>
    </w:p>
    <w:p w:rsidR="009C1E08" w:rsidRPr="00582A8B" w:rsidRDefault="00CB5DCD" w:rsidP="0090456F">
      <w:pPr>
        <w:pStyle w:val="Heading1"/>
        <w:keepNext w:val="0"/>
        <w:autoSpaceDE w:val="0"/>
        <w:autoSpaceDN w:val="0"/>
        <w:adjustRightInd w:val="0"/>
        <w:jc w:val="both"/>
        <w:rPr>
          <w:bCs/>
        </w:rPr>
      </w:pPr>
      <w:r w:rsidRPr="00582A8B">
        <w:rPr>
          <w:bCs/>
        </w:rPr>
        <w:t>N</w:t>
      </w:r>
      <w:r w:rsidR="000078AD" w:rsidRPr="00582A8B">
        <w:rPr>
          <w:bCs/>
        </w:rPr>
        <w:t>ame and address of sponsor</w:t>
      </w:r>
      <w:r w:rsidR="009C1E08" w:rsidRPr="00582A8B">
        <w:rPr>
          <w:bCs/>
        </w:rPr>
        <w:t xml:space="preserve"> </w:t>
      </w:r>
    </w:p>
    <w:p w:rsidR="00565B2E" w:rsidRPr="00BE3469" w:rsidRDefault="003608CE" w:rsidP="0090456F">
      <w:pPr>
        <w:pStyle w:val="CM17"/>
        <w:tabs>
          <w:tab w:val="left" w:pos="567"/>
        </w:tabs>
        <w:jc w:val="both"/>
      </w:pPr>
      <w:r w:rsidRPr="00BE3469">
        <w:t xml:space="preserve">Bausch &amp; Lomb </w:t>
      </w:r>
      <w:r w:rsidR="00CD1633">
        <w:t>(</w:t>
      </w:r>
      <w:r w:rsidR="00565B2E" w:rsidRPr="00BE3469">
        <w:t>Australia</w:t>
      </w:r>
      <w:r w:rsidR="00CD1633">
        <w:t>)</w:t>
      </w:r>
      <w:r w:rsidR="00565B2E" w:rsidRPr="00BE3469">
        <w:t xml:space="preserve"> Pty Ltd </w:t>
      </w:r>
    </w:p>
    <w:p w:rsidR="00666877" w:rsidRDefault="00975A54" w:rsidP="0090456F">
      <w:pPr>
        <w:pStyle w:val="CM17"/>
        <w:tabs>
          <w:tab w:val="left" w:pos="567"/>
        </w:tabs>
        <w:jc w:val="both"/>
      </w:pPr>
      <w:r>
        <w:t xml:space="preserve">G/F </w:t>
      </w:r>
      <w:r w:rsidR="00565B2E" w:rsidRPr="00D206E8">
        <w:t xml:space="preserve">16 Giffnock Avenue, </w:t>
      </w:r>
    </w:p>
    <w:p w:rsidR="00666877" w:rsidRDefault="00565B2E" w:rsidP="0090456F">
      <w:pPr>
        <w:pStyle w:val="CM17"/>
        <w:tabs>
          <w:tab w:val="left" w:pos="567"/>
        </w:tabs>
        <w:jc w:val="both"/>
      </w:pPr>
      <w:r w:rsidRPr="00D206E8">
        <w:t xml:space="preserve">Macquarie Park </w:t>
      </w:r>
    </w:p>
    <w:p w:rsidR="003608CE" w:rsidRPr="00D206E8" w:rsidRDefault="00565B2E" w:rsidP="0090456F">
      <w:pPr>
        <w:pStyle w:val="CM17"/>
        <w:tabs>
          <w:tab w:val="left" w:pos="567"/>
        </w:tabs>
        <w:jc w:val="both"/>
      </w:pPr>
      <w:r w:rsidRPr="00D206E8">
        <w:t xml:space="preserve">NSW 2113 </w:t>
      </w:r>
    </w:p>
    <w:p w:rsidR="00565B2E" w:rsidRPr="00D206E8" w:rsidRDefault="00565B2E" w:rsidP="0090456F">
      <w:pPr>
        <w:pStyle w:val="Default"/>
        <w:tabs>
          <w:tab w:val="left" w:pos="567"/>
        </w:tabs>
        <w:jc w:val="both"/>
        <w:rPr>
          <w:lang w:val="en-AU"/>
        </w:rPr>
      </w:pPr>
    </w:p>
    <w:p w:rsidR="0040757C" w:rsidRDefault="0040757C" w:rsidP="0090456F">
      <w:pPr>
        <w:pStyle w:val="Heading1"/>
        <w:keepNext w:val="0"/>
        <w:tabs>
          <w:tab w:val="left" w:pos="567"/>
        </w:tabs>
        <w:autoSpaceDE w:val="0"/>
        <w:autoSpaceDN w:val="0"/>
        <w:adjustRightInd w:val="0"/>
        <w:jc w:val="both"/>
        <w:rPr>
          <w:szCs w:val="24"/>
        </w:rPr>
      </w:pPr>
      <w:r w:rsidRPr="00D206E8">
        <w:rPr>
          <w:szCs w:val="24"/>
        </w:rPr>
        <w:t>P</w:t>
      </w:r>
      <w:r w:rsidR="000078AD" w:rsidRPr="00D206E8">
        <w:rPr>
          <w:szCs w:val="24"/>
        </w:rPr>
        <w:t>oison schedule of the medicine</w:t>
      </w:r>
    </w:p>
    <w:p w:rsidR="0040757C" w:rsidRPr="00D206E8" w:rsidRDefault="0040757C" w:rsidP="0090456F">
      <w:pPr>
        <w:tabs>
          <w:tab w:val="left" w:pos="567"/>
        </w:tabs>
        <w:autoSpaceDE w:val="0"/>
        <w:autoSpaceDN w:val="0"/>
        <w:adjustRightInd w:val="0"/>
        <w:jc w:val="both"/>
        <w:rPr>
          <w:sz w:val="24"/>
          <w:szCs w:val="24"/>
        </w:rPr>
      </w:pPr>
      <w:r w:rsidRPr="00D206E8">
        <w:rPr>
          <w:sz w:val="24"/>
          <w:szCs w:val="24"/>
        </w:rPr>
        <w:t>S4 – Prescription Only Medicine</w:t>
      </w:r>
    </w:p>
    <w:p w:rsidR="00565B2E" w:rsidRPr="00D206E8" w:rsidRDefault="00565B2E" w:rsidP="0090456F">
      <w:pPr>
        <w:tabs>
          <w:tab w:val="left" w:pos="567"/>
        </w:tabs>
        <w:autoSpaceDE w:val="0"/>
        <w:autoSpaceDN w:val="0"/>
        <w:adjustRightInd w:val="0"/>
        <w:jc w:val="both"/>
        <w:rPr>
          <w:b/>
          <w:sz w:val="24"/>
          <w:szCs w:val="24"/>
        </w:rPr>
      </w:pPr>
    </w:p>
    <w:p w:rsidR="00CB5DCD" w:rsidRPr="00582A8B" w:rsidRDefault="000078AD" w:rsidP="0090456F">
      <w:pPr>
        <w:pStyle w:val="Heading1"/>
        <w:keepNext w:val="0"/>
        <w:autoSpaceDE w:val="0"/>
        <w:autoSpaceDN w:val="0"/>
        <w:adjustRightInd w:val="0"/>
        <w:jc w:val="both"/>
        <w:rPr>
          <w:bCs/>
          <w:szCs w:val="24"/>
        </w:rPr>
      </w:pPr>
      <w:r w:rsidRPr="00582A8B">
        <w:rPr>
          <w:bCs/>
          <w:szCs w:val="24"/>
        </w:rPr>
        <w:t>Date of first inclusion in the Australian Register of Therapeutic Goods</w:t>
      </w:r>
      <w:r w:rsidR="00CB5DCD" w:rsidRPr="00582A8B">
        <w:rPr>
          <w:bCs/>
          <w:szCs w:val="24"/>
        </w:rPr>
        <w:t xml:space="preserve"> (ARTG) </w:t>
      </w:r>
    </w:p>
    <w:p w:rsidR="004E06B8" w:rsidRPr="004E06B8" w:rsidRDefault="00F62A3D" w:rsidP="0090456F">
      <w:pPr>
        <w:tabs>
          <w:tab w:val="left" w:pos="567"/>
        </w:tabs>
        <w:autoSpaceDE w:val="0"/>
        <w:autoSpaceDN w:val="0"/>
        <w:adjustRightInd w:val="0"/>
        <w:jc w:val="both"/>
        <w:rPr>
          <w:sz w:val="24"/>
          <w:szCs w:val="24"/>
        </w:rPr>
      </w:pPr>
      <w:r>
        <w:rPr>
          <w:sz w:val="24"/>
          <w:szCs w:val="24"/>
        </w:rPr>
        <w:t>16 Jan 2014</w:t>
      </w:r>
    </w:p>
    <w:sectPr w:rsidR="004E06B8" w:rsidRPr="004E06B8" w:rsidSect="000D69E6">
      <w:headerReference w:type="default" r:id="rId14"/>
      <w:footerReference w:type="default" r:id="rId15"/>
      <w:pgSz w:w="12240" w:h="15840"/>
      <w:pgMar w:top="1304" w:right="1797" w:bottom="1134"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D8" w:rsidRDefault="00983DD8">
      <w:r>
        <w:separator/>
      </w:r>
    </w:p>
  </w:endnote>
  <w:endnote w:type="continuationSeparator" w:id="0">
    <w:p w:rsidR="00983DD8" w:rsidRDefault="0098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uschlombRegCon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BauschlombBoldCond">
    <w:panose1 w:val="00000000000000000000"/>
    <w:charset w:val="00"/>
    <w:family w:val="swiss"/>
    <w:notTrueType/>
    <w:pitch w:val="default"/>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BauschlombRegCondIt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7" w:rsidRPr="0062704C" w:rsidRDefault="00913357" w:rsidP="0062704C">
    <w:pPr>
      <w:pStyle w:val="Footer"/>
    </w:pPr>
    <w:r w:rsidRPr="0062704C">
      <w:tab/>
    </w:r>
    <w:r w:rsidRPr="0062704C">
      <w:tab/>
    </w:r>
  </w:p>
  <w:p w:rsidR="00913357" w:rsidRPr="0062704C" w:rsidRDefault="00913357" w:rsidP="00C529A5">
    <w:pPr>
      <w:pStyle w:val="Footer"/>
      <w:pBdr>
        <w:top w:val="single" w:sz="4" w:space="1" w:color="auto"/>
      </w:pBdr>
      <w:ind w:right="-94"/>
      <w:rPr>
        <w:i/>
        <w:sz w:val="16"/>
        <w:szCs w:val="16"/>
        <w:lang w:val="en-US"/>
      </w:rPr>
    </w:pPr>
    <w:r w:rsidRPr="0062704C">
      <w:rPr>
        <w:sz w:val="16"/>
        <w:szCs w:val="16"/>
      </w:rPr>
      <w:t>Lotemax PI-</w:t>
    </w:r>
    <w:r w:rsidR="00F62A3D">
      <w:rPr>
        <w:sz w:val="16"/>
        <w:szCs w:val="16"/>
      </w:rPr>
      <w:t>A140116-v1.0</w:t>
    </w:r>
    <w:r w:rsidRPr="0062704C">
      <w:rPr>
        <w:sz w:val="16"/>
        <w:szCs w:val="16"/>
      </w:rPr>
      <w:tab/>
    </w:r>
    <w:r w:rsidRPr="0062704C">
      <w:rPr>
        <w:sz w:val="16"/>
        <w:szCs w:val="16"/>
      </w:rPr>
      <w:tab/>
      <w:t xml:space="preserve">Page </w:t>
    </w:r>
    <w:r w:rsidRPr="0062704C">
      <w:rPr>
        <w:bCs/>
        <w:sz w:val="16"/>
        <w:szCs w:val="16"/>
      </w:rPr>
      <w:fldChar w:fldCharType="begin"/>
    </w:r>
    <w:r w:rsidRPr="0062704C">
      <w:rPr>
        <w:bCs/>
        <w:sz w:val="16"/>
        <w:szCs w:val="16"/>
      </w:rPr>
      <w:instrText xml:space="preserve"> PAGE </w:instrText>
    </w:r>
    <w:r w:rsidRPr="0062704C">
      <w:rPr>
        <w:bCs/>
        <w:sz w:val="16"/>
        <w:szCs w:val="16"/>
      </w:rPr>
      <w:fldChar w:fldCharType="separate"/>
    </w:r>
    <w:r w:rsidR="004570DF">
      <w:rPr>
        <w:bCs/>
        <w:noProof/>
        <w:sz w:val="16"/>
        <w:szCs w:val="16"/>
      </w:rPr>
      <w:t>13</w:t>
    </w:r>
    <w:r w:rsidRPr="0062704C">
      <w:rPr>
        <w:bCs/>
        <w:sz w:val="16"/>
        <w:szCs w:val="16"/>
      </w:rPr>
      <w:fldChar w:fldCharType="end"/>
    </w:r>
    <w:r w:rsidRPr="0062704C">
      <w:rPr>
        <w:sz w:val="16"/>
        <w:szCs w:val="16"/>
      </w:rPr>
      <w:t xml:space="preserve"> of </w:t>
    </w:r>
    <w:r w:rsidRPr="0062704C">
      <w:rPr>
        <w:bCs/>
        <w:sz w:val="16"/>
        <w:szCs w:val="16"/>
      </w:rPr>
      <w:fldChar w:fldCharType="begin"/>
    </w:r>
    <w:r w:rsidRPr="0062704C">
      <w:rPr>
        <w:bCs/>
        <w:sz w:val="16"/>
        <w:szCs w:val="16"/>
      </w:rPr>
      <w:instrText xml:space="preserve"> NUMPAGES  </w:instrText>
    </w:r>
    <w:r w:rsidRPr="0062704C">
      <w:rPr>
        <w:bCs/>
        <w:sz w:val="16"/>
        <w:szCs w:val="16"/>
      </w:rPr>
      <w:fldChar w:fldCharType="separate"/>
    </w:r>
    <w:r w:rsidR="004570DF">
      <w:rPr>
        <w:bCs/>
        <w:noProof/>
        <w:sz w:val="16"/>
        <w:szCs w:val="16"/>
      </w:rPr>
      <w:t>13</w:t>
    </w:r>
    <w:r w:rsidRPr="0062704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D8" w:rsidRDefault="00983DD8">
      <w:r>
        <w:separator/>
      </w:r>
    </w:p>
  </w:footnote>
  <w:footnote w:type="continuationSeparator" w:id="0">
    <w:p w:rsidR="00983DD8" w:rsidRDefault="0098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57" w:rsidRPr="00CE4992" w:rsidRDefault="00CE4992" w:rsidP="00CE4992">
    <w:pPr>
      <w:pBdr>
        <w:top w:val="single" w:sz="4" w:space="1" w:color="auto"/>
        <w:left w:val="single" w:sz="4" w:space="4" w:color="auto"/>
        <w:bottom w:val="single" w:sz="4" w:space="1" w:color="auto"/>
        <w:right w:val="single" w:sz="4" w:space="4" w:color="auto"/>
      </w:pBdr>
      <w:shd w:val="clear" w:color="auto" w:fill="E4F2E0"/>
      <w:spacing w:before="40" w:after="40"/>
      <w:rPr>
        <w:b/>
      </w:rPr>
    </w:pPr>
    <w:r w:rsidRPr="00D361CA">
      <w:rPr>
        <w:b/>
      </w:rPr>
      <w:t xml:space="preserve">Attachment 1: Product information for </w:t>
    </w:r>
    <w:r w:rsidRPr="00CE4992">
      <w:rPr>
        <w:b/>
      </w:rPr>
      <w:t>AusPAR Lotemax loteprednol etabonate Bausch &amp; Lomb PM- PM-2012-03141-1-5 Date of Finalisation 17 April 2014</w:t>
    </w:r>
    <w:r w:rsidRPr="00D361CA">
      <w:rPr>
        <w:b/>
      </w:rPr>
      <w:t>. This Product Information was approved at the time this AusPAR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0314D"/>
    <w:multiLevelType w:val="hybridMultilevel"/>
    <w:tmpl w:val="B2F23E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92635B"/>
    <w:multiLevelType w:val="hybridMultilevel"/>
    <w:tmpl w:val="0BC78E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F6FAA"/>
    <w:multiLevelType w:val="hybridMultilevel"/>
    <w:tmpl w:val="3FA40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1FD7EDE"/>
    <w:multiLevelType w:val="hybridMultilevel"/>
    <w:tmpl w:val="C4744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056F4C"/>
    <w:multiLevelType w:val="multilevel"/>
    <w:tmpl w:val="C416F4BA"/>
    <w:lvl w:ilvl="0">
      <w:start w:val="1"/>
      <w:numFmt w:val="lowerRoman"/>
      <w:lvlText w:val="%1)"/>
      <w:lvlJc w:val="left"/>
      <w:pPr>
        <w:tabs>
          <w:tab w:val="num" w:pos="0"/>
        </w:tabs>
        <w:ind w:left="567" w:hanging="567"/>
      </w:pPr>
      <w:rPr>
        <w:rFonts w:hint="default"/>
        <w:b/>
        <w:cap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BDC23AB"/>
    <w:multiLevelType w:val="hybridMultilevel"/>
    <w:tmpl w:val="19B8233E"/>
    <w:lvl w:ilvl="0" w:tplc="24BEEB7C">
      <w:start w:val="3"/>
      <w:numFmt w:val="lowerRoman"/>
      <w:lvlText w:val="%1)"/>
      <w:lvlJc w:val="left"/>
      <w:pPr>
        <w:tabs>
          <w:tab w:val="num" w:pos="0"/>
        </w:tabs>
        <w:ind w:left="720" w:hanging="720"/>
      </w:pPr>
      <w:rPr>
        <w:rFonts w:hint="default"/>
        <w:b/>
        <w:caps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3A023AC"/>
    <w:multiLevelType w:val="multilevel"/>
    <w:tmpl w:val="909419C4"/>
    <w:lvl w:ilvl="0">
      <w:numFmt w:val="bullet"/>
      <w:lvlText w:val="-"/>
      <w:lvlJc w:val="left"/>
      <w:pPr>
        <w:tabs>
          <w:tab w:val="num" w:pos="-240"/>
        </w:tabs>
        <w:ind w:left="-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51323F3"/>
    <w:multiLevelType w:val="hybridMultilevel"/>
    <w:tmpl w:val="AE4C1772"/>
    <w:lvl w:ilvl="0" w:tplc="00AC122C">
      <w:start w:val="1"/>
      <w:numFmt w:val="bullet"/>
      <w:lvlText w:val=""/>
      <w:lvlJc w:val="left"/>
      <w:pPr>
        <w:tabs>
          <w:tab w:val="num" w:pos="264"/>
        </w:tabs>
        <w:ind w:left="264" w:hanging="264"/>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1D381197"/>
    <w:multiLevelType w:val="hybridMultilevel"/>
    <w:tmpl w:val="909419C4"/>
    <w:lvl w:ilvl="0" w:tplc="A184BA1E">
      <w:numFmt w:val="bullet"/>
      <w:lvlText w:val="-"/>
      <w:lvlJc w:val="left"/>
      <w:pPr>
        <w:tabs>
          <w:tab w:val="num" w:pos="-240"/>
        </w:tabs>
        <w:ind w:left="-2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1B58BF"/>
    <w:multiLevelType w:val="multilevel"/>
    <w:tmpl w:val="C1625042"/>
    <w:lvl w:ilvl="0">
      <w:start w:val="1"/>
      <w:numFmt w:val="lowerRoman"/>
      <w:lvlText w:val="%1)"/>
      <w:lvlJc w:val="left"/>
      <w:pPr>
        <w:ind w:left="720" w:hanging="720"/>
      </w:pPr>
      <w:rPr>
        <w:rFonts w:hint="default"/>
        <w:b/>
        <w:cap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4816AAA"/>
    <w:multiLevelType w:val="hybridMultilevel"/>
    <w:tmpl w:val="2D0A22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1446C8"/>
    <w:multiLevelType w:val="hybridMultilevel"/>
    <w:tmpl w:val="7A5813AE"/>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885ABA"/>
    <w:multiLevelType w:val="multilevel"/>
    <w:tmpl w:val="8C9EEFF4"/>
    <w:lvl w:ilvl="0">
      <w:start w:val="3"/>
      <w:numFmt w:val="lowerRoman"/>
      <w:lvlText w:val="%1)"/>
      <w:lvlJc w:val="left"/>
      <w:pPr>
        <w:tabs>
          <w:tab w:val="num" w:pos="0"/>
        </w:tabs>
        <w:ind w:left="567" w:hanging="567"/>
      </w:pPr>
      <w:rPr>
        <w:rFonts w:hint="default"/>
        <w:b/>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8A066D"/>
    <w:multiLevelType w:val="hybridMultilevel"/>
    <w:tmpl w:val="7794E3FA"/>
    <w:lvl w:ilvl="0" w:tplc="04090001">
      <w:start w:val="1"/>
      <w:numFmt w:val="bullet"/>
      <w:lvlText w:val=""/>
      <w:lvlJc w:val="left"/>
      <w:pPr>
        <w:tabs>
          <w:tab w:val="num" w:pos="-240"/>
        </w:tabs>
        <w:ind w:left="-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0D1EFB"/>
    <w:multiLevelType w:val="multilevel"/>
    <w:tmpl w:val="D94CE588"/>
    <w:lvl w:ilvl="0">
      <w:start w:val="3"/>
      <w:numFmt w:val="lowerRoman"/>
      <w:lvlText w:val="%1)"/>
      <w:lvlJc w:val="left"/>
      <w:pPr>
        <w:tabs>
          <w:tab w:val="num" w:pos="0"/>
        </w:tabs>
        <w:ind w:left="567" w:hanging="567"/>
      </w:pPr>
      <w:rPr>
        <w:rFonts w:hint="default"/>
        <w:b/>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3D22241"/>
    <w:multiLevelType w:val="hybridMultilevel"/>
    <w:tmpl w:val="BAC0F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D12538"/>
    <w:multiLevelType w:val="hybridMultilevel"/>
    <w:tmpl w:val="358C8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991777"/>
    <w:multiLevelType w:val="multilevel"/>
    <w:tmpl w:val="19B8233E"/>
    <w:lvl w:ilvl="0">
      <w:start w:val="3"/>
      <w:numFmt w:val="lowerRoman"/>
      <w:lvlText w:val="%1)"/>
      <w:lvlJc w:val="left"/>
      <w:pPr>
        <w:tabs>
          <w:tab w:val="num" w:pos="0"/>
        </w:tabs>
        <w:ind w:left="720" w:hanging="720"/>
      </w:pPr>
      <w:rPr>
        <w:rFonts w:hint="default"/>
        <w:b/>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B2F1365"/>
    <w:multiLevelType w:val="hybridMultilevel"/>
    <w:tmpl w:val="76DA1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C51A6C"/>
    <w:multiLevelType w:val="hybridMultilevel"/>
    <w:tmpl w:val="C416F4BA"/>
    <w:lvl w:ilvl="0" w:tplc="1752FD40">
      <w:start w:val="1"/>
      <w:numFmt w:val="lowerRoman"/>
      <w:lvlText w:val="%1)"/>
      <w:lvlJc w:val="left"/>
      <w:pPr>
        <w:tabs>
          <w:tab w:val="num" w:pos="0"/>
        </w:tabs>
        <w:ind w:left="567" w:hanging="567"/>
      </w:pPr>
      <w:rPr>
        <w:rFonts w:hint="default"/>
        <w:b/>
        <w:cap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54C1F0C"/>
    <w:multiLevelType w:val="multilevel"/>
    <w:tmpl w:val="19AE8A82"/>
    <w:lvl w:ilvl="0">
      <w:start w:val="3"/>
      <w:numFmt w:val="lowerRoman"/>
      <w:lvlText w:val="%1)"/>
      <w:lvlJc w:val="left"/>
      <w:pPr>
        <w:tabs>
          <w:tab w:val="num" w:pos="0"/>
        </w:tabs>
        <w:ind w:left="567" w:hanging="567"/>
      </w:pPr>
      <w:rPr>
        <w:rFonts w:hint="default"/>
        <w:b/>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A60936"/>
    <w:multiLevelType w:val="hybridMultilevel"/>
    <w:tmpl w:val="FF0A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0468DF"/>
    <w:multiLevelType w:val="multilevel"/>
    <w:tmpl w:val="C1625042"/>
    <w:lvl w:ilvl="0">
      <w:start w:val="1"/>
      <w:numFmt w:val="lowerRoman"/>
      <w:lvlText w:val="%1)"/>
      <w:lvlJc w:val="left"/>
      <w:pPr>
        <w:ind w:left="720" w:hanging="720"/>
      </w:pPr>
      <w:rPr>
        <w:rFonts w:hint="default"/>
        <w:b/>
        <w:cap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E8A1A44"/>
    <w:multiLevelType w:val="hybridMultilevel"/>
    <w:tmpl w:val="90082DE8"/>
    <w:lvl w:ilvl="0" w:tplc="1752FD40">
      <w:start w:val="1"/>
      <w:numFmt w:val="lowerRoman"/>
      <w:lvlText w:val="%1)"/>
      <w:lvlJc w:val="left"/>
      <w:pPr>
        <w:tabs>
          <w:tab w:val="num" w:pos="0"/>
        </w:tabs>
        <w:ind w:left="567" w:hanging="567"/>
      </w:pPr>
      <w:rPr>
        <w:rFonts w:hint="default"/>
        <w:b/>
        <w:caps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5B17186"/>
    <w:multiLevelType w:val="multilevel"/>
    <w:tmpl w:val="90082DE8"/>
    <w:lvl w:ilvl="0">
      <w:start w:val="1"/>
      <w:numFmt w:val="lowerRoman"/>
      <w:lvlText w:val="%1)"/>
      <w:lvlJc w:val="left"/>
      <w:pPr>
        <w:tabs>
          <w:tab w:val="num" w:pos="0"/>
        </w:tabs>
        <w:ind w:left="567" w:hanging="567"/>
      </w:pPr>
      <w:rPr>
        <w:rFonts w:hint="default"/>
        <w:b/>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2AE465B"/>
    <w:multiLevelType w:val="multilevel"/>
    <w:tmpl w:val="0174241E"/>
    <w:lvl w:ilvl="0">
      <w:start w:val="1"/>
      <w:numFmt w:val="lowerRoman"/>
      <w:lvlText w:val="%1)"/>
      <w:lvlJc w:val="left"/>
      <w:pPr>
        <w:tabs>
          <w:tab w:val="num" w:pos="0"/>
        </w:tabs>
        <w:ind w:left="567" w:hanging="567"/>
      </w:pPr>
      <w:rPr>
        <w:rFonts w:hint="default"/>
        <w:b/>
        <w:cap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4F65449"/>
    <w:multiLevelType w:val="multilevel"/>
    <w:tmpl w:val="909419C4"/>
    <w:lvl w:ilvl="0">
      <w:numFmt w:val="bullet"/>
      <w:lvlText w:val="-"/>
      <w:lvlJc w:val="left"/>
      <w:pPr>
        <w:tabs>
          <w:tab w:val="num" w:pos="-240"/>
        </w:tabs>
        <w:ind w:left="-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5EB76FB"/>
    <w:multiLevelType w:val="hybridMultilevel"/>
    <w:tmpl w:val="97FE6206"/>
    <w:lvl w:ilvl="0" w:tplc="0C090001">
      <w:start w:val="7"/>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66C6B3F"/>
    <w:multiLevelType w:val="hybridMultilevel"/>
    <w:tmpl w:val="4FD29DF0"/>
    <w:lvl w:ilvl="0" w:tplc="CDF2424E">
      <w:start w:val="3"/>
      <w:numFmt w:val="lowerRoman"/>
      <w:lvlText w:val="%1)"/>
      <w:lvlJc w:val="left"/>
      <w:pPr>
        <w:tabs>
          <w:tab w:val="num" w:pos="0"/>
        </w:tabs>
        <w:ind w:left="567" w:hanging="567"/>
      </w:pPr>
      <w:rPr>
        <w:rFonts w:hint="default"/>
        <w:b/>
        <w:caps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6"/>
  </w:num>
  <w:num w:numId="4">
    <w:abstractNumId w:val="18"/>
  </w:num>
  <w:num w:numId="5">
    <w:abstractNumId w:val="8"/>
  </w:num>
  <w:num w:numId="6">
    <w:abstractNumId w:val="6"/>
  </w:num>
  <w:num w:numId="7">
    <w:abstractNumId w:val="11"/>
  </w:num>
  <w:num w:numId="8">
    <w:abstractNumId w:val="26"/>
  </w:num>
  <w:num w:numId="9">
    <w:abstractNumId w:val="13"/>
  </w:num>
  <w:num w:numId="10">
    <w:abstractNumId w:val="1"/>
  </w:num>
  <w:num w:numId="11">
    <w:abstractNumId w:val="27"/>
  </w:num>
  <w:num w:numId="12">
    <w:abstractNumId w:val="19"/>
  </w:num>
  <w:num w:numId="13">
    <w:abstractNumId w:val="3"/>
  </w:num>
  <w:num w:numId="14">
    <w:abstractNumId w:val="21"/>
  </w:num>
  <w:num w:numId="15">
    <w:abstractNumId w:val="22"/>
  </w:num>
  <w:num w:numId="16">
    <w:abstractNumId w:val="5"/>
  </w:num>
  <w:num w:numId="17">
    <w:abstractNumId w:val="7"/>
  </w:num>
  <w:num w:numId="18">
    <w:abstractNumId w:val="9"/>
  </w:num>
  <w:num w:numId="19">
    <w:abstractNumId w:val="17"/>
  </w:num>
  <w:num w:numId="20">
    <w:abstractNumId w:val="23"/>
  </w:num>
  <w:num w:numId="21">
    <w:abstractNumId w:val="24"/>
  </w:num>
  <w:num w:numId="22">
    <w:abstractNumId w:val="25"/>
  </w:num>
  <w:num w:numId="23">
    <w:abstractNumId w:val="4"/>
  </w:num>
  <w:num w:numId="24">
    <w:abstractNumId w:val="28"/>
  </w:num>
  <w:num w:numId="25">
    <w:abstractNumId w:val="20"/>
  </w:num>
  <w:num w:numId="26">
    <w:abstractNumId w:val="12"/>
  </w:num>
  <w:num w:numId="27">
    <w:abstractNumId w:val="14"/>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0A6"/>
    <w:rsid w:val="00002DB1"/>
    <w:rsid w:val="0000487B"/>
    <w:rsid w:val="00006EDC"/>
    <w:rsid w:val="000078AD"/>
    <w:rsid w:val="0001581E"/>
    <w:rsid w:val="00030581"/>
    <w:rsid w:val="000329D2"/>
    <w:rsid w:val="00034A7A"/>
    <w:rsid w:val="00034CF3"/>
    <w:rsid w:val="00044586"/>
    <w:rsid w:val="00045CE3"/>
    <w:rsid w:val="00053882"/>
    <w:rsid w:val="00053DCE"/>
    <w:rsid w:val="00055834"/>
    <w:rsid w:val="00057C02"/>
    <w:rsid w:val="000640AD"/>
    <w:rsid w:val="00064348"/>
    <w:rsid w:val="00065068"/>
    <w:rsid w:val="000658F7"/>
    <w:rsid w:val="00065C15"/>
    <w:rsid w:val="00066D45"/>
    <w:rsid w:val="00073620"/>
    <w:rsid w:val="0008014C"/>
    <w:rsid w:val="000846D4"/>
    <w:rsid w:val="00090CAA"/>
    <w:rsid w:val="00096C29"/>
    <w:rsid w:val="00097E2B"/>
    <w:rsid w:val="000A47D6"/>
    <w:rsid w:val="000A6118"/>
    <w:rsid w:val="000A7C23"/>
    <w:rsid w:val="000B5EA9"/>
    <w:rsid w:val="000B659A"/>
    <w:rsid w:val="000B66EB"/>
    <w:rsid w:val="000B734D"/>
    <w:rsid w:val="000B7BF4"/>
    <w:rsid w:val="000C0966"/>
    <w:rsid w:val="000C0BFF"/>
    <w:rsid w:val="000C5518"/>
    <w:rsid w:val="000D296B"/>
    <w:rsid w:val="000D69E6"/>
    <w:rsid w:val="000E25B7"/>
    <w:rsid w:val="000E2C41"/>
    <w:rsid w:val="000F3392"/>
    <w:rsid w:val="000F3615"/>
    <w:rsid w:val="000F4545"/>
    <w:rsid w:val="000F4FD8"/>
    <w:rsid w:val="000F562D"/>
    <w:rsid w:val="000F5D48"/>
    <w:rsid w:val="000F62C4"/>
    <w:rsid w:val="00101BA4"/>
    <w:rsid w:val="001041F9"/>
    <w:rsid w:val="00106333"/>
    <w:rsid w:val="001067E5"/>
    <w:rsid w:val="001075B5"/>
    <w:rsid w:val="0011635E"/>
    <w:rsid w:val="0011687A"/>
    <w:rsid w:val="00121715"/>
    <w:rsid w:val="001241CE"/>
    <w:rsid w:val="0012563F"/>
    <w:rsid w:val="00125AA7"/>
    <w:rsid w:val="001267D0"/>
    <w:rsid w:val="001333E5"/>
    <w:rsid w:val="0014124D"/>
    <w:rsid w:val="00141F80"/>
    <w:rsid w:val="00145764"/>
    <w:rsid w:val="00145D7B"/>
    <w:rsid w:val="00151FE2"/>
    <w:rsid w:val="00154433"/>
    <w:rsid w:val="001620DA"/>
    <w:rsid w:val="00162B0C"/>
    <w:rsid w:val="00163714"/>
    <w:rsid w:val="00165B8D"/>
    <w:rsid w:val="001727B6"/>
    <w:rsid w:val="00182390"/>
    <w:rsid w:val="001831FD"/>
    <w:rsid w:val="00187913"/>
    <w:rsid w:val="0019692B"/>
    <w:rsid w:val="00197E10"/>
    <w:rsid w:val="001A04FB"/>
    <w:rsid w:val="001A3DCD"/>
    <w:rsid w:val="001A6354"/>
    <w:rsid w:val="001A7DC3"/>
    <w:rsid w:val="001B0938"/>
    <w:rsid w:val="001B4F7C"/>
    <w:rsid w:val="001B6247"/>
    <w:rsid w:val="001B7F93"/>
    <w:rsid w:val="001C33AE"/>
    <w:rsid w:val="001D0A9C"/>
    <w:rsid w:val="001D11DF"/>
    <w:rsid w:val="001D1DE4"/>
    <w:rsid w:val="001D38B4"/>
    <w:rsid w:val="001D6AB9"/>
    <w:rsid w:val="001D6D36"/>
    <w:rsid w:val="001D7250"/>
    <w:rsid w:val="001D7D6A"/>
    <w:rsid w:val="001E3620"/>
    <w:rsid w:val="001E7577"/>
    <w:rsid w:val="001F21C5"/>
    <w:rsid w:val="001F21EB"/>
    <w:rsid w:val="001F4569"/>
    <w:rsid w:val="0020615C"/>
    <w:rsid w:val="0021121E"/>
    <w:rsid w:val="00212F24"/>
    <w:rsid w:val="002151C8"/>
    <w:rsid w:val="00232813"/>
    <w:rsid w:val="00233B76"/>
    <w:rsid w:val="002369BA"/>
    <w:rsid w:val="00236E97"/>
    <w:rsid w:val="002437BF"/>
    <w:rsid w:val="00246BEB"/>
    <w:rsid w:val="002475BD"/>
    <w:rsid w:val="00250FF0"/>
    <w:rsid w:val="0026377B"/>
    <w:rsid w:val="00265141"/>
    <w:rsid w:val="00266869"/>
    <w:rsid w:val="002736F4"/>
    <w:rsid w:val="0027689F"/>
    <w:rsid w:val="00280886"/>
    <w:rsid w:val="00282026"/>
    <w:rsid w:val="002826AC"/>
    <w:rsid w:val="00287FA1"/>
    <w:rsid w:val="00294684"/>
    <w:rsid w:val="00296A72"/>
    <w:rsid w:val="00297E2B"/>
    <w:rsid w:val="002A05C9"/>
    <w:rsid w:val="002A1763"/>
    <w:rsid w:val="002A4509"/>
    <w:rsid w:val="002A516F"/>
    <w:rsid w:val="002A5C83"/>
    <w:rsid w:val="002A6BA5"/>
    <w:rsid w:val="002B24CF"/>
    <w:rsid w:val="002B71C9"/>
    <w:rsid w:val="002B78B1"/>
    <w:rsid w:val="002C45AB"/>
    <w:rsid w:val="002C4D14"/>
    <w:rsid w:val="002C699B"/>
    <w:rsid w:val="002D236B"/>
    <w:rsid w:val="002D4D47"/>
    <w:rsid w:val="002D6846"/>
    <w:rsid w:val="002D781B"/>
    <w:rsid w:val="002E0CE6"/>
    <w:rsid w:val="002E7B28"/>
    <w:rsid w:val="002F0642"/>
    <w:rsid w:val="002F09D0"/>
    <w:rsid w:val="002F2D37"/>
    <w:rsid w:val="002F4FEF"/>
    <w:rsid w:val="002F5503"/>
    <w:rsid w:val="002F6B08"/>
    <w:rsid w:val="0030298F"/>
    <w:rsid w:val="00303B3C"/>
    <w:rsid w:val="00304AC7"/>
    <w:rsid w:val="00307BE1"/>
    <w:rsid w:val="00312394"/>
    <w:rsid w:val="0031551A"/>
    <w:rsid w:val="003173E4"/>
    <w:rsid w:val="003236FF"/>
    <w:rsid w:val="00323CFE"/>
    <w:rsid w:val="0032670F"/>
    <w:rsid w:val="00327346"/>
    <w:rsid w:val="0033127B"/>
    <w:rsid w:val="0033154A"/>
    <w:rsid w:val="00331AFD"/>
    <w:rsid w:val="00332337"/>
    <w:rsid w:val="00333EA7"/>
    <w:rsid w:val="003420CE"/>
    <w:rsid w:val="00343E35"/>
    <w:rsid w:val="00352770"/>
    <w:rsid w:val="003531F1"/>
    <w:rsid w:val="0035326D"/>
    <w:rsid w:val="003575B3"/>
    <w:rsid w:val="003608CE"/>
    <w:rsid w:val="00362619"/>
    <w:rsid w:val="003661E1"/>
    <w:rsid w:val="003810A6"/>
    <w:rsid w:val="00385A49"/>
    <w:rsid w:val="0039028E"/>
    <w:rsid w:val="00391BCC"/>
    <w:rsid w:val="00393420"/>
    <w:rsid w:val="00396A60"/>
    <w:rsid w:val="00397F6A"/>
    <w:rsid w:val="003A3101"/>
    <w:rsid w:val="003B04FE"/>
    <w:rsid w:val="003B05BF"/>
    <w:rsid w:val="003B0844"/>
    <w:rsid w:val="003B29F1"/>
    <w:rsid w:val="003B3EFF"/>
    <w:rsid w:val="003B7B54"/>
    <w:rsid w:val="003C0EE1"/>
    <w:rsid w:val="003C4035"/>
    <w:rsid w:val="003C4350"/>
    <w:rsid w:val="003C61BA"/>
    <w:rsid w:val="003D3099"/>
    <w:rsid w:val="003D4E59"/>
    <w:rsid w:val="003E0177"/>
    <w:rsid w:val="003E14CD"/>
    <w:rsid w:val="003E3C61"/>
    <w:rsid w:val="003E41F3"/>
    <w:rsid w:val="003F2209"/>
    <w:rsid w:val="00403E2D"/>
    <w:rsid w:val="0040757C"/>
    <w:rsid w:val="0041065B"/>
    <w:rsid w:val="0041137E"/>
    <w:rsid w:val="00412ADD"/>
    <w:rsid w:val="0041654F"/>
    <w:rsid w:val="00416733"/>
    <w:rsid w:val="0042102E"/>
    <w:rsid w:val="0042138E"/>
    <w:rsid w:val="00423117"/>
    <w:rsid w:val="00423742"/>
    <w:rsid w:val="00427831"/>
    <w:rsid w:val="00430E86"/>
    <w:rsid w:val="00435AF1"/>
    <w:rsid w:val="00435DAF"/>
    <w:rsid w:val="00436805"/>
    <w:rsid w:val="00437B11"/>
    <w:rsid w:val="00440614"/>
    <w:rsid w:val="00440880"/>
    <w:rsid w:val="00442955"/>
    <w:rsid w:val="004449A6"/>
    <w:rsid w:val="00450437"/>
    <w:rsid w:val="00451A58"/>
    <w:rsid w:val="0045204B"/>
    <w:rsid w:val="004570DF"/>
    <w:rsid w:val="00457452"/>
    <w:rsid w:val="004606F0"/>
    <w:rsid w:val="0046243C"/>
    <w:rsid w:val="00462AD8"/>
    <w:rsid w:val="00471824"/>
    <w:rsid w:val="0047427C"/>
    <w:rsid w:val="00474AB7"/>
    <w:rsid w:val="00475FFE"/>
    <w:rsid w:val="00477818"/>
    <w:rsid w:val="00484156"/>
    <w:rsid w:val="00485044"/>
    <w:rsid w:val="004870FC"/>
    <w:rsid w:val="004912A8"/>
    <w:rsid w:val="004A0CE1"/>
    <w:rsid w:val="004A24D5"/>
    <w:rsid w:val="004A3339"/>
    <w:rsid w:val="004A6386"/>
    <w:rsid w:val="004B13C6"/>
    <w:rsid w:val="004B2DA8"/>
    <w:rsid w:val="004B5C3E"/>
    <w:rsid w:val="004B77A9"/>
    <w:rsid w:val="004C00B1"/>
    <w:rsid w:val="004C0414"/>
    <w:rsid w:val="004C3AAE"/>
    <w:rsid w:val="004D367F"/>
    <w:rsid w:val="004D547F"/>
    <w:rsid w:val="004D70EF"/>
    <w:rsid w:val="004D72AA"/>
    <w:rsid w:val="004E0104"/>
    <w:rsid w:val="004E06B8"/>
    <w:rsid w:val="004F1A7A"/>
    <w:rsid w:val="004F67D0"/>
    <w:rsid w:val="00503E7D"/>
    <w:rsid w:val="005058B6"/>
    <w:rsid w:val="00507F02"/>
    <w:rsid w:val="00520414"/>
    <w:rsid w:val="0052058A"/>
    <w:rsid w:val="00523D37"/>
    <w:rsid w:val="00532835"/>
    <w:rsid w:val="00534F5B"/>
    <w:rsid w:val="00541191"/>
    <w:rsid w:val="00547ED3"/>
    <w:rsid w:val="005518E8"/>
    <w:rsid w:val="00552258"/>
    <w:rsid w:val="00553A47"/>
    <w:rsid w:val="0055584E"/>
    <w:rsid w:val="0056133F"/>
    <w:rsid w:val="005614DE"/>
    <w:rsid w:val="00562F99"/>
    <w:rsid w:val="0056357F"/>
    <w:rsid w:val="00564336"/>
    <w:rsid w:val="00565B2E"/>
    <w:rsid w:val="0056671A"/>
    <w:rsid w:val="005678CE"/>
    <w:rsid w:val="00573AAA"/>
    <w:rsid w:val="00574F13"/>
    <w:rsid w:val="00577880"/>
    <w:rsid w:val="005817B0"/>
    <w:rsid w:val="00582A8B"/>
    <w:rsid w:val="00585DF0"/>
    <w:rsid w:val="00586073"/>
    <w:rsid w:val="00592B61"/>
    <w:rsid w:val="0059395F"/>
    <w:rsid w:val="00595372"/>
    <w:rsid w:val="00597FB9"/>
    <w:rsid w:val="005A08B5"/>
    <w:rsid w:val="005A5AB5"/>
    <w:rsid w:val="005A745F"/>
    <w:rsid w:val="005B2E10"/>
    <w:rsid w:val="005B4221"/>
    <w:rsid w:val="005B7124"/>
    <w:rsid w:val="005C44A0"/>
    <w:rsid w:val="005D07D6"/>
    <w:rsid w:val="005D08AF"/>
    <w:rsid w:val="005D0DD8"/>
    <w:rsid w:val="005D21A3"/>
    <w:rsid w:val="005E2A31"/>
    <w:rsid w:val="005E2CE6"/>
    <w:rsid w:val="005E5FAB"/>
    <w:rsid w:val="005F02AA"/>
    <w:rsid w:val="005F07D1"/>
    <w:rsid w:val="005F2722"/>
    <w:rsid w:val="005F50CA"/>
    <w:rsid w:val="005F6717"/>
    <w:rsid w:val="0060170F"/>
    <w:rsid w:val="006050CE"/>
    <w:rsid w:val="00605246"/>
    <w:rsid w:val="00606A15"/>
    <w:rsid w:val="00606AA8"/>
    <w:rsid w:val="00606E35"/>
    <w:rsid w:val="006075A1"/>
    <w:rsid w:val="0060768E"/>
    <w:rsid w:val="00615F92"/>
    <w:rsid w:val="0061695C"/>
    <w:rsid w:val="006179B7"/>
    <w:rsid w:val="00623569"/>
    <w:rsid w:val="00626B56"/>
    <w:rsid w:val="0062704C"/>
    <w:rsid w:val="0063253E"/>
    <w:rsid w:val="00632815"/>
    <w:rsid w:val="00632EF7"/>
    <w:rsid w:val="006337D5"/>
    <w:rsid w:val="00635D59"/>
    <w:rsid w:val="006432EC"/>
    <w:rsid w:val="00645631"/>
    <w:rsid w:val="00647203"/>
    <w:rsid w:val="00647EFD"/>
    <w:rsid w:val="006530A0"/>
    <w:rsid w:val="006614DF"/>
    <w:rsid w:val="006647B5"/>
    <w:rsid w:val="00666877"/>
    <w:rsid w:val="00666A02"/>
    <w:rsid w:val="006722D6"/>
    <w:rsid w:val="00673FBF"/>
    <w:rsid w:val="00674B49"/>
    <w:rsid w:val="00677367"/>
    <w:rsid w:val="00684217"/>
    <w:rsid w:val="00691778"/>
    <w:rsid w:val="006946ED"/>
    <w:rsid w:val="00696E2C"/>
    <w:rsid w:val="00697E92"/>
    <w:rsid w:val="006B603E"/>
    <w:rsid w:val="006B66D7"/>
    <w:rsid w:val="006C21AC"/>
    <w:rsid w:val="006C51F3"/>
    <w:rsid w:val="006C61C8"/>
    <w:rsid w:val="006C6256"/>
    <w:rsid w:val="006C7C38"/>
    <w:rsid w:val="006D033B"/>
    <w:rsid w:val="006D0C2D"/>
    <w:rsid w:val="006D42AE"/>
    <w:rsid w:val="006E056A"/>
    <w:rsid w:val="006E5AEF"/>
    <w:rsid w:val="006E75D5"/>
    <w:rsid w:val="006F0AF5"/>
    <w:rsid w:val="006F6120"/>
    <w:rsid w:val="00711D64"/>
    <w:rsid w:val="007274A1"/>
    <w:rsid w:val="00731978"/>
    <w:rsid w:val="00733BE2"/>
    <w:rsid w:val="00737188"/>
    <w:rsid w:val="007377B9"/>
    <w:rsid w:val="007439FA"/>
    <w:rsid w:val="00751F59"/>
    <w:rsid w:val="00762E5E"/>
    <w:rsid w:val="00765848"/>
    <w:rsid w:val="0077500D"/>
    <w:rsid w:val="00782755"/>
    <w:rsid w:val="00785AB7"/>
    <w:rsid w:val="007916EF"/>
    <w:rsid w:val="007923F7"/>
    <w:rsid w:val="00794051"/>
    <w:rsid w:val="007A2C0C"/>
    <w:rsid w:val="007A34E6"/>
    <w:rsid w:val="007A43D8"/>
    <w:rsid w:val="007B20CA"/>
    <w:rsid w:val="007B4ECE"/>
    <w:rsid w:val="007D3794"/>
    <w:rsid w:val="007E5B21"/>
    <w:rsid w:val="007F079C"/>
    <w:rsid w:val="007F7AA1"/>
    <w:rsid w:val="00800E10"/>
    <w:rsid w:val="00800F6C"/>
    <w:rsid w:val="008062CE"/>
    <w:rsid w:val="00806D1B"/>
    <w:rsid w:val="00810C14"/>
    <w:rsid w:val="00813B88"/>
    <w:rsid w:val="00815D07"/>
    <w:rsid w:val="00815DBF"/>
    <w:rsid w:val="00816930"/>
    <w:rsid w:val="0082409D"/>
    <w:rsid w:val="00837F74"/>
    <w:rsid w:val="00837F89"/>
    <w:rsid w:val="00840297"/>
    <w:rsid w:val="00840F9D"/>
    <w:rsid w:val="00843E68"/>
    <w:rsid w:val="00846712"/>
    <w:rsid w:val="00846831"/>
    <w:rsid w:val="0085109F"/>
    <w:rsid w:val="00852F75"/>
    <w:rsid w:val="00856D7B"/>
    <w:rsid w:val="00866004"/>
    <w:rsid w:val="00872A30"/>
    <w:rsid w:val="008776BB"/>
    <w:rsid w:val="00881E5E"/>
    <w:rsid w:val="008835CD"/>
    <w:rsid w:val="008854B0"/>
    <w:rsid w:val="008863FB"/>
    <w:rsid w:val="008870BA"/>
    <w:rsid w:val="00890845"/>
    <w:rsid w:val="00895A66"/>
    <w:rsid w:val="008A37A9"/>
    <w:rsid w:val="008A7543"/>
    <w:rsid w:val="008B068E"/>
    <w:rsid w:val="008B1666"/>
    <w:rsid w:val="008B1E77"/>
    <w:rsid w:val="008B2503"/>
    <w:rsid w:val="008B6FB2"/>
    <w:rsid w:val="008C1C84"/>
    <w:rsid w:val="008C2408"/>
    <w:rsid w:val="008C4182"/>
    <w:rsid w:val="008C549D"/>
    <w:rsid w:val="008C55F7"/>
    <w:rsid w:val="008D1832"/>
    <w:rsid w:val="008D3D88"/>
    <w:rsid w:val="008D557A"/>
    <w:rsid w:val="008E0F1E"/>
    <w:rsid w:val="008E1066"/>
    <w:rsid w:val="008E11B8"/>
    <w:rsid w:val="008E387E"/>
    <w:rsid w:val="008E6D2D"/>
    <w:rsid w:val="008E7441"/>
    <w:rsid w:val="008F07B6"/>
    <w:rsid w:val="008F4691"/>
    <w:rsid w:val="0090456F"/>
    <w:rsid w:val="009060D2"/>
    <w:rsid w:val="00906E0C"/>
    <w:rsid w:val="00911F2E"/>
    <w:rsid w:val="00913357"/>
    <w:rsid w:val="00921848"/>
    <w:rsid w:val="00924885"/>
    <w:rsid w:val="0092488A"/>
    <w:rsid w:val="00926C1D"/>
    <w:rsid w:val="00931E58"/>
    <w:rsid w:val="00940671"/>
    <w:rsid w:val="0094252F"/>
    <w:rsid w:val="00942547"/>
    <w:rsid w:val="009458CB"/>
    <w:rsid w:val="00945CB6"/>
    <w:rsid w:val="0095115D"/>
    <w:rsid w:val="009513A0"/>
    <w:rsid w:val="00954921"/>
    <w:rsid w:val="009569C6"/>
    <w:rsid w:val="00956C0A"/>
    <w:rsid w:val="0096538C"/>
    <w:rsid w:val="00974BF7"/>
    <w:rsid w:val="00975A54"/>
    <w:rsid w:val="00983DD8"/>
    <w:rsid w:val="009856F3"/>
    <w:rsid w:val="009A0317"/>
    <w:rsid w:val="009A04D2"/>
    <w:rsid w:val="009A335D"/>
    <w:rsid w:val="009A4E19"/>
    <w:rsid w:val="009A4F65"/>
    <w:rsid w:val="009A5C62"/>
    <w:rsid w:val="009A7A9A"/>
    <w:rsid w:val="009B2CB2"/>
    <w:rsid w:val="009B3EED"/>
    <w:rsid w:val="009C0FD2"/>
    <w:rsid w:val="009C1E08"/>
    <w:rsid w:val="009C4F41"/>
    <w:rsid w:val="009C6CFB"/>
    <w:rsid w:val="009D0FAE"/>
    <w:rsid w:val="009E50D1"/>
    <w:rsid w:val="009E6FC4"/>
    <w:rsid w:val="009E7BDE"/>
    <w:rsid w:val="009F6AC6"/>
    <w:rsid w:val="00A03081"/>
    <w:rsid w:val="00A0698B"/>
    <w:rsid w:val="00A07793"/>
    <w:rsid w:val="00A07C48"/>
    <w:rsid w:val="00A1111A"/>
    <w:rsid w:val="00A15B34"/>
    <w:rsid w:val="00A20947"/>
    <w:rsid w:val="00A2587E"/>
    <w:rsid w:val="00A25EE9"/>
    <w:rsid w:val="00A260FC"/>
    <w:rsid w:val="00A26419"/>
    <w:rsid w:val="00A3240A"/>
    <w:rsid w:val="00A32EC8"/>
    <w:rsid w:val="00A35F5D"/>
    <w:rsid w:val="00A471A4"/>
    <w:rsid w:val="00A5492C"/>
    <w:rsid w:val="00A55EB9"/>
    <w:rsid w:val="00A565A7"/>
    <w:rsid w:val="00A62A79"/>
    <w:rsid w:val="00A6677A"/>
    <w:rsid w:val="00A707EF"/>
    <w:rsid w:val="00A76402"/>
    <w:rsid w:val="00A76C24"/>
    <w:rsid w:val="00A866BD"/>
    <w:rsid w:val="00A8732A"/>
    <w:rsid w:val="00A9033B"/>
    <w:rsid w:val="00A90D9F"/>
    <w:rsid w:val="00A934B7"/>
    <w:rsid w:val="00A95A2A"/>
    <w:rsid w:val="00A965AC"/>
    <w:rsid w:val="00AA145F"/>
    <w:rsid w:val="00AA5E41"/>
    <w:rsid w:val="00AB0B31"/>
    <w:rsid w:val="00AB5DFE"/>
    <w:rsid w:val="00AC0132"/>
    <w:rsid w:val="00AC5640"/>
    <w:rsid w:val="00AD28FD"/>
    <w:rsid w:val="00AD67AC"/>
    <w:rsid w:val="00AE0ABC"/>
    <w:rsid w:val="00AE1E27"/>
    <w:rsid w:val="00AE43E2"/>
    <w:rsid w:val="00AF0B62"/>
    <w:rsid w:val="00AF4B7F"/>
    <w:rsid w:val="00B0552B"/>
    <w:rsid w:val="00B05A1D"/>
    <w:rsid w:val="00B16FF1"/>
    <w:rsid w:val="00B21A1E"/>
    <w:rsid w:val="00B267AF"/>
    <w:rsid w:val="00B35E23"/>
    <w:rsid w:val="00B41015"/>
    <w:rsid w:val="00B44D1C"/>
    <w:rsid w:val="00B47E03"/>
    <w:rsid w:val="00B53C89"/>
    <w:rsid w:val="00B54B99"/>
    <w:rsid w:val="00B54BEA"/>
    <w:rsid w:val="00B64D6D"/>
    <w:rsid w:val="00B656B9"/>
    <w:rsid w:val="00B659A8"/>
    <w:rsid w:val="00B66BBA"/>
    <w:rsid w:val="00B70436"/>
    <w:rsid w:val="00B70EE3"/>
    <w:rsid w:val="00B717A8"/>
    <w:rsid w:val="00B72DAD"/>
    <w:rsid w:val="00B741ED"/>
    <w:rsid w:val="00B76075"/>
    <w:rsid w:val="00B762DF"/>
    <w:rsid w:val="00B82541"/>
    <w:rsid w:val="00B83291"/>
    <w:rsid w:val="00B83DCE"/>
    <w:rsid w:val="00B877E8"/>
    <w:rsid w:val="00B91AD0"/>
    <w:rsid w:val="00B947BB"/>
    <w:rsid w:val="00B95429"/>
    <w:rsid w:val="00B96A3A"/>
    <w:rsid w:val="00B96B51"/>
    <w:rsid w:val="00B96CB0"/>
    <w:rsid w:val="00BA7300"/>
    <w:rsid w:val="00BB0FE5"/>
    <w:rsid w:val="00BB2FD0"/>
    <w:rsid w:val="00BB30CF"/>
    <w:rsid w:val="00BB5C99"/>
    <w:rsid w:val="00BC13FB"/>
    <w:rsid w:val="00BC14DB"/>
    <w:rsid w:val="00BC6806"/>
    <w:rsid w:val="00BD064A"/>
    <w:rsid w:val="00BD1B7A"/>
    <w:rsid w:val="00BD1C1B"/>
    <w:rsid w:val="00BD5FEB"/>
    <w:rsid w:val="00BD64F9"/>
    <w:rsid w:val="00BE1FB2"/>
    <w:rsid w:val="00BE3469"/>
    <w:rsid w:val="00BF1AC4"/>
    <w:rsid w:val="00C01F7B"/>
    <w:rsid w:val="00C045F3"/>
    <w:rsid w:val="00C04686"/>
    <w:rsid w:val="00C046BD"/>
    <w:rsid w:val="00C12049"/>
    <w:rsid w:val="00C15B2F"/>
    <w:rsid w:val="00C1630F"/>
    <w:rsid w:val="00C16B2A"/>
    <w:rsid w:val="00C20C60"/>
    <w:rsid w:val="00C255DC"/>
    <w:rsid w:val="00C277EE"/>
    <w:rsid w:val="00C27E50"/>
    <w:rsid w:val="00C35E20"/>
    <w:rsid w:val="00C37A42"/>
    <w:rsid w:val="00C471AF"/>
    <w:rsid w:val="00C529A5"/>
    <w:rsid w:val="00C57949"/>
    <w:rsid w:val="00C61E85"/>
    <w:rsid w:val="00C63CF0"/>
    <w:rsid w:val="00C63E1D"/>
    <w:rsid w:val="00C73379"/>
    <w:rsid w:val="00C736B5"/>
    <w:rsid w:val="00C7667A"/>
    <w:rsid w:val="00C800E2"/>
    <w:rsid w:val="00C83387"/>
    <w:rsid w:val="00C83443"/>
    <w:rsid w:val="00C8711B"/>
    <w:rsid w:val="00C87E60"/>
    <w:rsid w:val="00C921A8"/>
    <w:rsid w:val="00C93362"/>
    <w:rsid w:val="00C97799"/>
    <w:rsid w:val="00CA0584"/>
    <w:rsid w:val="00CA192F"/>
    <w:rsid w:val="00CA468F"/>
    <w:rsid w:val="00CA4F4C"/>
    <w:rsid w:val="00CA510D"/>
    <w:rsid w:val="00CA5431"/>
    <w:rsid w:val="00CA582D"/>
    <w:rsid w:val="00CA6AE9"/>
    <w:rsid w:val="00CB496C"/>
    <w:rsid w:val="00CB5DCD"/>
    <w:rsid w:val="00CC1109"/>
    <w:rsid w:val="00CC3D4B"/>
    <w:rsid w:val="00CC5A85"/>
    <w:rsid w:val="00CC6113"/>
    <w:rsid w:val="00CD1633"/>
    <w:rsid w:val="00CD4D4A"/>
    <w:rsid w:val="00CD53CA"/>
    <w:rsid w:val="00CE0176"/>
    <w:rsid w:val="00CE18C6"/>
    <w:rsid w:val="00CE1C0E"/>
    <w:rsid w:val="00CE4992"/>
    <w:rsid w:val="00CE7CA6"/>
    <w:rsid w:val="00D00CDB"/>
    <w:rsid w:val="00D0180D"/>
    <w:rsid w:val="00D030C8"/>
    <w:rsid w:val="00D048FE"/>
    <w:rsid w:val="00D11050"/>
    <w:rsid w:val="00D206E8"/>
    <w:rsid w:val="00D21844"/>
    <w:rsid w:val="00D2665E"/>
    <w:rsid w:val="00D30493"/>
    <w:rsid w:val="00D31BD7"/>
    <w:rsid w:val="00D4609F"/>
    <w:rsid w:val="00D50716"/>
    <w:rsid w:val="00D620D7"/>
    <w:rsid w:val="00D62367"/>
    <w:rsid w:val="00D6570A"/>
    <w:rsid w:val="00D728D2"/>
    <w:rsid w:val="00D72928"/>
    <w:rsid w:val="00D75626"/>
    <w:rsid w:val="00D756A2"/>
    <w:rsid w:val="00D8190F"/>
    <w:rsid w:val="00D82AD0"/>
    <w:rsid w:val="00D82B86"/>
    <w:rsid w:val="00D8335E"/>
    <w:rsid w:val="00D91C58"/>
    <w:rsid w:val="00D94912"/>
    <w:rsid w:val="00DA4794"/>
    <w:rsid w:val="00DA71C3"/>
    <w:rsid w:val="00DA7FE1"/>
    <w:rsid w:val="00DB2C06"/>
    <w:rsid w:val="00DB3B31"/>
    <w:rsid w:val="00DB5E8E"/>
    <w:rsid w:val="00DB71C1"/>
    <w:rsid w:val="00DC4EA8"/>
    <w:rsid w:val="00DC6C82"/>
    <w:rsid w:val="00DC6CA2"/>
    <w:rsid w:val="00DD5872"/>
    <w:rsid w:val="00DD58E1"/>
    <w:rsid w:val="00DD59DC"/>
    <w:rsid w:val="00DD5C1A"/>
    <w:rsid w:val="00DE3A3C"/>
    <w:rsid w:val="00DE5841"/>
    <w:rsid w:val="00DF217F"/>
    <w:rsid w:val="00DF2B8C"/>
    <w:rsid w:val="00DF5130"/>
    <w:rsid w:val="00DF66A8"/>
    <w:rsid w:val="00DF7CF1"/>
    <w:rsid w:val="00E015B5"/>
    <w:rsid w:val="00E02E50"/>
    <w:rsid w:val="00E02F4C"/>
    <w:rsid w:val="00E03362"/>
    <w:rsid w:val="00E03508"/>
    <w:rsid w:val="00E03B52"/>
    <w:rsid w:val="00E05037"/>
    <w:rsid w:val="00E05B1A"/>
    <w:rsid w:val="00E05FD1"/>
    <w:rsid w:val="00E144A2"/>
    <w:rsid w:val="00E17938"/>
    <w:rsid w:val="00E26F4A"/>
    <w:rsid w:val="00E30593"/>
    <w:rsid w:val="00E316F0"/>
    <w:rsid w:val="00E374C7"/>
    <w:rsid w:val="00E4284C"/>
    <w:rsid w:val="00E42909"/>
    <w:rsid w:val="00E42EFD"/>
    <w:rsid w:val="00E4402E"/>
    <w:rsid w:val="00E50D03"/>
    <w:rsid w:val="00E555F4"/>
    <w:rsid w:val="00E56019"/>
    <w:rsid w:val="00E63271"/>
    <w:rsid w:val="00E64913"/>
    <w:rsid w:val="00E660B3"/>
    <w:rsid w:val="00E709F3"/>
    <w:rsid w:val="00E7181F"/>
    <w:rsid w:val="00E74033"/>
    <w:rsid w:val="00E74CE7"/>
    <w:rsid w:val="00E75ACA"/>
    <w:rsid w:val="00E7716B"/>
    <w:rsid w:val="00E8467B"/>
    <w:rsid w:val="00E94D51"/>
    <w:rsid w:val="00E95CD3"/>
    <w:rsid w:val="00EA30CA"/>
    <w:rsid w:val="00EA7276"/>
    <w:rsid w:val="00EB2627"/>
    <w:rsid w:val="00EB40F9"/>
    <w:rsid w:val="00EB4D46"/>
    <w:rsid w:val="00EC0B21"/>
    <w:rsid w:val="00EC528E"/>
    <w:rsid w:val="00EC739C"/>
    <w:rsid w:val="00ED02FC"/>
    <w:rsid w:val="00ED0DE5"/>
    <w:rsid w:val="00ED3B0B"/>
    <w:rsid w:val="00ED63A6"/>
    <w:rsid w:val="00EF07BC"/>
    <w:rsid w:val="00EF10CF"/>
    <w:rsid w:val="00EF2E11"/>
    <w:rsid w:val="00EF31A5"/>
    <w:rsid w:val="00EF6E37"/>
    <w:rsid w:val="00F22211"/>
    <w:rsid w:val="00F2535C"/>
    <w:rsid w:val="00F35FAB"/>
    <w:rsid w:val="00F37972"/>
    <w:rsid w:val="00F40B13"/>
    <w:rsid w:val="00F42531"/>
    <w:rsid w:val="00F460F0"/>
    <w:rsid w:val="00F46958"/>
    <w:rsid w:val="00F47970"/>
    <w:rsid w:val="00F51D2C"/>
    <w:rsid w:val="00F51D69"/>
    <w:rsid w:val="00F53F60"/>
    <w:rsid w:val="00F576A1"/>
    <w:rsid w:val="00F62A3D"/>
    <w:rsid w:val="00F6394F"/>
    <w:rsid w:val="00F64F8A"/>
    <w:rsid w:val="00F70F3C"/>
    <w:rsid w:val="00F7198F"/>
    <w:rsid w:val="00F76FB9"/>
    <w:rsid w:val="00F77DBE"/>
    <w:rsid w:val="00F85ECA"/>
    <w:rsid w:val="00F87312"/>
    <w:rsid w:val="00F8772E"/>
    <w:rsid w:val="00F914B3"/>
    <w:rsid w:val="00FA0F80"/>
    <w:rsid w:val="00FA11F5"/>
    <w:rsid w:val="00FA225E"/>
    <w:rsid w:val="00FB4927"/>
    <w:rsid w:val="00FB59C3"/>
    <w:rsid w:val="00FB773B"/>
    <w:rsid w:val="00FC5121"/>
    <w:rsid w:val="00FD188E"/>
    <w:rsid w:val="00FD3E3F"/>
    <w:rsid w:val="00FD6431"/>
    <w:rsid w:val="00FD6EDB"/>
    <w:rsid w:val="00FD75AB"/>
    <w:rsid w:val="00FE3E3E"/>
    <w:rsid w:val="00FE5F4F"/>
    <w:rsid w:val="00FE6913"/>
    <w:rsid w:val="00FF459F"/>
    <w:rsid w:val="00FF7886"/>
    <w:rsid w:val="00FF7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SNormal"/>
    <w:qFormat/>
    <w:rsid w:val="00CA192F"/>
    <w:rPr>
      <w:lang w:eastAsia="en-US"/>
    </w:rPr>
  </w:style>
  <w:style w:type="paragraph" w:styleId="Heading1">
    <w:name w:val="heading 1"/>
    <w:basedOn w:val="Normal"/>
    <w:next w:val="Normal"/>
    <w:qFormat/>
    <w:rsid w:val="00D0180D"/>
    <w:pPr>
      <w:keepNext/>
      <w:outlineLvl w:val="0"/>
    </w:pPr>
    <w:rPr>
      <w:b/>
      <w:sz w:val="24"/>
    </w:rPr>
  </w:style>
  <w:style w:type="paragraph" w:styleId="Heading3">
    <w:name w:val="heading 3"/>
    <w:basedOn w:val="Normal"/>
    <w:next w:val="Normal"/>
    <w:qFormat/>
    <w:rsid w:val="000F36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9C1E08"/>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332337"/>
    <w:pPr>
      <w:tabs>
        <w:tab w:val="center" w:pos="4153"/>
        <w:tab w:val="right" w:pos="8306"/>
      </w:tabs>
    </w:pPr>
  </w:style>
  <w:style w:type="paragraph" w:styleId="Footer">
    <w:name w:val="footer"/>
    <w:basedOn w:val="Normal"/>
    <w:link w:val="FooterChar"/>
    <w:uiPriority w:val="99"/>
    <w:rsid w:val="00332337"/>
    <w:pPr>
      <w:tabs>
        <w:tab w:val="center" w:pos="4153"/>
        <w:tab w:val="right" w:pos="8306"/>
      </w:tabs>
    </w:pPr>
  </w:style>
  <w:style w:type="character" w:styleId="PageNumber">
    <w:name w:val="page number"/>
    <w:basedOn w:val="DefaultParagraphFont"/>
    <w:rsid w:val="00332337"/>
  </w:style>
  <w:style w:type="paragraph" w:styleId="BodyText">
    <w:name w:val="Body Text"/>
    <w:basedOn w:val="Normal"/>
    <w:rsid w:val="00B267AF"/>
    <w:pPr>
      <w:jc w:val="both"/>
    </w:pPr>
    <w:rPr>
      <w:rFonts w:ascii="Arial" w:hAnsi="Arial"/>
      <w:color w:val="000000"/>
      <w:sz w:val="24"/>
      <w:lang w:val="en-GB"/>
    </w:rPr>
  </w:style>
  <w:style w:type="paragraph" w:styleId="NormalWeb">
    <w:name w:val="Normal (Web)"/>
    <w:basedOn w:val="Normal"/>
    <w:rsid w:val="00065068"/>
    <w:pPr>
      <w:spacing w:before="100" w:beforeAutospacing="1" w:after="100" w:afterAutospacing="1"/>
    </w:pPr>
    <w:rPr>
      <w:sz w:val="24"/>
      <w:szCs w:val="24"/>
      <w:lang w:val="en-US"/>
    </w:rPr>
  </w:style>
  <w:style w:type="paragraph" w:styleId="Title">
    <w:name w:val="Title"/>
    <w:basedOn w:val="Normal"/>
    <w:qFormat/>
    <w:rsid w:val="00D0180D"/>
    <w:pPr>
      <w:jc w:val="center"/>
    </w:pPr>
    <w:rPr>
      <w:b/>
      <w:sz w:val="24"/>
    </w:rPr>
  </w:style>
  <w:style w:type="character" w:styleId="Emphasis">
    <w:name w:val="Emphasis"/>
    <w:qFormat/>
    <w:rsid w:val="00E7181F"/>
    <w:rPr>
      <w:b/>
      <w:bCs/>
      <w:i w:val="0"/>
      <w:iCs w:val="0"/>
    </w:rPr>
  </w:style>
  <w:style w:type="paragraph" w:styleId="FootnoteText">
    <w:name w:val="footnote text"/>
    <w:basedOn w:val="Normal"/>
    <w:semiHidden/>
    <w:rsid w:val="00B72DAD"/>
  </w:style>
  <w:style w:type="character" w:styleId="FootnoteReference">
    <w:name w:val="footnote reference"/>
    <w:semiHidden/>
    <w:rsid w:val="00B72DAD"/>
    <w:rPr>
      <w:vertAlign w:val="superscript"/>
    </w:rPr>
  </w:style>
  <w:style w:type="paragraph" w:styleId="BalloonText">
    <w:name w:val="Balloon Text"/>
    <w:basedOn w:val="Normal"/>
    <w:semiHidden/>
    <w:rsid w:val="00872A30"/>
    <w:rPr>
      <w:rFonts w:ascii="Tahoma" w:hAnsi="Tahoma" w:cs="Tahoma"/>
      <w:sz w:val="16"/>
      <w:szCs w:val="16"/>
    </w:rPr>
  </w:style>
  <w:style w:type="table" w:styleId="TableGrid">
    <w:name w:val="Table Grid"/>
    <w:basedOn w:val="TableNormal"/>
    <w:uiPriority w:val="59"/>
    <w:rsid w:val="00297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40614"/>
  </w:style>
  <w:style w:type="character" w:styleId="EndnoteReference">
    <w:name w:val="endnote reference"/>
    <w:semiHidden/>
    <w:rsid w:val="00440614"/>
    <w:rPr>
      <w:vertAlign w:val="superscript"/>
    </w:rPr>
  </w:style>
  <w:style w:type="character" w:styleId="CommentReference">
    <w:name w:val="annotation reference"/>
    <w:semiHidden/>
    <w:rsid w:val="001D11DF"/>
    <w:rPr>
      <w:sz w:val="16"/>
      <w:szCs w:val="16"/>
    </w:rPr>
  </w:style>
  <w:style w:type="paragraph" w:styleId="CommentText">
    <w:name w:val="annotation text"/>
    <w:basedOn w:val="Normal"/>
    <w:link w:val="CommentTextChar"/>
    <w:semiHidden/>
    <w:rsid w:val="001D11DF"/>
  </w:style>
  <w:style w:type="paragraph" w:customStyle="1" w:styleId="CM10">
    <w:name w:val="CM10"/>
    <w:basedOn w:val="Default"/>
    <w:next w:val="Default"/>
    <w:rsid w:val="00B70EE3"/>
    <w:rPr>
      <w:rFonts w:ascii="Times New Roman" w:hAnsi="Times New Roman" w:cs="Times New Roman"/>
      <w:color w:val="auto"/>
      <w:lang w:val="en-AU" w:eastAsia="en-AU"/>
    </w:rPr>
  </w:style>
  <w:style w:type="paragraph" w:customStyle="1" w:styleId="CM1">
    <w:name w:val="CM1"/>
    <w:basedOn w:val="Default"/>
    <w:next w:val="Default"/>
    <w:rsid w:val="00B70EE3"/>
    <w:pPr>
      <w:spacing w:line="278" w:lineRule="atLeast"/>
    </w:pPr>
    <w:rPr>
      <w:rFonts w:ascii="Times New Roman" w:hAnsi="Times New Roman" w:cs="Times New Roman"/>
      <w:color w:val="auto"/>
      <w:lang w:val="en-AU" w:eastAsia="en-AU"/>
    </w:rPr>
  </w:style>
  <w:style w:type="paragraph" w:customStyle="1" w:styleId="CM13">
    <w:name w:val="CM13"/>
    <w:basedOn w:val="Default"/>
    <w:next w:val="Default"/>
    <w:rsid w:val="00B70EE3"/>
    <w:rPr>
      <w:rFonts w:ascii="Times New Roman" w:hAnsi="Times New Roman" w:cs="Times New Roman"/>
      <w:color w:val="auto"/>
      <w:lang w:val="en-AU" w:eastAsia="en-AU"/>
    </w:rPr>
  </w:style>
  <w:style w:type="paragraph" w:customStyle="1" w:styleId="CM14">
    <w:name w:val="CM14"/>
    <w:basedOn w:val="Default"/>
    <w:next w:val="Default"/>
    <w:rsid w:val="00B70EE3"/>
    <w:rPr>
      <w:rFonts w:ascii="Times New Roman" w:hAnsi="Times New Roman" w:cs="Times New Roman"/>
      <w:color w:val="auto"/>
      <w:lang w:val="en-AU" w:eastAsia="en-AU"/>
    </w:rPr>
  </w:style>
  <w:style w:type="paragraph" w:customStyle="1" w:styleId="CM15">
    <w:name w:val="CM15"/>
    <w:basedOn w:val="Default"/>
    <w:next w:val="Default"/>
    <w:rsid w:val="00B70EE3"/>
    <w:rPr>
      <w:rFonts w:ascii="Times New Roman" w:hAnsi="Times New Roman" w:cs="Times New Roman"/>
      <w:color w:val="auto"/>
      <w:lang w:val="en-AU" w:eastAsia="en-AU"/>
    </w:rPr>
  </w:style>
  <w:style w:type="paragraph" w:customStyle="1" w:styleId="CM12">
    <w:name w:val="CM12"/>
    <w:basedOn w:val="Default"/>
    <w:next w:val="Default"/>
    <w:rsid w:val="00B70EE3"/>
    <w:rPr>
      <w:rFonts w:ascii="Times New Roman" w:hAnsi="Times New Roman" w:cs="Times New Roman"/>
      <w:color w:val="auto"/>
      <w:lang w:val="en-AU" w:eastAsia="en-AU"/>
    </w:rPr>
  </w:style>
  <w:style w:type="paragraph" w:customStyle="1" w:styleId="CM5">
    <w:name w:val="CM5"/>
    <w:basedOn w:val="Default"/>
    <w:next w:val="Default"/>
    <w:rsid w:val="0056357F"/>
    <w:pPr>
      <w:spacing w:line="276" w:lineRule="atLeast"/>
    </w:pPr>
    <w:rPr>
      <w:rFonts w:ascii="Times New Roman" w:hAnsi="Times New Roman" w:cs="Times New Roman"/>
      <w:color w:val="auto"/>
      <w:lang w:val="en-AU" w:eastAsia="en-AU"/>
    </w:rPr>
  </w:style>
  <w:style w:type="paragraph" w:customStyle="1" w:styleId="CM16">
    <w:name w:val="CM16"/>
    <w:basedOn w:val="Default"/>
    <w:next w:val="Default"/>
    <w:rsid w:val="003608CE"/>
    <w:rPr>
      <w:rFonts w:ascii="Times New Roman" w:hAnsi="Times New Roman" w:cs="Times New Roman"/>
      <w:color w:val="auto"/>
      <w:lang w:val="en-AU" w:eastAsia="en-AU"/>
    </w:rPr>
  </w:style>
  <w:style w:type="paragraph" w:customStyle="1" w:styleId="CM17">
    <w:name w:val="CM17"/>
    <w:basedOn w:val="Default"/>
    <w:next w:val="Default"/>
    <w:rsid w:val="003608CE"/>
    <w:rPr>
      <w:rFonts w:ascii="Times New Roman" w:hAnsi="Times New Roman" w:cs="Times New Roman"/>
      <w:color w:val="auto"/>
      <w:lang w:val="en-AU" w:eastAsia="en-AU"/>
    </w:rPr>
  </w:style>
  <w:style w:type="character" w:styleId="Hyperlink">
    <w:name w:val="Hyperlink"/>
    <w:rsid w:val="004C00B1"/>
    <w:rPr>
      <w:color w:val="0000FF"/>
      <w:u w:val="single"/>
    </w:rPr>
  </w:style>
  <w:style w:type="paragraph" w:customStyle="1" w:styleId="first">
    <w:name w:val="first"/>
    <w:basedOn w:val="Normal"/>
    <w:rsid w:val="004C00B1"/>
    <w:pPr>
      <w:spacing w:before="100" w:beforeAutospacing="1" w:after="100" w:afterAutospacing="1"/>
    </w:pPr>
    <w:rPr>
      <w:sz w:val="24"/>
      <w:szCs w:val="24"/>
      <w:lang w:val="en-US"/>
    </w:rPr>
  </w:style>
  <w:style w:type="paragraph" w:styleId="CommentSubject">
    <w:name w:val="annotation subject"/>
    <w:basedOn w:val="CommentText"/>
    <w:next w:val="CommentText"/>
    <w:uiPriority w:val="99"/>
    <w:semiHidden/>
    <w:unhideWhenUsed/>
    <w:rsid w:val="00A260FC"/>
    <w:rPr>
      <w:b/>
      <w:bCs/>
    </w:rPr>
  </w:style>
  <w:style w:type="character" w:customStyle="1" w:styleId="CommentTextChar">
    <w:name w:val="Comment Text Char"/>
    <w:link w:val="CommentText"/>
    <w:semiHidden/>
    <w:rsid w:val="00A260FC"/>
    <w:rPr>
      <w:lang w:eastAsia="en-US"/>
    </w:rPr>
  </w:style>
  <w:style w:type="character" w:customStyle="1" w:styleId="CommentSubjectChar">
    <w:name w:val="Comment Subject Char"/>
    <w:basedOn w:val="CommentTextChar"/>
    <w:link w:val="CommentSubject"/>
    <w:rsid w:val="00A260FC"/>
    <w:rPr>
      <w:lang w:eastAsia="en-US"/>
    </w:rPr>
  </w:style>
  <w:style w:type="paragraph" w:styleId="NoSpacing">
    <w:name w:val="No Spacing"/>
    <w:uiPriority w:val="1"/>
    <w:qFormat/>
    <w:rsid w:val="00B54B99"/>
    <w:rPr>
      <w:lang w:eastAsia="en-US"/>
    </w:rPr>
  </w:style>
  <w:style w:type="character" w:customStyle="1" w:styleId="FooterChar">
    <w:name w:val="Footer Char"/>
    <w:link w:val="Footer"/>
    <w:uiPriority w:val="99"/>
    <w:rsid w:val="000658F7"/>
    <w:rPr>
      <w:lang w:val="en-AU"/>
    </w:rPr>
  </w:style>
  <w:style w:type="paragraph" w:styleId="Revision">
    <w:name w:val="Revision"/>
    <w:hidden/>
    <w:uiPriority w:val="99"/>
    <w:semiHidden/>
    <w:rsid w:val="008D3D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8939">
      <w:bodyDiv w:val="1"/>
      <w:marLeft w:val="0"/>
      <w:marRight w:val="0"/>
      <w:marTop w:val="0"/>
      <w:marBottom w:val="0"/>
      <w:divBdr>
        <w:top w:val="none" w:sz="0" w:space="0" w:color="auto"/>
        <w:left w:val="none" w:sz="0" w:space="0" w:color="auto"/>
        <w:bottom w:val="none" w:sz="0" w:space="0" w:color="auto"/>
        <w:right w:val="none" w:sz="0" w:space="0" w:color="auto"/>
      </w:divBdr>
      <w:divsChild>
        <w:div w:id="1175996842">
          <w:marLeft w:val="0"/>
          <w:marRight w:val="0"/>
          <w:marTop w:val="0"/>
          <w:marBottom w:val="0"/>
          <w:divBdr>
            <w:top w:val="none" w:sz="0" w:space="0" w:color="auto"/>
            <w:left w:val="none" w:sz="0" w:space="0" w:color="auto"/>
            <w:bottom w:val="none" w:sz="0" w:space="0" w:color="auto"/>
            <w:right w:val="none" w:sz="0" w:space="0" w:color="auto"/>
          </w:divBdr>
          <w:divsChild>
            <w:div w:id="14655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427">
      <w:bodyDiv w:val="1"/>
      <w:marLeft w:val="0"/>
      <w:marRight w:val="0"/>
      <w:marTop w:val="0"/>
      <w:marBottom w:val="0"/>
      <w:divBdr>
        <w:top w:val="none" w:sz="0" w:space="0" w:color="auto"/>
        <w:left w:val="none" w:sz="0" w:space="0" w:color="auto"/>
        <w:bottom w:val="none" w:sz="0" w:space="0" w:color="auto"/>
        <w:right w:val="none" w:sz="0" w:space="0" w:color="auto"/>
      </w:divBdr>
      <w:divsChild>
        <w:div w:id="1610307936">
          <w:marLeft w:val="0"/>
          <w:marRight w:val="0"/>
          <w:marTop w:val="100"/>
          <w:marBottom w:val="100"/>
          <w:divBdr>
            <w:top w:val="none" w:sz="0" w:space="0" w:color="auto"/>
            <w:left w:val="none" w:sz="0" w:space="0" w:color="auto"/>
            <w:bottom w:val="none" w:sz="0" w:space="0" w:color="auto"/>
            <w:right w:val="none" w:sz="0" w:space="0" w:color="auto"/>
          </w:divBdr>
          <w:divsChild>
            <w:div w:id="1300960517">
              <w:marLeft w:val="0"/>
              <w:marRight w:val="0"/>
              <w:marTop w:val="100"/>
              <w:marBottom w:val="100"/>
              <w:divBdr>
                <w:top w:val="single" w:sz="4" w:space="0" w:color="E0E0E0"/>
                <w:left w:val="single" w:sz="4" w:space="3" w:color="E0E0E0"/>
                <w:bottom w:val="single" w:sz="4" w:space="0" w:color="E0E0E0"/>
                <w:right w:val="single" w:sz="4" w:space="3" w:color="E0E0E0"/>
              </w:divBdr>
              <w:divsChild>
                <w:div w:id="671103732">
                  <w:marLeft w:val="0"/>
                  <w:marRight w:val="0"/>
                  <w:marTop w:val="100"/>
                  <w:marBottom w:val="100"/>
                  <w:divBdr>
                    <w:top w:val="single" w:sz="4" w:space="0" w:color="E0E0E0"/>
                    <w:left w:val="single" w:sz="4" w:space="3" w:color="E0E0E0"/>
                    <w:bottom w:val="single" w:sz="4" w:space="0" w:color="E0E0E0"/>
                    <w:right w:val="single" w:sz="4" w:space="3" w:color="E0E0E0"/>
                  </w:divBdr>
                  <w:divsChild>
                    <w:div w:id="2130663381">
                      <w:marLeft w:val="0"/>
                      <w:marRight w:val="0"/>
                      <w:marTop w:val="100"/>
                      <w:marBottom w:val="100"/>
                      <w:divBdr>
                        <w:top w:val="single" w:sz="4" w:space="0" w:color="E0E0E0"/>
                        <w:left w:val="single" w:sz="4" w:space="3" w:color="E0E0E0"/>
                        <w:bottom w:val="single" w:sz="4" w:space="0" w:color="E0E0E0"/>
                        <w:right w:val="single" w:sz="4" w:space="3" w:color="E0E0E0"/>
                      </w:divBdr>
                      <w:divsChild>
                        <w:div w:id="260064611">
                          <w:marLeft w:val="0"/>
                          <w:marRight w:val="0"/>
                          <w:marTop w:val="100"/>
                          <w:marBottom w:val="100"/>
                          <w:divBdr>
                            <w:top w:val="none" w:sz="0" w:space="0" w:color="auto"/>
                            <w:left w:val="none" w:sz="0" w:space="0" w:color="auto"/>
                            <w:bottom w:val="none" w:sz="0" w:space="0" w:color="auto"/>
                            <w:right w:val="none" w:sz="0" w:space="0" w:color="auto"/>
                          </w:divBdr>
                          <w:divsChild>
                            <w:div w:id="791676985">
                              <w:marLeft w:val="0"/>
                              <w:marRight w:val="0"/>
                              <w:marTop w:val="100"/>
                              <w:marBottom w:val="100"/>
                              <w:divBdr>
                                <w:top w:val="none" w:sz="0" w:space="0" w:color="auto"/>
                                <w:left w:val="none" w:sz="0" w:space="0" w:color="auto"/>
                                <w:bottom w:val="none" w:sz="0" w:space="0" w:color="auto"/>
                                <w:right w:val="none" w:sz="0" w:space="0" w:color="auto"/>
                              </w:divBdr>
                              <w:divsChild>
                                <w:div w:id="1513690595">
                                  <w:marLeft w:val="0"/>
                                  <w:marRight w:val="0"/>
                                  <w:marTop w:val="100"/>
                                  <w:marBottom w:val="100"/>
                                  <w:divBdr>
                                    <w:top w:val="single" w:sz="4" w:space="0" w:color="E0E0E0"/>
                                    <w:left w:val="single" w:sz="4" w:space="3" w:color="E0E0E0"/>
                                    <w:bottom w:val="single" w:sz="4" w:space="0" w:color="E0E0E0"/>
                                    <w:right w:val="single" w:sz="4" w:space="3" w:color="E0E0E0"/>
                                  </w:divBdr>
                                  <w:divsChild>
                                    <w:div w:id="1358043123">
                                      <w:marLeft w:val="0"/>
                                      <w:marRight w:val="0"/>
                                      <w:marTop w:val="100"/>
                                      <w:marBottom w:val="100"/>
                                      <w:divBdr>
                                        <w:top w:val="single" w:sz="4" w:space="0" w:color="E0E0E0"/>
                                        <w:left w:val="single" w:sz="4" w:space="3" w:color="E0E0E0"/>
                                        <w:bottom w:val="single" w:sz="4" w:space="0" w:color="E0E0E0"/>
                                        <w:right w:val="single" w:sz="4" w:space="3" w:color="E0E0E0"/>
                                      </w:divBdr>
                                      <w:divsChild>
                                        <w:div w:id="1613439017">
                                          <w:marLeft w:val="0"/>
                                          <w:marRight w:val="0"/>
                                          <w:marTop w:val="100"/>
                                          <w:marBottom w:val="100"/>
                                          <w:divBdr>
                                            <w:top w:val="single" w:sz="4" w:space="0" w:color="E0E0E0"/>
                                            <w:left w:val="single" w:sz="4" w:space="3" w:color="E0E0E0"/>
                                            <w:bottom w:val="single" w:sz="4" w:space="0" w:color="E0E0E0"/>
                                            <w:right w:val="single" w:sz="4" w:space="3" w:color="E0E0E0"/>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476B-55DC-4DA5-BF82-2D618985A68D}">
  <ds:schemaRefs>
    <ds:schemaRef ds:uri="http://schemas.microsoft.com/office/2006/customDocumentInformationPanel"/>
  </ds:schemaRefs>
</ds:datastoreItem>
</file>

<file path=customXml/itemProps2.xml><?xml version="1.0" encoding="utf-8"?>
<ds:datastoreItem xmlns:ds="http://schemas.openxmlformats.org/officeDocument/2006/customXml" ds:itemID="{59C46DF7-B878-46A7-AD4F-DC603C3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3699</Words>
  <Characters>20942</Characters>
  <Application>Microsoft Office Word</Application>
  <DocSecurity>0</DocSecurity>
  <Lines>465</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vt:lpstr>
      <vt:lpstr>PRODUCT INFORMATION</vt:lpstr>
    </vt:vector>
  </TitlesOfParts>
  <Company>Novartis</Company>
  <LinksUpToDate>false</LinksUpToDate>
  <CharactersWithSpaces>24393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Lotemax (loteprednol etabonate)</dc:title>
  <dc:subject>prescription medicine</dc:subject>
  <dc:creator>Bausch &amp; Lomb</dc:creator>
  <cp:keywords>lotemax, loteprednol etabonate</cp:keywords>
  <cp:lastModifiedBy>Bird, Gail</cp:lastModifiedBy>
  <cp:revision>5</cp:revision>
  <cp:lastPrinted>2014-01-21T04:50:00Z</cp:lastPrinted>
  <dcterms:created xsi:type="dcterms:W3CDTF">2014-05-31T03:12:00Z</dcterms:created>
  <dcterms:modified xsi:type="dcterms:W3CDTF">2014-05-31T03:14:00Z</dcterms:modified>
</cp:coreProperties>
</file>