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vertAnchor="text" w:horzAnchor="margin" w:tblpY="9863"/>
        <w:tblOverlap w:val="never"/>
        <w:tblW w:w="3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tblGrid>
      <w:tr w:rsidR="008E7846" w:rsidRPr="00487162" w:rsidTr="00BF1190">
        <w:trPr>
          <w:trHeight w:val="1863"/>
        </w:trPr>
        <w:tc>
          <w:tcPr>
            <w:tcW w:w="3652" w:type="dxa"/>
            <w:tcBorders>
              <w:top w:val="nil"/>
              <w:left w:val="nil"/>
              <w:bottom w:val="nil"/>
              <w:right w:val="nil"/>
            </w:tcBorders>
          </w:tcPr>
          <w:p w:rsidR="008E7846" w:rsidRPr="00096AA7" w:rsidRDefault="00F227CF" w:rsidP="00096AA7">
            <w:pPr>
              <w:rPr>
                <w:rFonts w:ascii="Arial" w:hAnsi="Arial" w:cs="Arial"/>
                <w:b/>
                <w:color w:val="002C47"/>
                <w:sz w:val="36"/>
                <w:szCs w:val="36"/>
              </w:rPr>
            </w:pPr>
            <w:r>
              <w:rPr>
                <w:rFonts w:ascii="Arial" w:hAnsi="Arial" w:cs="Arial"/>
                <w:b/>
                <w:color w:val="002C47"/>
                <w:sz w:val="36"/>
                <w:szCs w:val="36"/>
              </w:rPr>
              <w:t xml:space="preserve">February </w:t>
            </w:r>
            <w:r w:rsidR="00D51814">
              <w:rPr>
                <w:rFonts w:ascii="Arial" w:hAnsi="Arial" w:cs="Arial"/>
                <w:b/>
                <w:color w:val="002C47"/>
                <w:sz w:val="36"/>
                <w:szCs w:val="36"/>
              </w:rPr>
              <w:t>2020</w:t>
            </w:r>
          </w:p>
        </w:tc>
      </w:tr>
    </w:tbl>
    <w:tbl>
      <w:tblPr>
        <w:tblpPr w:leftFromText="180" w:rightFromText="180" w:vertAnchor="page" w:tblpY="3316"/>
        <w:tblW w:w="9079" w:type="dxa"/>
        <w:tblLayout w:type="fixed"/>
        <w:tblLook w:val="04A0" w:firstRow="1" w:lastRow="0" w:firstColumn="1" w:lastColumn="0" w:noHBand="0" w:noVBand="1"/>
      </w:tblPr>
      <w:tblGrid>
        <w:gridCol w:w="9079"/>
      </w:tblGrid>
      <w:tr w:rsidR="0032583B" w:rsidRPr="00A964D1" w:rsidTr="0032583B">
        <w:trPr>
          <w:trHeight w:val="868"/>
        </w:trPr>
        <w:tc>
          <w:tcPr>
            <w:tcW w:w="9079" w:type="dxa"/>
          </w:tcPr>
          <w:p w:rsidR="0032583B" w:rsidRPr="00A964D1" w:rsidRDefault="0032583B" w:rsidP="00FC456C">
            <w:pPr>
              <w:pStyle w:val="Title"/>
              <w:framePr w:hSpace="0" w:wrap="auto" w:vAnchor="margin" w:yAlign="inline"/>
            </w:pPr>
            <w:bookmarkStart w:id="0" w:name="_GoBack"/>
            <w:r w:rsidRPr="00A964D1">
              <w:t xml:space="preserve">Australian Public Assessment Report for </w:t>
            </w:r>
            <w:proofErr w:type="spellStart"/>
            <w:r w:rsidR="00D51814">
              <w:t>L</w:t>
            </w:r>
            <w:r w:rsidR="00D51814" w:rsidRPr="00D51814">
              <w:t>orlatinib</w:t>
            </w:r>
            <w:bookmarkEnd w:id="0"/>
            <w:proofErr w:type="spellEnd"/>
          </w:p>
        </w:tc>
      </w:tr>
      <w:tr w:rsidR="0032583B" w:rsidRPr="00B64760" w:rsidTr="0032583B">
        <w:tc>
          <w:tcPr>
            <w:tcW w:w="9079" w:type="dxa"/>
          </w:tcPr>
          <w:p w:rsidR="0032583B" w:rsidRPr="008E7846" w:rsidRDefault="0032583B" w:rsidP="00FC456C">
            <w:pPr>
              <w:pStyle w:val="Subtitle"/>
              <w:framePr w:hSpace="0" w:wrap="auto" w:vAnchor="margin" w:yAlign="inline"/>
            </w:pPr>
            <w:r w:rsidRPr="008E7846">
              <w:t xml:space="preserve">Proprietary Product Name: </w:t>
            </w:r>
            <w:proofErr w:type="spellStart"/>
            <w:r w:rsidR="00D51814" w:rsidRPr="00D51814">
              <w:t>Lorviqua</w:t>
            </w:r>
            <w:proofErr w:type="spellEnd"/>
          </w:p>
        </w:tc>
      </w:tr>
      <w:tr w:rsidR="0032583B" w:rsidRPr="00B64760" w:rsidTr="0032583B">
        <w:trPr>
          <w:trHeight w:val="486"/>
        </w:trPr>
        <w:tc>
          <w:tcPr>
            <w:tcW w:w="9079" w:type="dxa"/>
          </w:tcPr>
          <w:p w:rsidR="0032583B" w:rsidRPr="008E7846" w:rsidRDefault="0032583B" w:rsidP="00FC456C">
            <w:pPr>
              <w:pStyle w:val="Subtitle"/>
              <w:framePr w:hSpace="0" w:wrap="auto" w:vAnchor="margin" w:yAlign="inline"/>
            </w:pPr>
            <w:r w:rsidRPr="008E7846">
              <w:t xml:space="preserve">Sponsor: </w:t>
            </w:r>
            <w:r w:rsidR="00D51814" w:rsidRPr="00D51814">
              <w:t>Pfizer Australia Pty Ltd</w:t>
            </w:r>
          </w:p>
        </w:tc>
      </w:tr>
    </w:tbl>
    <w:p w:rsidR="008E7846" w:rsidRPr="0085156D" w:rsidRDefault="008E7846" w:rsidP="0085156D">
      <w:r w:rsidRPr="0085156D">
        <w:br w:type="page"/>
      </w:r>
    </w:p>
    <w:p w:rsidR="008E7846" w:rsidRPr="001F6CBA" w:rsidRDefault="008E7846" w:rsidP="008E7846">
      <w:pPr>
        <w:pStyle w:val="NonTOCHeading2"/>
      </w:pPr>
      <w:r w:rsidRPr="001F6CBA">
        <w:lastRenderedPageBreak/>
        <w:t>About the Therapeutic Goods Administration (TGA)</w:t>
      </w:r>
    </w:p>
    <w:p w:rsidR="008E7846" w:rsidRDefault="008E7846" w:rsidP="008E7846">
      <w:pPr>
        <w:pStyle w:val="ListBullet"/>
        <w:numPr>
          <w:ilvl w:val="0"/>
          <w:numId w:val="3"/>
        </w:numPr>
        <w:ind w:left="357" w:hanging="357"/>
      </w:pPr>
      <w:r>
        <w:t xml:space="preserve">The Therapeutic Goods Administration (TGA) is </w:t>
      </w:r>
      <w:r w:rsidR="00E624A5">
        <w:t xml:space="preserve">part </w:t>
      </w:r>
      <w:r>
        <w:t>of the Australian Government Department of Health and is responsible for regulating medicines and medical devices.</w:t>
      </w:r>
    </w:p>
    <w:p w:rsidR="008E7846" w:rsidRDefault="00C80137" w:rsidP="008E7846">
      <w:pPr>
        <w:pStyle w:val="ListBullet"/>
        <w:numPr>
          <w:ilvl w:val="0"/>
          <w:numId w:val="3"/>
        </w:numPr>
        <w:ind w:left="357" w:hanging="357"/>
      </w:pPr>
      <w:r>
        <w:t xml:space="preserve">The </w:t>
      </w:r>
      <w:r w:rsidR="008E7846">
        <w:t xml:space="preserve">TGA administers the </w:t>
      </w:r>
      <w:r w:rsidR="008E7846" w:rsidRPr="00F640B6">
        <w:rPr>
          <w:i/>
        </w:rPr>
        <w:t>Therapeutic Goods Act 1989</w:t>
      </w:r>
      <w:r w:rsidR="00785717">
        <w:rPr>
          <w:i/>
        </w:rPr>
        <w:t xml:space="preserve"> </w:t>
      </w:r>
      <w:r w:rsidR="00785717" w:rsidRPr="00785717">
        <w:t>(the Act)</w:t>
      </w:r>
      <w:r w:rsidR="008E7846" w:rsidRPr="00785717">
        <w:t>,</w:t>
      </w:r>
      <w:r w:rsidR="008E7846">
        <w:t xml:space="preserve"> applying a risk management approach designed to ensure therapeutic goods supplied in Australia meet acceptable standards of quality, safety and efficacy (performance) when necessary.</w:t>
      </w:r>
    </w:p>
    <w:p w:rsidR="008E7846" w:rsidRDefault="008E7846" w:rsidP="008E7846">
      <w:pPr>
        <w:pStyle w:val="ListBullet"/>
        <w:numPr>
          <w:ilvl w:val="0"/>
          <w:numId w:val="3"/>
        </w:numPr>
        <w:ind w:left="357" w:hanging="357"/>
      </w:pPr>
      <w:r>
        <w:t xml:space="preserve">The work of the TGA </w:t>
      </w:r>
      <w:proofErr w:type="gramStart"/>
      <w:r>
        <w:t>is based</w:t>
      </w:r>
      <w:proofErr w:type="gramEnd"/>
      <w:r>
        <w:t xml:space="preserve"> on applying scientific and clinical expertise to decision-making, to ensure that the benefits to consumers outweigh any risks associated with the use of medicines and medical devices.</w:t>
      </w:r>
    </w:p>
    <w:p w:rsidR="008E7846" w:rsidRDefault="008E7846" w:rsidP="008E7846">
      <w:pPr>
        <w:pStyle w:val="ListBullet"/>
        <w:numPr>
          <w:ilvl w:val="0"/>
          <w:numId w:val="3"/>
        </w:numPr>
        <w:ind w:left="357" w:hanging="357"/>
      </w:pPr>
      <w:r>
        <w:t>The TGA relies on the public, healthcare professionals and industry to report problems with medicines or medical devices. TGA investigates reports received by it to determine any necessary regulatory action.</w:t>
      </w:r>
    </w:p>
    <w:p w:rsidR="00441C3F" w:rsidRDefault="008E7846" w:rsidP="00441C3F">
      <w:pPr>
        <w:pStyle w:val="ListBullet"/>
        <w:numPr>
          <w:ilvl w:val="0"/>
          <w:numId w:val="3"/>
        </w:numPr>
        <w:ind w:left="357" w:hanging="357"/>
      </w:pPr>
      <w:r>
        <w:t xml:space="preserve">To report a problem with a medicine or medical device, please see the information on </w:t>
      </w:r>
      <w:r w:rsidR="00441C3F">
        <w:t>the TGA website &lt;</w:t>
      </w:r>
      <w:hyperlink r:id="rId8" w:history="1">
        <w:r w:rsidR="00441C3F">
          <w:rPr>
            <w:rStyle w:val="Hyperlink"/>
          </w:rPr>
          <w:t>https://www.tga.gov.au</w:t>
        </w:r>
      </w:hyperlink>
      <w:r w:rsidR="00441C3F">
        <w:t>&gt;.</w:t>
      </w:r>
    </w:p>
    <w:p w:rsidR="008E7846" w:rsidRDefault="008E7846" w:rsidP="00875A6B">
      <w:pPr>
        <w:pStyle w:val="NonTOCHeading2"/>
      </w:pPr>
      <w:r>
        <w:t xml:space="preserve">About </w:t>
      </w:r>
      <w:proofErr w:type="spellStart"/>
      <w:r>
        <w:t>AusPARs</w:t>
      </w:r>
      <w:proofErr w:type="spellEnd"/>
    </w:p>
    <w:p w:rsidR="008E7846" w:rsidRDefault="008E7846" w:rsidP="008E7846">
      <w:pPr>
        <w:pStyle w:val="ListBullet"/>
        <w:numPr>
          <w:ilvl w:val="0"/>
          <w:numId w:val="3"/>
        </w:numPr>
        <w:ind w:left="357" w:hanging="357"/>
      </w:pPr>
      <w:r>
        <w:t>An Australian Public Assessment Re</w:t>
      </w:r>
      <w:r w:rsidR="00133A1B">
        <w:t>port</w:t>
      </w:r>
      <w:r>
        <w:t xml:space="preserve"> (</w:t>
      </w:r>
      <w:proofErr w:type="spellStart"/>
      <w:r>
        <w:t>AusPAR</w:t>
      </w:r>
      <w:proofErr w:type="spellEnd"/>
      <w:r>
        <w:t>) provides information about the evaluation of a prescription medicine and the considerations that led the TGA to approve or not approve a pr</w:t>
      </w:r>
      <w:r w:rsidR="00441C3F">
        <w:t>escription medicine submission.</w:t>
      </w:r>
    </w:p>
    <w:p w:rsidR="008E7846" w:rsidRDefault="008E7846" w:rsidP="008E7846">
      <w:pPr>
        <w:pStyle w:val="ListBullet"/>
        <w:numPr>
          <w:ilvl w:val="0"/>
          <w:numId w:val="3"/>
        </w:numPr>
        <w:ind w:left="357" w:hanging="357"/>
      </w:pPr>
      <w:proofErr w:type="spellStart"/>
      <w:r>
        <w:t>AusPARs</w:t>
      </w:r>
      <w:proofErr w:type="spellEnd"/>
      <w:r>
        <w:t xml:space="preserve"> </w:t>
      </w:r>
      <w:proofErr w:type="gramStart"/>
      <w:r>
        <w:t>are prepared and published by the TGA</w:t>
      </w:r>
      <w:proofErr w:type="gramEnd"/>
      <w:r>
        <w:t>.</w:t>
      </w:r>
    </w:p>
    <w:p w:rsidR="008E7846" w:rsidRDefault="008E7846" w:rsidP="008E7846">
      <w:pPr>
        <w:pStyle w:val="ListBullet"/>
        <w:numPr>
          <w:ilvl w:val="0"/>
          <w:numId w:val="3"/>
        </w:numPr>
        <w:ind w:left="357" w:hanging="357"/>
      </w:pPr>
      <w:r>
        <w:t xml:space="preserve">An </w:t>
      </w:r>
      <w:proofErr w:type="spellStart"/>
      <w:r>
        <w:t>AusPAR</w:t>
      </w:r>
      <w:proofErr w:type="spellEnd"/>
      <w:r>
        <w:t xml:space="preserve"> </w:t>
      </w:r>
      <w:proofErr w:type="gramStart"/>
      <w:r>
        <w:t>is prepared</w:t>
      </w:r>
      <w:proofErr w:type="gramEnd"/>
      <w:r>
        <w:t xml:space="preserve"> for submissions that relate to new chemical entities, generic medicines, major variations and extensions of indications.</w:t>
      </w:r>
    </w:p>
    <w:p w:rsidR="008E7846" w:rsidRDefault="008E7846" w:rsidP="008E7846">
      <w:pPr>
        <w:pStyle w:val="ListBullet"/>
        <w:numPr>
          <w:ilvl w:val="0"/>
          <w:numId w:val="3"/>
        </w:numPr>
        <w:ind w:left="357" w:hanging="357"/>
      </w:pPr>
      <w:r>
        <w:t xml:space="preserve">An </w:t>
      </w:r>
      <w:proofErr w:type="spellStart"/>
      <w:r>
        <w:t>AusPAR</w:t>
      </w:r>
      <w:proofErr w:type="spellEnd"/>
      <w:r>
        <w:t xml:space="preserve"> is a static document</w:t>
      </w:r>
      <w:r w:rsidR="00133A1B">
        <w:t>;</w:t>
      </w:r>
      <w:r>
        <w:t xml:space="preserve"> it provide</w:t>
      </w:r>
      <w:r w:rsidR="00133A1B">
        <w:t>s</w:t>
      </w:r>
      <w:r>
        <w:t xml:space="preserve"> information that relates to a submission at a particular point in time.</w:t>
      </w:r>
    </w:p>
    <w:p w:rsidR="00B452CE" w:rsidRDefault="008E7846" w:rsidP="00FF5755">
      <w:pPr>
        <w:pStyle w:val="ListBullet"/>
        <w:numPr>
          <w:ilvl w:val="0"/>
          <w:numId w:val="3"/>
        </w:numPr>
        <w:ind w:left="357" w:hanging="357"/>
      </w:pPr>
      <w:r>
        <w:t xml:space="preserve">A new </w:t>
      </w:r>
      <w:proofErr w:type="spellStart"/>
      <w:r>
        <w:t>AusPAR</w:t>
      </w:r>
      <w:proofErr w:type="spellEnd"/>
      <w:r>
        <w:t xml:space="preserve"> </w:t>
      </w:r>
      <w:proofErr w:type="gramStart"/>
      <w:r>
        <w:t>will be developed</w:t>
      </w:r>
      <w:proofErr w:type="gramEnd"/>
      <w:r>
        <w:t xml:space="preserve"> to reflect changes to indications and/or major variations to a prescription medicine subject to evaluation by the TGA.</w:t>
      </w:r>
    </w:p>
    <w:p w:rsidR="00924482" w:rsidRPr="00DF1D7F" w:rsidRDefault="00924482" w:rsidP="00F54B65">
      <w:pPr>
        <w:pStyle w:val="LegalSubheading"/>
        <w:spacing w:before="3120"/>
      </w:pPr>
      <w:r w:rsidRPr="00DF1D7F">
        <w:t>Copyright</w:t>
      </w:r>
    </w:p>
    <w:p w:rsidR="00924482" w:rsidRDefault="00924482" w:rsidP="00924482">
      <w:pPr>
        <w:pStyle w:val="LegalCopy"/>
      </w:pPr>
      <w:r w:rsidRPr="00191B3B">
        <w:rPr>
          <w:rFonts w:cs="Arial"/>
          <w:lang w:val="en-GB"/>
        </w:rPr>
        <w:t>© Comm</w:t>
      </w:r>
      <w:r w:rsidR="00D51814">
        <w:rPr>
          <w:rFonts w:cs="Arial"/>
          <w:lang w:val="en-GB"/>
        </w:rPr>
        <w:t>onwealth of Australia 2020</w:t>
      </w:r>
      <w:r w:rsidRPr="00191B3B">
        <w:rPr>
          <w:rFonts w:cs="Arial"/>
          <w:lang w:val="en-GB"/>
        </w:rPr>
        <w:br/>
      </w:r>
      <w:proofErr w:type="gramStart"/>
      <w:r w:rsidRPr="00191B3B">
        <w:rPr>
          <w:rFonts w:cs="Arial"/>
          <w:lang w:val="en-GB"/>
        </w:rPr>
        <w:t>This</w:t>
      </w:r>
      <w:proofErr w:type="gramEnd"/>
      <w:r w:rsidRPr="00191B3B">
        <w:rPr>
          <w:rFonts w:cs="Arial"/>
          <w:lang w:val="en-GB"/>
        </w:rPr>
        <w:t xml:space="preserve"> work is copyright. </w:t>
      </w:r>
      <w:proofErr w:type="gramStart"/>
      <w:r w:rsidRPr="00191B3B">
        <w:rPr>
          <w:rFonts w:cs="Arial"/>
          <w:lang w:val="en-GB"/>
        </w:rPr>
        <w:t>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w:t>
      </w:r>
      <w:proofErr w:type="gramEnd"/>
      <w:r w:rsidRPr="00191B3B">
        <w:rPr>
          <w:rFonts w:cs="Arial"/>
          <w:lang w:val="en-GB"/>
        </w:rPr>
        <w:t xml:space="preserve">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w:t>
      </w:r>
      <w:proofErr w:type="gramStart"/>
      <w:r w:rsidRPr="00191B3B">
        <w:rPr>
          <w:rFonts w:cs="Arial"/>
          <w:lang w:val="en-GB"/>
        </w:rPr>
        <w:t>sent</w:t>
      </w:r>
      <w:proofErr w:type="gramEnd"/>
      <w:r w:rsidRPr="00191B3B">
        <w:rPr>
          <w:rFonts w:cs="Arial"/>
          <w:lang w:val="en-GB"/>
        </w:rPr>
        <w:t xml:space="preserve"> to the TGA Copyright Officer, Therapeutic Goods Administration, PO Box 100, </w:t>
      </w:r>
      <w:proofErr w:type="spellStart"/>
      <w:r w:rsidRPr="00191B3B">
        <w:rPr>
          <w:rFonts w:cs="Arial"/>
          <w:lang w:val="en-GB"/>
        </w:rPr>
        <w:t>Woden</w:t>
      </w:r>
      <w:proofErr w:type="spellEnd"/>
      <w:r w:rsidRPr="00191B3B">
        <w:rPr>
          <w:rFonts w:cs="Arial"/>
          <w:lang w:val="en-GB"/>
        </w:rPr>
        <w:t xml:space="preserve"> ACT 2606 or emailed to &lt;</w:t>
      </w:r>
      <w:hyperlink r:id="rId9" w:history="1">
        <w:r w:rsidRPr="00191B3B">
          <w:rPr>
            <w:rStyle w:val="Hyperlink"/>
            <w:rFonts w:cs="Arial"/>
            <w:lang w:val="en-GB"/>
          </w:rPr>
          <w:t>tga.copyright@tga.gov.au</w:t>
        </w:r>
      </w:hyperlink>
      <w:r w:rsidRPr="00191B3B">
        <w:rPr>
          <w:rFonts w:cs="Arial"/>
        </w:rPr>
        <w:t>&gt;.</w:t>
      </w:r>
    </w:p>
    <w:p w:rsidR="00924482" w:rsidRDefault="00924482" w:rsidP="00924482">
      <w:pPr>
        <w:pStyle w:val="LegalCopy"/>
        <w:sectPr w:rsidR="00924482" w:rsidSect="003D1E62">
          <w:headerReference w:type="default" r:id="rId10"/>
          <w:footerReference w:type="default" r:id="rId11"/>
          <w:headerReference w:type="first" r:id="rId12"/>
          <w:pgSz w:w="11906" w:h="16838" w:code="9"/>
          <w:pgMar w:top="426" w:right="1701" w:bottom="0" w:left="1701" w:header="907" w:footer="142" w:gutter="0"/>
          <w:pgNumType w:fmt="lowerRoman" w:start="1"/>
          <w:cols w:space="708"/>
          <w:titlePg/>
          <w:docGrid w:linePitch="360"/>
        </w:sectPr>
      </w:pPr>
    </w:p>
    <w:bookmarkStart w:id="1" w:name="_Toc247691501" w:displacedByCustomXml="next"/>
    <w:bookmarkStart w:id="2" w:name="_Toc196046425"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rsidR="0089635C" w:rsidRPr="0089635C" w:rsidRDefault="0089635C" w:rsidP="0010788A">
          <w:pPr>
            <w:pStyle w:val="Contents"/>
          </w:pPr>
          <w:r w:rsidRPr="0010788A">
            <w:t>Contents</w:t>
          </w:r>
        </w:p>
        <w:p w:rsidR="00D74C97" w:rsidRDefault="00960520">
          <w:pPr>
            <w:pStyle w:val="TOC2"/>
            <w:rPr>
              <w:rFonts w:asciiTheme="minorHAnsi" w:eastAsiaTheme="minorEastAsia" w:hAnsiTheme="minorHAnsi" w:cstheme="minorBidi"/>
              <w:b w:val="0"/>
              <w:noProof/>
              <w:sz w:val="22"/>
              <w:lang w:eastAsia="en-AU"/>
            </w:rPr>
          </w:pPr>
          <w:r>
            <w:fldChar w:fldCharType="begin"/>
          </w:r>
          <w:r>
            <w:instrText xml:space="preserve"> TOC \o "3-3" \h \z \t "Heading 1,1,Heading 2,2" </w:instrText>
          </w:r>
          <w:r>
            <w:fldChar w:fldCharType="separate"/>
          </w:r>
          <w:hyperlink w:anchor="_Toc33165802" w:history="1">
            <w:r w:rsidR="00D74C97" w:rsidRPr="005A7E44">
              <w:rPr>
                <w:rStyle w:val="Hyperlink"/>
                <w:noProof/>
              </w:rPr>
              <w:t>Common abbreviations</w:t>
            </w:r>
            <w:r w:rsidR="00D74C97">
              <w:rPr>
                <w:noProof/>
                <w:webHidden/>
              </w:rPr>
              <w:tab/>
            </w:r>
            <w:r w:rsidR="00D74C97">
              <w:rPr>
                <w:noProof/>
                <w:webHidden/>
              </w:rPr>
              <w:fldChar w:fldCharType="begin"/>
            </w:r>
            <w:r w:rsidR="00D74C97">
              <w:rPr>
                <w:noProof/>
                <w:webHidden/>
              </w:rPr>
              <w:instrText xml:space="preserve"> PAGEREF _Toc33165802 \h </w:instrText>
            </w:r>
            <w:r w:rsidR="00D74C97">
              <w:rPr>
                <w:noProof/>
                <w:webHidden/>
              </w:rPr>
            </w:r>
            <w:r w:rsidR="00D74C97">
              <w:rPr>
                <w:noProof/>
                <w:webHidden/>
              </w:rPr>
              <w:fldChar w:fldCharType="separate"/>
            </w:r>
            <w:r w:rsidR="00D74C97">
              <w:rPr>
                <w:noProof/>
                <w:webHidden/>
              </w:rPr>
              <w:t>4</w:t>
            </w:r>
            <w:r w:rsidR="00D74C97">
              <w:rPr>
                <w:noProof/>
                <w:webHidden/>
              </w:rPr>
              <w:fldChar w:fldCharType="end"/>
            </w:r>
          </w:hyperlink>
        </w:p>
        <w:p w:rsidR="00D74C97" w:rsidRDefault="009339F6">
          <w:pPr>
            <w:pStyle w:val="TOC2"/>
            <w:rPr>
              <w:rFonts w:asciiTheme="minorHAnsi" w:eastAsiaTheme="minorEastAsia" w:hAnsiTheme="minorHAnsi" w:cstheme="minorBidi"/>
              <w:b w:val="0"/>
              <w:noProof/>
              <w:sz w:val="22"/>
              <w:lang w:eastAsia="en-AU"/>
            </w:rPr>
          </w:pPr>
          <w:hyperlink w:anchor="_Toc33165803" w:history="1">
            <w:r w:rsidR="00D74C97" w:rsidRPr="005A7E44">
              <w:rPr>
                <w:rStyle w:val="Hyperlink"/>
                <w:noProof/>
              </w:rPr>
              <w:t>I. Introduction to product submission</w:t>
            </w:r>
            <w:r w:rsidR="00D74C97">
              <w:rPr>
                <w:noProof/>
                <w:webHidden/>
              </w:rPr>
              <w:tab/>
            </w:r>
            <w:r w:rsidR="00D74C97">
              <w:rPr>
                <w:noProof/>
                <w:webHidden/>
              </w:rPr>
              <w:fldChar w:fldCharType="begin"/>
            </w:r>
            <w:r w:rsidR="00D74C97">
              <w:rPr>
                <w:noProof/>
                <w:webHidden/>
              </w:rPr>
              <w:instrText xml:space="preserve"> PAGEREF _Toc33165803 \h </w:instrText>
            </w:r>
            <w:r w:rsidR="00D74C97">
              <w:rPr>
                <w:noProof/>
                <w:webHidden/>
              </w:rPr>
            </w:r>
            <w:r w:rsidR="00D74C97">
              <w:rPr>
                <w:noProof/>
                <w:webHidden/>
              </w:rPr>
              <w:fldChar w:fldCharType="separate"/>
            </w:r>
            <w:r w:rsidR="00D74C97">
              <w:rPr>
                <w:noProof/>
                <w:webHidden/>
              </w:rPr>
              <w:t>7</w:t>
            </w:r>
            <w:r w:rsidR="00D74C97">
              <w:rPr>
                <w:noProof/>
                <w:webHidden/>
              </w:rPr>
              <w:fldChar w:fldCharType="end"/>
            </w:r>
          </w:hyperlink>
        </w:p>
        <w:p w:rsidR="00D74C97" w:rsidRDefault="009339F6">
          <w:pPr>
            <w:pStyle w:val="TOC3"/>
            <w:rPr>
              <w:rFonts w:asciiTheme="minorHAnsi" w:eastAsiaTheme="minorEastAsia" w:hAnsiTheme="minorHAnsi" w:cstheme="minorBidi"/>
              <w:noProof/>
              <w:lang w:eastAsia="en-AU"/>
            </w:rPr>
          </w:pPr>
          <w:hyperlink w:anchor="_Toc33165804" w:history="1">
            <w:r w:rsidR="00D74C97" w:rsidRPr="005A7E44">
              <w:rPr>
                <w:rStyle w:val="Hyperlink"/>
                <w:noProof/>
                <w:lang w:eastAsia="en-AU"/>
              </w:rPr>
              <w:t>Submission details</w:t>
            </w:r>
            <w:r w:rsidR="00D74C97">
              <w:rPr>
                <w:noProof/>
                <w:webHidden/>
              </w:rPr>
              <w:tab/>
            </w:r>
            <w:r w:rsidR="00D74C97">
              <w:rPr>
                <w:noProof/>
                <w:webHidden/>
              </w:rPr>
              <w:fldChar w:fldCharType="begin"/>
            </w:r>
            <w:r w:rsidR="00D74C97">
              <w:rPr>
                <w:noProof/>
                <w:webHidden/>
              </w:rPr>
              <w:instrText xml:space="preserve"> PAGEREF _Toc33165804 \h </w:instrText>
            </w:r>
            <w:r w:rsidR="00D74C97">
              <w:rPr>
                <w:noProof/>
                <w:webHidden/>
              </w:rPr>
            </w:r>
            <w:r w:rsidR="00D74C97">
              <w:rPr>
                <w:noProof/>
                <w:webHidden/>
              </w:rPr>
              <w:fldChar w:fldCharType="separate"/>
            </w:r>
            <w:r w:rsidR="00D74C97">
              <w:rPr>
                <w:noProof/>
                <w:webHidden/>
              </w:rPr>
              <w:t>7</w:t>
            </w:r>
            <w:r w:rsidR="00D74C97">
              <w:rPr>
                <w:noProof/>
                <w:webHidden/>
              </w:rPr>
              <w:fldChar w:fldCharType="end"/>
            </w:r>
          </w:hyperlink>
        </w:p>
        <w:p w:rsidR="00D74C97" w:rsidRDefault="009339F6">
          <w:pPr>
            <w:pStyle w:val="TOC3"/>
            <w:rPr>
              <w:rFonts w:asciiTheme="minorHAnsi" w:eastAsiaTheme="minorEastAsia" w:hAnsiTheme="minorHAnsi" w:cstheme="minorBidi"/>
              <w:noProof/>
              <w:lang w:eastAsia="en-AU"/>
            </w:rPr>
          </w:pPr>
          <w:hyperlink w:anchor="_Toc33165805" w:history="1">
            <w:r w:rsidR="00D74C97" w:rsidRPr="005A7E44">
              <w:rPr>
                <w:rStyle w:val="Hyperlink"/>
                <w:noProof/>
              </w:rPr>
              <w:t>Product background</w:t>
            </w:r>
            <w:r w:rsidR="00D74C97">
              <w:rPr>
                <w:noProof/>
                <w:webHidden/>
              </w:rPr>
              <w:tab/>
            </w:r>
            <w:r w:rsidR="00D74C97">
              <w:rPr>
                <w:noProof/>
                <w:webHidden/>
              </w:rPr>
              <w:fldChar w:fldCharType="begin"/>
            </w:r>
            <w:r w:rsidR="00D74C97">
              <w:rPr>
                <w:noProof/>
                <w:webHidden/>
              </w:rPr>
              <w:instrText xml:space="preserve"> PAGEREF _Toc33165805 \h </w:instrText>
            </w:r>
            <w:r w:rsidR="00D74C97">
              <w:rPr>
                <w:noProof/>
                <w:webHidden/>
              </w:rPr>
            </w:r>
            <w:r w:rsidR="00D74C97">
              <w:rPr>
                <w:noProof/>
                <w:webHidden/>
              </w:rPr>
              <w:fldChar w:fldCharType="separate"/>
            </w:r>
            <w:r w:rsidR="00D74C97">
              <w:rPr>
                <w:noProof/>
                <w:webHidden/>
              </w:rPr>
              <w:t>8</w:t>
            </w:r>
            <w:r w:rsidR="00D74C97">
              <w:rPr>
                <w:noProof/>
                <w:webHidden/>
              </w:rPr>
              <w:fldChar w:fldCharType="end"/>
            </w:r>
          </w:hyperlink>
        </w:p>
        <w:p w:rsidR="00D74C97" w:rsidRDefault="009339F6">
          <w:pPr>
            <w:pStyle w:val="TOC3"/>
            <w:rPr>
              <w:rFonts w:asciiTheme="minorHAnsi" w:eastAsiaTheme="minorEastAsia" w:hAnsiTheme="minorHAnsi" w:cstheme="minorBidi"/>
              <w:noProof/>
              <w:lang w:eastAsia="en-AU"/>
            </w:rPr>
          </w:pPr>
          <w:hyperlink w:anchor="_Toc33165806" w:history="1">
            <w:r w:rsidR="00D74C97" w:rsidRPr="005A7E44">
              <w:rPr>
                <w:rStyle w:val="Hyperlink"/>
                <w:noProof/>
              </w:rPr>
              <w:t>Regulatory status</w:t>
            </w:r>
            <w:r w:rsidR="00D74C97">
              <w:rPr>
                <w:noProof/>
                <w:webHidden/>
              </w:rPr>
              <w:tab/>
            </w:r>
            <w:r w:rsidR="00D74C97">
              <w:rPr>
                <w:noProof/>
                <w:webHidden/>
              </w:rPr>
              <w:fldChar w:fldCharType="begin"/>
            </w:r>
            <w:r w:rsidR="00D74C97">
              <w:rPr>
                <w:noProof/>
                <w:webHidden/>
              </w:rPr>
              <w:instrText xml:space="preserve"> PAGEREF _Toc33165806 \h </w:instrText>
            </w:r>
            <w:r w:rsidR="00D74C97">
              <w:rPr>
                <w:noProof/>
                <w:webHidden/>
              </w:rPr>
            </w:r>
            <w:r w:rsidR="00D74C97">
              <w:rPr>
                <w:noProof/>
                <w:webHidden/>
              </w:rPr>
              <w:fldChar w:fldCharType="separate"/>
            </w:r>
            <w:r w:rsidR="00D74C97">
              <w:rPr>
                <w:noProof/>
                <w:webHidden/>
              </w:rPr>
              <w:t>9</w:t>
            </w:r>
            <w:r w:rsidR="00D74C97">
              <w:rPr>
                <w:noProof/>
                <w:webHidden/>
              </w:rPr>
              <w:fldChar w:fldCharType="end"/>
            </w:r>
          </w:hyperlink>
        </w:p>
        <w:p w:rsidR="00D74C97" w:rsidRDefault="009339F6">
          <w:pPr>
            <w:pStyle w:val="TOC3"/>
            <w:rPr>
              <w:rFonts w:asciiTheme="minorHAnsi" w:eastAsiaTheme="minorEastAsia" w:hAnsiTheme="minorHAnsi" w:cstheme="minorBidi"/>
              <w:noProof/>
              <w:lang w:eastAsia="en-AU"/>
            </w:rPr>
          </w:pPr>
          <w:hyperlink w:anchor="_Toc33165807" w:history="1">
            <w:r w:rsidR="00D74C97" w:rsidRPr="005A7E44">
              <w:rPr>
                <w:rStyle w:val="Hyperlink"/>
                <w:noProof/>
              </w:rPr>
              <w:t>Product Information</w:t>
            </w:r>
            <w:r w:rsidR="00D74C97">
              <w:rPr>
                <w:noProof/>
                <w:webHidden/>
              </w:rPr>
              <w:tab/>
            </w:r>
            <w:r w:rsidR="00D74C97">
              <w:rPr>
                <w:noProof/>
                <w:webHidden/>
              </w:rPr>
              <w:fldChar w:fldCharType="begin"/>
            </w:r>
            <w:r w:rsidR="00D74C97">
              <w:rPr>
                <w:noProof/>
                <w:webHidden/>
              </w:rPr>
              <w:instrText xml:space="preserve"> PAGEREF _Toc33165807 \h </w:instrText>
            </w:r>
            <w:r w:rsidR="00D74C97">
              <w:rPr>
                <w:noProof/>
                <w:webHidden/>
              </w:rPr>
            </w:r>
            <w:r w:rsidR="00D74C97">
              <w:rPr>
                <w:noProof/>
                <w:webHidden/>
              </w:rPr>
              <w:fldChar w:fldCharType="separate"/>
            </w:r>
            <w:r w:rsidR="00D74C97">
              <w:rPr>
                <w:noProof/>
                <w:webHidden/>
              </w:rPr>
              <w:t>9</w:t>
            </w:r>
            <w:r w:rsidR="00D74C97">
              <w:rPr>
                <w:noProof/>
                <w:webHidden/>
              </w:rPr>
              <w:fldChar w:fldCharType="end"/>
            </w:r>
          </w:hyperlink>
        </w:p>
        <w:p w:rsidR="00D74C97" w:rsidRDefault="009339F6">
          <w:pPr>
            <w:pStyle w:val="TOC2"/>
            <w:rPr>
              <w:rFonts w:asciiTheme="minorHAnsi" w:eastAsiaTheme="minorEastAsia" w:hAnsiTheme="minorHAnsi" w:cstheme="minorBidi"/>
              <w:b w:val="0"/>
              <w:noProof/>
              <w:sz w:val="22"/>
              <w:lang w:eastAsia="en-AU"/>
            </w:rPr>
          </w:pPr>
          <w:hyperlink w:anchor="_Toc33165808" w:history="1">
            <w:r w:rsidR="00D74C97" w:rsidRPr="005A7E44">
              <w:rPr>
                <w:rStyle w:val="Hyperlink"/>
                <w:noProof/>
              </w:rPr>
              <w:t>II. Registration timeline</w:t>
            </w:r>
            <w:r w:rsidR="00D74C97">
              <w:rPr>
                <w:noProof/>
                <w:webHidden/>
              </w:rPr>
              <w:tab/>
            </w:r>
            <w:r w:rsidR="00D74C97">
              <w:rPr>
                <w:noProof/>
                <w:webHidden/>
              </w:rPr>
              <w:fldChar w:fldCharType="begin"/>
            </w:r>
            <w:r w:rsidR="00D74C97">
              <w:rPr>
                <w:noProof/>
                <w:webHidden/>
              </w:rPr>
              <w:instrText xml:space="preserve"> PAGEREF _Toc33165808 \h </w:instrText>
            </w:r>
            <w:r w:rsidR="00D74C97">
              <w:rPr>
                <w:noProof/>
                <w:webHidden/>
              </w:rPr>
            </w:r>
            <w:r w:rsidR="00D74C97">
              <w:rPr>
                <w:noProof/>
                <w:webHidden/>
              </w:rPr>
              <w:fldChar w:fldCharType="separate"/>
            </w:r>
            <w:r w:rsidR="00D74C97">
              <w:rPr>
                <w:noProof/>
                <w:webHidden/>
              </w:rPr>
              <w:t>9</w:t>
            </w:r>
            <w:r w:rsidR="00D74C97">
              <w:rPr>
                <w:noProof/>
                <w:webHidden/>
              </w:rPr>
              <w:fldChar w:fldCharType="end"/>
            </w:r>
          </w:hyperlink>
        </w:p>
        <w:p w:rsidR="00D74C97" w:rsidRDefault="009339F6">
          <w:pPr>
            <w:pStyle w:val="TOC2"/>
            <w:rPr>
              <w:rFonts w:asciiTheme="minorHAnsi" w:eastAsiaTheme="minorEastAsia" w:hAnsiTheme="minorHAnsi" w:cstheme="minorBidi"/>
              <w:b w:val="0"/>
              <w:noProof/>
              <w:sz w:val="22"/>
              <w:lang w:eastAsia="en-AU"/>
            </w:rPr>
          </w:pPr>
          <w:hyperlink w:anchor="_Toc33165809" w:history="1">
            <w:r w:rsidR="00D74C97" w:rsidRPr="005A7E44">
              <w:rPr>
                <w:rStyle w:val="Hyperlink"/>
                <w:noProof/>
              </w:rPr>
              <w:t>III. Submission overview and risk/benefit assessment</w:t>
            </w:r>
            <w:r w:rsidR="00D74C97">
              <w:rPr>
                <w:noProof/>
                <w:webHidden/>
              </w:rPr>
              <w:tab/>
            </w:r>
            <w:r w:rsidR="00D74C97">
              <w:rPr>
                <w:noProof/>
                <w:webHidden/>
              </w:rPr>
              <w:fldChar w:fldCharType="begin"/>
            </w:r>
            <w:r w:rsidR="00D74C97">
              <w:rPr>
                <w:noProof/>
                <w:webHidden/>
              </w:rPr>
              <w:instrText xml:space="preserve"> PAGEREF _Toc33165809 \h </w:instrText>
            </w:r>
            <w:r w:rsidR="00D74C97">
              <w:rPr>
                <w:noProof/>
                <w:webHidden/>
              </w:rPr>
            </w:r>
            <w:r w:rsidR="00D74C97">
              <w:rPr>
                <w:noProof/>
                <w:webHidden/>
              </w:rPr>
              <w:fldChar w:fldCharType="separate"/>
            </w:r>
            <w:r w:rsidR="00D74C97">
              <w:rPr>
                <w:noProof/>
                <w:webHidden/>
              </w:rPr>
              <w:t>10</w:t>
            </w:r>
            <w:r w:rsidR="00D74C97">
              <w:rPr>
                <w:noProof/>
                <w:webHidden/>
              </w:rPr>
              <w:fldChar w:fldCharType="end"/>
            </w:r>
          </w:hyperlink>
        </w:p>
        <w:p w:rsidR="00D74C97" w:rsidRDefault="009339F6">
          <w:pPr>
            <w:pStyle w:val="TOC3"/>
            <w:rPr>
              <w:rFonts w:asciiTheme="minorHAnsi" w:eastAsiaTheme="minorEastAsia" w:hAnsiTheme="minorHAnsi" w:cstheme="minorBidi"/>
              <w:noProof/>
              <w:lang w:eastAsia="en-AU"/>
            </w:rPr>
          </w:pPr>
          <w:hyperlink w:anchor="_Toc33165810" w:history="1">
            <w:r w:rsidR="00D74C97" w:rsidRPr="005A7E44">
              <w:rPr>
                <w:rStyle w:val="Hyperlink"/>
                <w:noProof/>
              </w:rPr>
              <w:t>Quality</w:t>
            </w:r>
            <w:r w:rsidR="00D74C97">
              <w:rPr>
                <w:noProof/>
                <w:webHidden/>
              </w:rPr>
              <w:tab/>
            </w:r>
            <w:r w:rsidR="00D74C97">
              <w:rPr>
                <w:noProof/>
                <w:webHidden/>
              </w:rPr>
              <w:fldChar w:fldCharType="begin"/>
            </w:r>
            <w:r w:rsidR="00D74C97">
              <w:rPr>
                <w:noProof/>
                <w:webHidden/>
              </w:rPr>
              <w:instrText xml:space="preserve"> PAGEREF _Toc33165810 \h </w:instrText>
            </w:r>
            <w:r w:rsidR="00D74C97">
              <w:rPr>
                <w:noProof/>
                <w:webHidden/>
              </w:rPr>
            </w:r>
            <w:r w:rsidR="00D74C97">
              <w:rPr>
                <w:noProof/>
                <w:webHidden/>
              </w:rPr>
              <w:fldChar w:fldCharType="separate"/>
            </w:r>
            <w:r w:rsidR="00D74C97">
              <w:rPr>
                <w:noProof/>
                <w:webHidden/>
              </w:rPr>
              <w:t>10</w:t>
            </w:r>
            <w:r w:rsidR="00D74C97">
              <w:rPr>
                <w:noProof/>
                <w:webHidden/>
              </w:rPr>
              <w:fldChar w:fldCharType="end"/>
            </w:r>
          </w:hyperlink>
        </w:p>
        <w:p w:rsidR="00D74C97" w:rsidRDefault="009339F6">
          <w:pPr>
            <w:pStyle w:val="TOC3"/>
            <w:rPr>
              <w:rFonts w:asciiTheme="minorHAnsi" w:eastAsiaTheme="minorEastAsia" w:hAnsiTheme="minorHAnsi" w:cstheme="minorBidi"/>
              <w:noProof/>
              <w:lang w:eastAsia="en-AU"/>
            </w:rPr>
          </w:pPr>
          <w:hyperlink w:anchor="_Toc33165811" w:history="1">
            <w:r w:rsidR="00D74C97" w:rsidRPr="005A7E44">
              <w:rPr>
                <w:rStyle w:val="Hyperlink"/>
                <w:noProof/>
              </w:rPr>
              <w:t>Nonclinical</w:t>
            </w:r>
            <w:r w:rsidR="00D74C97">
              <w:rPr>
                <w:noProof/>
                <w:webHidden/>
              </w:rPr>
              <w:tab/>
            </w:r>
            <w:r w:rsidR="00D74C97">
              <w:rPr>
                <w:noProof/>
                <w:webHidden/>
              </w:rPr>
              <w:fldChar w:fldCharType="begin"/>
            </w:r>
            <w:r w:rsidR="00D74C97">
              <w:rPr>
                <w:noProof/>
                <w:webHidden/>
              </w:rPr>
              <w:instrText xml:space="preserve"> PAGEREF _Toc33165811 \h </w:instrText>
            </w:r>
            <w:r w:rsidR="00D74C97">
              <w:rPr>
                <w:noProof/>
                <w:webHidden/>
              </w:rPr>
            </w:r>
            <w:r w:rsidR="00D74C97">
              <w:rPr>
                <w:noProof/>
                <w:webHidden/>
              </w:rPr>
              <w:fldChar w:fldCharType="separate"/>
            </w:r>
            <w:r w:rsidR="00D74C97">
              <w:rPr>
                <w:noProof/>
                <w:webHidden/>
              </w:rPr>
              <w:t>11</w:t>
            </w:r>
            <w:r w:rsidR="00D74C97">
              <w:rPr>
                <w:noProof/>
                <w:webHidden/>
              </w:rPr>
              <w:fldChar w:fldCharType="end"/>
            </w:r>
          </w:hyperlink>
        </w:p>
        <w:p w:rsidR="00D74C97" w:rsidRDefault="009339F6">
          <w:pPr>
            <w:pStyle w:val="TOC3"/>
            <w:rPr>
              <w:rFonts w:asciiTheme="minorHAnsi" w:eastAsiaTheme="minorEastAsia" w:hAnsiTheme="minorHAnsi" w:cstheme="minorBidi"/>
              <w:noProof/>
              <w:lang w:eastAsia="en-AU"/>
            </w:rPr>
          </w:pPr>
          <w:hyperlink w:anchor="_Toc33165812" w:history="1">
            <w:r w:rsidR="00D74C97" w:rsidRPr="005A7E44">
              <w:rPr>
                <w:rStyle w:val="Hyperlink"/>
                <w:noProof/>
              </w:rPr>
              <w:t>Clinical</w:t>
            </w:r>
            <w:r w:rsidR="00D74C97">
              <w:rPr>
                <w:noProof/>
                <w:webHidden/>
              </w:rPr>
              <w:tab/>
            </w:r>
            <w:r w:rsidR="00D74C97">
              <w:rPr>
                <w:noProof/>
                <w:webHidden/>
              </w:rPr>
              <w:fldChar w:fldCharType="begin"/>
            </w:r>
            <w:r w:rsidR="00D74C97">
              <w:rPr>
                <w:noProof/>
                <w:webHidden/>
              </w:rPr>
              <w:instrText xml:space="preserve"> PAGEREF _Toc33165812 \h </w:instrText>
            </w:r>
            <w:r w:rsidR="00D74C97">
              <w:rPr>
                <w:noProof/>
                <w:webHidden/>
              </w:rPr>
            </w:r>
            <w:r w:rsidR="00D74C97">
              <w:rPr>
                <w:noProof/>
                <w:webHidden/>
              </w:rPr>
              <w:fldChar w:fldCharType="separate"/>
            </w:r>
            <w:r w:rsidR="00D74C97">
              <w:rPr>
                <w:noProof/>
                <w:webHidden/>
              </w:rPr>
              <w:t>11</w:t>
            </w:r>
            <w:r w:rsidR="00D74C97">
              <w:rPr>
                <w:noProof/>
                <w:webHidden/>
              </w:rPr>
              <w:fldChar w:fldCharType="end"/>
            </w:r>
          </w:hyperlink>
        </w:p>
        <w:p w:rsidR="00D74C97" w:rsidRDefault="009339F6">
          <w:pPr>
            <w:pStyle w:val="TOC3"/>
            <w:rPr>
              <w:rFonts w:asciiTheme="minorHAnsi" w:eastAsiaTheme="minorEastAsia" w:hAnsiTheme="minorHAnsi" w:cstheme="minorBidi"/>
              <w:noProof/>
              <w:lang w:eastAsia="en-AU"/>
            </w:rPr>
          </w:pPr>
          <w:hyperlink w:anchor="_Toc33165813" w:history="1">
            <w:r w:rsidR="00D74C97" w:rsidRPr="005A7E44">
              <w:rPr>
                <w:rStyle w:val="Hyperlink"/>
                <w:noProof/>
                <w:lang w:eastAsia="en-AU"/>
              </w:rPr>
              <w:t>Risk management plan</w:t>
            </w:r>
            <w:r w:rsidR="00D74C97">
              <w:rPr>
                <w:noProof/>
                <w:webHidden/>
              </w:rPr>
              <w:tab/>
            </w:r>
            <w:r w:rsidR="00D74C97">
              <w:rPr>
                <w:noProof/>
                <w:webHidden/>
              </w:rPr>
              <w:fldChar w:fldCharType="begin"/>
            </w:r>
            <w:r w:rsidR="00D74C97">
              <w:rPr>
                <w:noProof/>
                <w:webHidden/>
              </w:rPr>
              <w:instrText xml:space="preserve"> PAGEREF _Toc33165813 \h </w:instrText>
            </w:r>
            <w:r w:rsidR="00D74C97">
              <w:rPr>
                <w:noProof/>
                <w:webHidden/>
              </w:rPr>
            </w:r>
            <w:r w:rsidR="00D74C97">
              <w:rPr>
                <w:noProof/>
                <w:webHidden/>
              </w:rPr>
              <w:fldChar w:fldCharType="separate"/>
            </w:r>
            <w:r w:rsidR="00D74C97">
              <w:rPr>
                <w:noProof/>
                <w:webHidden/>
              </w:rPr>
              <w:t>22</w:t>
            </w:r>
            <w:r w:rsidR="00D74C97">
              <w:rPr>
                <w:noProof/>
                <w:webHidden/>
              </w:rPr>
              <w:fldChar w:fldCharType="end"/>
            </w:r>
          </w:hyperlink>
        </w:p>
        <w:p w:rsidR="00D74C97" w:rsidRDefault="009339F6">
          <w:pPr>
            <w:pStyle w:val="TOC3"/>
            <w:rPr>
              <w:rFonts w:asciiTheme="minorHAnsi" w:eastAsiaTheme="minorEastAsia" w:hAnsiTheme="minorHAnsi" w:cstheme="minorBidi"/>
              <w:noProof/>
              <w:lang w:eastAsia="en-AU"/>
            </w:rPr>
          </w:pPr>
          <w:hyperlink w:anchor="_Toc33165814" w:history="1">
            <w:r w:rsidR="00D74C97" w:rsidRPr="005A7E44">
              <w:rPr>
                <w:rStyle w:val="Hyperlink"/>
                <w:noProof/>
              </w:rPr>
              <w:t>Risk-benefit analysis</w:t>
            </w:r>
            <w:r w:rsidR="00D74C97">
              <w:rPr>
                <w:noProof/>
                <w:webHidden/>
              </w:rPr>
              <w:tab/>
            </w:r>
            <w:r w:rsidR="00D74C97">
              <w:rPr>
                <w:noProof/>
                <w:webHidden/>
              </w:rPr>
              <w:fldChar w:fldCharType="begin"/>
            </w:r>
            <w:r w:rsidR="00D74C97">
              <w:rPr>
                <w:noProof/>
                <w:webHidden/>
              </w:rPr>
              <w:instrText xml:space="preserve"> PAGEREF _Toc33165814 \h </w:instrText>
            </w:r>
            <w:r w:rsidR="00D74C97">
              <w:rPr>
                <w:noProof/>
                <w:webHidden/>
              </w:rPr>
            </w:r>
            <w:r w:rsidR="00D74C97">
              <w:rPr>
                <w:noProof/>
                <w:webHidden/>
              </w:rPr>
              <w:fldChar w:fldCharType="separate"/>
            </w:r>
            <w:r w:rsidR="00D74C97">
              <w:rPr>
                <w:noProof/>
                <w:webHidden/>
              </w:rPr>
              <w:t>24</w:t>
            </w:r>
            <w:r w:rsidR="00D74C97">
              <w:rPr>
                <w:noProof/>
                <w:webHidden/>
              </w:rPr>
              <w:fldChar w:fldCharType="end"/>
            </w:r>
          </w:hyperlink>
        </w:p>
        <w:p w:rsidR="00D74C97" w:rsidRDefault="009339F6">
          <w:pPr>
            <w:pStyle w:val="TOC3"/>
            <w:rPr>
              <w:rFonts w:asciiTheme="minorHAnsi" w:eastAsiaTheme="minorEastAsia" w:hAnsiTheme="minorHAnsi" w:cstheme="minorBidi"/>
              <w:noProof/>
              <w:lang w:eastAsia="en-AU"/>
            </w:rPr>
          </w:pPr>
          <w:hyperlink w:anchor="_Toc33165815" w:history="1">
            <w:r w:rsidR="00D74C97" w:rsidRPr="005A7E44">
              <w:rPr>
                <w:rStyle w:val="Hyperlink"/>
                <w:noProof/>
              </w:rPr>
              <w:t>Outcome</w:t>
            </w:r>
            <w:r w:rsidR="00D74C97">
              <w:rPr>
                <w:noProof/>
                <w:webHidden/>
              </w:rPr>
              <w:tab/>
            </w:r>
            <w:r w:rsidR="00D74C97">
              <w:rPr>
                <w:noProof/>
                <w:webHidden/>
              </w:rPr>
              <w:fldChar w:fldCharType="begin"/>
            </w:r>
            <w:r w:rsidR="00D74C97">
              <w:rPr>
                <w:noProof/>
                <w:webHidden/>
              </w:rPr>
              <w:instrText xml:space="preserve"> PAGEREF _Toc33165815 \h </w:instrText>
            </w:r>
            <w:r w:rsidR="00D74C97">
              <w:rPr>
                <w:noProof/>
                <w:webHidden/>
              </w:rPr>
            </w:r>
            <w:r w:rsidR="00D74C97">
              <w:rPr>
                <w:noProof/>
                <w:webHidden/>
              </w:rPr>
              <w:fldChar w:fldCharType="separate"/>
            </w:r>
            <w:r w:rsidR="00D74C97">
              <w:rPr>
                <w:noProof/>
                <w:webHidden/>
              </w:rPr>
              <w:t>27</w:t>
            </w:r>
            <w:r w:rsidR="00D74C97">
              <w:rPr>
                <w:noProof/>
                <w:webHidden/>
              </w:rPr>
              <w:fldChar w:fldCharType="end"/>
            </w:r>
          </w:hyperlink>
        </w:p>
        <w:p w:rsidR="00D74C97" w:rsidRDefault="009339F6">
          <w:pPr>
            <w:pStyle w:val="TOC2"/>
            <w:rPr>
              <w:rFonts w:asciiTheme="minorHAnsi" w:eastAsiaTheme="minorEastAsia" w:hAnsiTheme="minorHAnsi" w:cstheme="minorBidi"/>
              <w:b w:val="0"/>
              <w:noProof/>
              <w:sz w:val="22"/>
              <w:lang w:eastAsia="en-AU"/>
            </w:rPr>
          </w:pPr>
          <w:hyperlink w:anchor="_Toc33165816" w:history="1">
            <w:r w:rsidR="00D74C97" w:rsidRPr="005A7E44">
              <w:rPr>
                <w:rStyle w:val="Hyperlink"/>
                <w:noProof/>
              </w:rPr>
              <w:t>Attachment 1. Product Information</w:t>
            </w:r>
            <w:r w:rsidR="00D74C97">
              <w:rPr>
                <w:noProof/>
                <w:webHidden/>
              </w:rPr>
              <w:tab/>
            </w:r>
            <w:r w:rsidR="00D74C97">
              <w:rPr>
                <w:noProof/>
                <w:webHidden/>
              </w:rPr>
              <w:fldChar w:fldCharType="begin"/>
            </w:r>
            <w:r w:rsidR="00D74C97">
              <w:rPr>
                <w:noProof/>
                <w:webHidden/>
              </w:rPr>
              <w:instrText xml:space="preserve"> PAGEREF _Toc33165816 \h </w:instrText>
            </w:r>
            <w:r w:rsidR="00D74C97">
              <w:rPr>
                <w:noProof/>
                <w:webHidden/>
              </w:rPr>
            </w:r>
            <w:r w:rsidR="00D74C97">
              <w:rPr>
                <w:noProof/>
                <w:webHidden/>
              </w:rPr>
              <w:fldChar w:fldCharType="separate"/>
            </w:r>
            <w:r w:rsidR="00D74C97">
              <w:rPr>
                <w:noProof/>
                <w:webHidden/>
              </w:rPr>
              <w:t>28</w:t>
            </w:r>
            <w:r w:rsidR="00D74C97">
              <w:rPr>
                <w:noProof/>
                <w:webHidden/>
              </w:rPr>
              <w:fldChar w:fldCharType="end"/>
            </w:r>
          </w:hyperlink>
        </w:p>
        <w:p w:rsidR="003A7F6C" w:rsidRPr="00B811C6" w:rsidRDefault="00960520" w:rsidP="00B811C6">
          <w:pPr>
            <w:pStyle w:val="TOC2"/>
          </w:pPr>
          <w:r>
            <w:fldChar w:fldCharType="end"/>
          </w:r>
        </w:p>
      </w:sdtContent>
    </w:sdt>
    <w:bookmarkStart w:id="3" w:name="_Toc314842482" w:displacedByCustomXml="prev"/>
    <w:p w:rsidR="00C52E24" w:rsidRPr="00C52E24" w:rsidRDefault="00441C3F" w:rsidP="00FC456C">
      <w:pPr>
        <w:pStyle w:val="Heading2"/>
        <w:pageBreakBefore/>
        <w:spacing w:before="0"/>
      </w:pPr>
      <w:bookmarkStart w:id="4" w:name="_Toc351716269"/>
      <w:bookmarkStart w:id="5" w:name="_Toc351718881"/>
      <w:bookmarkStart w:id="6" w:name="_Toc355338616"/>
      <w:bookmarkStart w:id="7" w:name="_Toc356306144"/>
      <w:bookmarkStart w:id="8" w:name="_Toc33165802"/>
      <w:r>
        <w:lastRenderedPageBreak/>
        <w:t>Common</w:t>
      </w:r>
      <w:r w:rsidR="00FD119B" w:rsidRPr="00FD119B">
        <w:t xml:space="preserve"> abbreviations</w:t>
      </w:r>
      <w:bookmarkEnd w:id="4"/>
      <w:bookmarkEnd w:id="5"/>
      <w:bookmarkEnd w:id="6"/>
      <w:bookmarkEnd w:id="7"/>
      <w:bookmarkEnd w:id="8"/>
    </w:p>
    <w:tbl>
      <w:tblPr>
        <w:tblStyle w:val="TableTGAblue"/>
        <w:tblW w:w="0" w:type="auto"/>
        <w:tblLook w:val="04A0" w:firstRow="1" w:lastRow="0" w:firstColumn="1" w:lastColumn="0" w:noHBand="0" w:noVBand="1"/>
      </w:tblPr>
      <w:tblGrid>
        <w:gridCol w:w="1809"/>
        <w:gridCol w:w="6911"/>
      </w:tblGrid>
      <w:tr w:rsidR="00294DF8" w:rsidRPr="00FD119B" w:rsidTr="00FD119B">
        <w:trPr>
          <w:cnfStyle w:val="100000000000" w:firstRow="1" w:lastRow="0" w:firstColumn="0" w:lastColumn="0" w:oddVBand="0" w:evenVBand="0" w:oddHBand="0" w:evenHBand="0" w:firstRowFirstColumn="0" w:firstRowLastColumn="0" w:lastRowFirstColumn="0" w:lastRowLastColumn="0"/>
        </w:trPr>
        <w:tc>
          <w:tcPr>
            <w:tcW w:w="1809" w:type="dxa"/>
          </w:tcPr>
          <w:p w:rsidR="00294DF8" w:rsidRPr="00FD119B" w:rsidRDefault="00294DF8" w:rsidP="00FD119B">
            <w:pPr>
              <w:keepNext w:val="0"/>
              <w:ind w:left="0" w:right="0"/>
              <w:rPr>
                <w:szCs w:val="22"/>
                <w:lang w:eastAsia="en-US"/>
              </w:rPr>
            </w:pPr>
            <w:r w:rsidRPr="00FD119B">
              <w:rPr>
                <w:szCs w:val="22"/>
                <w:lang w:eastAsia="en-US"/>
              </w:rPr>
              <w:t>Abbreviation</w:t>
            </w:r>
          </w:p>
        </w:tc>
        <w:tc>
          <w:tcPr>
            <w:tcW w:w="6911" w:type="dxa"/>
          </w:tcPr>
          <w:p w:rsidR="00294DF8" w:rsidRPr="00FD119B" w:rsidRDefault="00294DF8" w:rsidP="00FD119B">
            <w:pPr>
              <w:keepNext w:val="0"/>
              <w:ind w:left="0" w:right="0"/>
              <w:rPr>
                <w:szCs w:val="22"/>
                <w:lang w:eastAsia="en-US"/>
              </w:rPr>
            </w:pPr>
            <w:r w:rsidRPr="00FD119B">
              <w:rPr>
                <w:szCs w:val="22"/>
                <w:lang w:eastAsia="en-US"/>
              </w:rPr>
              <w:t>Meaning</w:t>
            </w:r>
          </w:p>
        </w:tc>
      </w:tr>
      <w:tr w:rsidR="00295125" w:rsidRPr="00FD119B" w:rsidTr="00FD119B">
        <w:tc>
          <w:tcPr>
            <w:tcW w:w="1809" w:type="dxa"/>
          </w:tcPr>
          <w:p w:rsidR="00295125" w:rsidRPr="00C34C79" w:rsidRDefault="00295125" w:rsidP="00FD119B">
            <w:pPr>
              <w:rPr>
                <w:rFonts w:asciiTheme="minorHAnsi" w:eastAsiaTheme="minorHAnsi" w:hAnsiTheme="minorHAnsi" w:cs="TimesNewRoman"/>
              </w:rPr>
            </w:pPr>
            <w:r>
              <w:rPr>
                <w:rFonts w:asciiTheme="minorHAnsi" w:eastAsiaTheme="minorHAnsi" w:hAnsiTheme="minorHAnsi" w:cs="TimesNewRoman"/>
              </w:rPr>
              <w:t>ACM</w:t>
            </w:r>
          </w:p>
        </w:tc>
        <w:tc>
          <w:tcPr>
            <w:tcW w:w="6911" w:type="dxa"/>
          </w:tcPr>
          <w:p w:rsidR="00295125" w:rsidRDefault="00295125" w:rsidP="00125ECF">
            <w:pPr>
              <w:rPr>
                <w:rFonts w:asciiTheme="minorHAnsi" w:eastAsiaTheme="minorHAnsi" w:hAnsiTheme="minorHAnsi" w:cs="TimesNewRoman"/>
              </w:rPr>
            </w:pPr>
            <w:r>
              <w:rPr>
                <w:rFonts w:asciiTheme="minorHAnsi" w:eastAsiaTheme="minorHAnsi" w:hAnsiTheme="minorHAnsi" w:cs="TimesNewRoman"/>
              </w:rPr>
              <w:t>Advisory Committee on Medicines</w:t>
            </w:r>
          </w:p>
        </w:tc>
      </w:tr>
      <w:tr w:rsidR="00294DF8" w:rsidRPr="00FD119B" w:rsidTr="00FD119B">
        <w:tc>
          <w:tcPr>
            <w:tcW w:w="1809" w:type="dxa"/>
          </w:tcPr>
          <w:p w:rsidR="00294DF8" w:rsidRDefault="00294DF8" w:rsidP="00FD119B">
            <w:pPr>
              <w:rPr>
                <w:lang w:eastAsia="ja-JP"/>
              </w:rPr>
            </w:pPr>
            <w:r w:rsidRPr="00C34C79">
              <w:rPr>
                <w:rFonts w:asciiTheme="minorHAnsi" w:eastAsiaTheme="minorHAnsi" w:hAnsiTheme="minorHAnsi" w:cs="TimesNewRoman"/>
              </w:rPr>
              <w:t>AE</w:t>
            </w:r>
          </w:p>
        </w:tc>
        <w:tc>
          <w:tcPr>
            <w:tcW w:w="6911" w:type="dxa"/>
          </w:tcPr>
          <w:p w:rsidR="00294DF8" w:rsidRDefault="00294DF8" w:rsidP="00125ECF">
            <w:pPr>
              <w:rPr>
                <w:lang w:eastAsia="ja-JP"/>
              </w:rPr>
            </w:pPr>
            <w:r>
              <w:rPr>
                <w:rFonts w:asciiTheme="minorHAnsi" w:eastAsiaTheme="minorHAnsi" w:hAnsiTheme="minorHAnsi" w:cs="TimesNewRoman"/>
              </w:rPr>
              <w:t>Adverse event</w:t>
            </w:r>
          </w:p>
        </w:tc>
      </w:tr>
      <w:tr w:rsidR="00294DF8" w:rsidRPr="00FD119B" w:rsidTr="00FD119B">
        <w:tc>
          <w:tcPr>
            <w:tcW w:w="1809" w:type="dxa"/>
          </w:tcPr>
          <w:p w:rsidR="00294DF8" w:rsidRPr="00C34C79" w:rsidRDefault="00294DF8" w:rsidP="00FD119B">
            <w:pPr>
              <w:rPr>
                <w:rFonts w:asciiTheme="minorHAnsi" w:eastAsiaTheme="minorHAnsi" w:hAnsiTheme="minorHAnsi" w:cs="TimesNewRoman"/>
              </w:rPr>
            </w:pPr>
            <w:r>
              <w:rPr>
                <w:rFonts w:asciiTheme="minorHAnsi" w:eastAsiaTheme="minorHAnsi" w:hAnsiTheme="minorHAnsi" w:cs="TimesNewRoman"/>
              </w:rPr>
              <w:t>AESI</w:t>
            </w:r>
          </w:p>
        </w:tc>
        <w:tc>
          <w:tcPr>
            <w:tcW w:w="6911" w:type="dxa"/>
          </w:tcPr>
          <w:p w:rsidR="00294DF8" w:rsidRDefault="00294DF8" w:rsidP="00C02ABD">
            <w:pPr>
              <w:rPr>
                <w:rFonts w:asciiTheme="minorHAnsi" w:eastAsiaTheme="minorHAnsi" w:hAnsiTheme="minorHAnsi" w:cs="TimesNewRoman"/>
              </w:rPr>
            </w:pPr>
            <w:r>
              <w:rPr>
                <w:rFonts w:asciiTheme="minorHAnsi" w:eastAsiaTheme="minorHAnsi" w:hAnsiTheme="minorHAnsi" w:cs="TimesNewRoman"/>
              </w:rPr>
              <w:t>Adverse event of special interest</w:t>
            </w:r>
          </w:p>
        </w:tc>
      </w:tr>
      <w:tr w:rsidR="00294DF8" w:rsidRPr="00FD119B" w:rsidTr="00FD119B">
        <w:tc>
          <w:tcPr>
            <w:tcW w:w="1809" w:type="dxa"/>
          </w:tcPr>
          <w:p w:rsidR="00294DF8" w:rsidRPr="006F3FCA" w:rsidRDefault="00294DF8" w:rsidP="00FD119B">
            <w:r w:rsidRPr="006F3FCA">
              <w:t>ALK</w:t>
            </w:r>
          </w:p>
        </w:tc>
        <w:tc>
          <w:tcPr>
            <w:tcW w:w="6911" w:type="dxa"/>
          </w:tcPr>
          <w:p w:rsidR="00294DF8" w:rsidRDefault="00294DF8" w:rsidP="0093092C">
            <w:r w:rsidRPr="0093092C">
              <w:t>Anaplastic lymphoma kinase</w:t>
            </w:r>
          </w:p>
        </w:tc>
      </w:tr>
      <w:tr w:rsidR="00294DF8" w:rsidRPr="00FD119B" w:rsidTr="00FD119B">
        <w:tc>
          <w:tcPr>
            <w:tcW w:w="1809" w:type="dxa"/>
          </w:tcPr>
          <w:p w:rsidR="00294DF8" w:rsidRPr="006F3FCA" w:rsidRDefault="00294DF8" w:rsidP="00FD119B">
            <w:r>
              <w:rPr>
                <w:lang w:eastAsia="ja-JP"/>
              </w:rPr>
              <w:t>ALK+</w:t>
            </w:r>
          </w:p>
        </w:tc>
        <w:tc>
          <w:tcPr>
            <w:tcW w:w="6911" w:type="dxa"/>
          </w:tcPr>
          <w:p w:rsidR="00294DF8" w:rsidRDefault="00294DF8" w:rsidP="0093092C">
            <w:r w:rsidRPr="0093092C">
              <w:t>Anaplastic lymphoma kinase</w:t>
            </w:r>
            <w:r w:rsidRPr="0093092C">
              <w:rPr>
                <w:color w:val="auto"/>
                <w:lang w:eastAsia="ja-JP"/>
              </w:rPr>
              <w:t xml:space="preserve"> mutation positive</w:t>
            </w:r>
          </w:p>
        </w:tc>
      </w:tr>
      <w:tr w:rsidR="00294DF8" w:rsidRPr="00FD119B" w:rsidTr="00FD119B">
        <w:tc>
          <w:tcPr>
            <w:tcW w:w="1809" w:type="dxa"/>
          </w:tcPr>
          <w:p w:rsidR="00294DF8" w:rsidRDefault="00294DF8" w:rsidP="00FD119B">
            <w:pPr>
              <w:rPr>
                <w:rFonts w:asciiTheme="minorHAnsi" w:eastAsiaTheme="minorHAnsi" w:hAnsiTheme="minorHAnsi" w:cs="TimesNewRoman"/>
              </w:rPr>
            </w:pPr>
            <w:r>
              <w:rPr>
                <w:rFonts w:asciiTheme="minorHAnsi" w:eastAsiaTheme="minorHAnsi" w:hAnsiTheme="minorHAnsi"/>
                <w:color w:val="000000"/>
              </w:rPr>
              <w:t>ALT</w:t>
            </w:r>
          </w:p>
        </w:tc>
        <w:tc>
          <w:tcPr>
            <w:tcW w:w="6911" w:type="dxa"/>
          </w:tcPr>
          <w:p w:rsidR="00294DF8" w:rsidRDefault="00294DF8" w:rsidP="007C0E2C">
            <w:pPr>
              <w:rPr>
                <w:rFonts w:asciiTheme="minorHAnsi" w:eastAsiaTheme="minorHAnsi" w:hAnsiTheme="minorHAnsi" w:cs="TimesNewRoman"/>
              </w:rPr>
            </w:pPr>
            <w:r>
              <w:rPr>
                <w:rFonts w:asciiTheme="minorHAnsi" w:eastAsiaTheme="minorHAnsi" w:hAnsiTheme="minorHAnsi"/>
                <w:color w:val="000000"/>
              </w:rPr>
              <w:t>Alanine aminotransferase</w:t>
            </w:r>
          </w:p>
        </w:tc>
      </w:tr>
      <w:tr w:rsidR="00294DF8" w:rsidRPr="00FD119B" w:rsidTr="00FD119B">
        <w:tc>
          <w:tcPr>
            <w:tcW w:w="1809" w:type="dxa"/>
          </w:tcPr>
          <w:p w:rsidR="00294DF8" w:rsidRDefault="00294DF8" w:rsidP="00FD119B">
            <w:pPr>
              <w:rPr>
                <w:rFonts w:asciiTheme="minorHAnsi" w:eastAsiaTheme="minorHAnsi" w:hAnsiTheme="minorHAnsi" w:cs="TimesNewRoman"/>
              </w:rPr>
            </w:pPr>
            <w:r>
              <w:rPr>
                <w:rFonts w:asciiTheme="minorHAnsi" w:eastAsiaTheme="minorHAnsi" w:hAnsiTheme="minorHAnsi" w:cs="TimesNewRoman"/>
              </w:rPr>
              <w:t>ASA</w:t>
            </w:r>
          </w:p>
        </w:tc>
        <w:tc>
          <w:tcPr>
            <w:tcW w:w="6911" w:type="dxa"/>
          </w:tcPr>
          <w:p w:rsidR="00294DF8" w:rsidRDefault="00294DF8" w:rsidP="00125ECF">
            <w:pPr>
              <w:rPr>
                <w:rFonts w:asciiTheme="minorHAnsi" w:eastAsiaTheme="minorHAnsi" w:hAnsiTheme="minorHAnsi" w:cs="TimesNewRoman"/>
              </w:rPr>
            </w:pPr>
            <w:r>
              <w:rPr>
                <w:rFonts w:asciiTheme="minorHAnsi" w:eastAsiaTheme="minorHAnsi" w:hAnsiTheme="minorHAnsi" w:cs="TimesNewRoman"/>
              </w:rPr>
              <w:t>Australian Specific Annex</w:t>
            </w:r>
          </w:p>
        </w:tc>
      </w:tr>
      <w:tr w:rsidR="00294DF8" w:rsidRPr="00FD119B" w:rsidTr="00FD119B">
        <w:tc>
          <w:tcPr>
            <w:tcW w:w="1809" w:type="dxa"/>
          </w:tcPr>
          <w:p w:rsidR="00294DF8" w:rsidRPr="00B30C06" w:rsidRDefault="00294DF8" w:rsidP="00FD119B">
            <w:pPr>
              <w:rPr>
                <w:rFonts w:asciiTheme="minorHAnsi" w:eastAsiaTheme="minorHAnsi" w:hAnsiTheme="minorHAnsi" w:cs="Calibri"/>
              </w:rPr>
            </w:pPr>
            <w:r w:rsidRPr="006858EE">
              <w:rPr>
                <w:rFonts w:asciiTheme="minorHAnsi" w:eastAsiaTheme="minorHAnsi" w:hAnsiTheme="minorHAnsi" w:cs="Calibri"/>
              </w:rPr>
              <w:t>AST</w:t>
            </w:r>
          </w:p>
        </w:tc>
        <w:tc>
          <w:tcPr>
            <w:tcW w:w="6911" w:type="dxa"/>
          </w:tcPr>
          <w:p w:rsidR="00294DF8" w:rsidRDefault="00294DF8" w:rsidP="00C01081">
            <w:pPr>
              <w:rPr>
                <w:rFonts w:asciiTheme="minorHAnsi" w:eastAsiaTheme="minorHAnsi" w:hAnsiTheme="minorHAnsi" w:cs="Calibri"/>
              </w:rPr>
            </w:pPr>
            <w:r>
              <w:rPr>
                <w:rFonts w:asciiTheme="minorHAnsi" w:eastAsiaTheme="minorHAnsi" w:hAnsiTheme="minorHAnsi" w:cs="Calibri"/>
              </w:rPr>
              <w:t>Aspartate aminotransferase</w:t>
            </w:r>
          </w:p>
        </w:tc>
      </w:tr>
      <w:tr w:rsidR="00295125" w:rsidRPr="00FD119B" w:rsidTr="00FD119B">
        <w:tc>
          <w:tcPr>
            <w:tcW w:w="1809" w:type="dxa"/>
          </w:tcPr>
          <w:p w:rsidR="00295125" w:rsidRPr="006858EE" w:rsidRDefault="00295125" w:rsidP="00FD119B">
            <w:pPr>
              <w:rPr>
                <w:rFonts w:asciiTheme="minorHAnsi" w:eastAsiaTheme="minorHAnsi" w:hAnsiTheme="minorHAnsi" w:cs="Calibri"/>
              </w:rPr>
            </w:pPr>
            <w:r>
              <w:rPr>
                <w:rFonts w:asciiTheme="minorHAnsi" w:eastAsiaTheme="minorHAnsi" w:hAnsiTheme="minorHAnsi" w:cs="Calibri"/>
              </w:rPr>
              <w:t>ARTG</w:t>
            </w:r>
          </w:p>
        </w:tc>
        <w:tc>
          <w:tcPr>
            <w:tcW w:w="6911" w:type="dxa"/>
          </w:tcPr>
          <w:p w:rsidR="00295125" w:rsidRDefault="00295125" w:rsidP="00C01081">
            <w:pPr>
              <w:rPr>
                <w:rFonts w:asciiTheme="minorHAnsi" w:eastAsiaTheme="minorHAnsi" w:hAnsiTheme="minorHAnsi" w:cs="Calibri"/>
              </w:rPr>
            </w:pPr>
            <w:r>
              <w:rPr>
                <w:rFonts w:asciiTheme="minorHAnsi" w:eastAsiaTheme="minorHAnsi" w:hAnsiTheme="minorHAnsi" w:cs="Calibri"/>
              </w:rPr>
              <w:t>Australian Register of Therapeutic Goods</w:t>
            </w:r>
          </w:p>
        </w:tc>
      </w:tr>
      <w:tr w:rsidR="00294DF8" w:rsidRPr="00FD119B" w:rsidTr="00FD119B">
        <w:tc>
          <w:tcPr>
            <w:tcW w:w="1809" w:type="dxa"/>
          </w:tcPr>
          <w:p w:rsidR="00294DF8" w:rsidRDefault="00294DF8" w:rsidP="00FD119B">
            <w:pPr>
              <w:rPr>
                <w:rFonts w:asciiTheme="minorHAnsi" w:eastAsiaTheme="minorHAnsi" w:hAnsiTheme="minorHAnsi" w:cs="ArialMT"/>
              </w:rPr>
            </w:pPr>
            <w:proofErr w:type="spellStart"/>
            <w:r w:rsidRPr="002C6352">
              <w:rPr>
                <w:bCs/>
                <w:lang w:eastAsia="ja-JP"/>
              </w:rPr>
              <w:t>AUC</w:t>
            </w:r>
            <w:r>
              <w:rPr>
                <w:bCs/>
                <w:vertAlign w:val="subscript"/>
                <w:lang w:eastAsia="ja-JP"/>
              </w:rPr>
              <w:t>inf</w:t>
            </w:r>
            <w:proofErr w:type="spellEnd"/>
          </w:p>
        </w:tc>
        <w:tc>
          <w:tcPr>
            <w:tcW w:w="6911" w:type="dxa"/>
          </w:tcPr>
          <w:p w:rsidR="00294DF8" w:rsidRDefault="00294DF8" w:rsidP="0035023C">
            <w:pPr>
              <w:rPr>
                <w:rFonts w:asciiTheme="minorHAnsi" w:eastAsiaTheme="minorHAnsi" w:hAnsiTheme="minorHAnsi" w:cs="ArialMT"/>
              </w:rPr>
            </w:pPr>
            <w:r>
              <w:rPr>
                <w:bCs/>
                <w:lang w:eastAsia="ja-JP"/>
              </w:rPr>
              <w:t>A</w:t>
            </w:r>
            <w:r w:rsidRPr="0035023C">
              <w:rPr>
                <w:bCs/>
                <w:lang w:eastAsia="ja-JP"/>
              </w:rPr>
              <w:t>rea under the concentration time-curve over the ti</w:t>
            </w:r>
            <w:r>
              <w:rPr>
                <w:bCs/>
                <w:lang w:eastAsia="ja-JP"/>
              </w:rPr>
              <w:t xml:space="preserve">me interval from 0 extrapolated </w:t>
            </w:r>
            <w:r w:rsidRPr="0035023C">
              <w:rPr>
                <w:bCs/>
                <w:lang w:eastAsia="ja-JP"/>
              </w:rPr>
              <w:t>to infinity</w:t>
            </w:r>
          </w:p>
        </w:tc>
      </w:tr>
      <w:tr w:rsidR="00294DF8" w:rsidRPr="00FD119B" w:rsidTr="00FD119B">
        <w:tc>
          <w:tcPr>
            <w:tcW w:w="1809" w:type="dxa"/>
          </w:tcPr>
          <w:p w:rsidR="00294DF8" w:rsidRDefault="00294DF8" w:rsidP="00FD119B">
            <w:pPr>
              <w:rPr>
                <w:rFonts w:asciiTheme="minorHAnsi" w:eastAsiaTheme="minorHAnsi" w:hAnsiTheme="minorHAnsi" w:cs="TimesNewRoman"/>
              </w:rPr>
            </w:pPr>
            <w:r>
              <w:rPr>
                <w:rFonts w:asciiTheme="minorHAnsi" w:eastAsiaTheme="minorHAnsi" w:hAnsiTheme="minorHAnsi" w:cs="TimesNewRoman"/>
              </w:rPr>
              <w:t>BICR</w:t>
            </w:r>
          </w:p>
        </w:tc>
        <w:tc>
          <w:tcPr>
            <w:tcW w:w="6911" w:type="dxa"/>
          </w:tcPr>
          <w:p w:rsidR="00294DF8" w:rsidRDefault="00294DF8" w:rsidP="00125ECF">
            <w:pPr>
              <w:rPr>
                <w:rFonts w:asciiTheme="minorHAnsi" w:eastAsiaTheme="minorHAnsi" w:hAnsiTheme="minorHAnsi" w:cs="TimesNewRoman"/>
              </w:rPr>
            </w:pPr>
            <w:r w:rsidRPr="007C0E2C">
              <w:rPr>
                <w:rFonts w:asciiTheme="minorHAnsi" w:eastAsiaTheme="minorHAnsi" w:hAnsiTheme="minorHAnsi" w:cs="TimesNewRoman"/>
              </w:rPr>
              <w:t>Blinded independent central review</w:t>
            </w:r>
          </w:p>
        </w:tc>
      </w:tr>
      <w:tr w:rsidR="00294DF8" w:rsidRPr="00FD119B" w:rsidTr="00FD119B">
        <w:tc>
          <w:tcPr>
            <w:tcW w:w="1809" w:type="dxa"/>
          </w:tcPr>
          <w:p w:rsidR="00294DF8" w:rsidRDefault="00294DF8" w:rsidP="00FD119B">
            <w:pPr>
              <w:rPr>
                <w:lang w:eastAsia="ja-JP"/>
              </w:rPr>
            </w:pPr>
            <w:r>
              <w:t>CI</w:t>
            </w:r>
          </w:p>
        </w:tc>
        <w:tc>
          <w:tcPr>
            <w:tcW w:w="6911" w:type="dxa"/>
          </w:tcPr>
          <w:p w:rsidR="00294DF8" w:rsidRDefault="00294DF8" w:rsidP="00786DF1">
            <w:pPr>
              <w:rPr>
                <w:lang w:eastAsia="ja-JP"/>
              </w:rPr>
            </w:pPr>
            <w:r>
              <w:t>Confidence interval</w:t>
            </w:r>
          </w:p>
        </w:tc>
      </w:tr>
      <w:tr w:rsidR="00294DF8" w:rsidRPr="00FD119B" w:rsidTr="00FD119B">
        <w:tc>
          <w:tcPr>
            <w:tcW w:w="1809" w:type="dxa"/>
          </w:tcPr>
          <w:p w:rsidR="00294DF8" w:rsidRDefault="00294DF8" w:rsidP="00FD119B">
            <w:pPr>
              <w:rPr>
                <w:rFonts w:asciiTheme="minorHAnsi" w:eastAsiaTheme="minorHAnsi" w:hAnsiTheme="minorHAnsi" w:cs="ArialMT"/>
              </w:rPr>
            </w:pPr>
            <w:proofErr w:type="spellStart"/>
            <w:r w:rsidRPr="002C6352">
              <w:rPr>
                <w:bCs/>
                <w:lang w:eastAsia="ja-JP"/>
              </w:rPr>
              <w:t>C</w:t>
            </w:r>
            <w:r w:rsidRPr="00B30C06">
              <w:rPr>
                <w:bCs/>
                <w:vertAlign w:val="subscript"/>
                <w:lang w:eastAsia="ja-JP"/>
              </w:rPr>
              <w:t>max</w:t>
            </w:r>
            <w:proofErr w:type="spellEnd"/>
          </w:p>
        </w:tc>
        <w:tc>
          <w:tcPr>
            <w:tcW w:w="6911" w:type="dxa"/>
          </w:tcPr>
          <w:p w:rsidR="00294DF8" w:rsidRDefault="00294DF8" w:rsidP="0035023C">
            <w:pPr>
              <w:rPr>
                <w:rFonts w:asciiTheme="minorHAnsi" w:eastAsiaTheme="minorHAnsi" w:hAnsiTheme="minorHAnsi" w:cs="ArialMT"/>
              </w:rPr>
            </w:pPr>
            <w:r>
              <w:rPr>
                <w:bCs/>
                <w:lang w:eastAsia="ja-JP"/>
              </w:rPr>
              <w:t>Maximum plasma concentration</w:t>
            </w:r>
          </w:p>
        </w:tc>
      </w:tr>
      <w:tr w:rsidR="00294DF8" w:rsidRPr="00FD119B" w:rsidTr="00FD119B">
        <w:tc>
          <w:tcPr>
            <w:tcW w:w="1809" w:type="dxa"/>
          </w:tcPr>
          <w:p w:rsidR="00294DF8" w:rsidRDefault="00294DF8" w:rsidP="00FD119B">
            <w:pPr>
              <w:rPr>
                <w:rFonts w:asciiTheme="minorHAnsi" w:eastAsiaTheme="minorHAnsi" w:hAnsiTheme="minorHAnsi" w:cs="TimesNewRoman"/>
              </w:rPr>
            </w:pPr>
            <w:r>
              <w:t>CMI</w:t>
            </w:r>
          </w:p>
        </w:tc>
        <w:tc>
          <w:tcPr>
            <w:tcW w:w="6911" w:type="dxa"/>
          </w:tcPr>
          <w:p w:rsidR="00294DF8" w:rsidRDefault="00294DF8" w:rsidP="007C0E2C">
            <w:pPr>
              <w:rPr>
                <w:rFonts w:asciiTheme="minorHAnsi" w:eastAsiaTheme="minorHAnsi" w:hAnsiTheme="minorHAnsi" w:cs="TimesNewRoman"/>
              </w:rPr>
            </w:pPr>
            <w:r>
              <w:t>Consumer Medicines Information</w:t>
            </w:r>
          </w:p>
        </w:tc>
      </w:tr>
      <w:tr w:rsidR="00294DF8" w:rsidRPr="00FD119B" w:rsidTr="00FD119B">
        <w:tc>
          <w:tcPr>
            <w:tcW w:w="1809" w:type="dxa"/>
          </w:tcPr>
          <w:p w:rsidR="00294DF8" w:rsidRPr="006F3FCA" w:rsidRDefault="00294DF8" w:rsidP="00FD119B">
            <w:r>
              <w:rPr>
                <w:lang w:eastAsia="ja-JP"/>
              </w:rPr>
              <w:t>CNS</w:t>
            </w:r>
          </w:p>
        </w:tc>
        <w:tc>
          <w:tcPr>
            <w:tcW w:w="6911" w:type="dxa"/>
          </w:tcPr>
          <w:p w:rsidR="00294DF8" w:rsidRDefault="00294DF8" w:rsidP="0093092C">
            <w:r>
              <w:rPr>
                <w:lang w:eastAsia="ja-JP"/>
              </w:rPr>
              <w:t>Central nervous system</w:t>
            </w:r>
          </w:p>
        </w:tc>
      </w:tr>
      <w:tr w:rsidR="00294DF8" w:rsidRPr="00FD119B" w:rsidTr="00FD119B">
        <w:tc>
          <w:tcPr>
            <w:tcW w:w="1809" w:type="dxa"/>
          </w:tcPr>
          <w:p w:rsidR="00294DF8" w:rsidRDefault="00294DF8" w:rsidP="00FD119B">
            <w:pPr>
              <w:rPr>
                <w:lang w:eastAsia="ja-JP"/>
              </w:rPr>
            </w:pPr>
            <w:r>
              <w:t>CR</w:t>
            </w:r>
          </w:p>
        </w:tc>
        <w:tc>
          <w:tcPr>
            <w:tcW w:w="6911" w:type="dxa"/>
          </w:tcPr>
          <w:p w:rsidR="00294DF8" w:rsidRDefault="00294DF8" w:rsidP="00786DF1">
            <w:pPr>
              <w:rPr>
                <w:lang w:eastAsia="ja-JP"/>
              </w:rPr>
            </w:pPr>
            <w:r>
              <w:t>Complete response</w:t>
            </w:r>
          </w:p>
        </w:tc>
      </w:tr>
      <w:tr w:rsidR="00294DF8" w:rsidRPr="00FD119B" w:rsidTr="00FD119B">
        <w:tc>
          <w:tcPr>
            <w:tcW w:w="1809" w:type="dxa"/>
          </w:tcPr>
          <w:p w:rsidR="00294DF8" w:rsidRPr="00B30C06" w:rsidRDefault="00294DF8" w:rsidP="00FD119B">
            <w:pPr>
              <w:rPr>
                <w:rFonts w:asciiTheme="minorHAnsi" w:eastAsiaTheme="minorHAnsi" w:hAnsiTheme="minorHAnsi" w:cs="Calibri"/>
              </w:rPr>
            </w:pPr>
            <w:proofErr w:type="spellStart"/>
            <w:r>
              <w:rPr>
                <w:rFonts w:asciiTheme="minorHAnsi" w:eastAsiaTheme="minorHAnsi" w:hAnsiTheme="minorHAnsi" w:cs="Calibri"/>
              </w:rPr>
              <w:t>CrCl</w:t>
            </w:r>
            <w:proofErr w:type="spellEnd"/>
          </w:p>
        </w:tc>
        <w:tc>
          <w:tcPr>
            <w:tcW w:w="6911" w:type="dxa"/>
          </w:tcPr>
          <w:p w:rsidR="00294DF8" w:rsidRDefault="00294DF8" w:rsidP="00C01081">
            <w:pPr>
              <w:rPr>
                <w:rFonts w:asciiTheme="minorHAnsi" w:eastAsiaTheme="minorHAnsi" w:hAnsiTheme="minorHAnsi" w:cs="Calibri"/>
              </w:rPr>
            </w:pPr>
            <w:r>
              <w:rPr>
                <w:rFonts w:asciiTheme="minorHAnsi" w:eastAsiaTheme="minorHAnsi" w:hAnsiTheme="minorHAnsi" w:cs="Calibri"/>
              </w:rPr>
              <w:t>Creatinine clearance</w:t>
            </w:r>
          </w:p>
        </w:tc>
      </w:tr>
      <w:tr w:rsidR="00294DF8" w:rsidRPr="00FD119B" w:rsidTr="00FD119B">
        <w:tc>
          <w:tcPr>
            <w:tcW w:w="1809" w:type="dxa"/>
          </w:tcPr>
          <w:p w:rsidR="00294DF8" w:rsidRDefault="00294DF8" w:rsidP="00FD119B">
            <w:pPr>
              <w:rPr>
                <w:rFonts w:asciiTheme="minorHAnsi" w:eastAsiaTheme="minorHAnsi" w:hAnsiTheme="minorHAnsi" w:cs="ArialMT"/>
              </w:rPr>
            </w:pPr>
            <w:r>
              <w:t>CSR</w:t>
            </w:r>
          </w:p>
        </w:tc>
        <w:tc>
          <w:tcPr>
            <w:tcW w:w="6911" w:type="dxa"/>
          </w:tcPr>
          <w:p w:rsidR="00294DF8" w:rsidRDefault="00294DF8" w:rsidP="0035023C">
            <w:pPr>
              <w:rPr>
                <w:rFonts w:asciiTheme="minorHAnsi" w:eastAsiaTheme="minorHAnsi" w:hAnsiTheme="minorHAnsi" w:cs="ArialMT"/>
              </w:rPr>
            </w:pPr>
            <w:r>
              <w:t>Clinical study report</w:t>
            </w:r>
          </w:p>
        </w:tc>
      </w:tr>
      <w:tr w:rsidR="00294DF8" w:rsidRPr="00FD119B" w:rsidTr="00FD119B">
        <w:tc>
          <w:tcPr>
            <w:tcW w:w="1809" w:type="dxa"/>
          </w:tcPr>
          <w:p w:rsidR="00294DF8" w:rsidRPr="00B30C06" w:rsidRDefault="00294DF8" w:rsidP="00FD119B">
            <w:pPr>
              <w:rPr>
                <w:rFonts w:asciiTheme="minorHAnsi" w:eastAsiaTheme="minorHAnsi" w:hAnsiTheme="minorHAnsi" w:cs="Calibri"/>
              </w:rPr>
            </w:pPr>
            <w:r w:rsidRPr="00381EF8">
              <w:rPr>
                <w:rFonts w:asciiTheme="minorHAnsi" w:eastAsiaTheme="minorHAnsi" w:hAnsiTheme="minorHAnsi" w:cs="SymbolMT"/>
              </w:rPr>
              <w:t>CYP</w:t>
            </w:r>
          </w:p>
        </w:tc>
        <w:tc>
          <w:tcPr>
            <w:tcW w:w="6911" w:type="dxa"/>
          </w:tcPr>
          <w:p w:rsidR="00294DF8" w:rsidRDefault="00294DF8" w:rsidP="00863906">
            <w:pPr>
              <w:rPr>
                <w:rFonts w:asciiTheme="minorHAnsi" w:eastAsiaTheme="minorHAnsi" w:hAnsiTheme="minorHAnsi" w:cs="Calibri"/>
              </w:rPr>
            </w:pPr>
            <w:r>
              <w:rPr>
                <w:rFonts w:asciiTheme="minorHAnsi" w:eastAsiaTheme="minorHAnsi" w:hAnsiTheme="minorHAnsi" w:cs="SymbolMT"/>
              </w:rPr>
              <w:t>Cytochrome P450</w:t>
            </w:r>
          </w:p>
        </w:tc>
      </w:tr>
      <w:tr w:rsidR="00294DF8" w:rsidRPr="00FD119B" w:rsidTr="00FD119B">
        <w:tc>
          <w:tcPr>
            <w:tcW w:w="1809" w:type="dxa"/>
          </w:tcPr>
          <w:p w:rsidR="00294DF8" w:rsidRDefault="00294DF8" w:rsidP="00FD119B">
            <w:pPr>
              <w:rPr>
                <w:rFonts w:asciiTheme="minorHAnsi" w:eastAsiaTheme="minorHAnsi" w:hAnsiTheme="minorHAnsi" w:cs="TimesNewRoman"/>
              </w:rPr>
            </w:pPr>
            <w:r>
              <w:rPr>
                <w:rFonts w:asciiTheme="minorHAnsi" w:eastAsiaTheme="minorHAnsi" w:hAnsiTheme="minorHAnsi"/>
                <w:color w:val="000000"/>
              </w:rPr>
              <w:t>DILI</w:t>
            </w:r>
          </w:p>
        </w:tc>
        <w:tc>
          <w:tcPr>
            <w:tcW w:w="6911" w:type="dxa"/>
          </w:tcPr>
          <w:p w:rsidR="00294DF8" w:rsidRDefault="00294DF8" w:rsidP="007C0E2C">
            <w:pPr>
              <w:rPr>
                <w:rFonts w:asciiTheme="minorHAnsi" w:eastAsiaTheme="minorHAnsi" w:hAnsiTheme="minorHAnsi" w:cs="TimesNewRoman"/>
              </w:rPr>
            </w:pPr>
            <w:r>
              <w:rPr>
                <w:rFonts w:asciiTheme="minorHAnsi" w:eastAsiaTheme="minorHAnsi" w:hAnsiTheme="minorHAnsi"/>
                <w:color w:val="000000"/>
              </w:rPr>
              <w:t>Drug-induced liver injury</w:t>
            </w:r>
          </w:p>
        </w:tc>
      </w:tr>
      <w:tr w:rsidR="00294DF8" w:rsidRPr="00FD119B" w:rsidTr="00FD119B">
        <w:tc>
          <w:tcPr>
            <w:tcW w:w="1809" w:type="dxa"/>
          </w:tcPr>
          <w:p w:rsidR="00294DF8" w:rsidRDefault="00294DF8" w:rsidP="00FD119B">
            <w:pPr>
              <w:rPr>
                <w:rFonts w:asciiTheme="minorHAnsi" w:eastAsiaTheme="minorHAnsi" w:hAnsiTheme="minorHAnsi" w:cs="TimesNewRoman"/>
              </w:rPr>
            </w:pPr>
            <w:r w:rsidRPr="00964360">
              <w:t>DLP</w:t>
            </w:r>
          </w:p>
        </w:tc>
        <w:tc>
          <w:tcPr>
            <w:tcW w:w="6911" w:type="dxa"/>
          </w:tcPr>
          <w:p w:rsidR="00294DF8" w:rsidRDefault="00294DF8" w:rsidP="007C0E2C">
            <w:pPr>
              <w:rPr>
                <w:rFonts w:asciiTheme="minorHAnsi" w:eastAsiaTheme="minorHAnsi" w:hAnsiTheme="minorHAnsi" w:cs="TimesNewRoman"/>
              </w:rPr>
            </w:pPr>
            <w:r>
              <w:t>Data lock point</w:t>
            </w:r>
          </w:p>
        </w:tc>
      </w:tr>
      <w:tr w:rsidR="00294DF8" w:rsidRPr="00FD119B" w:rsidTr="00FD119B">
        <w:tc>
          <w:tcPr>
            <w:tcW w:w="1809" w:type="dxa"/>
          </w:tcPr>
          <w:p w:rsidR="00294DF8" w:rsidRDefault="00294DF8" w:rsidP="00FD119B">
            <w:r>
              <w:rPr>
                <w:lang w:eastAsia="ja-JP"/>
              </w:rPr>
              <w:t>DOR</w:t>
            </w:r>
          </w:p>
        </w:tc>
        <w:tc>
          <w:tcPr>
            <w:tcW w:w="6911" w:type="dxa"/>
          </w:tcPr>
          <w:p w:rsidR="00294DF8" w:rsidRDefault="00294DF8" w:rsidP="00D61142">
            <w:r>
              <w:rPr>
                <w:lang w:eastAsia="ja-JP"/>
              </w:rPr>
              <w:t>Duration of response</w:t>
            </w:r>
          </w:p>
        </w:tc>
      </w:tr>
      <w:tr w:rsidR="00294DF8" w:rsidRPr="00FD119B" w:rsidTr="00FD119B">
        <w:tc>
          <w:tcPr>
            <w:tcW w:w="1809" w:type="dxa"/>
          </w:tcPr>
          <w:p w:rsidR="00294DF8" w:rsidRDefault="00294DF8" w:rsidP="00FD119B">
            <w:pPr>
              <w:rPr>
                <w:rFonts w:asciiTheme="minorHAnsi" w:eastAsiaTheme="minorHAnsi" w:hAnsiTheme="minorHAnsi" w:cs="TimesNewRoman"/>
              </w:rPr>
            </w:pPr>
            <w:r>
              <w:t>EMA</w:t>
            </w:r>
          </w:p>
        </w:tc>
        <w:tc>
          <w:tcPr>
            <w:tcW w:w="6911" w:type="dxa"/>
          </w:tcPr>
          <w:p w:rsidR="00294DF8" w:rsidRDefault="00294DF8" w:rsidP="00EE3F3C">
            <w:pPr>
              <w:rPr>
                <w:rFonts w:asciiTheme="minorHAnsi" w:eastAsiaTheme="minorHAnsi" w:hAnsiTheme="minorHAnsi" w:cs="TimesNewRoman"/>
              </w:rPr>
            </w:pPr>
            <w:r>
              <w:t>European Medicines Agency</w:t>
            </w:r>
            <w:r w:rsidR="007F7DAC">
              <w:t xml:space="preserve"> (EU)</w:t>
            </w:r>
          </w:p>
        </w:tc>
      </w:tr>
      <w:tr w:rsidR="00294DF8" w:rsidRPr="00FD119B" w:rsidTr="00FD119B">
        <w:tc>
          <w:tcPr>
            <w:tcW w:w="1809" w:type="dxa"/>
          </w:tcPr>
          <w:p w:rsidR="00294DF8" w:rsidRPr="00C00C4E" w:rsidRDefault="00294DF8" w:rsidP="00FD119B">
            <w:pPr>
              <w:rPr>
                <w:rFonts w:asciiTheme="minorHAnsi" w:eastAsiaTheme="minorHAnsi" w:hAnsiTheme="minorHAnsi" w:cs="ArialMT"/>
              </w:rPr>
            </w:pPr>
            <w:r>
              <w:rPr>
                <w:rFonts w:asciiTheme="minorHAnsi" w:eastAsiaTheme="minorHAnsi" w:hAnsiTheme="minorHAnsi" w:cs="ArialMT"/>
              </w:rPr>
              <w:t>EU</w:t>
            </w:r>
          </w:p>
        </w:tc>
        <w:tc>
          <w:tcPr>
            <w:tcW w:w="6911" w:type="dxa"/>
          </w:tcPr>
          <w:p w:rsidR="00294DF8" w:rsidRDefault="00294DF8" w:rsidP="007507F9">
            <w:pPr>
              <w:rPr>
                <w:rFonts w:asciiTheme="minorHAnsi" w:eastAsiaTheme="minorHAnsi" w:hAnsiTheme="minorHAnsi" w:cs="ArialMT"/>
              </w:rPr>
            </w:pPr>
            <w:r>
              <w:rPr>
                <w:rFonts w:asciiTheme="minorHAnsi" w:eastAsiaTheme="minorHAnsi" w:hAnsiTheme="minorHAnsi" w:cs="ArialMT"/>
              </w:rPr>
              <w:t>European Union</w:t>
            </w:r>
          </w:p>
        </w:tc>
      </w:tr>
      <w:tr w:rsidR="00294DF8" w:rsidRPr="00FD119B" w:rsidTr="00FD119B">
        <w:tc>
          <w:tcPr>
            <w:tcW w:w="1809" w:type="dxa"/>
          </w:tcPr>
          <w:p w:rsidR="00294DF8" w:rsidRDefault="00294DF8" w:rsidP="00FD119B">
            <w:pPr>
              <w:rPr>
                <w:rFonts w:asciiTheme="minorHAnsi" w:eastAsiaTheme="minorHAnsi" w:hAnsiTheme="minorHAnsi" w:cs="TimesNewRoman"/>
              </w:rPr>
            </w:pPr>
            <w:r w:rsidRPr="00964360">
              <w:lastRenderedPageBreak/>
              <w:t>EU-RMP</w:t>
            </w:r>
          </w:p>
        </w:tc>
        <w:tc>
          <w:tcPr>
            <w:tcW w:w="6911" w:type="dxa"/>
          </w:tcPr>
          <w:p w:rsidR="00294DF8" w:rsidRDefault="00294DF8" w:rsidP="007F7DAC">
            <w:pPr>
              <w:rPr>
                <w:rFonts w:asciiTheme="minorHAnsi" w:eastAsiaTheme="minorHAnsi" w:hAnsiTheme="minorHAnsi" w:cs="TimesNewRoman"/>
              </w:rPr>
            </w:pPr>
            <w:r>
              <w:t xml:space="preserve">European Union-Risk </w:t>
            </w:r>
            <w:r w:rsidR="007F7DAC">
              <w:t>management p</w:t>
            </w:r>
            <w:r>
              <w:t>lan</w:t>
            </w:r>
          </w:p>
        </w:tc>
      </w:tr>
      <w:tr w:rsidR="00294DF8" w:rsidRPr="00FD119B" w:rsidTr="00FD119B">
        <w:tc>
          <w:tcPr>
            <w:tcW w:w="1809" w:type="dxa"/>
          </w:tcPr>
          <w:p w:rsidR="00294DF8" w:rsidRPr="00C00C4E" w:rsidRDefault="00294DF8" w:rsidP="00FD119B">
            <w:pPr>
              <w:rPr>
                <w:rFonts w:asciiTheme="minorHAnsi" w:eastAsiaTheme="minorHAnsi" w:hAnsiTheme="minorHAnsi" w:cs="ArialMT"/>
              </w:rPr>
            </w:pPr>
            <w:r>
              <w:t>FDA</w:t>
            </w:r>
          </w:p>
        </w:tc>
        <w:tc>
          <w:tcPr>
            <w:tcW w:w="6911" w:type="dxa"/>
          </w:tcPr>
          <w:p w:rsidR="00294DF8" w:rsidRDefault="00294DF8" w:rsidP="00D674E3">
            <w:pPr>
              <w:rPr>
                <w:rFonts w:asciiTheme="minorHAnsi" w:eastAsiaTheme="minorHAnsi" w:hAnsiTheme="minorHAnsi" w:cs="ArialMT"/>
              </w:rPr>
            </w:pPr>
            <w:r>
              <w:t>Food and Drug Administration (USA)</w:t>
            </w:r>
          </w:p>
        </w:tc>
      </w:tr>
      <w:tr w:rsidR="00294DF8" w:rsidRPr="00FD119B" w:rsidTr="00FD119B">
        <w:tc>
          <w:tcPr>
            <w:tcW w:w="1809" w:type="dxa"/>
          </w:tcPr>
          <w:p w:rsidR="00294DF8" w:rsidRPr="006F3FCA" w:rsidRDefault="00294DF8" w:rsidP="00FD119B">
            <w:r>
              <w:t>FISH</w:t>
            </w:r>
          </w:p>
        </w:tc>
        <w:tc>
          <w:tcPr>
            <w:tcW w:w="6911" w:type="dxa"/>
          </w:tcPr>
          <w:p w:rsidR="00294DF8" w:rsidRDefault="00294DF8" w:rsidP="0093092C">
            <w:r>
              <w:t>Fl</w:t>
            </w:r>
            <w:r w:rsidRPr="006F3FCA">
              <w:t>uorescenc</w:t>
            </w:r>
            <w:r>
              <w:t>e in situ hybridisation</w:t>
            </w:r>
          </w:p>
        </w:tc>
      </w:tr>
      <w:tr w:rsidR="00294DF8" w:rsidRPr="00FD119B" w:rsidTr="00FD119B">
        <w:tc>
          <w:tcPr>
            <w:tcW w:w="1809" w:type="dxa"/>
          </w:tcPr>
          <w:p w:rsidR="00294DF8" w:rsidRDefault="00294DF8" w:rsidP="00FD119B">
            <w:pPr>
              <w:rPr>
                <w:rFonts w:asciiTheme="minorHAnsi" w:eastAsiaTheme="minorHAnsi" w:hAnsiTheme="minorHAnsi" w:cs="TimesNewRoman"/>
              </w:rPr>
            </w:pPr>
            <w:r w:rsidRPr="00F5203F">
              <w:t>GVP</w:t>
            </w:r>
          </w:p>
        </w:tc>
        <w:tc>
          <w:tcPr>
            <w:tcW w:w="6911" w:type="dxa"/>
          </w:tcPr>
          <w:p w:rsidR="00294DF8" w:rsidRDefault="00294DF8" w:rsidP="008B4546">
            <w:pPr>
              <w:rPr>
                <w:rFonts w:asciiTheme="minorHAnsi" w:eastAsiaTheme="minorHAnsi" w:hAnsiTheme="minorHAnsi" w:cs="TimesNewRoman"/>
              </w:rPr>
            </w:pPr>
            <w:r>
              <w:t>Good Pharmacovigilance Practice</w:t>
            </w:r>
            <w:r w:rsidR="007F7DAC">
              <w:t>(</w:t>
            </w:r>
            <w:r>
              <w:t>s</w:t>
            </w:r>
            <w:r w:rsidR="007F7DAC">
              <w:t>)</w:t>
            </w:r>
          </w:p>
        </w:tc>
      </w:tr>
      <w:tr w:rsidR="00294DF8" w:rsidRPr="00FD119B" w:rsidTr="00FD119B">
        <w:tc>
          <w:tcPr>
            <w:tcW w:w="1809" w:type="dxa"/>
          </w:tcPr>
          <w:p w:rsidR="00294DF8" w:rsidRPr="00C34C79" w:rsidRDefault="00294DF8" w:rsidP="00FD119B">
            <w:pPr>
              <w:rPr>
                <w:rFonts w:asciiTheme="minorHAnsi" w:eastAsiaTheme="minorHAnsi" w:hAnsiTheme="minorHAnsi" w:cs="TimesNewRoman"/>
              </w:rPr>
            </w:pPr>
            <w:r>
              <w:t>HLGT</w:t>
            </w:r>
          </w:p>
        </w:tc>
        <w:tc>
          <w:tcPr>
            <w:tcW w:w="6911" w:type="dxa"/>
          </w:tcPr>
          <w:p w:rsidR="00294DF8" w:rsidRDefault="00294DF8" w:rsidP="00125ECF">
            <w:pPr>
              <w:rPr>
                <w:rFonts w:asciiTheme="minorHAnsi" w:eastAsiaTheme="minorHAnsi" w:hAnsiTheme="minorHAnsi" w:cs="TimesNewRoman"/>
              </w:rPr>
            </w:pPr>
            <w:r>
              <w:t>Higher level group term</w:t>
            </w:r>
          </w:p>
        </w:tc>
      </w:tr>
      <w:tr w:rsidR="00294DF8" w:rsidRPr="00FD119B" w:rsidTr="00FD119B">
        <w:tc>
          <w:tcPr>
            <w:tcW w:w="1809" w:type="dxa"/>
          </w:tcPr>
          <w:p w:rsidR="00294DF8" w:rsidRPr="00C34C79" w:rsidRDefault="00294DF8" w:rsidP="00FD119B">
            <w:pPr>
              <w:rPr>
                <w:rFonts w:asciiTheme="minorHAnsi" w:eastAsiaTheme="minorHAnsi" w:hAnsiTheme="minorHAnsi" w:cs="TimesNewRoman"/>
              </w:rPr>
            </w:pPr>
            <w:r>
              <w:t>HLT</w:t>
            </w:r>
          </w:p>
        </w:tc>
        <w:tc>
          <w:tcPr>
            <w:tcW w:w="6911" w:type="dxa"/>
          </w:tcPr>
          <w:p w:rsidR="00294DF8" w:rsidRDefault="00294DF8" w:rsidP="00125ECF">
            <w:pPr>
              <w:rPr>
                <w:rFonts w:asciiTheme="minorHAnsi" w:eastAsiaTheme="minorHAnsi" w:hAnsiTheme="minorHAnsi" w:cs="TimesNewRoman"/>
              </w:rPr>
            </w:pPr>
            <w:r>
              <w:t>Higher level term</w:t>
            </w:r>
          </w:p>
        </w:tc>
      </w:tr>
      <w:tr w:rsidR="00294DF8" w:rsidRPr="00FD119B" w:rsidTr="00FD119B">
        <w:tc>
          <w:tcPr>
            <w:tcW w:w="1809" w:type="dxa"/>
          </w:tcPr>
          <w:p w:rsidR="00294DF8" w:rsidRDefault="00294DF8" w:rsidP="00FD119B">
            <w:pPr>
              <w:rPr>
                <w:lang w:eastAsia="ja-JP"/>
              </w:rPr>
            </w:pPr>
            <w:r>
              <w:t>IC</w:t>
            </w:r>
          </w:p>
        </w:tc>
        <w:tc>
          <w:tcPr>
            <w:tcW w:w="6911" w:type="dxa"/>
          </w:tcPr>
          <w:p w:rsidR="00294DF8" w:rsidRDefault="00294DF8" w:rsidP="00786DF1">
            <w:pPr>
              <w:rPr>
                <w:lang w:eastAsia="ja-JP"/>
              </w:rPr>
            </w:pPr>
            <w:r>
              <w:t>Intracranial</w:t>
            </w:r>
          </w:p>
        </w:tc>
      </w:tr>
      <w:tr w:rsidR="00294DF8" w:rsidRPr="00FD119B" w:rsidTr="00FD119B">
        <w:tc>
          <w:tcPr>
            <w:tcW w:w="1809" w:type="dxa"/>
          </w:tcPr>
          <w:p w:rsidR="00294DF8" w:rsidRDefault="00294DF8" w:rsidP="00FD119B">
            <w:r w:rsidRPr="004E089E">
              <w:rPr>
                <w:lang w:eastAsia="ja-JP"/>
              </w:rPr>
              <w:t>IC-ORR</w:t>
            </w:r>
          </w:p>
        </w:tc>
        <w:tc>
          <w:tcPr>
            <w:tcW w:w="6911" w:type="dxa"/>
          </w:tcPr>
          <w:p w:rsidR="00294DF8" w:rsidRDefault="00294DF8" w:rsidP="00D61142">
            <w:r>
              <w:rPr>
                <w:lang w:eastAsia="ja-JP"/>
              </w:rPr>
              <w:t>Intracranial overall response rate</w:t>
            </w:r>
          </w:p>
        </w:tc>
      </w:tr>
      <w:tr w:rsidR="00294DF8" w:rsidRPr="00FD119B" w:rsidTr="00FD119B">
        <w:tc>
          <w:tcPr>
            <w:tcW w:w="1809" w:type="dxa"/>
          </w:tcPr>
          <w:p w:rsidR="00294DF8" w:rsidRPr="006F3FCA" w:rsidRDefault="00294DF8" w:rsidP="00FD119B">
            <w:r w:rsidRPr="006F3FCA">
              <w:t>IHC</w:t>
            </w:r>
          </w:p>
        </w:tc>
        <w:tc>
          <w:tcPr>
            <w:tcW w:w="6911" w:type="dxa"/>
          </w:tcPr>
          <w:p w:rsidR="00294DF8" w:rsidRDefault="00294DF8" w:rsidP="0093092C">
            <w:r>
              <w:t>Immunohistochemistry</w:t>
            </w:r>
          </w:p>
        </w:tc>
      </w:tr>
      <w:tr w:rsidR="00294DF8" w:rsidRPr="00FD119B" w:rsidTr="00FD119B">
        <w:tc>
          <w:tcPr>
            <w:tcW w:w="1809" w:type="dxa"/>
          </w:tcPr>
          <w:p w:rsidR="00294DF8" w:rsidRDefault="00294DF8" w:rsidP="00FD119B">
            <w:pPr>
              <w:rPr>
                <w:rFonts w:asciiTheme="minorHAnsi" w:eastAsiaTheme="minorHAnsi" w:hAnsiTheme="minorHAnsi" w:cs="TimesNewRoman"/>
              </w:rPr>
            </w:pPr>
            <w:r>
              <w:rPr>
                <w:lang w:eastAsia="ja-JP"/>
              </w:rPr>
              <w:t>ILD</w:t>
            </w:r>
          </w:p>
        </w:tc>
        <w:tc>
          <w:tcPr>
            <w:tcW w:w="6911" w:type="dxa"/>
          </w:tcPr>
          <w:p w:rsidR="00294DF8" w:rsidRDefault="00294DF8" w:rsidP="006C1218">
            <w:pPr>
              <w:rPr>
                <w:rFonts w:asciiTheme="minorHAnsi" w:eastAsiaTheme="minorHAnsi" w:hAnsiTheme="minorHAnsi" w:cs="TimesNewRoman"/>
              </w:rPr>
            </w:pPr>
            <w:r>
              <w:rPr>
                <w:lang w:eastAsia="ja-JP"/>
              </w:rPr>
              <w:t>I</w:t>
            </w:r>
            <w:r w:rsidRPr="00763969">
              <w:rPr>
                <w:lang w:eastAsia="ja-JP"/>
              </w:rPr>
              <w:t>nterstitial lung disease</w:t>
            </w:r>
          </w:p>
        </w:tc>
      </w:tr>
      <w:tr w:rsidR="00294DF8" w:rsidRPr="00FD119B" w:rsidTr="00FD119B">
        <w:tc>
          <w:tcPr>
            <w:tcW w:w="1809" w:type="dxa"/>
          </w:tcPr>
          <w:p w:rsidR="00294DF8" w:rsidRDefault="00294DF8" w:rsidP="00FD119B">
            <w:pPr>
              <w:rPr>
                <w:lang w:eastAsia="ja-JP"/>
              </w:rPr>
            </w:pPr>
            <w:r>
              <w:rPr>
                <w:lang w:eastAsia="ja-JP"/>
              </w:rPr>
              <w:t>IRC</w:t>
            </w:r>
          </w:p>
        </w:tc>
        <w:tc>
          <w:tcPr>
            <w:tcW w:w="6911" w:type="dxa"/>
          </w:tcPr>
          <w:p w:rsidR="00294DF8" w:rsidRDefault="00294DF8" w:rsidP="00786DF1">
            <w:pPr>
              <w:rPr>
                <w:lang w:eastAsia="ja-JP"/>
              </w:rPr>
            </w:pPr>
            <w:r>
              <w:rPr>
                <w:lang w:eastAsia="ja-JP"/>
              </w:rPr>
              <w:t>Independent review committee</w:t>
            </w:r>
          </w:p>
        </w:tc>
      </w:tr>
      <w:tr w:rsidR="00294DF8" w:rsidRPr="00FD119B" w:rsidTr="00FD119B">
        <w:tc>
          <w:tcPr>
            <w:tcW w:w="1809" w:type="dxa"/>
          </w:tcPr>
          <w:p w:rsidR="00294DF8" w:rsidRDefault="00294DF8" w:rsidP="00FD119B">
            <w:pPr>
              <w:rPr>
                <w:lang w:eastAsia="ja-JP"/>
              </w:rPr>
            </w:pPr>
            <w:r>
              <w:t>ITT</w:t>
            </w:r>
          </w:p>
        </w:tc>
        <w:tc>
          <w:tcPr>
            <w:tcW w:w="6911" w:type="dxa"/>
          </w:tcPr>
          <w:p w:rsidR="00294DF8" w:rsidRDefault="00294DF8" w:rsidP="00D61142">
            <w:pPr>
              <w:rPr>
                <w:lang w:eastAsia="ja-JP"/>
              </w:rPr>
            </w:pPr>
            <w:r>
              <w:t>Intent to treat</w:t>
            </w:r>
          </w:p>
        </w:tc>
      </w:tr>
      <w:tr w:rsidR="00294DF8" w:rsidRPr="00FD119B" w:rsidTr="00FD119B">
        <w:tc>
          <w:tcPr>
            <w:tcW w:w="1809" w:type="dxa"/>
          </w:tcPr>
          <w:p w:rsidR="00294DF8" w:rsidRDefault="00294DF8" w:rsidP="00FD119B">
            <w:pPr>
              <w:rPr>
                <w:rFonts w:asciiTheme="minorHAnsi" w:eastAsiaTheme="minorHAnsi" w:hAnsiTheme="minorHAnsi" w:cs="ArialMT"/>
              </w:rPr>
            </w:pPr>
            <w:r w:rsidRPr="00381EF8">
              <w:rPr>
                <w:lang w:eastAsia="ja-JP"/>
              </w:rPr>
              <w:t>IV</w:t>
            </w:r>
          </w:p>
        </w:tc>
        <w:tc>
          <w:tcPr>
            <w:tcW w:w="6911" w:type="dxa"/>
          </w:tcPr>
          <w:p w:rsidR="00294DF8" w:rsidRDefault="00294DF8" w:rsidP="0035023C">
            <w:pPr>
              <w:rPr>
                <w:rFonts w:asciiTheme="minorHAnsi" w:eastAsiaTheme="minorHAnsi" w:hAnsiTheme="minorHAnsi" w:cs="ArialMT"/>
              </w:rPr>
            </w:pPr>
            <w:r>
              <w:rPr>
                <w:lang w:eastAsia="ja-JP"/>
              </w:rPr>
              <w:t>Intravenous</w:t>
            </w:r>
          </w:p>
        </w:tc>
      </w:tr>
      <w:tr w:rsidR="00294DF8" w:rsidRPr="00FD119B" w:rsidTr="00FD119B">
        <w:tc>
          <w:tcPr>
            <w:tcW w:w="1809" w:type="dxa"/>
          </w:tcPr>
          <w:p w:rsidR="00294DF8" w:rsidRPr="00C34C79" w:rsidRDefault="00294DF8" w:rsidP="00FD119B">
            <w:pPr>
              <w:rPr>
                <w:rFonts w:asciiTheme="minorHAnsi" w:eastAsiaTheme="minorHAnsi" w:hAnsiTheme="minorHAnsi" w:cs="TimesNewRoman"/>
              </w:rPr>
            </w:pPr>
            <w:proofErr w:type="spellStart"/>
            <w:r>
              <w:t>MedDRA</w:t>
            </w:r>
            <w:proofErr w:type="spellEnd"/>
          </w:p>
        </w:tc>
        <w:tc>
          <w:tcPr>
            <w:tcW w:w="6911" w:type="dxa"/>
          </w:tcPr>
          <w:p w:rsidR="00294DF8" w:rsidRDefault="00294DF8" w:rsidP="00125ECF">
            <w:pPr>
              <w:rPr>
                <w:rFonts w:asciiTheme="minorHAnsi" w:eastAsiaTheme="minorHAnsi" w:hAnsiTheme="minorHAnsi" w:cs="TimesNewRoman"/>
              </w:rPr>
            </w:pPr>
            <w:r>
              <w:t>Medical dictionary for regulatory activities</w:t>
            </w:r>
          </w:p>
        </w:tc>
      </w:tr>
      <w:tr w:rsidR="00294DF8" w:rsidRPr="00FD119B" w:rsidTr="00FD119B">
        <w:tc>
          <w:tcPr>
            <w:tcW w:w="1809" w:type="dxa"/>
          </w:tcPr>
          <w:p w:rsidR="00294DF8" w:rsidRDefault="00294DF8" w:rsidP="00FD119B">
            <w:pPr>
              <w:rPr>
                <w:lang w:eastAsia="ja-JP"/>
              </w:rPr>
            </w:pPr>
            <w:r>
              <w:t>NE</w:t>
            </w:r>
          </w:p>
        </w:tc>
        <w:tc>
          <w:tcPr>
            <w:tcW w:w="6911" w:type="dxa"/>
          </w:tcPr>
          <w:p w:rsidR="00294DF8" w:rsidRDefault="00294DF8" w:rsidP="0051722B">
            <w:pPr>
              <w:rPr>
                <w:lang w:eastAsia="ja-JP"/>
              </w:rPr>
            </w:pPr>
            <w:r>
              <w:t>Not estimable</w:t>
            </w:r>
          </w:p>
        </w:tc>
      </w:tr>
      <w:tr w:rsidR="00294DF8" w:rsidRPr="00FD119B" w:rsidTr="00FD119B">
        <w:tc>
          <w:tcPr>
            <w:tcW w:w="1809" w:type="dxa"/>
          </w:tcPr>
          <w:p w:rsidR="00294DF8" w:rsidRPr="00C34C79" w:rsidRDefault="00294DF8" w:rsidP="00FD119B">
            <w:pPr>
              <w:rPr>
                <w:rFonts w:asciiTheme="minorHAnsi" w:eastAsiaTheme="minorHAnsi" w:hAnsiTheme="minorHAnsi" w:cs="TimesNewRoman"/>
              </w:rPr>
            </w:pPr>
            <w:r>
              <w:t>NEC</w:t>
            </w:r>
          </w:p>
        </w:tc>
        <w:tc>
          <w:tcPr>
            <w:tcW w:w="6911" w:type="dxa"/>
          </w:tcPr>
          <w:p w:rsidR="00294DF8" w:rsidRDefault="00294DF8" w:rsidP="00125ECF">
            <w:pPr>
              <w:rPr>
                <w:rFonts w:asciiTheme="minorHAnsi" w:eastAsiaTheme="minorHAnsi" w:hAnsiTheme="minorHAnsi" w:cs="TimesNewRoman"/>
              </w:rPr>
            </w:pPr>
            <w:r>
              <w:t>Not elsewhere classified</w:t>
            </w:r>
          </w:p>
        </w:tc>
      </w:tr>
      <w:tr w:rsidR="00294DF8" w:rsidRPr="00FD119B" w:rsidTr="00FD119B">
        <w:tc>
          <w:tcPr>
            <w:tcW w:w="1809" w:type="dxa"/>
          </w:tcPr>
          <w:p w:rsidR="00294DF8" w:rsidRDefault="00294DF8" w:rsidP="00FD119B">
            <w:r>
              <w:t>NGS</w:t>
            </w:r>
          </w:p>
        </w:tc>
        <w:tc>
          <w:tcPr>
            <w:tcW w:w="6911" w:type="dxa"/>
          </w:tcPr>
          <w:p w:rsidR="00294DF8" w:rsidRDefault="00294DF8" w:rsidP="00C01081">
            <w:r>
              <w:t>Next-generation sequencing</w:t>
            </w:r>
          </w:p>
        </w:tc>
      </w:tr>
      <w:tr w:rsidR="00294DF8" w:rsidRPr="00FD119B" w:rsidTr="00FD119B">
        <w:tc>
          <w:tcPr>
            <w:tcW w:w="1809" w:type="dxa"/>
          </w:tcPr>
          <w:p w:rsidR="00294DF8" w:rsidRPr="00FD119B" w:rsidRDefault="00294DF8" w:rsidP="00D674E3">
            <w:pPr>
              <w:rPr>
                <w:color w:val="auto"/>
                <w:szCs w:val="22"/>
                <w:lang w:eastAsia="en-US"/>
              </w:rPr>
            </w:pPr>
            <w:r w:rsidRPr="006F3FCA">
              <w:t>NSCLC</w:t>
            </w:r>
          </w:p>
        </w:tc>
        <w:tc>
          <w:tcPr>
            <w:tcW w:w="6911" w:type="dxa"/>
          </w:tcPr>
          <w:p w:rsidR="00294DF8" w:rsidRPr="00FD119B" w:rsidRDefault="00294DF8" w:rsidP="00D674E3">
            <w:pPr>
              <w:rPr>
                <w:color w:val="auto"/>
                <w:szCs w:val="22"/>
                <w:lang w:eastAsia="en-US"/>
              </w:rPr>
            </w:pPr>
            <w:r>
              <w:t>N</w:t>
            </w:r>
            <w:r w:rsidRPr="006F3FCA">
              <w:t>on-small</w:t>
            </w:r>
            <w:r>
              <w:t xml:space="preserve"> cell lung cancer</w:t>
            </w:r>
          </w:p>
        </w:tc>
      </w:tr>
      <w:tr w:rsidR="00294DF8" w:rsidRPr="00FD119B" w:rsidTr="00FD119B">
        <w:tc>
          <w:tcPr>
            <w:tcW w:w="1809" w:type="dxa"/>
          </w:tcPr>
          <w:p w:rsidR="00294DF8" w:rsidRPr="00B30C06" w:rsidRDefault="00294DF8" w:rsidP="00FD119B">
            <w:pPr>
              <w:rPr>
                <w:rFonts w:asciiTheme="minorHAnsi" w:eastAsiaTheme="minorHAnsi" w:hAnsiTheme="minorHAnsi" w:cs="Calibri"/>
              </w:rPr>
            </w:pPr>
            <w:r w:rsidRPr="00C01081">
              <w:t>OR</w:t>
            </w:r>
          </w:p>
        </w:tc>
        <w:tc>
          <w:tcPr>
            <w:tcW w:w="6911" w:type="dxa"/>
          </w:tcPr>
          <w:p w:rsidR="00294DF8" w:rsidRDefault="00294DF8" w:rsidP="00C01081">
            <w:pPr>
              <w:rPr>
                <w:rFonts w:asciiTheme="minorHAnsi" w:eastAsiaTheme="minorHAnsi" w:hAnsiTheme="minorHAnsi" w:cs="Calibri"/>
              </w:rPr>
            </w:pPr>
            <w:r>
              <w:t>Overall response</w:t>
            </w:r>
          </w:p>
        </w:tc>
      </w:tr>
      <w:tr w:rsidR="00294DF8" w:rsidRPr="00FD119B" w:rsidTr="00FD119B">
        <w:tc>
          <w:tcPr>
            <w:tcW w:w="1809" w:type="dxa"/>
          </w:tcPr>
          <w:p w:rsidR="00294DF8" w:rsidRDefault="00294DF8" w:rsidP="00FD119B">
            <w:pPr>
              <w:rPr>
                <w:lang w:eastAsia="ja-JP"/>
              </w:rPr>
            </w:pPr>
            <w:r>
              <w:rPr>
                <w:lang w:eastAsia="ja-JP"/>
              </w:rPr>
              <w:t>OS</w:t>
            </w:r>
          </w:p>
        </w:tc>
        <w:tc>
          <w:tcPr>
            <w:tcW w:w="6911" w:type="dxa"/>
          </w:tcPr>
          <w:p w:rsidR="00294DF8" w:rsidRDefault="00294DF8" w:rsidP="00D61142">
            <w:pPr>
              <w:rPr>
                <w:lang w:eastAsia="ja-JP"/>
              </w:rPr>
            </w:pPr>
            <w:r>
              <w:rPr>
                <w:lang w:eastAsia="ja-JP"/>
              </w:rPr>
              <w:t>Overall survival</w:t>
            </w:r>
          </w:p>
        </w:tc>
      </w:tr>
      <w:tr w:rsidR="00294DF8" w:rsidRPr="00FD119B" w:rsidTr="00FD119B">
        <w:tc>
          <w:tcPr>
            <w:tcW w:w="1809" w:type="dxa"/>
          </w:tcPr>
          <w:p w:rsidR="00294DF8" w:rsidRPr="00B30C06" w:rsidRDefault="00294DF8" w:rsidP="00FD119B">
            <w:pPr>
              <w:rPr>
                <w:rFonts w:asciiTheme="minorHAnsi" w:eastAsiaTheme="minorHAnsi" w:hAnsiTheme="minorHAnsi" w:cs="Calibri"/>
              </w:rPr>
            </w:pPr>
            <w:r>
              <w:rPr>
                <w:rFonts w:asciiTheme="minorHAnsi" w:eastAsiaTheme="minorHAnsi" w:hAnsiTheme="minorHAnsi" w:cs="TimesNewRoman"/>
              </w:rPr>
              <w:t>PD</w:t>
            </w:r>
          </w:p>
        </w:tc>
        <w:tc>
          <w:tcPr>
            <w:tcW w:w="6911" w:type="dxa"/>
          </w:tcPr>
          <w:p w:rsidR="00294DF8" w:rsidRDefault="00294DF8" w:rsidP="00C01081">
            <w:pPr>
              <w:rPr>
                <w:rFonts w:asciiTheme="minorHAnsi" w:eastAsiaTheme="minorHAnsi" w:hAnsiTheme="minorHAnsi" w:cs="Calibri"/>
              </w:rPr>
            </w:pPr>
            <w:proofErr w:type="spellStart"/>
            <w:r>
              <w:rPr>
                <w:rFonts w:asciiTheme="minorHAnsi" w:eastAsiaTheme="minorHAnsi" w:hAnsiTheme="minorHAnsi" w:cs="TimesNewRoman"/>
              </w:rPr>
              <w:t>Pharmacodynamic</w:t>
            </w:r>
            <w:proofErr w:type="spellEnd"/>
            <w:r>
              <w:rPr>
                <w:rFonts w:asciiTheme="minorHAnsi" w:eastAsiaTheme="minorHAnsi" w:hAnsiTheme="minorHAnsi" w:cs="TimesNewRoman"/>
              </w:rPr>
              <w:t>(s)</w:t>
            </w:r>
          </w:p>
        </w:tc>
      </w:tr>
      <w:tr w:rsidR="00294DF8" w:rsidRPr="00FD119B" w:rsidTr="00FD119B">
        <w:tc>
          <w:tcPr>
            <w:tcW w:w="1809" w:type="dxa"/>
          </w:tcPr>
          <w:p w:rsidR="00294DF8" w:rsidRDefault="00294DF8" w:rsidP="00FD119B">
            <w:pPr>
              <w:rPr>
                <w:lang w:eastAsia="ja-JP"/>
              </w:rPr>
            </w:pPr>
            <w:r>
              <w:rPr>
                <w:lang w:eastAsia="ja-JP"/>
              </w:rPr>
              <w:t>PFS</w:t>
            </w:r>
          </w:p>
        </w:tc>
        <w:tc>
          <w:tcPr>
            <w:tcW w:w="6911" w:type="dxa"/>
          </w:tcPr>
          <w:p w:rsidR="00294DF8" w:rsidRDefault="00294DF8" w:rsidP="00D61142">
            <w:pPr>
              <w:rPr>
                <w:lang w:eastAsia="ja-JP"/>
              </w:rPr>
            </w:pPr>
            <w:r>
              <w:rPr>
                <w:lang w:eastAsia="ja-JP"/>
              </w:rPr>
              <w:t>Progression free survival</w:t>
            </w:r>
          </w:p>
        </w:tc>
      </w:tr>
      <w:tr w:rsidR="00294DF8" w:rsidRPr="00FD119B" w:rsidTr="00FD119B">
        <w:tc>
          <w:tcPr>
            <w:tcW w:w="1809" w:type="dxa"/>
          </w:tcPr>
          <w:p w:rsidR="00294DF8" w:rsidRPr="00C00C4E" w:rsidRDefault="00294DF8" w:rsidP="00FD119B">
            <w:pPr>
              <w:rPr>
                <w:rFonts w:asciiTheme="minorHAnsi" w:eastAsiaTheme="minorHAnsi" w:hAnsiTheme="minorHAnsi" w:cs="ArialMT"/>
              </w:rPr>
            </w:pPr>
            <w:r>
              <w:rPr>
                <w:rFonts w:asciiTheme="minorHAnsi" w:eastAsiaTheme="minorHAnsi" w:hAnsiTheme="minorHAnsi" w:cs="ArialMT"/>
              </w:rPr>
              <w:t>PI</w:t>
            </w:r>
          </w:p>
        </w:tc>
        <w:tc>
          <w:tcPr>
            <w:tcW w:w="6911" w:type="dxa"/>
          </w:tcPr>
          <w:p w:rsidR="00294DF8" w:rsidRDefault="00294DF8" w:rsidP="007507F9">
            <w:pPr>
              <w:rPr>
                <w:rFonts w:asciiTheme="minorHAnsi" w:eastAsiaTheme="minorHAnsi" w:hAnsiTheme="minorHAnsi" w:cs="ArialMT"/>
              </w:rPr>
            </w:pPr>
            <w:r>
              <w:rPr>
                <w:rFonts w:asciiTheme="minorHAnsi" w:eastAsiaTheme="minorHAnsi" w:hAnsiTheme="minorHAnsi" w:cs="ArialMT"/>
              </w:rPr>
              <w:t>Product Information</w:t>
            </w:r>
          </w:p>
        </w:tc>
      </w:tr>
      <w:tr w:rsidR="00294DF8" w:rsidRPr="00FD119B" w:rsidTr="00FD119B">
        <w:tc>
          <w:tcPr>
            <w:tcW w:w="1809" w:type="dxa"/>
          </w:tcPr>
          <w:p w:rsidR="00294DF8" w:rsidRDefault="00294DF8" w:rsidP="00FD119B">
            <w:pPr>
              <w:rPr>
                <w:rFonts w:asciiTheme="minorHAnsi" w:eastAsiaTheme="minorHAnsi" w:hAnsiTheme="minorHAnsi" w:cs="ArialMT"/>
              </w:rPr>
            </w:pPr>
            <w:r w:rsidRPr="00381EF8">
              <w:rPr>
                <w:lang w:eastAsia="ja-JP"/>
              </w:rPr>
              <w:t>PK</w:t>
            </w:r>
          </w:p>
        </w:tc>
        <w:tc>
          <w:tcPr>
            <w:tcW w:w="6911" w:type="dxa"/>
          </w:tcPr>
          <w:p w:rsidR="00294DF8" w:rsidRDefault="00294DF8" w:rsidP="0035023C">
            <w:pPr>
              <w:rPr>
                <w:rFonts w:asciiTheme="minorHAnsi" w:eastAsiaTheme="minorHAnsi" w:hAnsiTheme="minorHAnsi" w:cs="ArialMT"/>
              </w:rPr>
            </w:pPr>
            <w:r>
              <w:rPr>
                <w:lang w:eastAsia="ja-JP"/>
              </w:rPr>
              <w:t>Pharmacokinetic(s)</w:t>
            </w:r>
          </w:p>
        </w:tc>
      </w:tr>
      <w:tr w:rsidR="00294DF8" w:rsidRPr="00FD119B" w:rsidTr="00FD119B">
        <w:tc>
          <w:tcPr>
            <w:tcW w:w="1809" w:type="dxa"/>
          </w:tcPr>
          <w:p w:rsidR="00294DF8" w:rsidRPr="00381EF8" w:rsidRDefault="00294DF8" w:rsidP="00FD119B">
            <w:pPr>
              <w:rPr>
                <w:rFonts w:asciiTheme="minorHAnsi" w:eastAsiaTheme="minorHAnsi" w:hAnsiTheme="minorHAnsi" w:cs="Calibri"/>
              </w:rPr>
            </w:pPr>
            <w:proofErr w:type="spellStart"/>
            <w:r w:rsidRPr="006858EE">
              <w:rPr>
                <w:rFonts w:asciiTheme="minorHAnsi" w:eastAsiaTheme="minorHAnsi" w:hAnsiTheme="minorHAnsi" w:cs="TimesNewRoman"/>
              </w:rPr>
              <w:t>popPK</w:t>
            </w:r>
            <w:proofErr w:type="spellEnd"/>
          </w:p>
        </w:tc>
        <w:tc>
          <w:tcPr>
            <w:tcW w:w="6911" w:type="dxa"/>
          </w:tcPr>
          <w:p w:rsidR="00294DF8" w:rsidRDefault="00294DF8" w:rsidP="00863906">
            <w:pPr>
              <w:rPr>
                <w:rFonts w:asciiTheme="minorHAnsi" w:eastAsiaTheme="minorHAnsi" w:hAnsiTheme="minorHAnsi" w:cs="Calibri"/>
              </w:rPr>
            </w:pPr>
            <w:r>
              <w:rPr>
                <w:rFonts w:asciiTheme="minorHAnsi" w:eastAsiaTheme="minorHAnsi" w:hAnsiTheme="minorHAnsi" w:cs="TimesNewRoman"/>
              </w:rPr>
              <w:t>Population pharmacokinetic</w:t>
            </w:r>
            <w:r w:rsidR="007F7DAC">
              <w:rPr>
                <w:rFonts w:asciiTheme="minorHAnsi" w:eastAsiaTheme="minorHAnsi" w:hAnsiTheme="minorHAnsi" w:cs="TimesNewRoman"/>
              </w:rPr>
              <w:t>(s)</w:t>
            </w:r>
          </w:p>
        </w:tc>
      </w:tr>
      <w:tr w:rsidR="00294DF8" w:rsidRPr="00FD119B" w:rsidTr="00FD119B">
        <w:tc>
          <w:tcPr>
            <w:tcW w:w="1809" w:type="dxa"/>
          </w:tcPr>
          <w:p w:rsidR="00294DF8" w:rsidRDefault="00294DF8" w:rsidP="00FD119B">
            <w:pPr>
              <w:rPr>
                <w:lang w:eastAsia="ja-JP"/>
              </w:rPr>
            </w:pPr>
            <w:r>
              <w:rPr>
                <w:lang w:eastAsia="ja-JP"/>
              </w:rPr>
              <w:t>PR</w:t>
            </w:r>
          </w:p>
        </w:tc>
        <w:tc>
          <w:tcPr>
            <w:tcW w:w="6911" w:type="dxa"/>
          </w:tcPr>
          <w:p w:rsidR="00294DF8" w:rsidRDefault="00294DF8" w:rsidP="00D61142">
            <w:pPr>
              <w:rPr>
                <w:lang w:eastAsia="ja-JP"/>
              </w:rPr>
            </w:pPr>
            <w:r>
              <w:rPr>
                <w:lang w:eastAsia="ja-JP"/>
              </w:rPr>
              <w:t>Partial response</w:t>
            </w:r>
          </w:p>
        </w:tc>
      </w:tr>
      <w:tr w:rsidR="00294DF8" w:rsidRPr="00FD119B" w:rsidTr="00FD119B">
        <w:tc>
          <w:tcPr>
            <w:tcW w:w="1809" w:type="dxa"/>
          </w:tcPr>
          <w:p w:rsidR="00294DF8" w:rsidRDefault="00294DF8" w:rsidP="00FD119B">
            <w:pPr>
              <w:rPr>
                <w:rFonts w:asciiTheme="minorHAnsi" w:eastAsiaTheme="minorHAnsi" w:hAnsiTheme="minorHAnsi" w:cs="TimesNewRoman"/>
              </w:rPr>
            </w:pPr>
            <w:r>
              <w:rPr>
                <w:rFonts w:asciiTheme="minorHAnsi" w:eastAsiaTheme="minorHAnsi" w:hAnsiTheme="minorHAnsi" w:cs="TimesNewRoman"/>
              </w:rPr>
              <w:lastRenderedPageBreak/>
              <w:t>PSUR</w:t>
            </w:r>
          </w:p>
        </w:tc>
        <w:tc>
          <w:tcPr>
            <w:tcW w:w="6911" w:type="dxa"/>
          </w:tcPr>
          <w:p w:rsidR="00294DF8" w:rsidRDefault="00294DF8" w:rsidP="00125ECF">
            <w:pPr>
              <w:rPr>
                <w:rFonts w:asciiTheme="minorHAnsi" w:eastAsiaTheme="minorHAnsi" w:hAnsiTheme="minorHAnsi" w:cs="TimesNewRoman"/>
              </w:rPr>
            </w:pPr>
            <w:r>
              <w:rPr>
                <w:rFonts w:asciiTheme="minorHAnsi" w:eastAsiaTheme="minorHAnsi" w:hAnsiTheme="minorHAnsi" w:cs="TimesNewRoman"/>
              </w:rPr>
              <w:t>Periodic safety update report</w:t>
            </w:r>
          </w:p>
        </w:tc>
      </w:tr>
      <w:tr w:rsidR="00294DF8" w:rsidRPr="00FD119B" w:rsidTr="00FD119B">
        <w:tc>
          <w:tcPr>
            <w:tcW w:w="1809" w:type="dxa"/>
          </w:tcPr>
          <w:p w:rsidR="00294DF8" w:rsidRDefault="00294DF8" w:rsidP="00FD119B">
            <w:pPr>
              <w:rPr>
                <w:rFonts w:asciiTheme="minorHAnsi" w:eastAsiaTheme="minorHAnsi" w:hAnsiTheme="minorHAnsi" w:cs="TimesNewRoman"/>
              </w:rPr>
            </w:pPr>
            <w:r>
              <w:rPr>
                <w:rFonts w:asciiTheme="minorHAnsi" w:eastAsiaTheme="minorHAnsi" w:hAnsiTheme="minorHAnsi" w:cs="TimesNewRoman"/>
              </w:rPr>
              <w:t>PT</w:t>
            </w:r>
          </w:p>
        </w:tc>
        <w:tc>
          <w:tcPr>
            <w:tcW w:w="6911" w:type="dxa"/>
          </w:tcPr>
          <w:p w:rsidR="00294DF8" w:rsidRDefault="00294DF8" w:rsidP="00125ECF">
            <w:pPr>
              <w:rPr>
                <w:rFonts w:asciiTheme="minorHAnsi" w:eastAsiaTheme="minorHAnsi" w:hAnsiTheme="minorHAnsi" w:cs="TimesNewRoman"/>
              </w:rPr>
            </w:pPr>
            <w:r>
              <w:rPr>
                <w:rFonts w:asciiTheme="minorHAnsi" w:eastAsiaTheme="minorHAnsi" w:hAnsiTheme="minorHAnsi" w:cs="TimesNewRoman"/>
              </w:rPr>
              <w:t>Preferred Term</w:t>
            </w:r>
          </w:p>
        </w:tc>
      </w:tr>
      <w:tr w:rsidR="00294DF8" w:rsidRPr="00FD119B" w:rsidTr="00FD119B">
        <w:tc>
          <w:tcPr>
            <w:tcW w:w="1809" w:type="dxa"/>
          </w:tcPr>
          <w:p w:rsidR="00294DF8" w:rsidRPr="00B30C06" w:rsidRDefault="00294DF8" w:rsidP="00FD119B">
            <w:pPr>
              <w:rPr>
                <w:rFonts w:asciiTheme="minorHAnsi" w:eastAsiaTheme="minorHAnsi" w:hAnsiTheme="minorHAnsi" w:cs="Calibri"/>
              </w:rPr>
            </w:pPr>
            <w:r w:rsidRPr="00381EF8">
              <w:rPr>
                <w:rFonts w:asciiTheme="minorHAnsi" w:eastAsiaTheme="minorHAnsi" w:hAnsiTheme="minorHAnsi" w:cs="Calibri"/>
              </w:rPr>
              <w:t>PXR</w:t>
            </w:r>
          </w:p>
        </w:tc>
        <w:tc>
          <w:tcPr>
            <w:tcW w:w="6911" w:type="dxa"/>
          </w:tcPr>
          <w:p w:rsidR="00294DF8" w:rsidRDefault="00294DF8" w:rsidP="00863906">
            <w:pPr>
              <w:rPr>
                <w:rFonts w:asciiTheme="minorHAnsi" w:eastAsiaTheme="minorHAnsi" w:hAnsiTheme="minorHAnsi" w:cs="Calibri"/>
              </w:rPr>
            </w:pPr>
            <w:proofErr w:type="spellStart"/>
            <w:r>
              <w:rPr>
                <w:rFonts w:asciiTheme="minorHAnsi" w:eastAsiaTheme="minorHAnsi" w:hAnsiTheme="minorHAnsi" w:cs="Calibri"/>
              </w:rPr>
              <w:t>Pregnane</w:t>
            </w:r>
            <w:proofErr w:type="spellEnd"/>
            <w:r>
              <w:rPr>
                <w:rFonts w:asciiTheme="minorHAnsi" w:eastAsiaTheme="minorHAnsi" w:hAnsiTheme="minorHAnsi" w:cs="Calibri"/>
              </w:rPr>
              <w:t xml:space="preserve"> X </w:t>
            </w:r>
            <w:r w:rsidR="008170A7">
              <w:rPr>
                <w:rFonts w:asciiTheme="minorHAnsi" w:eastAsiaTheme="minorHAnsi" w:hAnsiTheme="minorHAnsi" w:cs="Calibri"/>
              </w:rPr>
              <w:t>r</w:t>
            </w:r>
            <w:r>
              <w:rPr>
                <w:rFonts w:asciiTheme="minorHAnsi" w:eastAsiaTheme="minorHAnsi" w:hAnsiTheme="minorHAnsi" w:cs="Calibri"/>
              </w:rPr>
              <w:t>eceptor</w:t>
            </w:r>
          </w:p>
        </w:tc>
      </w:tr>
      <w:tr w:rsidR="00294DF8" w:rsidRPr="00FD119B" w:rsidTr="00FD119B">
        <w:tc>
          <w:tcPr>
            <w:tcW w:w="1809" w:type="dxa"/>
          </w:tcPr>
          <w:p w:rsidR="00294DF8" w:rsidRDefault="00294DF8" w:rsidP="00FD119B">
            <w:pPr>
              <w:rPr>
                <w:rFonts w:asciiTheme="minorHAnsi" w:eastAsiaTheme="minorHAnsi" w:hAnsiTheme="minorHAnsi" w:cs="ArialMT"/>
              </w:rPr>
            </w:pPr>
            <w:r>
              <w:rPr>
                <w:bCs/>
                <w:lang w:eastAsia="ja-JP"/>
              </w:rPr>
              <w:t>QD</w:t>
            </w:r>
          </w:p>
        </w:tc>
        <w:tc>
          <w:tcPr>
            <w:tcW w:w="6911" w:type="dxa"/>
          </w:tcPr>
          <w:p w:rsidR="00294DF8" w:rsidRDefault="00294DF8" w:rsidP="0035023C">
            <w:pPr>
              <w:rPr>
                <w:rFonts w:asciiTheme="minorHAnsi" w:eastAsiaTheme="minorHAnsi" w:hAnsiTheme="minorHAnsi" w:cs="ArialMT"/>
              </w:rPr>
            </w:pPr>
            <w:r>
              <w:rPr>
                <w:bCs/>
                <w:lang w:eastAsia="ja-JP"/>
              </w:rPr>
              <w:t xml:space="preserve">Once daily, Latin: </w:t>
            </w:r>
            <w:proofErr w:type="spellStart"/>
            <w:r w:rsidRPr="0035023C">
              <w:rPr>
                <w:bCs/>
                <w:i/>
                <w:lang w:eastAsia="ja-JP"/>
              </w:rPr>
              <w:t>quaque</w:t>
            </w:r>
            <w:proofErr w:type="spellEnd"/>
            <w:r w:rsidRPr="0035023C">
              <w:rPr>
                <w:bCs/>
                <w:i/>
                <w:lang w:eastAsia="ja-JP"/>
              </w:rPr>
              <w:t xml:space="preserve"> die</w:t>
            </w:r>
          </w:p>
        </w:tc>
      </w:tr>
      <w:tr w:rsidR="00294DF8" w:rsidRPr="00FD119B" w:rsidTr="00FD119B">
        <w:tc>
          <w:tcPr>
            <w:tcW w:w="1809" w:type="dxa"/>
          </w:tcPr>
          <w:p w:rsidR="00294DF8" w:rsidRPr="006F3FCA" w:rsidRDefault="00294DF8" w:rsidP="00FD119B">
            <w:r w:rsidRPr="00C00C4E">
              <w:rPr>
                <w:rFonts w:asciiTheme="minorHAnsi" w:eastAsiaTheme="minorHAnsi" w:hAnsiTheme="minorHAnsi" w:cs="ArialMT"/>
              </w:rPr>
              <w:t>ROS1</w:t>
            </w:r>
          </w:p>
        </w:tc>
        <w:tc>
          <w:tcPr>
            <w:tcW w:w="6911" w:type="dxa"/>
          </w:tcPr>
          <w:p w:rsidR="00294DF8" w:rsidRDefault="00294DF8" w:rsidP="007507F9">
            <w:r>
              <w:rPr>
                <w:rFonts w:asciiTheme="minorHAnsi" w:eastAsiaTheme="minorHAnsi" w:hAnsiTheme="minorHAnsi" w:cs="ArialMT"/>
              </w:rPr>
              <w:t>c-</w:t>
            </w:r>
            <w:proofErr w:type="spellStart"/>
            <w:r>
              <w:rPr>
                <w:rFonts w:asciiTheme="minorHAnsi" w:eastAsiaTheme="minorHAnsi" w:hAnsiTheme="minorHAnsi" w:cs="ArialMT"/>
              </w:rPr>
              <w:t>ros</w:t>
            </w:r>
            <w:proofErr w:type="spellEnd"/>
            <w:r>
              <w:rPr>
                <w:rFonts w:asciiTheme="minorHAnsi" w:eastAsiaTheme="minorHAnsi" w:hAnsiTheme="minorHAnsi" w:cs="ArialMT"/>
              </w:rPr>
              <w:t xml:space="preserve"> oncogene 1</w:t>
            </w:r>
          </w:p>
        </w:tc>
      </w:tr>
      <w:tr w:rsidR="00294DF8" w:rsidRPr="00FD119B" w:rsidTr="00FD119B">
        <w:tc>
          <w:tcPr>
            <w:tcW w:w="1809" w:type="dxa"/>
          </w:tcPr>
          <w:p w:rsidR="00294DF8" w:rsidRPr="00B30C06" w:rsidRDefault="00294DF8" w:rsidP="00FD119B">
            <w:pPr>
              <w:rPr>
                <w:rFonts w:asciiTheme="minorHAnsi" w:eastAsiaTheme="minorHAnsi" w:hAnsiTheme="minorHAnsi" w:cs="Calibri"/>
              </w:rPr>
            </w:pPr>
            <w:r>
              <w:t>RT-PCR</w:t>
            </w:r>
          </w:p>
        </w:tc>
        <w:tc>
          <w:tcPr>
            <w:tcW w:w="6911" w:type="dxa"/>
          </w:tcPr>
          <w:p w:rsidR="00294DF8" w:rsidRDefault="00294DF8" w:rsidP="00C01081">
            <w:pPr>
              <w:rPr>
                <w:rFonts w:asciiTheme="minorHAnsi" w:eastAsiaTheme="minorHAnsi" w:hAnsiTheme="minorHAnsi" w:cs="Calibri"/>
              </w:rPr>
            </w:pPr>
            <w:r>
              <w:t>R</w:t>
            </w:r>
            <w:r w:rsidRPr="00C01081">
              <w:t>everse transcri</w:t>
            </w:r>
            <w:r>
              <w:t>ption polymerase chain reaction</w:t>
            </w:r>
          </w:p>
        </w:tc>
      </w:tr>
      <w:tr w:rsidR="00294DF8" w:rsidRPr="00FD119B" w:rsidTr="00FD119B">
        <w:tc>
          <w:tcPr>
            <w:tcW w:w="1809" w:type="dxa"/>
          </w:tcPr>
          <w:p w:rsidR="00294DF8" w:rsidRDefault="00294DF8" w:rsidP="00FD119B">
            <w:pPr>
              <w:rPr>
                <w:lang w:eastAsia="ja-JP"/>
              </w:rPr>
            </w:pPr>
            <w:r>
              <w:rPr>
                <w:rFonts w:asciiTheme="minorHAnsi" w:eastAsiaTheme="minorHAnsi" w:hAnsiTheme="minorHAnsi" w:cs="TimesNewRoman"/>
              </w:rPr>
              <w:t>SAE</w:t>
            </w:r>
          </w:p>
        </w:tc>
        <w:tc>
          <w:tcPr>
            <w:tcW w:w="6911" w:type="dxa"/>
          </w:tcPr>
          <w:p w:rsidR="00294DF8" w:rsidRDefault="00294DF8" w:rsidP="00125ECF">
            <w:pPr>
              <w:rPr>
                <w:lang w:eastAsia="ja-JP"/>
              </w:rPr>
            </w:pPr>
            <w:r>
              <w:rPr>
                <w:rFonts w:asciiTheme="minorHAnsi" w:eastAsiaTheme="minorHAnsi" w:hAnsiTheme="minorHAnsi" w:cs="TimesNewRoman"/>
              </w:rPr>
              <w:t>Serious adverse event</w:t>
            </w:r>
          </w:p>
        </w:tc>
      </w:tr>
      <w:tr w:rsidR="00294DF8" w:rsidRPr="00FD119B" w:rsidTr="00FD119B">
        <w:tc>
          <w:tcPr>
            <w:tcW w:w="1809" w:type="dxa"/>
          </w:tcPr>
          <w:p w:rsidR="00294DF8" w:rsidRPr="00FD119B" w:rsidRDefault="00294DF8" w:rsidP="00D674E3">
            <w:pPr>
              <w:rPr>
                <w:color w:val="auto"/>
                <w:szCs w:val="22"/>
                <w:lang w:eastAsia="en-US"/>
              </w:rPr>
            </w:pPr>
            <w:r w:rsidRPr="006F3FCA">
              <w:t>SCLC</w:t>
            </w:r>
          </w:p>
        </w:tc>
        <w:tc>
          <w:tcPr>
            <w:tcW w:w="6911" w:type="dxa"/>
          </w:tcPr>
          <w:p w:rsidR="00294DF8" w:rsidRPr="00FD119B" w:rsidRDefault="00294DF8" w:rsidP="00D674E3">
            <w:pPr>
              <w:rPr>
                <w:color w:val="auto"/>
                <w:szCs w:val="22"/>
                <w:lang w:eastAsia="en-US"/>
              </w:rPr>
            </w:pPr>
            <w:r>
              <w:t>Small cell lung cancer</w:t>
            </w:r>
          </w:p>
        </w:tc>
      </w:tr>
      <w:tr w:rsidR="00294DF8" w:rsidRPr="00FD119B" w:rsidTr="00FD119B">
        <w:tc>
          <w:tcPr>
            <w:tcW w:w="1809" w:type="dxa"/>
          </w:tcPr>
          <w:p w:rsidR="00294DF8" w:rsidRDefault="00294DF8" w:rsidP="00FD119B">
            <w:pPr>
              <w:rPr>
                <w:rFonts w:asciiTheme="minorHAnsi" w:eastAsiaTheme="minorHAnsi" w:hAnsiTheme="minorHAnsi" w:cs="TimesNewRoman"/>
              </w:rPr>
            </w:pPr>
            <w:r>
              <w:t>SMQ</w:t>
            </w:r>
          </w:p>
        </w:tc>
        <w:tc>
          <w:tcPr>
            <w:tcW w:w="6911" w:type="dxa"/>
          </w:tcPr>
          <w:p w:rsidR="00294DF8" w:rsidRDefault="00294DF8" w:rsidP="007F7DAC">
            <w:pPr>
              <w:rPr>
                <w:rFonts w:asciiTheme="minorHAnsi" w:eastAsiaTheme="minorHAnsi" w:hAnsiTheme="minorHAnsi" w:cs="TimesNewRoman"/>
              </w:rPr>
            </w:pPr>
            <w:r>
              <w:t>Standardi</w:t>
            </w:r>
            <w:r w:rsidR="007F7DAC">
              <w:t>s</w:t>
            </w:r>
            <w:r>
              <w:t xml:space="preserve">ed </w:t>
            </w:r>
            <w:proofErr w:type="spellStart"/>
            <w:r w:rsidR="007F7DAC">
              <w:t>MedDRA</w:t>
            </w:r>
            <w:proofErr w:type="spellEnd"/>
            <w:r w:rsidR="007F7DAC">
              <w:t xml:space="preserve"> Queries</w:t>
            </w:r>
          </w:p>
        </w:tc>
      </w:tr>
      <w:tr w:rsidR="00294DF8" w:rsidRPr="00FD119B" w:rsidTr="00FD119B">
        <w:tc>
          <w:tcPr>
            <w:tcW w:w="1809" w:type="dxa"/>
          </w:tcPr>
          <w:p w:rsidR="00294DF8" w:rsidRPr="006F3FCA" w:rsidRDefault="00294DF8" w:rsidP="00FD119B">
            <w:r w:rsidRPr="003652B0">
              <w:rPr>
                <w:lang w:eastAsia="ja-JP"/>
              </w:rPr>
              <w:t>TKIs</w:t>
            </w:r>
          </w:p>
        </w:tc>
        <w:tc>
          <w:tcPr>
            <w:tcW w:w="6911" w:type="dxa"/>
          </w:tcPr>
          <w:p w:rsidR="00294DF8" w:rsidRDefault="00294DF8" w:rsidP="0093092C">
            <w:r>
              <w:rPr>
                <w:lang w:eastAsia="ja-JP"/>
              </w:rPr>
              <w:t>T</w:t>
            </w:r>
            <w:r w:rsidRPr="0093092C">
              <w:rPr>
                <w:lang w:eastAsia="ja-JP"/>
              </w:rPr>
              <w:t>yrosine kinase inhibitor</w:t>
            </w:r>
            <w:r>
              <w:rPr>
                <w:lang w:eastAsia="ja-JP"/>
              </w:rPr>
              <w:t>s</w:t>
            </w:r>
          </w:p>
        </w:tc>
      </w:tr>
      <w:tr w:rsidR="00294DF8" w:rsidRPr="00FD119B" w:rsidTr="00FD119B">
        <w:tc>
          <w:tcPr>
            <w:tcW w:w="1809" w:type="dxa"/>
          </w:tcPr>
          <w:p w:rsidR="00294DF8" w:rsidRDefault="00294DF8" w:rsidP="00FD119B">
            <w:pPr>
              <w:rPr>
                <w:rFonts w:asciiTheme="minorHAnsi" w:eastAsiaTheme="minorHAnsi" w:hAnsiTheme="minorHAnsi" w:cs="ArialMT"/>
              </w:rPr>
            </w:pPr>
            <w:proofErr w:type="spellStart"/>
            <w:r w:rsidRPr="00B30C06">
              <w:rPr>
                <w:rFonts w:asciiTheme="minorHAnsi" w:eastAsiaTheme="minorHAnsi" w:hAnsiTheme="minorHAnsi" w:cs="Calibri"/>
              </w:rPr>
              <w:t>T</w:t>
            </w:r>
            <w:r w:rsidRPr="00B30C06">
              <w:rPr>
                <w:rFonts w:asciiTheme="minorHAnsi" w:eastAsiaTheme="minorHAnsi" w:hAnsiTheme="minorHAnsi" w:cs="Calibri"/>
                <w:vertAlign w:val="subscript"/>
              </w:rPr>
              <w:t>max</w:t>
            </w:r>
            <w:proofErr w:type="spellEnd"/>
          </w:p>
        </w:tc>
        <w:tc>
          <w:tcPr>
            <w:tcW w:w="6911" w:type="dxa"/>
          </w:tcPr>
          <w:p w:rsidR="00294DF8" w:rsidRDefault="00294DF8" w:rsidP="00863906">
            <w:pPr>
              <w:rPr>
                <w:rFonts w:asciiTheme="minorHAnsi" w:eastAsiaTheme="minorHAnsi" w:hAnsiTheme="minorHAnsi" w:cs="ArialMT"/>
              </w:rPr>
            </w:pPr>
            <w:r>
              <w:rPr>
                <w:rFonts w:asciiTheme="minorHAnsi" w:eastAsiaTheme="minorHAnsi" w:hAnsiTheme="minorHAnsi" w:cs="Calibri"/>
              </w:rPr>
              <w:t>Time of maximum plasma concentration</w:t>
            </w:r>
          </w:p>
        </w:tc>
      </w:tr>
      <w:tr w:rsidR="00294DF8" w:rsidRPr="00FD119B" w:rsidTr="00FD119B">
        <w:tc>
          <w:tcPr>
            <w:tcW w:w="1809" w:type="dxa"/>
          </w:tcPr>
          <w:p w:rsidR="00294DF8" w:rsidRDefault="00294DF8" w:rsidP="00FD119B">
            <w:r>
              <w:rPr>
                <w:lang w:eastAsia="ja-JP"/>
              </w:rPr>
              <w:t>TTR</w:t>
            </w:r>
          </w:p>
        </w:tc>
        <w:tc>
          <w:tcPr>
            <w:tcW w:w="6911" w:type="dxa"/>
          </w:tcPr>
          <w:p w:rsidR="00294DF8" w:rsidRDefault="00294DF8" w:rsidP="00D61142">
            <w:r>
              <w:rPr>
                <w:lang w:eastAsia="ja-JP"/>
              </w:rPr>
              <w:t>Time to tumour response</w:t>
            </w:r>
          </w:p>
        </w:tc>
      </w:tr>
      <w:tr w:rsidR="00294DF8" w:rsidRPr="00FD119B" w:rsidTr="00FD119B">
        <w:tc>
          <w:tcPr>
            <w:tcW w:w="1809" w:type="dxa"/>
          </w:tcPr>
          <w:p w:rsidR="00294DF8" w:rsidRPr="00381EF8" w:rsidRDefault="00294DF8" w:rsidP="00FD119B">
            <w:pPr>
              <w:rPr>
                <w:rFonts w:asciiTheme="minorHAnsi" w:eastAsiaTheme="minorHAnsi" w:hAnsiTheme="minorHAnsi" w:cs="Calibri"/>
              </w:rPr>
            </w:pPr>
            <w:r>
              <w:rPr>
                <w:rFonts w:asciiTheme="minorHAnsi" w:eastAsiaTheme="minorHAnsi" w:hAnsiTheme="minorHAnsi" w:cs="Calibri"/>
              </w:rPr>
              <w:t>ULN</w:t>
            </w:r>
          </w:p>
        </w:tc>
        <w:tc>
          <w:tcPr>
            <w:tcW w:w="6911" w:type="dxa"/>
          </w:tcPr>
          <w:p w:rsidR="00294DF8" w:rsidRDefault="00294DF8" w:rsidP="00C01081">
            <w:pPr>
              <w:rPr>
                <w:rFonts w:asciiTheme="minorHAnsi" w:eastAsiaTheme="minorHAnsi" w:hAnsiTheme="minorHAnsi" w:cs="Calibri"/>
              </w:rPr>
            </w:pPr>
            <w:r>
              <w:rPr>
                <w:rFonts w:asciiTheme="minorHAnsi" w:eastAsiaTheme="minorHAnsi" w:hAnsiTheme="minorHAnsi" w:cs="Calibri"/>
              </w:rPr>
              <w:t>Upper limit of normal</w:t>
            </w:r>
          </w:p>
        </w:tc>
      </w:tr>
      <w:tr w:rsidR="00294DF8" w:rsidRPr="00FD119B" w:rsidTr="00FD119B">
        <w:tc>
          <w:tcPr>
            <w:tcW w:w="1809" w:type="dxa"/>
          </w:tcPr>
          <w:p w:rsidR="00294DF8" w:rsidRPr="00C00C4E" w:rsidRDefault="00294DF8" w:rsidP="00FD119B">
            <w:pPr>
              <w:rPr>
                <w:rFonts w:asciiTheme="minorHAnsi" w:eastAsiaTheme="minorHAnsi" w:hAnsiTheme="minorHAnsi" w:cs="ArialMT"/>
              </w:rPr>
            </w:pPr>
            <w:r>
              <w:t>USA</w:t>
            </w:r>
          </w:p>
        </w:tc>
        <w:tc>
          <w:tcPr>
            <w:tcW w:w="6911" w:type="dxa"/>
          </w:tcPr>
          <w:p w:rsidR="00294DF8" w:rsidRDefault="00294DF8" w:rsidP="00D674E3">
            <w:pPr>
              <w:rPr>
                <w:rFonts w:asciiTheme="minorHAnsi" w:eastAsiaTheme="minorHAnsi" w:hAnsiTheme="minorHAnsi" w:cs="ArialMT"/>
              </w:rPr>
            </w:pPr>
            <w:r>
              <w:t>United States of America</w:t>
            </w:r>
          </w:p>
        </w:tc>
      </w:tr>
    </w:tbl>
    <w:p w:rsidR="008E7846" w:rsidRDefault="00F53C07" w:rsidP="009D0CE9">
      <w:pPr>
        <w:pStyle w:val="Heading2"/>
        <w:pageBreakBefore/>
        <w:spacing w:before="0"/>
      </w:pPr>
      <w:bookmarkStart w:id="9" w:name="_Toc33165803"/>
      <w:r>
        <w:lastRenderedPageBreak/>
        <w:t>I.</w:t>
      </w:r>
      <w:r w:rsidR="008E7846">
        <w:t xml:space="preserve"> Introduction to product submission</w:t>
      </w:r>
      <w:bookmarkEnd w:id="9"/>
      <w:bookmarkEnd w:id="3"/>
      <w:bookmarkEnd w:id="1"/>
    </w:p>
    <w:p w:rsidR="008E7846" w:rsidRDefault="008E7846" w:rsidP="008E7846">
      <w:pPr>
        <w:pStyle w:val="Heading3"/>
        <w:rPr>
          <w:lang w:eastAsia="en-AU"/>
        </w:rPr>
      </w:pPr>
      <w:bookmarkStart w:id="10" w:name="_Toc247691502"/>
      <w:bookmarkStart w:id="11" w:name="_Toc314842483"/>
      <w:bookmarkStart w:id="12" w:name="_Toc33165804"/>
      <w:r>
        <w:rPr>
          <w:lang w:eastAsia="en-AU"/>
        </w:rPr>
        <w:t>Submission details</w:t>
      </w:r>
      <w:bookmarkEnd w:id="10"/>
      <w:bookmarkEnd w:id="11"/>
      <w:bookmarkEnd w:id="12"/>
    </w:p>
    <w:tbl>
      <w:tblPr>
        <w:tblW w:w="9214" w:type="dxa"/>
        <w:tblInd w:w="108" w:type="dxa"/>
        <w:tblLook w:val="01E0" w:firstRow="1" w:lastRow="1" w:firstColumn="1" w:lastColumn="1" w:noHBand="0" w:noVBand="0"/>
      </w:tblPr>
      <w:tblGrid>
        <w:gridCol w:w="2907"/>
        <w:gridCol w:w="6307"/>
      </w:tblGrid>
      <w:tr w:rsidR="006364E6" w:rsidRPr="003D1E62" w:rsidTr="003735BC">
        <w:tc>
          <w:tcPr>
            <w:tcW w:w="2907" w:type="dxa"/>
          </w:tcPr>
          <w:p w:rsidR="006364E6" w:rsidRPr="003D1E62" w:rsidRDefault="006364E6" w:rsidP="006364E6">
            <w:pPr>
              <w:rPr>
                <w:i/>
              </w:rPr>
            </w:pPr>
            <w:r>
              <w:rPr>
                <w:i/>
              </w:rPr>
              <w:t>Type of s</w:t>
            </w:r>
            <w:r w:rsidRPr="003D1E62">
              <w:rPr>
                <w:i/>
              </w:rPr>
              <w:t>ubmission</w:t>
            </w:r>
            <w:r>
              <w:rPr>
                <w:i/>
              </w:rPr>
              <w:t>:</w:t>
            </w:r>
          </w:p>
        </w:tc>
        <w:tc>
          <w:tcPr>
            <w:tcW w:w="6307" w:type="dxa"/>
          </w:tcPr>
          <w:p w:rsidR="006364E6" w:rsidRPr="00B01170" w:rsidRDefault="006364E6" w:rsidP="006364E6">
            <w:r w:rsidRPr="00B01170">
              <w:t>New chemical entity</w:t>
            </w:r>
          </w:p>
        </w:tc>
      </w:tr>
      <w:tr w:rsidR="006364E6" w:rsidRPr="003D1E62" w:rsidTr="003735BC">
        <w:tc>
          <w:tcPr>
            <w:tcW w:w="2907" w:type="dxa"/>
          </w:tcPr>
          <w:p w:rsidR="006364E6" w:rsidRPr="003D1E62" w:rsidRDefault="006364E6" w:rsidP="006364E6">
            <w:r w:rsidRPr="003D1E62">
              <w:rPr>
                <w:i/>
              </w:rPr>
              <w:t>Decision</w:t>
            </w:r>
            <w:r w:rsidRPr="003D1E62">
              <w:t>:</w:t>
            </w:r>
          </w:p>
        </w:tc>
        <w:tc>
          <w:tcPr>
            <w:tcW w:w="6307" w:type="dxa"/>
          </w:tcPr>
          <w:p w:rsidR="006364E6" w:rsidRPr="0026109F" w:rsidRDefault="006364E6" w:rsidP="006364E6">
            <w:r w:rsidRPr="0026109F">
              <w:t>Approved for provisional registration</w:t>
            </w:r>
          </w:p>
        </w:tc>
      </w:tr>
      <w:tr w:rsidR="006364E6" w:rsidRPr="003D1E62" w:rsidTr="003735BC">
        <w:tc>
          <w:tcPr>
            <w:tcW w:w="2907" w:type="dxa"/>
          </w:tcPr>
          <w:p w:rsidR="006364E6" w:rsidRPr="003D1E62" w:rsidRDefault="006364E6" w:rsidP="006364E6">
            <w:pPr>
              <w:rPr>
                <w:i/>
              </w:rPr>
            </w:pPr>
            <w:r w:rsidRPr="003D1E62">
              <w:rPr>
                <w:i/>
              </w:rPr>
              <w:t xml:space="preserve">Date of </w:t>
            </w:r>
            <w:r>
              <w:rPr>
                <w:i/>
              </w:rPr>
              <w:t>d</w:t>
            </w:r>
            <w:r w:rsidRPr="003D1E62">
              <w:rPr>
                <w:i/>
              </w:rPr>
              <w:t>ecision:</w:t>
            </w:r>
          </w:p>
        </w:tc>
        <w:tc>
          <w:tcPr>
            <w:tcW w:w="6307" w:type="dxa"/>
          </w:tcPr>
          <w:p w:rsidR="006364E6" w:rsidRPr="0026109F" w:rsidRDefault="006364E6" w:rsidP="006364E6">
            <w:r w:rsidRPr="0026109F">
              <w:t>11 November 2019</w:t>
            </w:r>
          </w:p>
        </w:tc>
      </w:tr>
      <w:tr w:rsidR="006364E6" w:rsidRPr="003D1E62" w:rsidTr="003735BC">
        <w:tc>
          <w:tcPr>
            <w:tcW w:w="2907" w:type="dxa"/>
          </w:tcPr>
          <w:p w:rsidR="006364E6" w:rsidRPr="00441C3F" w:rsidRDefault="006364E6" w:rsidP="006364E6">
            <w:pPr>
              <w:rPr>
                <w:i/>
              </w:rPr>
            </w:pPr>
            <w:r w:rsidRPr="00441C3F">
              <w:rPr>
                <w:i/>
              </w:rPr>
              <w:t>Date of entry onto ARTG</w:t>
            </w:r>
            <w:r>
              <w:rPr>
                <w:i/>
              </w:rPr>
              <w:t>:</w:t>
            </w:r>
          </w:p>
        </w:tc>
        <w:tc>
          <w:tcPr>
            <w:tcW w:w="6307" w:type="dxa"/>
          </w:tcPr>
          <w:p w:rsidR="006364E6" w:rsidRPr="0026109F" w:rsidRDefault="006364E6" w:rsidP="006364E6">
            <w:r w:rsidRPr="0026109F">
              <w:t>19 November 2019</w:t>
            </w:r>
          </w:p>
        </w:tc>
      </w:tr>
      <w:tr w:rsidR="006364E6" w:rsidRPr="003D1E62" w:rsidTr="003735BC">
        <w:tc>
          <w:tcPr>
            <w:tcW w:w="2907" w:type="dxa"/>
          </w:tcPr>
          <w:p w:rsidR="006364E6" w:rsidRPr="00441C3F" w:rsidRDefault="006364E6" w:rsidP="006364E6">
            <w:pPr>
              <w:rPr>
                <w:i/>
              </w:rPr>
            </w:pPr>
            <w:r>
              <w:rPr>
                <w:i/>
              </w:rPr>
              <w:t>ARTG numbers:</w:t>
            </w:r>
          </w:p>
        </w:tc>
        <w:tc>
          <w:tcPr>
            <w:tcW w:w="6307" w:type="dxa"/>
          </w:tcPr>
          <w:p w:rsidR="006364E6" w:rsidRDefault="006364E6" w:rsidP="006364E6">
            <w:r w:rsidRPr="0026109F">
              <w:t>310778, 310779, 310780, 310781</w:t>
            </w:r>
          </w:p>
        </w:tc>
      </w:tr>
      <w:tr w:rsidR="003735BC" w:rsidRPr="003D1E62" w:rsidTr="003735BC">
        <w:tc>
          <w:tcPr>
            <w:tcW w:w="2907" w:type="dxa"/>
          </w:tcPr>
          <w:p w:rsidR="003735BC" w:rsidRDefault="00FA5069" w:rsidP="001B5C90">
            <w:pPr>
              <w:rPr>
                <w:i/>
              </w:rPr>
            </w:pPr>
            <w:r>
              <w:rPr>
                <w:rFonts w:ascii="Wingdings 3" w:hAnsi="Wingdings 3"/>
                <w:sz w:val="34"/>
                <w:szCs w:val="34"/>
                <w:lang w:eastAsia="en-AU"/>
              </w:rPr>
              <w:t></w:t>
            </w:r>
            <w:r w:rsidR="003735BC" w:rsidRPr="003735BC">
              <w:rPr>
                <w:i/>
              </w:rPr>
              <w:t>Black Triangle Scheme</w:t>
            </w:r>
          </w:p>
        </w:tc>
        <w:tc>
          <w:tcPr>
            <w:tcW w:w="6307" w:type="dxa"/>
          </w:tcPr>
          <w:p w:rsidR="006364E6" w:rsidRDefault="006364E6" w:rsidP="006364E6">
            <w:r>
              <w:t>Yes</w:t>
            </w:r>
          </w:p>
          <w:p w:rsidR="003735BC" w:rsidRPr="00487162" w:rsidRDefault="003735BC" w:rsidP="003735BC">
            <w:r>
              <w:t>As a provisionally registered product, this medicine will remain in the Black Triangle Scheme for the duration of its provisional registration</w:t>
            </w:r>
          </w:p>
        </w:tc>
      </w:tr>
    </w:tbl>
    <w:p w:rsidR="008E7846" w:rsidRDefault="008E7846" w:rsidP="008E7846"/>
    <w:tbl>
      <w:tblPr>
        <w:tblW w:w="9214" w:type="dxa"/>
        <w:tblInd w:w="108" w:type="dxa"/>
        <w:tblLook w:val="01E0" w:firstRow="1" w:lastRow="1" w:firstColumn="1" w:lastColumn="1" w:noHBand="0" w:noVBand="0"/>
      </w:tblPr>
      <w:tblGrid>
        <w:gridCol w:w="2907"/>
        <w:gridCol w:w="6307"/>
      </w:tblGrid>
      <w:tr w:rsidR="008E7846" w:rsidRPr="00487162" w:rsidTr="00BF1190">
        <w:tc>
          <w:tcPr>
            <w:tcW w:w="2907" w:type="dxa"/>
          </w:tcPr>
          <w:p w:rsidR="008E7846" w:rsidRPr="00487162" w:rsidRDefault="006364E6" w:rsidP="00E45619">
            <w:pPr>
              <w:rPr>
                <w:i/>
              </w:rPr>
            </w:pPr>
            <w:r>
              <w:rPr>
                <w:i/>
              </w:rPr>
              <w:t>Active ingredient</w:t>
            </w:r>
            <w:r w:rsidR="001B5C90">
              <w:rPr>
                <w:i/>
              </w:rPr>
              <w:t>:</w:t>
            </w:r>
          </w:p>
        </w:tc>
        <w:tc>
          <w:tcPr>
            <w:tcW w:w="6307" w:type="dxa"/>
          </w:tcPr>
          <w:p w:rsidR="008E7846" w:rsidRPr="00487162" w:rsidRDefault="006364E6" w:rsidP="00E55CB0">
            <w:proofErr w:type="spellStart"/>
            <w:r>
              <w:t>L</w:t>
            </w:r>
            <w:r w:rsidRPr="00F30903">
              <w:t>orlatinib</w:t>
            </w:r>
            <w:proofErr w:type="spellEnd"/>
          </w:p>
        </w:tc>
      </w:tr>
      <w:tr w:rsidR="008E7846" w:rsidRPr="00487162" w:rsidTr="00BF1190">
        <w:tc>
          <w:tcPr>
            <w:tcW w:w="2907" w:type="dxa"/>
          </w:tcPr>
          <w:p w:rsidR="008E7846" w:rsidRPr="00487162" w:rsidRDefault="008E7846" w:rsidP="001B5C90">
            <w:pPr>
              <w:rPr>
                <w:i/>
              </w:rPr>
            </w:pPr>
            <w:r w:rsidRPr="00487162">
              <w:rPr>
                <w:i/>
              </w:rPr>
              <w:t>Product</w:t>
            </w:r>
            <w:r w:rsidR="006364E6">
              <w:rPr>
                <w:i/>
              </w:rPr>
              <w:t xml:space="preserve"> name</w:t>
            </w:r>
            <w:r w:rsidR="001B5C90">
              <w:rPr>
                <w:i/>
              </w:rPr>
              <w:t>:</w:t>
            </w:r>
          </w:p>
        </w:tc>
        <w:tc>
          <w:tcPr>
            <w:tcW w:w="6307" w:type="dxa"/>
          </w:tcPr>
          <w:p w:rsidR="008E7846" w:rsidRPr="00487162" w:rsidRDefault="006364E6" w:rsidP="00E45619">
            <w:proofErr w:type="spellStart"/>
            <w:r w:rsidRPr="00F30903">
              <w:t>Lorviqua</w:t>
            </w:r>
            <w:proofErr w:type="spellEnd"/>
          </w:p>
        </w:tc>
      </w:tr>
      <w:tr w:rsidR="008E7846" w:rsidRPr="00487162" w:rsidTr="00BF1190">
        <w:tc>
          <w:tcPr>
            <w:tcW w:w="2907" w:type="dxa"/>
          </w:tcPr>
          <w:p w:rsidR="008E7846" w:rsidRPr="00487162" w:rsidRDefault="008E7846" w:rsidP="001B5C90">
            <w:pPr>
              <w:rPr>
                <w:i/>
              </w:rPr>
            </w:pPr>
            <w:r w:rsidRPr="00487162">
              <w:rPr>
                <w:i/>
              </w:rPr>
              <w:t xml:space="preserve">Sponsor’s </w:t>
            </w:r>
            <w:r w:rsidR="001B5C90">
              <w:rPr>
                <w:i/>
              </w:rPr>
              <w:t>n</w:t>
            </w:r>
            <w:r w:rsidRPr="00487162">
              <w:rPr>
                <w:i/>
              </w:rPr>
              <w:t xml:space="preserve">ame and </w:t>
            </w:r>
            <w:r w:rsidR="001B5C90">
              <w:rPr>
                <w:i/>
              </w:rPr>
              <w:t>a</w:t>
            </w:r>
            <w:r w:rsidRPr="00487162">
              <w:rPr>
                <w:i/>
              </w:rPr>
              <w:t>ddress:</w:t>
            </w:r>
          </w:p>
        </w:tc>
        <w:tc>
          <w:tcPr>
            <w:tcW w:w="6307" w:type="dxa"/>
          </w:tcPr>
          <w:p w:rsidR="006364E6" w:rsidRPr="008E3EA3" w:rsidRDefault="006364E6" w:rsidP="006364E6">
            <w:pPr>
              <w:rPr>
                <w:lang w:val="es-ES"/>
              </w:rPr>
            </w:pPr>
            <w:r w:rsidRPr="008E3EA3">
              <w:rPr>
                <w:lang w:val="es-ES"/>
              </w:rPr>
              <w:t xml:space="preserve">Pfizer Australia </w:t>
            </w:r>
            <w:proofErr w:type="spellStart"/>
            <w:r w:rsidRPr="008E3EA3">
              <w:rPr>
                <w:lang w:val="es-ES"/>
              </w:rPr>
              <w:t>Pty</w:t>
            </w:r>
            <w:proofErr w:type="spellEnd"/>
            <w:r w:rsidRPr="008E3EA3">
              <w:rPr>
                <w:lang w:val="es-ES"/>
              </w:rPr>
              <w:t xml:space="preserve"> </w:t>
            </w:r>
            <w:proofErr w:type="spellStart"/>
            <w:r w:rsidRPr="008E3EA3">
              <w:rPr>
                <w:lang w:val="es-ES"/>
              </w:rPr>
              <w:t>Ltd</w:t>
            </w:r>
            <w:proofErr w:type="spellEnd"/>
          </w:p>
          <w:p w:rsidR="006364E6" w:rsidRDefault="006364E6" w:rsidP="006364E6">
            <w:pPr>
              <w:rPr>
                <w:lang w:val="es-ES"/>
              </w:rPr>
            </w:pPr>
            <w:r>
              <w:rPr>
                <w:lang w:val="es-ES"/>
              </w:rPr>
              <w:t xml:space="preserve">151 </w:t>
            </w:r>
            <w:proofErr w:type="spellStart"/>
            <w:r>
              <w:rPr>
                <w:lang w:val="es-ES"/>
              </w:rPr>
              <w:t>Clarence</w:t>
            </w:r>
            <w:proofErr w:type="spellEnd"/>
            <w:r>
              <w:rPr>
                <w:lang w:val="es-ES"/>
              </w:rPr>
              <w:t xml:space="preserve"> Street</w:t>
            </w:r>
          </w:p>
          <w:p w:rsidR="008E7846" w:rsidRPr="00487162" w:rsidRDefault="006364E6" w:rsidP="006364E6">
            <w:r w:rsidRPr="008E3EA3">
              <w:rPr>
                <w:lang w:val="es-ES"/>
              </w:rPr>
              <w:t>Sydney NSW 2000</w:t>
            </w:r>
          </w:p>
        </w:tc>
      </w:tr>
      <w:tr w:rsidR="006364E6" w:rsidRPr="00487162" w:rsidTr="00BF1190">
        <w:tc>
          <w:tcPr>
            <w:tcW w:w="2907" w:type="dxa"/>
          </w:tcPr>
          <w:p w:rsidR="006364E6" w:rsidRPr="00487162" w:rsidRDefault="006364E6" w:rsidP="006364E6">
            <w:pPr>
              <w:rPr>
                <w:i/>
              </w:rPr>
            </w:pPr>
            <w:r>
              <w:rPr>
                <w:i/>
              </w:rPr>
              <w:t>Dose form:</w:t>
            </w:r>
          </w:p>
        </w:tc>
        <w:tc>
          <w:tcPr>
            <w:tcW w:w="6307" w:type="dxa"/>
          </w:tcPr>
          <w:p w:rsidR="006364E6" w:rsidRPr="00D75678" w:rsidRDefault="006364E6" w:rsidP="006364E6">
            <w:r>
              <w:t>Tablet, film coated</w:t>
            </w:r>
          </w:p>
        </w:tc>
      </w:tr>
      <w:tr w:rsidR="006364E6" w:rsidRPr="00487162" w:rsidTr="00BF1190">
        <w:tc>
          <w:tcPr>
            <w:tcW w:w="2907" w:type="dxa"/>
          </w:tcPr>
          <w:p w:rsidR="006364E6" w:rsidRPr="00487162" w:rsidRDefault="006364E6" w:rsidP="006364E6">
            <w:pPr>
              <w:rPr>
                <w:i/>
              </w:rPr>
            </w:pPr>
            <w:r>
              <w:rPr>
                <w:i/>
              </w:rPr>
              <w:t>Strengths:</w:t>
            </w:r>
          </w:p>
        </w:tc>
        <w:tc>
          <w:tcPr>
            <w:tcW w:w="6307" w:type="dxa"/>
          </w:tcPr>
          <w:p w:rsidR="006364E6" w:rsidRPr="00D75678" w:rsidRDefault="006364E6" w:rsidP="006364E6">
            <w:r w:rsidRPr="00F30903">
              <w:t>25 mg and 100 mg</w:t>
            </w:r>
          </w:p>
        </w:tc>
      </w:tr>
      <w:tr w:rsidR="006364E6" w:rsidRPr="00487162" w:rsidTr="00BF1190">
        <w:tc>
          <w:tcPr>
            <w:tcW w:w="2907" w:type="dxa"/>
          </w:tcPr>
          <w:p w:rsidR="006364E6" w:rsidRPr="00487162" w:rsidRDefault="006364E6" w:rsidP="006364E6">
            <w:pPr>
              <w:rPr>
                <w:i/>
              </w:rPr>
            </w:pPr>
            <w:r>
              <w:rPr>
                <w:i/>
              </w:rPr>
              <w:t>Containers</w:t>
            </w:r>
            <w:r w:rsidRPr="00487162">
              <w:rPr>
                <w:i/>
              </w:rPr>
              <w:t>:</w:t>
            </w:r>
          </w:p>
        </w:tc>
        <w:tc>
          <w:tcPr>
            <w:tcW w:w="6307" w:type="dxa"/>
          </w:tcPr>
          <w:p w:rsidR="006364E6" w:rsidRPr="003A4BF7" w:rsidRDefault="006364E6" w:rsidP="006364E6">
            <w:r w:rsidRPr="003A4BF7">
              <w:t>Blister pack and bottle (for both strengths)</w:t>
            </w:r>
          </w:p>
        </w:tc>
      </w:tr>
      <w:tr w:rsidR="006364E6" w:rsidRPr="00487162" w:rsidTr="00BF1190">
        <w:tc>
          <w:tcPr>
            <w:tcW w:w="2907" w:type="dxa"/>
          </w:tcPr>
          <w:p w:rsidR="006364E6" w:rsidRPr="00487162" w:rsidRDefault="006364E6" w:rsidP="006364E6">
            <w:pPr>
              <w:rPr>
                <w:i/>
              </w:rPr>
            </w:pPr>
            <w:r>
              <w:rPr>
                <w:i/>
              </w:rPr>
              <w:t>Pack sizes</w:t>
            </w:r>
            <w:r w:rsidRPr="00487162">
              <w:rPr>
                <w:i/>
              </w:rPr>
              <w:t>:</w:t>
            </w:r>
          </w:p>
        </w:tc>
        <w:tc>
          <w:tcPr>
            <w:tcW w:w="6307" w:type="dxa"/>
          </w:tcPr>
          <w:p w:rsidR="006364E6" w:rsidRPr="00FF74C9" w:rsidRDefault="006364E6" w:rsidP="006364E6">
            <w:r w:rsidRPr="00FF74C9">
              <w:t>Blister pack:</w:t>
            </w:r>
          </w:p>
          <w:p w:rsidR="006364E6" w:rsidRPr="00FF74C9" w:rsidRDefault="006364E6" w:rsidP="006364E6">
            <w:pPr>
              <w:pStyle w:val="ListBullet"/>
              <w:numPr>
                <w:ilvl w:val="0"/>
                <w:numId w:val="3"/>
              </w:numPr>
              <w:spacing w:after="180"/>
            </w:pPr>
            <w:r w:rsidRPr="00FF74C9">
              <w:t>25 mg: 9 blister strips of 10 tablet</w:t>
            </w:r>
            <w:r>
              <w:t>s</w:t>
            </w:r>
            <w:r w:rsidRPr="00FF74C9">
              <w:t xml:space="preserve"> (90 tablets) per carton or 12 blister strips of 10 tablet</w:t>
            </w:r>
            <w:r>
              <w:t>s</w:t>
            </w:r>
            <w:r w:rsidRPr="00FF74C9">
              <w:t xml:space="preserve"> (120 tablets) per carton.</w:t>
            </w:r>
          </w:p>
          <w:p w:rsidR="006364E6" w:rsidRPr="00FF74C9" w:rsidRDefault="006364E6" w:rsidP="006364E6">
            <w:pPr>
              <w:pStyle w:val="ListBullet"/>
              <w:numPr>
                <w:ilvl w:val="0"/>
                <w:numId w:val="3"/>
              </w:numPr>
              <w:spacing w:after="180"/>
            </w:pPr>
            <w:r w:rsidRPr="00FF74C9">
              <w:t>100 mg: 3 blister strips (30 tablets) per carton.</w:t>
            </w:r>
          </w:p>
          <w:p w:rsidR="006364E6" w:rsidRPr="00FF74C9" w:rsidRDefault="006364E6" w:rsidP="006364E6">
            <w:r w:rsidRPr="00FF74C9">
              <w:t>Each bottle contains 30 tablets.</w:t>
            </w:r>
          </w:p>
        </w:tc>
      </w:tr>
      <w:tr w:rsidR="008E7846" w:rsidRPr="00487162" w:rsidTr="00BF1190">
        <w:tc>
          <w:tcPr>
            <w:tcW w:w="2907" w:type="dxa"/>
          </w:tcPr>
          <w:p w:rsidR="008E7846" w:rsidRPr="00487162" w:rsidRDefault="008E7846" w:rsidP="001B5C90">
            <w:pPr>
              <w:rPr>
                <w:i/>
              </w:rPr>
            </w:pPr>
            <w:r w:rsidRPr="00487162">
              <w:rPr>
                <w:i/>
              </w:rPr>
              <w:t xml:space="preserve">Approved </w:t>
            </w:r>
            <w:r w:rsidR="001B5C90">
              <w:rPr>
                <w:i/>
              </w:rPr>
              <w:t>t</w:t>
            </w:r>
            <w:r w:rsidRPr="00487162">
              <w:rPr>
                <w:i/>
              </w:rPr>
              <w:t>herapeutic use:</w:t>
            </w:r>
          </w:p>
        </w:tc>
        <w:tc>
          <w:tcPr>
            <w:tcW w:w="6307" w:type="dxa"/>
          </w:tcPr>
          <w:p w:rsidR="006364E6" w:rsidRPr="003A4BF7" w:rsidRDefault="006364E6" w:rsidP="006364E6">
            <w:pPr>
              <w:rPr>
                <w:i/>
              </w:rPr>
            </w:pPr>
            <w:proofErr w:type="spellStart"/>
            <w:r w:rsidRPr="003A4BF7">
              <w:rPr>
                <w:i/>
              </w:rPr>
              <w:t>Lorviqua</w:t>
            </w:r>
            <w:proofErr w:type="spellEnd"/>
            <w:r w:rsidRPr="003A4BF7">
              <w:rPr>
                <w:i/>
              </w:rPr>
              <w:t xml:space="preserve"> has </w:t>
            </w:r>
            <w:r w:rsidRPr="003A4BF7">
              <w:rPr>
                <w:b/>
                <w:i/>
              </w:rPr>
              <w:t>provisional approval</w:t>
            </w:r>
            <w:r w:rsidRPr="003A4BF7">
              <w:rPr>
                <w:i/>
              </w:rPr>
              <w:t xml:space="preserve"> in Australia for the treatment of patients with anaplastic lymphoma kinase (ALK) positive advanced </w:t>
            </w:r>
            <w:proofErr w:type="spellStart"/>
            <w:r w:rsidRPr="003A4BF7">
              <w:rPr>
                <w:i/>
              </w:rPr>
              <w:t>non small</w:t>
            </w:r>
            <w:proofErr w:type="spellEnd"/>
            <w:r w:rsidRPr="003A4BF7">
              <w:rPr>
                <w:i/>
              </w:rPr>
              <w:t xml:space="preserve"> cell lung cancer (NSCLC) whose disease has progressed on:</w:t>
            </w:r>
          </w:p>
          <w:p w:rsidR="006364E6" w:rsidRPr="003A4BF7" w:rsidRDefault="006364E6" w:rsidP="006364E6">
            <w:pPr>
              <w:pStyle w:val="ListBullet"/>
              <w:rPr>
                <w:i/>
              </w:rPr>
            </w:pPr>
            <w:proofErr w:type="spellStart"/>
            <w:r w:rsidRPr="003A4BF7">
              <w:rPr>
                <w:i/>
              </w:rPr>
              <w:t>Crizotinib</w:t>
            </w:r>
            <w:proofErr w:type="spellEnd"/>
            <w:r w:rsidRPr="003A4BF7">
              <w:rPr>
                <w:i/>
              </w:rPr>
              <w:t xml:space="preserve"> and at least one other ALK inhibitor; or</w:t>
            </w:r>
          </w:p>
          <w:p w:rsidR="006364E6" w:rsidRPr="003A4BF7" w:rsidRDefault="006364E6" w:rsidP="006364E6">
            <w:pPr>
              <w:pStyle w:val="ListBullet"/>
              <w:rPr>
                <w:i/>
              </w:rPr>
            </w:pPr>
            <w:proofErr w:type="spellStart"/>
            <w:r w:rsidRPr="003A4BF7">
              <w:rPr>
                <w:i/>
              </w:rPr>
              <w:t>Alectinib</w:t>
            </w:r>
            <w:proofErr w:type="spellEnd"/>
            <w:r w:rsidRPr="003A4BF7">
              <w:rPr>
                <w:i/>
              </w:rPr>
              <w:t xml:space="preserve"> as the first ALK inhibitor therapy; or</w:t>
            </w:r>
          </w:p>
          <w:p w:rsidR="006364E6" w:rsidRPr="003A4BF7" w:rsidRDefault="006364E6" w:rsidP="006364E6">
            <w:pPr>
              <w:pStyle w:val="ListBullet"/>
              <w:rPr>
                <w:i/>
              </w:rPr>
            </w:pPr>
            <w:proofErr w:type="spellStart"/>
            <w:r w:rsidRPr="003A4BF7">
              <w:rPr>
                <w:i/>
              </w:rPr>
              <w:t>Ceritinib</w:t>
            </w:r>
            <w:proofErr w:type="spellEnd"/>
            <w:r w:rsidRPr="003A4BF7">
              <w:rPr>
                <w:i/>
              </w:rPr>
              <w:t xml:space="preserve"> as the first ALK inhibitor therapy.</w:t>
            </w:r>
          </w:p>
          <w:p w:rsidR="008E7846" w:rsidRPr="00C528EE" w:rsidRDefault="006364E6" w:rsidP="00E45619">
            <w:pPr>
              <w:rPr>
                <w:i/>
              </w:rPr>
            </w:pPr>
            <w:r w:rsidRPr="003A4BF7">
              <w:rPr>
                <w:i/>
              </w:rPr>
              <w:t xml:space="preserve">The decision to approve this indication has been made </w:t>
            </w:r>
            <w:proofErr w:type="gramStart"/>
            <w:r w:rsidRPr="003A4BF7">
              <w:rPr>
                <w:i/>
              </w:rPr>
              <w:t xml:space="preserve">on the basis </w:t>
            </w:r>
            <w:r w:rsidRPr="003A4BF7">
              <w:rPr>
                <w:i/>
              </w:rPr>
              <w:lastRenderedPageBreak/>
              <w:t>of</w:t>
            </w:r>
            <w:proofErr w:type="gramEnd"/>
            <w:r w:rsidRPr="003A4BF7">
              <w:rPr>
                <w:i/>
              </w:rPr>
              <w:t xml:space="preserve"> tumour response rate and duration of response in a single arm study. Continued approval of this indication depends on verification and description of benefit in a confirmatory trial.</w:t>
            </w:r>
          </w:p>
        </w:tc>
      </w:tr>
      <w:tr w:rsidR="006364E6" w:rsidRPr="00487162" w:rsidTr="00BF1190">
        <w:tc>
          <w:tcPr>
            <w:tcW w:w="2907" w:type="dxa"/>
          </w:tcPr>
          <w:p w:rsidR="006364E6" w:rsidRPr="00487162" w:rsidRDefault="006364E6" w:rsidP="006364E6">
            <w:pPr>
              <w:rPr>
                <w:i/>
              </w:rPr>
            </w:pPr>
            <w:r>
              <w:rPr>
                <w:i/>
              </w:rPr>
              <w:lastRenderedPageBreak/>
              <w:t>Route</w:t>
            </w:r>
            <w:r w:rsidRPr="00487162">
              <w:rPr>
                <w:i/>
              </w:rPr>
              <w:t xml:space="preserve"> of administration:</w:t>
            </w:r>
          </w:p>
        </w:tc>
        <w:tc>
          <w:tcPr>
            <w:tcW w:w="6307" w:type="dxa"/>
          </w:tcPr>
          <w:p w:rsidR="006364E6" w:rsidRPr="00FF74C9" w:rsidRDefault="006364E6" w:rsidP="006364E6">
            <w:r w:rsidRPr="00FF74C9">
              <w:t>Oral</w:t>
            </w:r>
          </w:p>
        </w:tc>
      </w:tr>
      <w:tr w:rsidR="006364E6" w:rsidRPr="00487162" w:rsidTr="00BF1190">
        <w:tc>
          <w:tcPr>
            <w:tcW w:w="2907" w:type="dxa"/>
          </w:tcPr>
          <w:p w:rsidR="006364E6" w:rsidRPr="00487162" w:rsidRDefault="006364E6" w:rsidP="006364E6">
            <w:pPr>
              <w:rPr>
                <w:i/>
              </w:rPr>
            </w:pPr>
            <w:r w:rsidRPr="00487162">
              <w:rPr>
                <w:i/>
              </w:rPr>
              <w:t>Dosage:</w:t>
            </w:r>
          </w:p>
        </w:tc>
        <w:tc>
          <w:tcPr>
            <w:tcW w:w="6307" w:type="dxa"/>
          </w:tcPr>
          <w:p w:rsidR="006364E6" w:rsidRPr="00FF74C9" w:rsidRDefault="006364E6" w:rsidP="006364E6">
            <w:r w:rsidRPr="00FF74C9">
              <w:t xml:space="preserve">The recommended dose of </w:t>
            </w:r>
            <w:proofErr w:type="spellStart"/>
            <w:r w:rsidRPr="00FF74C9">
              <w:t>Lorviqua</w:t>
            </w:r>
            <w:proofErr w:type="spellEnd"/>
            <w:r w:rsidRPr="00FF74C9">
              <w:t xml:space="preserve"> is 100 mg taken orally once daily. Continue treatment for as long as the patient is deriving clinical benefit from therapy.</w:t>
            </w:r>
          </w:p>
          <w:p w:rsidR="006364E6" w:rsidRPr="00D75678" w:rsidRDefault="006364E6" w:rsidP="006364E6">
            <w:r w:rsidRPr="007473D5">
              <w:t xml:space="preserve">For further </w:t>
            </w:r>
            <w:proofErr w:type="gramStart"/>
            <w:r w:rsidRPr="007473D5">
              <w:t>information</w:t>
            </w:r>
            <w:proofErr w:type="gramEnd"/>
            <w:r w:rsidRPr="007473D5">
              <w:t xml:space="preserve"> refer to the Product Information.</w:t>
            </w:r>
          </w:p>
        </w:tc>
      </w:tr>
    </w:tbl>
    <w:p w:rsidR="008E7846" w:rsidRDefault="008E7846" w:rsidP="001C63BA">
      <w:pPr>
        <w:pStyle w:val="Heading3"/>
      </w:pPr>
      <w:bookmarkStart w:id="13" w:name="_Toc247691503"/>
      <w:bookmarkStart w:id="14" w:name="_Toc314842484"/>
      <w:bookmarkStart w:id="15" w:name="_Toc33165805"/>
      <w:r>
        <w:t>Product background</w:t>
      </w:r>
      <w:bookmarkEnd w:id="13"/>
      <w:bookmarkEnd w:id="14"/>
      <w:bookmarkEnd w:id="15"/>
    </w:p>
    <w:p w:rsidR="008E7846" w:rsidRDefault="00940A89" w:rsidP="00940A89">
      <w:r w:rsidRPr="00940A89">
        <w:t xml:space="preserve">This </w:t>
      </w:r>
      <w:proofErr w:type="spellStart"/>
      <w:r w:rsidRPr="00940A89">
        <w:t>AusPAR</w:t>
      </w:r>
      <w:proofErr w:type="spellEnd"/>
      <w:r w:rsidRPr="00940A89">
        <w:t xml:space="preserve"> describes the application by </w:t>
      </w:r>
      <w:r w:rsidR="00C528EE" w:rsidRPr="008E3EA3">
        <w:rPr>
          <w:lang w:val="es-ES"/>
        </w:rPr>
        <w:t xml:space="preserve">Pfizer Australia </w:t>
      </w:r>
      <w:proofErr w:type="spellStart"/>
      <w:r w:rsidR="00C528EE" w:rsidRPr="008E3EA3">
        <w:rPr>
          <w:lang w:val="es-ES"/>
        </w:rPr>
        <w:t>Pty</w:t>
      </w:r>
      <w:proofErr w:type="spellEnd"/>
      <w:r w:rsidR="00C528EE" w:rsidRPr="008E3EA3">
        <w:rPr>
          <w:lang w:val="es-ES"/>
        </w:rPr>
        <w:t xml:space="preserve"> </w:t>
      </w:r>
      <w:proofErr w:type="spellStart"/>
      <w:r w:rsidR="00C528EE" w:rsidRPr="008E3EA3">
        <w:rPr>
          <w:lang w:val="es-ES"/>
        </w:rPr>
        <w:t>Ltd</w:t>
      </w:r>
      <w:proofErr w:type="spellEnd"/>
      <w:r w:rsidR="00C528EE" w:rsidRPr="00940A89">
        <w:t xml:space="preserve"> </w:t>
      </w:r>
      <w:r w:rsidR="00C528EE">
        <w:t>(</w:t>
      </w:r>
      <w:r w:rsidRPr="00940A89">
        <w:t>the sponsor</w:t>
      </w:r>
      <w:r w:rsidR="00C528EE">
        <w:t>)</w:t>
      </w:r>
      <w:r w:rsidRPr="00940A89">
        <w:t xml:space="preserve"> to register </w:t>
      </w:r>
      <w:proofErr w:type="spellStart"/>
      <w:r w:rsidR="00C528EE" w:rsidRPr="003A4BF7">
        <w:rPr>
          <w:rFonts w:eastAsia="Calibri"/>
        </w:rPr>
        <w:t>Lorviqua</w:t>
      </w:r>
      <w:proofErr w:type="spellEnd"/>
      <w:r w:rsidR="00C528EE">
        <w:rPr>
          <w:rFonts w:eastAsia="Calibri"/>
        </w:rPr>
        <w:t xml:space="preserve"> (</w:t>
      </w:r>
      <w:proofErr w:type="spellStart"/>
      <w:r w:rsidR="00C528EE" w:rsidRPr="003A4BF7">
        <w:rPr>
          <w:rFonts w:eastAsia="Calibri"/>
        </w:rPr>
        <w:t>lorlatinib</w:t>
      </w:r>
      <w:proofErr w:type="spellEnd"/>
      <w:r w:rsidR="00C528EE">
        <w:rPr>
          <w:rFonts w:eastAsia="Calibri"/>
        </w:rPr>
        <w:t>) 25 mg and 100 mg film coated tablets</w:t>
      </w:r>
      <w:r w:rsidRPr="00940A89">
        <w:t xml:space="preserve"> f</w:t>
      </w:r>
      <w:r w:rsidR="00C528EE">
        <w:t>or the following proposed indication:</w:t>
      </w:r>
    </w:p>
    <w:p w:rsidR="00C528EE" w:rsidRPr="00C528EE" w:rsidRDefault="00C528EE" w:rsidP="00C528EE">
      <w:pPr>
        <w:ind w:left="720"/>
        <w:rPr>
          <w:i/>
        </w:rPr>
      </w:pPr>
      <w:proofErr w:type="spellStart"/>
      <w:r w:rsidRPr="00C528EE">
        <w:rPr>
          <w:i/>
        </w:rPr>
        <w:t>Lorviqua</w:t>
      </w:r>
      <w:proofErr w:type="spellEnd"/>
      <w:r w:rsidRPr="00C528EE">
        <w:rPr>
          <w:i/>
        </w:rPr>
        <w:t xml:space="preserve"> </w:t>
      </w:r>
      <w:proofErr w:type="gramStart"/>
      <w:r w:rsidRPr="00C528EE">
        <w:rPr>
          <w:i/>
        </w:rPr>
        <w:t>is indicated</w:t>
      </w:r>
      <w:proofErr w:type="gramEnd"/>
      <w:r w:rsidRPr="00C528EE">
        <w:rPr>
          <w:i/>
        </w:rPr>
        <w:t xml:space="preserve"> for the treatment of patients with anaplastic lymphoma kinase (ALK) positive advanced non-small cell lung cancer (NSCLC) previously treated with one or more ALK tyrosine kinase inhibitors (TKIs).</w:t>
      </w:r>
    </w:p>
    <w:p w:rsidR="003D3BDB" w:rsidRPr="006F3FCA" w:rsidRDefault="003D3BDB" w:rsidP="003D3BDB">
      <w:r w:rsidRPr="006F3FCA">
        <w:t>Lung cancer has the highest mortality rates of any cancer in Austral</w:t>
      </w:r>
      <w:r w:rsidR="00BB78F7">
        <w:t xml:space="preserve">ia. It has one of the poorest </w:t>
      </w:r>
      <w:r w:rsidR="0093092C">
        <w:t>5-year</w:t>
      </w:r>
      <w:r w:rsidRPr="006F3FCA">
        <w:t xml:space="preserve"> survival rates (approximately 14%) for any cancer in Australia, second only to pancreatic cancer.</w:t>
      </w:r>
    </w:p>
    <w:p w:rsidR="003D3BDB" w:rsidRDefault="003D3BDB" w:rsidP="0093092C">
      <w:pPr>
        <w:autoSpaceDE w:val="0"/>
        <w:autoSpaceDN w:val="0"/>
      </w:pPr>
      <w:r w:rsidRPr="006F3FCA">
        <w:t>The two major types of lung cancer are small cell lung cancer (SCLC) and non-small</w:t>
      </w:r>
      <w:r w:rsidR="00BB78F7">
        <w:t xml:space="preserve"> cell lung cancer (NSCLC; approximately</w:t>
      </w:r>
      <w:r>
        <w:t xml:space="preserve"> </w:t>
      </w:r>
      <w:r w:rsidRPr="006F3FCA">
        <w:t>81% of lung cancers).</w:t>
      </w:r>
      <w:r>
        <w:t xml:space="preserve"> </w:t>
      </w:r>
      <w:r w:rsidRPr="006F3FCA">
        <w:t xml:space="preserve">At the time </w:t>
      </w:r>
      <w:r w:rsidR="00BB78F7">
        <w:t xml:space="preserve">of diagnosis, approximately 50% to </w:t>
      </w:r>
      <w:r w:rsidRPr="006F3FCA">
        <w:t>70% of patients with NSCLC have advanced disease (</w:t>
      </w:r>
      <w:r w:rsidR="0093092C">
        <w:t xml:space="preserve">Stage </w:t>
      </w:r>
      <w:proofErr w:type="spellStart"/>
      <w:r w:rsidRPr="006F3FCA">
        <w:t>IIIb</w:t>
      </w:r>
      <w:proofErr w:type="spellEnd"/>
      <w:r w:rsidRPr="006F3FCA">
        <w:t xml:space="preserve">, IV) that is not amenable to surgical resection. The current </w:t>
      </w:r>
      <w:r w:rsidR="0093092C" w:rsidRPr="006F3FCA">
        <w:t>5-year</w:t>
      </w:r>
      <w:r w:rsidRPr="006F3FCA">
        <w:t xml:space="preserve"> survival for </w:t>
      </w:r>
      <w:proofErr w:type="spellStart"/>
      <w:r w:rsidRPr="006F3FCA">
        <w:t>unresectable</w:t>
      </w:r>
      <w:proofErr w:type="spellEnd"/>
      <w:r w:rsidRPr="006F3FCA">
        <w:t xml:space="preserve"> NSCLC is approximately 5%</w:t>
      </w:r>
      <w:r>
        <w:t>.</w:t>
      </w:r>
      <w:r w:rsidR="0093092C">
        <w:t xml:space="preserve"> </w:t>
      </w:r>
      <w:r w:rsidRPr="006F3FCA">
        <w:t xml:space="preserve">Treatment of advanced NSCLC aims to prolong survival and maintain quality of life, </w:t>
      </w:r>
      <w:r w:rsidR="0093092C">
        <w:t xml:space="preserve">while minimising side effects. </w:t>
      </w:r>
      <w:r w:rsidRPr="006F3FCA">
        <w:t>Almost all patients with advanced NSCLC eventually develop progressive disease.</w:t>
      </w:r>
    </w:p>
    <w:p w:rsidR="003D3BDB" w:rsidRPr="006F3FCA" w:rsidRDefault="0093092C" w:rsidP="001C63BA">
      <w:r w:rsidRPr="0093092C">
        <w:t>Anaplastic lymphoma kinase</w:t>
      </w:r>
      <w:r>
        <w:t xml:space="preserve"> (</w:t>
      </w:r>
      <w:r w:rsidR="003D3BDB" w:rsidRPr="006F3FCA">
        <w:t>ALK</w:t>
      </w:r>
      <w:r>
        <w:t>)</w:t>
      </w:r>
      <w:r w:rsidR="003D3BDB" w:rsidRPr="006F3FCA">
        <w:t xml:space="preserve"> gene rearrangement</w:t>
      </w:r>
      <w:r w:rsidR="003D3BDB">
        <w:t xml:space="preserve">s </w:t>
      </w:r>
      <w:proofErr w:type="gramStart"/>
      <w:r w:rsidR="003D3BDB">
        <w:t>are</w:t>
      </w:r>
      <w:r>
        <w:t xml:space="preserve"> found</w:t>
      </w:r>
      <w:proofErr w:type="gramEnd"/>
      <w:r>
        <w:t xml:space="preserve"> in approximately 4 to </w:t>
      </w:r>
      <w:r w:rsidR="003D3BDB" w:rsidRPr="006F3FCA">
        <w:t>5% of all patients with NSCLC</w:t>
      </w:r>
      <w:r w:rsidR="003D3BDB">
        <w:t>,</w:t>
      </w:r>
      <w:r w:rsidR="003D3BDB" w:rsidRPr="006F3FCA">
        <w:t xml:space="preserve"> but </w:t>
      </w:r>
      <w:r w:rsidR="003D3BDB">
        <w:t xml:space="preserve">are more common in non-smokers or </w:t>
      </w:r>
      <w:r w:rsidR="003D3BDB" w:rsidRPr="006F3FCA">
        <w:t xml:space="preserve">light smokers with adenocarcinoma. </w:t>
      </w:r>
      <w:r w:rsidR="003D3BDB">
        <w:t>The vast majority of lung cancers with an ALK rear</w:t>
      </w:r>
      <w:r>
        <w:t xml:space="preserve">rangement are adenocarcinomas. </w:t>
      </w:r>
      <w:r w:rsidR="003D3BDB" w:rsidRPr="006F3FCA">
        <w:t xml:space="preserve">ALK gene rearrangements </w:t>
      </w:r>
      <w:proofErr w:type="gramStart"/>
      <w:r w:rsidR="003D3BDB" w:rsidRPr="006F3FCA">
        <w:t>can be detected</w:t>
      </w:r>
      <w:proofErr w:type="gramEnd"/>
      <w:r w:rsidR="003D3BDB" w:rsidRPr="006F3FCA">
        <w:t xml:space="preserve"> by </w:t>
      </w:r>
      <w:r w:rsidR="003D3BDB">
        <w:t>various laboratory</w:t>
      </w:r>
      <w:r w:rsidR="003D3BDB" w:rsidRPr="006F3FCA">
        <w:t xml:space="preserve"> </w:t>
      </w:r>
      <w:r w:rsidR="003D3BDB">
        <w:t>techniques, including fl</w:t>
      </w:r>
      <w:r w:rsidR="003D3BDB" w:rsidRPr="006F3FCA">
        <w:t>uorescenc</w:t>
      </w:r>
      <w:r w:rsidR="003D3BDB">
        <w:t>e in situ hybridisation (FISH), i</w:t>
      </w:r>
      <w:r w:rsidR="003D3BDB" w:rsidRPr="006F3FCA">
        <w:t>mmunohistochemistry (IHC)</w:t>
      </w:r>
      <w:r w:rsidR="003D3BDB">
        <w:t xml:space="preserve"> and gene</w:t>
      </w:r>
      <w:r w:rsidR="003D3BDB" w:rsidRPr="006F3FCA">
        <w:t xml:space="preserve"> sequencing</w:t>
      </w:r>
      <w:r w:rsidR="003D3BDB">
        <w:t xml:space="preserve"> techniques.</w:t>
      </w:r>
    </w:p>
    <w:p w:rsidR="003D3BDB" w:rsidRPr="0093092C" w:rsidRDefault="003D3BDB" w:rsidP="0093092C">
      <w:r w:rsidRPr="0093092C">
        <w:rPr>
          <w:lang w:eastAsia="ja-JP"/>
        </w:rPr>
        <w:t xml:space="preserve">Treatment with an ALK inhibitor </w:t>
      </w:r>
      <w:proofErr w:type="gramStart"/>
      <w:r w:rsidRPr="0093092C">
        <w:rPr>
          <w:lang w:eastAsia="ja-JP"/>
        </w:rPr>
        <w:t>is recommended</w:t>
      </w:r>
      <w:proofErr w:type="gramEnd"/>
      <w:r w:rsidRPr="0093092C">
        <w:rPr>
          <w:lang w:eastAsia="ja-JP"/>
        </w:rPr>
        <w:t xml:space="preserve"> as first line therapy for pati</w:t>
      </w:r>
      <w:r w:rsidR="0093092C" w:rsidRPr="0093092C">
        <w:rPr>
          <w:lang w:eastAsia="ja-JP"/>
        </w:rPr>
        <w:t xml:space="preserve">ents with ALK mutation positive </w:t>
      </w:r>
      <w:r w:rsidR="0093092C">
        <w:rPr>
          <w:lang w:eastAsia="ja-JP"/>
        </w:rPr>
        <w:t xml:space="preserve">(ALK+) </w:t>
      </w:r>
      <w:r w:rsidR="0093092C" w:rsidRPr="0093092C">
        <w:rPr>
          <w:lang w:eastAsia="ja-JP"/>
        </w:rPr>
        <w:t xml:space="preserve">advanced NSCLC. At the </w:t>
      </w:r>
      <w:proofErr w:type="gramStart"/>
      <w:r w:rsidR="0093092C" w:rsidRPr="0093092C">
        <w:rPr>
          <w:lang w:eastAsia="ja-JP"/>
        </w:rPr>
        <w:t>time</w:t>
      </w:r>
      <w:proofErr w:type="gramEnd"/>
      <w:r w:rsidR="0093092C" w:rsidRPr="0093092C">
        <w:rPr>
          <w:lang w:eastAsia="ja-JP"/>
        </w:rPr>
        <w:t xml:space="preserve"> this submission was under consideration, f</w:t>
      </w:r>
      <w:r w:rsidRPr="0093092C">
        <w:rPr>
          <w:lang w:eastAsia="ja-JP"/>
        </w:rPr>
        <w:t xml:space="preserve">our ALK </w:t>
      </w:r>
      <w:r w:rsidR="0093092C" w:rsidRPr="0093092C">
        <w:rPr>
          <w:lang w:eastAsia="ja-JP"/>
        </w:rPr>
        <w:t>tyrosine kinase inhibitors (</w:t>
      </w:r>
      <w:r w:rsidRPr="0093092C">
        <w:rPr>
          <w:lang w:eastAsia="ja-JP"/>
        </w:rPr>
        <w:t>TKIs</w:t>
      </w:r>
      <w:r w:rsidR="0093092C" w:rsidRPr="0093092C">
        <w:rPr>
          <w:lang w:eastAsia="ja-JP"/>
        </w:rPr>
        <w:t>)</w:t>
      </w:r>
      <w:r w:rsidR="00C35A2C">
        <w:rPr>
          <w:lang w:eastAsia="ja-JP"/>
        </w:rPr>
        <w:t xml:space="preserve"> were</w:t>
      </w:r>
      <w:r w:rsidRPr="0093092C">
        <w:rPr>
          <w:lang w:eastAsia="ja-JP"/>
        </w:rPr>
        <w:t xml:space="preserve"> registered in Australia: </w:t>
      </w:r>
      <w:proofErr w:type="spellStart"/>
      <w:r w:rsidRPr="0093092C">
        <w:rPr>
          <w:lang w:eastAsia="ja-JP"/>
        </w:rPr>
        <w:t>crizotinib</w:t>
      </w:r>
      <w:proofErr w:type="spellEnd"/>
      <w:r w:rsidRPr="0093092C">
        <w:rPr>
          <w:lang w:eastAsia="ja-JP"/>
        </w:rPr>
        <w:t xml:space="preserve"> (</w:t>
      </w:r>
      <w:proofErr w:type="spellStart"/>
      <w:r w:rsidR="0093092C" w:rsidRPr="0093092C">
        <w:rPr>
          <w:lang w:eastAsia="ja-JP"/>
        </w:rPr>
        <w:t>Xalkori</w:t>
      </w:r>
      <w:proofErr w:type="spellEnd"/>
      <w:r w:rsidRPr="0093092C">
        <w:rPr>
          <w:lang w:eastAsia="ja-JP"/>
        </w:rPr>
        <w:t xml:space="preserve">), </w:t>
      </w:r>
      <w:proofErr w:type="spellStart"/>
      <w:r w:rsidRPr="0093092C">
        <w:rPr>
          <w:lang w:eastAsia="ja-JP"/>
        </w:rPr>
        <w:t>ceritinib</w:t>
      </w:r>
      <w:proofErr w:type="spellEnd"/>
      <w:r w:rsidRPr="0093092C">
        <w:rPr>
          <w:lang w:eastAsia="ja-JP"/>
        </w:rPr>
        <w:t xml:space="preserve"> (</w:t>
      </w:r>
      <w:proofErr w:type="spellStart"/>
      <w:r w:rsidR="0093092C" w:rsidRPr="0093092C">
        <w:rPr>
          <w:lang w:eastAsia="ja-JP"/>
        </w:rPr>
        <w:t>Zykadia</w:t>
      </w:r>
      <w:proofErr w:type="spellEnd"/>
      <w:r w:rsidRPr="0093092C">
        <w:rPr>
          <w:lang w:eastAsia="ja-JP"/>
        </w:rPr>
        <w:t xml:space="preserve">), </w:t>
      </w:r>
      <w:proofErr w:type="spellStart"/>
      <w:r w:rsidRPr="0093092C">
        <w:rPr>
          <w:lang w:eastAsia="ja-JP"/>
        </w:rPr>
        <w:t>alectinib</w:t>
      </w:r>
      <w:proofErr w:type="spellEnd"/>
      <w:r w:rsidRPr="0093092C">
        <w:rPr>
          <w:lang w:eastAsia="ja-JP"/>
        </w:rPr>
        <w:t xml:space="preserve"> (</w:t>
      </w:r>
      <w:proofErr w:type="spellStart"/>
      <w:r w:rsidR="0093092C" w:rsidRPr="0093092C">
        <w:rPr>
          <w:lang w:eastAsia="ja-JP"/>
        </w:rPr>
        <w:t>Alecensa</w:t>
      </w:r>
      <w:proofErr w:type="spellEnd"/>
      <w:r w:rsidRPr="0093092C">
        <w:rPr>
          <w:lang w:eastAsia="ja-JP"/>
        </w:rPr>
        <w:t xml:space="preserve">) and </w:t>
      </w:r>
      <w:proofErr w:type="spellStart"/>
      <w:r w:rsidRPr="0093092C">
        <w:rPr>
          <w:lang w:eastAsia="ja-JP"/>
        </w:rPr>
        <w:t>brigatinib</w:t>
      </w:r>
      <w:proofErr w:type="spellEnd"/>
      <w:r w:rsidRPr="0093092C">
        <w:rPr>
          <w:lang w:eastAsia="ja-JP"/>
        </w:rPr>
        <w:t xml:space="preserve"> (</w:t>
      </w:r>
      <w:proofErr w:type="spellStart"/>
      <w:r w:rsidR="0093092C" w:rsidRPr="0093092C">
        <w:rPr>
          <w:lang w:eastAsia="ja-JP"/>
        </w:rPr>
        <w:t>Alunbrig</w:t>
      </w:r>
      <w:proofErr w:type="spellEnd"/>
      <w:r w:rsidRPr="0093092C">
        <w:rPr>
          <w:lang w:eastAsia="ja-JP"/>
        </w:rPr>
        <w:t>)</w:t>
      </w:r>
      <w:r w:rsidRPr="0093092C">
        <w:t>.</w:t>
      </w:r>
      <w:r w:rsidR="0093092C" w:rsidRPr="0093092C">
        <w:rPr>
          <w:lang w:eastAsia="ja-JP"/>
        </w:rPr>
        <w:t xml:space="preserve"> </w:t>
      </w:r>
      <w:proofErr w:type="spellStart"/>
      <w:r w:rsidRPr="0093092C">
        <w:rPr>
          <w:lang w:eastAsia="ja-JP"/>
        </w:rPr>
        <w:t>C</w:t>
      </w:r>
      <w:r w:rsidRPr="0093092C">
        <w:t>rizotinib</w:t>
      </w:r>
      <w:proofErr w:type="spellEnd"/>
      <w:r w:rsidRPr="0093092C">
        <w:t xml:space="preserve">, </w:t>
      </w:r>
      <w:proofErr w:type="spellStart"/>
      <w:r w:rsidRPr="0093092C">
        <w:t>ceritinib</w:t>
      </w:r>
      <w:proofErr w:type="spellEnd"/>
      <w:r w:rsidRPr="0093092C">
        <w:t xml:space="preserve"> and </w:t>
      </w:r>
      <w:proofErr w:type="spellStart"/>
      <w:r w:rsidR="0093092C">
        <w:t>alectinib</w:t>
      </w:r>
      <w:proofErr w:type="spellEnd"/>
      <w:r w:rsidR="0093092C">
        <w:t xml:space="preserve"> are all supported by Phase III</w:t>
      </w:r>
      <w:r w:rsidRPr="0093092C">
        <w:t xml:space="preserve"> data and can be used in the first-line setting, but </w:t>
      </w:r>
      <w:proofErr w:type="spellStart"/>
      <w:r w:rsidRPr="0093092C">
        <w:t>alectinib</w:t>
      </w:r>
      <w:proofErr w:type="spellEnd"/>
      <w:r w:rsidRPr="0093092C">
        <w:t xml:space="preserve"> is preferred based on direct comparative data demonstrating superior efficacy and lower toxicity compared to </w:t>
      </w:r>
      <w:proofErr w:type="spellStart"/>
      <w:r w:rsidRPr="0093092C">
        <w:t>crizotinib</w:t>
      </w:r>
      <w:proofErr w:type="spellEnd"/>
      <w:r w:rsidRPr="0093092C">
        <w:t xml:space="preserve"> </w:t>
      </w:r>
      <w:r w:rsidR="0093092C" w:rsidRPr="0093092C">
        <w:t>(</w:t>
      </w:r>
      <w:r w:rsidR="007364C3">
        <w:t xml:space="preserve">the </w:t>
      </w:r>
      <w:r w:rsidR="0093092C" w:rsidRPr="0093092C">
        <w:t xml:space="preserve">ALEX </w:t>
      </w:r>
      <w:r w:rsidR="007364C3">
        <w:t>trial; S</w:t>
      </w:r>
      <w:r w:rsidR="0093092C" w:rsidRPr="0093092C">
        <w:t>tudy</w:t>
      </w:r>
      <w:r w:rsidR="007364C3">
        <w:t xml:space="preserve"> </w:t>
      </w:r>
      <w:r w:rsidR="007364C3" w:rsidRPr="007364C3">
        <w:t>BO28984</w:t>
      </w:r>
      <w:r w:rsidR="0093092C" w:rsidRPr="0093092C">
        <w:t>).</w:t>
      </w:r>
      <w:r w:rsidR="007364C3">
        <w:rPr>
          <w:rStyle w:val="FootnoteReference"/>
        </w:rPr>
        <w:footnoteReference w:id="1"/>
      </w:r>
      <w:r w:rsidR="0093092C" w:rsidRPr="0093092C">
        <w:t xml:space="preserve"> </w:t>
      </w:r>
      <w:proofErr w:type="spellStart"/>
      <w:r w:rsidRPr="0093092C">
        <w:t>Brigatinib</w:t>
      </w:r>
      <w:proofErr w:type="spellEnd"/>
      <w:r w:rsidRPr="0093092C">
        <w:t xml:space="preserve"> </w:t>
      </w:r>
      <w:proofErr w:type="gramStart"/>
      <w:r w:rsidRPr="0093092C">
        <w:t xml:space="preserve">was </w:t>
      </w:r>
      <w:r w:rsidR="0093092C">
        <w:t>registered</w:t>
      </w:r>
      <w:proofErr w:type="gramEnd"/>
      <w:r w:rsidR="0093092C">
        <w:t xml:space="preserve"> in March 2019, but was</w:t>
      </w:r>
      <w:r w:rsidRPr="0093092C">
        <w:t xml:space="preserve"> </w:t>
      </w:r>
      <w:r w:rsidR="0093092C" w:rsidRPr="0093092C">
        <w:t>not yet marketed in Australia</w:t>
      </w:r>
      <w:r w:rsidR="0093092C">
        <w:t xml:space="preserve"> at the time this submission was under consideration</w:t>
      </w:r>
      <w:r w:rsidR="0093092C" w:rsidRPr="0093092C">
        <w:t>.</w:t>
      </w:r>
    </w:p>
    <w:p w:rsidR="00940A89" w:rsidRDefault="003D3BDB" w:rsidP="003D3BDB">
      <w:pPr>
        <w:rPr>
          <w:lang w:eastAsia="ja-JP"/>
        </w:rPr>
      </w:pPr>
      <w:r>
        <w:rPr>
          <w:lang w:eastAsia="ja-JP"/>
        </w:rPr>
        <w:t xml:space="preserve">Despite offering substantial benefits for patients with ALK+ NSCLC, use of these targeted therapies </w:t>
      </w:r>
      <w:proofErr w:type="gramStart"/>
      <w:r>
        <w:rPr>
          <w:lang w:eastAsia="ja-JP"/>
        </w:rPr>
        <w:t>can be limited</w:t>
      </w:r>
      <w:proofErr w:type="gramEnd"/>
      <w:r>
        <w:rPr>
          <w:lang w:eastAsia="ja-JP"/>
        </w:rPr>
        <w:t xml:space="preserve"> by treatment resistance, inadequate </w:t>
      </w:r>
      <w:r w:rsidR="0093092C">
        <w:rPr>
          <w:lang w:eastAsia="ja-JP"/>
        </w:rPr>
        <w:t xml:space="preserve">central nervous system </w:t>
      </w:r>
      <w:r w:rsidR="0093092C">
        <w:rPr>
          <w:lang w:eastAsia="ja-JP"/>
        </w:rPr>
        <w:lastRenderedPageBreak/>
        <w:t>(</w:t>
      </w:r>
      <w:r>
        <w:rPr>
          <w:lang w:eastAsia="ja-JP"/>
        </w:rPr>
        <w:t>CNS</w:t>
      </w:r>
      <w:r w:rsidR="0093092C">
        <w:rPr>
          <w:lang w:eastAsia="ja-JP"/>
        </w:rPr>
        <w:t>)</w:t>
      </w:r>
      <w:r w:rsidR="007507F9">
        <w:rPr>
          <w:lang w:eastAsia="ja-JP"/>
        </w:rPr>
        <w:t xml:space="preserve"> activity and safety issues. </w:t>
      </w:r>
      <w:r>
        <w:rPr>
          <w:lang w:eastAsia="ja-JP"/>
        </w:rPr>
        <w:t>There remains an unmet need for effective treatment for patients who progress on current treatments, particularly patients with CNS metastases.</w:t>
      </w:r>
    </w:p>
    <w:p w:rsidR="003D3BDB" w:rsidRDefault="00BE51F5" w:rsidP="003D3BDB">
      <w:r>
        <w:rPr>
          <w:rFonts w:asciiTheme="minorHAnsi" w:eastAsiaTheme="minorHAnsi" w:hAnsiTheme="minorHAnsi" w:cs="ArialMT"/>
        </w:rPr>
        <w:t xml:space="preserve">The new chemical entity </w:t>
      </w:r>
      <w:proofErr w:type="spellStart"/>
      <w:r>
        <w:rPr>
          <w:rFonts w:asciiTheme="minorHAnsi" w:eastAsiaTheme="minorHAnsi" w:hAnsiTheme="minorHAnsi" w:cs="ArialMT"/>
        </w:rPr>
        <w:t>l</w:t>
      </w:r>
      <w:r w:rsidR="003D3BDB" w:rsidRPr="00C00C4E">
        <w:rPr>
          <w:rFonts w:asciiTheme="minorHAnsi" w:eastAsiaTheme="minorHAnsi" w:hAnsiTheme="minorHAnsi" w:cs="ArialMT"/>
        </w:rPr>
        <w:t>orlatinib</w:t>
      </w:r>
      <w:proofErr w:type="spellEnd"/>
      <w:r w:rsidR="003D3BDB" w:rsidRPr="00C00C4E">
        <w:rPr>
          <w:rFonts w:asciiTheme="minorHAnsi" w:eastAsiaTheme="minorHAnsi" w:hAnsiTheme="minorHAnsi" w:cs="ArialMT"/>
        </w:rPr>
        <w:t xml:space="preserve"> is an inhibitor of </w:t>
      </w:r>
      <w:r w:rsidR="007507F9">
        <w:rPr>
          <w:rFonts w:asciiTheme="minorHAnsi" w:eastAsiaTheme="minorHAnsi" w:hAnsiTheme="minorHAnsi" w:cs="ArialMT"/>
        </w:rPr>
        <w:t>ALK</w:t>
      </w:r>
      <w:r w:rsidR="003D3BDB" w:rsidRPr="00C00C4E">
        <w:rPr>
          <w:rFonts w:asciiTheme="minorHAnsi" w:eastAsiaTheme="minorHAnsi" w:hAnsiTheme="minorHAnsi" w:cs="ArialMT"/>
        </w:rPr>
        <w:t xml:space="preserve"> and c-</w:t>
      </w:r>
      <w:proofErr w:type="spellStart"/>
      <w:r w:rsidR="003D3BDB" w:rsidRPr="00C00C4E">
        <w:rPr>
          <w:rFonts w:asciiTheme="minorHAnsi" w:eastAsiaTheme="minorHAnsi" w:hAnsiTheme="minorHAnsi" w:cs="ArialMT"/>
        </w:rPr>
        <w:t>ros</w:t>
      </w:r>
      <w:proofErr w:type="spellEnd"/>
      <w:r w:rsidR="003D3BDB" w:rsidRPr="00C00C4E">
        <w:rPr>
          <w:rFonts w:asciiTheme="minorHAnsi" w:eastAsiaTheme="minorHAnsi" w:hAnsiTheme="minorHAnsi" w:cs="ArialMT"/>
        </w:rPr>
        <w:t xml:space="preserve"> oncogene </w:t>
      </w:r>
      <w:proofErr w:type="gramStart"/>
      <w:r w:rsidR="003D3BDB" w:rsidRPr="00C00C4E">
        <w:rPr>
          <w:rFonts w:asciiTheme="minorHAnsi" w:eastAsiaTheme="minorHAnsi" w:hAnsiTheme="minorHAnsi" w:cs="ArialMT"/>
        </w:rPr>
        <w:t>1</w:t>
      </w:r>
      <w:proofErr w:type="gramEnd"/>
      <w:r w:rsidR="003D3BDB" w:rsidRPr="00C00C4E">
        <w:rPr>
          <w:rFonts w:asciiTheme="minorHAnsi" w:eastAsiaTheme="minorHAnsi" w:hAnsiTheme="minorHAnsi" w:cs="ArialMT"/>
        </w:rPr>
        <w:t xml:space="preserve"> (ROS1) receptor tyrosine kinases</w:t>
      </w:r>
      <w:r w:rsidR="00D674E3">
        <w:rPr>
          <w:rFonts w:asciiTheme="minorHAnsi" w:eastAsiaTheme="minorHAnsi" w:hAnsiTheme="minorHAnsi" w:cs="ArialMT"/>
        </w:rPr>
        <w:t xml:space="preserve"> and </w:t>
      </w:r>
      <w:r w:rsidR="00D674E3" w:rsidRPr="009A6708">
        <w:t>is</w:t>
      </w:r>
      <w:r w:rsidR="00D674E3">
        <w:t xml:space="preserve"> able to cross the blood-brain barrier.</w:t>
      </w:r>
    </w:p>
    <w:p w:rsidR="008E7846" w:rsidRPr="003F31A2" w:rsidRDefault="00386150" w:rsidP="001C63BA">
      <w:pPr>
        <w:pStyle w:val="Heading3"/>
      </w:pPr>
      <w:bookmarkStart w:id="16" w:name="_Toc314842485"/>
      <w:bookmarkStart w:id="17" w:name="_Toc247691504"/>
      <w:bookmarkStart w:id="18" w:name="_Toc33165806"/>
      <w:r>
        <w:t>Regulatory s</w:t>
      </w:r>
      <w:r w:rsidR="008E7846">
        <w:t>tatus</w:t>
      </w:r>
      <w:bookmarkEnd w:id="16"/>
      <w:bookmarkEnd w:id="17"/>
      <w:bookmarkEnd w:id="18"/>
    </w:p>
    <w:p w:rsidR="007364C3" w:rsidRDefault="00C528EE" w:rsidP="00940A89">
      <w:pPr>
        <w:rPr>
          <w:rFonts w:eastAsia="Calibri"/>
        </w:rPr>
      </w:pPr>
      <w:bookmarkStart w:id="19" w:name="_Toc247691505"/>
      <w:bookmarkStart w:id="20" w:name="_Toc314842486"/>
      <w:proofErr w:type="spellStart"/>
      <w:r w:rsidRPr="003A4BF7">
        <w:rPr>
          <w:rFonts w:eastAsia="Calibri"/>
        </w:rPr>
        <w:t>Lorviqua</w:t>
      </w:r>
      <w:proofErr w:type="spellEnd"/>
      <w:r>
        <w:rPr>
          <w:rFonts w:eastAsia="Calibri"/>
        </w:rPr>
        <w:t xml:space="preserve"> (</w:t>
      </w:r>
      <w:proofErr w:type="spellStart"/>
      <w:r w:rsidRPr="003A4BF7">
        <w:rPr>
          <w:rFonts w:eastAsia="Calibri"/>
        </w:rPr>
        <w:t>lorlatinib</w:t>
      </w:r>
      <w:proofErr w:type="spellEnd"/>
      <w:r>
        <w:rPr>
          <w:rFonts w:eastAsia="Calibri"/>
        </w:rPr>
        <w:t xml:space="preserve">) is a new chemical entity for Australian regulatory purposes. </w:t>
      </w:r>
      <w:r w:rsidRPr="00C528EE">
        <w:rPr>
          <w:rFonts w:eastAsia="Calibri"/>
        </w:rPr>
        <w:t xml:space="preserve">A provisional determination </w:t>
      </w:r>
      <w:r>
        <w:rPr>
          <w:rFonts w:eastAsia="Calibri"/>
        </w:rPr>
        <w:t xml:space="preserve">for </w:t>
      </w:r>
      <w:proofErr w:type="spellStart"/>
      <w:r>
        <w:rPr>
          <w:rFonts w:eastAsia="Calibri"/>
        </w:rPr>
        <w:t>Lorviqua</w:t>
      </w:r>
      <w:proofErr w:type="spellEnd"/>
      <w:r>
        <w:rPr>
          <w:rFonts w:eastAsia="Calibri"/>
        </w:rPr>
        <w:t xml:space="preserve"> </w:t>
      </w:r>
      <w:proofErr w:type="gramStart"/>
      <w:r w:rsidRPr="00C528EE">
        <w:rPr>
          <w:rFonts w:eastAsia="Calibri"/>
        </w:rPr>
        <w:t>was made</w:t>
      </w:r>
      <w:proofErr w:type="gramEnd"/>
      <w:r w:rsidRPr="00C528EE">
        <w:rPr>
          <w:rFonts w:eastAsia="Calibri"/>
        </w:rPr>
        <w:t xml:space="preserve"> on 27 September 2018 for</w:t>
      </w:r>
      <w:r w:rsidR="007364C3">
        <w:rPr>
          <w:rFonts w:eastAsia="Calibri"/>
        </w:rPr>
        <w:t>:</w:t>
      </w:r>
    </w:p>
    <w:p w:rsidR="00940A89" w:rsidRPr="00BA7237" w:rsidRDefault="001F3EF7" w:rsidP="00BA7237">
      <w:pPr>
        <w:ind w:left="720"/>
        <w:rPr>
          <w:i/>
        </w:rPr>
      </w:pPr>
      <w:r w:rsidRPr="00BA7237">
        <w:rPr>
          <w:rFonts w:eastAsia="Calibri"/>
          <w:i/>
        </w:rPr>
        <w:t>The</w:t>
      </w:r>
      <w:r w:rsidR="00C528EE" w:rsidRPr="00BA7237">
        <w:rPr>
          <w:rFonts w:eastAsia="Calibri"/>
          <w:i/>
        </w:rPr>
        <w:t xml:space="preserve"> treatment of patients with anaplastic lymphoma kinase (ALK) positive advanced non-small cell lung cancer (NSCLC) previously treated with one or more ALK tyrosine kinase inhibitors (</w:t>
      </w:r>
      <w:proofErr w:type="spellStart"/>
      <w:r w:rsidR="00C528EE" w:rsidRPr="00BA7237">
        <w:rPr>
          <w:rFonts w:eastAsia="Calibri"/>
          <w:i/>
        </w:rPr>
        <w:t>TKls</w:t>
      </w:r>
      <w:proofErr w:type="spellEnd"/>
      <w:r w:rsidR="00C528EE" w:rsidRPr="00BA7237">
        <w:rPr>
          <w:rFonts w:eastAsia="Calibri"/>
          <w:i/>
        </w:rPr>
        <w:t>).</w:t>
      </w:r>
    </w:p>
    <w:p w:rsidR="00940A89" w:rsidRDefault="00940A89" w:rsidP="00940A89">
      <w:r w:rsidRPr="00940A89">
        <w:t xml:space="preserve">At the time the TGA considered this application, a similar application </w:t>
      </w:r>
      <w:proofErr w:type="gramStart"/>
      <w:r w:rsidRPr="00940A89">
        <w:t>had been approved</w:t>
      </w:r>
      <w:proofErr w:type="gramEnd"/>
      <w:r w:rsidRPr="00940A89">
        <w:t xml:space="preserve"> </w:t>
      </w:r>
      <w:r w:rsidR="00C528EE">
        <w:t xml:space="preserve">in the United States of America (USA) and the European Union (EU), </w:t>
      </w:r>
      <w:r w:rsidR="00D51DCD">
        <w:t>for the indications as below</w:t>
      </w:r>
      <w:r>
        <w:t>.</w:t>
      </w:r>
    </w:p>
    <w:p w:rsidR="00D51DCD" w:rsidRDefault="00D51DCD" w:rsidP="00D51DCD">
      <w:r>
        <w:t xml:space="preserve">USA: </w:t>
      </w:r>
      <w:proofErr w:type="gramStart"/>
      <w:r>
        <w:t xml:space="preserve">Breakthrough Therapy Designation was granted by </w:t>
      </w:r>
      <w:r w:rsidR="00D674E3">
        <w:t>the Food and Drug Administration (</w:t>
      </w:r>
      <w:r>
        <w:t>FDA</w:t>
      </w:r>
      <w:r w:rsidR="00D674E3">
        <w:t>)</w:t>
      </w:r>
      <w:proofErr w:type="gramEnd"/>
      <w:r>
        <w:t xml:space="preserve"> on 26 April 2017. </w:t>
      </w:r>
      <w:proofErr w:type="spellStart"/>
      <w:r w:rsidR="00D674E3">
        <w:t>Lorbrena</w:t>
      </w:r>
      <w:proofErr w:type="spellEnd"/>
      <w:r w:rsidR="00D674E3">
        <w:t xml:space="preserve"> (</w:t>
      </w:r>
      <w:proofErr w:type="spellStart"/>
      <w:r w:rsidR="00D674E3">
        <w:t>lorlatinib</w:t>
      </w:r>
      <w:proofErr w:type="spellEnd"/>
      <w:r w:rsidR="00D674E3">
        <w:t xml:space="preserve">) </w:t>
      </w:r>
      <w:proofErr w:type="gramStart"/>
      <w:r w:rsidR="00D674E3">
        <w:t>was a</w:t>
      </w:r>
      <w:r>
        <w:t>pproved</w:t>
      </w:r>
      <w:proofErr w:type="gramEnd"/>
      <w:r>
        <w:t xml:space="preserve"> under accelerated approval provisions on 11 February 2018 for the following indications:</w:t>
      </w:r>
    </w:p>
    <w:p w:rsidR="00D51DCD" w:rsidRPr="00D51DCD" w:rsidRDefault="00D51DCD" w:rsidP="00BA7237">
      <w:pPr>
        <w:ind w:left="720"/>
        <w:rPr>
          <w:i/>
        </w:rPr>
      </w:pPr>
      <w:proofErr w:type="spellStart"/>
      <w:r w:rsidRPr="00D51DCD">
        <w:rPr>
          <w:i/>
        </w:rPr>
        <w:t>Lorbrena</w:t>
      </w:r>
      <w:proofErr w:type="spellEnd"/>
      <w:r w:rsidRPr="00D51DCD">
        <w:rPr>
          <w:i/>
        </w:rPr>
        <w:t xml:space="preserve"> is a kinase inhibitor indicated for the treatment of patients with anaplastic lymphoma kinase (ALK)-positive metastatic non-small cell lung cancer (NSCLC) whose disease has progressed on</w:t>
      </w:r>
      <w:r w:rsidR="007364C3">
        <w:rPr>
          <w:i/>
        </w:rPr>
        <w:t>:</w:t>
      </w:r>
    </w:p>
    <w:p w:rsidR="00D51DCD" w:rsidRPr="001C63BA" w:rsidRDefault="00D51DCD" w:rsidP="001C63BA">
      <w:pPr>
        <w:pStyle w:val="ListBullet"/>
        <w:ind w:left="1134"/>
        <w:rPr>
          <w:i/>
        </w:rPr>
      </w:pPr>
      <w:proofErr w:type="spellStart"/>
      <w:r w:rsidRPr="001C63BA">
        <w:rPr>
          <w:i/>
        </w:rPr>
        <w:t>crizotinib</w:t>
      </w:r>
      <w:proofErr w:type="spellEnd"/>
      <w:r w:rsidRPr="001C63BA">
        <w:rPr>
          <w:i/>
        </w:rPr>
        <w:t xml:space="preserve"> and at least one other ALK inhibitor for metastatic disease; or</w:t>
      </w:r>
    </w:p>
    <w:p w:rsidR="00D51DCD" w:rsidRPr="001C63BA" w:rsidRDefault="00D51DCD" w:rsidP="001C63BA">
      <w:pPr>
        <w:pStyle w:val="ListBullet"/>
        <w:ind w:left="1134"/>
        <w:rPr>
          <w:i/>
        </w:rPr>
      </w:pPr>
      <w:proofErr w:type="spellStart"/>
      <w:r w:rsidRPr="001C63BA">
        <w:rPr>
          <w:i/>
        </w:rPr>
        <w:t>alectinib</w:t>
      </w:r>
      <w:proofErr w:type="spellEnd"/>
      <w:r w:rsidRPr="001C63BA">
        <w:rPr>
          <w:i/>
        </w:rPr>
        <w:t xml:space="preserve"> as the first ALK inhibitor therapy for metastatic disease; or</w:t>
      </w:r>
    </w:p>
    <w:p w:rsidR="00D51DCD" w:rsidRPr="001C63BA" w:rsidRDefault="00D51DCD" w:rsidP="001C63BA">
      <w:pPr>
        <w:pStyle w:val="ListBullet"/>
        <w:ind w:left="1134"/>
        <w:rPr>
          <w:i/>
        </w:rPr>
      </w:pPr>
      <w:proofErr w:type="spellStart"/>
      <w:proofErr w:type="gramStart"/>
      <w:r w:rsidRPr="001C63BA">
        <w:rPr>
          <w:i/>
        </w:rPr>
        <w:t>ceritinib</w:t>
      </w:r>
      <w:proofErr w:type="spellEnd"/>
      <w:proofErr w:type="gramEnd"/>
      <w:r w:rsidRPr="001C63BA">
        <w:rPr>
          <w:i/>
        </w:rPr>
        <w:t xml:space="preserve"> as the first ALK inhibitor therapy for metastatic disease.</w:t>
      </w:r>
    </w:p>
    <w:p w:rsidR="00D51DCD" w:rsidRPr="00D51DCD" w:rsidRDefault="00D51DCD" w:rsidP="00BA7237">
      <w:pPr>
        <w:ind w:left="720"/>
        <w:rPr>
          <w:i/>
        </w:rPr>
      </w:pPr>
      <w:r w:rsidRPr="00D51DCD">
        <w:rPr>
          <w:i/>
        </w:rPr>
        <w:t xml:space="preserve">This indication </w:t>
      </w:r>
      <w:proofErr w:type="gramStart"/>
      <w:r w:rsidRPr="00D51DCD">
        <w:rPr>
          <w:i/>
        </w:rPr>
        <w:t>is approved</w:t>
      </w:r>
      <w:proofErr w:type="gramEnd"/>
      <w:r w:rsidRPr="00D51DCD">
        <w:rPr>
          <w:i/>
        </w:rPr>
        <w:t xml:space="preserve"> under accelerated approval based on </w:t>
      </w:r>
      <w:proofErr w:type="spellStart"/>
      <w:r w:rsidRPr="00D51DCD">
        <w:rPr>
          <w:i/>
        </w:rPr>
        <w:t>tumor</w:t>
      </w:r>
      <w:proofErr w:type="spellEnd"/>
      <w:r w:rsidRPr="00D51DCD">
        <w:rPr>
          <w:i/>
        </w:rPr>
        <w:t xml:space="preserve"> response rate and duration of response. Continued approval for this indication may be contingent upon verification and description of clinical benefit in a confirmatory trial.</w:t>
      </w:r>
    </w:p>
    <w:p w:rsidR="00D51DCD" w:rsidRDefault="00D51DCD" w:rsidP="00D51DCD">
      <w:r>
        <w:t xml:space="preserve">EU: conditional marketing authorisation </w:t>
      </w:r>
      <w:proofErr w:type="gramStart"/>
      <w:r>
        <w:t>was granted</w:t>
      </w:r>
      <w:proofErr w:type="gramEnd"/>
      <w:r>
        <w:t xml:space="preserve"> 6 May 2019 for the following indications:</w:t>
      </w:r>
    </w:p>
    <w:p w:rsidR="00D51DCD" w:rsidRPr="00D51DCD" w:rsidRDefault="00D51DCD" w:rsidP="00BA7237">
      <w:pPr>
        <w:ind w:left="720"/>
        <w:rPr>
          <w:i/>
        </w:rPr>
      </w:pPr>
      <w:proofErr w:type="spellStart"/>
      <w:r w:rsidRPr="00D51DCD">
        <w:rPr>
          <w:i/>
        </w:rPr>
        <w:t>Lorlatinib</w:t>
      </w:r>
      <w:proofErr w:type="spellEnd"/>
      <w:r w:rsidRPr="00D51DCD">
        <w:rPr>
          <w:i/>
        </w:rPr>
        <w:t xml:space="preserve"> as monotherapy is indicated for the treatment of adult patients with anaplastic lymphoma kinase (ALK) positive advanced </w:t>
      </w:r>
      <w:proofErr w:type="spellStart"/>
      <w:proofErr w:type="gramStart"/>
      <w:r w:rsidRPr="00D51DCD">
        <w:rPr>
          <w:i/>
        </w:rPr>
        <w:t>non small</w:t>
      </w:r>
      <w:proofErr w:type="spellEnd"/>
      <w:proofErr w:type="gramEnd"/>
      <w:r w:rsidRPr="00D51DCD">
        <w:rPr>
          <w:i/>
        </w:rPr>
        <w:t xml:space="preserve"> cell lung cancer (NSCLC) whose disease has progressed after:</w:t>
      </w:r>
    </w:p>
    <w:p w:rsidR="00D51DCD" w:rsidRPr="001C63BA" w:rsidRDefault="00D51DCD" w:rsidP="001C63BA">
      <w:pPr>
        <w:pStyle w:val="ListBullet"/>
        <w:ind w:left="1134"/>
        <w:rPr>
          <w:i/>
        </w:rPr>
      </w:pPr>
      <w:proofErr w:type="spellStart"/>
      <w:r w:rsidRPr="001C63BA">
        <w:rPr>
          <w:i/>
        </w:rPr>
        <w:t>alectinib</w:t>
      </w:r>
      <w:proofErr w:type="spellEnd"/>
      <w:r w:rsidRPr="001C63BA">
        <w:rPr>
          <w:i/>
        </w:rPr>
        <w:t xml:space="preserve"> or </w:t>
      </w:r>
      <w:proofErr w:type="spellStart"/>
      <w:r w:rsidRPr="001C63BA">
        <w:rPr>
          <w:i/>
        </w:rPr>
        <w:t>ceritinib</w:t>
      </w:r>
      <w:proofErr w:type="spellEnd"/>
      <w:r w:rsidRPr="001C63BA">
        <w:rPr>
          <w:i/>
        </w:rPr>
        <w:t xml:space="preserve"> as the first ALK tyrosine kinase inhibitor (TKI) therapy; or</w:t>
      </w:r>
    </w:p>
    <w:p w:rsidR="007A6505" w:rsidRPr="001C63BA" w:rsidRDefault="00D51DCD" w:rsidP="001C63BA">
      <w:pPr>
        <w:pStyle w:val="ListBullet"/>
        <w:ind w:left="1134"/>
        <w:rPr>
          <w:i/>
        </w:rPr>
      </w:pPr>
      <w:proofErr w:type="spellStart"/>
      <w:proofErr w:type="gramStart"/>
      <w:r w:rsidRPr="001C63BA">
        <w:rPr>
          <w:i/>
        </w:rPr>
        <w:t>crizotinib</w:t>
      </w:r>
      <w:proofErr w:type="spellEnd"/>
      <w:proofErr w:type="gramEnd"/>
      <w:r w:rsidRPr="001C63BA">
        <w:rPr>
          <w:i/>
        </w:rPr>
        <w:t xml:space="preserve"> and at least one other ALK TKI.</w:t>
      </w:r>
    </w:p>
    <w:p w:rsidR="008E7846" w:rsidRDefault="008E7846" w:rsidP="00940A89">
      <w:pPr>
        <w:pStyle w:val="Heading3"/>
      </w:pPr>
      <w:bookmarkStart w:id="21" w:name="_Toc33165807"/>
      <w:r>
        <w:t>Product Information</w:t>
      </w:r>
      <w:bookmarkEnd w:id="19"/>
      <w:bookmarkEnd w:id="20"/>
      <w:bookmarkEnd w:id="21"/>
    </w:p>
    <w:p w:rsidR="00940A89" w:rsidRDefault="006136D7" w:rsidP="00940A89">
      <w:bookmarkStart w:id="22" w:name="_Toc247691506"/>
      <w:bookmarkStart w:id="23" w:name="_Toc314842487"/>
      <w:r w:rsidRPr="00940A89">
        <w:t xml:space="preserve">The Product Information (PI) </w:t>
      </w:r>
      <w:r>
        <w:t xml:space="preserve">approved with the </w:t>
      </w:r>
      <w:proofErr w:type="gramStart"/>
      <w:r>
        <w:t xml:space="preserve">submission which is described in </w:t>
      </w:r>
      <w:r w:rsidRPr="00940A89">
        <w:t xml:space="preserve">this </w:t>
      </w:r>
      <w:proofErr w:type="spellStart"/>
      <w:r w:rsidRPr="00940A89">
        <w:t>AusPAR</w:t>
      </w:r>
      <w:proofErr w:type="spellEnd"/>
      <w:proofErr w:type="gramEnd"/>
      <w:r w:rsidRPr="00940A89">
        <w:t xml:space="preserve"> can be found as Attachment 1. For the most recent </w:t>
      </w:r>
      <w:r>
        <w:t>PI,</w:t>
      </w:r>
      <w:r w:rsidRPr="00940A89">
        <w:t xml:space="preserve"> ple</w:t>
      </w:r>
      <w:r>
        <w:t>ase refer to the TGA website</w:t>
      </w:r>
      <w:r w:rsidRPr="00441C3F">
        <w:t xml:space="preserve"> at </w:t>
      </w:r>
      <w:r w:rsidR="00441C3F" w:rsidRPr="00441C3F">
        <w:t>&lt;</w:t>
      </w:r>
      <w:hyperlink r:id="rId13" w:history="1">
        <w:r w:rsidR="00441C3F" w:rsidRPr="00441C3F">
          <w:rPr>
            <w:rStyle w:val="Hyperlink"/>
          </w:rPr>
          <w:t>https://www.tga.gov.au/product-information-pi</w:t>
        </w:r>
      </w:hyperlink>
      <w:r w:rsidR="00441C3F">
        <w:t>&gt;</w:t>
      </w:r>
      <w:r w:rsidR="00940A89" w:rsidRPr="00940A89">
        <w:t>.</w:t>
      </w:r>
    </w:p>
    <w:p w:rsidR="00500337" w:rsidRDefault="00C528EE" w:rsidP="00500337">
      <w:pPr>
        <w:pStyle w:val="Heading2"/>
      </w:pPr>
      <w:bookmarkStart w:id="24" w:name="_Toc504480011"/>
      <w:bookmarkStart w:id="25" w:name="_Toc33165808"/>
      <w:r>
        <w:t>II. Registration time</w:t>
      </w:r>
      <w:r w:rsidR="00500337">
        <w:t>line</w:t>
      </w:r>
      <w:bookmarkEnd w:id="24"/>
      <w:bookmarkEnd w:id="25"/>
    </w:p>
    <w:p w:rsidR="00500337" w:rsidRDefault="00C528EE" w:rsidP="00500337">
      <w:r>
        <w:fldChar w:fldCharType="begin"/>
      </w:r>
      <w:r>
        <w:instrText xml:space="preserve"> REF _Ref31207949 \h </w:instrText>
      </w:r>
      <w:r>
        <w:fldChar w:fldCharType="separate"/>
      </w:r>
      <w:r>
        <w:t xml:space="preserve">Table </w:t>
      </w:r>
      <w:r>
        <w:rPr>
          <w:noProof/>
        </w:rPr>
        <w:t>1</w:t>
      </w:r>
      <w:r>
        <w:fldChar w:fldCharType="end"/>
      </w:r>
      <w:r>
        <w:t xml:space="preserve"> </w:t>
      </w:r>
      <w:r w:rsidR="00500337">
        <w:t xml:space="preserve">captures the key steps and dates for this application and which </w:t>
      </w:r>
      <w:proofErr w:type="gramStart"/>
      <w:r w:rsidR="00500337">
        <w:t xml:space="preserve">are detailed and discussed in this </w:t>
      </w:r>
      <w:proofErr w:type="spellStart"/>
      <w:r w:rsidR="00500337">
        <w:t>AusPAR</w:t>
      </w:r>
      <w:proofErr w:type="spellEnd"/>
      <w:proofErr w:type="gramEnd"/>
      <w:r w:rsidR="00500337">
        <w:t>.</w:t>
      </w:r>
    </w:p>
    <w:p w:rsidR="00500337" w:rsidRDefault="00C528EE" w:rsidP="00C528EE">
      <w:pPr>
        <w:pStyle w:val="TableTitle"/>
      </w:pPr>
      <w:bookmarkStart w:id="26" w:name="_Ref31207949"/>
      <w:r>
        <w:lastRenderedPageBreak/>
        <w:t xml:space="preserve">Table </w:t>
      </w:r>
      <w:r w:rsidR="009339F6">
        <w:fldChar w:fldCharType="begin"/>
      </w:r>
      <w:r w:rsidR="009339F6">
        <w:instrText xml:space="preserve"> SEQ Table \* ARABIC </w:instrText>
      </w:r>
      <w:r w:rsidR="009339F6">
        <w:fldChar w:fldCharType="separate"/>
      </w:r>
      <w:r w:rsidR="005D1957">
        <w:rPr>
          <w:noProof/>
        </w:rPr>
        <w:t>1</w:t>
      </w:r>
      <w:r w:rsidR="009339F6">
        <w:rPr>
          <w:noProof/>
        </w:rPr>
        <w:fldChar w:fldCharType="end"/>
      </w:r>
      <w:bookmarkEnd w:id="26"/>
      <w:r>
        <w:t xml:space="preserve">: </w:t>
      </w:r>
      <w:r w:rsidR="006A58A8" w:rsidRPr="006A58A8">
        <w:t xml:space="preserve">Timeline for Submission </w:t>
      </w:r>
      <w:r w:rsidR="006364E6" w:rsidRPr="00D51814">
        <w:t>PM-2018-04291-1-4</w:t>
      </w:r>
    </w:p>
    <w:tbl>
      <w:tblPr>
        <w:tblStyle w:val="TableTGAblue"/>
        <w:tblW w:w="0" w:type="auto"/>
        <w:tblLook w:val="04A0" w:firstRow="1" w:lastRow="0" w:firstColumn="1" w:lastColumn="0" w:noHBand="0" w:noVBand="1"/>
      </w:tblPr>
      <w:tblGrid>
        <w:gridCol w:w="4360"/>
        <w:gridCol w:w="4360"/>
      </w:tblGrid>
      <w:tr w:rsidR="00500337" w:rsidTr="00500337">
        <w:trPr>
          <w:cnfStyle w:val="100000000000" w:firstRow="1" w:lastRow="0" w:firstColumn="0" w:lastColumn="0" w:oddVBand="0" w:evenVBand="0" w:oddHBand="0" w:evenHBand="0" w:firstRowFirstColumn="0" w:firstRowLastColumn="0" w:lastRowFirstColumn="0" w:lastRowLastColumn="0"/>
          <w:cantSplit/>
        </w:trPr>
        <w:tc>
          <w:tcPr>
            <w:tcW w:w="4360" w:type="dxa"/>
          </w:tcPr>
          <w:p w:rsidR="00500337" w:rsidRDefault="00500337" w:rsidP="00500337">
            <w:pPr>
              <w:ind w:left="0" w:right="0"/>
            </w:pPr>
            <w:r>
              <w:t>Description</w:t>
            </w:r>
          </w:p>
        </w:tc>
        <w:tc>
          <w:tcPr>
            <w:tcW w:w="4360" w:type="dxa"/>
          </w:tcPr>
          <w:p w:rsidR="00500337" w:rsidRDefault="00500337" w:rsidP="00500337">
            <w:pPr>
              <w:ind w:left="0" w:right="0"/>
            </w:pPr>
            <w:r>
              <w:t>Date</w:t>
            </w:r>
          </w:p>
        </w:tc>
      </w:tr>
      <w:tr w:rsidR="00500337" w:rsidTr="00500337">
        <w:tc>
          <w:tcPr>
            <w:tcW w:w="4360" w:type="dxa"/>
          </w:tcPr>
          <w:p w:rsidR="00500337" w:rsidRDefault="006364E6" w:rsidP="006364E6">
            <w:pPr>
              <w:ind w:left="0" w:right="0"/>
            </w:pPr>
            <w:r>
              <w:t>Designation: Provisional</w:t>
            </w:r>
          </w:p>
        </w:tc>
        <w:tc>
          <w:tcPr>
            <w:tcW w:w="4360" w:type="dxa"/>
          </w:tcPr>
          <w:p w:rsidR="00500337" w:rsidRDefault="006364E6" w:rsidP="00C528EE">
            <w:r>
              <w:t>27 September 2018</w:t>
            </w:r>
          </w:p>
        </w:tc>
      </w:tr>
      <w:tr w:rsidR="006364E6" w:rsidTr="00500337">
        <w:tc>
          <w:tcPr>
            <w:tcW w:w="4360" w:type="dxa"/>
          </w:tcPr>
          <w:p w:rsidR="006364E6" w:rsidRDefault="006364E6" w:rsidP="006364E6">
            <w:pPr>
              <w:ind w:left="0" w:right="0"/>
            </w:pPr>
            <w:r>
              <w:t>Submission dossier accepted and first round evaluation commenced</w:t>
            </w:r>
          </w:p>
        </w:tc>
        <w:tc>
          <w:tcPr>
            <w:tcW w:w="4360" w:type="dxa"/>
          </w:tcPr>
          <w:p w:rsidR="006364E6" w:rsidRPr="00F95198" w:rsidRDefault="006364E6" w:rsidP="00C528EE">
            <w:pPr>
              <w:rPr>
                <w:color w:val="auto"/>
              </w:rPr>
            </w:pPr>
            <w:r w:rsidRPr="00F95198">
              <w:rPr>
                <w:color w:val="auto"/>
              </w:rPr>
              <w:t>30 November 2018</w:t>
            </w:r>
          </w:p>
        </w:tc>
      </w:tr>
      <w:tr w:rsidR="006364E6" w:rsidTr="00500337">
        <w:tc>
          <w:tcPr>
            <w:tcW w:w="4360" w:type="dxa"/>
          </w:tcPr>
          <w:p w:rsidR="006364E6" w:rsidRDefault="006364E6" w:rsidP="006364E6">
            <w:pPr>
              <w:ind w:left="0" w:right="0"/>
            </w:pPr>
            <w:r>
              <w:t>First round evaluation completed</w:t>
            </w:r>
          </w:p>
        </w:tc>
        <w:tc>
          <w:tcPr>
            <w:tcW w:w="4360" w:type="dxa"/>
          </w:tcPr>
          <w:p w:rsidR="006364E6" w:rsidRPr="00F95198" w:rsidRDefault="006364E6" w:rsidP="00C528EE">
            <w:pPr>
              <w:rPr>
                <w:color w:val="auto"/>
              </w:rPr>
            </w:pPr>
            <w:r w:rsidRPr="00F95198">
              <w:rPr>
                <w:color w:val="auto"/>
              </w:rPr>
              <w:t>3 May 2019</w:t>
            </w:r>
          </w:p>
        </w:tc>
      </w:tr>
      <w:tr w:rsidR="006364E6" w:rsidTr="00500337">
        <w:tc>
          <w:tcPr>
            <w:tcW w:w="4360" w:type="dxa"/>
          </w:tcPr>
          <w:p w:rsidR="006364E6" w:rsidRDefault="006364E6" w:rsidP="006364E6">
            <w:pPr>
              <w:ind w:left="0" w:right="0"/>
            </w:pPr>
            <w:r>
              <w:t>Sponsor provides responses on questions raised in first round evaluation</w:t>
            </w:r>
          </w:p>
        </w:tc>
        <w:tc>
          <w:tcPr>
            <w:tcW w:w="4360" w:type="dxa"/>
          </w:tcPr>
          <w:p w:rsidR="006364E6" w:rsidRPr="00F95198" w:rsidRDefault="006364E6" w:rsidP="00C528EE">
            <w:pPr>
              <w:rPr>
                <w:color w:val="auto"/>
              </w:rPr>
            </w:pPr>
            <w:r w:rsidRPr="00F95198">
              <w:rPr>
                <w:color w:val="auto"/>
              </w:rPr>
              <w:t>28 June 2019</w:t>
            </w:r>
          </w:p>
        </w:tc>
      </w:tr>
      <w:tr w:rsidR="006364E6" w:rsidTr="00500337">
        <w:tc>
          <w:tcPr>
            <w:tcW w:w="4360" w:type="dxa"/>
          </w:tcPr>
          <w:p w:rsidR="006364E6" w:rsidRDefault="006364E6" w:rsidP="006364E6">
            <w:pPr>
              <w:ind w:left="0" w:right="0"/>
            </w:pPr>
            <w:r>
              <w:t>Second round evaluation completed</w:t>
            </w:r>
          </w:p>
        </w:tc>
        <w:tc>
          <w:tcPr>
            <w:tcW w:w="4360" w:type="dxa"/>
          </w:tcPr>
          <w:p w:rsidR="006364E6" w:rsidRPr="00F95198" w:rsidRDefault="006364E6" w:rsidP="00C528EE">
            <w:pPr>
              <w:rPr>
                <w:color w:val="auto"/>
              </w:rPr>
            </w:pPr>
            <w:r w:rsidRPr="00F95198">
              <w:rPr>
                <w:color w:val="auto"/>
              </w:rPr>
              <w:t>24 October 2019</w:t>
            </w:r>
          </w:p>
        </w:tc>
      </w:tr>
      <w:tr w:rsidR="006364E6" w:rsidTr="00500337">
        <w:tc>
          <w:tcPr>
            <w:tcW w:w="4360" w:type="dxa"/>
          </w:tcPr>
          <w:p w:rsidR="006364E6" w:rsidRDefault="006364E6" w:rsidP="00C35A2C">
            <w:pPr>
              <w:ind w:left="0" w:right="0"/>
            </w:pPr>
            <w:r>
              <w:t xml:space="preserve">Delegate’s </w:t>
            </w:r>
            <w:r w:rsidR="00C35A2C">
              <w:t>Overall benefit-risk assessment</w:t>
            </w:r>
          </w:p>
        </w:tc>
        <w:tc>
          <w:tcPr>
            <w:tcW w:w="4360" w:type="dxa"/>
          </w:tcPr>
          <w:p w:rsidR="006364E6" w:rsidRPr="00F95198" w:rsidRDefault="006364E6" w:rsidP="00C528EE">
            <w:pPr>
              <w:rPr>
                <w:color w:val="auto"/>
              </w:rPr>
            </w:pPr>
            <w:r w:rsidRPr="00F95198">
              <w:rPr>
                <w:color w:val="auto"/>
              </w:rPr>
              <w:t>12 September 2019</w:t>
            </w:r>
          </w:p>
        </w:tc>
      </w:tr>
      <w:tr w:rsidR="006364E6" w:rsidTr="00500337">
        <w:tc>
          <w:tcPr>
            <w:tcW w:w="4360" w:type="dxa"/>
          </w:tcPr>
          <w:p w:rsidR="006364E6" w:rsidRDefault="006364E6" w:rsidP="006364E6">
            <w:pPr>
              <w:ind w:left="0" w:right="0"/>
            </w:pPr>
            <w:r>
              <w:t>Sponsor’s pre-Advisory Committee response</w:t>
            </w:r>
          </w:p>
        </w:tc>
        <w:tc>
          <w:tcPr>
            <w:tcW w:w="4360" w:type="dxa"/>
          </w:tcPr>
          <w:p w:rsidR="006364E6" w:rsidRPr="00F95198" w:rsidRDefault="006364E6" w:rsidP="00C528EE">
            <w:pPr>
              <w:rPr>
                <w:color w:val="auto"/>
              </w:rPr>
            </w:pPr>
            <w:r w:rsidRPr="00F95198">
              <w:rPr>
                <w:color w:val="auto"/>
              </w:rPr>
              <w:t>Not applicable</w:t>
            </w:r>
          </w:p>
        </w:tc>
      </w:tr>
      <w:tr w:rsidR="006364E6" w:rsidTr="00500337">
        <w:tc>
          <w:tcPr>
            <w:tcW w:w="4360" w:type="dxa"/>
          </w:tcPr>
          <w:p w:rsidR="006364E6" w:rsidRDefault="006364E6" w:rsidP="006364E6">
            <w:pPr>
              <w:ind w:left="0" w:right="0"/>
            </w:pPr>
            <w:r>
              <w:t>Advisory Committee meeting</w:t>
            </w:r>
          </w:p>
        </w:tc>
        <w:tc>
          <w:tcPr>
            <w:tcW w:w="4360" w:type="dxa"/>
          </w:tcPr>
          <w:p w:rsidR="006364E6" w:rsidRPr="00F95198" w:rsidRDefault="006364E6" w:rsidP="00C528EE">
            <w:pPr>
              <w:rPr>
                <w:color w:val="auto"/>
              </w:rPr>
            </w:pPr>
            <w:r w:rsidRPr="00F95198">
              <w:rPr>
                <w:color w:val="auto"/>
              </w:rPr>
              <w:t>Not applicable</w:t>
            </w:r>
          </w:p>
        </w:tc>
      </w:tr>
      <w:tr w:rsidR="006364E6" w:rsidTr="00500337">
        <w:tc>
          <w:tcPr>
            <w:tcW w:w="4360" w:type="dxa"/>
          </w:tcPr>
          <w:p w:rsidR="006364E6" w:rsidRDefault="006364E6" w:rsidP="006364E6">
            <w:pPr>
              <w:ind w:left="0" w:right="0"/>
            </w:pPr>
            <w:r>
              <w:t>Registration decision (Outcome)</w:t>
            </w:r>
          </w:p>
        </w:tc>
        <w:tc>
          <w:tcPr>
            <w:tcW w:w="4360" w:type="dxa"/>
          </w:tcPr>
          <w:p w:rsidR="006364E6" w:rsidRPr="00F95198" w:rsidRDefault="006364E6" w:rsidP="00C528EE">
            <w:pPr>
              <w:rPr>
                <w:color w:val="auto"/>
              </w:rPr>
            </w:pPr>
            <w:r w:rsidRPr="00F95198">
              <w:rPr>
                <w:color w:val="auto"/>
              </w:rPr>
              <w:t>11 November 2019</w:t>
            </w:r>
          </w:p>
        </w:tc>
      </w:tr>
      <w:tr w:rsidR="006364E6" w:rsidTr="00500337">
        <w:tc>
          <w:tcPr>
            <w:tcW w:w="4360" w:type="dxa"/>
          </w:tcPr>
          <w:p w:rsidR="006364E6" w:rsidRDefault="006364E6" w:rsidP="006364E6">
            <w:pPr>
              <w:ind w:left="0" w:right="0"/>
            </w:pPr>
            <w:r>
              <w:t>Completion of administrative activities and registration on ARTG</w:t>
            </w:r>
          </w:p>
        </w:tc>
        <w:tc>
          <w:tcPr>
            <w:tcW w:w="4360" w:type="dxa"/>
          </w:tcPr>
          <w:p w:rsidR="006364E6" w:rsidRPr="003E589D" w:rsidRDefault="006364E6" w:rsidP="00C528EE">
            <w:pPr>
              <w:rPr>
                <w:color w:val="auto"/>
              </w:rPr>
            </w:pPr>
            <w:r w:rsidRPr="003E589D">
              <w:rPr>
                <w:color w:val="auto"/>
              </w:rPr>
              <w:t>19 November 2019</w:t>
            </w:r>
          </w:p>
        </w:tc>
      </w:tr>
      <w:tr w:rsidR="006364E6" w:rsidTr="00500337">
        <w:tc>
          <w:tcPr>
            <w:tcW w:w="4360" w:type="dxa"/>
          </w:tcPr>
          <w:p w:rsidR="006364E6" w:rsidRDefault="006364E6" w:rsidP="006364E6">
            <w:pPr>
              <w:ind w:left="0" w:right="0"/>
            </w:pPr>
            <w:r>
              <w:t>Number of working days from submission dossier acceptance to registration decision*</w:t>
            </w:r>
          </w:p>
        </w:tc>
        <w:tc>
          <w:tcPr>
            <w:tcW w:w="4360" w:type="dxa"/>
          </w:tcPr>
          <w:p w:rsidR="006364E6" w:rsidRPr="00F95198" w:rsidRDefault="006364E6" w:rsidP="00C528EE">
            <w:pPr>
              <w:rPr>
                <w:color w:val="auto"/>
              </w:rPr>
            </w:pPr>
            <w:r w:rsidRPr="00F95198">
              <w:rPr>
                <w:color w:val="auto"/>
              </w:rPr>
              <w:t>197</w:t>
            </w:r>
          </w:p>
        </w:tc>
      </w:tr>
    </w:tbl>
    <w:p w:rsidR="00500337" w:rsidRDefault="00500337" w:rsidP="00D51DCD">
      <w:pPr>
        <w:pStyle w:val="TableDescription"/>
      </w:pPr>
      <w:r>
        <w:t>*</w:t>
      </w:r>
      <w:r w:rsidR="006603BC" w:rsidRPr="006603BC">
        <w:t>Statutory timeframe for standard applications is 255 working days</w:t>
      </w:r>
      <w:r w:rsidR="00D51DCD">
        <w:t>.</w:t>
      </w:r>
    </w:p>
    <w:p w:rsidR="008E7846" w:rsidRPr="00792A32" w:rsidRDefault="00456765" w:rsidP="008E7846">
      <w:pPr>
        <w:pStyle w:val="Heading2"/>
      </w:pPr>
      <w:bookmarkStart w:id="27" w:name="_Toc196046504"/>
      <w:bookmarkStart w:id="28" w:name="_Toc247691527"/>
      <w:bookmarkStart w:id="29" w:name="_Toc314842510"/>
      <w:bookmarkStart w:id="30" w:name="_Toc33165809"/>
      <w:bookmarkStart w:id="31" w:name="_Toc163441390"/>
      <w:bookmarkEnd w:id="22"/>
      <w:bookmarkEnd w:id="23"/>
      <w:bookmarkEnd w:id="2"/>
      <w:r>
        <w:t>I</w:t>
      </w:r>
      <w:r w:rsidR="00DA64CB">
        <w:t>I</w:t>
      </w:r>
      <w:r w:rsidR="008E7846">
        <w:t xml:space="preserve">I. </w:t>
      </w:r>
      <w:r w:rsidR="00D51DCD">
        <w:t>Submission overview</w:t>
      </w:r>
      <w:r w:rsidR="008E7846" w:rsidRPr="00792A32">
        <w:t xml:space="preserve"> and </w:t>
      </w:r>
      <w:r w:rsidR="008E7846">
        <w:t>r</w:t>
      </w:r>
      <w:r w:rsidR="008E7846" w:rsidRPr="00792A32">
        <w:t>isk/</w:t>
      </w:r>
      <w:r w:rsidR="008E7846">
        <w:t>b</w:t>
      </w:r>
      <w:r w:rsidR="008E7846" w:rsidRPr="00792A32">
        <w:t xml:space="preserve">enefit </w:t>
      </w:r>
      <w:r w:rsidR="008E7846">
        <w:t>a</w:t>
      </w:r>
      <w:r w:rsidR="008E7846" w:rsidRPr="00792A32">
        <w:t>ssessment</w:t>
      </w:r>
      <w:bookmarkEnd w:id="27"/>
      <w:bookmarkEnd w:id="28"/>
      <w:bookmarkEnd w:id="29"/>
      <w:bookmarkEnd w:id="30"/>
    </w:p>
    <w:p w:rsidR="008E7846" w:rsidRDefault="008E7846" w:rsidP="008E7846">
      <w:bookmarkStart w:id="32" w:name="_Toc247691528"/>
      <w:r>
        <w:t xml:space="preserve">The submission was summarised in the following </w:t>
      </w:r>
      <w:r w:rsidRPr="00EF5C48">
        <w:t xml:space="preserve">Delegate’s </w:t>
      </w:r>
      <w:r>
        <w:t>overview</w:t>
      </w:r>
      <w:r w:rsidRPr="00EF5C48">
        <w:t xml:space="preserve"> and recommendation</w:t>
      </w:r>
      <w:r w:rsidR="00D51DCD">
        <w:t>s.</w:t>
      </w:r>
    </w:p>
    <w:p w:rsidR="008E7846" w:rsidRDefault="008E7846" w:rsidP="001C63BA">
      <w:pPr>
        <w:pStyle w:val="Heading3"/>
      </w:pPr>
      <w:bookmarkStart w:id="33" w:name="_Toc314842511"/>
      <w:bookmarkStart w:id="34" w:name="_Toc33165810"/>
      <w:r>
        <w:t>Quality</w:t>
      </w:r>
      <w:bookmarkEnd w:id="32"/>
      <w:bookmarkEnd w:id="33"/>
      <w:bookmarkEnd w:id="34"/>
    </w:p>
    <w:p w:rsidR="00D674E3" w:rsidRDefault="00D674E3" w:rsidP="00D674E3">
      <w:proofErr w:type="spellStart"/>
      <w:r w:rsidRPr="00D674E3">
        <w:t>Lorlatinib</w:t>
      </w:r>
      <w:proofErr w:type="spellEnd"/>
      <w:r w:rsidRPr="00D674E3">
        <w:t xml:space="preserve"> (structure below</w:t>
      </w:r>
      <w:r w:rsidR="00C35A2C">
        <w:t xml:space="preserve">, </w:t>
      </w:r>
      <w:r w:rsidR="00C35A2C">
        <w:fldChar w:fldCharType="begin"/>
      </w:r>
      <w:r w:rsidR="00C35A2C">
        <w:instrText xml:space="preserve"> REF _Ref31350595 \h </w:instrText>
      </w:r>
      <w:r w:rsidR="00C35A2C">
        <w:fldChar w:fldCharType="separate"/>
      </w:r>
      <w:r w:rsidR="00C35A2C">
        <w:t xml:space="preserve">Figure </w:t>
      </w:r>
      <w:r w:rsidR="00C35A2C">
        <w:rPr>
          <w:noProof/>
        </w:rPr>
        <w:t>1</w:t>
      </w:r>
      <w:r w:rsidR="00C35A2C">
        <w:fldChar w:fldCharType="end"/>
      </w:r>
      <w:r w:rsidRPr="00D674E3">
        <w:t xml:space="preserve">), is a small molecule potent </w:t>
      </w:r>
      <w:r>
        <w:t>TKI</w:t>
      </w:r>
      <w:r w:rsidRPr="00D674E3">
        <w:t xml:space="preserve"> and third generation </w:t>
      </w:r>
      <w:r>
        <w:t>ALK</w:t>
      </w:r>
      <w:r w:rsidRPr="00D674E3">
        <w:t xml:space="preserve"> inhibitor.</w:t>
      </w:r>
    </w:p>
    <w:p w:rsidR="000C5FBE" w:rsidRDefault="000C5FBE" w:rsidP="000C5FBE">
      <w:pPr>
        <w:pStyle w:val="FigureTitle"/>
      </w:pPr>
      <w:bookmarkStart w:id="35" w:name="_Ref31350595"/>
      <w:r>
        <w:lastRenderedPageBreak/>
        <w:t xml:space="preserve">Figure </w:t>
      </w:r>
      <w:r w:rsidR="009339F6">
        <w:fldChar w:fldCharType="begin"/>
      </w:r>
      <w:r w:rsidR="009339F6">
        <w:instrText xml:space="preserve"> SEQ Figure \* ARABIC </w:instrText>
      </w:r>
      <w:r w:rsidR="009339F6">
        <w:fldChar w:fldCharType="separate"/>
      </w:r>
      <w:r>
        <w:rPr>
          <w:noProof/>
        </w:rPr>
        <w:t>1</w:t>
      </w:r>
      <w:r w:rsidR="009339F6">
        <w:rPr>
          <w:noProof/>
        </w:rPr>
        <w:fldChar w:fldCharType="end"/>
      </w:r>
      <w:bookmarkEnd w:id="35"/>
      <w:r>
        <w:t xml:space="preserve">: </w:t>
      </w:r>
      <w:proofErr w:type="spellStart"/>
      <w:r>
        <w:t>Lorlatinib</w:t>
      </w:r>
      <w:proofErr w:type="spellEnd"/>
      <w:r>
        <w:t xml:space="preserve"> structure</w:t>
      </w:r>
    </w:p>
    <w:p w:rsidR="000C5FBE" w:rsidRDefault="000C5FBE" w:rsidP="00D674E3">
      <w:r>
        <w:rPr>
          <w:noProof/>
          <w:lang w:eastAsia="en-AU"/>
        </w:rPr>
        <w:drawing>
          <wp:inline distT="0" distB="0" distL="0" distR="0" wp14:anchorId="5FEA5E34" wp14:editId="3D2CD7B1">
            <wp:extent cx="2326233" cy="1726131"/>
            <wp:effectExtent l="0" t="0" r="0" b="7620"/>
            <wp:docPr id="25" name="Picture 25" descr="Lorlatinib 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341310" cy="1737318"/>
                    </a:xfrm>
                    <a:prstGeom prst="rect">
                      <a:avLst/>
                    </a:prstGeom>
                  </pic:spPr>
                </pic:pic>
              </a:graphicData>
            </a:graphic>
          </wp:inline>
        </w:drawing>
      </w:r>
    </w:p>
    <w:p w:rsidR="00D674E3" w:rsidRDefault="00D674E3" w:rsidP="00D674E3">
      <w:r w:rsidRPr="00D674E3">
        <w:t xml:space="preserve">The application and the supporting data relating to the composition, development, manufacture, quality control and stability of the product </w:t>
      </w:r>
      <w:proofErr w:type="gramStart"/>
      <w:r w:rsidRPr="00D674E3">
        <w:t xml:space="preserve">have been assessed and checked for compliance, as applicable, with Australian legislation and requirements for new medicines and in accordance with </w:t>
      </w:r>
      <w:proofErr w:type="spellStart"/>
      <w:r w:rsidRPr="00D674E3">
        <w:t>pharmacopoeial</w:t>
      </w:r>
      <w:proofErr w:type="spellEnd"/>
      <w:r w:rsidRPr="00D674E3">
        <w:t xml:space="preserve"> standards and the technical guidelines adopted by the TGA</w:t>
      </w:r>
      <w:proofErr w:type="gramEnd"/>
      <w:r w:rsidRPr="00D674E3">
        <w:t>.</w:t>
      </w:r>
    </w:p>
    <w:p w:rsidR="00E45619" w:rsidRDefault="00D674E3" w:rsidP="00D674E3">
      <w:r w:rsidRPr="00D674E3">
        <w:t xml:space="preserve">The responses </w:t>
      </w:r>
      <w:r>
        <w:t xml:space="preserve">to TGA </w:t>
      </w:r>
      <w:r w:rsidR="00C35A2C">
        <w:t xml:space="preserve">questions </w:t>
      </w:r>
      <w:proofErr w:type="gramStart"/>
      <w:r w:rsidRPr="00D674E3">
        <w:t>have been evaluated</w:t>
      </w:r>
      <w:proofErr w:type="gramEnd"/>
      <w:r w:rsidRPr="00D674E3">
        <w:t xml:space="preserve"> and the </w:t>
      </w:r>
      <w:r>
        <w:t>sponsor</w:t>
      </w:r>
      <w:r w:rsidRPr="00D674E3">
        <w:t xml:space="preserve">’s responses have been deemed acceptable with regard to </w:t>
      </w:r>
      <w:r>
        <w:t>quality</w:t>
      </w:r>
      <w:r w:rsidR="00D51DCD">
        <w:t>.</w:t>
      </w:r>
      <w:r>
        <w:t xml:space="preserve"> </w:t>
      </w:r>
      <w:r w:rsidRPr="00D674E3">
        <w:t>There are no outstanding issues with the chemistry and quality control aspects of the product.</w:t>
      </w:r>
    </w:p>
    <w:p w:rsidR="008E7846" w:rsidRDefault="008E7846" w:rsidP="008E7846">
      <w:pPr>
        <w:pStyle w:val="Heading3"/>
      </w:pPr>
      <w:bookmarkStart w:id="36" w:name="_Toc314842512"/>
      <w:bookmarkStart w:id="37" w:name="_Toc33165811"/>
      <w:r>
        <w:t>Nonclinical</w:t>
      </w:r>
      <w:bookmarkEnd w:id="36"/>
      <w:bookmarkEnd w:id="37"/>
    </w:p>
    <w:p w:rsidR="000C5FBE" w:rsidRDefault="0035023C" w:rsidP="000C5FBE">
      <w:r>
        <w:t>The Delegate summarised the following points from the nonclinical evaluation</w:t>
      </w:r>
      <w:r w:rsidR="000C5FBE">
        <w:t>:</w:t>
      </w:r>
    </w:p>
    <w:p w:rsidR="000C5FBE" w:rsidRDefault="00D51DCD" w:rsidP="000C5FBE">
      <w:pPr>
        <w:pStyle w:val="ListBullet"/>
      </w:pPr>
      <w:r w:rsidRPr="00685511">
        <w:t xml:space="preserve">The primary pharmacology studies demonstrate the ALK and ROS1 inhibitory activity of </w:t>
      </w:r>
      <w:proofErr w:type="spellStart"/>
      <w:r w:rsidRPr="00685511">
        <w:t>lorlatinib</w:t>
      </w:r>
      <w:proofErr w:type="spellEnd"/>
      <w:r w:rsidRPr="00685511">
        <w:t xml:space="preserve"> against ALK and ROS1 positive tumours.</w:t>
      </w:r>
    </w:p>
    <w:p w:rsidR="000C5FBE" w:rsidRDefault="00D51DCD" w:rsidP="000C5FBE">
      <w:pPr>
        <w:pStyle w:val="ListBullet"/>
      </w:pPr>
      <w:r>
        <w:t>Secondary and s</w:t>
      </w:r>
      <w:r w:rsidRPr="00685511">
        <w:t xml:space="preserve">afety pharmacology and toxicity studies indicate </w:t>
      </w:r>
      <w:proofErr w:type="spellStart"/>
      <w:r w:rsidRPr="00685511">
        <w:t>lorlatinib</w:t>
      </w:r>
      <w:proofErr w:type="spellEnd"/>
      <w:r w:rsidRPr="00685511">
        <w:t xml:space="preserve"> </w:t>
      </w:r>
      <w:r>
        <w:t xml:space="preserve">inhibits multiple other kinases and </w:t>
      </w:r>
      <w:r w:rsidRPr="00685511">
        <w:t>may exert central nervous</w:t>
      </w:r>
      <w:r>
        <w:t xml:space="preserve"> and </w:t>
      </w:r>
      <w:r w:rsidRPr="00685511">
        <w:t xml:space="preserve">cardiovascular </w:t>
      </w:r>
      <w:r>
        <w:t xml:space="preserve">adverse </w:t>
      </w:r>
      <w:r w:rsidRPr="00685511">
        <w:t>effects in patients.</w:t>
      </w:r>
    </w:p>
    <w:p w:rsidR="00D51DCD" w:rsidRDefault="00D51DCD" w:rsidP="000C5FBE">
      <w:pPr>
        <w:pStyle w:val="ListBullet"/>
      </w:pPr>
      <w:r w:rsidRPr="00BB45DB">
        <w:t xml:space="preserve">The nonclinical studies predict </w:t>
      </w:r>
      <w:proofErr w:type="spellStart"/>
      <w:r w:rsidRPr="00BB45DB">
        <w:t>embryofetal</w:t>
      </w:r>
      <w:proofErr w:type="spellEnd"/>
      <w:r w:rsidRPr="00BB45DB">
        <w:t xml:space="preserve"> toxicity if administered to pregnant </w:t>
      </w:r>
      <w:r>
        <w:t xml:space="preserve">women </w:t>
      </w:r>
      <w:r w:rsidR="000C5FBE">
        <w:t>at the proposed clinical dose.</w:t>
      </w:r>
    </w:p>
    <w:p w:rsidR="00DC1948" w:rsidRPr="00DC1948" w:rsidRDefault="000C5FBE" w:rsidP="00D51DCD">
      <w:r>
        <w:rPr>
          <w:kern w:val="2"/>
        </w:rPr>
        <w:t xml:space="preserve">At the time the Delegate’s overview </w:t>
      </w:r>
      <w:proofErr w:type="gramStart"/>
      <w:r>
        <w:rPr>
          <w:kern w:val="2"/>
        </w:rPr>
        <w:t>was written</w:t>
      </w:r>
      <w:proofErr w:type="gramEnd"/>
      <w:r w:rsidR="00D51DCD">
        <w:rPr>
          <w:kern w:val="2"/>
        </w:rPr>
        <w:t>, t</w:t>
      </w:r>
      <w:r>
        <w:rPr>
          <w:kern w:val="2"/>
        </w:rPr>
        <w:t>here were</w:t>
      </w:r>
      <w:r w:rsidR="00D51DCD" w:rsidRPr="00A22381">
        <w:rPr>
          <w:kern w:val="2"/>
        </w:rPr>
        <w:t xml:space="preserve"> no nonclinical objections to the registration of </w:t>
      </w:r>
      <w:proofErr w:type="spellStart"/>
      <w:r w:rsidR="00D51DCD" w:rsidRPr="00A22381">
        <w:rPr>
          <w:kern w:val="2"/>
        </w:rPr>
        <w:t>lorlatinib</w:t>
      </w:r>
      <w:proofErr w:type="spellEnd"/>
      <w:r w:rsidR="00D51DCD" w:rsidRPr="00A22381">
        <w:rPr>
          <w:kern w:val="2"/>
        </w:rPr>
        <w:t xml:space="preserve"> for the proposed indication</w:t>
      </w:r>
      <w:r w:rsidR="00D51DCD">
        <w:rPr>
          <w:kern w:val="2"/>
        </w:rPr>
        <w:t xml:space="preserve">, but the </w:t>
      </w:r>
      <w:r>
        <w:rPr>
          <w:kern w:val="2"/>
        </w:rPr>
        <w:t>nonclinical content of the PI was</w:t>
      </w:r>
      <w:r w:rsidR="00D51DCD">
        <w:rPr>
          <w:kern w:val="2"/>
        </w:rPr>
        <w:t xml:space="preserve"> not yet fully resolved.</w:t>
      </w:r>
    </w:p>
    <w:p w:rsidR="008E7846" w:rsidRDefault="008E7846" w:rsidP="008E7846">
      <w:pPr>
        <w:pStyle w:val="Heading3"/>
      </w:pPr>
      <w:bookmarkStart w:id="38" w:name="_Toc247691530"/>
      <w:bookmarkStart w:id="39" w:name="_Toc314842513"/>
      <w:bookmarkStart w:id="40" w:name="_Toc33165812"/>
      <w:r>
        <w:t>Clinical</w:t>
      </w:r>
      <w:bookmarkEnd w:id="38"/>
      <w:bookmarkEnd w:id="39"/>
      <w:bookmarkEnd w:id="40"/>
    </w:p>
    <w:p w:rsidR="00D51DCD" w:rsidRPr="00DD3F05" w:rsidRDefault="00D51DCD" w:rsidP="00D51DCD">
      <w:bookmarkStart w:id="41" w:name="_Toc314842514"/>
      <w:r>
        <w:t xml:space="preserve">The clinical development program for </w:t>
      </w:r>
      <w:proofErr w:type="spellStart"/>
      <w:r>
        <w:t>lorlatinib</w:t>
      </w:r>
      <w:proofErr w:type="spellEnd"/>
      <w:r>
        <w:t xml:space="preserve"> presented in this submission included 7</w:t>
      </w:r>
      <w:r w:rsidR="008170A7">
        <w:t> </w:t>
      </w:r>
      <w:r>
        <w:t>clinical pharmacology studies involvin</w:t>
      </w:r>
      <w:r w:rsidR="0035023C">
        <w:t>g 112 healthy subjects and one Phase I/II</w:t>
      </w:r>
      <w:r>
        <w:t xml:space="preserve"> study (</w:t>
      </w:r>
      <w:r w:rsidR="0035023C">
        <w:t xml:space="preserve">Study </w:t>
      </w:r>
      <w:r>
        <w:t>B7461001) in 332 patients with advanced ALK-positive or ROS1-positive NSCLC.</w:t>
      </w:r>
      <w:r w:rsidRPr="001B4435">
        <w:t xml:space="preserve"> </w:t>
      </w:r>
      <w:r>
        <w:t xml:space="preserve">The dossier also included the </w:t>
      </w:r>
      <w:r w:rsidR="0035023C">
        <w:t>protocol for Study B7461006, a Phase III</w:t>
      </w:r>
      <w:r>
        <w:t xml:space="preserve"> randomised, controlled study comparing </w:t>
      </w:r>
      <w:proofErr w:type="spellStart"/>
      <w:r>
        <w:t>lorlatinib</w:t>
      </w:r>
      <w:proofErr w:type="spellEnd"/>
      <w:r>
        <w:t xml:space="preserve"> to </w:t>
      </w:r>
      <w:proofErr w:type="spellStart"/>
      <w:r>
        <w:t>crizotinib</w:t>
      </w:r>
      <w:proofErr w:type="spellEnd"/>
      <w:r>
        <w:t xml:space="preserve"> as first-line treatment of patients wit</w:t>
      </w:r>
      <w:r w:rsidR="0035023C">
        <w:t xml:space="preserve">h ALK-positive advanced NSCLC. </w:t>
      </w:r>
      <w:r>
        <w:t>That study is u</w:t>
      </w:r>
      <w:r w:rsidR="0035023C">
        <w:t>nderway but no efficacy data is</w:t>
      </w:r>
      <w:r>
        <w:t xml:space="preserve"> available</w:t>
      </w:r>
      <w:r w:rsidR="0035023C">
        <w:t xml:space="preserve"> yet. </w:t>
      </w:r>
      <w:r>
        <w:t xml:space="preserve">The interim results are expected by </w:t>
      </w:r>
      <w:r w:rsidR="008170A7">
        <w:t xml:space="preserve">the first quarter of </w:t>
      </w:r>
      <w:r>
        <w:t xml:space="preserve">2020 and the final clinical study report </w:t>
      </w:r>
      <w:r w:rsidR="0035023C">
        <w:t>(CSR) by 31 December 2021.</w:t>
      </w:r>
    </w:p>
    <w:p w:rsidR="00D51DCD" w:rsidRDefault="00D51DCD" w:rsidP="001C63BA">
      <w:pPr>
        <w:pStyle w:val="Heading4"/>
        <w:spacing w:before="240"/>
      </w:pPr>
      <w:r w:rsidRPr="00AA53F4">
        <w:lastRenderedPageBreak/>
        <w:t>Pharmacology</w:t>
      </w:r>
    </w:p>
    <w:p w:rsidR="00D51DCD" w:rsidRPr="009D46EF" w:rsidRDefault="00D51DCD" w:rsidP="001C63BA">
      <w:pPr>
        <w:keepNext/>
        <w:rPr>
          <w:lang w:eastAsia="ja-JP"/>
        </w:rPr>
      </w:pPr>
      <w:r>
        <w:rPr>
          <w:lang w:eastAsia="ja-JP"/>
        </w:rPr>
        <w:t xml:space="preserve">The submission included </w:t>
      </w:r>
      <w:proofErr w:type="gramStart"/>
      <w:r>
        <w:rPr>
          <w:lang w:eastAsia="ja-JP"/>
        </w:rPr>
        <w:t>7</w:t>
      </w:r>
      <w:proofErr w:type="gramEnd"/>
      <w:r>
        <w:rPr>
          <w:lang w:eastAsia="ja-JP"/>
        </w:rPr>
        <w:t xml:space="preserve"> clinical pharmacology studies:</w:t>
      </w:r>
    </w:p>
    <w:p w:rsidR="00D51DCD" w:rsidRPr="00381EF8" w:rsidRDefault="0035023C" w:rsidP="0035023C">
      <w:pPr>
        <w:pStyle w:val="ListBullet"/>
      </w:pPr>
      <w:r w:rsidRPr="0035023C">
        <w:t xml:space="preserve">Study </w:t>
      </w:r>
      <w:r w:rsidR="00D51DCD" w:rsidRPr="0035023C">
        <w:t>B7461004</w:t>
      </w:r>
      <w:r w:rsidR="00D51DCD" w:rsidRPr="00E17713">
        <w:rPr>
          <w:b/>
        </w:rPr>
        <w:t xml:space="preserve"> </w:t>
      </w:r>
      <w:r>
        <w:t>was a Phase I</w:t>
      </w:r>
      <w:r w:rsidR="00D51DCD" w:rsidRPr="00381EF8">
        <w:t>, open-label, single-dose, mass balance study conducted in the US</w:t>
      </w:r>
      <w:r>
        <w:t>A</w:t>
      </w:r>
      <w:r w:rsidR="00D51DCD" w:rsidRPr="00381EF8">
        <w:t xml:space="preserve"> in </w:t>
      </w:r>
      <w:proofErr w:type="gramStart"/>
      <w:r w:rsidR="00D51DCD" w:rsidRPr="00381EF8">
        <w:t>6</w:t>
      </w:r>
      <w:proofErr w:type="gramEnd"/>
      <w:r w:rsidR="00D51DCD" w:rsidRPr="00381EF8">
        <w:t xml:space="preserve"> healthy subjects</w:t>
      </w:r>
      <w:r w:rsidR="00D51DCD">
        <w:t>.</w:t>
      </w:r>
    </w:p>
    <w:p w:rsidR="00D51DCD" w:rsidRPr="00381EF8" w:rsidRDefault="0035023C" w:rsidP="0035023C">
      <w:pPr>
        <w:pStyle w:val="ListBullet"/>
        <w:rPr>
          <w:lang w:eastAsia="ja-JP"/>
        </w:rPr>
      </w:pPr>
      <w:r w:rsidRPr="0035023C">
        <w:t xml:space="preserve">Study </w:t>
      </w:r>
      <w:r w:rsidR="00D51DCD" w:rsidRPr="0035023C">
        <w:t>B7461005</w:t>
      </w:r>
      <w:r w:rsidR="00D51DCD">
        <w:rPr>
          <w:b/>
        </w:rPr>
        <w:t xml:space="preserve"> </w:t>
      </w:r>
      <w:r>
        <w:rPr>
          <w:lang w:eastAsia="ja-JP"/>
        </w:rPr>
        <w:t xml:space="preserve">was a Phase I, randomised, open label, 3 </w:t>
      </w:r>
      <w:r w:rsidR="00D51DCD" w:rsidRPr="00381EF8">
        <w:rPr>
          <w:lang w:eastAsia="ja-JP"/>
        </w:rPr>
        <w:t xml:space="preserve">period, </w:t>
      </w:r>
      <w:proofErr w:type="gramStart"/>
      <w:r w:rsidR="00D51DCD" w:rsidRPr="00381EF8">
        <w:rPr>
          <w:lang w:eastAsia="ja-JP"/>
        </w:rPr>
        <w:t>crossover</w:t>
      </w:r>
      <w:proofErr w:type="gramEnd"/>
      <w:r w:rsidR="00D51DCD" w:rsidRPr="00381EF8">
        <w:rPr>
          <w:lang w:eastAsia="ja-JP"/>
        </w:rPr>
        <w:t xml:space="preserve"> study performed in the US</w:t>
      </w:r>
      <w:r>
        <w:rPr>
          <w:lang w:eastAsia="ja-JP"/>
        </w:rPr>
        <w:t>A</w:t>
      </w:r>
      <w:r w:rsidR="00D51DCD" w:rsidRPr="00381EF8">
        <w:rPr>
          <w:lang w:eastAsia="ja-JP"/>
        </w:rPr>
        <w:t xml:space="preserve"> in 20 healthy subjects to investigate the relative bioavailability, safety and tolerability of </w:t>
      </w:r>
      <w:proofErr w:type="spellStart"/>
      <w:r w:rsidR="00D51DCD" w:rsidRPr="00381EF8">
        <w:rPr>
          <w:lang w:eastAsia="ja-JP"/>
        </w:rPr>
        <w:t>lorlatinib</w:t>
      </w:r>
      <w:proofErr w:type="spellEnd"/>
      <w:r w:rsidR="00D51DCD" w:rsidRPr="00381EF8">
        <w:rPr>
          <w:lang w:eastAsia="ja-JP"/>
        </w:rPr>
        <w:t xml:space="preserve"> in tablet formulations</w:t>
      </w:r>
      <w:r w:rsidR="00D51DCD">
        <w:rPr>
          <w:lang w:eastAsia="ja-JP"/>
        </w:rPr>
        <w:t>.</w:t>
      </w:r>
    </w:p>
    <w:p w:rsidR="00D51DCD" w:rsidRDefault="0035023C" w:rsidP="0035023C">
      <w:pPr>
        <w:pStyle w:val="ListBullet"/>
        <w:rPr>
          <w:lang w:eastAsia="ja-JP"/>
        </w:rPr>
      </w:pPr>
      <w:r w:rsidRPr="0035023C">
        <w:t xml:space="preserve">Study </w:t>
      </w:r>
      <w:r w:rsidR="00D51DCD" w:rsidRPr="0035023C">
        <w:t>B7461007</w:t>
      </w:r>
      <w:r w:rsidR="00D51DCD">
        <w:rPr>
          <w:b/>
        </w:rPr>
        <w:t xml:space="preserve"> </w:t>
      </w:r>
      <w:r>
        <w:rPr>
          <w:lang w:eastAsia="ja-JP"/>
        </w:rPr>
        <w:t xml:space="preserve">was a Phase I, single dose, randomised, 2 </w:t>
      </w:r>
      <w:r w:rsidR="00D51DCD" w:rsidRPr="00381EF8">
        <w:rPr>
          <w:lang w:eastAsia="ja-JP"/>
        </w:rPr>
        <w:t xml:space="preserve">period, </w:t>
      </w:r>
      <w:proofErr w:type="gramStart"/>
      <w:r w:rsidR="00D51DCD" w:rsidRPr="00381EF8">
        <w:rPr>
          <w:lang w:eastAsia="ja-JP"/>
        </w:rPr>
        <w:t>crossover</w:t>
      </w:r>
      <w:proofErr w:type="gramEnd"/>
      <w:r w:rsidR="00D51DCD" w:rsidRPr="00381EF8">
        <w:rPr>
          <w:lang w:eastAsia="ja-JP"/>
        </w:rPr>
        <w:t xml:space="preserve"> study performed in the US</w:t>
      </w:r>
      <w:r>
        <w:rPr>
          <w:lang w:eastAsia="ja-JP"/>
        </w:rPr>
        <w:t>A</w:t>
      </w:r>
      <w:r w:rsidR="00D51DCD" w:rsidRPr="00381EF8">
        <w:rPr>
          <w:lang w:eastAsia="ja-JP"/>
        </w:rPr>
        <w:t xml:space="preserve"> in 11 healthy subjects to investigate the relative bioavailability, safety and tolerability of </w:t>
      </w:r>
      <w:proofErr w:type="spellStart"/>
      <w:r w:rsidR="00D51DCD" w:rsidRPr="00381EF8">
        <w:rPr>
          <w:lang w:eastAsia="ja-JP"/>
        </w:rPr>
        <w:t>lorlatinib</w:t>
      </w:r>
      <w:proofErr w:type="spellEnd"/>
      <w:r w:rsidR="00D51DCD" w:rsidRPr="00381EF8">
        <w:rPr>
          <w:lang w:eastAsia="ja-JP"/>
        </w:rPr>
        <w:t xml:space="preserve"> in </w:t>
      </w:r>
      <w:r>
        <w:rPr>
          <w:lang w:eastAsia="ja-JP"/>
        </w:rPr>
        <w:t>intravenous (</w:t>
      </w:r>
      <w:r w:rsidR="00D51DCD" w:rsidRPr="00381EF8">
        <w:rPr>
          <w:lang w:eastAsia="ja-JP"/>
        </w:rPr>
        <w:t>IV</w:t>
      </w:r>
      <w:r>
        <w:rPr>
          <w:lang w:eastAsia="ja-JP"/>
        </w:rPr>
        <w:t>)</w:t>
      </w:r>
      <w:r w:rsidR="00D51DCD" w:rsidRPr="00381EF8">
        <w:rPr>
          <w:lang w:eastAsia="ja-JP"/>
        </w:rPr>
        <w:t xml:space="preserve"> administration</w:t>
      </w:r>
      <w:r w:rsidR="00D51DCD">
        <w:rPr>
          <w:lang w:eastAsia="ja-JP"/>
        </w:rPr>
        <w:t>.</w:t>
      </w:r>
    </w:p>
    <w:p w:rsidR="00D51DCD" w:rsidRPr="00381EF8" w:rsidRDefault="0035023C" w:rsidP="0035023C">
      <w:pPr>
        <w:pStyle w:val="ListBullet"/>
        <w:rPr>
          <w:lang w:eastAsia="ja-JP"/>
        </w:rPr>
      </w:pPr>
      <w:r w:rsidRPr="0035023C">
        <w:t xml:space="preserve">Study </w:t>
      </w:r>
      <w:r w:rsidR="00D51DCD" w:rsidRPr="0035023C">
        <w:t>B7461008</w:t>
      </w:r>
      <w:r w:rsidR="00D51DCD">
        <w:rPr>
          <w:b/>
        </w:rPr>
        <w:t xml:space="preserve"> </w:t>
      </w:r>
      <w:r>
        <w:rPr>
          <w:lang w:eastAsia="ja-JP"/>
        </w:rPr>
        <w:t>was a Phase I</w:t>
      </w:r>
      <w:r w:rsidR="00D51DCD" w:rsidRPr="00381EF8">
        <w:rPr>
          <w:lang w:eastAsia="ja-JP"/>
        </w:rPr>
        <w:t>, random</w:t>
      </w:r>
      <w:r>
        <w:rPr>
          <w:lang w:eastAsia="ja-JP"/>
        </w:rPr>
        <w:t xml:space="preserve">ized, open label, 4 </w:t>
      </w:r>
      <w:r w:rsidR="00D51DCD" w:rsidRPr="00381EF8">
        <w:rPr>
          <w:lang w:eastAsia="ja-JP"/>
        </w:rPr>
        <w:t xml:space="preserve">period crossover study performed in Belgium in 27 healthy subjects to assess the impact of </w:t>
      </w:r>
      <w:proofErr w:type="spellStart"/>
      <w:r w:rsidR="00D51DCD" w:rsidRPr="00381EF8">
        <w:rPr>
          <w:lang w:eastAsia="ja-JP"/>
        </w:rPr>
        <w:t>rabeprazole</w:t>
      </w:r>
      <w:proofErr w:type="spellEnd"/>
      <w:r w:rsidR="00D51DCD" w:rsidRPr="00381EF8">
        <w:rPr>
          <w:lang w:eastAsia="ja-JP"/>
        </w:rPr>
        <w:t xml:space="preserve">, a high fat meal and overnight fasting on the </w:t>
      </w:r>
      <w:r>
        <w:rPr>
          <w:lang w:eastAsia="ja-JP"/>
        </w:rPr>
        <w:t>pharmacokinetics (</w:t>
      </w:r>
      <w:r w:rsidR="00D51DCD" w:rsidRPr="00381EF8">
        <w:rPr>
          <w:lang w:eastAsia="ja-JP"/>
        </w:rPr>
        <w:t>PK</w:t>
      </w:r>
      <w:r>
        <w:rPr>
          <w:lang w:eastAsia="ja-JP"/>
        </w:rPr>
        <w:t>)</w:t>
      </w:r>
      <w:r w:rsidR="00D51DCD" w:rsidRPr="00381EF8">
        <w:rPr>
          <w:lang w:eastAsia="ja-JP"/>
        </w:rPr>
        <w:t xml:space="preserve"> of </w:t>
      </w:r>
      <w:proofErr w:type="spellStart"/>
      <w:r w:rsidR="00D51DCD" w:rsidRPr="00381EF8">
        <w:rPr>
          <w:lang w:eastAsia="ja-JP"/>
        </w:rPr>
        <w:t>lorlatinib</w:t>
      </w:r>
      <w:proofErr w:type="spellEnd"/>
      <w:r w:rsidR="00D51DCD">
        <w:rPr>
          <w:lang w:eastAsia="ja-JP"/>
        </w:rPr>
        <w:t>.</w:t>
      </w:r>
    </w:p>
    <w:p w:rsidR="00D51DCD" w:rsidRPr="00381EF8" w:rsidRDefault="0035023C" w:rsidP="0035023C">
      <w:pPr>
        <w:pStyle w:val="ListBullet"/>
        <w:rPr>
          <w:lang w:eastAsia="ja-JP"/>
        </w:rPr>
      </w:pPr>
      <w:r w:rsidRPr="0035023C">
        <w:t xml:space="preserve">Study </w:t>
      </w:r>
      <w:r w:rsidR="00D51DCD" w:rsidRPr="0035023C">
        <w:t>B7461016</w:t>
      </w:r>
      <w:r w:rsidR="00D51DCD">
        <w:rPr>
          <w:b/>
        </w:rPr>
        <w:t xml:space="preserve"> </w:t>
      </w:r>
      <w:r>
        <w:rPr>
          <w:lang w:eastAsia="ja-JP"/>
        </w:rPr>
        <w:t xml:space="preserve">was a Phase I, randomised, single dose, 4 </w:t>
      </w:r>
      <w:r w:rsidR="00D51DCD" w:rsidRPr="00381EF8">
        <w:rPr>
          <w:lang w:eastAsia="ja-JP"/>
        </w:rPr>
        <w:t xml:space="preserve">period, </w:t>
      </w:r>
      <w:proofErr w:type="gramStart"/>
      <w:r w:rsidR="00D51DCD" w:rsidRPr="00381EF8">
        <w:rPr>
          <w:lang w:eastAsia="ja-JP"/>
        </w:rPr>
        <w:t>crossover</w:t>
      </w:r>
      <w:proofErr w:type="gramEnd"/>
      <w:r w:rsidR="00D51DCD" w:rsidRPr="00381EF8">
        <w:rPr>
          <w:lang w:eastAsia="ja-JP"/>
        </w:rPr>
        <w:t xml:space="preserve"> study performed in Belgium in 20 healthy subjects to demonstrate the bioequivalence of 3</w:t>
      </w:r>
      <w:r w:rsidR="008170A7">
        <w:rPr>
          <w:lang w:eastAsia="ja-JP"/>
        </w:rPr>
        <w:t> </w:t>
      </w:r>
      <w:r w:rsidR="00D51DCD" w:rsidRPr="00381EF8">
        <w:rPr>
          <w:lang w:eastAsia="ja-JP"/>
        </w:rPr>
        <w:t xml:space="preserve">proposed commercial </w:t>
      </w:r>
      <w:proofErr w:type="spellStart"/>
      <w:r w:rsidR="00D51DCD" w:rsidRPr="00381EF8">
        <w:rPr>
          <w:lang w:eastAsia="ja-JP"/>
        </w:rPr>
        <w:t>lorlatinib</w:t>
      </w:r>
      <w:proofErr w:type="spellEnd"/>
      <w:r w:rsidR="00D51DCD" w:rsidRPr="00381EF8">
        <w:rPr>
          <w:lang w:eastAsia="ja-JP"/>
        </w:rPr>
        <w:t xml:space="preserve"> tablet strengths</w:t>
      </w:r>
      <w:r w:rsidR="00D51DCD">
        <w:rPr>
          <w:lang w:eastAsia="ja-JP"/>
        </w:rPr>
        <w:t>.</w:t>
      </w:r>
    </w:p>
    <w:p w:rsidR="00D51DCD" w:rsidRPr="00381EF8" w:rsidRDefault="0035023C" w:rsidP="0035023C">
      <w:pPr>
        <w:pStyle w:val="ListBullet"/>
        <w:rPr>
          <w:lang w:eastAsia="ja-JP"/>
        </w:rPr>
      </w:pPr>
      <w:r w:rsidRPr="0035023C">
        <w:t xml:space="preserve">Study </w:t>
      </w:r>
      <w:r w:rsidR="00D51DCD" w:rsidRPr="0035023C">
        <w:t>B7461011</w:t>
      </w:r>
      <w:r w:rsidR="00D51DCD">
        <w:rPr>
          <w:b/>
        </w:rPr>
        <w:t xml:space="preserve"> </w:t>
      </w:r>
      <w:r>
        <w:rPr>
          <w:lang w:eastAsia="ja-JP"/>
        </w:rPr>
        <w:t xml:space="preserve">was a Phase I, open label, 2 period, 2 </w:t>
      </w:r>
      <w:r w:rsidR="00D51DCD" w:rsidRPr="00381EF8">
        <w:rPr>
          <w:lang w:eastAsia="ja-JP"/>
        </w:rPr>
        <w:t xml:space="preserve">treatment, </w:t>
      </w:r>
      <w:proofErr w:type="gramStart"/>
      <w:r w:rsidR="00D51DCD" w:rsidRPr="00381EF8">
        <w:rPr>
          <w:lang w:eastAsia="ja-JP"/>
        </w:rPr>
        <w:t>crossover</w:t>
      </w:r>
      <w:proofErr w:type="gramEnd"/>
      <w:r w:rsidR="00D51DCD" w:rsidRPr="00381EF8">
        <w:rPr>
          <w:lang w:eastAsia="ja-JP"/>
        </w:rPr>
        <w:t xml:space="preserve"> study performed in the US</w:t>
      </w:r>
      <w:r>
        <w:rPr>
          <w:lang w:eastAsia="ja-JP"/>
        </w:rPr>
        <w:t>A</w:t>
      </w:r>
      <w:r w:rsidR="00D51DCD" w:rsidRPr="00381EF8">
        <w:rPr>
          <w:lang w:eastAsia="ja-JP"/>
        </w:rPr>
        <w:t xml:space="preserve"> in 12 healthy subjects to assess the effect of rifampicin on the PK of </w:t>
      </w:r>
      <w:proofErr w:type="spellStart"/>
      <w:r w:rsidR="00D51DCD" w:rsidRPr="00381EF8">
        <w:rPr>
          <w:lang w:eastAsia="ja-JP"/>
        </w:rPr>
        <w:t>lorlatinib</w:t>
      </w:r>
      <w:proofErr w:type="spellEnd"/>
      <w:r w:rsidR="00D51DCD" w:rsidRPr="00381EF8">
        <w:rPr>
          <w:lang w:eastAsia="ja-JP"/>
        </w:rPr>
        <w:t xml:space="preserve"> under fasting conditions</w:t>
      </w:r>
      <w:r w:rsidR="00D51DCD">
        <w:rPr>
          <w:lang w:eastAsia="ja-JP"/>
        </w:rPr>
        <w:t>.</w:t>
      </w:r>
    </w:p>
    <w:p w:rsidR="00D51DCD" w:rsidRPr="00381EF8" w:rsidRDefault="0035023C" w:rsidP="0035023C">
      <w:pPr>
        <w:pStyle w:val="ListBullet"/>
        <w:rPr>
          <w:lang w:eastAsia="ja-JP"/>
        </w:rPr>
      </w:pPr>
      <w:r w:rsidRPr="0035023C">
        <w:t xml:space="preserve">Study </w:t>
      </w:r>
      <w:r w:rsidR="00D51DCD" w:rsidRPr="0035023C">
        <w:t>B7461012</w:t>
      </w:r>
      <w:r w:rsidR="00D51DCD">
        <w:rPr>
          <w:b/>
        </w:rPr>
        <w:t xml:space="preserve"> </w:t>
      </w:r>
      <w:r>
        <w:rPr>
          <w:lang w:eastAsia="ja-JP"/>
        </w:rPr>
        <w:t xml:space="preserve">was a Phase I, open label, 2 </w:t>
      </w:r>
      <w:r w:rsidR="00D51DCD" w:rsidRPr="00381EF8">
        <w:rPr>
          <w:lang w:eastAsia="ja-JP"/>
        </w:rPr>
        <w:t xml:space="preserve">period study performed in Belgium in 16 healthy subjects to estimate the effect of multiple doses of </w:t>
      </w:r>
      <w:proofErr w:type="spellStart"/>
      <w:r w:rsidR="00D51DCD" w:rsidRPr="00381EF8">
        <w:rPr>
          <w:lang w:eastAsia="ja-JP"/>
        </w:rPr>
        <w:t>itraconazole</w:t>
      </w:r>
      <w:proofErr w:type="spellEnd"/>
      <w:r w:rsidR="00D51DCD" w:rsidRPr="00381EF8">
        <w:rPr>
          <w:lang w:eastAsia="ja-JP"/>
        </w:rPr>
        <w:t xml:space="preserve"> on the PK of </w:t>
      </w:r>
      <w:proofErr w:type="spellStart"/>
      <w:r w:rsidR="00D51DCD" w:rsidRPr="00381EF8">
        <w:rPr>
          <w:lang w:eastAsia="ja-JP"/>
        </w:rPr>
        <w:t>lorlatinib</w:t>
      </w:r>
      <w:proofErr w:type="spellEnd"/>
      <w:r w:rsidR="00D51DCD">
        <w:rPr>
          <w:lang w:eastAsia="ja-JP"/>
        </w:rPr>
        <w:t>.</w:t>
      </w:r>
    </w:p>
    <w:p w:rsidR="00D51DCD" w:rsidRDefault="008D0771" w:rsidP="00D51DCD">
      <w:pPr>
        <w:pStyle w:val="Heading5"/>
      </w:pPr>
      <w:r>
        <w:t>Pharmacokinetics</w:t>
      </w:r>
    </w:p>
    <w:p w:rsidR="00D51DCD" w:rsidRPr="00B879E9" w:rsidRDefault="00D51DCD" w:rsidP="0035023C">
      <w:pPr>
        <w:rPr>
          <w:bCs/>
          <w:lang w:eastAsia="ja-JP"/>
        </w:rPr>
      </w:pPr>
      <w:proofErr w:type="spellStart"/>
      <w:r w:rsidRPr="002C6352">
        <w:rPr>
          <w:bCs/>
          <w:lang w:eastAsia="ja-JP"/>
        </w:rPr>
        <w:t>Lorlatinib</w:t>
      </w:r>
      <w:proofErr w:type="spellEnd"/>
      <w:r w:rsidRPr="002C6352">
        <w:rPr>
          <w:bCs/>
          <w:lang w:eastAsia="ja-JP"/>
        </w:rPr>
        <w:t xml:space="preserve"> showed dose-proportional increase in </w:t>
      </w:r>
      <w:r w:rsidR="0035023C">
        <w:rPr>
          <w:bCs/>
          <w:lang w:eastAsia="ja-JP"/>
        </w:rPr>
        <w:t>maximum plasma concentration (</w:t>
      </w:r>
      <w:proofErr w:type="spellStart"/>
      <w:r w:rsidRPr="002C6352">
        <w:rPr>
          <w:bCs/>
          <w:lang w:eastAsia="ja-JP"/>
        </w:rPr>
        <w:t>C</w:t>
      </w:r>
      <w:r w:rsidRPr="00B30C06">
        <w:rPr>
          <w:bCs/>
          <w:vertAlign w:val="subscript"/>
          <w:lang w:eastAsia="ja-JP"/>
        </w:rPr>
        <w:t>max</w:t>
      </w:r>
      <w:proofErr w:type="spellEnd"/>
      <w:r w:rsidR="0035023C">
        <w:rPr>
          <w:bCs/>
          <w:lang w:eastAsia="ja-JP"/>
        </w:rPr>
        <w:t>)</w:t>
      </w:r>
      <w:r w:rsidRPr="002C6352">
        <w:rPr>
          <w:bCs/>
          <w:lang w:eastAsia="ja-JP"/>
        </w:rPr>
        <w:t xml:space="preserve"> and </w:t>
      </w:r>
      <w:r w:rsidR="0035023C" w:rsidRPr="0035023C">
        <w:rPr>
          <w:bCs/>
          <w:lang w:eastAsia="ja-JP"/>
        </w:rPr>
        <w:t>area under the concentration time-curve over the ti</w:t>
      </w:r>
      <w:r w:rsidR="0035023C">
        <w:rPr>
          <w:bCs/>
          <w:lang w:eastAsia="ja-JP"/>
        </w:rPr>
        <w:t xml:space="preserve">me interval from </w:t>
      </w:r>
      <w:proofErr w:type="gramStart"/>
      <w:r w:rsidR="0035023C">
        <w:rPr>
          <w:bCs/>
          <w:lang w:eastAsia="ja-JP"/>
        </w:rPr>
        <w:t>0</w:t>
      </w:r>
      <w:proofErr w:type="gramEnd"/>
      <w:r w:rsidR="0035023C">
        <w:rPr>
          <w:bCs/>
          <w:lang w:eastAsia="ja-JP"/>
        </w:rPr>
        <w:t xml:space="preserve"> extrapolated </w:t>
      </w:r>
      <w:r w:rsidR="0035023C" w:rsidRPr="0035023C">
        <w:rPr>
          <w:bCs/>
          <w:lang w:eastAsia="ja-JP"/>
        </w:rPr>
        <w:t xml:space="preserve">to infinity </w:t>
      </w:r>
      <w:r w:rsidR="0035023C">
        <w:rPr>
          <w:bCs/>
          <w:lang w:eastAsia="ja-JP"/>
        </w:rPr>
        <w:t>(</w:t>
      </w:r>
      <w:proofErr w:type="spellStart"/>
      <w:r w:rsidRPr="002C6352">
        <w:rPr>
          <w:bCs/>
          <w:lang w:eastAsia="ja-JP"/>
        </w:rPr>
        <w:t>AUC</w:t>
      </w:r>
      <w:r>
        <w:rPr>
          <w:bCs/>
          <w:vertAlign w:val="subscript"/>
          <w:lang w:eastAsia="ja-JP"/>
        </w:rPr>
        <w:t>inf</w:t>
      </w:r>
      <w:proofErr w:type="spellEnd"/>
      <w:r w:rsidR="0035023C">
        <w:rPr>
          <w:bCs/>
          <w:lang w:eastAsia="ja-JP"/>
        </w:rPr>
        <w:t>)</w:t>
      </w:r>
      <w:r w:rsidRPr="002C6352">
        <w:rPr>
          <w:bCs/>
          <w:lang w:eastAsia="ja-JP"/>
        </w:rPr>
        <w:t xml:space="preserve"> across the dose range of 10 to 200</w:t>
      </w:r>
      <w:r>
        <w:rPr>
          <w:bCs/>
          <w:lang w:eastAsia="ja-JP"/>
        </w:rPr>
        <w:t xml:space="preserve"> </w:t>
      </w:r>
      <w:r w:rsidRPr="002C6352">
        <w:rPr>
          <w:bCs/>
          <w:lang w:eastAsia="ja-JP"/>
        </w:rPr>
        <w:t>mg following a</w:t>
      </w:r>
      <w:r w:rsidR="0035023C">
        <w:rPr>
          <w:bCs/>
          <w:lang w:eastAsia="ja-JP"/>
        </w:rPr>
        <w:t xml:space="preserve"> single dose. </w:t>
      </w:r>
      <w:r>
        <w:rPr>
          <w:bCs/>
          <w:lang w:eastAsia="ja-JP"/>
        </w:rPr>
        <w:t xml:space="preserve">After multiple dose administration, </w:t>
      </w:r>
      <w:proofErr w:type="spellStart"/>
      <w:r>
        <w:rPr>
          <w:bCs/>
          <w:lang w:eastAsia="ja-JP"/>
        </w:rPr>
        <w:t>lorlatinib</w:t>
      </w:r>
      <w:proofErr w:type="spellEnd"/>
      <w:r>
        <w:rPr>
          <w:bCs/>
          <w:lang w:eastAsia="ja-JP"/>
        </w:rPr>
        <w:t xml:space="preserve"> </w:t>
      </w:r>
      <w:proofErr w:type="spellStart"/>
      <w:r w:rsidRPr="002C6352">
        <w:rPr>
          <w:bCs/>
          <w:lang w:eastAsia="ja-JP"/>
        </w:rPr>
        <w:t>C</w:t>
      </w:r>
      <w:r w:rsidRPr="00B30C06">
        <w:rPr>
          <w:bCs/>
          <w:vertAlign w:val="subscript"/>
          <w:lang w:eastAsia="ja-JP"/>
        </w:rPr>
        <w:t>max</w:t>
      </w:r>
      <w:proofErr w:type="spellEnd"/>
      <w:r>
        <w:rPr>
          <w:bCs/>
          <w:lang w:eastAsia="ja-JP"/>
        </w:rPr>
        <w:t xml:space="preserve"> increased </w:t>
      </w:r>
      <w:r w:rsidRPr="002C6352">
        <w:rPr>
          <w:bCs/>
          <w:lang w:eastAsia="ja-JP"/>
        </w:rPr>
        <w:t>dose-proportional</w:t>
      </w:r>
      <w:r>
        <w:rPr>
          <w:bCs/>
          <w:lang w:eastAsia="ja-JP"/>
        </w:rPr>
        <w:t xml:space="preserve">ly and </w:t>
      </w:r>
      <w:proofErr w:type="spellStart"/>
      <w:r>
        <w:rPr>
          <w:bCs/>
          <w:lang w:eastAsia="ja-JP"/>
        </w:rPr>
        <w:t>AUC</w:t>
      </w:r>
      <w:r w:rsidRPr="00B879E9">
        <w:rPr>
          <w:bCs/>
          <w:vertAlign w:val="subscript"/>
          <w:lang w:eastAsia="ja-JP"/>
        </w:rPr>
        <w:t>inf</w:t>
      </w:r>
      <w:proofErr w:type="spellEnd"/>
      <w:r>
        <w:rPr>
          <w:bCs/>
          <w:lang w:eastAsia="ja-JP"/>
        </w:rPr>
        <w:t xml:space="preserve"> increased slightly less than </w:t>
      </w:r>
      <w:r w:rsidRPr="002C6352">
        <w:rPr>
          <w:bCs/>
          <w:lang w:eastAsia="ja-JP"/>
        </w:rPr>
        <w:t>dose-proportional</w:t>
      </w:r>
      <w:r>
        <w:rPr>
          <w:bCs/>
          <w:lang w:eastAsia="ja-JP"/>
        </w:rPr>
        <w:t xml:space="preserve">ly over </w:t>
      </w:r>
      <w:r w:rsidRPr="002C6352">
        <w:rPr>
          <w:bCs/>
          <w:lang w:eastAsia="ja-JP"/>
        </w:rPr>
        <w:t>the dose range of 10 to 200</w:t>
      </w:r>
      <w:r>
        <w:rPr>
          <w:bCs/>
          <w:lang w:eastAsia="ja-JP"/>
        </w:rPr>
        <w:t xml:space="preserve"> </w:t>
      </w:r>
      <w:r w:rsidRPr="002C6352">
        <w:rPr>
          <w:bCs/>
          <w:lang w:eastAsia="ja-JP"/>
        </w:rPr>
        <w:t>mg</w:t>
      </w:r>
      <w:r>
        <w:rPr>
          <w:bCs/>
          <w:lang w:eastAsia="ja-JP"/>
        </w:rPr>
        <w:t xml:space="preserve"> </w:t>
      </w:r>
      <w:r w:rsidR="0035023C">
        <w:rPr>
          <w:bCs/>
          <w:lang w:eastAsia="ja-JP"/>
        </w:rPr>
        <w:t>once daily (</w:t>
      </w:r>
      <w:r>
        <w:rPr>
          <w:bCs/>
          <w:lang w:eastAsia="ja-JP"/>
        </w:rPr>
        <w:t>QD</w:t>
      </w:r>
      <w:r w:rsidR="0035023C">
        <w:rPr>
          <w:bCs/>
          <w:lang w:eastAsia="ja-JP"/>
        </w:rPr>
        <w:t>)</w:t>
      </w:r>
      <w:r>
        <w:rPr>
          <w:bCs/>
          <w:lang w:eastAsia="ja-JP"/>
        </w:rPr>
        <w:t>.</w:t>
      </w:r>
    </w:p>
    <w:p w:rsidR="00D51DCD" w:rsidRDefault="00D51DCD" w:rsidP="00D51DCD">
      <w:pPr>
        <w:autoSpaceDE w:val="0"/>
        <w:autoSpaceDN w:val="0"/>
        <w:adjustRightInd w:val="0"/>
        <w:spacing w:line="240" w:lineRule="auto"/>
        <w:rPr>
          <w:rFonts w:asciiTheme="minorHAnsi" w:eastAsiaTheme="minorHAnsi" w:hAnsiTheme="minorHAnsi" w:cs="Calibri"/>
        </w:rPr>
      </w:pPr>
      <w:r>
        <w:rPr>
          <w:rFonts w:asciiTheme="minorHAnsi" w:eastAsiaTheme="minorHAnsi" w:hAnsiTheme="minorHAnsi" w:cs="Calibri"/>
        </w:rPr>
        <w:t>M</w:t>
      </w:r>
      <w:r w:rsidRPr="00B30C06">
        <w:rPr>
          <w:rFonts w:asciiTheme="minorHAnsi" w:eastAsiaTheme="minorHAnsi" w:hAnsiTheme="minorHAnsi" w:cs="Calibri"/>
        </w:rPr>
        <w:t xml:space="preserve">edian </w:t>
      </w:r>
      <w:r w:rsidR="00863906">
        <w:rPr>
          <w:rFonts w:asciiTheme="minorHAnsi" w:eastAsiaTheme="minorHAnsi" w:hAnsiTheme="minorHAnsi" w:cs="Calibri"/>
        </w:rPr>
        <w:t>time of maximum plasma concentration (</w:t>
      </w:r>
      <w:proofErr w:type="spellStart"/>
      <w:r w:rsidRPr="00B30C06">
        <w:rPr>
          <w:rFonts w:asciiTheme="minorHAnsi" w:eastAsiaTheme="minorHAnsi" w:hAnsiTheme="minorHAnsi" w:cs="Calibri"/>
        </w:rPr>
        <w:t>T</w:t>
      </w:r>
      <w:r w:rsidRPr="00B30C06">
        <w:rPr>
          <w:rFonts w:asciiTheme="minorHAnsi" w:eastAsiaTheme="minorHAnsi" w:hAnsiTheme="minorHAnsi" w:cs="Calibri"/>
          <w:vertAlign w:val="subscript"/>
        </w:rPr>
        <w:t>max</w:t>
      </w:r>
      <w:proofErr w:type="spellEnd"/>
      <w:r w:rsidR="00863906">
        <w:rPr>
          <w:rFonts w:asciiTheme="minorHAnsi" w:eastAsiaTheme="minorHAnsi" w:hAnsiTheme="minorHAnsi" w:cs="Calibri"/>
        </w:rPr>
        <w:t>)</w:t>
      </w:r>
      <w:r w:rsidRPr="00B30C06">
        <w:rPr>
          <w:rFonts w:asciiTheme="minorHAnsi" w:eastAsiaTheme="minorHAnsi" w:hAnsiTheme="minorHAnsi" w:cs="Calibri"/>
        </w:rPr>
        <w:t xml:space="preserve"> was 1.2 hours following a single oral 100 mg dose and 2 hours following 100 mg ora</w:t>
      </w:r>
      <w:r>
        <w:rPr>
          <w:rFonts w:asciiTheme="minorHAnsi" w:eastAsiaTheme="minorHAnsi" w:hAnsiTheme="minorHAnsi" w:cs="Calibri"/>
        </w:rPr>
        <w:t>l</w:t>
      </w:r>
      <w:r w:rsidR="00863906">
        <w:rPr>
          <w:rFonts w:asciiTheme="minorHAnsi" w:eastAsiaTheme="minorHAnsi" w:hAnsiTheme="minorHAnsi" w:cs="Calibri"/>
        </w:rPr>
        <w:t>ly once daily at steady state.</w:t>
      </w:r>
    </w:p>
    <w:p w:rsidR="00D51DCD" w:rsidRDefault="00D51DCD" w:rsidP="00D51DCD">
      <w:pPr>
        <w:autoSpaceDE w:val="0"/>
        <w:autoSpaceDN w:val="0"/>
        <w:adjustRightInd w:val="0"/>
        <w:spacing w:line="240" w:lineRule="auto"/>
      </w:pPr>
      <w:r w:rsidRPr="00B30C06">
        <w:rPr>
          <w:rFonts w:asciiTheme="minorHAnsi" w:eastAsiaTheme="minorHAnsi" w:hAnsiTheme="minorHAnsi" w:cs="Calibri"/>
        </w:rPr>
        <w:t xml:space="preserve">The mean absolute bioavailability is 81% after oral administration compared to </w:t>
      </w:r>
      <w:r>
        <w:rPr>
          <w:rFonts w:asciiTheme="minorHAnsi" w:eastAsiaTheme="minorHAnsi" w:hAnsiTheme="minorHAnsi" w:cs="Calibri"/>
        </w:rPr>
        <w:t>IV</w:t>
      </w:r>
      <w:r w:rsidRPr="00B30C06">
        <w:rPr>
          <w:rFonts w:asciiTheme="minorHAnsi" w:eastAsiaTheme="minorHAnsi" w:hAnsiTheme="minorHAnsi" w:cs="Calibri"/>
        </w:rPr>
        <w:t xml:space="preserve"> administration.</w:t>
      </w:r>
      <w:r w:rsidR="00863906">
        <w:rPr>
          <w:rFonts w:asciiTheme="minorHAnsi" w:eastAsiaTheme="minorHAnsi" w:hAnsiTheme="minorHAnsi" w:cs="Calibri"/>
        </w:rPr>
        <w:t xml:space="preserve"> </w:t>
      </w:r>
      <w:r>
        <w:rPr>
          <w:rFonts w:asciiTheme="minorHAnsi" w:eastAsiaTheme="minorHAnsi" w:hAnsiTheme="minorHAnsi" w:cs="Calibri"/>
        </w:rPr>
        <w:t xml:space="preserve">There was </w:t>
      </w:r>
      <w:r>
        <w:t xml:space="preserve">no clinically relevant difference in bioavailability based </w:t>
      </w:r>
      <w:r w:rsidR="00863906">
        <w:t>on food effect, oral solution versus</w:t>
      </w:r>
      <w:r>
        <w:t xml:space="preserve"> immediate release tablet, administration with </w:t>
      </w:r>
      <w:proofErr w:type="spellStart"/>
      <w:r>
        <w:t>rabepra</w:t>
      </w:r>
      <w:r w:rsidR="00863906">
        <w:t>zole</w:t>
      </w:r>
      <w:proofErr w:type="spellEnd"/>
      <w:r w:rsidR="00863906">
        <w:t xml:space="preserve"> and clinical formulation versus</w:t>
      </w:r>
      <w:r>
        <w:t xml:space="preserve"> commercial formulation.</w:t>
      </w:r>
    </w:p>
    <w:p w:rsidR="00D51DCD" w:rsidRPr="008D0771" w:rsidRDefault="00D51DCD" w:rsidP="008D0771">
      <w:r w:rsidRPr="008D0771">
        <w:t>The mean steady state volume of distribution was 305</w:t>
      </w:r>
      <w:r w:rsidR="00863906">
        <w:t xml:space="preserve"> </w:t>
      </w:r>
      <w:r w:rsidRPr="008D0771">
        <w:t xml:space="preserve">L following a single </w:t>
      </w:r>
      <w:r w:rsidR="00863906">
        <w:t>IV</w:t>
      </w:r>
      <w:r w:rsidRPr="008D0771">
        <w:t xml:space="preserve"> 50</w:t>
      </w:r>
      <w:r w:rsidR="00863906">
        <w:t xml:space="preserve"> </w:t>
      </w:r>
      <w:r w:rsidRPr="008D0771">
        <w:t>mg dose.</w:t>
      </w:r>
    </w:p>
    <w:p w:rsidR="00D51DCD" w:rsidRDefault="00D51DCD" w:rsidP="00D51DCD">
      <w:pPr>
        <w:autoSpaceDE w:val="0"/>
        <w:autoSpaceDN w:val="0"/>
        <w:adjustRightInd w:val="0"/>
        <w:spacing w:line="240" w:lineRule="auto"/>
        <w:rPr>
          <w:rFonts w:asciiTheme="minorHAnsi" w:eastAsiaTheme="minorHAnsi" w:hAnsiTheme="minorHAnsi" w:cs="Calibri"/>
        </w:rPr>
      </w:pPr>
      <w:r w:rsidRPr="001E1A5D">
        <w:rPr>
          <w:rFonts w:asciiTheme="minorHAnsi" w:eastAsiaTheme="minorHAnsi" w:hAnsiTheme="minorHAnsi" w:cs="Calibri"/>
        </w:rPr>
        <w:t xml:space="preserve">The mean plasma half-life of </w:t>
      </w:r>
      <w:proofErr w:type="spellStart"/>
      <w:r w:rsidRPr="001E1A5D">
        <w:rPr>
          <w:rFonts w:asciiTheme="minorHAnsi" w:eastAsiaTheme="minorHAnsi" w:hAnsiTheme="minorHAnsi" w:cs="Calibri"/>
        </w:rPr>
        <w:t>lorlatinib</w:t>
      </w:r>
      <w:proofErr w:type="spellEnd"/>
      <w:r w:rsidRPr="001E1A5D">
        <w:rPr>
          <w:rFonts w:asciiTheme="minorHAnsi" w:eastAsiaTheme="minorHAnsi" w:hAnsiTheme="minorHAnsi" w:cs="Calibri"/>
        </w:rPr>
        <w:t xml:space="preserve"> was 24 hours after a single oral 100 mg dose of </w:t>
      </w:r>
      <w:proofErr w:type="spellStart"/>
      <w:r w:rsidRPr="001E1A5D">
        <w:rPr>
          <w:rFonts w:asciiTheme="minorHAnsi" w:eastAsiaTheme="minorHAnsi" w:hAnsiTheme="minorHAnsi" w:cs="Calibri"/>
        </w:rPr>
        <w:t>lorlatinib</w:t>
      </w:r>
      <w:proofErr w:type="spellEnd"/>
      <w:r w:rsidRPr="001E1A5D">
        <w:rPr>
          <w:rFonts w:asciiTheme="minorHAnsi" w:eastAsiaTheme="minorHAnsi" w:hAnsiTheme="minorHAnsi" w:cs="Calibri"/>
        </w:rPr>
        <w:t>. The mean oral clearance was 11 L/h following a single o</w:t>
      </w:r>
      <w:r w:rsidR="00863906">
        <w:rPr>
          <w:rFonts w:asciiTheme="minorHAnsi" w:eastAsiaTheme="minorHAnsi" w:hAnsiTheme="minorHAnsi" w:cs="Calibri"/>
        </w:rPr>
        <w:t>ral 100 mg dose and 18 </w:t>
      </w:r>
      <w:r w:rsidRPr="001E1A5D">
        <w:rPr>
          <w:rFonts w:asciiTheme="minorHAnsi" w:eastAsiaTheme="minorHAnsi" w:hAnsiTheme="minorHAnsi" w:cs="Calibri"/>
        </w:rPr>
        <w:t>L/h at steady state.</w:t>
      </w:r>
    </w:p>
    <w:p w:rsidR="00D51DCD" w:rsidRPr="00CD1FAD" w:rsidRDefault="00D51DCD" w:rsidP="00D51DCD">
      <w:pPr>
        <w:autoSpaceDE w:val="0"/>
        <w:autoSpaceDN w:val="0"/>
        <w:adjustRightInd w:val="0"/>
        <w:spacing w:line="240" w:lineRule="auto"/>
        <w:rPr>
          <w:rFonts w:asciiTheme="minorHAnsi" w:hAnsiTheme="minorHAnsi"/>
        </w:rPr>
      </w:pPr>
      <w:r w:rsidRPr="00CD1FAD">
        <w:rPr>
          <w:rFonts w:asciiTheme="minorHAnsi" w:eastAsiaTheme="minorHAnsi" w:hAnsiTheme="minorHAnsi" w:cs="Calibri"/>
        </w:rPr>
        <w:t xml:space="preserve">Following a single oral 100 mg dose of </w:t>
      </w:r>
      <w:proofErr w:type="spellStart"/>
      <w:r w:rsidRPr="00CD1FAD">
        <w:rPr>
          <w:rFonts w:asciiTheme="minorHAnsi" w:eastAsiaTheme="minorHAnsi" w:hAnsiTheme="minorHAnsi" w:cs="Calibri"/>
        </w:rPr>
        <w:t>radiolabeled</w:t>
      </w:r>
      <w:proofErr w:type="spellEnd"/>
      <w:r w:rsidRPr="00CD1FAD">
        <w:rPr>
          <w:rFonts w:asciiTheme="minorHAnsi" w:eastAsiaTheme="minorHAnsi" w:hAnsiTheme="minorHAnsi" w:cs="Calibri"/>
        </w:rPr>
        <w:t xml:space="preserve"> </w:t>
      </w:r>
      <w:proofErr w:type="spellStart"/>
      <w:r w:rsidRPr="00CD1FAD">
        <w:rPr>
          <w:rFonts w:asciiTheme="minorHAnsi" w:eastAsiaTheme="minorHAnsi" w:hAnsiTheme="minorHAnsi" w:cs="Calibri"/>
        </w:rPr>
        <w:t>lorlatinib</w:t>
      </w:r>
      <w:proofErr w:type="spellEnd"/>
      <w:r w:rsidRPr="00CD1FAD">
        <w:rPr>
          <w:rFonts w:asciiTheme="minorHAnsi" w:eastAsiaTheme="minorHAnsi" w:hAnsiTheme="minorHAnsi" w:cs="Calibri"/>
        </w:rPr>
        <w:t>, 48% of the radioactivity was recovered in urine (</w:t>
      </w:r>
      <w:r w:rsidR="00FB0901">
        <w:rPr>
          <w:rFonts w:asciiTheme="minorHAnsi" w:eastAsiaTheme="minorHAnsi" w:hAnsiTheme="minorHAnsi" w:cs="Calibri"/>
        </w:rPr>
        <w:t>&lt;</w:t>
      </w:r>
      <w:r w:rsidRPr="00CD1FAD">
        <w:rPr>
          <w:rFonts w:asciiTheme="minorHAnsi" w:eastAsiaTheme="minorHAnsi" w:hAnsiTheme="minorHAnsi" w:cs="Calibri"/>
        </w:rPr>
        <w:t xml:space="preserve"> </w:t>
      </w:r>
      <w:proofErr w:type="gramStart"/>
      <w:r w:rsidRPr="00CD1FAD">
        <w:rPr>
          <w:rFonts w:asciiTheme="minorHAnsi" w:eastAsiaTheme="minorHAnsi" w:hAnsiTheme="minorHAnsi" w:cs="Calibri"/>
        </w:rPr>
        <w:t>1%</w:t>
      </w:r>
      <w:proofErr w:type="gramEnd"/>
      <w:r w:rsidRPr="00CD1FAD">
        <w:rPr>
          <w:rFonts w:asciiTheme="minorHAnsi" w:eastAsiaTheme="minorHAnsi" w:hAnsiTheme="minorHAnsi" w:cs="Calibri"/>
        </w:rPr>
        <w:t xml:space="preserve"> as unchanged) and 41% in f</w:t>
      </w:r>
      <w:r>
        <w:rPr>
          <w:rFonts w:asciiTheme="minorHAnsi" w:eastAsiaTheme="minorHAnsi" w:hAnsiTheme="minorHAnsi" w:cs="Calibri"/>
        </w:rPr>
        <w:t>a</w:t>
      </w:r>
      <w:r w:rsidRPr="00CD1FAD">
        <w:rPr>
          <w:rFonts w:asciiTheme="minorHAnsi" w:eastAsiaTheme="minorHAnsi" w:hAnsiTheme="minorHAnsi" w:cs="Calibri"/>
        </w:rPr>
        <w:t>eces (about 9% as unchanged).</w:t>
      </w:r>
    </w:p>
    <w:p w:rsidR="00D51DCD" w:rsidRPr="008A3707" w:rsidRDefault="00D51DCD" w:rsidP="00D51DCD">
      <w:pPr>
        <w:pStyle w:val="Heading5"/>
        <w:rPr>
          <w:rFonts w:eastAsiaTheme="minorHAnsi"/>
        </w:rPr>
      </w:pPr>
      <w:r w:rsidRPr="008A3707">
        <w:rPr>
          <w:rFonts w:eastAsiaTheme="minorHAnsi"/>
        </w:rPr>
        <w:t>Drug interactions</w:t>
      </w:r>
    </w:p>
    <w:p w:rsidR="00D51DCD" w:rsidRDefault="00D51DCD" w:rsidP="00D51DCD">
      <w:pPr>
        <w:autoSpaceDE w:val="0"/>
        <w:autoSpaceDN w:val="0"/>
        <w:adjustRightInd w:val="0"/>
        <w:spacing w:line="240" w:lineRule="auto"/>
        <w:rPr>
          <w:rFonts w:asciiTheme="minorHAnsi" w:eastAsiaTheme="minorHAnsi" w:hAnsiTheme="minorHAnsi" w:cs="SymbolMT"/>
        </w:rPr>
      </w:pPr>
      <w:r w:rsidRPr="00381EF8">
        <w:rPr>
          <w:rFonts w:asciiTheme="minorHAnsi" w:eastAsiaTheme="minorHAnsi" w:hAnsiTheme="minorHAnsi" w:cs="SymbolMT"/>
        </w:rPr>
        <w:t xml:space="preserve">Concomitant use of </w:t>
      </w:r>
      <w:proofErr w:type="spellStart"/>
      <w:r>
        <w:rPr>
          <w:rFonts w:asciiTheme="minorHAnsi" w:eastAsiaTheme="minorHAnsi" w:hAnsiTheme="minorHAnsi" w:cs="SymbolMT"/>
        </w:rPr>
        <w:t>lorlatinib</w:t>
      </w:r>
      <w:proofErr w:type="spellEnd"/>
      <w:r w:rsidRPr="00381EF8">
        <w:rPr>
          <w:rFonts w:asciiTheme="minorHAnsi" w:eastAsiaTheme="minorHAnsi" w:hAnsiTheme="minorHAnsi" w:cs="SymbolMT"/>
        </w:rPr>
        <w:t xml:space="preserve"> decreases the concentration of </w:t>
      </w:r>
      <w:r w:rsidR="00863906">
        <w:rPr>
          <w:rFonts w:asciiTheme="minorHAnsi" w:eastAsiaTheme="minorHAnsi" w:hAnsiTheme="minorHAnsi" w:cs="SymbolMT"/>
        </w:rPr>
        <w:t>cytochrome P450 (</w:t>
      </w:r>
      <w:r w:rsidRPr="00381EF8">
        <w:rPr>
          <w:rFonts w:asciiTheme="minorHAnsi" w:eastAsiaTheme="minorHAnsi" w:hAnsiTheme="minorHAnsi" w:cs="SymbolMT"/>
        </w:rPr>
        <w:t>CYP</w:t>
      </w:r>
      <w:proofErr w:type="gramStart"/>
      <w:r w:rsidR="00863906">
        <w:rPr>
          <w:rFonts w:asciiTheme="minorHAnsi" w:eastAsiaTheme="minorHAnsi" w:hAnsiTheme="minorHAnsi" w:cs="SymbolMT"/>
        </w:rPr>
        <w:t>)</w:t>
      </w:r>
      <w:r w:rsidRPr="00381EF8">
        <w:rPr>
          <w:rFonts w:asciiTheme="minorHAnsi" w:eastAsiaTheme="minorHAnsi" w:hAnsiTheme="minorHAnsi" w:cs="SymbolMT"/>
        </w:rPr>
        <w:t>3A</w:t>
      </w:r>
      <w:proofErr w:type="gramEnd"/>
      <w:r w:rsidRPr="00381EF8">
        <w:rPr>
          <w:rFonts w:asciiTheme="minorHAnsi" w:eastAsiaTheme="minorHAnsi" w:hAnsiTheme="minorHAnsi" w:cs="SymbolMT"/>
        </w:rPr>
        <w:t xml:space="preserve"> substrates, which may reduce the efficacy of these substrates.</w:t>
      </w:r>
      <w:r w:rsidR="00863906">
        <w:rPr>
          <w:rFonts w:asciiTheme="minorHAnsi" w:eastAsiaTheme="minorHAnsi" w:hAnsiTheme="minorHAnsi" w:cs="SymbolMT"/>
        </w:rPr>
        <w:t xml:space="preserve"> </w:t>
      </w:r>
      <w:r>
        <w:rPr>
          <w:rFonts w:asciiTheme="minorHAnsi" w:eastAsiaTheme="minorHAnsi" w:hAnsiTheme="minorHAnsi" w:cs="SymbolMT"/>
        </w:rPr>
        <w:t>Avoid</w:t>
      </w:r>
      <w:r w:rsidR="00863906">
        <w:rPr>
          <w:rFonts w:asciiTheme="minorHAnsi" w:eastAsiaTheme="minorHAnsi" w:hAnsiTheme="minorHAnsi" w:cs="SymbolMT"/>
        </w:rPr>
        <w:t>ing</w:t>
      </w:r>
      <w:r w:rsidRPr="00381EF8">
        <w:rPr>
          <w:rFonts w:asciiTheme="minorHAnsi" w:eastAsiaTheme="minorHAnsi" w:hAnsiTheme="minorHAnsi" w:cs="SymbolMT"/>
        </w:rPr>
        <w:t xml:space="preserve"> concomitant use of </w:t>
      </w:r>
      <w:proofErr w:type="spellStart"/>
      <w:r>
        <w:rPr>
          <w:rFonts w:asciiTheme="minorHAnsi" w:eastAsiaTheme="minorHAnsi" w:hAnsiTheme="minorHAnsi" w:cs="SymbolMT"/>
        </w:rPr>
        <w:t>lorlatinib</w:t>
      </w:r>
      <w:proofErr w:type="spellEnd"/>
      <w:r w:rsidRPr="00381EF8">
        <w:rPr>
          <w:rFonts w:asciiTheme="minorHAnsi" w:eastAsiaTheme="minorHAnsi" w:hAnsiTheme="minorHAnsi" w:cs="SymbolMT"/>
        </w:rPr>
        <w:t xml:space="preserve"> with CYP3A substrates</w:t>
      </w:r>
      <w:r w:rsidR="00863906">
        <w:rPr>
          <w:rFonts w:asciiTheme="minorHAnsi" w:eastAsiaTheme="minorHAnsi" w:hAnsiTheme="minorHAnsi" w:cs="SymbolMT"/>
        </w:rPr>
        <w:t xml:space="preserve"> </w:t>
      </w:r>
      <w:proofErr w:type="gramStart"/>
      <w:r w:rsidR="00863906">
        <w:rPr>
          <w:rFonts w:asciiTheme="minorHAnsi" w:eastAsiaTheme="minorHAnsi" w:hAnsiTheme="minorHAnsi" w:cs="SymbolMT"/>
        </w:rPr>
        <w:t>is recommended</w:t>
      </w:r>
      <w:proofErr w:type="gramEnd"/>
      <w:r>
        <w:rPr>
          <w:rFonts w:asciiTheme="minorHAnsi" w:eastAsiaTheme="minorHAnsi" w:hAnsiTheme="minorHAnsi" w:cs="SymbolMT"/>
        </w:rPr>
        <w:t>, w</w:t>
      </w:r>
      <w:r w:rsidRPr="00381EF8">
        <w:rPr>
          <w:rFonts w:asciiTheme="minorHAnsi" w:eastAsiaTheme="minorHAnsi" w:hAnsiTheme="minorHAnsi" w:cs="SymbolMT"/>
        </w:rPr>
        <w:t>here minimal concentration changes may lead t</w:t>
      </w:r>
      <w:r w:rsidR="00863906">
        <w:rPr>
          <w:rFonts w:asciiTheme="minorHAnsi" w:eastAsiaTheme="minorHAnsi" w:hAnsiTheme="minorHAnsi" w:cs="SymbolMT"/>
        </w:rPr>
        <w:t>o serious therapeutic failures.</w:t>
      </w:r>
    </w:p>
    <w:p w:rsidR="00D51DCD" w:rsidRDefault="00D51DCD" w:rsidP="00D51DCD">
      <w:pPr>
        <w:autoSpaceDE w:val="0"/>
        <w:autoSpaceDN w:val="0"/>
        <w:adjustRightInd w:val="0"/>
        <w:spacing w:line="240" w:lineRule="auto"/>
        <w:rPr>
          <w:rFonts w:asciiTheme="minorHAnsi" w:eastAsiaTheme="minorHAnsi" w:hAnsiTheme="minorHAnsi" w:cs="SymbolMT"/>
        </w:rPr>
      </w:pPr>
      <w:proofErr w:type="spellStart"/>
      <w:r w:rsidRPr="00381EF8">
        <w:rPr>
          <w:rFonts w:asciiTheme="minorHAnsi" w:eastAsiaTheme="minorHAnsi" w:hAnsiTheme="minorHAnsi" w:cs="SymbolMT"/>
        </w:rPr>
        <w:lastRenderedPageBreak/>
        <w:t>Itraconazole</w:t>
      </w:r>
      <w:proofErr w:type="spellEnd"/>
      <w:r w:rsidRPr="00381EF8">
        <w:rPr>
          <w:rFonts w:asciiTheme="minorHAnsi" w:eastAsiaTheme="minorHAnsi" w:hAnsiTheme="minorHAnsi" w:cs="SymbolMT"/>
        </w:rPr>
        <w:t xml:space="preserve">, a strong CYP3A inhibitor, increases exposure of </w:t>
      </w:r>
      <w:proofErr w:type="spellStart"/>
      <w:r w:rsidRPr="00381EF8">
        <w:rPr>
          <w:rFonts w:asciiTheme="minorHAnsi" w:eastAsiaTheme="minorHAnsi" w:hAnsiTheme="minorHAnsi" w:cs="SymbolMT"/>
        </w:rPr>
        <w:t>lorlatinib</w:t>
      </w:r>
      <w:proofErr w:type="spellEnd"/>
      <w:r w:rsidRPr="00381EF8">
        <w:rPr>
          <w:rFonts w:asciiTheme="minorHAnsi" w:eastAsiaTheme="minorHAnsi" w:hAnsiTheme="minorHAnsi" w:cs="SymbolMT"/>
        </w:rPr>
        <w:t xml:space="preserve"> after a single dose. Avoidance of strong CYP3A inhibitors or a dose reduction to 75 mg </w:t>
      </w:r>
      <w:proofErr w:type="spellStart"/>
      <w:r w:rsidRPr="00381EF8">
        <w:rPr>
          <w:rFonts w:asciiTheme="minorHAnsi" w:eastAsiaTheme="minorHAnsi" w:hAnsiTheme="minorHAnsi" w:cs="SymbolMT"/>
        </w:rPr>
        <w:t>lorlatinib</w:t>
      </w:r>
      <w:proofErr w:type="spellEnd"/>
      <w:r w:rsidRPr="00381EF8">
        <w:rPr>
          <w:rFonts w:asciiTheme="minorHAnsi" w:eastAsiaTheme="minorHAnsi" w:hAnsiTheme="minorHAnsi" w:cs="SymbolMT"/>
        </w:rPr>
        <w:t xml:space="preserve"> </w:t>
      </w:r>
      <w:proofErr w:type="gramStart"/>
      <w:r w:rsidRPr="00381EF8">
        <w:rPr>
          <w:rFonts w:asciiTheme="minorHAnsi" w:eastAsiaTheme="minorHAnsi" w:hAnsiTheme="minorHAnsi" w:cs="SymbolMT"/>
        </w:rPr>
        <w:t>is recommended</w:t>
      </w:r>
      <w:proofErr w:type="gramEnd"/>
      <w:r w:rsidRPr="00381EF8">
        <w:rPr>
          <w:rFonts w:asciiTheme="minorHAnsi" w:eastAsiaTheme="minorHAnsi" w:hAnsiTheme="minorHAnsi" w:cs="SymbolMT"/>
        </w:rPr>
        <w:t xml:space="preserve"> based on clinical </w:t>
      </w:r>
      <w:r>
        <w:rPr>
          <w:rFonts w:asciiTheme="minorHAnsi" w:eastAsiaTheme="minorHAnsi" w:hAnsiTheme="minorHAnsi" w:cs="SymbolMT"/>
        </w:rPr>
        <w:t>drug/drug interaction</w:t>
      </w:r>
      <w:r w:rsidRPr="00381EF8">
        <w:rPr>
          <w:rFonts w:asciiTheme="minorHAnsi" w:eastAsiaTheme="minorHAnsi" w:hAnsiTheme="minorHAnsi" w:cs="SymbolMT"/>
        </w:rPr>
        <w:t xml:space="preserve"> data</w:t>
      </w:r>
      <w:r>
        <w:rPr>
          <w:rFonts w:asciiTheme="minorHAnsi" w:eastAsiaTheme="minorHAnsi" w:hAnsiTheme="minorHAnsi" w:cs="SymbolMT"/>
        </w:rPr>
        <w:t>.</w:t>
      </w:r>
    </w:p>
    <w:p w:rsidR="00D51DCD" w:rsidRDefault="00D51DCD" w:rsidP="00D51DCD">
      <w:pPr>
        <w:autoSpaceDE w:val="0"/>
        <w:autoSpaceDN w:val="0"/>
        <w:adjustRightInd w:val="0"/>
        <w:spacing w:line="240" w:lineRule="auto"/>
        <w:rPr>
          <w:rFonts w:asciiTheme="minorHAnsi" w:eastAsiaTheme="minorHAnsi" w:hAnsiTheme="minorHAnsi" w:cs="SymbolMT"/>
        </w:rPr>
      </w:pPr>
      <w:r w:rsidRPr="00381EF8">
        <w:rPr>
          <w:rFonts w:asciiTheme="minorHAnsi" w:eastAsiaTheme="minorHAnsi" w:hAnsiTheme="minorHAnsi" w:cs="Calibri"/>
        </w:rPr>
        <w:t xml:space="preserve">Rifampicin, a strong CYP3A inducer, decreases the exposure of </w:t>
      </w:r>
      <w:proofErr w:type="spellStart"/>
      <w:r w:rsidRPr="00381EF8">
        <w:rPr>
          <w:rFonts w:asciiTheme="minorHAnsi" w:eastAsiaTheme="minorHAnsi" w:hAnsiTheme="minorHAnsi" w:cs="Calibri"/>
        </w:rPr>
        <w:t>lorlatinib</w:t>
      </w:r>
      <w:proofErr w:type="spellEnd"/>
      <w:r w:rsidRPr="00381EF8">
        <w:rPr>
          <w:rFonts w:asciiTheme="minorHAnsi" w:eastAsiaTheme="minorHAnsi" w:hAnsiTheme="minorHAnsi" w:cs="Calibri"/>
        </w:rPr>
        <w:t xml:space="preserve"> after a single dose. In addition, </w:t>
      </w:r>
      <w:r>
        <w:rPr>
          <w:rFonts w:asciiTheme="minorHAnsi" w:eastAsiaTheme="minorHAnsi" w:hAnsiTheme="minorHAnsi" w:cs="Calibri"/>
        </w:rPr>
        <w:t>10 of 12</w:t>
      </w:r>
      <w:r w:rsidRPr="00381EF8">
        <w:rPr>
          <w:rFonts w:asciiTheme="minorHAnsi" w:eastAsiaTheme="minorHAnsi" w:hAnsiTheme="minorHAnsi" w:cs="Calibri"/>
        </w:rPr>
        <w:t xml:space="preserve"> healthy subjects </w:t>
      </w:r>
      <w:r>
        <w:rPr>
          <w:rFonts w:asciiTheme="minorHAnsi" w:eastAsiaTheme="minorHAnsi" w:hAnsiTheme="minorHAnsi" w:cs="Calibri"/>
        </w:rPr>
        <w:t xml:space="preserve">in Study B7461011 </w:t>
      </w:r>
      <w:r w:rsidRPr="00381EF8">
        <w:rPr>
          <w:rFonts w:asciiTheme="minorHAnsi" w:eastAsiaTheme="minorHAnsi" w:hAnsiTheme="minorHAnsi" w:cs="Calibri"/>
        </w:rPr>
        <w:t xml:space="preserve">who received multiple daily doses of rifampicin concomitantly with a single dose of </w:t>
      </w:r>
      <w:proofErr w:type="spellStart"/>
      <w:r w:rsidRPr="00381EF8">
        <w:rPr>
          <w:rFonts w:asciiTheme="minorHAnsi" w:eastAsiaTheme="minorHAnsi" w:hAnsiTheme="minorHAnsi" w:cs="Calibri"/>
        </w:rPr>
        <w:t>lorlatinib</w:t>
      </w:r>
      <w:proofErr w:type="spellEnd"/>
      <w:r w:rsidRPr="00381EF8">
        <w:rPr>
          <w:rFonts w:asciiTheme="minorHAnsi" w:eastAsiaTheme="minorHAnsi" w:hAnsiTheme="minorHAnsi" w:cs="Calibri"/>
        </w:rPr>
        <w:t xml:space="preserve"> had severe hepatotoxicity. </w:t>
      </w:r>
      <w:r>
        <w:rPr>
          <w:rFonts w:asciiTheme="minorHAnsi" w:eastAsiaTheme="minorHAnsi" w:hAnsiTheme="minorHAnsi" w:cs="Calibri"/>
        </w:rPr>
        <w:t xml:space="preserve">The reason for this hepatotoxicity </w:t>
      </w:r>
      <w:proofErr w:type="gramStart"/>
      <w:r>
        <w:rPr>
          <w:rFonts w:asciiTheme="minorHAnsi" w:eastAsiaTheme="minorHAnsi" w:hAnsiTheme="minorHAnsi" w:cs="Calibri"/>
        </w:rPr>
        <w:t>is not known</w:t>
      </w:r>
      <w:proofErr w:type="gramEnd"/>
      <w:r>
        <w:rPr>
          <w:rFonts w:asciiTheme="minorHAnsi" w:eastAsiaTheme="minorHAnsi" w:hAnsiTheme="minorHAnsi" w:cs="Calibri"/>
        </w:rPr>
        <w:t>, but a</w:t>
      </w:r>
      <w:r w:rsidRPr="00381EF8">
        <w:rPr>
          <w:rFonts w:asciiTheme="minorHAnsi" w:eastAsiaTheme="minorHAnsi" w:hAnsiTheme="minorHAnsi" w:cs="Calibri"/>
        </w:rPr>
        <w:t xml:space="preserve"> possible mechanism is through activation of the </w:t>
      </w:r>
      <w:proofErr w:type="spellStart"/>
      <w:r w:rsidR="008170A7">
        <w:rPr>
          <w:rFonts w:asciiTheme="minorHAnsi" w:eastAsiaTheme="minorHAnsi" w:hAnsiTheme="minorHAnsi" w:cs="Calibri"/>
        </w:rPr>
        <w:t>p</w:t>
      </w:r>
      <w:r w:rsidRPr="00381EF8">
        <w:rPr>
          <w:rFonts w:asciiTheme="minorHAnsi" w:eastAsiaTheme="minorHAnsi" w:hAnsiTheme="minorHAnsi" w:cs="Calibri"/>
        </w:rPr>
        <w:t>regnane</w:t>
      </w:r>
      <w:proofErr w:type="spellEnd"/>
      <w:r w:rsidRPr="00381EF8">
        <w:rPr>
          <w:rFonts w:asciiTheme="minorHAnsi" w:eastAsiaTheme="minorHAnsi" w:hAnsiTheme="minorHAnsi" w:cs="Calibri"/>
        </w:rPr>
        <w:t xml:space="preserve"> X </w:t>
      </w:r>
      <w:r w:rsidR="008170A7">
        <w:rPr>
          <w:rFonts w:asciiTheme="minorHAnsi" w:eastAsiaTheme="minorHAnsi" w:hAnsiTheme="minorHAnsi" w:cs="Calibri"/>
        </w:rPr>
        <w:t>r</w:t>
      </w:r>
      <w:r w:rsidRPr="00381EF8">
        <w:rPr>
          <w:rFonts w:asciiTheme="minorHAnsi" w:eastAsiaTheme="minorHAnsi" w:hAnsiTheme="minorHAnsi" w:cs="Calibri"/>
        </w:rPr>
        <w:t xml:space="preserve">eceptor (PXR) by </w:t>
      </w:r>
      <w:proofErr w:type="spellStart"/>
      <w:r>
        <w:rPr>
          <w:rFonts w:asciiTheme="minorHAnsi" w:eastAsiaTheme="minorHAnsi" w:hAnsiTheme="minorHAnsi" w:cs="Calibri"/>
        </w:rPr>
        <w:t>lorlatinib</w:t>
      </w:r>
      <w:proofErr w:type="spellEnd"/>
      <w:r w:rsidRPr="00381EF8">
        <w:rPr>
          <w:rFonts w:asciiTheme="minorHAnsi" w:eastAsiaTheme="minorHAnsi" w:hAnsiTheme="minorHAnsi" w:cs="Calibri"/>
        </w:rPr>
        <w:t xml:space="preserve"> and </w:t>
      </w:r>
      <w:proofErr w:type="spellStart"/>
      <w:r w:rsidRPr="00381EF8">
        <w:rPr>
          <w:rFonts w:asciiTheme="minorHAnsi" w:eastAsiaTheme="minorHAnsi" w:hAnsiTheme="minorHAnsi" w:cs="Calibri"/>
        </w:rPr>
        <w:t>rifampin</w:t>
      </w:r>
      <w:proofErr w:type="spellEnd"/>
      <w:r w:rsidRPr="00381EF8">
        <w:rPr>
          <w:rFonts w:asciiTheme="minorHAnsi" w:eastAsiaTheme="minorHAnsi" w:hAnsiTheme="minorHAnsi" w:cs="Calibri"/>
        </w:rPr>
        <w:t xml:space="preserve">, which are both PXR agonists. The risk of hepatotoxicity with concomitant use of </w:t>
      </w:r>
      <w:proofErr w:type="spellStart"/>
      <w:r w:rsidRPr="00381EF8">
        <w:rPr>
          <w:rFonts w:asciiTheme="minorHAnsi" w:eastAsiaTheme="minorHAnsi" w:hAnsiTheme="minorHAnsi" w:cs="Calibri"/>
        </w:rPr>
        <w:t>lorlatinib</w:t>
      </w:r>
      <w:proofErr w:type="spellEnd"/>
      <w:r w:rsidRPr="00381EF8">
        <w:rPr>
          <w:rFonts w:asciiTheme="minorHAnsi" w:eastAsiaTheme="minorHAnsi" w:hAnsiTheme="minorHAnsi" w:cs="Calibri"/>
        </w:rPr>
        <w:t xml:space="preserve"> and moderate CYP3A inducers is unknown.</w:t>
      </w:r>
      <w:r>
        <w:rPr>
          <w:rFonts w:asciiTheme="minorHAnsi" w:eastAsiaTheme="minorHAnsi" w:hAnsiTheme="minorHAnsi" w:cs="Calibri"/>
        </w:rPr>
        <w:t xml:space="preserve"> </w:t>
      </w:r>
      <w:proofErr w:type="spellStart"/>
      <w:r w:rsidRPr="00381EF8">
        <w:rPr>
          <w:rFonts w:asciiTheme="minorHAnsi" w:eastAsiaTheme="minorHAnsi" w:hAnsiTheme="minorHAnsi" w:cs="SymbolMT"/>
        </w:rPr>
        <w:t>Lorlatinib</w:t>
      </w:r>
      <w:proofErr w:type="spellEnd"/>
      <w:r w:rsidRPr="00381EF8">
        <w:rPr>
          <w:rFonts w:asciiTheme="minorHAnsi" w:eastAsiaTheme="minorHAnsi" w:hAnsiTheme="minorHAnsi" w:cs="SymbolMT"/>
        </w:rPr>
        <w:t xml:space="preserve"> </w:t>
      </w:r>
      <w:proofErr w:type="gramStart"/>
      <w:r w:rsidRPr="00381EF8">
        <w:rPr>
          <w:rFonts w:asciiTheme="minorHAnsi" w:eastAsiaTheme="minorHAnsi" w:hAnsiTheme="minorHAnsi" w:cs="SymbolMT"/>
        </w:rPr>
        <w:t>is contraindicated</w:t>
      </w:r>
      <w:proofErr w:type="gramEnd"/>
      <w:r w:rsidRPr="00381EF8">
        <w:rPr>
          <w:rFonts w:asciiTheme="minorHAnsi" w:eastAsiaTheme="minorHAnsi" w:hAnsiTheme="minorHAnsi" w:cs="SymbolMT"/>
        </w:rPr>
        <w:t xml:space="preserve"> with strong CYP3A inducers. Avoidance of the concomitant use of moderate</w:t>
      </w:r>
      <w:r w:rsidR="00863906">
        <w:rPr>
          <w:rFonts w:asciiTheme="minorHAnsi" w:eastAsiaTheme="minorHAnsi" w:hAnsiTheme="minorHAnsi" w:cs="SymbolMT"/>
        </w:rPr>
        <w:t xml:space="preserve"> CYP3A inducers </w:t>
      </w:r>
      <w:proofErr w:type="gramStart"/>
      <w:r w:rsidR="00863906">
        <w:rPr>
          <w:rFonts w:asciiTheme="minorHAnsi" w:eastAsiaTheme="minorHAnsi" w:hAnsiTheme="minorHAnsi" w:cs="SymbolMT"/>
        </w:rPr>
        <w:t>is recommended</w:t>
      </w:r>
      <w:proofErr w:type="gramEnd"/>
      <w:r w:rsidR="00863906">
        <w:rPr>
          <w:rFonts w:asciiTheme="minorHAnsi" w:eastAsiaTheme="minorHAnsi" w:hAnsiTheme="minorHAnsi" w:cs="SymbolMT"/>
        </w:rPr>
        <w:t>.</w:t>
      </w:r>
    </w:p>
    <w:p w:rsidR="00D51DCD" w:rsidRPr="004A2A01" w:rsidRDefault="008D0771" w:rsidP="00D51DCD">
      <w:pPr>
        <w:pStyle w:val="Heading5"/>
        <w:rPr>
          <w:rFonts w:asciiTheme="minorHAnsi" w:eastAsiaTheme="minorHAnsi" w:hAnsiTheme="minorHAnsi" w:cs="SymbolMT"/>
        </w:rPr>
      </w:pPr>
      <w:r>
        <w:t>Population pharmacokinetic data</w:t>
      </w:r>
    </w:p>
    <w:p w:rsidR="00D51DCD" w:rsidRDefault="00D51DCD" w:rsidP="00D51DCD">
      <w:pPr>
        <w:autoSpaceDE w:val="0"/>
        <w:autoSpaceDN w:val="0"/>
        <w:adjustRightInd w:val="0"/>
        <w:spacing w:line="240" w:lineRule="auto"/>
        <w:rPr>
          <w:rFonts w:asciiTheme="minorHAnsi" w:eastAsiaTheme="minorHAnsi" w:hAnsiTheme="minorHAnsi" w:cs="TimesNewRoman"/>
        </w:rPr>
      </w:pPr>
      <w:r w:rsidRPr="006858EE">
        <w:rPr>
          <w:rFonts w:asciiTheme="minorHAnsi" w:eastAsiaTheme="minorHAnsi" w:hAnsiTheme="minorHAnsi" w:cs="TimesNewRoman"/>
        </w:rPr>
        <w:t xml:space="preserve">The </w:t>
      </w:r>
      <w:r w:rsidR="00863906">
        <w:rPr>
          <w:rFonts w:asciiTheme="minorHAnsi" w:eastAsiaTheme="minorHAnsi" w:hAnsiTheme="minorHAnsi" w:cs="TimesNewRoman"/>
        </w:rPr>
        <w:t>population pharmacokinetic (</w:t>
      </w:r>
      <w:proofErr w:type="spellStart"/>
      <w:r w:rsidRPr="006858EE">
        <w:rPr>
          <w:rFonts w:asciiTheme="minorHAnsi" w:eastAsiaTheme="minorHAnsi" w:hAnsiTheme="minorHAnsi" w:cs="TimesNewRoman"/>
        </w:rPr>
        <w:t>popPK</w:t>
      </w:r>
      <w:proofErr w:type="spellEnd"/>
      <w:r w:rsidR="00863906">
        <w:rPr>
          <w:rFonts w:asciiTheme="minorHAnsi" w:eastAsiaTheme="minorHAnsi" w:hAnsiTheme="minorHAnsi" w:cs="TimesNewRoman"/>
        </w:rPr>
        <w:t>)</w:t>
      </w:r>
      <w:r w:rsidRPr="006858EE">
        <w:rPr>
          <w:rFonts w:asciiTheme="minorHAnsi" w:eastAsiaTheme="minorHAnsi" w:hAnsiTheme="minorHAnsi" w:cs="TimesNewRoman"/>
        </w:rPr>
        <w:t xml:space="preserve"> analysis for </w:t>
      </w:r>
      <w:proofErr w:type="spellStart"/>
      <w:r w:rsidRPr="006858EE">
        <w:rPr>
          <w:rFonts w:asciiTheme="minorHAnsi" w:eastAsiaTheme="minorHAnsi" w:hAnsiTheme="minorHAnsi" w:cs="TimesNewRoman"/>
        </w:rPr>
        <w:t>lorlatinib</w:t>
      </w:r>
      <w:proofErr w:type="spellEnd"/>
      <w:r w:rsidRPr="006858EE">
        <w:rPr>
          <w:rFonts w:asciiTheme="minorHAnsi" w:eastAsiaTheme="minorHAnsi" w:hAnsiTheme="minorHAnsi" w:cs="TimesNewRoman"/>
        </w:rPr>
        <w:t xml:space="preserve"> </w:t>
      </w:r>
      <w:proofErr w:type="gramStart"/>
      <w:r w:rsidRPr="006858EE">
        <w:rPr>
          <w:rFonts w:asciiTheme="minorHAnsi" w:eastAsiaTheme="minorHAnsi" w:hAnsiTheme="minorHAnsi" w:cs="TimesNewRoman"/>
        </w:rPr>
        <w:t>was conducted</w:t>
      </w:r>
      <w:proofErr w:type="gramEnd"/>
      <w:r w:rsidRPr="006858EE">
        <w:rPr>
          <w:rFonts w:asciiTheme="minorHAnsi" w:eastAsiaTheme="minorHAnsi" w:hAnsiTheme="minorHAnsi" w:cs="TimesNewRoman"/>
        </w:rPr>
        <w:t xml:space="preserve"> based on PK data from 95 healthy subjects in 6 healthy volunteer studies (Studies 1004, 1005, 1007, 1008, 1011 and 1016) and 330 patients with ALK-positive or ROS1-positive NSCLC in Study 1001.</w:t>
      </w:r>
    </w:p>
    <w:p w:rsidR="00D51DCD" w:rsidRDefault="00D51DCD" w:rsidP="00D51DCD">
      <w:pPr>
        <w:autoSpaceDE w:val="0"/>
        <w:autoSpaceDN w:val="0"/>
        <w:adjustRightInd w:val="0"/>
        <w:spacing w:line="240" w:lineRule="auto"/>
        <w:rPr>
          <w:rFonts w:asciiTheme="minorHAnsi" w:eastAsiaTheme="minorHAnsi" w:hAnsiTheme="minorHAnsi" w:cs="Calibri"/>
        </w:rPr>
      </w:pPr>
      <w:r w:rsidRPr="006858EE">
        <w:rPr>
          <w:rFonts w:asciiTheme="minorHAnsi" w:eastAsiaTheme="minorHAnsi" w:hAnsiTheme="minorHAnsi" w:cs="Calibri"/>
        </w:rPr>
        <w:t xml:space="preserve">No clinically meaningful differences in </w:t>
      </w:r>
      <w:proofErr w:type="spellStart"/>
      <w:r w:rsidRPr="006858EE">
        <w:rPr>
          <w:rFonts w:asciiTheme="minorHAnsi" w:eastAsiaTheme="minorHAnsi" w:hAnsiTheme="minorHAnsi" w:cs="Calibri"/>
        </w:rPr>
        <w:t>lorlatinib</w:t>
      </w:r>
      <w:proofErr w:type="spellEnd"/>
      <w:r w:rsidRPr="006858EE">
        <w:rPr>
          <w:rFonts w:asciiTheme="minorHAnsi" w:eastAsiaTheme="minorHAnsi" w:hAnsiTheme="minorHAnsi" w:cs="Calibri"/>
        </w:rPr>
        <w:t xml:space="preserve"> </w:t>
      </w:r>
      <w:r>
        <w:rPr>
          <w:rFonts w:asciiTheme="minorHAnsi" w:eastAsiaTheme="minorHAnsi" w:hAnsiTheme="minorHAnsi" w:cs="Calibri"/>
        </w:rPr>
        <w:t>PK</w:t>
      </w:r>
      <w:r w:rsidRPr="006858EE">
        <w:rPr>
          <w:rFonts w:asciiTheme="minorHAnsi" w:eastAsiaTheme="minorHAnsi" w:hAnsiTheme="minorHAnsi" w:cs="Calibri"/>
        </w:rPr>
        <w:t xml:space="preserve"> were observed based on age (19 to 85</w:t>
      </w:r>
      <w:r w:rsidR="008170A7">
        <w:rPr>
          <w:rFonts w:asciiTheme="minorHAnsi" w:eastAsiaTheme="minorHAnsi" w:hAnsiTheme="minorHAnsi" w:cs="Calibri"/>
        </w:rPr>
        <w:t> </w:t>
      </w:r>
      <w:r w:rsidRPr="006858EE">
        <w:rPr>
          <w:rFonts w:asciiTheme="minorHAnsi" w:eastAsiaTheme="minorHAnsi" w:hAnsiTheme="minorHAnsi" w:cs="Calibri"/>
        </w:rPr>
        <w:t>years), sex, race/ethnicity, body weight, mild to moderate renal impairment (</w:t>
      </w:r>
      <w:r w:rsidR="00C01081">
        <w:rPr>
          <w:rFonts w:asciiTheme="minorHAnsi" w:eastAsiaTheme="minorHAnsi" w:hAnsiTheme="minorHAnsi" w:cs="Calibri"/>
        </w:rPr>
        <w:t>creatinine clearance (</w:t>
      </w:r>
      <w:proofErr w:type="spellStart"/>
      <w:r w:rsidR="00C01081">
        <w:rPr>
          <w:rFonts w:asciiTheme="minorHAnsi" w:eastAsiaTheme="minorHAnsi" w:hAnsiTheme="minorHAnsi" w:cs="Calibri"/>
        </w:rPr>
        <w:t>CrCl</w:t>
      </w:r>
      <w:proofErr w:type="spellEnd"/>
      <w:r w:rsidR="00C01081">
        <w:rPr>
          <w:rFonts w:asciiTheme="minorHAnsi" w:eastAsiaTheme="minorHAnsi" w:hAnsiTheme="minorHAnsi" w:cs="Calibri"/>
        </w:rPr>
        <w:t>)</w:t>
      </w:r>
      <w:r w:rsidRPr="006858EE">
        <w:rPr>
          <w:rFonts w:asciiTheme="minorHAnsi" w:eastAsiaTheme="minorHAnsi" w:hAnsiTheme="minorHAnsi" w:cs="Calibri"/>
        </w:rPr>
        <w:t xml:space="preserve"> 30 to 89 mL/min), or mild hepatic impairment (total bil</w:t>
      </w:r>
      <w:r w:rsidR="00C01081">
        <w:rPr>
          <w:rFonts w:asciiTheme="minorHAnsi" w:eastAsiaTheme="minorHAnsi" w:hAnsiTheme="minorHAnsi" w:cs="Calibri"/>
        </w:rPr>
        <w:t>irubin ≤ upper limit of normal (ULN)</w:t>
      </w:r>
      <w:r w:rsidRPr="006858EE">
        <w:rPr>
          <w:rFonts w:asciiTheme="minorHAnsi" w:eastAsiaTheme="minorHAnsi" w:hAnsiTheme="minorHAnsi" w:cs="Calibri"/>
        </w:rPr>
        <w:t xml:space="preserve"> and </w:t>
      </w:r>
      <w:r w:rsidR="00C01081" w:rsidRPr="00C01081">
        <w:rPr>
          <w:rFonts w:asciiTheme="minorHAnsi" w:eastAsiaTheme="minorHAnsi" w:hAnsiTheme="minorHAnsi" w:cs="Calibri"/>
        </w:rPr>
        <w:t xml:space="preserve">aspartate aminotransferase </w:t>
      </w:r>
      <w:r w:rsidR="00C01081">
        <w:rPr>
          <w:rFonts w:asciiTheme="minorHAnsi" w:eastAsiaTheme="minorHAnsi" w:hAnsiTheme="minorHAnsi" w:cs="Calibri"/>
        </w:rPr>
        <w:t>(</w:t>
      </w:r>
      <w:r w:rsidRPr="006858EE">
        <w:rPr>
          <w:rFonts w:asciiTheme="minorHAnsi" w:eastAsiaTheme="minorHAnsi" w:hAnsiTheme="minorHAnsi" w:cs="Calibri"/>
        </w:rPr>
        <w:t>AST</w:t>
      </w:r>
      <w:r w:rsidR="00C01081">
        <w:rPr>
          <w:rFonts w:asciiTheme="minorHAnsi" w:eastAsiaTheme="minorHAnsi" w:hAnsiTheme="minorHAnsi" w:cs="Calibri"/>
        </w:rPr>
        <w:t>)</w:t>
      </w:r>
      <w:r w:rsidRPr="006858EE">
        <w:rPr>
          <w:rFonts w:asciiTheme="minorHAnsi" w:eastAsiaTheme="minorHAnsi" w:hAnsiTheme="minorHAnsi" w:cs="Calibri"/>
        </w:rPr>
        <w:t xml:space="preserve"> </w:t>
      </w:r>
      <w:r w:rsidR="00C01081">
        <w:rPr>
          <w:rFonts w:asciiTheme="minorHAnsi" w:eastAsiaTheme="minorHAnsi" w:hAnsiTheme="minorHAnsi" w:cs="Calibri"/>
        </w:rPr>
        <w:t xml:space="preserve">&gt; ULN or total bilirubin &gt; 1.5 x ULN and any AST). </w:t>
      </w:r>
      <w:r w:rsidRPr="006858EE">
        <w:rPr>
          <w:rFonts w:asciiTheme="minorHAnsi" w:eastAsiaTheme="minorHAnsi" w:hAnsiTheme="minorHAnsi" w:cs="Calibri"/>
        </w:rPr>
        <w:t xml:space="preserve">No dose adjustment </w:t>
      </w:r>
      <w:proofErr w:type="gramStart"/>
      <w:r w:rsidRPr="006858EE">
        <w:rPr>
          <w:rFonts w:asciiTheme="minorHAnsi" w:eastAsiaTheme="minorHAnsi" w:hAnsiTheme="minorHAnsi" w:cs="Calibri"/>
        </w:rPr>
        <w:t>is needed</w:t>
      </w:r>
      <w:proofErr w:type="gramEnd"/>
      <w:r w:rsidRPr="006858EE">
        <w:rPr>
          <w:rFonts w:asciiTheme="minorHAnsi" w:eastAsiaTheme="minorHAnsi" w:hAnsiTheme="minorHAnsi" w:cs="Calibri"/>
        </w:rPr>
        <w:t xml:space="preserve"> based on these criteria.</w:t>
      </w:r>
      <w:r w:rsidR="00C01081">
        <w:rPr>
          <w:rFonts w:asciiTheme="minorHAnsi" w:eastAsiaTheme="minorHAnsi" w:hAnsiTheme="minorHAnsi" w:cs="Calibri"/>
        </w:rPr>
        <w:t xml:space="preserve"> </w:t>
      </w:r>
      <w:r w:rsidRPr="00967783">
        <w:rPr>
          <w:rFonts w:asciiTheme="minorHAnsi" w:eastAsiaTheme="minorHAnsi" w:hAnsiTheme="minorHAnsi" w:cs="Calibri"/>
        </w:rPr>
        <w:t>The effect of moderate to severe hepatic impairment or severe renal impairment on</w:t>
      </w:r>
      <w:r>
        <w:rPr>
          <w:rFonts w:asciiTheme="minorHAnsi" w:eastAsiaTheme="minorHAnsi" w:hAnsiTheme="minorHAnsi" w:cs="Calibri"/>
        </w:rPr>
        <w:t xml:space="preserve"> </w:t>
      </w:r>
      <w:proofErr w:type="spellStart"/>
      <w:r w:rsidRPr="00967783">
        <w:rPr>
          <w:rFonts w:asciiTheme="minorHAnsi" w:eastAsiaTheme="minorHAnsi" w:hAnsiTheme="minorHAnsi" w:cs="Calibri"/>
        </w:rPr>
        <w:t>lorlatinib</w:t>
      </w:r>
      <w:proofErr w:type="spellEnd"/>
      <w:r w:rsidRPr="00967783">
        <w:rPr>
          <w:rFonts w:asciiTheme="minorHAnsi" w:eastAsiaTheme="minorHAnsi" w:hAnsiTheme="minorHAnsi" w:cs="Calibri"/>
        </w:rPr>
        <w:t xml:space="preserve"> pharmacokinetics is unknown.</w:t>
      </w:r>
    </w:p>
    <w:p w:rsidR="00D51DCD" w:rsidRPr="00815097" w:rsidRDefault="00D51DCD" w:rsidP="008D0771">
      <w:pPr>
        <w:pStyle w:val="Heading5"/>
      </w:pPr>
      <w:r w:rsidRPr="00815097">
        <w:t>Dose selection</w:t>
      </w:r>
    </w:p>
    <w:p w:rsidR="00D51DCD" w:rsidRDefault="00D51DCD" w:rsidP="008D0771">
      <w:r>
        <w:t>100 mg orally daily</w:t>
      </w:r>
      <w:r w:rsidRPr="00F7293A">
        <w:t xml:space="preserve"> was </w:t>
      </w:r>
      <w:r w:rsidR="00C01081">
        <w:t>recommended for the Phase II</w:t>
      </w:r>
      <w:r>
        <w:t xml:space="preserve"> portion of Study </w:t>
      </w:r>
      <w:r w:rsidRPr="00F7293A">
        <w:t>B7461001</w:t>
      </w:r>
      <w:r>
        <w:t xml:space="preserve"> </w:t>
      </w:r>
      <w:r w:rsidRPr="00F7293A">
        <w:t xml:space="preserve">based on safety and tolerability results </w:t>
      </w:r>
      <w:r>
        <w:t xml:space="preserve">from </w:t>
      </w:r>
      <w:r w:rsidRPr="00F7293A">
        <w:t xml:space="preserve">the </w:t>
      </w:r>
      <w:r w:rsidR="00C01081">
        <w:t>Phase I</w:t>
      </w:r>
      <w:r w:rsidRPr="00F7293A">
        <w:t xml:space="preserve"> dose escalation portion </w:t>
      </w:r>
      <w:r>
        <w:t xml:space="preserve">of the </w:t>
      </w:r>
      <w:proofErr w:type="gramStart"/>
      <w:r>
        <w:t>study which</w:t>
      </w:r>
      <w:proofErr w:type="gramEnd"/>
      <w:r>
        <w:t xml:space="preserve"> assessed dosages of 10 mg to 200 mg</w:t>
      </w:r>
      <w:r w:rsidRPr="00F7293A">
        <w:t>.</w:t>
      </w:r>
    </w:p>
    <w:p w:rsidR="00D51DCD" w:rsidRDefault="00D51DCD" w:rsidP="00D51DCD">
      <w:pPr>
        <w:pStyle w:val="Heading4"/>
        <w:spacing w:before="120"/>
      </w:pPr>
      <w:r w:rsidRPr="00AA53F4">
        <w:t>Efficacy</w:t>
      </w:r>
    </w:p>
    <w:p w:rsidR="00D51DCD" w:rsidRPr="00D94F4C" w:rsidRDefault="00D51DCD" w:rsidP="00D94F4C">
      <w:r w:rsidRPr="00D94F4C">
        <w:t xml:space="preserve">The efficacy of </w:t>
      </w:r>
      <w:proofErr w:type="spellStart"/>
      <w:r w:rsidRPr="00D94F4C">
        <w:t>lorlatinib</w:t>
      </w:r>
      <w:proofErr w:type="spellEnd"/>
      <w:r w:rsidRPr="00D94F4C">
        <w:t xml:space="preserve"> for this application for provisional registration</w:t>
      </w:r>
      <w:r w:rsidR="00C01081" w:rsidRPr="00D94F4C">
        <w:t xml:space="preserve"> </w:t>
      </w:r>
      <w:proofErr w:type="gramStart"/>
      <w:r w:rsidR="00C01081" w:rsidRPr="00D94F4C">
        <w:t>is derived</w:t>
      </w:r>
      <w:proofErr w:type="gramEnd"/>
      <w:r w:rsidR="00C01081" w:rsidRPr="00D94F4C">
        <w:t xml:space="preserve"> primarily from the Phase II</w:t>
      </w:r>
      <w:r w:rsidRPr="00D94F4C">
        <w:t xml:space="preserve"> portion of Study B7461001</w:t>
      </w:r>
      <w:r w:rsidR="00C01081" w:rsidRPr="00D94F4C">
        <w:t xml:space="preserve">. </w:t>
      </w:r>
      <w:r w:rsidRPr="00BA7237">
        <w:t>Study B7461001</w:t>
      </w:r>
      <w:r w:rsidR="00C01081" w:rsidRPr="00BA7237">
        <w:t xml:space="preserve"> is a global, P</w:t>
      </w:r>
      <w:r w:rsidRPr="00BA7237">
        <w:t>hase</w:t>
      </w:r>
      <w:r w:rsidR="008170A7" w:rsidRPr="00BA7237">
        <w:t> </w:t>
      </w:r>
      <w:r w:rsidR="00C01081" w:rsidRPr="00BA7237">
        <w:t>I/II</w:t>
      </w:r>
      <w:r w:rsidRPr="00BA7237">
        <w:t xml:space="preserve">, two-part, multi-cohort, single-arm study to evaluate dosing, safety, PK, </w:t>
      </w:r>
      <w:r w:rsidR="00C01081" w:rsidRPr="00BA7237">
        <w:t>pharmacodynamics (</w:t>
      </w:r>
      <w:r w:rsidRPr="00BA7237">
        <w:t>PD</w:t>
      </w:r>
      <w:r w:rsidR="00C01081" w:rsidRPr="00BA7237">
        <w:t>)</w:t>
      </w:r>
      <w:r w:rsidRPr="00BA7237">
        <w:t xml:space="preserve"> and anti-tumour activity of </w:t>
      </w:r>
      <w:proofErr w:type="spellStart"/>
      <w:r w:rsidRPr="00BA7237">
        <w:t>lorlatinib</w:t>
      </w:r>
      <w:proofErr w:type="spellEnd"/>
      <w:r w:rsidRPr="00BA7237">
        <w:t xml:space="preserve"> as a single agent in patients with ALK-positive or ROS1-positive advanced NSCLC.</w:t>
      </w:r>
      <w:r w:rsidR="00C01081" w:rsidRPr="00BA7237">
        <w:t xml:space="preserve"> </w:t>
      </w:r>
      <w:r w:rsidRPr="00BA7237">
        <w:t>The study, conducted in 47 centres in 14 countries including Australia, commenced in January 2014 and is ongoi</w:t>
      </w:r>
      <w:r w:rsidR="00C01081" w:rsidRPr="00BA7237">
        <w:t xml:space="preserve">ng. </w:t>
      </w:r>
      <w:r w:rsidRPr="00BA7237">
        <w:t>The data cut-off date for this submission was 15 March 2017.</w:t>
      </w:r>
    </w:p>
    <w:p w:rsidR="00D51DCD" w:rsidRPr="00BA7237" w:rsidRDefault="00C01081" w:rsidP="00D94F4C">
      <w:r w:rsidRPr="00BA7237">
        <w:t>The primary objective of the Phase II</w:t>
      </w:r>
      <w:r w:rsidR="00D51DCD" w:rsidRPr="00BA7237">
        <w:t xml:space="preserve"> portion of the study was to evaluate overall and intracranial anti-tumour activity of </w:t>
      </w:r>
      <w:proofErr w:type="spellStart"/>
      <w:r w:rsidR="00D51DCD" w:rsidRPr="00BA7237">
        <w:t>lorlatinib</w:t>
      </w:r>
      <w:proofErr w:type="spellEnd"/>
      <w:r w:rsidR="00D51DCD" w:rsidRPr="00BA7237">
        <w:t xml:space="preserve"> in patients with A</w:t>
      </w:r>
      <w:r w:rsidRPr="00BA7237">
        <w:t>LK+ or ROS1+ metastatic NSCLC. The P</w:t>
      </w:r>
      <w:r w:rsidR="00D51DCD" w:rsidRPr="00BA7237">
        <w:t>h</w:t>
      </w:r>
      <w:r w:rsidRPr="00BA7237">
        <w:t>ase II</w:t>
      </w:r>
      <w:r w:rsidR="00D51DCD" w:rsidRPr="00BA7237">
        <w:t xml:space="preserve"> portion of the study assessed efficacy of </w:t>
      </w:r>
      <w:proofErr w:type="spellStart"/>
      <w:r w:rsidR="00D51DCD" w:rsidRPr="00BA7237">
        <w:t>lorlatinib</w:t>
      </w:r>
      <w:proofErr w:type="spellEnd"/>
      <w:r w:rsidR="00D51DCD" w:rsidRPr="00BA7237">
        <w:t xml:space="preserve"> 100 mg daily in 275</w:t>
      </w:r>
      <w:r w:rsidR="008170A7" w:rsidRPr="00BA7237">
        <w:t> </w:t>
      </w:r>
      <w:r w:rsidR="00D51DCD" w:rsidRPr="00BA7237">
        <w:t>patients across 6 pre-specified cohorts</w:t>
      </w:r>
      <w:r w:rsidR="00D94F4C">
        <w:t xml:space="preserve"> (EXP-1 to EXP-6)</w:t>
      </w:r>
      <w:r w:rsidR="00D51DCD" w:rsidRPr="00BA7237">
        <w:t xml:space="preserve"> defined by ALK/ROS1 status and previous treatment:</w:t>
      </w:r>
    </w:p>
    <w:p w:rsidR="00D51DCD" w:rsidRPr="00C01081" w:rsidRDefault="00D51DCD" w:rsidP="00C01081">
      <w:pPr>
        <w:pStyle w:val="ListBullet"/>
      </w:pPr>
      <w:r w:rsidRPr="00C01081">
        <w:t>EXP-1</w:t>
      </w:r>
      <w:r w:rsidR="00C01081">
        <w:t>:</w:t>
      </w:r>
      <w:r w:rsidRPr="00C01081">
        <w:t xml:space="preserve"> ALK+, treatment-naïve, n</w:t>
      </w:r>
      <w:r w:rsidR="00C01081">
        <w:t xml:space="preserve"> </w:t>
      </w:r>
      <w:r w:rsidRPr="00C01081">
        <w:t>=</w:t>
      </w:r>
      <w:r w:rsidR="00C01081">
        <w:t xml:space="preserve"> </w:t>
      </w:r>
      <w:r w:rsidRPr="00C01081">
        <w:t>30</w:t>
      </w:r>
      <w:r w:rsidR="00C01081">
        <w:t>.</w:t>
      </w:r>
    </w:p>
    <w:p w:rsidR="00D51DCD" w:rsidRPr="00C01081" w:rsidRDefault="00D51DCD" w:rsidP="00C01081">
      <w:pPr>
        <w:pStyle w:val="ListBullet"/>
      </w:pPr>
      <w:r w:rsidRPr="00C01081">
        <w:t>EXP-2</w:t>
      </w:r>
      <w:r w:rsidR="00C01081">
        <w:t>:</w:t>
      </w:r>
      <w:r w:rsidRPr="00C01081">
        <w:t xml:space="preserve"> ALK+, relapsed after prior </w:t>
      </w:r>
      <w:proofErr w:type="spellStart"/>
      <w:r w:rsidRPr="00C01081">
        <w:t>crizotinib</w:t>
      </w:r>
      <w:proofErr w:type="spellEnd"/>
      <w:r w:rsidRPr="00C01081">
        <w:t xml:space="preserve"> therapy only, n</w:t>
      </w:r>
      <w:r w:rsidR="00C01081">
        <w:t xml:space="preserve"> </w:t>
      </w:r>
      <w:r w:rsidRPr="00C01081">
        <w:t>=</w:t>
      </w:r>
      <w:r w:rsidR="00C01081">
        <w:t xml:space="preserve"> </w:t>
      </w:r>
      <w:r w:rsidRPr="00C01081">
        <w:t>27</w:t>
      </w:r>
      <w:r w:rsidR="00C01081">
        <w:t>.</w:t>
      </w:r>
    </w:p>
    <w:p w:rsidR="00D51DCD" w:rsidRPr="00C01081" w:rsidRDefault="00D51DCD" w:rsidP="00C01081">
      <w:pPr>
        <w:pStyle w:val="ListBullet"/>
      </w:pPr>
      <w:r w:rsidRPr="00C01081">
        <w:t>EXP-3</w:t>
      </w:r>
      <w:r w:rsidR="00C01081">
        <w:t xml:space="preserve">: </w:t>
      </w:r>
      <w:r w:rsidRPr="00C01081">
        <w:t xml:space="preserve">ALK+, relapsed after </w:t>
      </w:r>
      <w:proofErr w:type="spellStart"/>
      <w:r w:rsidRPr="00C01081">
        <w:t>crizotinib</w:t>
      </w:r>
      <w:proofErr w:type="spellEnd"/>
      <w:r w:rsidRPr="00C01081">
        <w:t xml:space="preserve"> therapy and </w:t>
      </w:r>
      <w:proofErr w:type="gramStart"/>
      <w:r w:rsidRPr="00C01081">
        <w:t>1</w:t>
      </w:r>
      <w:proofErr w:type="gramEnd"/>
      <w:r w:rsidRPr="00C01081">
        <w:t xml:space="preserve"> or 2 courses of chemotherapy (EXP-3A), n</w:t>
      </w:r>
      <w:r w:rsidR="00C01081">
        <w:t xml:space="preserve"> </w:t>
      </w:r>
      <w:r w:rsidRPr="00C01081">
        <w:t>=</w:t>
      </w:r>
      <w:r w:rsidR="00C01081">
        <w:t xml:space="preserve"> </w:t>
      </w:r>
      <w:r w:rsidRPr="00C01081">
        <w:t xml:space="preserve">32, </w:t>
      </w:r>
      <w:r w:rsidR="00C01081">
        <w:t>overall response (</w:t>
      </w:r>
      <w:r w:rsidRPr="00C01081">
        <w:t>OR</w:t>
      </w:r>
      <w:r w:rsidR="00C01081">
        <w:t>)</w:t>
      </w:r>
      <w:r w:rsidRPr="00C01081">
        <w:t xml:space="preserve"> after 1 ALK TKI other than </w:t>
      </w:r>
      <w:proofErr w:type="spellStart"/>
      <w:r w:rsidRPr="00C01081">
        <w:t>crizotinib</w:t>
      </w:r>
      <w:proofErr w:type="spellEnd"/>
      <w:r w:rsidRPr="00C01081">
        <w:t xml:space="preserve"> with or without chemotherapy (EXP-3B), n</w:t>
      </w:r>
      <w:r w:rsidR="00C01081">
        <w:t xml:space="preserve"> </w:t>
      </w:r>
      <w:r w:rsidRPr="00C01081">
        <w:t>=</w:t>
      </w:r>
      <w:r w:rsidR="00C01081">
        <w:t xml:space="preserve"> </w:t>
      </w:r>
      <w:r w:rsidRPr="00C01081">
        <w:t>28</w:t>
      </w:r>
      <w:r w:rsidR="00C01081">
        <w:t>.</w:t>
      </w:r>
    </w:p>
    <w:p w:rsidR="00D51DCD" w:rsidRPr="00C01081" w:rsidRDefault="00D51DCD" w:rsidP="00C01081">
      <w:pPr>
        <w:pStyle w:val="ListBullet"/>
      </w:pPr>
      <w:r w:rsidRPr="00C01081">
        <w:t>EXP-4</w:t>
      </w:r>
      <w:r w:rsidR="00C01081">
        <w:t>:</w:t>
      </w:r>
      <w:r w:rsidRPr="00C01081">
        <w:t xml:space="preserve"> ALK+, relapsed after </w:t>
      </w:r>
      <w:proofErr w:type="gramStart"/>
      <w:r w:rsidRPr="00C01081">
        <w:t>2</w:t>
      </w:r>
      <w:proofErr w:type="gramEnd"/>
      <w:r w:rsidRPr="00C01081">
        <w:t xml:space="preserve"> previous TKIs (with or without chemotherapy), n</w:t>
      </w:r>
      <w:r w:rsidR="00C01081">
        <w:t xml:space="preserve"> </w:t>
      </w:r>
      <w:r w:rsidRPr="00C01081">
        <w:t>=</w:t>
      </w:r>
      <w:r w:rsidR="00C01081">
        <w:t xml:space="preserve"> </w:t>
      </w:r>
      <w:r w:rsidRPr="00C01081">
        <w:t>65</w:t>
      </w:r>
      <w:r w:rsidR="00C01081">
        <w:t>.</w:t>
      </w:r>
    </w:p>
    <w:p w:rsidR="00D51DCD" w:rsidRPr="00C01081" w:rsidRDefault="00D51DCD" w:rsidP="00C01081">
      <w:pPr>
        <w:pStyle w:val="ListBullet"/>
      </w:pPr>
      <w:r w:rsidRPr="00C01081">
        <w:t>EXP-5</w:t>
      </w:r>
      <w:r w:rsidR="00C01081">
        <w:t>:</w:t>
      </w:r>
      <w:r w:rsidRPr="00C01081">
        <w:t xml:space="preserve"> ALK+, relapsed after </w:t>
      </w:r>
      <w:proofErr w:type="gramStart"/>
      <w:r w:rsidRPr="00C01081">
        <w:t>3</w:t>
      </w:r>
      <w:proofErr w:type="gramEnd"/>
      <w:r w:rsidRPr="00C01081">
        <w:t xml:space="preserve"> previous TKIs (with or without chemotherapy), n</w:t>
      </w:r>
      <w:r w:rsidR="00C01081">
        <w:t xml:space="preserve"> </w:t>
      </w:r>
      <w:r w:rsidRPr="00C01081">
        <w:t>=</w:t>
      </w:r>
      <w:r w:rsidR="00C01081">
        <w:t xml:space="preserve"> </w:t>
      </w:r>
      <w:r w:rsidRPr="00C01081">
        <w:t>46</w:t>
      </w:r>
      <w:r w:rsidR="00C01081">
        <w:t>.</w:t>
      </w:r>
    </w:p>
    <w:p w:rsidR="00D51DCD" w:rsidRPr="00C01081" w:rsidRDefault="00D51DCD" w:rsidP="00C01081">
      <w:pPr>
        <w:pStyle w:val="ListBullet"/>
      </w:pPr>
      <w:r w:rsidRPr="00C01081">
        <w:lastRenderedPageBreak/>
        <w:t>EXP-6</w:t>
      </w:r>
      <w:r w:rsidR="00C01081">
        <w:t>:</w:t>
      </w:r>
      <w:r w:rsidRPr="00C01081">
        <w:t xml:space="preserve"> ROS1+, treatment naïve or any number of prior therapies, n</w:t>
      </w:r>
      <w:r w:rsidR="00C01081">
        <w:t xml:space="preserve"> </w:t>
      </w:r>
      <w:r w:rsidRPr="00C01081">
        <w:t>=</w:t>
      </w:r>
      <w:r w:rsidR="00C01081">
        <w:t xml:space="preserve"> </w:t>
      </w:r>
      <w:r w:rsidRPr="00C01081">
        <w:t>47</w:t>
      </w:r>
      <w:r w:rsidR="00C01081">
        <w:t>.</w:t>
      </w:r>
    </w:p>
    <w:p w:rsidR="00D51DCD" w:rsidRDefault="00D51DCD" w:rsidP="00D51DCD">
      <w:r>
        <w:t>Key inclusion criteria included:</w:t>
      </w:r>
    </w:p>
    <w:p w:rsidR="00D51DCD" w:rsidRDefault="00C01081" w:rsidP="00BA7237">
      <w:pPr>
        <w:pStyle w:val="ListBullet"/>
      </w:pPr>
      <w:proofErr w:type="gramStart"/>
      <w:r>
        <w:t>A</w:t>
      </w:r>
      <w:r w:rsidR="00D51DCD">
        <w:t xml:space="preserve">dult patients with histologically or </w:t>
      </w:r>
      <w:proofErr w:type="spellStart"/>
      <w:r w:rsidR="00D51DCD">
        <w:t>cytologically</w:t>
      </w:r>
      <w:proofErr w:type="spellEnd"/>
      <w:r w:rsidR="00D51DCD">
        <w:t xml:space="preserve"> confirmed metastatic NSCLC (Stage IV) with </w:t>
      </w:r>
      <w:r w:rsidR="00D51DCD" w:rsidRPr="00413219">
        <w:t>ALK rearrangement in tumour tissue confirmed by FISH (</w:t>
      </w:r>
      <w:proofErr w:type="spellStart"/>
      <w:r w:rsidR="00D51DCD" w:rsidRPr="00413219">
        <w:t>Vysis</w:t>
      </w:r>
      <w:proofErr w:type="spellEnd"/>
      <w:r w:rsidR="00D51DCD">
        <w:t xml:space="preserve"> ALK Break Apart FISH Probe Kit, </w:t>
      </w:r>
      <w:r w:rsidR="00D51DCD" w:rsidRPr="00413219">
        <w:t>Abbott Molecular Inc.)</w:t>
      </w:r>
      <w:r w:rsidR="00D51DCD">
        <w:t xml:space="preserve"> </w:t>
      </w:r>
      <w:r w:rsidR="00D51DCD" w:rsidRPr="00413219">
        <w:t>or IHC (</w:t>
      </w:r>
      <w:proofErr w:type="spellStart"/>
      <w:r w:rsidR="00D51DCD" w:rsidRPr="00413219">
        <w:t>Ventana</w:t>
      </w:r>
      <w:proofErr w:type="spellEnd"/>
      <w:r w:rsidR="00D51DCD" w:rsidRPr="00413219">
        <w:t xml:space="preserve"> ALK (D5F3) </w:t>
      </w:r>
      <w:proofErr w:type="spellStart"/>
      <w:r w:rsidR="00D51DCD" w:rsidRPr="00413219">
        <w:t>CDx</w:t>
      </w:r>
      <w:proofErr w:type="spellEnd"/>
      <w:r w:rsidR="00D51DCD" w:rsidRPr="00413219">
        <w:t xml:space="preserve"> assay</w:t>
      </w:r>
      <w:r w:rsidR="00D51DCD">
        <w:t xml:space="preserve">, </w:t>
      </w:r>
      <w:proofErr w:type="spellStart"/>
      <w:r w:rsidR="00D51DCD">
        <w:t>Ventana</w:t>
      </w:r>
      <w:proofErr w:type="spellEnd"/>
      <w:r w:rsidR="00D51DCD">
        <w:t xml:space="preserve"> Medical Systems Inc.</w:t>
      </w:r>
      <w:r w:rsidR="00D51DCD" w:rsidRPr="00413219">
        <w:t>)</w:t>
      </w:r>
      <w:r w:rsidR="00D51DCD">
        <w:t xml:space="preserve">, or ROS1 rearrangement determined by FISH, </w:t>
      </w:r>
      <w:r>
        <w:t>r</w:t>
      </w:r>
      <w:r w:rsidRPr="00C01081">
        <w:t xml:space="preserve">everse transcription polymerase chain reaction </w:t>
      </w:r>
      <w:r>
        <w:t>(</w:t>
      </w:r>
      <w:r w:rsidR="00D51DCD">
        <w:t>RT-PCR</w:t>
      </w:r>
      <w:r>
        <w:t>)</w:t>
      </w:r>
      <w:r w:rsidR="00D51DCD">
        <w:t xml:space="preserve"> or </w:t>
      </w:r>
      <w:r w:rsidRPr="00C01081">
        <w:t xml:space="preserve">next-generation sequencing </w:t>
      </w:r>
      <w:r>
        <w:t>(</w:t>
      </w:r>
      <w:r w:rsidR="00D51DCD">
        <w:t>NGS</w:t>
      </w:r>
      <w:r>
        <w:t>)</w:t>
      </w:r>
      <w:r w:rsidR="00D51DCD">
        <w:t xml:space="preserve"> via a local diagnostic test.</w:t>
      </w:r>
      <w:proofErr w:type="gramEnd"/>
    </w:p>
    <w:p w:rsidR="00D51DCD" w:rsidRDefault="00FB0901" w:rsidP="00BA7237">
      <w:pPr>
        <w:pStyle w:val="ListBullet"/>
      </w:pPr>
      <w:r>
        <w:sym w:font="Symbol" w:char="F0B3"/>
      </w:r>
      <w:r w:rsidR="00C01081">
        <w:t xml:space="preserve"> </w:t>
      </w:r>
      <w:proofErr w:type="gramStart"/>
      <w:r w:rsidR="00D51DCD">
        <w:t>1</w:t>
      </w:r>
      <w:proofErr w:type="gramEnd"/>
      <w:r w:rsidR="00D51DCD">
        <w:t xml:space="preserve"> measurable </w:t>
      </w:r>
      <w:proofErr w:type="spellStart"/>
      <w:r w:rsidR="00D51DCD">
        <w:t>extracrania</w:t>
      </w:r>
      <w:r w:rsidR="00C01081">
        <w:t>l</w:t>
      </w:r>
      <w:proofErr w:type="spellEnd"/>
      <w:r w:rsidR="00C01081">
        <w:t xml:space="preserve"> target lesion (RECIST v1.1).</w:t>
      </w:r>
      <w:bookmarkStart w:id="42" w:name="_Ref32965917"/>
      <w:r w:rsidR="00051480">
        <w:rPr>
          <w:rStyle w:val="FootnoteReference"/>
        </w:rPr>
        <w:footnoteReference w:id="2"/>
      </w:r>
      <w:bookmarkEnd w:id="42"/>
      <w:r w:rsidR="00C01081">
        <w:t xml:space="preserve"> </w:t>
      </w:r>
      <w:r w:rsidR="00D51DCD">
        <w:t>Patients with asymptomatic CNS metastases (treated or untreated) were eligible.</w:t>
      </w:r>
    </w:p>
    <w:p w:rsidR="00D51DCD" w:rsidRDefault="00051480" w:rsidP="00BA7237">
      <w:pPr>
        <w:pStyle w:val="ListBullet"/>
      </w:pPr>
      <w:r w:rsidRPr="00051480">
        <w:t xml:space="preserve">Eastern Cooperative Oncology Group </w:t>
      </w:r>
      <w:r>
        <w:t>(</w:t>
      </w:r>
      <w:r w:rsidR="00C01081">
        <w:t>ECOG</w:t>
      </w:r>
      <w:r>
        <w:t>)</w:t>
      </w:r>
      <w:r w:rsidR="00C01081">
        <w:t xml:space="preserve"> performance status</w:t>
      </w:r>
      <w:r>
        <w:t xml:space="preserve"> of</w:t>
      </w:r>
      <w:r w:rsidR="00C01081">
        <w:t xml:space="preserve"> 0</w:t>
      </w:r>
      <w:r>
        <w:t xml:space="preserve"> or</w:t>
      </w:r>
      <w:r w:rsidR="00C01081">
        <w:t xml:space="preserve"> 1 (Phase I)</w:t>
      </w:r>
      <w:r>
        <w:t>; or</w:t>
      </w:r>
      <w:r w:rsidR="00C01081">
        <w:t xml:space="preserve"> </w:t>
      </w:r>
      <w:proofErr w:type="gramStart"/>
      <w:r w:rsidR="00C01081">
        <w:t>0</w:t>
      </w:r>
      <w:proofErr w:type="gramEnd"/>
      <w:r w:rsidR="00C01081">
        <w:t>, 1 or 2 (Phase II</w:t>
      </w:r>
      <w:r w:rsidR="00D51DCD">
        <w:t>).</w:t>
      </w:r>
    </w:p>
    <w:p w:rsidR="00D51DCD" w:rsidRDefault="00D51DCD" w:rsidP="00D51DCD">
      <w:r>
        <w:t>Key exclusion criteria included:</w:t>
      </w:r>
    </w:p>
    <w:p w:rsidR="00D51DCD" w:rsidRPr="002758AE" w:rsidRDefault="00D51DCD" w:rsidP="00BA7237">
      <w:pPr>
        <w:pStyle w:val="ListBullet"/>
      </w:pPr>
      <w:r w:rsidRPr="002758AE">
        <w:t>Radiation therapy (except palliative therapy to relieve bone pain) within 2 weeks of</w:t>
      </w:r>
      <w:r>
        <w:t xml:space="preserve"> </w:t>
      </w:r>
      <w:r w:rsidRPr="002758AE">
        <w:t>study entry. Palliative radiation (</w:t>
      </w:r>
      <w:r w:rsidR="00FB0901">
        <w:sym w:font="Symbol" w:char="F0A3"/>
      </w:r>
      <w:r w:rsidRPr="002758AE">
        <w:t xml:space="preserve"> 10 fractions) </w:t>
      </w:r>
      <w:proofErr w:type="gramStart"/>
      <w:r w:rsidRPr="002758AE">
        <w:t>must have been completed</w:t>
      </w:r>
      <w:proofErr w:type="gramEnd"/>
      <w:r w:rsidRPr="002758AE">
        <w:t xml:space="preserve"> at least 48</w:t>
      </w:r>
      <w:r w:rsidR="00DE7764">
        <w:t> </w:t>
      </w:r>
      <w:r w:rsidRPr="002758AE">
        <w:t xml:space="preserve">hours prior to study entry. Stereotactic or small field brain irradiation </w:t>
      </w:r>
      <w:proofErr w:type="gramStart"/>
      <w:r w:rsidRPr="002758AE">
        <w:t>must have been</w:t>
      </w:r>
      <w:r>
        <w:t xml:space="preserve"> </w:t>
      </w:r>
      <w:r w:rsidRPr="002758AE">
        <w:t>completed</w:t>
      </w:r>
      <w:proofErr w:type="gramEnd"/>
      <w:r w:rsidRPr="002758AE">
        <w:t xml:space="preserve"> at least 2 weeks prior to study entry. Whole brain radiation </w:t>
      </w:r>
      <w:proofErr w:type="gramStart"/>
      <w:r w:rsidRPr="002758AE">
        <w:t>must have been completed</w:t>
      </w:r>
      <w:proofErr w:type="gramEnd"/>
      <w:r w:rsidRPr="002758AE">
        <w:t xml:space="preserve"> at least 4 weeks prior to study entry</w:t>
      </w:r>
      <w:r>
        <w:t>.</w:t>
      </w:r>
    </w:p>
    <w:p w:rsidR="00D51DCD" w:rsidRDefault="00D51DCD" w:rsidP="00D51DCD">
      <w:r>
        <w:t>The primary endpoint was</w:t>
      </w:r>
      <w:r>
        <w:rPr>
          <w:lang w:eastAsia="ja-JP"/>
        </w:rPr>
        <w:t xml:space="preserve"> </w:t>
      </w:r>
      <w:r w:rsidR="00C01081">
        <w:rPr>
          <w:lang w:eastAsia="ja-JP"/>
        </w:rPr>
        <w:t>overall response rate (</w:t>
      </w:r>
      <w:r w:rsidRPr="004E089E">
        <w:rPr>
          <w:lang w:eastAsia="ja-JP"/>
        </w:rPr>
        <w:t>ORR</w:t>
      </w:r>
      <w:r w:rsidR="00C01081">
        <w:rPr>
          <w:lang w:eastAsia="ja-JP"/>
        </w:rPr>
        <w:t>)</w:t>
      </w:r>
      <w:r w:rsidRPr="004E089E">
        <w:rPr>
          <w:lang w:eastAsia="ja-JP"/>
        </w:rPr>
        <w:t xml:space="preserve"> and </w:t>
      </w:r>
      <w:r w:rsidR="00D61142">
        <w:rPr>
          <w:lang w:eastAsia="ja-JP"/>
        </w:rPr>
        <w:t>intracranial overall response rate (</w:t>
      </w:r>
      <w:r w:rsidRPr="004E089E">
        <w:rPr>
          <w:lang w:eastAsia="ja-JP"/>
        </w:rPr>
        <w:t>IC-ORR</w:t>
      </w:r>
      <w:r w:rsidR="00D61142">
        <w:rPr>
          <w:lang w:eastAsia="ja-JP"/>
        </w:rPr>
        <w:t>)</w:t>
      </w:r>
      <w:r w:rsidRPr="004E089E">
        <w:rPr>
          <w:lang w:eastAsia="ja-JP"/>
        </w:rPr>
        <w:t xml:space="preserve"> as assessed by independent central radiology assessment </w:t>
      </w:r>
      <w:r>
        <w:rPr>
          <w:lang w:eastAsia="ja-JP"/>
        </w:rPr>
        <w:t>according to</w:t>
      </w:r>
      <w:r w:rsidRPr="004E089E">
        <w:rPr>
          <w:lang w:eastAsia="ja-JP"/>
        </w:rPr>
        <w:t xml:space="preserve"> RECIST v</w:t>
      </w:r>
      <w:r>
        <w:rPr>
          <w:lang w:eastAsia="ja-JP"/>
        </w:rPr>
        <w:t xml:space="preserve">ersion </w:t>
      </w:r>
      <w:r w:rsidRPr="004E089E">
        <w:rPr>
          <w:lang w:eastAsia="ja-JP"/>
        </w:rPr>
        <w:t>1.1</w:t>
      </w:r>
      <w:r w:rsidR="00C01081">
        <w:rPr>
          <w:lang w:eastAsia="ja-JP"/>
        </w:rPr>
        <w:t xml:space="preserve">. </w:t>
      </w:r>
      <w:r w:rsidRPr="00A57A36">
        <w:rPr>
          <w:lang w:eastAsia="ja-JP"/>
        </w:rPr>
        <w:t>Secondary efficacy endpoints</w:t>
      </w:r>
      <w:r>
        <w:rPr>
          <w:lang w:eastAsia="ja-JP"/>
        </w:rPr>
        <w:t xml:space="preserve"> included </w:t>
      </w:r>
      <w:r w:rsidRPr="004E089E">
        <w:rPr>
          <w:lang w:eastAsia="ja-JP"/>
        </w:rPr>
        <w:t>ORR and IC-ORR as assessed by i</w:t>
      </w:r>
      <w:r>
        <w:rPr>
          <w:lang w:eastAsia="ja-JP"/>
        </w:rPr>
        <w:t xml:space="preserve">nvestigator, </w:t>
      </w:r>
      <w:r w:rsidR="00D61142">
        <w:rPr>
          <w:lang w:eastAsia="ja-JP"/>
        </w:rPr>
        <w:t>duration of response (</w:t>
      </w:r>
      <w:r>
        <w:rPr>
          <w:lang w:eastAsia="ja-JP"/>
        </w:rPr>
        <w:t>DOR</w:t>
      </w:r>
      <w:r w:rsidR="00D61142">
        <w:rPr>
          <w:lang w:eastAsia="ja-JP"/>
        </w:rPr>
        <w:t>)</w:t>
      </w:r>
      <w:r>
        <w:rPr>
          <w:lang w:eastAsia="ja-JP"/>
        </w:rPr>
        <w:t xml:space="preserve">, </w:t>
      </w:r>
      <w:r w:rsidR="00D61142">
        <w:rPr>
          <w:lang w:eastAsia="ja-JP"/>
        </w:rPr>
        <w:t>time to tumour response (</w:t>
      </w:r>
      <w:r>
        <w:rPr>
          <w:lang w:eastAsia="ja-JP"/>
        </w:rPr>
        <w:t>TTR</w:t>
      </w:r>
      <w:r w:rsidR="00D61142">
        <w:rPr>
          <w:lang w:eastAsia="ja-JP"/>
        </w:rPr>
        <w:t>)</w:t>
      </w:r>
      <w:r>
        <w:rPr>
          <w:lang w:eastAsia="ja-JP"/>
        </w:rPr>
        <w:t xml:space="preserve">, </w:t>
      </w:r>
      <w:r w:rsidR="00D61142">
        <w:rPr>
          <w:lang w:eastAsia="ja-JP"/>
        </w:rPr>
        <w:t>progression free survival (</w:t>
      </w:r>
      <w:r>
        <w:rPr>
          <w:lang w:eastAsia="ja-JP"/>
        </w:rPr>
        <w:t>PFS</w:t>
      </w:r>
      <w:r w:rsidR="00D61142">
        <w:rPr>
          <w:lang w:eastAsia="ja-JP"/>
        </w:rPr>
        <w:t>)</w:t>
      </w:r>
      <w:r>
        <w:rPr>
          <w:lang w:eastAsia="ja-JP"/>
        </w:rPr>
        <w:t xml:space="preserve">, and </w:t>
      </w:r>
      <w:r w:rsidR="00D61142">
        <w:rPr>
          <w:lang w:eastAsia="ja-JP"/>
        </w:rPr>
        <w:t>overall survival (</w:t>
      </w:r>
      <w:r>
        <w:rPr>
          <w:lang w:eastAsia="ja-JP"/>
        </w:rPr>
        <w:t>OS</w:t>
      </w:r>
      <w:r w:rsidR="00D61142">
        <w:rPr>
          <w:lang w:eastAsia="ja-JP"/>
        </w:rPr>
        <w:t>)</w:t>
      </w:r>
      <w:r>
        <w:rPr>
          <w:lang w:eastAsia="ja-JP"/>
        </w:rPr>
        <w:t>.</w:t>
      </w:r>
    </w:p>
    <w:p w:rsidR="00D51DCD" w:rsidRDefault="00D51DCD" w:rsidP="00D51DCD">
      <w:r>
        <w:t xml:space="preserve">All analyses </w:t>
      </w:r>
      <w:proofErr w:type="gramStart"/>
      <w:r>
        <w:t>were performed</w:t>
      </w:r>
      <w:proofErr w:type="gramEnd"/>
      <w:r>
        <w:t xml:space="preserve"> on the </w:t>
      </w:r>
      <w:r w:rsidR="00D61142">
        <w:t>intent to treat (</w:t>
      </w:r>
      <w:r>
        <w:t>ITT</w:t>
      </w:r>
      <w:r w:rsidR="00D61142">
        <w:t>)</w:t>
      </w:r>
      <w:r>
        <w:t xml:space="preserve"> population.</w:t>
      </w:r>
      <w:r w:rsidR="00D61142">
        <w:t xml:space="preserve">  The primary analysis for the Phase II</w:t>
      </w:r>
      <w:r>
        <w:t xml:space="preserve"> portion of the study </w:t>
      </w:r>
      <w:proofErr w:type="gramStart"/>
      <w:r>
        <w:t>was performed</w:t>
      </w:r>
      <w:proofErr w:type="gramEnd"/>
      <w:r>
        <w:t xml:space="preserve"> on pre-specified pooled subgroups (</w:t>
      </w:r>
      <w:r>
        <w:fldChar w:fldCharType="begin"/>
      </w:r>
      <w:r>
        <w:instrText xml:space="preserve"> REF _Ref11678561 \h </w:instrText>
      </w:r>
      <w:r>
        <w:fldChar w:fldCharType="separate"/>
      </w:r>
      <w:r w:rsidR="00854F4F">
        <w:t xml:space="preserve">Table </w:t>
      </w:r>
      <w:r w:rsidR="00854F4F">
        <w:rPr>
          <w:noProof/>
        </w:rPr>
        <w:t>2</w:t>
      </w:r>
      <w:r>
        <w:fldChar w:fldCharType="end"/>
      </w:r>
      <w:r w:rsidR="00D61142">
        <w:t xml:space="preserve">). </w:t>
      </w:r>
      <w:r>
        <w:t>This submission focussed on cohorts EXP-2 to EXP-5 (n</w:t>
      </w:r>
      <w:r w:rsidR="00D61142">
        <w:t xml:space="preserve"> </w:t>
      </w:r>
      <w:r>
        <w:t>=</w:t>
      </w:r>
      <w:r w:rsidR="00D61142">
        <w:t xml:space="preserve"> </w:t>
      </w:r>
      <w:r>
        <w:t>197), as cohorts EXP-1 (ALK+, no prior treatment) and EXP-6 (ROS1+) are not relev</w:t>
      </w:r>
      <w:r w:rsidR="00D61142">
        <w:t>ant to the proposed indication.</w:t>
      </w:r>
    </w:p>
    <w:p w:rsidR="00D51DCD" w:rsidRDefault="00D51DCD" w:rsidP="00D51DCD">
      <w:r>
        <w:t xml:space="preserve">The FDA requested additional analyses on the </w:t>
      </w:r>
      <w:r w:rsidR="00D61142">
        <w:t>‘</w:t>
      </w:r>
      <w:r w:rsidRPr="00D61142">
        <w:t>100 mg QD pooled group</w:t>
      </w:r>
      <w:r w:rsidR="00D61142">
        <w:t>’</w:t>
      </w:r>
      <w:r>
        <w:t xml:space="preserve"> (all patients in Study B7461001 with ALK+ NSCLC who received </w:t>
      </w:r>
      <w:proofErr w:type="spellStart"/>
      <w:r>
        <w:t>lorlatinib</w:t>
      </w:r>
      <w:proofErr w:type="spellEnd"/>
      <w:r>
        <w:t xml:space="preserve"> 100 mg as </w:t>
      </w:r>
      <w:r w:rsidR="00D61142">
        <w:t xml:space="preserve">a starting dose in the study). </w:t>
      </w:r>
      <w:r>
        <w:t>This group in</w:t>
      </w:r>
      <w:r w:rsidR="00D61142">
        <w:t>cluded 215 patients across the Phase I</w:t>
      </w:r>
      <w:r>
        <w:t xml:space="preserve"> (n</w:t>
      </w:r>
      <w:r w:rsidR="00D61142">
        <w:t xml:space="preserve"> </w:t>
      </w:r>
      <w:r>
        <w:t>=</w:t>
      </w:r>
      <w:r w:rsidR="00D61142">
        <w:t xml:space="preserve"> </w:t>
      </w:r>
      <w:r>
        <w:t>1</w:t>
      </w:r>
      <w:r w:rsidR="00D61142">
        <w:t>5), Phase II</w:t>
      </w:r>
      <w:r>
        <w:t xml:space="preserve"> (n</w:t>
      </w:r>
      <w:r w:rsidR="00D61142">
        <w:t xml:space="preserve"> </w:t>
      </w:r>
      <w:r>
        <w:t>=</w:t>
      </w:r>
      <w:r w:rsidR="00D61142">
        <w:t xml:space="preserve"> </w:t>
      </w:r>
      <w:r>
        <w:t>198) and Japanese lead-in cohort (n</w:t>
      </w:r>
      <w:r w:rsidR="00D61142">
        <w:t xml:space="preserve"> </w:t>
      </w:r>
      <w:r>
        <w:t>=</w:t>
      </w:r>
      <w:r w:rsidR="00D61142">
        <w:t xml:space="preserve"> 2) parts of the study. </w:t>
      </w:r>
      <w:r>
        <w:t xml:space="preserve">The FDA assessed the </w:t>
      </w:r>
      <w:r w:rsidR="00D61142">
        <w:t>‘</w:t>
      </w:r>
      <w:r w:rsidRPr="00D61142">
        <w:t>100 mg QD pooled group</w:t>
      </w:r>
      <w:r w:rsidR="00D61142">
        <w:t>’</w:t>
      </w:r>
      <w:r>
        <w:t xml:space="preserve"> as the </w:t>
      </w:r>
      <w:r w:rsidR="008D0771">
        <w:t>primary efficacy population.</w:t>
      </w:r>
    </w:p>
    <w:p w:rsidR="00D51DCD" w:rsidRPr="00CE7020" w:rsidRDefault="00D51DCD" w:rsidP="00D61142">
      <w:pPr>
        <w:pStyle w:val="TableTitle"/>
      </w:pPr>
      <w:bookmarkStart w:id="43" w:name="_Ref11678561"/>
      <w:r>
        <w:lastRenderedPageBreak/>
        <w:t xml:space="preserve">Table </w:t>
      </w:r>
      <w:r w:rsidR="009339F6">
        <w:fldChar w:fldCharType="begin"/>
      </w:r>
      <w:r w:rsidR="009339F6">
        <w:instrText xml:space="preserve"> SEQ Table \* ARABIC </w:instrText>
      </w:r>
      <w:r w:rsidR="009339F6">
        <w:fldChar w:fldCharType="separate"/>
      </w:r>
      <w:r w:rsidR="005D1957">
        <w:rPr>
          <w:noProof/>
        </w:rPr>
        <w:t>2</w:t>
      </w:r>
      <w:r w:rsidR="009339F6">
        <w:rPr>
          <w:noProof/>
        </w:rPr>
        <w:fldChar w:fldCharType="end"/>
      </w:r>
      <w:bookmarkEnd w:id="43"/>
      <w:r w:rsidR="00D61142">
        <w:rPr>
          <w:noProof/>
        </w:rPr>
        <w:t>:</w:t>
      </w:r>
      <w:r>
        <w:t xml:space="preserve"> </w:t>
      </w:r>
      <w:r w:rsidR="00D61142">
        <w:t>Study B7461001 e</w:t>
      </w:r>
      <w:r w:rsidRPr="008E1BD8">
        <w:t xml:space="preserve">fficacy </w:t>
      </w:r>
      <w:r w:rsidR="00D61142" w:rsidRPr="008E1BD8">
        <w:t xml:space="preserve">cohorts </w:t>
      </w:r>
      <w:r w:rsidR="00D61142">
        <w:t>of ALK-p</w:t>
      </w:r>
      <w:r w:rsidRPr="008E1BD8">
        <w:t>ositive</w:t>
      </w:r>
      <w:r w:rsidR="00D61142">
        <w:t xml:space="preserve"> NSCLC p</w:t>
      </w:r>
      <w:r>
        <w:t xml:space="preserve">atients </w:t>
      </w:r>
      <w:r w:rsidRPr="008E1BD8">
        <w:t>(</w:t>
      </w:r>
      <w:r w:rsidR="00D61142">
        <w:t>Phase I</w:t>
      </w:r>
      <w:r w:rsidRPr="008E1BD8">
        <w:t xml:space="preserve">, </w:t>
      </w:r>
      <w:r w:rsidR="00D61142">
        <w:t>Phase II, and 100 </w:t>
      </w:r>
      <w:r w:rsidRPr="008E1BD8">
        <w:t xml:space="preserve">mg </w:t>
      </w:r>
      <w:r w:rsidR="00D61142">
        <w:t>once daily</w:t>
      </w:r>
      <w:r w:rsidRPr="008E1BD8">
        <w:t xml:space="preserve"> </w:t>
      </w:r>
      <w:r w:rsidR="00D61142" w:rsidRPr="008E1BD8">
        <w:t>pooled group</w:t>
      </w:r>
      <w:r w:rsidRPr="008E1BD8">
        <w:t>)</w:t>
      </w:r>
    </w:p>
    <w:p w:rsidR="00D51DCD" w:rsidRDefault="00D51DCD" w:rsidP="00D51DCD">
      <w:r>
        <w:rPr>
          <w:noProof/>
          <w:lang w:eastAsia="en-AU"/>
        </w:rPr>
        <w:drawing>
          <wp:anchor distT="0" distB="0" distL="114300" distR="114300" simplePos="0" relativeHeight="251659264" behindDoc="0" locked="0" layoutInCell="1" allowOverlap="1" wp14:anchorId="6F54728D" wp14:editId="15BB8E93">
            <wp:simplePos x="0" y="0"/>
            <wp:positionH relativeFrom="column">
              <wp:posOffset>2943225</wp:posOffset>
            </wp:positionH>
            <wp:positionV relativeFrom="paragraph">
              <wp:posOffset>2853234</wp:posOffset>
            </wp:positionV>
            <wp:extent cx="398008" cy="142875"/>
            <wp:effectExtent l="0" t="0" r="254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398008" cy="142875"/>
                    </a:xfrm>
                    <a:prstGeom prst="rect">
                      <a:avLst/>
                    </a:prstGeom>
                  </pic:spPr>
                </pic:pic>
              </a:graphicData>
            </a:graphic>
            <wp14:sizeRelH relativeFrom="margin">
              <wp14:pctWidth>0</wp14:pctWidth>
            </wp14:sizeRelH>
            <wp14:sizeRelV relativeFrom="margin">
              <wp14:pctHeight>0</wp14:pctHeight>
            </wp14:sizeRelV>
          </wp:anchor>
        </w:drawing>
      </w:r>
      <w:r>
        <w:rPr>
          <w:noProof/>
          <w:lang w:eastAsia="en-AU"/>
        </w:rPr>
        <mc:AlternateContent>
          <mc:Choice Requires="wps">
            <w:drawing>
              <wp:anchor distT="0" distB="0" distL="114300" distR="114300" simplePos="0" relativeHeight="251657216" behindDoc="0" locked="0" layoutInCell="1" allowOverlap="1" wp14:anchorId="575960E9" wp14:editId="1AE7BDBD">
                <wp:simplePos x="0" y="0"/>
                <wp:positionH relativeFrom="column">
                  <wp:posOffset>4587240</wp:posOffset>
                </wp:positionH>
                <wp:positionV relativeFrom="paragraph">
                  <wp:posOffset>682625</wp:posOffset>
                </wp:positionV>
                <wp:extent cx="66675" cy="45719"/>
                <wp:effectExtent l="0" t="0" r="28575" b="12065"/>
                <wp:wrapNone/>
                <wp:docPr id="14" name="Rectangle 14"/>
                <wp:cNvGraphicFramePr/>
                <a:graphic xmlns:a="http://schemas.openxmlformats.org/drawingml/2006/main">
                  <a:graphicData uri="http://schemas.microsoft.com/office/word/2010/wordprocessingShape">
                    <wps:wsp>
                      <wps:cNvSpPr/>
                      <wps:spPr>
                        <a:xfrm>
                          <a:off x="0" y="0"/>
                          <a:ext cx="66675" cy="45719"/>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F7DC722" id="Rectangle 14" o:spid="_x0000_s1026" style="position:absolute;margin-left:361.2pt;margin-top:53.75pt;width:5.25pt;height:3.6pt;z-index:251657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" fillcolor="white [3212]" strokecolor="white [3212]" strokeweight="2pt"/>
            </w:pict>
          </mc:Fallback>
        </mc:AlternateContent>
      </w:r>
      <w:r>
        <w:rPr>
          <w:noProof/>
          <w:lang w:eastAsia="en-AU"/>
        </w:rPr>
        <w:drawing>
          <wp:inline distT="0" distB="0" distL="0" distR="0" wp14:anchorId="4766AF23" wp14:editId="4959A363">
            <wp:extent cx="5010150" cy="3272121"/>
            <wp:effectExtent l="0" t="0" r="0" b="5080"/>
            <wp:docPr id="1" name="Picture 1" descr="Study B7461001 efficacy cohorts of ALK-positive NSCLC patients (Phase I, Phase II, and 100 mg once daily pooled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013714" cy="3274449"/>
                    </a:xfrm>
                    <a:prstGeom prst="rect">
                      <a:avLst/>
                    </a:prstGeom>
                  </pic:spPr>
                </pic:pic>
              </a:graphicData>
            </a:graphic>
          </wp:inline>
        </w:drawing>
      </w:r>
    </w:p>
    <w:p w:rsidR="00D51DCD" w:rsidRDefault="00D51DCD" w:rsidP="00D51DCD">
      <w:pPr>
        <w:rPr>
          <w:b/>
        </w:rPr>
      </w:pPr>
      <w:r>
        <w:rPr>
          <w:rFonts w:asciiTheme="minorHAnsi" w:eastAsiaTheme="minorHAnsi" w:hAnsiTheme="minorHAnsi" w:cs="TimesNewRoman"/>
        </w:rPr>
        <w:t xml:space="preserve">The demographic and baseline characteristics in the </w:t>
      </w:r>
      <w:r w:rsidR="00786DF1">
        <w:rPr>
          <w:rFonts w:asciiTheme="minorHAnsi" w:eastAsiaTheme="minorHAnsi" w:hAnsiTheme="minorHAnsi" w:cs="TimesNewRoman"/>
        </w:rPr>
        <w:t>‘</w:t>
      </w:r>
      <w:r w:rsidRPr="00786DF1">
        <w:t>100 mg QD pooled group</w:t>
      </w:r>
      <w:r w:rsidR="00786DF1">
        <w:t>’</w:t>
      </w:r>
      <w:r>
        <w:rPr>
          <w:rFonts w:asciiTheme="minorHAnsi" w:eastAsiaTheme="minorHAnsi" w:hAnsiTheme="minorHAnsi" w:cs="TimesNewRoman"/>
        </w:rPr>
        <w:t xml:space="preserve"> were similar to the </w:t>
      </w:r>
      <w:r w:rsidR="00786DF1">
        <w:rPr>
          <w:rFonts w:asciiTheme="minorHAnsi" w:eastAsiaTheme="minorHAnsi" w:hAnsiTheme="minorHAnsi" w:cs="TimesNewRoman"/>
        </w:rPr>
        <w:t xml:space="preserve">pooled cohorts EXP-2 to EXP-5. </w:t>
      </w:r>
      <w:r w:rsidRPr="00B7694E">
        <w:rPr>
          <w:rFonts w:asciiTheme="minorHAnsi" w:eastAsiaTheme="minorHAnsi" w:hAnsiTheme="minorHAnsi" w:cs="TimesNewRoman"/>
        </w:rPr>
        <w:t xml:space="preserve">In </w:t>
      </w:r>
      <w:r>
        <w:rPr>
          <w:rFonts w:asciiTheme="minorHAnsi" w:eastAsiaTheme="minorHAnsi" w:hAnsiTheme="minorHAnsi" w:cs="TimesNewRoman"/>
        </w:rPr>
        <w:t>the pooled cohorts EXP-2 to EXP-5</w:t>
      </w:r>
      <w:r w:rsidRPr="00B7694E">
        <w:rPr>
          <w:rFonts w:asciiTheme="minorHAnsi" w:eastAsiaTheme="minorHAnsi" w:hAnsiTheme="minorHAnsi" w:cs="TimesNewRoman"/>
        </w:rPr>
        <w:t>, the mean age was 53.2 years</w:t>
      </w:r>
      <w:r>
        <w:rPr>
          <w:rFonts w:asciiTheme="minorHAnsi" w:eastAsiaTheme="minorHAnsi" w:hAnsiTheme="minorHAnsi" w:cs="TimesNewRoman"/>
        </w:rPr>
        <w:t xml:space="preserve"> (</w:t>
      </w:r>
      <w:r w:rsidR="00786DF1">
        <w:rPr>
          <w:rFonts w:asciiTheme="minorHAnsi" w:eastAsiaTheme="minorHAnsi" w:hAnsiTheme="minorHAnsi" w:cs="TimesNewRoman"/>
        </w:rPr>
        <w:t xml:space="preserve">range 29 to </w:t>
      </w:r>
      <w:r w:rsidRPr="00B7694E">
        <w:rPr>
          <w:rFonts w:asciiTheme="minorHAnsi" w:eastAsiaTheme="minorHAnsi" w:hAnsiTheme="minorHAnsi" w:cs="TimesNewRoman"/>
        </w:rPr>
        <w:t>85 years), 59.4%</w:t>
      </w:r>
      <w:r>
        <w:rPr>
          <w:rFonts w:asciiTheme="minorHAnsi" w:eastAsiaTheme="minorHAnsi" w:hAnsiTheme="minorHAnsi" w:cs="TimesNewRoman"/>
        </w:rPr>
        <w:t xml:space="preserve"> </w:t>
      </w:r>
      <w:r w:rsidRPr="00B7694E">
        <w:rPr>
          <w:rFonts w:asciiTheme="minorHAnsi" w:eastAsiaTheme="minorHAnsi" w:hAnsiTheme="minorHAnsi" w:cs="TimesNewRoman"/>
        </w:rPr>
        <w:t>were female, and most were either White (49.2%) or Asian (35.5%)</w:t>
      </w:r>
      <w:r w:rsidR="00786DF1">
        <w:rPr>
          <w:rFonts w:asciiTheme="minorHAnsi" w:eastAsiaTheme="minorHAnsi" w:hAnsiTheme="minorHAnsi" w:cs="TimesNewRoman"/>
        </w:rPr>
        <w:t xml:space="preserve">. </w:t>
      </w:r>
      <w:r>
        <w:rPr>
          <w:rFonts w:asciiTheme="minorHAnsi" w:eastAsiaTheme="minorHAnsi" w:hAnsiTheme="minorHAnsi" w:cs="TimesNewRoman"/>
        </w:rPr>
        <w:t>132 (</w:t>
      </w:r>
      <w:r w:rsidRPr="00B7694E">
        <w:rPr>
          <w:rFonts w:asciiTheme="minorHAnsi" w:eastAsiaTheme="minorHAnsi" w:hAnsiTheme="minorHAnsi" w:cs="TimesNewRoman"/>
        </w:rPr>
        <w:t>67.0%</w:t>
      </w:r>
      <w:r>
        <w:rPr>
          <w:rFonts w:asciiTheme="minorHAnsi" w:eastAsiaTheme="minorHAnsi" w:hAnsiTheme="minorHAnsi" w:cs="TimesNewRoman"/>
        </w:rPr>
        <w:t>)</w:t>
      </w:r>
      <w:r w:rsidRPr="00B7694E">
        <w:rPr>
          <w:rFonts w:asciiTheme="minorHAnsi" w:eastAsiaTheme="minorHAnsi" w:hAnsiTheme="minorHAnsi" w:cs="TimesNewRoman"/>
        </w:rPr>
        <w:t xml:space="preserve"> patients had brain metastases at study entry</w:t>
      </w:r>
      <w:r w:rsidR="00786DF1">
        <w:rPr>
          <w:rFonts w:asciiTheme="minorHAnsi" w:eastAsiaTheme="minorHAnsi" w:hAnsiTheme="minorHAnsi" w:cs="TimesNewRoman"/>
        </w:rPr>
        <w:t>.</w:t>
      </w:r>
    </w:p>
    <w:p w:rsidR="00D51DCD" w:rsidRDefault="00D51DCD" w:rsidP="008D0771">
      <w:pPr>
        <w:pStyle w:val="Heading5"/>
      </w:pPr>
      <w:r>
        <w:t>Efficacy r</w:t>
      </w:r>
      <w:r w:rsidRPr="00E82DAE">
        <w:t xml:space="preserve">esults </w:t>
      </w:r>
      <w:r>
        <w:t>for</w:t>
      </w:r>
      <w:r w:rsidRPr="00E82DAE">
        <w:t xml:space="preserve"> </w:t>
      </w:r>
      <w:r w:rsidR="00786DF1">
        <w:t>the Phase II</w:t>
      </w:r>
      <w:r>
        <w:t xml:space="preserve"> portion of Study B7461001</w:t>
      </w:r>
    </w:p>
    <w:p w:rsidR="00D51DCD" w:rsidRPr="00C27F57" w:rsidRDefault="00D51DCD" w:rsidP="00DE7764">
      <w:pPr>
        <w:pStyle w:val="Heading6"/>
      </w:pPr>
      <w:r>
        <w:t>Primary</w:t>
      </w:r>
      <w:r w:rsidRPr="00C27F57">
        <w:t xml:space="preserve"> </w:t>
      </w:r>
      <w:r w:rsidR="00DE7764">
        <w:t xml:space="preserve">efficacy </w:t>
      </w:r>
      <w:r w:rsidRPr="00C27F57">
        <w:t>endpoint</w:t>
      </w:r>
    </w:p>
    <w:p w:rsidR="00D51DCD" w:rsidRDefault="00D51DCD" w:rsidP="00D51DCD">
      <w:r>
        <w:t xml:space="preserve">In the </w:t>
      </w:r>
      <w:r w:rsidR="00786DF1">
        <w:t>‘</w:t>
      </w:r>
      <w:r w:rsidRPr="00786DF1">
        <w:t>100 mg QD pooled group</w:t>
      </w:r>
      <w:r w:rsidR="00786DF1">
        <w:t>’</w:t>
      </w:r>
      <w:r>
        <w:t xml:space="preserve"> at the 15 Sep</w:t>
      </w:r>
      <w:r w:rsidR="00786DF1">
        <w:t>tember</w:t>
      </w:r>
      <w:r>
        <w:t xml:space="preserve"> 2017 data cut-off, ORR was 48% (95% </w:t>
      </w:r>
      <w:r w:rsidR="00786DF1">
        <w:t>confidence interval (</w:t>
      </w:r>
      <w:r>
        <w:t>CI</w:t>
      </w:r>
      <w:r w:rsidR="00786DF1">
        <w:t>)</w:t>
      </w:r>
      <w:r>
        <w:t xml:space="preserve">: 42, 55), comprising </w:t>
      </w:r>
      <w:r w:rsidR="00786DF1">
        <w:t>complete response (</w:t>
      </w:r>
      <w:r>
        <w:t>CR</w:t>
      </w:r>
      <w:r w:rsidR="00786DF1">
        <w:t>)</w:t>
      </w:r>
      <w:r>
        <w:t xml:space="preserve"> 4% and </w:t>
      </w:r>
      <w:r w:rsidR="00786DF1">
        <w:t>partial response (</w:t>
      </w:r>
      <w:r>
        <w:t>PR</w:t>
      </w:r>
      <w:r w:rsidR="00786DF1">
        <w:t>) 44%, and IC-</w:t>
      </w:r>
      <w:r>
        <w:t>ORR was 54% (95% CI: 45, 62), comprising CR 31% and PR 22% (</w:t>
      </w:r>
      <w:r>
        <w:fldChar w:fldCharType="begin"/>
      </w:r>
      <w:r>
        <w:instrText xml:space="preserve"> REF _Ref15910054 \h </w:instrText>
      </w:r>
      <w:r>
        <w:fldChar w:fldCharType="separate"/>
      </w:r>
      <w:r w:rsidR="00854F4F">
        <w:t xml:space="preserve">Table </w:t>
      </w:r>
      <w:r w:rsidR="00854F4F">
        <w:rPr>
          <w:noProof/>
        </w:rPr>
        <w:t>3</w:t>
      </w:r>
      <w:r>
        <w:fldChar w:fldCharType="end"/>
      </w:r>
      <w:r w:rsidR="00786DF1">
        <w:t>). IC-</w:t>
      </w:r>
      <w:r>
        <w:t xml:space="preserve">ORR for patients with at least </w:t>
      </w:r>
      <w:proofErr w:type="gramStart"/>
      <w:r>
        <w:t>1</w:t>
      </w:r>
      <w:proofErr w:type="gramEnd"/>
      <w:r>
        <w:t xml:space="preserve"> measurable intracranial lesion was 60% (CR 21%, PR 38%</w:t>
      </w:r>
      <w:r w:rsidR="00786DF1">
        <w:t xml:space="preserve">). </w:t>
      </w:r>
      <w:r>
        <w:t xml:space="preserve">Median DOR was 12.5 months (95% CI: 8.4, 23.7) and median </w:t>
      </w:r>
      <w:r w:rsidR="00786DF1">
        <w:t>intracranial (</w:t>
      </w:r>
      <w:r>
        <w:t>IC</w:t>
      </w:r>
      <w:r w:rsidR="00786DF1">
        <w:t>)</w:t>
      </w:r>
      <w:r>
        <w:t xml:space="preserve"> DOR was 19.5 months (95% CI: 12.4, </w:t>
      </w:r>
      <w:r w:rsidR="0051722B">
        <w:t>not estimable (</w:t>
      </w:r>
      <w:r>
        <w:t>NE</w:t>
      </w:r>
      <w:r w:rsidR="0051722B">
        <w:t>)</w:t>
      </w:r>
      <w:r>
        <w:t>)</w:t>
      </w:r>
      <w:r w:rsidR="00854F4F">
        <w:t xml:space="preserve">, as shown in </w:t>
      </w:r>
      <w:r w:rsidR="00854F4F">
        <w:fldChar w:fldCharType="begin"/>
      </w:r>
      <w:r w:rsidR="00854F4F">
        <w:instrText xml:space="preserve"> REF _Ref31279987 \h </w:instrText>
      </w:r>
      <w:r w:rsidR="00854F4F">
        <w:fldChar w:fldCharType="separate"/>
      </w:r>
      <w:r w:rsidR="00854F4F">
        <w:t xml:space="preserve">Table </w:t>
      </w:r>
      <w:r w:rsidR="00854F4F">
        <w:rPr>
          <w:noProof/>
        </w:rPr>
        <w:t>4</w:t>
      </w:r>
      <w:r w:rsidR="00854F4F">
        <w:fldChar w:fldCharType="end"/>
      </w:r>
      <w:r>
        <w:t>.</w:t>
      </w:r>
    </w:p>
    <w:p w:rsidR="00D51DCD" w:rsidRDefault="0051722B" w:rsidP="00D51DCD">
      <w:pPr>
        <w:rPr>
          <w:lang w:eastAsia="ja-JP"/>
        </w:rPr>
      </w:pPr>
      <w:r>
        <w:t>ORR and IC-</w:t>
      </w:r>
      <w:r w:rsidR="00D51DCD" w:rsidRPr="009A4BE4">
        <w:t xml:space="preserve">ORR based on pre-specified cohorts </w:t>
      </w:r>
      <w:proofErr w:type="gramStart"/>
      <w:r w:rsidR="00D51DCD" w:rsidRPr="009A4BE4">
        <w:t>are listed</w:t>
      </w:r>
      <w:proofErr w:type="gramEnd"/>
      <w:r w:rsidR="00D51DCD" w:rsidRPr="009A4BE4">
        <w:t xml:space="preserve"> in </w:t>
      </w:r>
      <w:r w:rsidR="00D51DCD" w:rsidRPr="009A4BE4">
        <w:fldChar w:fldCharType="begin"/>
      </w:r>
      <w:r w:rsidR="00D51DCD" w:rsidRPr="009A4BE4">
        <w:instrText xml:space="preserve"> REF _Ref15910504 \h </w:instrText>
      </w:r>
      <w:r w:rsidR="00D51DCD">
        <w:instrText xml:space="preserve"> \* MERGEFORMAT </w:instrText>
      </w:r>
      <w:r w:rsidR="00D51DCD" w:rsidRPr="009A4BE4">
        <w:fldChar w:fldCharType="separate"/>
      </w:r>
      <w:r w:rsidR="00854F4F">
        <w:t xml:space="preserve">Table </w:t>
      </w:r>
      <w:r w:rsidR="00854F4F">
        <w:rPr>
          <w:noProof/>
        </w:rPr>
        <w:t>5</w:t>
      </w:r>
      <w:r w:rsidR="00D51DCD" w:rsidRPr="009A4BE4">
        <w:fldChar w:fldCharType="end"/>
      </w:r>
      <w:r w:rsidR="00D51DCD" w:rsidRPr="009A4BE4">
        <w:t xml:space="preserve"> and </w:t>
      </w:r>
      <w:r w:rsidR="00D51DCD" w:rsidRPr="009A4BE4">
        <w:fldChar w:fldCharType="begin"/>
      </w:r>
      <w:r w:rsidR="00D51DCD" w:rsidRPr="009A4BE4">
        <w:instrText xml:space="preserve"> REF _Ref15910472 \h </w:instrText>
      </w:r>
      <w:r w:rsidR="00D51DCD">
        <w:instrText xml:space="preserve"> \* MERGEFORMAT </w:instrText>
      </w:r>
      <w:r w:rsidR="00D51DCD" w:rsidRPr="009A4BE4">
        <w:fldChar w:fldCharType="separate"/>
      </w:r>
      <w:r w:rsidR="00854F4F">
        <w:t xml:space="preserve">Table </w:t>
      </w:r>
      <w:r w:rsidR="00854F4F">
        <w:rPr>
          <w:noProof/>
        </w:rPr>
        <w:t>6</w:t>
      </w:r>
      <w:r w:rsidR="00D51DCD" w:rsidRPr="009A4BE4">
        <w:fldChar w:fldCharType="end"/>
      </w:r>
      <w:r>
        <w:t xml:space="preserve">. </w:t>
      </w:r>
      <w:r w:rsidR="00D51DCD" w:rsidRPr="009A4BE4">
        <w:t xml:space="preserve">Similar outcomes were reported in the ITT population </w:t>
      </w:r>
      <w:r w:rsidR="00D51DCD">
        <w:t>in</w:t>
      </w:r>
      <w:r w:rsidR="00854F4F">
        <w:t xml:space="preserve"> the Phase II</w:t>
      </w:r>
      <w:r w:rsidR="00D51DCD" w:rsidRPr="009A4BE4">
        <w:t xml:space="preserve"> portion of </w:t>
      </w:r>
      <w:r w:rsidR="00854F4F">
        <w:t xml:space="preserve">Study </w:t>
      </w:r>
      <w:r w:rsidR="00D51DCD" w:rsidRPr="009A4BE4">
        <w:t>B7461001 (</w:t>
      </w:r>
      <w:r w:rsidR="00D51DCD">
        <w:fldChar w:fldCharType="begin"/>
      </w:r>
      <w:r w:rsidR="00D51DCD">
        <w:instrText xml:space="preserve"> REF _Ref17208797 \h </w:instrText>
      </w:r>
      <w:r w:rsidR="00D51DCD">
        <w:fldChar w:fldCharType="separate"/>
      </w:r>
      <w:r w:rsidR="00D51DCD">
        <w:t xml:space="preserve">Table </w:t>
      </w:r>
      <w:r w:rsidR="00D51DCD">
        <w:rPr>
          <w:noProof/>
        </w:rPr>
        <w:t>6</w:t>
      </w:r>
      <w:r w:rsidR="00D51DCD">
        <w:fldChar w:fldCharType="end"/>
      </w:r>
      <w:r w:rsidR="00D51DCD">
        <w:t xml:space="preserve">, </w:t>
      </w:r>
      <w:r w:rsidR="00D51DCD">
        <w:fldChar w:fldCharType="begin"/>
      </w:r>
      <w:r w:rsidR="00D51DCD">
        <w:instrText xml:space="preserve"> REF _Ref15994915 \h </w:instrText>
      </w:r>
      <w:r w:rsidR="00D51DCD">
        <w:fldChar w:fldCharType="separate"/>
      </w:r>
      <w:r w:rsidR="00D51DCD">
        <w:t xml:space="preserve">Table </w:t>
      </w:r>
      <w:r w:rsidR="00D51DCD">
        <w:rPr>
          <w:noProof/>
        </w:rPr>
        <w:t>7</w:t>
      </w:r>
      <w:r w:rsidR="00D51DCD">
        <w:fldChar w:fldCharType="end"/>
      </w:r>
      <w:r w:rsidR="00D51DCD">
        <w:t xml:space="preserve">, </w:t>
      </w:r>
      <w:r w:rsidR="00D51DCD">
        <w:fldChar w:fldCharType="begin"/>
      </w:r>
      <w:r w:rsidR="00D51DCD">
        <w:instrText xml:space="preserve"> REF _Ref16155328 \h </w:instrText>
      </w:r>
      <w:r w:rsidR="00D51DCD">
        <w:fldChar w:fldCharType="separate"/>
      </w:r>
      <w:proofErr w:type="gramStart"/>
      <w:r w:rsidR="00D51DCD">
        <w:t>Table</w:t>
      </w:r>
      <w:proofErr w:type="gramEnd"/>
      <w:r w:rsidR="00D51DCD">
        <w:t xml:space="preserve"> </w:t>
      </w:r>
      <w:r w:rsidR="00D51DCD">
        <w:rPr>
          <w:noProof/>
        </w:rPr>
        <w:t>8</w:t>
      </w:r>
      <w:r w:rsidR="00D51DCD">
        <w:fldChar w:fldCharType="end"/>
      </w:r>
      <w:r w:rsidR="00D51DCD">
        <w:t>)</w:t>
      </w:r>
      <w:r w:rsidR="00854F4F">
        <w:t xml:space="preserve">. </w:t>
      </w:r>
      <w:r w:rsidR="00854F4F">
        <w:rPr>
          <w:lang w:eastAsia="ja-JP"/>
        </w:rPr>
        <w:t>ORR and IC-</w:t>
      </w:r>
      <w:r w:rsidR="00D51DCD" w:rsidRPr="009A4BE4">
        <w:rPr>
          <w:lang w:eastAsia="ja-JP"/>
        </w:rPr>
        <w:t xml:space="preserve">ORR were higher for patients previously treated only with </w:t>
      </w:r>
      <w:proofErr w:type="spellStart"/>
      <w:r w:rsidR="00D51DCD" w:rsidRPr="009A4BE4">
        <w:rPr>
          <w:lang w:eastAsia="ja-JP"/>
        </w:rPr>
        <w:t>crizotinib</w:t>
      </w:r>
      <w:proofErr w:type="spellEnd"/>
      <w:r w:rsidR="00D51DCD" w:rsidRPr="009A4BE4">
        <w:rPr>
          <w:lang w:eastAsia="ja-JP"/>
        </w:rPr>
        <w:t xml:space="preserve"> compared to those treated with a second ge</w:t>
      </w:r>
      <w:r w:rsidR="00854F4F">
        <w:rPr>
          <w:lang w:eastAsia="ja-JP"/>
        </w:rPr>
        <w:t>neration TKI or multiple TKIs.</w:t>
      </w:r>
    </w:p>
    <w:p w:rsidR="00D51DCD" w:rsidRDefault="00D51DCD" w:rsidP="00D51DCD">
      <w:r>
        <w:t>In the absence of control data, the study considered the possibility of a confounding effect of recent intracranial radiation on IC ORR. IC ORR was higher for patients with no prior brain irradiation (68%, 95% CI 55%, 88%) than for patients with prior brain irradiation (44%, 95% CI 33%, 55%).</w:t>
      </w:r>
    </w:p>
    <w:p w:rsidR="00D51DCD" w:rsidRPr="00786DF1" w:rsidRDefault="00D51DCD" w:rsidP="00786DF1">
      <w:pPr>
        <w:pStyle w:val="TableTitle"/>
      </w:pPr>
      <w:bookmarkStart w:id="44" w:name="_Ref15910054"/>
      <w:r>
        <w:lastRenderedPageBreak/>
        <w:t xml:space="preserve">Table </w:t>
      </w:r>
      <w:r w:rsidR="009339F6">
        <w:fldChar w:fldCharType="begin"/>
      </w:r>
      <w:r w:rsidR="009339F6">
        <w:instrText xml:space="preserve"> SEQ Table \* ARABIC </w:instrText>
      </w:r>
      <w:r w:rsidR="009339F6">
        <w:fldChar w:fldCharType="separate"/>
      </w:r>
      <w:r w:rsidR="005D1957">
        <w:rPr>
          <w:noProof/>
        </w:rPr>
        <w:t>3</w:t>
      </w:r>
      <w:r w:rsidR="009339F6">
        <w:rPr>
          <w:noProof/>
        </w:rPr>
        <w:fldChar w:fldCharType="end"/>
      </w:r>
      <w:bookmarkEnd w:id="44"/>
      <w:r w:rsidR="00786DF1">
        <w:t xml:space="preserve">: </w:t>
      </w:r>
      <w:r w:rsidR="00786DF1" w:rsidRPr="00786DF1">
        <w:t>Study B7461001 overall response rate</w:t>
      </w:r>
      <w:r w:rsidRPr="00786DF1">
        <w:t xml:space="preserve"> and </w:t>
      </w:r>
      <w:r w:rsidR="00786DF1" w:rsidRPr="00786DF1">
        <w:t>intracranial overall response rate</w:t>
      </w:r>
      <w:r w:rsidRPr="00786DF1">
        <w:t xml:space="preserve"> per </w:t>
      </w:r>
      <w:r w:rsidR="00786DF1" w:rsidRPr="00786DF1">
        <w:t>independent review committee</w:t>
      </w:r>
      <w:r w:rsidRPr="00786DF1">
        <w:t xml:space="preserve">, </w:t>
      </w:r>
      <w:r w:rsidR="00786DF1">
        <w:t>100 mg once daily</w:t>
      </w:r>
      <w:r w:rsidRPr="00786DF1">
        <w:t xml:space="preserve"> pooled group, data cut</w:t>
      </w:r>
      <w:r w:rsidR="00DE7764">
        <w:t>—</w:t>
      </w:r>
      <w:r w:rsidRPr="00786DF1">
        <w:t>off 15 Sep</w:t>
      </w:r>
      <w:r w:rsidR="00786DF1" w:rsidRPr="00786DF1">
        <w:t>tember</w:t>
      </w:r>
      <w:r w:rsidRPr="00786DF1">
        <w:t xml:space="preserve"> 2</w:t>
      </w:r>
      <w:r w:rsidR="00786DF1" w:rsidRPr="00786DF1">
        <w:t>017</w:t>
      </w:r>
    </w:p>
    <w:p w:rsidR="00D51DCD" w:rsidRDefault="00D51DCD" w:rsidP="00786DF1">
      <w:pPr>
        <w:rPr>
          <w:u w:val="single"/>
        </w:rPr>
      </w:pPr>
      <w:r>
        <w:rPr>
          <w:noProof/>
          <w:lang w:eastAsia="en-AU"/>
        </w:rPr>
        <w:drawing>
          <wp:inline distT="0" distB="0" distL="0" distR="0" wp14:anchorId="0EDDE65C" wp14:editId="71DAFF48">
            <wp:extent cx="3796588" cy="1819198"/>
            <wp:effectExtent l="0" t="0" r="0" b="0"/>
            <wp:docPr id="12" name="Picture 12" descr="Study B7461001 overall response rate and intracranial overall response rate per independent review committee, 100 mg once daily pooled group, data cut-off 15 September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3859592" cy="1849387"/>
                    </a:xfrm>
                    <a:prstGeom prst="rect">
                      <a:avLst/>
                    </a:prstGeom>
                  </pic:spPr>
                </pic:pic>
              </a:graphicData>
            </a:graphic>
          </wp:inline>
        </w:drawing>
      </w:r>
    </w:p>
    <w:p w:rsidR="00D51DCD" w:rsidRDefault="00D51DCD" w:rsidP="0051722B">
      <w:pPr>
        <w:pStyle w:val="TableTitle"/>
        <w:rPr>
          <w:u w:val="single"/>
        </w:rPr>
      </w:pPr>
      <w:bookmarkStart w:id="45" w:name="_Ref31279987"/>
      <w:r>
        <w:t xml:space="preserve">Table </w:t>
      </w:r>
      <w:r w:rsidR="009339F6">
        <w:fldChar w:fldCharType="begin"/>
      </w:r>
      <w:r w:rsidR="009339F6">
        <w:instrText xml:space="preserve"> SEQ Table \* ARABIC </w:instrText>
      </w:r>
      <w:r w:rsidR="009339F6">
        <w:fldChar w:fldCharType="separate"/>
      </w:r>
      <w:r w:rsidR="005D1957">
        <w:rPr>
          <w:noProof/>
        </w:rPr>
        <w:t>4</w:t>
      </w:r>
      <w:r w:rsidR="009339F6">
        <w:rPr>
          <w:noProof/>
        </w:rPr>
        <w:fldChar w:fldCharType="end"/>
      </w:r>
      <w:bookmarkEnd w:id="45"/>
      <w:r w:rsidR="0051722B">
        <w:t>: Study B7461001 intracranial overall response rate</w:t>
      </w:r>
      <w:r>
        <w:t xml:space="preserve"> per </w:t>
      </w:r>
      <w:r w:rsidR="0051722B" w:rsidRPr="00786DF1">
        <w:t>independent review committee</w:t>
      </w:r>
      <w:r>
        <w:t xml:space="preserve"> in patients with measurable intracranial disease per </w:t>
      </w:r>
      <w:r w:rsidR="0051722B" w:rsidRPr="00786DF1">
        <w:t>independent review committee</w:t>
      </w:r>
      <w:r>
        <w:t xml:space="preserve">, </w:t>
      </w:r>
      <w:r w:rsidR="0051722B">
        <w:t>100 mg once daily</w:t>
      </w:r>
      <w:r w:rsidRPr="0051722B">
        <w:t xml:space="preserve"> pooled group</w:t>
      </w:r>
      <w:r>
        <w:rPr>
          <w:i/>
        </w:rPr>
        <w:t>,</w:t>
      </w:r>
      <w:r>
        <w:t xml:space="preserve"> </w:t>
      </w:r>
      <w:r w:rsidR="0051722B">
        <w:t>data cut-off 15 September 2017</w:t>
      </w:r>
    </w:p>
    <w:p w:rsidR="00D51DCD" w:rsidRDefault="00D51DCD" w:rsidP="00D51DCD">
      <w:pPr>
        <w:rPr>
          <w:u w:val="single"/>
        </w:rPr>
      </w:pPr>
      <w:r>
        <w:rPr>
          <w:noProof/>
          <w:lang w:eastAsia="en-AU"/>
        </w:rPr>
        <w:drawing>
          <wp:inline distT="0" distB="0" distL="0" distR="0" wp14:anchorId="79805F45" wp14:editId="4CD3CC7B">
            <wp:extent cx="3855110" cy="2403053"/>
            <wp:effectExtent l="0" t="0" r="0" b="0"/>
            <wp:docPr id="11" name="Picture 11" descr="Study B7461001 intracranial overall response rate per independent review committee in patients with measurable intracranial disease per independent review committee, 100 mg once daily pooled group, data cut-off 15 September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3878651" cy="2417727"/>
                    </a:xfrm>
                    <a:prstGeom prst="rect">
                      <a:avLst/>
                    </a:prstGeom>
                  </pic:spPr>
                </pic:pic>
              </a:graphicData>
            </a:graphic>
          </wp:inline>
        </w:drawing>
      </w:r>
    </w:p>
    <w:p w:rsidR="00D51DCD" w:rsidRDefault="00D51DCD" w:rsidP="00CB4628">
      <w:pPr>
        <w:pStyle w:val="TableTitle"/>
        <w:rPr>
          <w:u w:val="single"/>
        </w:rPr>
      </w:pPr>
      <w:bookmarkStart w:id="46" w:name="_Ref15910504"/>
      <w:r>
        <w:t xml:space="preserve">Table </w:t>
      </w:r>
      <w:r w:rsidR="009339F6">
        <w:fldChar w:fldCharType="begin"/>
      </w:r>
      <w:r w:rsidR="009339F6">
        <w:instrText xml:space="preserve"> SEQ Table \* ARABIC </w:instrText>
      </w:r>
      <w:r w:rsidR="009339F6">
        <w:fldChar w:fldCharType="separate"/>
      </w:r>
      <w:r w:rsidR="005D1957">
        <w:rPr>
          <w:noProof/>
        </w:rPr>
        <w:t>5</w:t>
      </w:r>
      <w:r w:rsidR="009339F6">
        <w:rPr>
          <w:noProof/>
        </w:rPr>
        <w:fldChar w:fldCharType="end"/>
      </w:r>
      <w:bookmarkEnd w:id="46"/>
      <w:r w:rsidR="00854F4F">
        <w:t>: Study B7461001 overall response rate</w:t>
      </w:r>
      <w:r>
        <w:t xml:space="preserve"> per </w:t>
      </w:r>
      <w:r w:rsidR="00854F4F" w:rsidRPr="00786DF1">
        <w:t>independent review committee</w:t>
      </w:r>
      <w:r>
        <w:t xml:space="preserve"> by prior therapy cohorts, data cut-off 15 Sep</w:t>
      </w:r>
      <w:r w:rsidR="00854F4F">
        <w:t>tember 2017</w:t>
      </w:r>
    </w:p>
    <w:p w:rsidR="00D51DCD" w:rsidRDefault="00D51DCD" w:rsidP="00D51DCD">
      <w:pPr>
        <w:rPr>
          <w:u w:val="single"/>
        </w:rPr>
      </w:pPr>
      <w:r>
        <w:rPr>
          <w:noProof/>
          <w:lang w:eastAsia="en-AU"/>
        </w:rPr>
        <w:drawing>
          <wp:inline distT="0" distB="0" distL="0" distR="0" wp14:anchorId="7458729B" wp14:editId="0031A20B">
            <wp:extent cx="4188076" cy="1076325"/>
            <wp:effectExtent l="0" t="0" r="3175" b="0"/>
            <wp:docPr id="5" name="Picture 5" descr="Study B7461001 overall response rate per independent review committee by prior therapy cohorts, data cut-off 15 September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4188076" cy="1076325"/>
                    </a:xfrm>
                    <a:prstGeom prst="rect">
                      <a:avLst/>
                    </a:prstGeom>
                  </pic:spPr>
                </pic:pic>
              </a:graphicData>
            </a:graphic>
          </wp:inline>
        </w:drawing>
      </w:r>
    </w:p>
    <w:p w:rsidR="00D51DCD" w:rsidRDefault="00D51DCD" w:rsidP="00CB4628">
      <w:pPr>
        <w:pStyle w:val="TableTitle"/>
        <w:rPr>
          <w:u w:val="single"/>
        </w:rPr>
      </w:pPr>
      <w:bookmarkStart w:id="47" w:name="_Ref15910472"/>
      <w:r>
        <w:t xml:space="preserve">Table </w:t>
      </w:r>
      <w:r w:rsidR="009339F6">
        <w:fldChar w:fldCharType="begin"/>
      </w:r>
      <w:r w:rsidR="009339F6">
        <w:instrText xml:space="preserve"> SEQ Table \* ARABIC </w:instrText>
      </w:r>
      <w:r w:rsidR="009339F6">
        <w:fldChar w:fldCharType="separate"/>
      </w:r>
      <w:r w:rsidR="005D1957">
        <w:rPr>
          <w:noProof/>
        </w:rPr>
        <w:t>6</w:t>
      </w:r>
      <w:r w:rsidR="009339F6">
        <w:rPr>
          <w:noProof/>
        </w:rPr>
        <w:fldChar w:fldCharType="end"/>
      </w:r>
      <w:bookmarkEnd w:id="47"/>
      <w:r w:rsidR="00CB4628">
        <w:t>: Study B7461001 intracranial overall response rate</w:t>
      </w:r>
      <w:r>
        <w:t xml:space="preserve"> per </w:t>
      </w:r>
      <w:r w:rsidR="00CB4628" w:rsidRPr="00786DF1">
        <w:t>independent review committee</w:t>
      </w:r>
      <w:r>
        <w:t xml:space="preserve"> by prior therapy cohorts, </w:t>
      </w:r>
      <w:r w:rsidR="00CB4628">
        <w:t>data cut-off 15 September 2017</w:t>
      </w:r>
    </w:p>
    <w:p w:rsidR="00D51DCD" w:rsidRPr="00CB4628" w:rsidRDefault="00D51DCD" w:rsidP="00CB4628">
      <w:pPr>
        <w:rPr>
          <w:u w:val="single"/>
        </w:rPr>
      </w:pPr>
      <w:r>
        <w:rPr>
          <w:noProof/>
          <w:lang w:eastAsia="en-AU"/>
        </w:rPr>
        <w:drawing>
          <wp:inline distT="0" distB="0" distL="0" distR="0" wp14:anchorId="0B222B88" wp14:editId="38ECC857">
            <wp:extent cx="4166763" cy="1076325"/>
            <wp:effectExtent l="0" t="0" r="5715" b="0"/>
            <wp:docPr id="7" name="Picture 7" descr="Study B7461001 intracranial overall response rate per independent review committee by prior therapy cohorts, data cut-off 15 September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4166763" cy="1076325"/>
                    </a:xfrm>
                    <a:prstGeom prst="rect">
                      <a:avLst/>
                    </a:prstGeom>
                  </pic:spPr>
                </pic:pic>
              </a:graphicData>
            </a:graphic>
          </wp:inline>
        </w:drawing>
      </w:r>
      <w:bookmarkStart w:id="48" w:name="_Ref15971313"/>
    </w:p>
    <w:p w:rsidR="00D51DCD" w:rsidRDefault="00D51DCD" w:rsidP="00CB4628">
      <w:pPr>
        <w:pStyle w:val="TableTitle"/>
      </w:pPr>
      <w:bookmarkStart w:id="49" w:name="_Ref17208797"/>
      <w:r>
        <w:lastRenderedPageBreak/>
        <w:t xml:space="preserve">Table </w:t>
      </w:r>
      <w:r w:rsidR="009339F6">
        <w:fldChar w:fldCharType="begin"/>
      </w:r>
      <w:r w:rsidR="009339F6">
        <w:instrText xml:space="preserve"> SEQ Table \* ARABIC </w:instrText>
      </w:r>
      <w:r w:rsidR="009339F6">
        <w:fldChar w:fldCharType="separate"/>
      </w:r>
      <w:r w:rsidR="005D1957">
        <w:rPr>
          <w:noProof/>
        </w:rPr>
        <w:t>7</w:t>
      </w:r>
      <w:r w:rsidR="009339F6">
        <w:rPr>
          <w:noProof/>
        </w:rPr>
        <w:fldChar w:fldCharType="end"/>
      </w:r>
      <w:bookmarkEnd w:id="48"/>
      <w:bookmarkEnd w:id="49"/>
      <w:r w:rsidR="00CB4628">
        <w:t>: Study B7461001 Phase II b</w:t>
      </w:r>
      <w:r>
        <w:t xml:space="preserve">est </w:t>
      </w:r>
      <w:r w:rsidR="00CB4628">
        <w:t>o</w:t>
      </w:r>
      <w:r w:rsidR="00CB4628" w:rsidRPr="00E82DAE">
        <w:t xml:space="preserve">verall response </w:t>
      </w:r>
      <w:r>
        <w:t>b</w:t>
      </w:r>
      <w:r w:rsidRPr="00E82DAE">
        <w:t xml:space="preserve">ased on </w:t>
      </w:r>
      <w:r w:rsidR="00CB4628" w:rsidRPr="00786DF1">
        <w:t>independent review committee</w:t>
      </w:r>
      <w:r w:rsidRPr="00E82DAE">
        <w:t xml:space="preserve"> </w:t>
      </w:r>
      <w:r w:rsidR="00CB4628" w:rsidRPr="00E82DAE">
        <w:t xml:space="preserve">assessment in patients with </w:t>
      </w:r>
      <w:r w:rsidR="00CB4628">
        <w:t>ALK-p</w:t>
      </w:r>
      <w:r w:rsidRPr="00E82DAE">
        <w:t>ositive N</w:t>
      </w:r>
      <w:r w:rsidR="00CB4628">
        <w:t>SCLC, intent to treat p</w:t>
      </w:r>
      <w:r w:rsidRPr="00E82DAE">
        <w:t>opulation in EXP Cohorts (</w:t>
      </w:r>
      <w:r>
        <w:t>data cut-off date 15 Mar</w:t>
      </w:r>
      <w:r w:rsidR="00CB4628">
        <w:t>ch</w:t>
      </w:r>
      <w:r>
        <w:t xml:space="preserve"> 2017</w:t>
      </w:r>
      <w:r w:rsidRPr="00E82DAE">
        <w:t>)</w:t>
      </w:r>
    </w:p>
    <w:p w:rsidR="00D51DCD" w:rsidRDefault="00D51DCD" w:rsidP="00D51DCD">
      <w:pPr>
        <w:rPr>
          <w:u w:val="single"/>
        </w:rPr>
      </w:pPr>
      <w:r>
        <w:rPr>
          <w:noProof/>
          <w:lang w:eastAsia="en-AU"/>
        </w:rPr>
        <w:drawing>
          <wp:inline distT="0" distB="0" distL="0" distR="0" wp14:anchorId="6ECE81D7" wp14:editId="03581AA2">
            <wp:extent cx="4962525" cy="2170045"/>
            <wp:effectExtent l="0" t="0" r="0" b="1905"/>
            <wp:docPr id="10" name="Picture 10" descr="Study B7461001 best overall response based on independent review committee assessment in patients with ALK-positive NSCLC, intent to treat population in EXP Cohorts (Phase II, data cut-off date 15 March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4961942" cy="2169790"/>
                    </a:xfrm>
                    <a:prstGeom prst="rect">
                      <a:avLst/>
                    </a:prstGeom>
                  </pic:spPr>
                </pic:pic>
              </a:graphicData>
            </a:graphic>
          </wp:inline>
        </w:drawing>
      </w:r>
    </w:p>
    <w:p w:rsidR="00D51DCD" w:rsidRDefault="00D51DCD" w:rsidP="00CB4628">
      <w:pPr>
        <w:pStyle w:val="TableTitle"/>
      </w:pPr>
      <w:bookmarkStart w:id="50" w:name="_Ref15994915"/>
      <w:r>
        <w:t xml:space="preserve">Table </w:t>
      </w:r>
      <w:r w:rsidR="009339F6">
        <w:fldChar w:fldCharType="begin"/>
      </w:r>
      <w:r w:rsidR="009339F6">
        <w:instrText xml:space="preserve"> SEQ Table \*</w:instrText>
      </w:r>
      <w:r w:rsidR="009339F6">
        <w:instrText xml:space="preserve"> ARABIC </w:instrText>
      </w:r>
      <w:r w:rsidR="009339F6">
        <w:fldChar w:fldCharType="separate"/>
      </w:r>
      <w:r w:rsidR="005D1957">
        <w:rPr>
          <w:noProof/>
        </w:rPr>
        <w:t>8</w:t>
      </w:r>
      <w:r w:rsidR="009339F6">
        <w:rPr>
          <w:noProof/>
        </w:rPr>
        <w:fldChar w:fldCharType="end"/>
      </w:r>
      <w:bookmarkEnd w:id="50"/>
      <w:r w:rsidR="00CB4628">
        <w:rPr>
          <w:noProof/>
        </w:rPr>
        <w:t>:</w:t>
      </w:r>
      <w:r>
        <w:t xml:space="preserve"> </w:t>
      </w:r>
      <w:r w:rsidR="00CB4628">
        <w:t>Study B7461001 Phase II i</w:t>
      </w:r>
      <w:r w:rsidRPr="00532432">
        <w:t xml:space="preserve">ntracranial </w:t>
      </w:r>
      <w:r w:rsidR="00CB4628" w:rsidRPr="00532432">
        <w:t xml:space="preserve">response </w:t>
      </w:r>
      <w:r>
        <w:t>b</w:t>
      </w:r>
      <w:r w:rsidRPr="00532432">
        <w:t xml:space="preserve">ased on </w:t>
      </w:r>
      <w:r w:rsidR="00CB4628" w:rsidRPr="00786DF1">
        <w:t>independent review committee</w:t>
      </w:r>
      <w:r w:rsidR="00CB4628">
        <w:t xml:space="preserve"> a</w:t>
      </w:r>
      <w:r w:rsidRPr="00532432">
        <w:t xml:space="preserve">ssessment </w:t>
      </w:r>
      <w:r w:rsidR="00CB4628">
        <w:t>in patients with ALK+ NSCLC, intent to treat population in EXP cohorts</w:t>
      </w:r>
    </w:p>
    <w:p w:rsidR="00D51DCD" w:rsidRDefault="00D51DCD" w:rsidP="00D51DCD">
      <w:r>
        <w:rPr>
          <w:noProof/>
          <w:lang w:eastAsia="en-AU"/>
        </w:rPr>
        <w:drawing>
          <wp:inline distT="0" distB="0" distL="0" distR="0" wp14:anchorId="66026030" wp14:editId="0430F924">
            <wp:extent cx="4962525" cy="2072490"/>
            <wp:effectExtent l="0" t="0" r="0" b="4445"/>
            <wp:docPr id="2" name="Picture 2" descr="Study B7461001 Phase II intracranial response based on independent review committee assessment in patients with ALK+ NSCLC, intent to treat population in EXP coh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4961942" cy="2072246"/>
                    </a:xfrm>
                    <a:prstGeom prst="rect">
                      <a:avLst/>
                    </a:prstGeom>
                  </pic:spPr>
                </pic:pic>
              </a:graphicData>
            </a:graphic>
          </wp:inline>
        </w:drawing>
      </w:r>
    </w:p>
    <w:p w:rsidR="00D51DCD" w:rsidRDefault="00D51DCD" w:rsidP="00CB4628">
      <w:pPr>
        <w:pStyle w:val="TableTitle"/>
      </w:pPr>
      <w:bookmarkStart w:id="51" w:name="_Ref16155328"/>
      <w:r>
        <w:t xml:space="preserve">Table </w:t>
      </w:r>
      <w:r w:rsidR="009339F6">
        <w:fldChar w:fldCharType="begin"/>
      </w:r>
      <w:r w:rsidR="009339F6">
        <w:instrText xml:space="preserve"> SEQ Table \* ARABIC </w:instrText>
      </w:r>
      <w:r w:rsidR="009339F6">
        <w:fldChar w:fldCharType="separate"/>
      </w:r>
      <w:r w:rsidR="005D1957">
        <w:rPr>
          <w:noProof/>
        </w:rPr>
        <w:t>9</w:t>
      </w:r>
      <w:r w:rsidR="009339F6">
        <w:rPr>
          <w:noProof/>
        </w:rPr>
        <w:fldChar w:fldCharType="end"/>
      </w:r>
      <w:bookmarkEnd w:id="51"/>
      <w:r w:rsidR="00CB4628">
        <w:t>: Study B7461001 Phase II intracranial r</w:t>
      </w:r>
      <w:r w:rsidRPr="00532432">
        <w:t xml:space="preserve">esponse </w:t>
      </w:r>
      <w:r>
        <w:t>b</w:t>
      </w:r>
      <w:r w:rsidRPr="00532432">
        <w:t xml:space="preserve">ased on </w:t>
      </w:r>
      <w:r w:rsidR="00CB4628" w:rsidRPr="00786DF1">
        <w:t>independent review committee</w:t>
      </w:r>
      <w:r w:rsidR="00CB4628">
        <w:t xml:space="preserve"> a</w:t>
      </w:r>
      <w:r w:rsidRPr="00532432">
        <w:t xml:space="preserve">ssessment </w:t>
      </w:r>
      <w:r>
        <w:t>in patients with ALK+ NS</w:t>
      </w:r>
      <w:r w:rsidR="00CB4628">
        <w:t xml:space="preserve">CLC and at least </w:t>
      </w:r>
      <w:proofErr w:type="gramStart"/>
      <w:r w:rsidR="00CB4628">
        <w:t>1</w:t>
      </w:r>
      <w:proofErr w:type="gramEnd"/>
      <w:r w:rsidR="00DE7764">
        <w:t> </w:t>
      </w:r>
      <w:r w:rsidR="00CB4628">
        <w:t>measurable intracranial lesion at B</w:t>
      </w:r>
      <w:r>
        <w:t xml:space="preserve">aseline per </w:t>
      </w:r>
      <w:r w:rsidR="00CB4628" w:rsidRPr="00786DF1">
        <w:t>independent review committee</w:t>
      </w:r>
      <w:r w:rsidR="00CB4628">
        <w:t>, intent to treat population in EXP c</w:t>
      </w:r>
      <w:r w:rsidRPr="00532432">
        <w:t>ohorts</w:t>
      </w:r>
    </w:p>
    <w:p w:rsidR="00D51DCD" w:rsidRPr="00CB4628" w:rsidRDefault="00CB4628" w:rsidP="00D51DCD">
      <w:r>
        <w:rPr>
          <w:noProof/>
          <w:lang w:eastAsia="en-AU"/>
        </w:rPr>
        <w:drawing>
          <wp:inline distT="0" distB="0" distL="0" distR="0" wp14:anchorId="65D29C8A" wp14:editId="5BCC3864">
            <wp:extent cx="5281684" cy="1867595"/>
            <wp:effectExtent l="0" t="0" r="0" b="0"/>
            <wp:docPr id="26" name="Picture 26" descr="Study B7461001 Phase II intracranial response based on independent review committee assessment in patients with ALK+ NSCLC and at least 1 measurable intracranial lesion at Baseline per independent review committee, intent to treat population in EXP coh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288458" cy="1869990"/>
                    </a:xfrm>
                    <a:prstGeom prst="rect">
                      <a:avLst/>
                    </a:prstGeom>
                  </pic:spPr>
                </pic:pic>
              </a:graphicData>
            </a:graphic>
          </wp:inline>
        </w:drawing>
      </w:r>
    </w:p>
    <w:p w:rsidR="00D51DCD" w:rsidRPr="00DF674A" w:rsidRDefault="00D51DCD" w:rsidP="00CB4628">
      <w:pPr>
        <w:pStyle w:val="FigureTitle"/>
      </w:pPr>
      <w:r>
        <w:lastRenderedPageBreak/>
        <w:t xml:space="preserve">Figure </w:t>
      </w:r>
      <w:r w:rsidR="009339F6">
        <w:fldChar w:fldCharType="begin"/>
      </w:r>
      <w:r w:rsidR="009339F6">
        <w:instrText xml:space="preserve"> SEQ Figure \* ARABIC </w:instrText>
      </w:r>
      <w:r w:rsidR="009339F6">
        <w:fldChar w:fldCharType="separate"/>
      </w:r>
      <w:r w:rsidR="000C5FBE">
        <w:rPr>
          <w:noProof/>
        </w:rPr>
        <w:t>2</w:t>
      </w:r>
      <w:r w:rsidR="009339F6">
        <w:rPr>
          <w:noProof/>
        </w:rPr>
        <w:fldChar w:fldCharType="end"/>
      </w:r>
      <w:r w:rsidR="00CB4628">
        <w:t>: Study B7461001 Phase II w</w:t>
      </w:r>
      <w:r w:rsidRPr="00DF674A">
        <w:t xml:space="preserve">aterfall </w:t>
      </w:r>
      <w:r w:rsidR="00CB4628" w:rsidRPr="00DF674A">
        <w:t xml:space="preserve">plot of percentage change </w:t>
      </w:r>
      <w:r w:rsidRPr="00DF674A">
        <w:t xml:space="preserve">from Baseline in </w:t>
      </w:r>
      <w:r w:rsidR="00CB4628" w:rsidRPr="00DF674A">
        <w:t>tumo</w:t>
      </w:r>
      <w:r w:rsidR="00CB4628">
        <w:t>u</w:t>
      </w:r>
      <w:r w:rsidR="00CB4628" w:rsidRPr="00DF674A">
        <w:t xml:space="preserve">r size based on </w:t>
      </w:r>
      <w:r w:rsidR="00CB4628" w:rsidRPr="00786DF1">
        <w:t>independent review committee</w:t>
      </w:r>
      <w:r w:rsidR="00CB4628">
        <w:t xml:space="preserve"> assessment, intent to treat</w:t>
      </w:r>
      <w:r w:rsidRPr="00DF674A">
        <w:t xml:space="preserve"> </w:t>
      </w:r>
      <w:r w:rsidR="00CB4628" w:rsidRPr="00DF674A">
        <w:t xml:space="preserve">population in pooled cohort </w:t>
      </w:r>
      <w:r w:rsidR="00CB4628">
        <w:t>EXP-2:</w:t>
      </w:r>
      <w:r w:rsidR="00DE7764">
        <w:t xml:space="preserve"> </w:t>
      </w:r>
      <w:r w:rsidR="00CB4628">
        <w:t>EXP-5</w:t>
      </w:r>
    </w:p>
    <w:p w:rsidR="00D51DCD" w:rsidRDefault="00D51DCD" w:rsidP="00CB4628">
      <w:r>
        <w:rPr>
          <w:noProof/>
          <w:lang w:eastAsia="en-AU"/>
        </w:rPr>
        <w:drawing>
          <wp:inline distT="0" distB="0" distL="0" distR="0" wp14:anchorId="449C4180" wp14:editId="398997ED">
            <wp:extent cx="5372100" cy="2903000"/>
            <wp:effectExtent l="0" t="0" r="0" b="0"/>
            <wp:docPr id="15" name="Picture 15" descr="Study B7461001 Phase II waterfall plot of percentage change from Baseline in tumour size based on independent review committee assessment, intent to treat population in pooled cohort EXP-2:EXP-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394536" cy="2915124"/>
                    </a:xfrm>
                    <a:prstGeom prst="rect">
                      <a:avLst/>
                    </a:prstGeom>
                  </pic:spPr>
                </pic:pic>
              </a:graphicData>
            </a:graphic>
          </wp:inline>
        </w:drawing>
      </w:r>
    </w:p>
    <w:p w:rsidR="00D51DCD" w:rsidRPr="00784730" w:rsidRDefault="00D51DCD" w:rsidP="00125ECF">
      <w:pPr>
        <w:pStyle w:val="FigureTitle"/>
      </w:pPr>
      <w:r>
        <w:t xml:space="preserve">Figure </w:t>
      </w:r>
      <w:r w:rsidR="009339F6">
        <w:fldChar w:fldCharType="begin"/>
      </w:r>
      <w:r w:rsidR="009339F6">
        <w:instrText xml:space="preserve"> SEQ Figure \* ARABIC </w:instrText>
      </w:r>
      <w:r w:rsidR="009339F6">
        <w:fldChar w:fldCharType="separate"/>
      </w:r>
      <w:r w:rsidR="000C5FBE">
        <w:rPr>
          <w:noProof/>
        </w:rPr>
        <w:t>3</w:t>
      </w:r>
      <w:r w:rsidR="009339F6">
        <w:rPr>
          <w:noProof/>
        </w:rPr>
        <w:fldChar w:fldCharType="end"/>
      </w:r>
      <w:r w:rsidR="00125ECF">
        <w:t>: Study B7461001 Phase II w</w:t>
      </w:r>
      <w:r w:rsidR="00125ECF" w:rsidRPr="00784730">
        <w:t xml:space="preserve">aterfall plot of best percentage change from </w:t>
      </w:r>
      <w:r w:rsidRPr="00784730">
        <w:t>B</w:t>
      </w:r>
      <w:r>
        <w:t xml:space="preserve">aseline </w:t>
      </w:r>
      <w:r w:rsidR="00125ECF">
        <w:t xml:space="preserve">in intracranial </w:t>
      </w:r>
      <w:r w:rsidR="00125ECF" w:rsidRPr="00784730">
        <w:t xml:space="preserve">tumour size based </w:t>
      </w:r>
      <w:r w:rsidRPr="00784730">
        <w:t xml:space="preserve">on </w:t>
      </w:r>
      <w:r w:rsidR="00125ECF" w:rsidRPr="00786DF1">
        <w:t>independent review committee</w:t>
      </w:r>
      <w:r w:rsidR="00125ECF">
        <w:t xml:space="preserve"> assessment, intent to treat</w:t>
      </w:r>
      <w:r w:rsidRPr="00784730">
        <w:t xml:space="preserve"> </w:t>
      </w:r>
      <w:r w:rsidR="00125ECF" w:rsidRPr="00784730">
        <w:t xml:space="preserve">population in patients with </w:t>
      </w:r>
      <w:r w:rsidR="00125ECF">
        <w:t>central nervous system</w:t>
      </w:r>
      <w:r w:rsidRPr="00784730">
        <w:t xml:space="preserve"> </w:t>
      </w:r>
      <w:r w:rsidR="00125ECF" w:rsidRPr="00784730">
        <w:t>metastases i</w:t>
      </w:r>
      <w:r w:rsidR="00125ECF">
        <w:t>n Cohort EXP-2:</w:t>
      </w:r>
      <w:r w:rsidR="00DE7764">
        <w:t xml:space="preserve"> </w:t>
      </w:r>
      <w:r w:rsidR="00125ECF">
        <w:t>EXP-5</w:t>
      </w:r>
    </w:p>
    <w:p w:rsidR="00BA7237" w:rsidRDefault="00D51DCD" w:rsidP="00BA7237">
      <w:r>
        <w:rPr>
          <w:noProof/>
          <w:lang w:eastAsia="en-AU"/>
        </w:rPr>
        <w:drawing>
          <wp:inline distT="0" distB="0" distL="0" distR="0" wp14:anchorId="6E96436D" wp14:editId="15A58EC2">
            <wp:extent cx="5370933" cy="2924175"/>
            <wp:effectExtent l="0" t="0" r="1270" b="0"/>
            <wp:docPr id="6" name="Picture 6" descr="Study B7461001 Phase II waterfall plot of best percentage change from Baseline in intracranial tumour size based on independent review committee assessment, intent to treat population in patients with central nervous system metastases in Cohort EXP-2:EXP-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370690" cy="2924043"/>
                    </a:xfrm>
                    <a:prstGeom prst="rect">
                      <a:avLst/>
                    </a:prstGeom>
                  </pic:spPr>
                </pic:pic>
              </a:graphicData>
            </a:graphic>
          </wp:inline>
        </w:drawing>
      </w:r>
    </w:p>
    <w:p w:rsidR="00D51DCD" w:rsidRPr="00C27F57" w:rsidRDefault="00D51DCD" w:rsidP="00BA7237">
      <w:pPr>
        <w:pStyle w:val="Heading6"/>
      </w:pPr>
      <w:r>
        <w:t>S</w:t>
      </w:r>
      <w:r w:rsidRPr="00C27F57">
        <w:t>econdary efficacy endpoints</w:t>
      </w:r>
    </w:p>
    <w:p w:rsidR="00D51DCD" w:rsidRDefault="00125ECF" w:rsidP="00D51DCD">
      <w:r>
        <w:t>ORR and IC-</w:t>
      </w:r>
      <w:r w:rsidR="00D51DCD">
        <w:t xml:space="preserve">ORR per </w:t>
      </w:r>
      <w:r>
        <w:t>investigator</w:t>
      </w:r>
      <w:r w:rsidR="00D51DCD">
        <w:t xml:space="preserve"> </w:t>
      </w:r>
      <w:r>
        <w:t xml:space="preserve">were 44% and 31% respectively. </w:t>
      </w:r>
      <w:r w:rsidR="00D51DCD">
        <w:t>T</w:t>
      </w:r>
      <w:r>
        <w:t xml:space="preserve">he discordance between ICR and investigator was greater for IC-ORR. </w:t>
      </w:r>
      <w:r w:rsidR="00D51DCD">
        <w:t>For the pooled EXP-2 to EXP-5 cohorts, median TTR a</w:t>
      </w:r>
      <w:r>
        <w:t>nd IC TTR were both 1.4 months.</w:t>
      </w:r>
      <w:r w:rsidR="00D51DCD">
        <w:t xml:space="preserve"> Median PFS was 7</w:t>
      </w:r>
      <w:r>
        <w:t>.4 months (95%</w:t>
      </w:r>
      <w:r w:rsidR="00DE7764">
        <w:t> </w:t>
      </w:r>
      <w:r>
        <w:t xml:space="preserve">CI: 5.6, 11.0). </w:t>
      </w:r>
      <w:r w:rsidR="00D51DCD">
        <w:t xml:space="preserve">Median OS </w:t>
      </w:r>
      <w:proofErr w:type="gramStart"/>
      <w:r w:rsidR="00D51DCD">
        <w:t>had not been reached</w:t>
      </w:r>
      <w:proofErr w:type="gramEnd"/>
      <w:r w:rsidR="00D51DCD">
        <w:t>. Estim</w:t>
      </w:r>
      <w:r>
        <w:t>ated survival probability at 12 </w:t>
      </w:r>
      <w:r w:rsidR="00D51DCD">
        <w:t>months was 70.2% (95% CI: 61.9, 77.1).</w:t>
      </w:r>
    </w:p>
    <w:p w:rsidR="00D51DCD" w:rsidRDefault="00D51DCD" w:rsidP="00D51DCD">
      <w:pPr>
        <w:pStyle w:val="Heading4"/>
      </w:pPr>
      <w:r w:rsidRPr="00AA53F4">
        <w:lastRenderedPageBreak/>
        <w:t>Safety</w:t>
      </w:r>
    </w:p>
    <w:p w:rsidR="00D51DCD" w:rsidRPr="00735B84" w:rsidRDefault="00D51DCD" w:rsidP="00D51DCD">
      <w:r>
        <w:t>The evaluation of saf</w:t>
      </w:r>
      <w:r w:rsidR="00125ECF">
        <w:t xml:space="preserve">ety </w:t>
      </w:r>
      <w:proofErr w:type="gramStart"/>
      <w:r w:rsidR="00125ECF">
        <w:t>was based</w:t>
      </w:r>
      <w:proofErr w:type="gramEnd"/>
      <w:r w:rsidR="00125ECF">
        <w:t xml:space="preserve"> primarily on the Phase I/II S</w:t>
      </w:r>
      <w:r>
        <w:t xml:space="preserve">tudy </w:t>
      </w:r>
      <w:r w:rsidRPr="00735B84">
        <w:rPr>
          <w:rFonts w:asciiTheme="minorHAnsi" w:eastAsiaTheme="minorHAnsi" w:hAnsiTheme="minorHAnsi" w:cs="TimesNewRoman"/>
        </w:rPr>
        <w:t>B7461001</w:t>
      </w:r>
      <w:r w:rsidR="00125ECF">
        <w:rPr>
          <w:rFonts w:asciiTheme="minorHAnsi" w:eastAsiaTheme="minorHAnsi" w:hAnsiTheme="minorHAnsi" w:cs="TimesNewRoman"/>
        </w:rPr>
        <w:t xml:space="preserve">. </w:t>
      </w:r>
      <w:r>
        <w:rPr>
          <w:rFonts w:asciiTheme="minorHAnsi" w:eastAsiaTheme="minorHAnsi" w:hAnsiTheme="minorHAnsi" w:cs="TimesNewRoman"/>
        </w:rPr>
        <w:t>The submission also presented safety summaries from 7 clinical pharmacology stu</w:t>
      </w:r>
      <w:r w:rsidR="00125ECF">
        <w:rPr>
          <w:rFonts w:asciiTheme="minorHAnsi" w:eastAsiaTheme="minorHAnsi" w:hAnsiTheme="minorHAnsi" w:cs="TimesNewRoman"/>
        </w:rPr>
        <w:t xml:space="preserve">dies (healthy subjects) and 120 </w:t>
      </w:r>
      <w:r>
        <w:rPr>
          <w:rFonts w:asciiTheme="minorHAnsi" w:eastAsiaTheme="minorHAnsi" w:hAnsiTheme="minorHAnsi" w:cs="TimesNewRoman"/>
        </w:rPr>
        <w:t>Day Safety Update (data cut-off date 15 Sept</w:t>
      </w:r>
      <w:r w:rsidR="00125ECF">
        <w:rPr>
          <w:rFonts w:asciiTheme="minorHAnsi" w:eastAsiaTheme="minorHAnsi" w:hAnsiTheme="minorHAnsi" w:cs="TimesNewRoman"/>
        </w:rPr>
        <w:t>ember</w:t>
      </w:r>
      <w:r>
        <w:rPr>
          <w:rFonts w:asciiTheme="minorHAnsi" w:eastAsiaTheme="minorHAnsi" w:hAnsiTheme="minorHAnsi" w:cs="TimesNewRoman"/>
        </w:rPr>
        <w:t xml:space="preserve"> 2017) providing updated safety data from </w:t>
      </w:r>
      <w:r w:rsidR="00125ECF">
        <w:rPr>
          <w:rFonts w:asciiTheme="minorHAnsi" w:eastAsiaTheme="minorHAnsi" w:hAnsiTheme="minorHAnsi" w:cs="TimesNewRoman"/>
        </w:rPr>
        <w:t xml:space="preserve">Study </w:t>
      </w:r>
      <w:r>
        <w:rPr>
          <w:rFonts w:asciiTheme="minorHAnsi" w:eastAsiaTheme="minorHAnsi" w:hAnsiTheme="minorHAnsi" w:cs="TimesNewRoman"/>
        </w:rPr>
        <w:t>B7461001 and preliminary safety d</w:t>
      </w:r>
      <w:r w:rsidR="00125ECF">
        <w:rPr>
          <w:rFonts w:asciiTheme="minorHAnsi" w:eastAsiaTheme="minorHAnsi" w:hAnsiTheme="minorHAnsi" w:cs="TimesNewRoman"/>
        </w:rPr>
        <w:t>ata in the Phase III S</w:t>
      </w:r>
      <w:r>
        <w:rPr>
          <w:rFonts w:asciiTheme="minorHAnsi" w:eastAsiaTheme="minorHAnsi" w:hAnsiTheme="minorHAnsi" w:cs="TimesNewRoman"/>
        </w:rPr>
        <w:t>tudy B7461006 (11</w:t>
      </w:r>
      <w:r w:rsidR="00125ECF">
        <w:rPr>
          <w:rFonts w:asciiTheme="minorHAnsi" w:eastAsiaTheme="minorHAnsi" w:hAnsiTheme="minorHAnsi" w:cs="TimesNewRoman"/>
        </w:rPr>
        <w:t xml:space="preserve"> patients as at data cut-off). </w:t>
      </w:r>
      <w:r>
        <w:rPr>
          <w:rFonts w:asciiTheme="minorHAnsi" w:eastAsiaTheme="minorHAnsi" w:hAnsiTheme="minorHAnsi" w:cs="TimesNewRoman"/>
        </w:rPr>
        <w:t xml:space="preserve">Updated data from </w:t>
      </w:r>
      <w:r w:rsidR="00125ECF">
        <w:rPr>
          <w:rFonts w:asciiTheme="minorHAnsi" w:eastAsiaTheme="minorHAnsi" w:hAnsiTheme="minorHAnsi" w:cs="TimesNewRoman"/>
        </w:rPr>
        <w:t>Study</w:t>
      </w:r>
      <w:r w:rsidR="00DE7764">
        <w:rPr>
          <w:rFonts w:asciiTheme="minorHAnsi" w:eastAsiaTheme="minorHAnsi" w:hAnsiTheme="minorHAnsi" w:cs="TimesNewRoman"/>
        </w:rPr>
        <w:t> </w:t>
      </w:r>
      <w:r>
        <w:rPr>
          <w:rFonts w:asciiTheme="minorHAnsi" w:eastAsiaTheme="minorHAnsi" w:hAnsiTheme="minorHAnsi" w:cs="TimesNewRoman"/>
        </w:rPr>
        <w:t>B7461001 (cut-off date 2 Feb</w:t>
      </w:r>
      <w:r w:rsidR="00125ECF">
        <w:rPr>
          <w:rFonts w:asciiTheme="minorHAnsi" w:eastAsiaTheme="minorHAnsi" w:hAnsiTheme="minorHAnsi" w:cs="TimesNewRoman"/>
        </w:rPr>
        <w:t>ruary</w:t>
      </w:r>
      <w:r>
        <w:rPr>
          <w:rFonts w:asciiTheme="minorHAnsi" w:eastAsiaTheme="minorHAnsi" w:hAnsiTheme="minorHAnsi" w:cs="TimesNewRoman"/>
        </w:rPr>
        <w:t xml:space="preserve"> 2018) was added to the PI at the time of the </w:t>
      </w:r>
      <w:r w:rsidR="00125ECF">
        <w:rPr>
          <w:rFonts w:asciiTheme="minorHAnsi" w:eastAsiaTheme="minorHAnsi" w:hAnsiTheme="minorHAnsi" w:cs="TimesNewRoman"/>
        </w:rPr>
        <w:t>response to TGA questions</w:t>
      </w:r>
      <w:r>
        <w:rPr>
          <w:rFonts w:asciiTheme="minorHAnsi" w:eastAsiaTheme="minorHAnsi" w:hAnsiTheme="minorHAnsi" w:cs="TimesNewRoman"/>
        </w:rPr>
        <w:t>.</w:t>
      </w:r>
    </w:p>
    <w:p w:rsidR="00D51DCD" w:rsidRDefault="00D51DCD" w:rsidP="00D51DCD">
      <w:pPr>
        <w:rPr>
          <w:rFonts w:asciiTheme="minorHAnsi" w:hAnsiTheme="minorHAnsi"/>
        </w:rPr>
      </w:pPr>
      <w:r>
        <w:rPr>
          <w:rFonts w:asciiTheme="minorHAnsi" w:hAnsiTheme="minorHAnsi"/>
        </w:rPr>
        <w:t>The submission presented safety data for two populations:</w:t>
      </w:r>
    </w:p>
    <w:p w:rsidR="00D51DCD" w:rsidRPr="00DA2D81" w:rsidRDefault="00D51DCD" w:rsidP="007919B3">
      <w:pPr>
        <w:pStyle w:val="ListBullet"/>
      </w:pPr>
      <w:r w:rsidRPr="00917708">
        <w:t xml:space="preserve">The </w:t>
      </w:r>
      <w:r w:rsidR="00125ECF">
        <w:t>‘</w:t>
      </w:r>
      <w:r w:rsidRPr="00125ECF">
        <w:t>all-treated group</w:t>
      </w:r>
      <w:r w:rsidR="00125ECF">
        <w:t>’</w:t>
      </w:r>
      <w:r>
        <w:t xml:space="preserve"> (</w:t>
      </w:r>
      <w:r w:rsidRPr="00917708">
        <w:t xml:space="preserve">332 patients who received </w:t>
      </w:r>
      <w:proofErr w:type="spellStart"/>
      <w:r w:rsidRPr="00917708">
        <w:t>lorlatinib</w:t>
      </w:r>
      <w:proofErr w:type="spellEnd"/>
      <w:r w:rsidRPr="00917708">
        <w:t xml:space="preserve"> in </w:t>
      </w:r>
      <w:r w:rsidR="00125ECF">
        <w:t>S</w:t>
      </w:r>
      <w:r>
        <w:t>tudy B7461001 at any dose</w:t>
      </w:r>
      <w:r w:rsidR="00125ECF">
        <w:t>, including 54 patients in the Phase I</w:t>
      </w:r>
      <w:r>
        <w:t xml:space="preserve"> portion of the study, 17 of whom received 100</w:t>
      </w:r>
      <w:r w:rsidR="00125ECF">
        <w:t xml:space="preserve"> </w:t>
      </w:r>
      <w:r>
        <w:t xml:space="preserve">mg </w:t>
      </w:r>
      <w:proofErr w:type="spellStart"/>
      <w:r w:rsidR="00125ECF">
        <w:t>lorlatinib</w:t>
      </w:r>
      <w:proofErr w:type="spellEnd"/>
      <w:r w:rsidR="00125ECF">
        <w:t xml:space="preserve"> daily, 275 from the Phase II</w:t>
      </w:r>
      <w:r>
        <w:t xml:space="preserve"> portion, and 3 from the Japanese lead-in cohort)</w:t>
      </w:r>
    </w:p>
    <w:p w:rsidR="00D51DCD" w:rsidRDefault="00D51DCD" w:rsidP="007919B3">
      <w:pPr>
        <w:pStyle w:val="ListBullet"/>
        <w:rPr>
          <w:noProof/>
          <w:lang w:eastAsia="en-AU"/>
        </w:rPr>
      </w:pPr>
      <w:r w:rsidRPr="00917708">
        <w:t xml:space="preserve">The </w:t>
      </w:r>
      <w:r w:rsidR="00125ECF">
        <w:t>‘</w:t>
      </w:r>
      <w:r w:rsidRPr="00125ECF">
        <w:t>100</w:t>
      </w:r>
      <w:r w:rsidR="00125ECF">
        <w:t xml:space="preserve"> </w:t>
      </w:r>
      <w:r w:rsidRPr="00125ECF">
        <w:t>mg QD pooled group</w:t>
      </w:r>
      <w:r w:rsidR="00125ECF">
        <w:t>’</w:t>
      </w:r>
      <w:r>
        <w:rPr>
          <w:i/>
        </w:rPr>
        <w:t xml:space="preserve"> </w:t>
      </w:r>
      <w:r w:rsidRPr="006929DF">
        <w:t>(</w:t>
      </w:r>
      <w:r>
        <w:t xml:space="preserve">295 patients who received </w:t>
      </w:r>
      <w:proofErr w:type="spellStart"/>
      <w:r>
        <w:t>lorlatinib</w:t>
      </w:r>
      <w:proofErr w:type="spellEnd"/>
      <w:r>
        <w:t xml:space="preserve"> 100</w:t>
      </w:r>
      <w:r w:rsidR="00125ECF">
        <w:t xml:space="preserve"> mg daily in S</w:t>
      </w:r>
      <w:r>
        <w:t xml:space="preserve">tudy B7461001, </w:t>
      </w:r>
      <w:r w:rsidR="00125ECF">
        <w:t>including 17 patients from the Phase I portion, 275 from the Phase II</w:t>
      </w:r>
      <w:r>
        <w:t xml:space="preserve"> portion, and 3 patients from the Japanese lead-in cohort).</w:t>
      </w:r>
    </w:p>
    <w:p w:rsidR="00D51DCD" w:rsidRDefault="00D51DCD" w:rsidP="00D51DCD">
      <w:pPr>
        <w:spacing w:before="0" w:after="0" w:line="240" w:lineRule="auto"/>
      </w:pPr>
      <w:r>
        <w:t xml:space="preserve">The evaluation focussed on safety data for the </w:t>
      </w:r>
      <w:r w:rsidR="00125ECF">
        <w:t>‘</w:t>
      </w:r>
      <w:r w:rsidRPr="00125ECF">
        <w:t>100</w:t>
      </w:r>
      <w:r w:rsidR="00125ECF">
        <w:t xml:space="preserve"> </w:t>
      </w:r>
      <w:r w:rsidRPr="00125ECF">
        <w:t>mg QD pooled group</w:t>
      </w:r>
      <w:r w:rsidR="00125ECF">
        <w:t xml:space="preserve">’. </w:t>
      </w:r>
      <w:r>
        <w:t>In the Safety Update data (cut-off date 15 Sept</w:t>
      </w:r>
      <w:r w:rsidR="00125ECF">
        <w:t>ember</w:t>
      </w:r>
      <w:r>
        <w:t xml:space="preserve"> 2017), median</w:t>
      </w:r>
      <w:r w:rsidR="00125ECF">
        <w:t xml:space="preserve"> duration of treatment was 12.5 </w:t>
      </w:r>
      <w:r>
        <w:t>months with media</w:t>
      </w:r>
      <w:r w:rsidR="00125ECF">
        <w:t xml:space="preserve">n relative dose intensity 98%. </w:t>
      </w:r>
      <w:r>
        <w:t>Median duration of treatment was 16.3 months as at 2 Feb</w:t>
      </w:r>
      <w:r w:rsidR="00125ECF">
        <w:t>ruary</w:t>
      </w:r>
      <w:r>
        <w:t xml:space="preserve"> 2018.</w:t>
      </w:r>
    </w:p>
    <w:p w:rsidR="00D51DCD" w:rsidRDefault="00D51DCD" w:rsidP="00D51DCD">
      <w:pPr>
        <w:autoSpaceDE w:val="0"/>
        <w:autoSpaceDN w:val="0"/>
        <w:adjustRightInd w:val="0"/>
        <w:spacing w:line="240" w:lineRule="auto"/>
        <w:rPr>
          <w:rFonts w:asciiTheme="minorHAnsi" w:eastAsiaTheme="minorHAnsi" w:hAnsiTheme="minorHAnsi" w:cs="Verdana"/>
        </w:rPr>
      </w:pPr>
      <w:r w:rsidRPr="00C34C79">
        <w:rPr>
          <w:rFonts w:asciiTheme="minorHAnsi" w:eastAsiaTheme="minorHAnsi" w:hAnsiTheme="minorHAnsi" w:cs="TimesNewRoman"/>
        </w:rPr>
        <w:t>As at 15 Sept</w:t>
      </w:r>
      <w:r w:rsidR="00125ECF">
        <w:rPr>
          <w:rFonts w:asciiTheme="minorHAnsi" w:eastAsiaTheme="minorHAnsi" w:hAnsiTheme="minorHAnsi" w:cs="TimesNewRoman"/>
        </w:rPr>
        <w:t>ember</w:t>
      </w:r>
      <w:r w:rsidRPr="00C34C79">
        <w:rPr>
          <w:rFonts w:asciiTheme="minorHAnsi" w:eastAsiaTheme="minorHAnsi" w:hAnsiTheme="minorHAnsi" w:cs="TimesNewRoman"/>
        </w:rPr>
        <w:t xml:space="preserve"> 2017, 294 (99.7%) of the 295 patients had at least </w:t>
      </w:r>
      <w:proofErr w:type="gramStart"/>
      <w:r w:rsidRPr="00C34C79">
        <w:rPr>
          <w:rFonts w:asciiTheme="minorHAnsi" w:eastAsiaTheme="minorHAnsi" w:hAnsiTheme="minorHAnsi" w:cs="TimesNewRoman"/>
        </w:rPr>
        <w:t>1</w:t>
      </w:r>
      <w:proofErr w:type="gramEnd"/>
      <w:r w:rsidRPr="00C34C79">
        <w:rPr>
          <w:rFonts w:asciiTheme="minorHAnsi" w:eastAsiaTheme="minorHAnsi" w:hAnsiTheme="minorHAnsi" w:cs="TimesNewRoman"/>
        </w:rPr>
        <w:t xml:space="preserve"> </w:t>
      </w:r>
      <w:r w:rsidR="00125ECF">
        <w:rPr>
          <w:rFonts w:asciiTheme="minorHAnsi" w:eastAsiaTheme="minorHAnsi" w:hAnsiTheme="minorHAnsi" w:cs="TimesNewRoman"/>
        </w:rPr>
        <w:t>adverse event (</w:t>
      </w:r>
      <w:r w:rsidRPr="00C34C79">
        <w:rPr>
          <w:rFonts w:asciiTheme="minorHAnsi" w:eastAsiaTheme="minorHAnsi" w:hAnsiTheme="minorHAnsi" w:cs="TimesNewRoman"/>
        </w:rPr>
        <w:t>AE</w:t>
      </w:r>
      <w:r w:rsidR="00125ECF">
        <w:rPr>
          <w:rFonts w:asciiTheme="minorHAnsi" w:eastAsiaTheme="minorHAnsi" w:hAnsiTheme="minorHAnsi" w:cs="TimesNewRoman"/>
        </w:rPr>
        <w:t xml:space="preserve">; </w:t>
      </w:r>
      <w:r>
        <w:rPr>
          <w:rFonts w:asciiTheme="minorHAnsi" w:eastAsiaTheme="minorHAnsi" w:hAnsiTheme="minorHAnsi" w:cs="TimesNewRoman"/>
        </w:rPr>
        <w:fldChar w:fldCharType="begin"/>
      </w:r>
      <w:r>
        <w:rPr>
          <w:rFonts w:asciiTheme="minorHAnsi" w:eastAsiaTheme="minorHAnsi" w:hAnsiTheme="minorHAnsi" w:cs="TimesNewRoman"/>
        </w:rPr>
        <w:instrText xml:space="preserve"> REF _Ref13489394 \h </w:instrText>
      </w:r>
      <w:r>
        <w:rPr>
          <w:rFonts w:asciiTheme="minorHAnsi" w:eastAsiaTheme="minorHAnsi" w:hAnsiTheme="minorHAnsi" w:cs="TimesNewRoman"/>
        </w:rPr>
      </w:r>
      <w:r>
        <w:rPr>
          <w:rFonts w:asciiTheme="minorHAnsi" w:eastAsiaTheme="minorHAnsi" w:hAnsiTheme="minorHAnsi" w:cs="TimesNewRoman"/>
        </w:rPr>
        <w:fldChar w:fldCharType="separate"/>
      </w:r>
      <w:r w:rsidR="00947274">
        <w:t xml:space="preserve">Table </w:t>
      </w:r>
      <w:r w:rsidR="00947274">
        <w:rPr>
          <w:noProof/>
        </w:rPr>
        <w:t>10</w:t>
      </w:r>
      <w:r>
        <w:rPr>
          <w:rFonts w:asciiTheme="minorHAnsi" w:eastAsiaTheme="minorHAnsi" w:hAnsiTheme="minorHAnsi" w:cs="TimesNewRoman"/>
        </w:rPr>
        <w:fldChar w:fldCharType="end"/>
      </w:r>
      <w:r>
        <w:rPr>
          <w:rFonts w:asciiTheme="minorHAnsi" w:eastAsiaTheme="minorHAnsi" w:hAnsiTheme="minorHAnsi" w:cs="TimesNewRoman"/>
        </w:rPr>
        <w:t>)</w:t>
      </w:r>
      <w:r w:rsidR="00125ECF">
        <w:rPr>
          <w:rFonts w:asciiTheme="minorHAnsi" w:eastAsiaTheme="minorHAnsi" w:hAnsiTheme="minorHAnsi" w:cs="TimesNewRoman"/>
        </w:rPr>
        <w:t xml:space="preserve">. </w:t>
      </w:r>
      <w:r w:rsidRPr="0095012F">
        <w:rPr>
          <w:rFonts w:asciiTheme="minorHAnsi" w:eastAsiaTheme="minorHAnsi" w:hAnsiTheme="minorHAnsi" w:cs="Verdana"/>
        </w:rPr>
        <w:t xml:space="preserve">The most common </w:t>
      </w:r>
      <w:r>
        <w:rPr>
          <w:rFonts w:asciiTheme="minorHAnsi" w:eastAsiaTheme="minorHAnsi" w:hAnsiTheme="minorHAnsi" w:cs="Verdana"/>
        </w:rPr>
        <w:t>AEs</w:t>
      </w:r>
      <w:r w:rsidRPr="0095012F">
        <w:rPr>
          <w:rFonts w:asciiTheme="minorHAnsi" w:eastAsiaTheme="minorHAnsi" w:hAnsiTheme="minorHAnsi" w:cs="Verdana"/>
        </w:rPr>
        <w:t xml:space="preserve"> were </w:t>
      </w:r>
      <w:proofErr w:type="spellStart"/>
      <w:r w:rsidRPr="0095012F">
        <w:rPr>
          <w:rFonts w:asciiTheme="minorHAnsi" w:eastAsiaTheme="minorHAnsi" w:hAnsiTheme="minorHAnsi" w:cs="Verdana"/>
        </w:rPr>
        <w:t>hypercholester</w:t>
      </w:r>
      <w:r>
        <w:rPr>
          <w:rFonts w:asciiTheme="minorHAnsi" w:eastAsiaTheme="minorHAnsi" w:hAnsiTheme="minorHAnsi" w:cs="Verdana"/>
        </w:rPr>
        <w:t>ola</w:t>
      </w:r>
      <w:r w:rsidRPr="0095012F">
        <w:rPr>
          <w:rFonts w:asciiTheme="minorHAnsi" w:eastAsiaTheme="minorHAnsi" w:hAnsiTheme="minorHAnsi" w:cs="Verdana"/>
        </w:rPr>
        <w:t>emia</w:t>
      </w:r>
      <w:proofErr w:type="spellEnd"/>
      <w:r>
        <w:rPr>
          <w:rFonts w:asciiTheme="minorHAnsi" w:eastAsiaTheme="minorHAnsi" w:hAnsiTheme="minorHAnsi" w:cs="Verdana"/>
        </w:rPr>
        <w:t xml:space="preserve">, </w:t>
      </w:r>
      <w:proofErr w:type="spellStart"/>
      <w:r w:rsidRPr="0095012F">
        <w:rPr>
          <w:rFonts w:asciiTheme="minorHAnsi" w:eastAsiaTheme="minorHAnsi" w:hAnsiTheme="minorHAnsi" w:cs="Verdana"/>
        </w:rPr>
        <w:t>hypertriglycerid</w:t>
      </w:r>
      <w:r>
        <w:rPr>
          <w:rFonts w:asciiTheme="minorHAnsi" w:eastAsiaTheme="minorHAnsi" w:hAnsiTheme="minorHAnsi" w:cs="Verdana"/>
        </w:rPr>
        <w:t>a</w:t>
      </w:r>
      <w:r w:rsidRPr="0095012F">
        <w:rPr>
          <w:rFonts w:asciiTheme="minorHAnsi" w:eastAsiaTheme="minorHAnsi" w:hAnsiTheme="minorHAnsi" w:cs="Verdana"/>
        </w:rPr>
        <w:t>emia</w:t>
      </w:r>
      <w:proofErr w:type="spellEnd"/>
      <w:r w:rsidRPr="0095012F">
        <w:rPr>
          <w:rFonts w:asciiTheme="minorHAnsi" w:eastAsiaTheme="minorHAnsi" w:hAnsiTheme="minorHAnsi" w:cs="Verdana"/>
        </w:rPr>
        <w:t>, oedema, peripheral neuropathy, cognitive effects,</w:t>
      </w:r>
      <w:r>
        <w:rPr>
          <w:rFonts w:asciiTheme="minorHAnsi" w:eastAsiaTheme="minorHAnsi" w:hAnsiTheme="minorHAnsi" w:cs="Verdana"/>
        </w:rPr>
        <w:t xml:space="preserve"> dyspnoea, </w:t>
      </w:r>
      <w:r w:rsidRPr="0095012F">
        <w:rPr>
          <w:rFonts w:asciiTheme="minorHAnsi" w:eastAsiaTheme="minorHAnsi" w:hAnsiTheme="minorHAnsi" w:cs="Verdana"/>
        </w:rPr>
        <w:t>fatigue</w:t>
      </w:r>
      <w:r>
        <w:rPr>
          <w:rFonts w:asciiTheme="minorHAnsi" w:eastAsiaTheme="minorHAnsi" w:hAnsiTheme="minorHAnsi" w:cs="Verdana"/>
        </w:rPr>
        <w:t>,</w:t>
      </w:r>
      <w:r w:rsidRPr="0095012F">
        <w:rPr>
          <w:rFonts w:asciiTheme="minorHAnsi" w:eastAsiaTheme="minorHAnsi" w:hAnsiTheme="minorHAnsi" w:cs="Verdana"/>
        </w:rPr>
        <w:t xml:space="preserve"> increased weight, </w:t>
      </w:r>
      <w:r>
        <w:rPr>
          <w:rFonts w:asciiTheme="minorHAnsi" w:eastAsiaTheme="minorHAnsi" w:hAnsiTheme="minorHAnsi" w:cs="Verdana"/>
        </w:rPr>
        <w:t xml:space="preserve">arthralgia, mood effects </w:t>
      </w:r>
      <w:r w:rsidRPr="0095012F">
        <w:rPr>
          <w:rFonts w:asciiTheme="minorHAnsi" w:eastAsiaTheme="minorHAnsi" w:hAnsiTheme="minorHAnsi" w:cs="Verdana"/>
        </w:rPr>
        <w:t>and</w:t>
      </w:r>
      <w:r>
        <w:rPr>
          <w:rFonts w:asciiTheme="minorHAnsi" w:eastAsiaTheme="minorHAnsi" w:hAnsiTheme="minorHAnsi" w:cs="Verdana"/>
        </w:rPr>
        <w:t xml:space="preserve"> diarrhoea</w:t>
      </w:r>
      <w:r w:rsidRPr="0095012F">
        <w:rPr>
          <w:rFonts w:asciiTheme="minorHAnsi" w:eastAsiaTheme="minorHAnsi" w:hAnsiTheme="minorHAnsi" w:cs="Verdana"/>
        </w:rPr>
        <w:t>.</w:t>
      </w:r>
    </w:p>
    <w:p w:rsidR="00D51DCD" w:rsidRPr="00C34C79" w:rsidRDefault="00125ECF" w:rsidP="00D51DCD">
      <w:pPr>
        <w:autoSpaceDE w:val="0"/>
        <w:autoSpaceDN w:val="0"/>
        <w:adjustRightInd w:val="0"/>
        <w:spacing w:line="240" w:lineRule="auto"/>
        <w:rPr>
          <w:rFonts w:asciiTheme="minorHAnsi" w:eastAsiaTheme="minorHAnsi" w:hAnsiTheme="minorHAnsi" w:cs="TimesNewRoman"/>
        </w:rPr>
      </w:pPr>
      <w:proofErr w:type="gramStart"/>
      <w:r>
        <w:rPr>
          <w:rFonts w:asciiTheme="minorHAnsi" w:eastAsiaTheme="minorHAnsi" w:hAnsiTheme="minorHAnsi" w:cs="TimesNewRoman"/>
        </w:rPr>
        <w:t xml:space="preserve">107 (36.3%) patients had serious adverse events (SAEs). </w:t>
      </w:r>
      <w:r w:rsidR="00D51DCD" w:rsidRPr="00C34C79">
        <w:rPr>
          <w:rFonts w:asciiTheme="minorHAnsi" w:eastAsiaTheme="minorHAnsi" w:hAnsiTheme="minorHAnsi" w:cs="TimesNewRoman"/>
        </w:rPr>
        <w:t xml:space="preserve">202 (68.5%) </w:t>
      </w:r>
      <w:r>
        <w:rPr>
          <w:rFonts w:asciiTheme="minorHAnsi" w:eastAsiaTheme="minorHAnsi" w:hAnsiTheme="minorHAnsi" w:cs="TimesNewRoman"/>
        </w:rPr>
        <w:t>patients had Grade</w:t>
      </w:r>
      <w:r w:rsidR="00DE7764">
        <w:rPr>
          <w:rFonts w:asciiTheme="minorHAnsi" w:eastAsiaTheme="minorHAnsi" w:hAnsiTheme="minorHAnsi" w:cs="TimesNewRoman"/>
        </w:rPr>
        <w:t> </w:t>
      </w:r>
      <w:r>
        <w:rPr>
          <w:rFonts w:asciiTheme="minorHAnsi" w:eastAsiaTheme="minorHAnsi" w:hAnsiTheme="minorHAnsi" w:cs="TimesNewRoman"/>
        </w:rPr>
        <w:t xml:space="preserve">3 or 4 AEs. </w:t>
      </w:r>
      <w:r w:rsidR="00D51DCD" w:rsidRPr="00C34C79">
        <w:rPr>
          <w:rFonts w:asciiTheme="minorHAnsi" w:eastAsiaTheme="minorHAnsi" w:hAnsiTheme="minorHAnsi" w:cs="TimesNewRoman"/>
        </w:rPr>
        <w:t xml:space="preserve">71 (24.1%) patients had a dose </w:t>
      </w:r>
      <w:r>
        <w:rPr>
          <w:rFonts w:asciiTheme="minorHAnsi" w:eastAsiaTheme="minorHAnsi" w:hAnsiTheme="minorHAnsi" w:cs="TimesNewRoman"/>
        </w:rPr>
        <w:t xml:space="preserve">reduction associated with AEs. </w:t>
      </w:r>
      <w:r w:rsidR="00D51DCD" w:rsidRPr="00C34C79">
        <w:rPr>
          <w:rFonts w:asciiTheme="minorHAnsi" w:eastAsiaTheme="minorHAnsi" w:hAnsiTheme="minorHAnsi" w:cs="TimesNewRoman"/>
        </w:rPr>
        <w:t xml:space="preserve">23 (7.8%) patients permanently discontinued </w:t>
      </w:r>
      <w:proofErr w:type="spellStart"/>
      <w:r w:rsidR="00D51DCD" w:rsidRPr="00C34C79">
        <w:rPr>
          <w:rFonts w:asciiTheme="minorHAnsi" w:eastAsiaTheme="minorHAnsi" w:hAnsiTheme="minorHAnsi" w:cs="TimesNewRoman"/>
        </w:rPr>
        <w:t>lorla</w:t>
      </w:r>
      <w:r>
        <w:rPr>
          <w:rFonts w:asciiTheme="minorHAnsi" w:eastAsiaTheme="minorHAnsi" w:hAnsiTheme="minorHAnsi" w:cs="TimesNewRoman"/>
        </w:rPr>
        <w:t>tinib</w:t>
      </w:r>
      <w:proofErr w:type="spellEnd"/>
      <w:r>
        <w:rPr>
          <w:rFonts w:asciiTheme="minorHAnsi" w:eastAsiaTheme="minorHAnsi" w:hAnsiTheme="minorHAnsi" w:cs="TimesNewRoman"/>
        </w:rPr>
        <w:t xml:space="preserve"> in association with AEs. </w:t>
      </w:r>
      <w:r w:rsidR="00D51DCD" w:rsidRPr="00C34C79">
        <w:rPr>
          <w:rFonts w:asciiTheme="minorHAnsi" w:eastAsiaTheme="minorHAnsi" w:hAnsiTheme="minorHAnsi" w:cs="TimesNewRoman"/>
        </w:rPr>
        <w:t>281 (95.3%) patients had at least 1 treatment-related AE</w:t>
      </w:r>
      <w:r w:rsidR="00D51DCD">
        <w:rPr>
          <w:rFonts w:asciiTheme="minorHAnsi" w:eastAsiaTheme="minorHAnsi" w:hAnsiTheme="minorHAnsi" w:cs="TimesNewRoman"/>
        </w:rPr>
        <w:t xml:space="preserve">. </w:t>
      </w:r>
      <w:r w:rsidR="00D51DCD" w:rsidRPr="00C34C79">
        <w:rPr>
          <w:rFonts w:asciiTheme="minorHAnsi" w:eastAsiaTheme="minorHAnsi" w:hAnsiTheme="minorHAnsi" w:cs="TimesNewRoman"/>
        </w:rPr>
        <w:t>23 (7.8%) patien</w:t>
      </w:r>
      <w:r>
        <w:rPr>
          <w:rFonts w:asciiTheme="minorHAnsi" w:eastAsiaTheme="minorHAnsi" w:hAnsiTheme="minorHAnsi" w:cs="TimesNewRoman"/>
        </w:rPr>
        <w:t xml:space="preserve">ts had treatment-related SAEs. </w:t>
      </w:r>
      <w:r w:rsidR="00D51DCD" w:rsidRPr="00C34C79">
        <w:rPr>
          <w:rFonts w:asciiTheme="minorHAnsi" w:eastAsiaTheme="minorHAnsi" w:hAnsiTheme="minorHAnsi" w:cs="TimesNewRoman"/>
        </w:rPr>
        <w:t xml:space="preserve">133 (45.1%) patients had Grade 3 or 4 treatment-related AEs and none had </w:t>
      </w:r>
      <w:r>
        <w:rPr>
          <w:rFonts w:asciiTheme="minorHAnsi" w:eastAsiaTheme="minorHAnsi" w:hAnsiTheme="minorHAnsi" w:cs="TimesNewRoman"/>
        </w:rPr>
        <w:t xml:space="preserve">Grade 5 treatment-related AEs. </w:t>
      </w:r>
      <w:r w:rsidR="00D51DCD" w:rsidRPr="00C34C79">
        <w:rPr>
          <w:rFonts w:asciiTheme="minorHAnsi" w:eastAsiaTheme="minorHAnsi" w:hAnsiTheme="minorHAnsi" w:cs="TimesNewRoman"/>
        </w:rPr>
        <w:t>67 (22.7%) patients had a dose reduction in association w</w:t>
      </w:r>
      <w:r>
        <w:rPr>
          <w:rFonts w:asciiTheme="minorHAnsi" w:eastAsiaTheme="minorHAnsi" w:hAnsiTheme="minorHAnsi" w:cs="TimesNewRoman"/>
        </w:rPr>
        <w:t>ith treatment-related AEs.</w:t>
      </w:r>
      <w:r w:rsidR="00D51DCD" w:rsidRPr="00C34C79">
        <w:rPr>
          <w:rFonts w:asciiTheme="minorHAnsi" w:eastAsiaTheme="minorHAnsi" w:hAnsiTheme="minorHAnsi" w:cs="TimesNewRoman"/>
        </w:rPr>
        <w:t xml:space="preserve"> 8 (2.7%) patients permanently discontinued </w:t>
      </w:r>
      <w:proofErr w:type="spellStart"/>
      <w:r w:rsidR="00D51DCD" w:rsidRPr="00C34C79">
        <w:rPr>
          <w:rFonts w:asciiTheme="minorHAnsi" w:eastAsiaTheme="minorHAnsi" w:hAnsiTheme="minorHAnsi" w:cs="TimesNewRoman"/>
        </w:rPr>
        <w:t>lorlatinib</w:t>
      </w:r>
      <w:proofErr w:type="spellEnd"/>
      <w:r w:rsidR="00D51DCD" w:rsidRPr="00C34C79">
        <w:rPr>
          <w:rFonts w:asciiTheme="minorHAnsi" w:eastAsiaTheme="minorHAnsi" w:hAnsiTheme="minorHAnsi" w:cs="TimesNewRoman"/>
        </w:rPr>
        <w:t xml:space="preserve"> in association with treatment-related AEs</w:t>
      </w:r>
      <w:r w:rsidR="00D51DCD">
        <w:rPr>
          <w:rFonts w:asciiTheme="minorHAnsi" w:eastAsiaTheme="minorHAnsi" w:hAnsiTheme="minorHAnsi" w:cs="TimesNewRoman"/>
        </w:rPr>
        <w:t>, the majority being CNS effects</w:t>
      </w:r>
      <w:r>
        <w:rPr>
          <w:rFonts w:asciiTheme="minorHAnsi" w:eastAsiaTheme="minorHAnsi" w:hAnsiTheme="minorHAnsi" w:cs="TimesNewRoman"/>
        </w:rPr>
        <w:t>.</w:t>
      </w:r>
      <w:proofErr w:type="gramEnd"/>
    </w:p>
    <w:p w:rsidR="00D51DCD" w:rsidRPr="008D0771" w:rsidRDefault="00D51DCD" w:rsidP="00D51DCD">
      <w:pPr>
        <w:autoSpaceDE w:val="0"/>
        <w:autoSpaceDN w:val="0"/>
        <w:adjustRightInd w:val="0"/>
        <w:spacing w:line="240" w:lineRule="auto"/>
        <w:rPr>
          <w:rFonts w:asciiTheme="minorHAnsi" w:eastAsiaTheme="minorHAnsi" w:hAnsiTheme="minorHAnsi" w:cs="TimesNewRoman"/>
        </w:rPr>
      </w:pPr>
      <w:r w:rsidRPr="00C34C79">
        <w:rPr>
          <w:rFonts w:asciiTheme="minorHAnsi" w:eastAsiaTheme="minorHAnsi" w:hAnsiTheme="minorHAnsi" w:cs="TimesNewRoman"/>
        </w:rPr>
        <w:t>As at 15 Sept</w:t>
      </w:r>
      <w:r w:rsidR="00125ECF">
        <w:rPr>
          <w:rFonts w:asciiTheme="minorHAnsi" w:eastAsiaTheme="minorHAnsi" w:hAnsiTheme="minorHAnsi" w:cs="TimesNewRoman"/>
        </w:rPr>
        <w:t>ember</w:t>
      </w:r>
      <w:r w:rsidRPr="00C34C79">
        <w:rPr>
          <w:rFonts w:asciiTheme="minorHAnsi" w:eastAsiaTheme="minorHAnsi" w:hAnsiTheme="minorHAnsi" w:cs="TimesNewRoman"/>
        </w:rPr>
        <w:t xml:space="preserve"> 2017, there were 90 deaths in the </w:t>
      </w:r>
      <w:r w:rsidR="00125ECF">
        <w:rPr>
          <w:rFonts w:asciiTheme="minorHAnsi" w:eastAsiaTheme="minorHAnsi" w:hAnsiTheme="minorHAnsi" w:cs="TimesNewRoman"/>
        </w:rPr>
        <w:t>‘</w:t>
      </w:r>
      <w:r w:rsidRPr="00125ECF">
        <w:t>100 mg pooled group</w:t>
      </w:r>
      <w:r w:rsidR="00125ECF">
        <w:t>’</w:t>
      </w:r>
      <w:r w:rsidRPr="00C34C79">
        <w:rPr>
          <w:rFonts w:asciiTheme="minorHAnsi" w:eastAsiaTheme="minorHAnsi" w:hAnsiTheme="minorHAnsi" w:cs="TimesNewRoman"/>
        </w:rPr>
        <w:t xml:space="preserve">, </w:t>
      </w:r>
      <w:r>
        <w:rPr>
          <w:rFonts w:asciiTheme="minorHAnsi" w:eastAsiaTheme="minorHAnsi" w:hAnsiTheme="minorHAnsi" w:cs="TimesNewRoman"/>
        </w:rPr>
        <w:t>mostly</w:t>
      </w:r>
      <w:r w:rsidRPr="00C34C79">
        <w:rPr>
          <w:rFonts w:asciiTheme="minorHAnsi" w:eastAsiaTheme="minorHAnsi" w:hAnsiTheme="minorHAnsi" w:cs="TimesNewRoman"/>
        </w:rPr>
        <w:t xml:space="preserve"> (90%) due to disease progression. None of the deaths </w:t>
      </w:r>
      <w:proofErr w:type="gramStart"/>
      <w:r w:rsidRPr="00C34C79">
        <w:rPr>
          <w:rFonts w:asciiTheme="minorHAnsi" w:eastAsiaTheme="minorHAnsi" w:hAnsiTheme="minorHAnsi" w:cs="TimesNewRoman"/>
        </w:rPr>
        <w:t>were</w:t>
      </w:r>
      <w:proofErr w:type="gramEnd"/>
      <w:r w:rsidRPr="00C34C79">
        <w:rPr>
          <w:rFonts w:asciiTheme="minorHAnsi" w:eastAsiaTheme="minorHAnsi" w:hAnsiTheme="minorHAnsi" w:cs="TimesNewRoman"/>
        </w:rPr>
        <w:t xml:space="preserve"> </w:t>
      </w:r>
      <w:r>
        <w:rPr>
          <w:rFonts w:asciiTheme="minorHAnsi" w:eastAsiaTheme="minorHAnsi" w:hAnsiTheme="minorHAnsi" w:cs="TimesNewRoman"/>
        </w:rPr>
        <w:t>assessed</w:t>
      </w:r>
      <w:r w:rsidRPr="00C34C79">
        <w:rPr>
          <w:rFonts w:asciiTheme="minorHAnsi" w:eastAsiaTheme="minorHAnsi" w:hAnsiTheme="minorHAnsi" w:cs="TimesNewRoman"/>
        </w:rPr>
        <w:t xml:space="preserve"> </w:t>
      </w:r>
      <w:r>
        <w:rPr>
          <w:rFonts w:asciiTheme="minorHAnsi" w:eastAsiaTheme="minorHAnsi" w:hAnsiTheme="minorHAnsi" w:cs="TimesNewRoman"/>
        </w:rPr>
        <w:t xml:space="preserve">as </w:t>
      </w:r>
      <w:r w:rsidRPr="00C34C79">
        <w:rPr>
          <w:rFonts w:asciiTheme="minorHAnsi" w:eastAsiaTheme="minorHAnsi" w:hAnsiTheme="minorHAnsi" w:cs="TimesNewRoman"/>
        </w:rPr>
        <w:t xml:space="preserve">related to </w:t>
      </w:r>
      <w:proofErr w:type="spellStart"/>
      <w:r w:rsidRPr="00C34C79">
        <w:rPr>
          <w:rFonts w:asciiTheme="minorHAnsi" w:eastAsiaTheme="minorHAnsi" w:hAnsiTheme="minorHAnsi" w:cs="TimesNewRoman"/>
        </w:rPr>
        <w:t>lorlatinib</w:t>
      </w:r>
      <w:proofErr w:type="spellEnd"/>
      <w:r w:rsidRPr="00C34C79">
        <w:rPr>
          <w:rFonts w:asciiTheme="minorHAnsi" w:eastAsiaTheme="minorHAnsi" w:hAnsiTheme="minorHAnsi" w:cs="TimesNewRoman"/>
        </w:rPr>
        <w:t xml:space="preserve"> treatment.</w:t>
      </w:r>
    </w:p>
    <w:p w:rsidR="00D51DCD" w:rsidRPr="00981BE6" w:rsidRDefault="00D51DCD" w:rsidP="00125ECF">
      <w:pPr>
        <w:pStyle w:val="TableTitle"/>
      </w:pPr>
      <w:bookmarkStart w:id="52" w:name="_Ref13489394"/>
      <w:r>
        <w:lastRenderedPageBreak/>
        <w:t xml:space="preserve">Table </w:t>
      </w:r>
      <w:r w:rsidR="009339F6">
        <w:fldChar w:fldCharType="begin"/>
      </w:r>
      <w:r w:rsidR="009339F6">
        <w:instrText xml:space="preserve"> SEQ Table \* ARABIC </w:instrText>
      </w:r>
      <w:r w:rsidR="009339F6">
        <w:fldChar w:fldCharType="separate"/>
      </w:r>
      <w:r w:rsidR="005D1957">
        <w:rPr>
          <w:noProof/>
        </w:rPr>
        <w:t>10</w:t>
      </w:r>
      <w:r w:rsidR="009339F6">
        <w:rPr>
          <w:noProof/>
        </w:rPr>
        <w:fldChar w:fldCharType="end"/>
      </w:r>
      <w:bookmarkEnd w:id="52"/>
      <w:r w:rsidR="00125ECF">
        <w:t>: Study B7461001 al</w:t>
      </w:r>
      <w:r w:rsidRPr="00981BE6">
        <w:t>l-</w:t>
      </w:r>
      <w:r w:rsidR="00125ECF" w:rsidRPr="00981BE6">
        <w:t>causality and treatm</w:t>
      </w:r>
      <w:r w:rsidR="00125ECF">
        <w:t>ent-related adverse events</w:t>
      </w:r>
      <w:r w:rsidR="00125ECF" w:rsidRPr="00981BE6">
        <w:t xml:space="preserve"> in decreasing frequency </w:t>
      </w:r>
      <w:r w:rsidRPr="00981BE6">
        <w:t>(&gt;</w:t>
      </w:r>
      <w:r w:rsidR="00125ECF">
        <w:t xml:space="preserve"> </w:t>
      </w:r>
      <w:proofErr w:type="gramStart"/>
      <w:r w:rsidR="00125ECF">
        <w:t>10%</w:t>
      </w:r>
      <w:proofErr w:type="gramEnd"/>
      <w:r w:rsidR="00125ECF">
        <w:t xml:space="preserve">), 100 </w:t>
      </w:r>
      <w:r w:rsidRPr="00981BE6">
        <w:t xml:space="preserve">mg QD </w:t>
      </w:r>
      <w:r w:rsidR="00125ECF" w:rsidRPr="00981BE6">
        <w:t>pooled group</w:t>
      </w:r>
      <w:r w:rsidR="00125ECF">
        <w:t xml:space="preserve">, </w:t>
      </w:r>
      <w:r w:rsidR="00125ECF" w:rsidRPr="00981BE6">
        <w:t>data cut</w:t>
      </w:r>
      <w:r w:rsidR="00125ECF">
        <w:t>-</w:t>
      </w:r>
      <w:r w:rsidR="00125ECF" w:rsidRPr="00981BE6">
        <w:t>off date</w:t>
      </w:r>
      <w:r w:rsidRPr="00981BE6">
        <w:t xml:space="preserve"> 15</w:t>
      </w:r>
      <w:r w:rsidR="00DE7764">
        <w:t> </w:t>
      </w:r>
      <w:r w:rsidRPr="00981BE6">
        <w:t>September 2017</w:t>
      </w:r>
    </w:p>
    <w:p w:rsidR="00D51DCD" w:rsidRDefault="005D1957" w:rsidP="00D51DCD">
      <w:pPr>
        <w:autoSpaceDE w:val="0"/>
        <w:autoSpaceDN w:val="0"/>
        <w:adjustRightInd w:val="0"/>
        <w:spacing w:line="240" w:lineRule="auto"/>
        <w:rPr>
          <w:rFonts w:asciiTheme="minorHAnsi" w:eastAsiaTheme="minorHAnsi" w:hAnsiTheme="minorHAnsi" w:cs="TimesNewRoman"/>
          <w:color w:val="FF0000"/>
        </w:rPr>
      </w:pPr>
      <w:r>
        <w:rPr>
          <w:noProof/>
          <w:lang w:eastAsia="en-AU"/>
        </w:rPr>
        <w:drawing>
          <wp:inline distT="0" distB="0" distL="0" distR="0" wp14:anchorId="0B625A02" wp14:editId="5723B4AD">
            <wp:extent cx="5400040" cy="5400040"/>
            <wp:effectExtent l="0" t="0" r="0" b="0"/>
            <wp:docPr id="27" name="Picture 27" descr="Study B7461001 all-causality and treatment-related adverse events in decreasing frequency (&gt; 10%), 100 mg QD pooled group, data cut-off date 15 September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400040" cy="5400040"/>
                    </a:xfrm>
                    <a:prstGeom prst="rect">
                      <a:avLst/>
                    </a:prstGeom>
                  </pic:spPr>
                </pic:pic>
              </a:graphicData>
            </a:graphic>
          </wp:inline>
        </w:drawing>
      </w:r>
    </w:p>
    <w:p w:rsidR="00D51DCD" w:rsidRDefault="00947274" w:rsidP="00947274">
      <w:pPr>
        <w:pStyle w:val="TableDescription"/>
      </w:pPr>
      <w:r>
        <w:t xml:space="preserve">* </w:t>
      </w:r>
      <w:r w:rsidR="00D51DCD" w:rsidRPr="00113693">
        <w:t xml:space="preserve">Cluster terms defined in </w:t>
      </w:r>
      <w:r>
        <w:fldChar w:fldCharType="begin"/>
      </w:r>
      <w:r>
        <w:instrText xml:space="preserve"> REF _Ref31282208 \h  \* MERGEFORMAT </w:instrText>
      </w:r>
      <w:r>
        <w:fldChar w:fldCharType="separate"/>
      </w:r>
      <w:r>
        <w:t xml:space="preserve">Table </w:t>
      </w:r>
      <w:r>
        <w:rPr>
          <w:noProof/>
        </w:rPr>
        <w:t>11</w:t>
      </w:r>
      <w:r>
        <w:fldChar w:fldCharType="end"/>
      </w:r>
      <w:r>
        <w:t>, below.</w:t>
      </w:r>
    </w:p>
    <w:p w:rsidR="005D1957" w:rsidRDefault="005D1957" w:rsidP="00C02ABD">
      <w:pPr>
        <w:pStyle w:val="TableTitle"/>
      </w:pPr>
      <w:bookmarkStart w:id="53" w:name="_Ref31282208"/>
      <w:r>
        <w:lastRenderedPageBreak/>
        <w:t xml:space="preserve">Table </w:t>
      </w:r>
      <w:r w:rsidR="009339F6">
        <w:fldChar w:fldCharType="begin"/>
      </w:r>
      <w:r w:rsidR="009339F6">
        <w:instrText xml:space="preserve"> SEQ Table \* ARABIC </w:instrText>
      </w:r>
      <w:r w:rsidR="009339F6">
        <w:fldChar w:fldCharType="separate"/>
      </w:r>
      <w:r>
        <w:rPr>
          <w:noProof/>
        </w:rPr>
        <w:t>11</w:t>
      </w:r>
      <w:r w:rsidR="009339F6">
        <w:rPr>
          <w:noProof/>
        </w:rPr>
        <w:fldChar w:fldCharType="end"/>
      </w:r>
      <w:bookmarkEnd w:id="53"/>
      <w:r>
        <w:t xml:space="preserve">: </w:t>
      </w:r>
      <w:r w:rsidRPr="005D1957">
        <w:t xml:space="preserve">List of Preferred Terms that comprise each </w:t>
      </w:r>
      <w:r w:rsidR="00947274" w:rsidRPr="005D1957">
        <w:t>cluster term</w:t>
      </w:r>
    </w:p>
    <w:p w:rsidR="005D1957" w:rsidRDefault="005D1957" w:rsidP="005D1957">
      <w:r>
        <w:rPr>
          <w:noProof/>
          <w:lang w:eastAsia="en-AU"/>
        </w:rPr>
        <w:drawing>
          <wp:inline distT="0" distB="0" distL="0" distR="0" wp14:anchorId="0FD7224C" wp14:editId="4B4B8218">
            <wp:extent cx="5400040" cy="2955290"/>
            <wp:effectExtent l="0" t="0" r="0" b="0"/>
            <wp:docPr id="28" name="Picture 28" descr="List of Preferred Terms that comprise each Cluster Te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400040" cy="2955290"/>
                    </a:xfrm>
                    <a:prstGeom prst="rect">
                      <a:avLst/>
                    </a:prstGeom>
                  </pic:spPr>
                </pic:pic>
              </a:graphicData>
            </a:graphic>
          </wp:inline>
        </w:drawing>
      </w:r>
    </w:p>
    <w:p w:rsidR="005D1957" w:rsidRDefault="005D1957" w:rsidP="00947274">
      <w:pPr>
        <w:pStyle w:val="TableDescription"/>
      </w:pPr>
      <w:r>
        <w:t>Abbreviations: HLGT(s)</w:t>
      </w:r>
      <w:r w:rsidR="00C02ABD">
        <w:t xml:space="preserve"> </w:t>
      </w:r>
      <w:r>
        <w:t>=</w:t>
      </w:r>
      <w:r w:rsidR="00C02ABD">
        <w:t xml:space="preserve"> </w:t>
      </w:r>
      <w:proofErr w:type="gramStart"/>
      <w:r>
        <w:t>higher level</w:t>
      </w:r>
      <w:proofErr w:type="gramEnd"/>
      <w:r>
        <w:t xml:space="preserve"> group term(s); HLT(s)</w:t>
      </w:r>
      <w:r w:rsidR="00DE7764">
        <w:t xml:space="preserve"> </w:t>
      </w:r>
      <w:r>
        <w:t>=</w:t>
      </w:r>
      <w:r w:rsidR="00DE7764">
        <w:t xml:space="preserve"> </w:t>
      </w:r>
      <w:r>
        <w:t xml:space="preserve">higher level terms; </w:t>
      </w:r>
      <w:proofErr w:type="spellStart"/>
      <w:r>
        <w:t>MedDRA</w:t>
      </w:r>
      <w:proofErr w:type="spellEnd"/>
      <w:r w:rsidR="00DE7764">
        <w:t xml:space="preserve"> </w:t>
      </w:r>
      <w:r>
        <w:t>=</w:t>
      </w:r>
      <w:r w:rsidR="00DE7764">
        <w:t xml:space="preserve"> </w:t>
      </w:r>
      <w:r>
        <w:t>medical dictionary for regulatory activities; NEC</w:t>
      </w:r>
      <w:r w:rsidR="00DE7764">
        <w:t xml:space="preserve"> </w:t>
      </w:r>
      <w:r>
        <w:t>=</w:t>
      </w:r>
      <w:r w:rsidR="00DE7764">
        <w:t xml:space="preserve"> </w:t>
      </w:r>
      <w:r>
        <w:t>not elsewhere classified; PT(s)</w:t>
      </w:r>
      <w:r w:rsidR="00DE7764">
        <w:t xml:space="preserve"> </w:t>
      </w:r>
      <w:r>
        <w:t>=</w:t>
      </w:r>
      <w:r w:rsidR="00DE7764">
        <w:t xml:space="preserve"> </w:t>
      </w:r>
      <w:r>
        <w:t>preferred term(s); SMQ</w:t>
      </w:r>
      <w:r w:rsidR="00DE7764">
        <w:t xml:space="preserve"> </w:t>
      </w:r>
      <w:r>
        <w:t>=</w:t>
      </w:r>
      <w:r w:rsidR="00DE7764">
        <w:t xml:space="preserve"> </w:t>
      </w:r>
      <w:r>
        <w:t>Standardi</w:t>
      </w:r>
      <w:r w:rsidR="00DE7764">
        <w:t>s</w:t>
      </w:r>
      <w:r>
        <w:t xml:space="preserve">ed </w:t>
      </w:r>
      <w:proofErr w:type="spellStart"/>
      <w:r>
        <w:t>MedDRA</w:t>
      </w:r>
      <w:proofErr w:type="spellEnd"/>
      <w:r>
        <w:t xml:space="preserve"> Queries. a. HLGTs rather than PTs for COGNITIVE EFFECTS and MOOD EFFECTS. b. HLTs rather than PTs for SPEECH EFFECTS.</w:t>
      </w:r>
    </w:p>
    <w:p w:rsidR="00D51DCD" w:rsidRDefault="00C02ABD" w:rsidP="00D51DCD">
      <w:pPr>
        <w:rPr>
          <w:lang w:eastAsia="ja-JP"/>
        </w:rPr>
      </w:pPr>
      <w:r>
        <w:rPr>
          <w:rFonts w:asciiTheme="minorHAnsi" w:eastAsiaTheme="minorHAnsi" w:hAnsiTheme="minorHAnsi" w:cs="TimesNewRoman"/>
        </w:rPr>
        <w:t>Adverse events of special interest (</w:t>
      </w:r>
      <w:r w:rsidR="00D51DCD" w:rsidRPr="00C34C79">
        <w:rPr>
          <w:rFonts w:asciiTheme="minorHAnsi" w:eastAsiaTheme="minorHAnsi" w:hAnsiTheme="minorHAnsi" w:cs="TimesNewRoman"/>
        </w:rPr>
        <w:t>AESIs</w:t>
      </w:r>
      <w:r>
        <w:rPr>
          <w:rFonts w:asciiTheme="minorHAnsi" w:eastAsiaTheme="minorHAnsi" w:hAnsiTheme="minorHAnsi" w:cs="TimesNewRoman"/>
        </w:rPr>
        <w:t>)</w:t>
      </w:r>
      <w:r w:rsidR="00D51DCD" w:rsidRPr="00C34C79">
        <w:rPr>
          <w:rFonts w:asciiTheme="minorHAnsi" w:eastAsiaTheme="minorHAnsi" w:hAnsiTheme="minorHAnsi" w:cs="TimesNewRoman"/>
        </w:rPr>
        <w:t xml:space="preserve"> </w:t>
      </w:r>
      <w:r w:rsidR="00D51DCD">
        <w:rPr>
          <w:rFonts w:asciiTheme="minorHAnsi" w:eastAsiaTheme="minorHAnsi" w:hAnsiTheme="minorHAnsi" w:cs="TimesNewRoman"/>
        </w:rPr>
        <w:t xml:space="preserve">assessed </w:t>
      </w:r>
      <w:r w:rsidR="00D51DCD" w:rsidRPr="00C34C79">
        <w:rPr>
          <w:rFonts w:asciiTheme="minorHAnsi" w:eastAsiaTheme="minorHAnsi" w:hAnsiTheme="minorHAnsi" w:cs="TimesNewRoman"/>
        </w:rPr>
        <w:t xml:space="preserve">in </w:t>
      </w:r>
      <w:r w:rsidR="00DE7764">
        <w:rPr>
          <w:rFonts w:asciiTheme="minorHAnsi" w:eastAsiaTheme="minorHAnsi" w:hAnsiTheme="minorHAnsi" w:cs="TimesNewRoman"/>
        </w:rPr>
        <w:t xml:space="preserve">Study </w:t>
      </w:r>
      <w:r w:rsidR="00D51DCD" w:rsidRPr="00C34C79">
        <w:rPr>
          <w:rFonts w:asciiTheme="minorHAnsi" w:eastAsiaTheme="minorHAnsi" w:hAnsiTheme="minorHAnsi" w:cs="TimesNewRoman"/>
        </w:rPr>
        <w:t xml:space="preserve">B7461001 included </w:t>
      </w:r>
      <w:r w:rsidR="00D51DCD">
        <w:rPr>
          <w:lang w:eastAsia="ja-JP"/>
        </w:rPr>
        <w:t>h</w:t>
      </w:r>
      <w:r w:rsidR="00D51DCD" w:rsidRPr="00763969">
        <w:rPr>
          <w:lang w:eastAsia="ja-JP"/>
        </w:rPr>
        <w:t>yperlipidaemia</w:t>
      </w:r>
      <w:r w:rsidR="00D51DCD">
        <w:rPr>
          <w:lang w:eastAsia="ja-JP"/>
        </w:rPr>
        <w:t xml:space="preserve">, peripheral neuropathy, </w:t>
      </w:r>
      <w:r w:rsidR="00D51DCD" w:rsidRPr="00C34C79">
        <w:rPr>
          <w:lang w:eastAsia="ja-JP"/>
        </w:rPr>
        <w:t xml:space="preserve">CNS effects (including </w:t>
      </w:r>
      <w:r w:rsidR="00D51DCD" w:rsidRPr="00763969">
        <w:rPr>
          <w:lang w:eastAsia="ja-JP"/>
        </w:rPr>
        <w:t>mood effects, cognitive effects and speech effects)</w:t>
      </w:r>
      <w:r w:rsidR="00D51DCD">
        <w:rPr>
          <w:lang w:eastAsia="ja-JP"/>
        </w:rPr>
        <w:t>, vision disorders, oedema,</w:t>
      </w:r>
      <w:r w:rsidR="00D51DCD" w:rsidRPr="00956FEA">
        <w:rPr>
          <w:lang w:eastAsia="ja-JP"/>
        </w:rPr>
        <w:t xml:space="preserve"> </w:t>
      </w:r>
      <w:r w:rsidR="00D51DCD">
        <w:rPr>
          <w:lang w:eastAsia="ja-JP"/>
        </w:rPr>
        <w:t xml:space="preserve">weight gain, </w:t>
      </w:r>
      <w:proofErr w:type="spellStart"/>
      <w:r w:rsidR="00D51DCD" w:rsidRPr="00763969">
        <w:rPr>
          <w:lang w:eastAsia="ja-JP"/>
        </w:rPr>
        <w:t>QTc</w:t>
      </w:r>
      <w:proofErr w:type="spellEnd"/>
      <w:r w:rsidR="00D51DCD" w:rsidRPr="00763969">
        <w:rPr>
          <w:lang w:eastAsia="ja-JP"/>
        </w:rPr>
        <w:t xml:space="preserve"> prolongation</w:t>
      </w:r>
      <w:r w:rsidR="00D51DCD">
        <w:rPr>
          <w:lang w:eastAsia="ja-JP"/>
        </w:rPr>
        <w:t xml:space="preserve">, </w:t>
      </w:r>
      <w:r w:rsidR="006C1218">
        <w:rPr>
          <w:lang w:eastAsia="ja-JP"/>
        </w:rPr>
        <w:t>a</w:t>
      </w:r>
      <w:r w:rsidR="006C1218" w:rsidRPr="006C1218">
        <w:rPr>
          <w:lang w:eastAsia="ja-JP"/>
        </w:rPr>
        <w:t>trioventricular block</w:t>
      </w:r>
      <w:r w:rsidR="00D51DCD">
        <w:rPr>
          <w:lang w:eastAsia="ja-JP"/>
        </w:rPr>
        <w:t>, i</w:t>
      </w:r>
      <w:r w:rsidR="00D51DCD" w:rsidRPr="00763969">
        <w:rPr>
          <w:lang w:eastAsia="ja-JP"/>
        </w:rPr>
        <w:t>nterstitial lung disease</w:t>
      </w:r>
      <w:r w:rsidR="00D51DCD">
        <w:rPr>
          <w:lang w:eastAsia="ja-JP"/>
        </w:rPr>
        <w:t xml:space="preserve"> (ILD)</w:t>
      </w:r>
      <w:r w:rsidR="00D51DCD" w:rsidRPr="00763969">
        <w:rPr>
          <w:lang w:eastAsia="ja-JP"/>
        </w:rPr>
        <w:t>/pneumonitis</w:t>
      </w:r>
      <w:r w:rsidR="00D51DCD">
        <w:rPr>
          <w:lang w:eastAsia="ja-JP"/>
        </w:rPr>
        <w:t xml:space="preserve">, </w:t>
      </w:r>
      <w:r w:rsidR="00D51DCD" w:rsidRPr="00C34C79">
        <w:rPr>
          <w:lang w:eastAsia="ja-JP"/>
        </w:rPr>
        <w:t>liver te</w:t>
      </w:r>
      <w:r w:rsidR="00D51DCD">
        <w:rPr>
          <w:lang w:eastAsia="ja-JP"/>
        </w:rPr>
        <w:t>sts increased, and pancreatitis.</w:t>
      </w:r>
    </w:p>
    <w:p w:rsidR="00D51DCD" w:rsidRDefault="00D51DCD" w:rsidP="00D51DCD">
      <w:pPr>
        <w:autoSpaceDE w:val="0"/>
        <w:autoSpaceDN w:val="0"/>
        <w:adjustRightInd w:val="0"/>
        <w:spacing w:line="240" w:lineRule="auto"/>
        <w:rPr>
          <w:rFonts w:asciiTheme="minorHAnsi" w:eastAsiaTheme="minorHAnsi" w:hAnsiTheme="minorHAnsi" w:cs="TimesNewRoman"/>
        </w:rPr>
      </w:pPr>
      <w:r w:rsidRPr="00956FEA">
        <w:rPr>
          <w:rFonts w:asciiTheme="minorHAnsi" w:eastAsiaTheme="minorHAnsi" w:hAnsiTheme="minorHAnsi" w:cs="TimesNewRoman"/>
        </w:rPr>
        <w:t>All-causality hyperlipid</w:t>
      </w:r>
      <w:r>
        <w:rPr>
          <w:rFonts w:asciiTheme="minorHAnsi" w:eastAsiaTheme="minorHAnsi" w:hAnsiTheme="minorHAnsi" w:cs="TimesNewRoman"/>
        </w:rPr>
        <w:t>a</w:t>
      </w:r>
      <w:r w:rsidR="006C1218">
        <w:rPr>
          <w:rFonts w:asciiTheme="minorHAnsi" w:eastAsiaTheme="minorHAnsi" w:hAnsiTheme="minorHAnsi" w:cs="TimesNewRoman"/>
        </w:rPr>
        <w:t xml:space="preserve">emia AEs were reported for 259 out of </w:t>
      </w:r>
      <w:r w:rsidRPr="00956FEA">
        <w:rPr>
          <w:rFonts w:asciiTheme="minorHAnsi" w:eastAsiaTheme="minorHAnsi" w:hAnsiTheme="minorHAnsi" w:cs="TimesNewRoman"/>
        </w:rPr>
        <w:t>295 (87.8%) patients</w:t>
      </w:r>
      <w:r>
        <w:rPr>
          <w:rFonts w:asciiTheme="minorHAnsi" w:eastAsiaTheme="minorHAnsi" w:hAnsiTheme="minorHAnsi" w:cs="TimesNewRoman"/>
        </w:rPr>
        <w:t xml:space="preserve"> in </w:t>
      </w:r>
      <w:r w:rsidRPr="00C34C79">
        <w:rPr>
          <w:rFonts w:asciiTheme="minorHAnsi" w:eastAsiaTheme="minorHAnsi" w:hAnsiTheme="minorHAnsi" w:cs="TimesNewRoman"/>
        </w:rPr>
        <w:t xml:space="preserve">the </w:t>
      </w:r>
      <w:r w:rsidR="006C1218">
        <w:rPr>
          <w:rFonts w:asciiTheme="minorHAnsi" w:eastAsiaTheme="minorHAnsi" w:hAnsiTheme="minorHAnsi" w:cs="TimesNewRoman"/>
        </w:rPr>
        <w:t>‘</w:t>
      </w:r>
      <w:r w:rsidRPr="006C1218">
        <w:t>100 mg pooled group</w:t>
      </w:r>
      <w:r w:rsidR="006C1218">
        <w:t>’</w:t>
      </w:r>
      <w:r>
        <w:rPr>
          <w:rFonts w:asciiTheme="minorHAnsi" w:eastAsiaTheme="minorHAnsi" w:hAnsiTheme="minorHAnsi" w:cs="TimesNewRoman"/>
        </w:rPr>
        <w:t>,</w:t>
      </w:r>
      <w:r w:rsidRPr="00956FEA">
        <w:rPr>
          <w:rFonts w:asciiTheme="minorHAnsi" w:eastAsiaTheme="minorHAnsi" w:hAnsiTheme="minorHAnsi" w:cs="TimesNewRoman"/>
        </w:rPr>
        <w:t xml:space="preserve"> </w:t>
      </w:r>
      <w:r>
        <w:rPr>
          <w:rFonts w:asciiTheme="minorHAnsi" w:eastAsiaTheme="minorHAnsi" w:hAnsiTheme="minorHAnsi" w:cs="TimesNewRoman"/>
        </w:rPr>
        <w:t xml:space="preserve">with the cluster terms </w:t>
      </w:r>
      <w:proofErr w:type="spellStart"/>
      <w:r w:rsidRPr="00A80900">
        <w:rPr>
          <w:rFonts w:asciiTheme="minorHAnsi" w:eastAsiaTheme="minorHAnsi" w:hAnsiTheme="minorHAnsi" w:cs="TimesNewRoman"/>
        </w:rPr>
        <w:t>hypercholesterolaemia</w:t>
      </w:r>
      <w:proofErr w:type="spellEnd"/>
      <w:r>
        <w:rPr>
          <w:rFonts w:asciiTheme="minorHAnsi" w:eastAsiaTheme="minorHAnsi" w:hAnsiTheme="minorHAnsi" w:cs="TimesNewRoman"/>
        </w:rPr>
        <w:t xml:space="preserve"> </w:t>
      </w:r>
      <w:r w:rsidR="006C1218">
        <w:rPr>
          <w:rFonts w:asciiTheme="minorHAnsi" w:eastAsiaTheme="minorHAnsi" w:hAnsiTheme="minorHAnsi" w:cs="TimesNewRoman"/>
        </w:rPr>
        <w:t>reported in 249 </w:t>
      </w:r>
      <w:r w:rsidRPr="00956FEA">
        <w:rPr>
          <w:rFonts w:asciiTheme="minorHAnsi" w:eastAsiaTheme="minorHAnsi" w:hAnsiTheme="minorHAnsi" w:cs="TimesNewRoman"/>
        </w:rPr>
        <w:t xml:space="preserve">(84.4%) patients and </w:t>
      </w:r>
      <w:proofErr w:type="spellStart"/>
      <w:r>
        <w:rPr>
          <w:rFonts w:asciiTheme="minorHAnsi" w:eastAsiaTheme="minorHAnsi" w:hAnsiTheme="minorHAnsi" w:cs="TimesNewRoman"/>
        </w:rPr>
        <w:t>hypertriglyceridaemia</w:t>
      </w:r>
      <w:proofErr w:type="spellEnd"/>
      <w:r w:rsidRPr="00956FEA">
        <w:rPr>
          <w:rFonts w:asciiTheme="minorHAnsi" w:eastAsiaTheme="minorHAnsi" w:hAnsiTheme="minorHAnsi" w:cs="TimesNewRoman"/>
        </w:rPr>
        <w:t xml:space="preserve"> in 197 (66.8%) patients.</w:t>
      </w:r>
      <w:r w:rsidR="006C1218">
        <w:rPr>
          <w:rFonts w:asciiTheme="minorHAnsi" w:eastAsiaTheme="minorHAnsi" w:hAnsiTheme="minorHAnsi" w:cs="TimesNewRoman"/>
        </w:rPr>
        <w:t xml:space="preserve"> </w:t>
      </w:r>
      <w:r>
        <w:rPr>
          <w:rFonts w:asciiTheme="minorHAnsi" w:eastAsiaTheme="minorHAnsi" w:hAnsiTheme="minorHAnsi" w:cs="TimesNewRoman"/>
        </w:rPr>
        <w:t xml:space="preserve">These AEs were primarily managed by the use of standard treatments and there were no permanent discontinuations of lorlatinib.140 (47.5%) patients had all-causality peripheral neuropathy AEs, including 8 (2.7%) Grade </w:t>
      </w:r>
      <w:proofErr w:type="gramStart"/>
      <w:r>
        <w:rPr>
          <w:rFonts w:asciiTheme="minorHAnsi" w:eastAsiaTheme="minorHAnsi" w:hAnsiTheme="minorHAnsi" w:cs="TimesNewRoman"/>
        </w:rPr>
        <w:t>3</w:t>
      </w:r>
      <w:proofErr w:type="gramEnd"/>
      <w:r>
        <w:rPr>
          <w:rFonts w:asciiTheme="minorHAnsi" w:eastAsiaTheme="minorHAnsi" w:hAnsiTheme="minorHAnsi" w:cs="TimesNewRoman"/>
        </w:rPr>
        <w:t xml:space="preserve"> AEs. </w:t>
      </w:r>
      <w:proofErr w:type="gramStart"/>
      <w:r>
        <w:rPr>
          <w:rFonts w:asciiTheme="minorHAnsi" w:eastAsiaTheme="minorHAnsi" w:hAnsiTheme="minorHAnsi" w:cs="TimesNewRoman"/>
        </w:rPr>
        <w:t>14</w:t>
      </w:r>
      <w:proofErr w:type="gramEnd"/>
      <w:r>
        <w:rPr>
          <w:rFonts w:asciiTheme="minorHAnsi" w:eastAsiaTheme="minorHAnsi" w:hAnsiTheme="minorHAnsi" w:cs="TimesNewRoman"/>
        </w:rPr>
        <w:t xml:space="preserve"> (4.7%) patients required dose reduction and 15 (5.1%) required temporary discontinuation.</w:t>
      </w:r>
    </w:p>
    <w:p w:rsidR="00D51DCD" w:rsidRDefault="00D74C97" w:rsidP="00D51DCD">
      <w:pPr>
        <w:autoSpaceDE w:val="0"/>
        <w:autoSpaceDN w:val="0"/>
        <w:adjustRightInd w:val="0"/>
        <w:spacing w:line="240" w:lineRule="auto"/>
        <w:rPr>
          <w:rFonts w:asciiTheme="minorHAnsi" w:eastAsiaTheme="minorHAnsi" w:hAnsiTheme="minorHAnsi" w:cs="TimesNewRoman"/>
        </w:rPr>
      </w:pPr>
      <w:r>
        <w:rPr>
          <w:rFonts w:asciiTheme="minorHAnsi" w:eastAsiaTheme="minorHAnsi" w:hAnsiTheme="minorHAnsi" w:cs="TimesNewRoman"/>
        </w:rPr>
        <w:t>Eighty</w:t>
      </w:r>
      <w:r w:rsidR="00D51DCD">
        <w:rPr>
          <w:rFonts w:asciiTheme="minorHAnsi" w:eastAsiaTheme="minorHAnsi" w:hAnsiTheme="minorHAnsi" w:cs="TimesNewRoman"/>
        </w:rPr>
        <w:t xml:space="preserve"> (27.1%) patients experienced cognitive effects, 65 (22.0%) experienced mood effects and 28 (9.5%</w:t>
      </w:r>
      <w:r w:rsidR="006C1218">
        <w:rPr>
          <w:rFonts w:asciiTheme="minorHAnsi" w:eastAsiaTheme="minorHAnsi" w:hAnsiTheme="minorHAnsi" w:cs="TimesNewRoman"/>
        </w:rPr>
        <w:t xml:space="preserve">) experienced speech effects. </w:t>
      </w:r>
      <w:r w:rsidR="00D51DCD">
        <w:rPr>
          <w:rFonts w:asciiTheme="minorHAnsi" w:eastAsiaTheme="minorHAnsi" w:hAnsiTheme="minorHAnsi" w:cs="TimesNewRoman"/>
        </w:rPr>
        <w:t>The majority of CNS effects were Grade 1 or</w:t>
      </w:r>
      <w:r w:rsidR="006C1218">
        <w:rPr>
          <w:rFonts w:asciiTheme="minorHAnsi" w:eastAsiaTheme="minorHAnsi" w:hAnsiTheme="minorHAnsi" w:cs="TimesNewRoman"/>
        </w:rPr>
        <w:t xml:space="preserve"> </w:t>
      </w:r>
      <w:proofErr w:type="gramStart"/>
      <w:r w:rsidR="006C1218">
        <w:rPr>
          <w:rFonts w:asciiTheme="minorHAnsi" w:eastAsiaTheme="minorHAnsi" w:hAnsiTheme="minorHAnsi" w:cs="TimesNewRoman"/>
        </w:rPr>
        <w:t>2</w:t>
      </w:r>
      <w:proofErr w:type="gramEnd"/>
      <w:r w:rsidR="006C1218">
        <w:rPr>
          <w:rFonts w:asciiTheme="minorHAnsi" w:eastAsiaTheme="minorHAnsi" w:hAnsiTheme="minorHAnsi" w:cs="TimesNewRoman"/>
        </w:rPr>
        <w:t xml:space="preserve"> in severity and reversible. </w:t>
      </w:r>
      <w:proofErr w:type="gramStart"/>
      <w:r w:rsidR="00D51DCD">
        <w:rPr>
          <w:rFonts w:asciiTheme="minorHAnsi" w:eastAsiaTheme="minorHAnsi" w:hAnsiTheme="minorHAnsi" w:cs="TimesNewRoman"/>
        </w:rPr>
        <w:t>2</w:t>
      </w:r>
      <w:proofErr w:type="gramEnd"/>
      <w:r w:rsidR="00D51DCD">
        <w:rPr>
          <w:rFonts w:asciiTheme="minorHAnsi" w:eastAsiaTheme="minorHAnsi" w:hAnsiTheme="minorHAnsi" w:cs="TimesNewRoman"/>
        </w:rPr>
        <w:t xml:space="preserve"> patients permanently discontinued treatment, 13 (4.4%) required temporary discontinuation and 12 (4.1%) required dose reduction.</w:t>
      </w:r>
    </w:p>
    <w:p w:rsidR="00D51DCD" w:rsidRDefault="00D74C97" w:rsidP="00D51DCD">
      <w:pPr>
        <w:autoSpaceDE w:val="0"/>
        <w:autoSpaceDN w:val="0"/>
        <w:adjustRightInd w:val="0"/>
        <w:spacing w:line="240" w:lineRule="auto"/>
        <w:rPr>
          <w:rFonts w:asciiTheme="minorHAnsi" w:eastAsiaTheme="minorHAnsi" w:hAnsiTheme="minorHAnsi" w:cs="TimesNewRoman"/>
        </w:rPr>
      </w:pPr>
      <w:r>
        <w:rPr>
          <w:rFonts w:asciiTheme="minorHAnsi" w:eastAsiaTheme="minorHAnsi" w:hAnsiTheme="minorHAnsi" w:cs="TimesNewRoman"/>
        </w:rPr>
        <w:t>One hundred and fifty nine</w:t>
      </w:r>
      <w:r w:rsidR="00D51DCD">
        <w:rPr>
          <w:rFonts w:asciiTheme="minorHAnsi" w:eastAsiaTheme="minorHAnsi" w:hAnsiTheme="minorHAnsi" w:cs="TimesNewRoman"/>
        </w:rPr>
        <w:t xml:space="preserve"> (53.9%) patients had oedema AEs, including oedema peripheral (44.7%), oedema (7.8%), a</w:t>
      </w:r>
      <w:r w:rsidR="006C1218">
        <w:rPr>
          <w:rFonts w:asciiTheme="minorHAnsi" w:eastAsiaTheme="minorHAnsi" w:hAnsiTheme="minorHAnsi" w:cs="TimesNewRoman"/>
        </w:rPr>
        <w:t xml:space="preserve">nd peripheral swelling (6.1%). </w:t>
      </w:r>
      <w:r w:rsidR="00D51DCD">
        <w:rPr>
          <w:rFonts w:asciiTheme="minorHAnsi" w:eastAsiaTheme="minorHAnsi" w:hAnsiTheme="minorHAnsi" w:cs="TimesNewRoman"/>
        </w:rPr>
        <w:t>Th</w:t>
      </w:r>
      <w:r w:rsidR="006C1218">
        <w:rPr>
          <w:rFonts w:asciiTheme="minorHAnsi" w:eastAsiaTheme="minorHAnsi" w:hAnsiTheme="minorHAnsi" w:cs="TimesNewRoman"/>
        </w:rPr>
        <w:t xml:space="preserve">ere were </w:t>
      </w:r>
      <w:proofErr w:type="gramStart"/>
      <w:r w:rsidR="006C1218">
        <w:rPr>
          <w:rFonts w:asciiTheme="minorHAnsi" w:eastAsiaTheme="minorHAnsi" w:hAnsiTheme="minorHAnsi" w:cs="TimesNewRoman"/>
        </w:rPr>
        <w:t>7</w:t>
      </w:r>
      <w:proofErr w:type="gramEnd"/>
      <w:r w:rsidR="006C1218">
        <w:rPr>
          <w:rFonts w:asciiTheme="minorHAnsi" w:eastAsiaTheme="minorHAnsi" w:hAnsiTheme="minorHAnsi" w:cs="TimesNewRoman"/>
        </w:rPr>
        <w:t xml:space="preserve"> Grade 3 oedema AEs. </w:t>
      </w:r>
      <w:proofErr w:type="gramStart"/>
      <w:r w:rsidR="00D51DCD">
        <w:rPr>
          <w:rFonts w:asciiTheme="minorHAnsi" w:eastAsiaTheme="minorHAnsi" w:hAnsiTheme="minorHAnsi" w:cs="TimesNewRoman"/>
        </w:rPr>
        <w:t>1</w:t>
      </w:r>
      <w:proofErr w:type="gramEnd"/>
      <w:r w:rsidR="00D51DCD">
        <w:rPr>
          <w:rFonts w:asciiTheme="minorHAnsi" w:eastAsiaTheme="minorHAnsi" w:hAnsiTheme="minorHAnsi" w:cs="TimesNewRoman"/>
        </w:rPr>
        <w:t xml:space="preserve"> patient permanently discontinued, 18 (6.1%) required dose reduction and 17 (5.8%) required temporary discontinuation.</w:t>
      </w:r>
    </w:p>
    <w:p w:rsidR="00D51DCD" w:rsidRDefault="00D51DCD" w:rsidP="00D51DCD">
      <w:pPr>
        <w:autoSpaceDE w:val="0"/>
        <w:autoSpaceDN w:val="0"/>
        <w:adjustRightInd w:val="0"/>
        <w:spacing w:line="240" w:lineRule="auto"/>
        <w:rPr>
          <w:rFonts w:asciiTheme="minorHAnsi" w:eastAsiaTheme="minorHAnsi" w:hAnsiTheme="minorHAnsi" w:cs="TimesNewRoman"/>
        </w:rPr>
      </w:pPr>
      <w:r>
        <w:rPr>
          <w:rFonts w:asciiTheme="minorHAnsi" w:eastAsiaTheme="minorHAnsi" w:hAnsiTheme="minorHAnsi" w:cs="TimesNewRoman"/>
        </w:rPr>
        <w:t xml:space="preserve">Pneumonitis was reported in </w:t>
      </w:r>
      <w:proofErr w:type="gramStart"/>
      <w:r>
        <w:rPr>
          <w:rFonts w:asciiTheme="minorHAnsi" w:eastAsiaTheme="minorHAnsi" w:hAnsiTheme="minorHAnsi" w:cs="TimesNewRoman"/>
        </w:rPr>
        <w:t>3</w:t>
      </w:r>
      <w:proofErr w:type="gramEnd"/>
      <w:r>
        <w:rPr>
          <w:rFonts w:asciiTheme="minorHAnsi" w:eastAsiaTheme="minorHAnsi" w:hAnsiTheme="minorHAnsi" w:cs="TimesNewRoman"/>
        </w:rPr>
        <w:t xml:space="preserve"> patients (1 each at Grade</w:t>
      </w:r>
      <w:r w:rsidR="00DE7764">
        <w:rPr>
          <w:rFonts w:asciiTheme="minorHAnsi" w:eastAsiaTheme="minorHAnsi" w:hAnsiTheme="minorHAnsi" w:cs="TimesNewRoman"/>
        </w:rPr>
        <w:t>s</w:t>
      </w:r>
      <w:r>
        <w:rPr>
          <w:rFonts w:asciiTheme="minorHAnsi" w:eastAsiaTheme="minorHAnsi" w:hAnsiTheme="minorHAnsi" w:cs="TimesNewRoman"/>
        </w:rPr>
        <w:t xml:space="preserve"> 2, 3 and 4) and ILD was r</w:t>
      </w:r>
      <w:r w:rsidR="006C1218">
        <w:rPr>
          <w:rFonts w:asciiTheme="minorHAnsi" w:eastAsiaTheme="minorHAnsi" w:hAnsiTheme="minorHAnsi" w:cs="TimesNewRoman"/>
        </w:rPr>
        <w:t>eported in 1 patient (Grade 3).</w:t>
      </w:r>
      <w:r>
        <w:rPr>
          <w:rFonts w:asciiTheme="minorHAnsi" w:eastAsiaTheme="minorHAnsi" w:hAnsiTheme="minorHAnsi" w:cs="TimesNewRoman"/>
        </w:rPr>
        <w:t xml:space="preserve"> </w:t>
      </w:r>
      <w:proofErr w:type="spellStart"/>
      <w:r>
        <w:rPr>
          <w:rFonts w:asciiTheme="minorHAnsi" w:eastAsiaTheme="minorHAnsi" w:hAnsiTheme="minorHAnsi" w:cs="TimesNewRoman"/>
        </w:rPr>
        <w:t>Lorlatinib</w:t>
      </w:r>
      <w:proofErr w:type="spellEnd"/>
      <w:r>
        <w:rPr>
          <w:rFonts w:asciiTheme="minorHAnsi" w:eastAsiaTheme="minorHAnsi" w:hAnsiTheme="minorHAnsi" w:cs="TimesNewRoman"/>
        </w:rPr>
        <w:t xml:space="preserve"> </w:t>
      </w:r>
      <w:proofErr w:type="gramStart"/>
      <w:r>
        <w:rPr>
          <w:rFonts w:asciiTheme="minorHAnsi" w:eastAsiaTheme="minorHAnsi" w:hAnsiTheme="minorHAnsi" w:cs="TimesNewRoman"/>
        </w:rPr>
        <w:t>was discontinued permanently for the Grade 4 pneumonitis and temporarily discontinued for the Grade 3 ILD</w:t>
      </w:r>
      <w:proofErr w:type="gramEnd"/>
      <w:r>
        <w:rPr>
          <w:rFonts w:asciiTheme="minorHAnsi" w:eastAsiaTheme="minorHAnsi" w:hAnsiTheme="minorHAnsi" w:cs="TimesNewRoman"/>
        </w:rPr>
        <w:t>.</w:t>
      </w:r>
    </w:p>
    <w:p w:rsidR="00D51DCD" w:rsidRDefault="006C1218" w:rsidP="00D51DCD">
      <w:pPr>
        <w:autoSpaceDE w:val="0"/>
        <w:autoSpaceDN w:val="0"/>
        <w:adjustRightInd w:val="0"/>
        <w:spacing w:line="240" w:lineRule="auto"/>
        <w:rPr>
          <w:rFonts w:asciiTheme="minorHAnsi" w:eastAsiaTheme="minorHAnsi" w:hAnsiTheme="minorHAnsi"/>
          <w:color w:val="000000"/>
        </w:rPr>
      </w:pPr>
      <w:r>
        <w:rPr>
          <w:rFonts w:asciiTheme="minorHAnsi" w:eastAsiaTheme="minorHAnsi" w:hAnsiTheme="minorHAnsi" w:cs="Calibri"/>
        </w:rPr>
        <w:t>Atrioventricular</w:t>
      </w:r>
      <w:r w:rsidR="00D51DCD" w:rsidRPr="005A22D8">
        <w:rPr>
          <w:rFonts w:asciiTheme="minorHAnsi" w:eastAsiaTheme="minorHAnsi" w:hAnsiTheme="minorHAnsi" w:cs="Calibri"/>
        </w:rPr>
        <w:t xml:space="preserve"> block occurred in</w:t>
      </w:r>
      <w:r w:rsidR="00D51DCD" w:rsidRPr="0064222F">
        <w:rPr>
          <w:rFonts w:asciiTheme="minorHAnsi" w:eastAsiaTheme="minorHAnsi" w:hAnsiTheme="minorHAnsi" w:cs="Calibri"/>
        </w:rPr>
        <w:t xml:space="preserve"> </w:t>
      </w:r>
      <w:r w:rsidR="00D51DCD">
        <w:rPr>
          <w:rFonts w:asciiTheme="minorHAnsi" w:eastAsiaTheme="minorHAnsi" w:hAnsiTheme="minorHAnsi" w:cs="Calibri"/>
        </w:rPr>
        <w:t>3</w:t>
      </w:r>
      <w:r w:rsidR="00D51DCD" w:rsidRPr="0064222F">
        <w:rPr>
          <w:rFonts w:asciiTheme="minorHAnsi" w:eastAsiaTheme="minorHAnsi" w:hAnsiTheme="minorHAnsi" w:cs="Calibri"/>
        </w:rPr>
        <w:t xml:space="preserve"> patients (1.</w:t>
      </w:r>
      <w:r w:rsidR="00D51DCD">
        <w:rPr>
          <w:rFonts w:asciiTheme="minorHAnsi" w:eastAsiaTheme="minorHAnsi" w:hAnsiTheme="minorHAnsi" w:cs="Calibri"/>
        </w:rPr>
        <w:t>0</w:t>
      </w:r>
      <w:r w:rsidR="00D51DCD" w:rsidRPr="0064222F">
        <w:rPr>
          <w:rFonts w:asciiTheme="minorHAnsi" w:eastAsiaTheme="minorHAnsi" w:hAnsiTheme="minorHAnsi" w:cs="Calibri"/>
        </w:rPr>
        <w:t xml:space="preserve">%); </w:t>
      </w:r>
      <w:r w:rsidR="00D51DCD">
        <w:rPr>
          <w:rFonts w:asciiTheme="minorHAnsi" w:eastAsiaTheme="minorHAnsi" w:hAnsiTheme="minorHAnsi" w:cs="Calibri"/>
        </w:rPr>
        <w:t>o</w:t>
      </w:r>
      <w:r w:rsidR="00D51DCD" w:rsidRPr="0064222F">
        <w:rPr>
          <w:rFonts w:asciiTheme="minorHAnsi" w:eastAsiaTheme="minorHAnsi" w:hAnsiTheme="minorHAnsi" w:cs="Calibri"/>
        </w:rPr>
        <w:t xml:space="preserve">ne of these events (atrioventricular block complete) was Grade 3 in severity and required </w:t>
      </w:r>
      <w:r w:rsidR="00D51DCD">
        <w:rPr>
          <w:rFonts w:asciiTheme="minorHAnsi" w:eastAsiaTheme="minorHAnsi" w:hAnsiTheme="minorHAnsi" w:cs="Calibri"/>
        </w:rPr>
        <w:t xml:space="preserve">temporary discontinuation and </w:t>
      </w:r>
      <w:r w:rsidR="00D51DCD" w:rsidRPr="0064222F">
        <w:rPr>
          <w:rFonts w:asciiTheme="minorHAnsi" w:eastAsiaTheme="minorHAnsi" w:hAnsiTheme="minorHAnsi" w:cs="Calibri"/>
        </w:rPr>
        <w:lastRenderedPageBreak/>
        <w:t xml:space="preserve">pacemaker </w:t>
      </w:r>
      <w:r>
        <w:rPr>
          <w:rFonts w:asciiTheme="minorHAnsi" w:eastAsiaTheme="minorHAnsi" w:hAnsiTheme="minorHAnsi" w:cs="Calibri"/>
        </w:rPr>
        <w:t xml:space="preserve">placement. </w:t>
      </w:r>
      <w:r w:rsidR="00D51DCD" w:rsidRPr="00CC3421">
        <w:rPr>
          <w:rFonts w:asciiTheme="minorHAnsi" w:eastAsiaTheme="minorHAnsi" w:hAnsiTheme="minorHAnsi" w:cs="Calibri"/>
        </w:rPr>
        <w:t>14%</w:t>
      </w:r>
      <w:r w:rsidR="00D51DCD">
        <w:rPr>
          <w:rFonts w:asciiTheme="minorHAnsi" w:eastAsiaTheme="minorHAnsi" w:hAnsiTheme="minorHAnsi" w:cs="Calibri"/>
        </w:rPr>
        <w:t xml:space="preserve"> of</w:t>
      </w:r>
      <w:r w:rsidR="00D51DCD" w:rsidRPr="00CC3421">
        <w:rPr>
          <w:rFonts w:asciiTheme="minorHAnsi" w:eastAsiaTheme="minorHAnsi" w:hAnsiTheme="minorHAnsi" w:cs="Calibri"/>
        </w:rPr>
        <w:t xml:space="preserve"> patients with a baseline PR interval</w:t>
      </w:r>
      <w:r w:rsidR="0094599B">
        <w:rPr>
          <w:rFonts w:asciiTheme="minorHAnsi" w:eastAsiaTheme="minorHAnsi" w:hAnsiTheme="minorHAnsi" w:cs="Calibri"/>
        </w:rPr>
        <w:t>;</w:t>
      </w:r>
      <w:r w:rsidR="0094599B">
        <w:rPr>
          <w:rStyle w:val="FootnoteReference"/>
          <w:rFonts w:asciiTheme="minorHAnsi" w:eastAsiaTheme="minorHAnsi" w:hAnsiTheme="minorHAnsi" w:cs="Calibri"/>
        </w:rPr>
        <w:footnoteReference w:id="3"/>
      </w:r>
      <w:r w:rsidR="00D51DCD" w:rsidRPr="00CC3421">
        <w:rPr>
          <w:rFonts w:asciiTheme="minorHAnsi" w:eastAsiaTheme="minorHAnsi" w:hAnsiTheme="minorHAnsi" w:cs="Calibri"/>
        </w:rPr>
        <w:t xml:space="preserve"> of less than 200 </w:t>
      </w:r>
      <w:proofErr w:type="spellStart"/>
      <w:r w:rsidR="00D51DCD" w:rsidRPr="00CC3421">
        <w:rPr>
          <w:rFonts w:asciiTheme="minorHAnsi" w:eastAsiaTheme="minorHAnsi" w:hAnsiTheme="minorHAnsi" w:cs="Calibri"/>
        </w:rPr>
        <w:t>msec</w:t>
      </w:r>
      <w:proofErr w:type="spellEnd"/>
      <w:r w:rsidR="00D51DCD" w:rsidRPr="00CC3421">
        <w:rPr>
          <w:rFonts w:asciiTheme="minorHAnsi" w:eastAsiaTheme="minorHAnsi" w:hAnsiTheme="minorHAnsi" w:cs="Calibri"/>
        </w:rPr>
        <w:t xml:space="preserve"> had PR prolongation greater than 200 </w:t>
      </w:r>
      <w:proofErr w:type="spellStart"/>
      <w:r w:rsidR="00D51DCD" w:rsidRPr="00CC3421">
        <w:rPr>
          <w:rFonts w:asciiTheme="minorHAnsi" w:eastAsiaTheme="minorHAnsi" w:hAnsiTheme="minorHAnsi" w:cs="Calibri"/>
        </w:rPr>
        <w:t>msec</w:t>
      </w:r>
      <w:proofErr w:type="spellEnd"/>
      <w:r w:rsidR="00D51DCD">
        <w:rPr>
          <w:rFonts w:asciiTheme="minorHAnsi" w:eastAsiaTheme="minorHAnsi" w:hAnsiTheme="minorHAnsi" w:cs="Calibri"/>
        </w:rPr>
        <w:t xml:space="preserve"> after starting treatment with </w:t>
      </w:r>
      <w:proofErr w:type="spellStart"/>
      <w:r w:rsidR="00D51DCD">
        <w:rPr>
          <w:rFonts w:asciiTheme="minorHAnsi" w:eastAsiaTheme="minorHAnsi" w:hAnsiTheme="minorHAnsi" w:cs="Calibri"/>
        </w:rPr>
        <w:t>lorlatinib</w:t>
      </w:r>
      <w:proofErr w:type="spellEnd"/>
      <w:r w:rsidR="00D51DCD" w:rsidRPr="00CC3421">
        <w:rPr>
          <w:rFonts w:asciiTheme="minorHAnsi" w:eastAsiaTheme="minorHAnsi" w:hAnsiTheme="minorHAnsi" w:cs="Calibri"/>
        </w:rPr>
        <w:t>. The prolongation of PR interval occurred in a concentration-dependent manner.</w:t>
      </w:r>
      <w:r w:rsidR="00D51DCD">
        <w:rPr>
          <w:rFonts w:asciiTheme="minorHAnsi" w:eastAsiaTheme="minorHAnsi" w:hAnsiTheme="minorHAnsi" w:cs="Calibri"/>
        </w:rPr>
        <w:t xml:space="preserve"> </w:t>
      </w:r>
      <w:r w:rsidR="00D51DCD">
        <w:rPr>
          <w:rFonts w:asciiTheme="minorHAnsi" w:eastAsiaTheme="minorHAnsi" w:hAnsiTheme="minorHAnsi" w:cs="Verdana"/>
        </w:rPr>
        <w:t>P</w:t>
      </w:r>
      <w:r w:rsidR="00D51DCD" w:rsidRPr="005A22D8">
        <w:rPr>
          <w:rFonts w:asciiTheme="minorHAnsi" w:eastAsiaTheme="minorHAnsi" w:hAnsiTheme="minorHAnsi" w:cs="Verdana"/>
        </w:rPr>
        <w:t xml:space="preserve">atients with second-degree or </w:t>
      </w:r>
      <w:proofErr w:type="gramStart"/>
      <w:r w:rsidR="00D51DCD" w:rsidRPr="005A22D8">
        <w:rPr>
          <w:rFonts w:asciiTheme="minorHAnsi" w:eastAsiaTheme="minorHAnsi" w:hAnsiTheme="minorHAnsi" w:cs="Verdana"/>
        </w:rPr>
        <w:t>third-degree</w:t>
      </w:r>
      <w:proofErr w:type="gramEnd"/>
      <w:r w:rsidR="00D51DCD" w:rsidRPr="005A22D8">
        <w:rPr>
          <w:rFonts w:asciiTheme="minorHAnsi" w:eastAsiaTheme="minorHAnsi" w:hAnsiTheme="minorHAnsi" w:cs="Verdana"/>
        </w:rPr>
        <w:t xml:space="preserve"> </w:t>
      </w:r>
      <w:r>
        <w:rPr>
          <w:rFonts w:asciiTheme="minorHAnsi" w:eastAsiaTheme="minorHAnsi" w:hAnsiTheme="minorHAnsi" w:cs="Verdana"/>
        </w:rPr>
        <w:t>atrioventricular</w:t>
      </w:r>
      <w:r w:rsidR="00D51DCD" w:rsidRPr="005A22D8">
        <w:rPr>
          <w:rFonts w:asciiTheme="minorHAnsi" w:eastAsiaTheme="minorHAnsi" w:hAnsiTheme="minorHAnsi" w:cs="Verdana"/>
        </w:rPr>
        <w:t xml:space="preserve"> block (unless paced) or any </w:t>
      </w:r>
      <w:r>
        <w:rPr>
          <w:rFonts w:asciiTheme="minorHAnsi" w:eastAsiaTheme="minorHAnsi" w:hAnsiTheme="minorHAnsi" w:cs="Verdana"/>
        </w:rPr>
        <w:t>atrioventricular</w:t>
      </w:r>
      <w:r w:rsidR="00D51DCD" w:rsidRPr="005A22D8">
        <w:rPr>
          <w:rFonts w:asciiTheme="minorHAnsi" w:eastAsiaTheme="minorHAnsi" w:hAnsiTheme="minorHAnsi" w:cs="Verdana"/>
        </w:rPr>
        <w:t xml:space="preserve"> block with PR interval &gt; 220 </w:t>
      </w:r>
      <w:proofErr w:type="spellStart"/>
      <w:r w:rsidR="00D51DCD" w:rsidRPr="005A22D8">
        <w:rPr>
          <w:rFonts w:asciiTheme="minorHAnsi" w:eastAsiaTheme="minorHAnsi" w:hAnsiTheme="minorHAnsi" w:cs="Verdana"/>
        </w:rPr>
        <w:t>msec</w:t>
      </w:r>
      <w:proofErr w:type="spellEnd"/>
      <w:r w:rsidR="00D51DCD">
        <w:rPr>
          <w:rFonts w:asciiTheme="minorHAnsi" w:eastAsiaTheme="minorHAnsi" w:hAnsiTheme="minorHAnsi" w:cs="Verdana"/>
        </w:rPr>
        <w:t xml:space="preserve"> were </w:t>
      </w:r>
      <w:r w:rsidR="00D51DCD" w:rsidRPr="00BA0DC6">
        <w:rPr>
          <w:rFonts w:asciiTheme="minorHAnsi" w:eastAsiaTheme="minorHAnsi" w:hAnsiTheme="minorHAnsi" w:cs="Verdana"/>
        </w:rPr>
        <w:t xml:space="preserve">excluded from </w:t>
      </w:r>
      <w:r>
        <w:rPr>
          <w:rFonts w:asciiTheme="minorHAnsi" w:eastAsiaTheme="minorHAnsi" w:hAnsiTheme="minorHAnsi" w:cs="Verdana"/>
        </w:rPr>
        <w:t xml:space="preserve">Study </w:t>
      </w:r>
      <w:r w:rsidR="00D51DCD" w:rsidRPr="00BA0DC6">
        <w:rPr>
          <w:rFonts w:asciiTheme="minorHAnsi" w:eastAsiaTheme="minorHAnsi" w:hAnsiTheme="minorHAnsi" w:cs="Verdana"/>
        </w:rPr>
        <w:t>B7461001.</w:t>
      </w:r>
      <w:r>
        <w:rPr>
          <w:rFonts w:asciiTheme="minorHAnsi" w:eastAsiaTheme="minorHAnsi" w:hAnsiTheme="minorHAnsi" w:cs="Calibri"/>
        </w:rPr>
        <w:t xml:space="preserve"> </w:t>
      </w:r>
      <w:r w:rsidR="00D51DCD" w:rsidRPr="00BA0DC6">
        <w:rPr>
          <w:rFonts w:asciiTheme="minorHAnsi" w:eastAsiaTheme="minorHAnsi" w:hAnsiTheme="minorHAnsi" w:cs="TimesNewRoman"/>
        </w:rPr>
        <w:t xml:space="preserve">Maximum </w:t>
      </w:r>
      <w:proofErr w:type="spellStart"/>
      <w:r w:rsidR="00D51DCD" w:rsidRPr="00BA0DC6">
        <w:rPr>
          <w:rFonts w:asciiTheme="minorHAnsi" w:eastAsiaTheme="minorHAnsi" w:hAnsiTheme="minorHAnsi" w:cs="TimesNewRoman"/>
        </w:rPr>
        <w:t>QTcF</w:t>
      </w:r>
      <w:proofErr w:type="spellEnd"/>
      <w:r w:rsidR="00DE7764">
        <w:rPr>
          <w:rFonts w:asciiTheme="minorHAnsi" w:eastAsiaTheme="minorHAnsi" w:hAnsiTheme="minorHAnsi" w:cs="TimesNewRoman"/>
        </w:rPr>
        <w:t>;</w:t>
      </w:r>
      <w:r w:rsidR="00DE7764">
        <w:rPr>
          <w:rStyle w:val="FootnoteReference"/>
          <w:rFonts w:asciiTheme="minorHAnsi" w:eastAsiaTheme="minorHAnsi" w:hAnsiTheme="minorHAnsi" w:cs="TimesNewRoman"/>
        </w:rPr>
        <w:footnoteReference w:id="4"/>
      </w:r>
      <w:r w:rsidR="00D51DCD" w:rsidRPr="00BA0DC6">
        <w:rPr>
          <w:rFonts w:asciiTheme="minorHAnsi" w:eastAsiaTheme="minorHAnsi" w:hAnsiTheme="minorHAnsi" w:cs="TimesNewRoman"/>
        </w:rPr>
        <w:t xml:space="preserve"> increase from </w:t>
      </w:r>
      <w:r w:rsidR="0094599B">
        <w:rPr>
          <w:rFonts w:asciiTheme="minorHAnsi" w:eastAsiaTheme="minorHAnsi" w:hAnsiTheme="minorHAnsi" w:cs="TimesNewRoman"/>
        </w:rPr>
        <w:t>B</w:t>
      </w:r>
      <w:r w:rsidR="0094599B" w:rsidRPr="00BA0DC6">
        <w:rPr>
          <w:rFonts w:asciiTheme="minorHAnsi" w:eastAsiaTheme="minorHAnsi" w:hAnsiTheme="minorHAnsi" w:cs="TimesNewRoman"/>
        </w:rPr>
        <w:t xml:space="preserve">aseline </w:t>
      </w:r>
      <w:r w:rsidR="00D51DCD" w:rsidRPr="00BA0DC6">
        <w:rPr>
          <w:rFonts w:asciiTheme="minorHAnsi" w:eastAsiaTheme="minorHAnsi" w:hAnsiTheme="minorHAnsi" w:cs="TimesNewRoman"/>
        </w:rPr>
        <w:t xml:space="preserve">of </w:t>
      </w:r>
      <w:r w:rsidR="002A1A01">
        <w:rPr>
          <w:rFonts w:asciiTheme="minorHAnsi" w:eastAsiaTheme="minorHAnsi" w:hAnsiTheme="minorHAnsi" w:cs="Symbol"/>
        </w:rPr>
        <w:sym w:font="Symbol" w:char="F0B3"/>
      </w:r>
      <w:r>
        <w:rPr>
          <w:rFonts w:asciiTheme="minorHAnsi" w:eastAsiaTheme="minorHAnsi" w:hAnsiTheme="minorHAnsi" w:cs="Symbol"/>
        </w:rPr>
        <w:t xml:space="preserve"> </w:t>
      </w:r>
      <w:r w:rsidR="00D51DCD" w:rsidRPr="00BA0DC6">
        <w:rPr>
          <w:rFonts w:asciiTheme="minorHAnsi" w:eastAsiaTheme="minorHAnsi" w:hAnsiTheme="minorHAnsi" w:cs="TimesNewRoman"/>
        </w:rPr>
        <w:t xml:space="preserve">60 </w:t>
      </w:r>
      <w:proofErr w:type="spellStart"/>
      <w:r w:rsidR="00D51DCD" w:rsidRPr="00BA0DC6">
        <w:rPr>
          <w:rFonts w:asciiTheme="minorHAnsi" w:eastAsiaTheme="minorHAnsi" w:hAnsiTheme="minorHAnsi" w:cs="TimesNewRoman"/>
        </w:rPr>
        <w:t>msec</w:t>
      </w:r>
      <w:proofErr w:type="spellEnd"/>
      <w:r w:rsidR="00D51DCD" w:rsidRPr="00BA0DC6">
        <w:rPr>
          <w:rFonts w:asciiTheme="minorHAnsi" w:eastAsiaTheme="minorHAnsi" w:hAnsiTheme="minorHAnsi" w:cs="TimesNewRoman"/>
        </w:rPr>
        <w:t xml:space="preserve"> was observed in </w:t>
      </w:r>
      <w:proofErr w:type="gramStart"/>
      <w:r w:rsidR="00D51DCD" w:rsidRPr="00BA0DC6">
        <w:rPr>
          <w:rFonts w:asciiTheme="minorHAnsi" w:eastAsiaTheme="minorHAnsi" w:hAnsiTheme="minorHAnsi" w:cs="TimesNewRoman"/>
        </w:rPr>
        <w:t>5</w:t>
      </w:r>
      <w:proofErr w:type="gramEnd"/>
      <w:r w:rsidR="00D51DCD" w:rsidRPr="00BA0DC6">
        <w:rPr>
          <w:rFonts w:asciiTheme="minorHAnsi" w:eastAsiaTheme="minorHAnsi" w:hAnsiTheme="minorHAnsi" w:cs="TimesNewRoman"/>
        </w:rPr>
        <w:t xml:space="preserve"> (1.7%) patients. </w:t>
      </w:r>
      <w:r w:rsidR="00D51DCD" w:rsidRPr="00BA0DC6">
        <w:rPr>
          <w:rFonts w:asciiTheme="minorHAnsi" w:eastAsiaTheme="minorHAnsi" w:hAnsiTheme="minorHAnsi" w:cs="Calibri"/>
        </w:rPr>
        <w:t>N</w:t>
      </w:r>
      <w:r w:rsidR="00D51DCD" w:rsidRPr="00BA0DC6">
        <w:rPr>
          <w:rFonts w:asciiTheme="minorHAnsi" w:eastAsiaTheme="minorHAnsi" w:hAnsiTheme="minorHAnsi"/>
          <w:color w:val="000000"/>
        </w:rPr>
        <w:t xml:space="preserve">o large mean increases in the </w:t>
      </w:r>
      <w:proofErr w:type="spellStart"/>
      <w:r w:rsidR="00D51DCD" w:rsidRPr="00BA0DC6">
        <w:rPr>
          <w:rFonts w:asciiTheme="minorHAnsi" w:eastAsiaTheme="minorHAnsi" w:hAnsiTheme="minorHAnsi"/>
          <w:color w:val="000000"/>
        </w:rPr>
        <w:t>QTcF</w:t>
      </w:r>
      <w:proofErr w:type="spellEnd"/>
      <w:r w:rsidR="00D51DCD" w:rsidRPr="00BA0DC6">
        <w:rPr>
          <w:rFonts w:asciiTheme="minorHAnsi" w:eastAsiaTheme="minorHAnsi" w:hAnsiTheme="minorHAnsi"/>
          <w:color w:val="000000"/>
        </w:rPr>
        <w:t xml:space="preserve"> interval</w:t>
      </w:r>
      <w:r>
        <w:rPr>
          <w:rFonts w:asciiTheme="minorHAnsi" w:eastAsiaTheme="minorHAnsi" w:hAnsiTheme="minorHAnsi"/>
          <w:color w:val="000000"/>
        </w:rPr>
        <w:t xml:space="preserve"> (that is,</w:t>
      </w:r>
      <w:r w:rsidR="00D51DCD" w:rsidRPr="00586F73">
        <w:rPr>
          <w:rFonts w:asciiTheme="minorHAnsi" w:eastAsiaTheme="minorHAnsi" w:hAnsiTheme="minorHAnsi"/>
          <w:color w:val="000000"/>
        </w:rPr>
        <w:t xml:space="preserve"> </w:t>
      </w:r>
      <w:r w:rsidR="002A1A01">
        <w:rPr>
          <w:rFonts w:asciiTheme="minorHAnsi" w:eastAsiaTheme="minorHAnsi" w:hAnsiTheme="minorHAnsi"/>
          <w:color w:val="000000"/>
        </w:rPr>
        <w:t>&gt;</w:t>
      </w:r>
      <w:r>
        <w:rPr>
          <w:rFonts w:asciiTheme="minorHAnsi" w:eastAsiaTheme="minorHAnsi" w:hAnsiTheme="minorHAnsi"/>
          <w:color w:val="000000"/>
        </w:rPr>
        <w:t xml:space="preserve"> </w:t>
      </w:r>
      <w:r w:rsidR="00D51DCD" w:rsidRPr="00586F73">
        <w:rPr>
          <w:rFonts w:asciiTheme="minorHAnsi" w:eastAsiaTheme="minorHAnsi" w:hAnsiTheme="minorHAnsi"/>
          <w:color w:val="000000"/>
        </w:rPr>
        <w:t xml:space="preserve">20 </w:t>
      </w:r>
      <w:proofErr w:type="spellStart"/>
      <w:r w:rsidR="00D51DCD" w:rsidRPr="00586F73">
        <w:rPr>
          <w:rFonts w:asciiTheme="minorHAnsi" w:eastAsiaTheme="minorHAnsi" w:hAnsiTheme="minorHAnsi"/>
          <w:color w:val="000000"/>
        </w:rPr>
        <w:t>ms</w:t>
      </w:r>
      <w:r>
        <w:rPr>
          <w:rFonts w:asciiTheme="minorHAnsi" w:eastAsiaTheme="minorHAnsi" w:hAnsiTheme="minorHAnsi"/>
          <w:color w:val="000000"/>
        </w:rPr>
        <w:t>ec</w:t>
      </w:r>
      <w:proofErr w:type="spellEnd"/>
      <w:r w:rsidR="00D51DCD" w:rsidRPr="00586F73">
        <w:rPr>
          <w:rFonts w:asciiTheme="minorHAnsi" w:eastAsiaTheme="minorHAnsi" w:hAnsiTheme="minorHAnsi"/>
          <w:color w:val="000000"/>
        </w:rPr>
        <w:t xml:space="preserve">) </w:t>
      </w:r>
      <w:proofErr w:type="gramStart"/>
      <w:r>
        <w:rPr>
          <w:rFonts w:asciiTheme="minorHAnsi" w:eastAsiaTheme="minorHAnsi" w:hAnsiTheme="minorHAnsi"/>
          <w:color w:val="000000"/>
        </w:rPr>
        <w:t>were detected</w:t>
      </w:r>
      <w:proofErr w:type="gramEnd"/>
      <w:r>
        <w:rPr>
          <w:rFonts w:asciiTheme="minorHAnsi" w:eastAsiaTheme="minorHAnsi" w:hAnsiTheme="minorHAnsi"/>
          <w:color w:val="000000"/>
        </w:rPr>
        <w:t xml:space="preserve">. </w:t>
      </w:r>
      <w:proofErr w:type="spellStart"/>
      <w:r w:rsidR="00D51DCD">
        <w:rPr>
          <w:rFonts w:asciiTheme="minorHAnsi" w:eastAsiaTheme="minorHAnsi" w:hAnsiTheme="minorHAnsi"/>
          <w:color w:val="000000"/>
        </w:rPr>
        <w:t>Lorlatinib</w:t>
      </w:r>
      <w:proofErr w:type="spellEnd"/>
      <w:r w:rsidR="00D51DCD">
        <w:rPr>
          <w:rFonts w:asciiTheme="minorHAnsi" w:eastAsiaTheme="minorHAnsi" w:hAnsiTheme="minorHAnsi"/>
          <w:color w:val="000000"/>
        </w:rPr>
        <w:t xml:space="preserve"> did not prolong the </w:t>
      </w:r>
      <w:proofErr w:type="spellStart"/>
      <w:r w:rsidR="00D51DCD">
        <w:rPr>
          <w:rFonts w:asciiTheme="minorHAnsi" w:eastAsiaTheme="minorHAnsi" w:hAnsiTheme="minorHAnsi"/>
          <w:color w:val="000000"/>
        </w:rPr>
        <w:t>QTc</w:t>
      </w:r>
      <w:proofErr w:type="spellEnd"/>
      <w:r w:rsidR="00D51DCD">
        <w:rPr>
          <w:rFonts w:asciiTheme="minorHAnsi" w:eastAsiaTheme="minorHAnsi" w:hAnsiTheme="minorHAnsi"/>
          <w:color w:val="000000"/>
        </w:rPr>
        <w:t xml:space="preserve"> interval</w:t>
      </w:r>
      <w:proofErr w:type="gramStart"/>
      <w:r w:rsidR="00A335E5">
        <w:rPr>
          <w:rFonts w:asciiTheme="minorHAnsi" w:eastAsiaTheme="minorHAnsi" w:hAnsiTheme="minorHAnsi"/>
          <w:color w:val="000000"/>
        </w:rPr>
        <w:t>;</w:t>
      </w:r>
      <w:proofErr w:type="gramEnd"/>
      <w:r w:rsidR="00A335E5">
        <w:rPr>
          <w:rStyle w:val="FootnoteReference"/>
          <w:rFonts w:asciiTheme="minorHAnsi" w:eastAsiaTheme="minorHAnsi" w:hAnsiTheme="minorHAnsi"/>
          <w:color w:val="000000"/>
        </w:rPr>
        <w:footnoteReference w:id="5"/>
      </w:r>
      <w:r w:rsidR="00D51DCD">
        <w:rPr>
          <w:rFonts w:asciiTheme="minorHAnsi" w:eastAsiaTheme="minorHAnsi" w:hAnsiTheme="minorHAnsi"/>
          <w:color w:val="000000"/>
        </w:rPr>
        <w:t xml:space="preserve"> to</w:t>
      </w:r>
      <w:r>
        <w:rPr>
          <w:rFonts w:asciiTheme="minorHAnsi" w:eastAsiaTheme="minorHAnsi" w:hAnsiTheme="minorHAnsi"/>
          <w:color w:val="000000"/>
        </w:rPr>
        <w:t xml:space="preserve"> a clinically relevant extent.</w:t>
      </w:r>
    </w:p>
    <w:p w:rsidR="00456765" w:rsidRPr="008D0771" w:rsidRDefault="00D74C97" w:rsidP="008D0771">
      <w:pPr>
        <w:autoSpaceDE w:val="0"/>
        <w:autoSpaceDN w:val="0"/>
        <w:adjustRightInd w:val="0"/>
        <w:spacing w:line="240" w:lineRule="auto"/>
        <w:rPr>
          <w:rFonts w:asciiTheme="minorHAnsi" w:eastAsiaTheme="minorHAnsi" w:hAnsiTheme="minorHAnsi"/>
          <w:color w:val="000000"/>
        </w:rPr>
      </w:pPr>
      <w:r>
        <w:rPr>
          <w:rFonts w:asciiTheme="minorHAnsi" w:eastAsiaTheme="minorHAnsi" w:hAnsiTheme="minorHAnsi"/>
          <w:color w:val="000000"/>
        </w:rPr>
        <w:t>Forty-three</w:t>
      </w:r>
      <w:r w:rsidR="00D51DCD">
        <w:rPr>
          <w:rFonts w:asciiTheme="minorHAnsi" w:eastAsiaTheme="minorHAnsi" w:hAnsiTheme="minorHAnsi"/>
          <w:color w:val="000000"/>
        </w:rPr>
        <w:t xml:space="preserve"> (14.6%) patients had </w:t>
      </w:r>
      <w:r w:rsidR="006C1218" w:rsidRPr="006C1218">
        <w:rPr>
          <w:rFonts w:asciiTheme="minorHAnsi" w:eastAsiaTheme="minorHAnsi" w:hAnsiTheme="minorHAnsi"/>
          <w:color w:val="000000"/>
        </w:rPr>
        <w:t xml:space="preserve">aspartate aminotransferase </w:t>
      </w:r>
      <w:r w:rsidR="006C1218">
        <w:rPr>
          <w:rFonts w:asciiTheme="minorHAnsi" w:eastAsiaTheme="minorHAnsi" w:hAnsiTheme="minorHAnsi"/>
          <w:color w:val="000000"/>
        </w:rPr>
        <w:t>(</w:t>
      </w:r>
      <w:r w:rsidR="00D51DCD">
        <w:rPr>
          <w:rFonts w:asciiTheme="minorHAnsi" w:eastAsiaTheme="minorHAnsi" w:hAnsiTheme="minorHAnsi"/>
          <w:color w:val="000000"/>
        </w:rPr>
        <w:t>AST</w:t>
      </w:r>
      <w:r w:rsidR="006C1218">
        <w:rPr>
          <w:rFonts w:asciiTheme="minorHAnsi" w:eastAsiaTheme="minorHAnsi" w:hAnsiTheme="minorHAnsi"/>
          <w:color w:val="000000"/>
        </w:rPr>
        <w:t>)</w:t>
      </w:r>
      <w:r w:rsidR="00D51DCD">
        <w:rPr>
          <w:rFonts w:asciiTheme="minorHAnsi" w:eastAsiaTheme="minorHAnsi" w:hAnsiTheme="minorHAnsi"/>
          <w:color w:val="000000"/>
        </w:rPr>
        <w:t xml:space="preserve"> increased AEs (2 patients Grade 3, 2 patients Grade 4) and 40 (13.6%) patients had </w:t>
      </w:r>
      <w:r w:rsidR="006C1218">
        <w:rPr>
          <w:rFonts w:asciiTheme="minorHAnsi" w:eastAsiaTheme="minorHAnsi" w:hAnsiTheme="minorHAnsi"/>
          <w:color w:val="000000"/>
        </w:rPr>
        <w:t>a</w:t>
      </w:r>
      <w:r w:rsidR="006C1218" w:rsidRPr="006C1218">
        <w:rPr>
          <w:rFonts w:asciiTheme="minorHAnsi" w:eastAsiaTheme="minorHAnsi" w:hAnsiTheme="minorHAnsi"/>
          <w:color w:val="000000"/>
        </w:rPr>
        <w:t xml:space="preserve">lanine aminotransferase </w:t>
      </w:r>
      <w:r w:rsidR="006C1218">
        <w:rPr>
          <w:rFonts w:asciiTheme="minorHAnsi" w:eastAsiaTheme="minorHAnsi" w:hAnsiTheme="minorHAnsi"/>
          <w:color w:val="000000"/>
        </w:rPr>
        <w:t>(</w:t>
      </w:r>
      <w:r w:rsidR="00D51DCD">
        <w:rPr>
          <w:rFonts w:asciiTheme="minorHAnsi" w:eastAsiaTheme="minorHAnsi" w:hAnsiTheme="minorHAnsi"/>
          <w:color w:val="000000"/>
        </w:rPr>
        <w:t>ALT</w:t>
      </w:r>
      <w:r w:rsidR="006C1218">
        <w:rPr>
          <w:rFonts w:asciiTheme="minorHAnsi" w:eastAsiaTheme="minorHAnsi" w:hAnsiTheme="minorHAnsi"/>
          <w:color w:val="000000"/>
        </w:rPr>
        <w:t>)</w:t>
      </w:r>
      <w:r w:rsidR="00D51DCD">
        <w:rPr>
          <w:rFonts w:asciiTheme="minorHAnsi" w:eastAsiaTheme="minorHAnsi" w:hAnsiTheme="minorHAnsi"/>
          <w:color w:val="000000"/>
        </w:rPr>
        <w:t xml:space="preserve"> increased AEs (3 patients</w:t>
      </w:r>
      <w:r w:rsidR="007C0E2C">
        <w:rPr>
          <w:rFonts w:asciiTheme="minorHAnsi" w:eastAsiaTheme="minorHAnsi" w:hAnsiTheme="minorHAnsi"/>
          <w:color w:val="000000"/>
        </w:rPr>
        <w:t xml:space="preserve"> Grade 3, 2 patients Grade 4). </w:t>
      </w:r>
      <w:r w:rsidR="00D51DCD">
        <w:rPr>
          <w:rFonts w:asciiTheme="minorHAnsi" w:eastAsiaTheme="minorHAnsi" w:hAnsiTheme="minorHAnsi"/>
          <w:color w:val="000000"/>
        </w:rPr>
        <w:t xml:space="preserve">Two potential </w:t>
      </w:r>
      <w:proofErr w:type="spellStart"/>
      <w:r w:rsidR="00D51DCD">
        <w:rPr>
          <w:rFonts w:asciiTheme="minorHAnsi" w:eastAsiaTheme="minorHAnsi" w:hAnsiTheme="minorHAnsi"/>
          <w:color w:val="000000"/>
        </w:rPr>
        <w:t>Hy’s</w:t>
      </w:r>
      <w:proofErr w:type="spellEnd"/>
      <w:r w:rsidR="00D51DCD">
        <w:rPr>
          <w:rFonts w:asciiTheme="minorHAnsi" w:eastAsiaTheme="minorHAnsi" w:hAnsiTheme="minorHAnsi"/>
          <w:color w:val="000000"/>
        </w:rPr>
        <w:t xml:space="preserve"> law</w:t>
      </w:r>
      <w:r w:rsidR="007C0E2C">
        <w:rPr>
          <w:rFonts w:asciiTheme="minorHAnsi" w:eastAsiaTheme="minorHAnsi" w:hAnsiTheme="minorHAnsi"/>
          <w:color w:val="000000"/>
        </w:rPr>
        <w:t>;</w:t>
      </w:r>
      <w:r w:rsidR="007C0E2C">
        <w:rPr>
          <w:rStyle w:val="FootnoteReference"/>
          <w:rFonts w:asciiTheme="minorHAnsi" w:eastAsiaTheme="minorHAnsi" w:hAnsiTheme="minorHAnsi"/>
          <w:color w:val="000000"/>
        </w:rPr>
        <w:footnoteReference w:id="6"/>
      </w:r>
      <w:r w:rsidR="00D51DCD">
        <w:rPr>
          <w:rFonts w:asciiTheme="minorHAnsi" w:eastAsiaTheme="minorHAnsi" w:hAnsiTheme="minorHAnsi"/>
          <w:color w:val="000000"/>
        </w:rPr>
        <w:t xml:space="preserve"> cases</w:t>
      </w:r>
      <w:r w:rsidR="007C0E2C">
        <w:rPr>
          <w:rFonts w:asciiTheme="minorHAnsi" w:eastAsiaTheme="minorHAnsi" w:hAnsiTheme="minorHAnsi"/>
          <w:color w:val="000000"/>
        </w:rPr>
        <w:t xml:space="preserve"> were identified, </w:t>
      </w:r>
      <w:proofErr w:type="gramStart"/>
      <w:r w:rsidR="007C0E2C">
        <w:rPr>
          <w:rFonts w:asciiTheme="minorHAnsi" w:eastAsiaTheme="minorHAnsi" w:hAnsiTheme="minorHAnsi"/>
          <w:color w:val="000000"/>
        </w:rPr>
        <w:t>1</w:t>
      </w:r>
      <w:proofErr w:type="gramEnd"/>
      <w:r w:rsidR="007C0E2C">
        <w:rPr>
          <w:rFonts w:asciiTheme="minorHAnsi" w:eastAsiaTheme="minorHAnsi" w:hAnsiTheme="minorHAnsi"/>
          <w:color w:val="000000"/>
        </w:rPr>
        <w:t xml:space="preserve"> during the Phase I</w:t>
      </w:r>
      <w:r w:rsidR="00D51DCD">
        <w:rPr>
          <w:rFonts w:asciiTheme="minorHAnsi" w:eastAsiaTheme="minorHAnsi" w:hAnsiTheme="minorHAnsi"/>
          <w:color w:val="000000"/>
        </w:rPr>
        <w:t xml:space="preserve"> por</w:t>
      </w:r>
      <w:r w:rsidR="007C0E2C">
        <w:rPr>
          <w:rFonts w:asciiTheme="minorHAnsi" w:eastAsiaTheme="minorHAnsi" w:hAnsiTheme="minorHAnsi"/>
          <w:color w:val="000000"/>
        </w:rPr>
        <w:t xml:space="preserve">tion of the study and 1 during </w:t>
      </w:r>
      <w:r w:rsidR="00A335E5">
        <w:rPr>
          <w:rFonts w:asciiTheme="minorHAnsi" w:eastAsiaTheme="minorHAnsi" w:hAnsiTheme="minorHAnsi"/>
          <w:color w:val="000000"/>
        </w:rPr>
        <w:t xml:space="preserve">the </w:t>
      </w:r>
      <w:r w:rsidR="007C0E2C">
        <w:rPr>
          <w:rFonts w:asciiTheme="minorHAnsi" w:eastAsiaTheme="minorHAnsi" w:hAnsiTheme="minorHAnsi"/>
          <w:color w:val="000000"/>
        </w:rPr>
        <w:t>Phase II</w:t>
      </w:r>
      <w:r w:rsidR="00A335E5">
        <w:rPr>
          <w:rFonts w:asciiTheme="minorHAnsi" w:eastAsiaTheme="minorHAnsi" w:hAnsiTheme="minorHAnsi"/>
          <w:color w:val="000000"/>
        </w:rPr>
        <w:t xml:space="preserve"> portion</w:t>
      </w:r>
      <w:r w:rsidR="007C0E2C">
        <w:rPr>
          <w:rFonts w:asciiTheme="minorHAnsi" w:eastAsiaTheme="minorHAnsi" w:hAnsiTheme="minorHAnsi"/>
          <w:color w:val="000000"/>
        </w:rPr>
        <w:t xml:space="preserve">. </w:t>
      </w:r>
      <w:r w:rsidR="00D51DCD">
        <w:rPr>
          <w:rFonts w:asciiTheme="minorHAnsi" w:eastAsiaTheme="minorHAnsi" w:hAnsiTheme="minorHAnsi"/>
          <w:color w:val="000000"/>
        </w:rPr>
        <w:t>One case had disease progression in the peritoneum and pancreas as the likely cau</w:t>
      </w:r>
      <w:r w:rsidR="007C0E2C">
        <w:rPr>
          <w:rFonts w:asciiTheme="minorHAnsi" w:eastAsiaTheme="minorHAnsi" w:hAnsiTheme="minorHAnsi"/>
          <w:color w:val="000000"/>
        </w:rPr>
        <w:t xml:space="preserve">se of the liver abnormalities. </w:t>
      </w:r>
      <w:r w:rsidR="00D51DCD">
        <w:rPr>
          <w:rFonts w:asciiTheme="minorHAnsi" w:eastAsiaTheme="minorHAnsi" w:hAnsiTheme="minorHAnsi"/>
          <w:color w:val="000000"/>
        </w:rPr>
        <w:t xml:space="preserve">The other case was consistent with </w:t>
      </w:r>
      <w:r w:rsidR="007C0E2C">
        <w:rPr>
          <w:rFonts w:asciiTheme="minorHAnsi" w:eastAsiaTheme="minorHAnsi" w:hAnsiTheme="minorHAnsi"/>
          <w:color w:val="000000"/>
        </w:rPr>
        <w:t>d</w:t>
      </w:r>
      <w:r w:rsidR="007C0E2C" w:rsidRPr="007C0E2C">
        <w:rPr>
          <w:rFonts w:asciiTheme="minorHAnsi" w:eastAsiaTheme="minorHAnsi" w:hAnsiTheme="minorHAnsi"/>
          <w:color w:val="000000"/>
        </w:rPr>
        <w:t xml:space="preserve">rug-induced liver injury </w:t>
      </w:r>
      <w:r w:rsidR="007C0E2C">
        <w:rPr>
          <w:rFonts w:asciiTheme="minorHAnsi" w:eastAsiaTheme="minorHAnsi" w:hAnsiTheme="minorHAnsi"/>
          <w:color w:val="000000"/>
        </w:rPr>
        <w:t>(</w:t>
      </w:r>
      <w:r w:rsidR="00D51DCD">
        <w:rPr>
          <w:rFonts w:asciiTheme="minorHAnsi" w:eastAsiaTheme="minorHAnsi" w:hAnsiTheme="minorHAnsi"/>
          <w:color w:val="000000"/>
        </w:rPr>
        <w:t>DILI</w:t>
      </w:r>
      <w:r w:rsidR="007C0E2C">
        <w:rPr>
          <w:rFonts w:asciiTheme="minorHAnsi" w:eastAsiaTheme="minorHAnsi" w:hAnsiTheme="minorHAnsi"/>
          <w:color w:val="000000"/>
        </w:rPr>
        <w:t>)</w:t>
      </w:r>
      <w:r w:rsidR="00D51DCD">
        <w:rPr>
          <w:rFonts w:asciiTheme="minorHAnsi" w:eastAsiaTheme="minorHAnsi" w:hAnsiTheme="minorHAnsi"/>
          <w:color w:val="000000"/>
        </w:rPr>
        <w:t xml:space="preserve"> but there were other contributory factors so the degree of contribution from </w:t>
      </w:r>
      <w:proofErr w:type="spellStart"/>
      <w:r w:rsidR="00D51DCD">
        <w:rPr>
          <w:rFonts w:asciiTheme="minorHAnsi" w:eastAsiaTheme="minorHAnsi" w:hAnsiTheme="minorHAnsi"/>
          <w:color w:val="000000"/>
        </w:rPr>
        <w:t>lorlatinib</w:t>
      </w:r>
      <w:proofErr w:type="spellEnd"/>
      <w:r w:rsidR="00D51DCD">
        <w:rPr>
          <w:rFonts w:asciiTheme="minorHAnsi" w:eastAsiaTheme="minorHAnsi" w:hAnsiTheme="minorHAnsi"/>
          <w:color w:val="000000"/>
        </w:rPr>
        <w:t xml:space="preserve"> is uncertain. Lipase increase was reported in</w:t>
      </w:r>
      <w:r w:rsidR="007C0E2C">
        <w:rPr>
          <w:rFonts w:asciiTheme="minorHAnsi" w:eastAsiaTheme="minorHAnsi" w:hAnsiTheme="minorHAnsi"/>
          <w:color w:val="000000"/>
        </w:rPr>
        <w:t xml:space="preserve"> 40 (13.6%) patients and a</w:t>
      </w:r>
      <w:r w:rsidR="00D51DCD">
        <w:rPr>
          <w:rFonts w:asciiTheme="minorHAnsi" w:eastAsiaTheme="minorHAnsi" w:hAnsiTheme="minorHAnsi"/>
          <w:color w:val="000000"/>
        </w:rPr>
        <w:t>mylase increase was r</w:t>
      </w:r>
      <w:r w:rsidR="007C0E2C">
        <w:rPr>
          <w:rFonts w:asciiTheme="minorHAnsi" w:eastAsiaTheme="minorHAnsi" w:hAnsiTheme="minorHAnsi"/>
          <w:color w:val="000000"/>
        </w:rPr>
        <w:t xml:space="preserve">eported in 28 (9.5%) patients. </w:t>
      </w:r>
      <w:r w:rsidR="00D51DCD">
        <w:rPr>
          <w:rFonts w:asciiTheme="minorHAnsi" w:eastAsiaTheme="minorHAnsi" w:hAnsiTheme="minorHAnsi"/>
          <w:color w:val="000000"/>
        </w:rPr>
        <w:t>1 patient had an AE of pancreatitis, managed with a dose reduction and then temporary discontinuation.</w:t>
      </w:r>
    </w:p>
    <w:p w:rsidR="008E7846" w:rsidRDefault="00386150" w:rsidP="007B6132">
      <w:pPr>
        <w:pStyle w:val="Heading3"/>
        <w:rPr>
          <w:lang w:eastAsia="en-AU"/>
        </w:rPr>
      </w:pPr>
      <w:bookmarkStart w:id="54" w:name="_Toc33165813"/>
      <w:r>
        <w:rPr>
          <w:lang w:eastAsia="en-AU"/>
        </w:rPr>
        <w:t>Risk m</w:t>
      </w:r>
      <w:r w:rsidR="008E7846">
        <w:rPr>
          <w:lang w:eastAsia="en-AU"/>
        </w:rPr>
        <w:t xml:space="preserve">anagement </w:t>
      </w:r>
      <w:r>
        <w:rPr>
          <w:lang w:eastAsia="en-AU"/>
        </w:rPr>
        <w:t>p</w:t>
      </w:r>
      <w:r w:rsidR="008E7846">
        <w:rPr>
          <w:lang w:eastAsia="en-AU"/>
        </w:rPr>
        <w:t>lan</w:t>
      </w:r>
      <w:bookmarkEnd w:id="41"/>
      <w:bookmarkEnd w:id="54"/>
    </w:p>
    <w:p w:rsidR="00D51DCD" w:rsidRDefault="007C0E2C" w:rsidP="00D51DCD">
      <w:r>
        <w:t>The s</w:t>
      </w:r>
      <w:r w:rsidR="00D51DCD">
        <w:t xml:space="preserve">ponsor </w:t>
      </w:r>
      <w:r w:rsidR="00D51DCD" w:rsidRPr="00964360">
        <w:t xml:space="preserve">submitted </w:t>
      </w:r>
      <w:r>
        <w:t>European Union-</w:t>
      </w:r>
      <w:r w:rsidR="00A335E5">
        <w:t>risk management p</w:t>
      </w:r>
      <w:r>
        <w:t>lan (</w:t>
      </w:r>
      <w:r w:rsidR="00D51DCD" w:rsidRPr="00964360">
        <w:t>EU-RMP</w:t>
      </w:r>
      <w:r>
        <w:t>)</w:t>
      </w:r>
      <w:r w:rsidR="00D51DCD" w:rsidRPr="00964360">
        <w:t xml:space="preserve"> version 0.1 (11 December 2017; </w:t>
      </w:r>
      <w:r>
        <w:t>data lock point (</w:t>
      </w:r>
      <w:r w:rsidR="00D51DCD" w:rsidRPr="00964360">
        <w:t>DLP</w:t>
      </w:r>
      <w:r>
        <w:t>) 15 </w:t>
      </w:r>
      <w:r w:rsidR="00D51DCD" w:rsidRPr="00964360">
        <w:t xml:space="preserve">March 2017) and </w:t>
      </w:r>
      <w:r>
        <w:t>Australian Specific Annex (</w:t>
      </w:r>
      <w:r w:rsidR="00D51DCD" w:rsidRPr="00964360">
        <w:t>ASA</w:t>
      </w:r>
      <w:r>
        <w:t>)</w:t>
      </w:r>
      <w:r w:rsidR="00D51DCD" w:rsidRPr="00964360">
        <w:t xml:space="preserve"> version 0.1 (11 April 2018) in support of this application</w:t>
      </w:r>
      <w:r w:rsidR="000B2BAB">
        <w:t>.</w:t>
      </w:r>
      <w:r w:rsidR="00D51DCD">
        <w:t xml:space="preserve"> </w:t>
      </w:r>
      <w:r w:rsidR="000B2BAB">
        <w:t xml:space="preserve">The </w:t>
      </w:r>
      <w:r w:rsidR="00D51DCD" w:rsidRPr="00B65752">
        <w:t>EU-RMP version 1.0 (26 February 2019; DLP</w:t>
      </w:r>
      <w:r w:rsidR="00D51DCD">
        <w:t xml:space="preserve"> 2 February 2018) with the</w:t>
      </w:r>
      <w:r w:rsidR="00D51DCD" w:rsidRPr="006E4C0C">
        <w:t xml:space="preserve"> </w:t>
      </w:r>
      <w:r w:rsidR="00B21F0D">
        <w:t xml:space="preserve">response to TGA questions, then </w:t>
      </w:r>
      <w:r w:rsidR="00D51DCD">
        <w:t xml:space="preserve">ASA version 0.2 (26 August 2019) </w:t>
      </w:r>
      <w:r w:rsidR="000B2BAB">
        <w:t xml:space="preserve">were </w:t>
      </w:r>
      <w:r w:rsidR="00B21F0D">
        <w:t>subsequently submitted</w:t>
      </w:r>
      <w:r w:rsidR="00D51DCD">
        <w:t>.</w:t>
      </w:r>
    </w:p>
    <w:p w:rsidR="00D51DCD" w:rsidRDefault="00D51DCD" w:rsidP="00D51DCD">
      <w:r>
        <w:t>T</w:t>
      </w:r>
      <w:r w:rsidR="007C0E2C">
        <w:t>he s</w:t>
      </w:r>
      <w:r>
        <w:t>ponsor propose</w:t>
      </w:r>
      <w:r w:rsidR="00D74C97">
        <w:t>s to submit Study B7461006 in the fourth quarter of</w:t>
      </w:r>
      <w:r>
        <w:t xml:space="preserve"> 2021</w:t>
      </w:r>
      <w:r w:rsidR="007C0E2C">
        <w:t xml:space="preserve"> to support full registration. Study B7461006 is a Phase III</w:t>
      </w:r>
      <w:r>
        <w:t xml:space="preserve">, randomised, </w:t>
      </w:r>
      <w:proofErr w:type="gramStart"/>
      <w:r>
        <w:t>controlled,</w:t>
      </w:r>
      <w:proofErr w:type="gramEnd"/>
      <w:r>
        <w:t xml:space="preserve"> open-label study of </w:t>
      </w:r>
      <w:proofErr w:type="spellStart"/>
      <w:r>
        <w:t>lorlatinib</w:t>
      </w:r>
      <w:proofErr w:type="spellEnd"/>
      <w:r>
        <w:t xml:space="preserve"> versus </w:t>
      </w:r>
      <w:proofErr w:type="spellStart"/>
      <w:r>
        <w:t>crizotinib</w:t>
      </w:r>
      <w:proofErr w:type="spellEnd"/>
      <w:r>
        <w:t xml:space="preserve"> as first-line treatment in 280 patients with advanced ALK-positive </w:t>
      </w:r>
      <w:r w:rsidR="007C0E2C">
        <w:t xml:space="preserve">NSCLC. </w:t>
      </w:r>
      <w:r>
        <w:t xml:space="preserve">The primary endpoint is PFS based on </w:t>
      </w:r>
      <w:r w:rsidR="007C0E2C">
        <w:t>b</w:t>
      </w:r>
      <w:r w:rsidR="007C0E2C" w:rsidRPr="007C0E2C">
        <w:t xml:space="preserve">linded independent central review </w:t>
      </w:r>
      <w:r w:rsidR="007C0E2C">
        <w:t>(BICR) assessment (RECIST v1.1).</w:t>
      </w:r>
      <w:r w:rsidR="000B2BAB" w:rsidRPr="00BA7237">
        <w:rPr>
          <w:vertAlign w:val="superscript"/>
        </w:rPr>
        <w:fldChar w:fldCharType="begin"/>
      </w:r>
      <w:r w:rsidR="000B2BAB" w:rsidRPr="00BA7237">
        <w:rPr>
          <w:vertAlign w:val="superscript"/>
        </w:rPr>
        <w:instrText xml:space="preserve"> NOTEREF _Ref32965917 \h </w:instrText>
      </w:r>
      <w:r w:rsidR="000B2BAB">
        <w:rPr>
          <w:vertAlign w:val="superscript"/>
        </w:rPr>
        <w:instrText xml:space="preserve"> \* MERGEFORMAT </w:instrText>
      </w:r>
      <w:r w:rsidR="000B2BAB" w:rsidRPr="00BA7237">
        <w:rPr>
          <w:vertAlign w:val="superscript"/>
        </w:rPr>
      </w:r>
      <w:r w:rsidR="000B2BAB" w:rsidRPr="00BA7237">
        <w:rPr>
          <w:vertAlign w:val="superscript"/>
        </w:rPr>
        <w:fldChar w:fldCharType="separate"/>
      </w:r>
      <w:r w:rsidR="000B2BAB" w:rsidRPr="00BA7237">
        <w:rPr>
          <w:vertAlign w:val="superscript"/>
        </w:rPr>
        <w:t>2</w:t>
      </w:r>
      <w:r w:rsidR="000B2BAB" w:rsidRPr="00BA7237">
        <w:rPr>
          <w:vertAlign w:val="superscript"/>
        </w:rPr>
        <w:fldChar w:fldCharType="end"/>
      </w:r>
      <w:r w:rsidR="007C0E2C">
        <w:t xml:space="preserve"> </w:t>
      </w:r>
      <w:r>
        <w:t>The primary complet</w:t>
      </w:r>
      <w:r w:rsidR="007C0E2C">
        <w:t xml:space="preserve">ion date </w:t>
      </w:r>
      <w:proofErr w:type="gramStart"/>
      <w:r w:rsidR="007C0E2C">
        <w:t>is planned</w:t>
      </w:r>
      <w:proofErr w:type="gramEnd"/>
      <w:r w:rsidR="007C0E2C">
        <w:t xml:space="preserve"> by </w:t>
      </w:r>
      <w:r w:rsidR="000B2BAB">
        <w:t xml:space="preserve">the </w:t>
      </w:r>
      <w:r w:rsidR="00BA7237">
        <w:t>fourth</w:t>
      </w:r>
      <w:r w:rsidR="000B2BAB">
        <w:t xml:space="preserve"> quarter of </w:t>
      </w:r>
      <w:r w:rsidR="007C0E2C">
        <w:t>2020.</w:t>
      </w:r>
    </w:p>
    <w:p w:rsidR="00D51DCD" w:rsidRPr="006E4C0C" w:rsidRDefault="00D51DCD" w:rsidP="00D51DCD">
      <w:r>
        <w:t xml:space="preserve">There were </w:t>
      </w:r>
      <w:proofErr w:type="gramStart"/>
      <w:r>
        <w:t>4</w:t>
      </w:r>
      <w:proofErr w:type="gramEnd"/>
      <w:r>
        <w:t xml:space="preserve"> new recommendations in the </w:t>
      </w:r>
      <w:r w:rsidR="007C0E2C">
        <w:t>second round of</w:t>
      </w:r>
      <w:r>
        <w:t xml:space="preserve"> evaluation, relating to updating the ASA to align with recent changes to the EU-RMP and recommended changes to the </w:t>
      </w:r>
      <w:r w:rsidR="007C0E2C">
        <w:t>Consumer Medicines Information (</w:t>
      </w:r>
      <w:r>
        <w:t>CMI</w:t>
      </w:r>
      <w:r w:rsidR="007C0E2C">
        <w:t>)</w:t>
      </w:r>
      <w:r>
        <w:t>.</w:t>
      </w:r>
    </w:p>
    <w:p w:rsidR="00D51DCD" w:rsidRDefault="00B21F0D" w:rsidP="00D51DCD">
      <w:r w:rsidRPr="00B65752">
        <w:t xml:space="preserve">The proposed summary of safety concerns and their associated risk monitoring and mitigation strategies </w:t>
      </w:r>
      <w:proofErr w:type="gramStart"/>
      <w:r w:rsidRPr="00B65752">
        <w:t>are summarised</w:t>
      </w:r>
      <w:proofErr w:type="gramEnd"/>
      <w:r w:rsidRPr="00B65752">
        <w:t xml:space="preserve"> below</w:t>
      </w:r>
      <w:r>
        <w:t xml:space="preserve"> in </w:t>
      </w:r>
      <w:r w:rsidR="007C0E2C">
        <w:fldChar w:fldCharType="begin"/>
      </w:r>
      <w:r w:rsidR="007C0E2C">
        <w:instrText xml:space="preserve"> REF _Ref31283350 \h </w:instrText>
      </w:r>
      <w:r w:rsidR="007C0E2C">
        <w:fldChar w:fldCharType="separate"/>
      </w:r>
      <w:r w:rsidR="007C0E2C">
        <w:t xml:space="preserve">Table </w:t>
      </w:r>
      <w:r w:rsidR="007C0E2C">
        <w:rPr>
          <w:noProof/>
        </w:rPr>
        <w:t>12</w:t>
      </w:r>
      <w:r w:rsidR="007C0E2C">
        <w:fldChar w:fldCharType="end"/>
      </w:r>
      <w:r w:rsidR="007C0E2C">
        <w:t>.</w:t>
      </w:r>
      <w:r>
        <w:rPr>
          <w:rStyle w:val="FootnoteReference"/>
          <w:lang w:eastAsia="en-AU"/>
        </w:rPr>
        <w:footnoteReference w:id="7"/>
      </w:r>
    </w:p>
    <w:p w:rsidR="00D51DCD" w:rsidRDefault="00D51DCD" w:rsidP="007C0E2C">
      <w:pPr>
        <w:pStyle w:val="TableTitle"/>
      </w:pPr>
      <w:bookmarkStart w:id="55" w:name="_Ref31283350"/>
      <w:r>
        <w:lastRenderedPageBreak/>
        <w:t xml:space="preserve">Table </w:t>
      </w:r>
      <w:r w:rsidR="009339F6">
        <w:fldChar w:fldCharType="begin"/>
      </w:r>
      <w:r w:rsidR="009339F6">
        <w:instrText xml:space="preserve"> SEQ Table \* ARABIC </w:instrText>
      </w:r>
      <w:r w:rsidR="009339F6">
        <w:fldChar w:fldCharType="separate"/>
      </w:r>
      <w:r w:rsidR="00D74C97">
        <w:rPr>
          <w:noProof/>
        </w:rPr>
        <w:t>12</w:t>
      </w:r>
      <w:r w:rsidR="009339F6">
        <w:rPr>
          <w:noProof/>
        </w:rPr>
        <w:fldChar w:fldCharType="end"/>
      </w:r>
      <w:bookmarkEnd w:id="55"/>
      <w:r w:rsidR="007C0E2C">
        <w:t xml:space="preserve">: </w:t>
      </w:r>
      <w:r>
        <w:t xml:space="preserve">Summary of </w:t>
      </w:r>
      <w:r w:rsidR="007C0E2C">
        <w:t>safety concerns</w:t>
      </w:r>
    </w:p>
    <w:tbl>
      <w:tblPr>
        <w:tblStyle w:val="TableTGAblue"/>
        <w:tblW w:w="8696" w:type="dxa"/>
        <w:tblLayout w:type="fixed"/>
        <w:tblLook w:val="04A0" w:firstRow="1" w:lastRow="0" w:firstColumn="1" w:lastColumn="0" w:noHBand="0" w:noVBand="1"/>
      </w:tblPr>
      <w:tblGrid>
        <w:gridCol w:w="1384"/>
        <w:gridCol w:w="2977"/>
        <w:gridCol w:w="992"/>
        <w:gridCol w:w="1134"/>
        <w:gridCol w:w="992"/>
        <w:gridCol w:w="1217"/>
      </w:tblGrid>
      <w:tr w:rsidR="00D51DCD" w:rsidRPr="007C0E2C" w:rsidTr="002A1A01">
        <w:trPr>
          <w:cnfStyle w:val="100000000000" w:firstRow="1" w:lastRow="0" w:firstColumn="0" w:lastColumn="0" w:oddVBand="0" w:evenVBand="0" w:oddHBand="0" w:evenHBand="0" w:firstRowFirstColumn="0" w:firstRowLastColumn="0" w:lastRowFirstColumn="0" w:lastRowLastColumn="0"/>
          <w:trHeight w:val="131"/>
        </w:trPr>
        <w:tc>
          <w:tcPr>
            <w:tcW w:w="4361" w:type="dxa"/>
            <w:gridSpan w:val="2"/>
            <w:vMerge w:val="restart"/>
          </w:tcPr>
          <w:p w:rsidR="00D51DCD" w:rsidRPr="002A1A01" w:rsidRDefault="00D51DCD" w:rsidP="007C0E2C">
            <w:pPr>
              <w:ind w:left="0" w:right="0"/>
              <w:rPr>
                <w:sz w:val="20"/>
                <w:szCs w:val="20"/>
              </w:rPr>
            </w:pPr>
            <w:r w:rsidRPr="002A1A01">
              <w:rPr>
                <w:sz w:val="20"/>
                <w:szCs w:val="20"/>
              </w:rPr>
              <w:t>Summary of safety concerns</w:t>
            </w:r>
          </w:p>
        </w:tc>
        <w:tc>
          <w:tcPr>
            <w:tcW w:w="2126" w:type="dxa"/>
            <w:gridSpan w:val="2"/>
            <w:tcBorders>
              <w:bottom w:val="nil"/>
            </w:tcBorders>
          </w:tcPr>
          <w:p w:rsidR="00D51DCD" w:rsidRPr="002A1A01" w:rsidRDefault="00D51DCD" w:rsidP="007C0E2C">
            <w:pPr>
              <w:ind w:left="0" w:right="0"/>
              <w:rPr>
                <w:sz w:val="20"/>
                <w:szCs w:val="20"/>
              </w:rPr>
            </w:pPr>
            <w:r w:rsidRPr="002A1A01">
              <w:rPr>
                <w:sz w:val="20"/>
                <w:szCs w:val="20"/>
              </w:rPr>
              <w:t>Pharmacovigilance</w:t>
            </w:r>
          </w:p>
        </w:tc>
        <w:tc>
          <w:tcPr>
            <w:tcW w:w="2209" w:type="dxa"/>
            <w:gridSpan w:val="2"/>
            <w:tcBorders>
              <w:bottom w:val="nil"/>
            </w:tcBorders>
          </w:tcPr>
          <w:p w:rsidR="00D51DCD" w:rsidRPr="002A1A01" w:rsidRDefault="007C0E2C" w:rsidP="007C0E2C">
            <w:pPr>
              <w:ind w:left="0" w:right="0"/>
              <w:rPr>
                <w:sz w:val="20"/>
                <w:szCs w:val="20"/>
              </w:rPr>
            </w:pPr>
            <w:r w:rsidRPr="002A1A01">
              <w:rPr>
                <w:sz w:val="20"/>
                <w:szCs w:val="20"/>
              </w:rPr>
              <w:t>Risk m</w:t>
            </w:r>
            <w:r w:rsidR="00D51DCD" w:rsidRPr="002A1A01">
              <w:rPr>
                <w:sz w:val="20"/>
                <w:szCs w:val="20"/>
              </w:rPr>
              <w:t>inimisation</w:t>
            </w:r>
          </w:p>
        </w:tc>
      </w:tr>
      <w:tr w:rsidR="00D51DCD" w:rsidRPr="007C0E2C" w:rsidTr="002A1A01">
        <w:trPr>
          <w:trHeight w:val="150"/>
        </w:trPr>
        <w:tc>
          <w:tcPr>
            <w:tcW w:w="4361" w:type="dxa"/>
            <w:gridSpan w:val="2"/>
            <w:vMerge/>
            <w:tcBorders>
              <w:right w:val="nil"/>
            </w:tcBorders>
            <w:shd w:val="clear" w:color="auto" w:fill="006DA7"/>
          </w:tcPr>
          <w:p w:rsidR="00D51DCD" w:rsidRPr="002A1A01" w:rsidRDefault="00D51DCD" w:rsidP="007C0E2C">
            <w:pPr>
              <w:ind w:left="0" w:right="0"/>
              <w:rPr>
                <w:b/>
                <w:color w:val="FFFFFF" w:themeColor="background1"/>
                <w:sz w:val="20"/>
                <w:szCs w:val="20"/>
              </w:rPr>
            </w:pPr>
          </w:p>
        </w:tc>
        <w:tc>
          <w:tcPr>
            <w:tcW w:w="992" w:type="dxa"/>
            <w:tcBorders>
              <w:top w:val="nil"/>
              <w:left w:val="nil"/>
              <w:bottom w:val="single" w:sz="8" w:space="0" w:color="000000" w:themeColor="text1"/>
              <w:right w:val="nil"/>
            </w:tcBorders>
            <w:shd w:val="clear" w:color="auto" w:fill="006DA7"/>
          </w:tcPr>
          <w:p w:rsidR="00D51DCD" w:rsidRPr="002A1A01" w:rsidRDefault="00D51DCD" w:rsidP="007C0E2C">
            <w:pPr>
              <w:ind w:left="0" w:right="0"/>
              <w:rPr>
                <w:color w:val="FFFFFF" w:themeColor="background1"/>
                <w:sz w:val="20"/>
                <w:szCs w:val="20"/>
              </w:rPr>
            </w:pPr>
            <w:r w:rsidRPr="002A1A01">
              <w:rPr>
                <w:color w:val="FFFFFF" w:themeColor="background1"/>
                <w:sz w:val="20"/>
                <w:szCs w:val="20"/>
              </w:rPr>
              <w:t>Routine</w:t>
            </w:r>
          </w:p>
        </w:tc>
        <w:tc>
          <w:tcPr>
            <w:tcW w:w="1134" w:type="dxa"/>
            <w:tcBorders>
              <w:top w:val="nil"/>
              <w:left w:val="nil"/>
              <w:bottom w:val="single" w:sz="8" w:space="0" w:color="000000" w:themeColor="text1"/>
              <w:right w:val="nil"/>
            </w:tcBorders>
            <w:shd w:val="clear" w:color="auto" w:fill="006DA7"/>
          </w:tcPr>
          <w:p w:rsidR="00D51DCD" w:rsidRPr="002A1A01" w:rsidRDefault="00D51DCD" w:rsidP="007C0E2C">
            <w:pPr>
              <w:ind w:left="0" w:right="0"/>
              <w:rPr>
                <w:color w:val="FFFFFF" w:themeColor="background1"/>
                <w:sz w:val="20"/>
                <w:szCs w:val="20"/>
              </w:rPr>
            </w:pPr>
            <w:r w:rsidRPr="002A1A01">
              <w:rPr>
                <w:color w:val="FFFFFF" w:themeColor="background1"/>
                <w:sz w:val="20"/>
                <w:szCs w:val="20"/>
              </w:rPr>
              <w:t>Additional</w:t>
            </w:r>
          </w:p>
        </w:tc>
        <w:tc>
          <w:tcPr>
            <w:tcW w:w="992" w:type="dxa"/>
            <w:tcBorders>
              <w:top w:val="nil"/>
              <w:left w:val="nil"/>
              <w:bottom w:val="single" w:sz="8" w:space="0" w:color="000000" w:themeColor="text1"/>
              <w:right w:val="nil"/>
            </w:tcBorders>
            <w:shd w:val="clear" w:color="auto" w:fill="006DA7"/>
          </w:tcPr>
          <w:p w:rsidR="00D51DCD" w:rsidRPr="002A1A01" w:rsidRDefault="00D51DCD" w:rsidP="007C0E2C">
            <w:pPr>
              <w:ind w:left="0" w:right="0"/>
              <w:rPr>
                <w:color w:val="FFFFFF" w:themeColor="background1"/>
                <w:sz w:val="20"/>
                <w:szCs w:val="20"/>
              </w:rPr>
            </w:pPr>
            <w:r w:rsidRPr="002A1A01">
              <w:rPr>
                <w:color w:val="FFFFFF" w:themeColor="background1"/>
                <w:sz w:val="20"/>
                <w:szCs w:val="20"/>
              </w:rPr>
              <w:t>Routine</w:t>
            </w:r>
          </w:p>
        </w:tc>
        <w:tc>
          <w:tcPr>
            <w:tcW w:w="1217" w:type="dxa"/>
            <w:tcBorders>
              <w:top w:val="nil"/>
              <w:left w:val="nil"/>
              <w:bottom w:val="single" w:sz="8" w:space="0" w:color="000000" w:themeColor="text1"/>
              <w:right w:val="single" w:sz="8" w:space="0" w:color="000000" w:themeColor="text1"/>
            </w:tcBorders>
            <w:shd w:val="clear" w:color="auto" w:fill="006DA7"/>
          </w:tcPr>
          <w:p w:rsidR="00D51DCD" w:rsidRPr="002A1A01" w:rsidRDefault="00D51DCD" w:rsidP="007C0E2C">
            <w:pPr>
              <w:ind w:left="0" w:right="0"/>
              <w:rPr>
                <w:color w:val="FFFFFF" w:themeColor="background1"/>
                <w:sz w:val="20"/>
                <w:szCs w:val="20"/>
              </w:rPr>
            </w:pPr>
            <w:r w:rsidRPr="002A1A01">
              <w:rPr>
                <w:color w:val="FFFFFF" w:themeColor="background1"/>
                <w:sz w:val="20"/>
                <w:szCs w:val="20"/>
              </w:rPr>
              <w:t>Additional</w:t>
            </w:r>
          </w:p>
        </w:tc>
      </w:tr>
      <w:tr w:rsidR="00D51DCD" w:rsidRPr="007C0E2C" w:rsidTr="002A1A01">
        <w:trPr>
          <w:trHeight w:val="137"/>
        </w:trPr>
        <w:tc>
          <w:tcPr>
            <w:tcW w:w="1384" w:type="dxa"/>
            <w:vMerge w:val="restart"/>
          </w:tcPr>
          <w:p w:rsidR="00D51DCD" w:rsidRPr="007C0E2C" w:rsidRDefault="00D51DCD" w:rsidP="007C0E2C">
            <w:pPr>
              <w:ind w:left="0" w:right="0"/>
              <w:rPr>
                <w:b/>
                <w:sz w:val="20"/>
                <w:szCs w:val="20"/>
              </w:rPr>
            </w:pPr>
            <w:r w:rsidRPr="007C0E2C">
              <w:rPr>
                <w:b/>
                <w:sz w:val="20"/>
                <w:szCs w:val="20"/>
              </w:rPr>
              <w:t>Important identified risks</w:t>
            </w:r>
          </w:p>
        </w:tc>
        <w:tc>
          <w:tcPr>
            <w:tcW w:w="2977" w:type="dxa"/>
          </w:tcPr>
          <w:p w:rsidR="00D51DCD" w:rsidRPr="007C0E2C" w:rsidRDefault="00D51DCD" w:rsidP="007C0E2C">
            <w:pPr>
              <w:ind w:left="0" w:right="0"/>
              <w:rPr>
                <w:b/>
                <w:sz w:val="20"/>
                <w:szCs w:val="20"/>
              </w:rPr>
            </w:pPr>
            <w:r w:rsidRPr="00BA7237">
              <w:rPr>
                <w:sz w:val="20"/>
                <w:szCs w:val="20"/>
              </w:rPr>
              <w:t>CNS effects</w:t>
            </w:r>
            <w:r w:rsidRPr="007C0E2C">
              <w:rPr>
                <w:sz w:val="20"/>
                <w:szCs w:val="20"/>
              </w:rPr>
              <w:t>†</w:t>
            </w:r>
          </w:p>
        </w:tc>
        <w:tc>
          <w:tcPr>
            <w:tcW w:w="992" w:type="dxa"/>
            <w:tcBorders>
              <w:top w:val="single" w:sz="8" w:space="0" w:color="000000" w:themeColor="text1"/>
            </w:tcBorders>
          </w:tcPr>
          <w:p w:rsidR="00D51DCD" w:rsidRPr="007C0E2C" w:rsidRDefault="00D51DCD" w:rsidP="007C0E2C">
            <w:pPr>
              <w:ind w:left="0" w:right="0"/>
              <w:rPr>
                <w:sz w:val="20"/>
                <w:szCs w:val="20"/>
              </w:rPr>
            </w:pPr>
            <w:r w:rsidRPr="007C0E2C">
              <w:rPr>
                <w:sz w:val="20"/>
                <w:szCs w:val="20"/>
              </w:rPr>
              <w:sym w:font="Wingdings" w:char="F0FC"/>
            </w:r>
            <w:r w:rsidRPr="007C0E2C">
              <w:rPr>
                <w:sz w:val="20"/>
                <w:szCs w:val="20"/>
              </w:rPr>
              <w:t>*</w:t>
            </w:r>
          </w:p>
        </w:tc>
        <w:tc>
          <w:tcPr>
            <w:tcW w:w="1134" w:type="dxa"/>
            <w:tcBorders>
              <w:top w:val="single" w:sz="8" w:space="0" w:color="000000" w:themeColor="text1"/>
            </w:tcBorders>
          </w:tcPr>
          <w:p w:rsidR="00D51DCD" w:rsidRPr="007C0E2C" w:rsidRDefault="00D51DCD" w:rsidP="007C0E2C">
            <w:pPr>
              <w:ind w:left="0" w:right="0"/>
              <w:rPr>
                <w:sz w:val="20"/>
                <w:szCs w:val="20"/>
              </w:rPr>
            </w:pPr>
            <w:r w:rsidRPr="007C0E2C">
              <w:rPr>
                <w:sz w:val="20"/>
                <w:szCs w:val="20"/>
              </w:rPr>
              <w:t>–</w:t>
            </w:r>
          </w:p>
        </w:tc>
        <w:tc>
          <w:tcPr>
            <w:tcW w:w="992" w:type="dxa"/>
            <w:tcBorders>
              <w:top w:val="single" w:sz="8" w:space="0" w:color="000000" w:themeColor="text1"/>
            </w:tcBorders>
          </w:tcPr>
          <w:p w:rsidR="00D51DCD" w:rsidRPr="007C0E2C" w:rsidRDefault="00D51DCD" w:rsidP="007C0E2C">
            <w:pPr>
              <w:ind w:left="0" w:right="0"/>
              <w:rPr>
                <w:sz w:val="20"/>
                <w:szCs w:val="20"/>
              </w:rPr>
            </w:pPr>
            <w:r w:rsidRPr="007C0E2C">
              <w:rPr>
                <w:sz w:val="20"/>
                <w:szCs w:val="20"/>
              </w:rPr>
              <w:sym w:font="Wingdings" w:char="F0FC"/>
            </w:r>
          </w:p>
        </w:tc>
        <w:tc>
          <w:tcPr>
            <w:tcW w:w="1217" w:type="dxa"/>
            <w:tcBorders>
              <w:top w:val="single" w:sz="8" w:space="0" w:color="000000" w:themeColor="text1"/>
            </w:tcBorders>
          </w:tcPr>
          <w:p w:rsidR="00D51DCD" w:rsidRPr="007C0E2C" w:rsidRDefault="00D51DCD" w:rsidP="007C0E2C">
            <w:pPr>
              <w:ind w:left="0" w:right="0"/>
              <w:rPr>
                <w:sz w:val="20"/>
                <w:szCs w:val="20"/>
              </w:rPr>
            </w:pPr>
            <w:r w:rsidRPr="007C0E2C">
              <w:rPr>
                <w:sz w:val="20"/>
                <w:szCs w:val="20"/>
              </w:rPr>
              <w:t>–</w:t>
            </w:r>
          </w:p>
        </w:tc>
      </w:tr>
      <w:tr w:rsidR="00D51DCD" w:rsidRPr="007C0E2C" w:rsidTr="007C0E2C">
        <w:trPr>
          <w:trHeight w:val="137"/>
        </w:trPr>
        <w:tc>
          <w:tcPr>
            <w:tcW w:w="1384" w:type="dxa"/>
            <w:vMerge/>
          </w:tcPr>
          <w:p w:rsidR="00D51DCD" w:rsidRPr="007C0E2C" w:rsidRDefault="00D51DCD" w:rsidP="007C0E2C">
            <w:pPr>
              <w:ind w:left="0" w:right="0"/>
              <w:rPr>
                <w:b/>
                <w:sz w:val="20"/>
                <w:szCs w:val="20"/>
              </w:rPr>
            </w:pPr>
          </w:p>
        </w:tc>
        <w:tc>
          <w:tcPr>
            <w:tcW w:w="2977" w:type="dxa"/>
          </w:tcPr>
          <w:p w:rsidR="00D51DCD" w:rsidRPr="007C0E2C" w:rsidRDefault="00D51DCD" w:rsidP="007C0E2C">
            <w:pPr>
              <w:ind w:left="0" w:right="0"/>
              <w:rPr>
                <w:rFonts w:eastAsia="TimesNewRoman" w:cs="TimesNewRoman"/>
                <w:sz w:val="20"/>
                <w:szCs w:val="20"/>
              </w:rPr>
            </w:pPr>
            <w:r w:rsidRPr="007C0E2C">
              <w:rPr>
                <w:rFonts w:eastAsia="TimesNewRoman" w:cs="TimesNewRoman"/>
                <w:sz w:val="20"/>
                <w:szCs w:val="20"/>
              </w:rPr>
              <w:t>Interstitial lung disease/pneumonitis</w:t>
            </w:r>
            <w:r w:rsidRPr="007C0E2C">
              <w:rPr>
                <w:sz w:val="20"/>
                <w:szCs w:val="20"/>
              </w:rPr>
              <w:t>‡</w:t>
            </w:r>
          </w:p>
        </w:tc>
        <w:tc>
          <w:tcPr>
            <w:tcW w:w="992" w:type="dxa"/>
          </w:tcPr>
          <w:p w:rsidR="00D51DCD" w:rsidRPr="007C0E2C" w:rsidRDefault="00D51DCD" w:rsidP="007C0E2C">
            <w:pPr>
              <w:ind w:left="0" w:right="0"/>
              <w:rPr>
                <w:sz w:val="20"/>
                <w:szCs w:val="20"/>
              </w:rPr>
            </w:pPr>
            <w:r w:rsidRPr="007C0E2C">
              <w:rPr>
                <w:sz w:val="20"/>
                <w:szCs w:val="20"/>
              </w:rPr>
              <w:sym w:font="Wingdings" w:char="F0FC"/>
            </w:r>
          </w:p>
        </w:tc>
        <w:tc>
          <w:tcPr>
            <w:tcW w:w="1134" w:type="dxa"/>
          </w:tcPr>
          <w:p w:rsidR="00D51DCD" w:rsidRPr="007C0E2C" w:rsidRDefault="00D51DCD" w:rsidP="007C0E2C">
            <w:pPr>
              <w:ind w:left="0" w:right="0"/>
              <w:rPr>
                <w:sz w:val="20"/>
                <w:szCs w:val="20"/>
              </w:rPr>
            </w:pPr>
            <w:r w:rsidRPr="007C0E2C">
              <w:rPr>
                <w:sz w:val="20"/>
                <w:szCs w:val="20"/>
              </w:rPr>
              <w:t>–</w:t>
            </w:r>
          </w:p>
        </w:tc>
        <w:tc>
          <w:tcPr>
            <w:tcW w:w="992" w:type="dxa"/>
          </w:tcPr>
          <w:p w:rsidR="00D51DCD" w:rsidRPr="007C0E2C" w:rsidRDefault="00D51DCD" w:rsidP="007C0E2C">
            <w:pPr>
              <w:ind w:left="0" w:right="0"/>
              <w:rPr>
                <w:sz w:val="20"/>
                <w:szCs w:val="20"/>
              </w:rPr>
            </w:pPr>
          </w:p>
        </w:tc>
        <w:tc>
          <w:tcPr>
            <w:tcW w:w="1217" w:type="dxa"/>
          </w:tcPr>
          <w:p w:rsidR="00D51DCD" w:rsidRPr="007C0E2C" w:rsidRDefault="00D51DCD" w:rsidP="007C0E2C">
            <w:pPr>
              <w:ind w:left="0" w:right="0"/>
              <w:rPr>
                <w:sz w:val="20"/>
                <w:szCs w:val="20"/>
              </w:rPr>
            </w:pPr>
            <w:r w:rsidRPr="007C0E2C">
              <w:rPr>
                <w:sz w:val="20"/>
                <w:szCs w:val="20"/>
              </w:rPr>
              <w:t>–</w:t>
            </w:r>
          </w:p>
        </w:tc>
      </w:tr>
      <w:tr w:rsidR="00D51DCD" w:rsidRPr="007C0E2C" w:rsidTr="007C0E2C">
        <w:trPr>
          <w:trHeight w:val="159"/>
        </w:trPr>
        <w:tc>
          <w:tcPr>
            <w:tcW w:w="1384" w:type="dxa"/>
            <w:vMerge w:val="restart"/>
          </w:tcPr>
          <w:p w:rsidR="00D51DCD" w:rsidRPr="007C0E2C" w:rsidRDefault="00D51DCD" w:rsidP="007C0E2C">
            <w:pPr>
              <w:ind w:left="0" w:right="0"/>
              <w:rPr>
                <w:b/>
                <w:sz w:val="20"/>
                <w:szCs w:val="20"/>
              </w:rPr>
            </w:pPr>
            <w:r w:rsidRPr="007C0E2C">
              <w:rPr>
                <w:b/>
                <w:sz w:val="20"/>
                <w:szCs w:val="20"/>
              </w:rPr>
              <w:t>Important potential risks</w:t>
            </w:r>
          </w:p>
        </w:tc>
        <w:tc>
          <w:tcPr>
            <w:tcW w:w="2977" w:type="dxa"/>
          </w:tcPr>
          <w:p w:rsidR="00D51DCD" w:rsidRPr="007C0E2C" w:rsidRDefault="00D51DCD" w:rsidP="007C0E2C">
            <w:pPr>
              <w:ind w:left="0" w:right="0"/>
              <w:rPr>
                <w:rFonts w:eastAsia="TimesNewRoman" w:cs="TimesNewRoman"/>
                <w:sz w:val="20"/>
                <w:szCs w:val="20"/>
              </w:rPr>
            </w:pPr>
            <w:r w:rsidRPr="007C0E2C">
              <w:rPr>
                <w:rFonts w:eastAsia="TimesNewRoman" w:cs="TimesNewRoman"/>
                <w:sz w:val="20"/>
                <w:szCs w:val="20"/>
              </w:rPr>
              <w:t>Pancreatitis</w:t>
            </w:r>
          </w:p>
        </w:tc>
        <w:tc>
          <w:tcPr>
            <w:tcW w:w="992" w:type="dxa"/>
          </w:tcPr>
          <w:p w:rsidR="00D51DCD" w:rsidRPr="007C0E2C" w:rsidRDefault="00D51DCD" w:rsidP="007C0E2C">
            <w:pPr>
              <w:ind w:left="0" w:right="0"/>
              <w:rPr>
                <w:sz w:val="20"/>
                <w:szCs w:val="20"/>
              </w:rPr>
            </w:pPr>
            <w:r w:rsidRPr="007C0E2C">
              <w:rPr>
                <w:sz w:val="20"/>
                <w:szCs w:val="20"/>
              </w:rPr>
              <w:sym w:font="Wingdings" w:char="F0FC"/>
            </w:r>
          </w:p>
        </w:tc>
        <w:tc>
          <w:tcPr>
            <w:tcW w:w="1134" w:type="dxa"/>
          </w:tcPr>
          <w:p w:rsidR="00D51DCD" w:rsidRPr="007C0E2C" w:rsidRDefault="00D51DCD" w:rsidP="007C0E2C">
            <w:pPr>
              <w:ind w:left="0" w:right="0"/>
              <w:rPr>
                <w:sz w:val="20"/>
                <w:szCs w:val="20"/>
              </w:rPr>
            </w:pPr>
            <w:r w:rsidRPr="007C0E2C">
              <w:rPr>
                <w:sz w:val="20"/>
                <w:szCs w:val="20"/>
              </w:rPr>
              <w:t>–</w:t>
            </w:r>
          </w:p>
        </w:tc>
        <w:tc>
          <w:tcPr>
            <w:tcW w:w="992" w:type="dxa"/>
          </w:tcPr>
          <w:p w:rsidR="00D51DCD" w:rsidRPr="007C0E2C" w:rsidRDefault="00D51DCD" w:rsidP="007C0E2C">
            <w:pPr>
              <w:ind w:left="0" w:right="0"/>
              <w:rPr>
                <w:sz w:val="20"/>
                <w:szCs w:val="20"/>
              </w:rPr>
            </w:pPr>
            <w:r w:rsidRPr="007C0E2C">
              <w:rPr>
                <w:sz w:val="20"/>
                <w:szCs w:val="20"/>
              </w:rPr>
              <w:sym w:font="Wingdings" w:char="F0FC"/>
            </w:r>
          </w:p>
        </w:tc>
        <w:tc>
          <w:tcPr>
            <w:tcW w:w="1217" w:type="dxa"/>
          </w:tcPr>
          <w:p w:rsidR="00D51DCD" w:rsidRPr="007C0E2C" w:rsidRDefault="00D51DCD" w:rsidP="007C0E2C">
            <w:pPr>
              <w:ind w:left="0" w:right="0"/>
              <w:rPr>
                <w:sz w:val="20"/>
                <w:szCs w:val="20"/>
              </w:rPr>
            </w:pPr>
            <w:r w:rsidRPr="007C0E2C">
              <w:rPr>
                <w:sz w:val="20"/>
                <w:szCs w:val="20"/>
              </w:rPr>
              <w:t>–</w:t>
            </w:r>
          </w:p>
        </w:tc>
      </w:tr>
      <w:tr w:rsidR="00D51DCD" w:rsidRPr="007C0E2C" w:rsidTr="007C0E2C">
        <w:trPr>
          <w:trHeight w:val="122"/>
        </w:trPr>
        <w:tc>
          <w:tcPr>
            <w:tcW w:w="1384" w:type="dxa"/>
            <w:vMerge/>
          </w:tcPr>
          <w:p w:rsidR="00D51DCD" w:rsidRPr="007C0E2C" w:rsidRDefault="00D51DCD" w:rsidP="007C0E2C">
            <w:pPr>
              <w:ind w:left="0" w:right="0"/>
              <w:rPr>
                <w:b/>
                <w:sz w:val="20"/>
                <w:szCs w:val="20"/>
              </w:rPr>
            </w:pPr>
          </w:p>
        </w:tc>
        <w:tc>
          <w:tcPr>
            <w:tcW w:w="2977" w:type="dxa"/>
          </w:tcPr>
          <w:p w:rsidR="00D51DCD" w:rsidRPr="007C0E2C" w:rsidRDefault="00D51DCD" w:rsidP="007C0E2C">
            <w:pPr>
              <w:ind w:left="0" w:right="0"/>
              <w:rPr>
                <w:rFonts w:eastAsia="TimesNewRoman" w:cs="TimesNewRoman"/>
                <w:sz w:val="20"/>
                <w:szCs w:val="20"/>
              </w:rPr>
            </w:pPr>
            <w:r w:rsidRPr="007C0E2C">
              <w:rPr>
                <w:rFonts w:eastAsia="TimesNewRoman" w:cs="TimesNewRoman"/>
                <w:sz w:val="20"/>
                <w:szCs w:val="20"/>
              </w:rPr>
              <w:t>Atrioventricular block</w:t>
            </w:r>
          </w:p>
        </w:tc>
        <w:tc>
          <w:tcPr>
            <w:tcW w:w="992" w:type="dxa"/>
          </w:tcPr>
          <w:p w:rsidR="00D51DCD" w:rsidRPr="007C0E2C" w:rsidRDefault="00D51DCD" w:rsidP="007C0E2C">
            <w:pPr>
              <w:ind w:left="0" w:right="0"/>
              <w:rPr>
                <w:sz w:val="20"/>
                <w:szCs w:val="20"/>
              </w:rPr>
            </w:pPr>
            <w:r w:rsidRPr="007C0E2C">
              <w:rPr>
                <w:sz w:val="20"/>
                <w:szCs w:val="20"/>
              </w:rPr>
              <w:sym w:font="Wingdings" w:char="F0FC"/>
            </w:r>
          </w:p>
        </w:tc>
        <w:tc>
          <w:tcPr>
            <w:tcW w:w="1134" w:type="dxa"/>
          </w:tcPr>
          <w:p w:rsidR="00D51DCD" w:rsidRPr="007C0E2C" w:rsidRDefault="00D51DCD" w:rsidP="007C0E2C">
            <w:pPr>
              <w:ind w:left="0" w:right="0"/>
              <w:rPr>
                <w:sz w:val="20"/>
                <w:szCs w:val="20"/>
              </w:rPr>
            </w:pPr>
            <w:r w:rsidRPr="007C0E2C">
              <w:rPr>
                <w:sz w:val="20"/>
                <w:szCs w:val="20"/>
              </w:rPr>
              <w:t>–</w:t>
            </w:r>
          </w:p>
        </w:tc>
        <w:tc>
          <w:tcPr>
            <w:tcW w:w="992" w:type="dxa"/>
          </w:tcPr>
          <w:p w:rsidR="00D51DCD" w:rsidRPr="007C0E2C" w:rsidRDefault="00D51DCD" w:rsidP="007C0E2C">
            <w:pPr>
              <w:ind w:left="0" w:right="0"/>
              <w:rPr>
                <w:sz w:val="20"/>
                <w:szCs w:val="20"/>
              </w:rPr>
            </w:pPr>
            <w:r w:rsidRPr="007C0E2C">
              <w:rPr>
                <w:sz w:val="20"/>
                <w:szCs w:val="20"/>
              </w:rPr>
              <w:sym w:font="Wingdings" w:char="F0FC"/>
            </w:r>
          </w:p>
        </w:tc>
        <w:tc>
          <w:tcPr>
            <w:tcW w:w="1217" w:type="dxa"/>
          </w:tcPr>
          <w:p w:rsidR="00D51DCD" w:rsidRPr="007C0E2C" w:rsidRDefault="00D51DCD" w:rsidP="007C0E2C">
            <w:pPr>
              <w:ind w:left="0" w:right="0"/>
              <w:rPr>
                <w:sz w:val="20"/>
                <w:szCs w:val="20"/>
              </w:rPr>
            </w:pPr>
            <w:r w:rsidRPr="007C0E2C">
              <w:rPr>
                <w:sz w:val="20"/>
                <w:szCs w:val="20"/>
              </w:rPr>
              <w:t>–</w:t>
            </w:r>
          </w:p>
        </w:tc>
      </w:tr>
      <w:tr w:rsidR="00D51DCD" w:rsidRPr="007C0E2C" w:rsidTr="007C0E2C">
        <w:trPr>
          <w:trHeight w:val="122"/>
        </w:trPr>
        <w:tc>
          <w:tcPr>
            <w:tcW w:w="1384" w:type="dxa"/>
            <w:vMerge/>
          </w:tcPr>
          <w:p w:rsidR="00D51DCD" w:rsidRPr="007C0E2C" w:rsidRDefault="00D51DCD" w:rsidP="007C0E2C">
            <w:pPr>
              <w:ind w:left="0" w:right="0"/>
              <w:rPr>
                <w:b/>
                <w:sz w:val="20"/>
                <w:szCs w:val="20"/>
              </w:rPr>
            </w:pPr>
          </w:p>
        </w:tc>
        <w:tc>
          <w:tcPr>
            <w:tcW w:w="2977" w:type="dxa"/>
          </w:tcPr>
          <w:p w:rsidR="00D51DCD" w:rsidRPr="007C0E2C" w:rsidRDefault="00D51DCD" w:rsidP="007C0E2C">
            <w:pPr>
              <w:ind w:left="0" w:right="0"/>
              <w:rPr>
                <w:sz w:val="20"/>
                <w:szCs w:val="20"/>
              </w:rPr>
            </w:pPr>
            <w:r w:rsidRPr="007C0E2C">
              <w:rPr>
                <w:rFonts w:eastAsia="TimesNewRoman" w:cs="TimesNewRoman"/>
                <w:sz w:val="20"/>
                <w:szCs w:val="20"/>
              </w:rPr>
              <w:t>Embryo-foetal toxicity</w:t>
            </w:r>
          </w:p>
        </w:tc>
        <w:tc>
          <w:tcPr>
            <w:tcW w:w="992" w:type="dxa"/>
          </w:tcPr>
          <w:p w:rsidR="00D51DCD" w:rsidRPr="007C0E2C" w:rsidRDefault="00D51DCD" w:rsidP="007C0E2C">
            <w:pPr>
              <w:ind w:left="0" w:right="0"/>
              <w:rPr>
                <w:sz w:val="20"/>
                <w:szCs w:val="20"/>
              </w:rPr>
            </w:pPr>
            <w:r w:rsidRPr="007C0E2C">
              <w:rPr>
                <w:sz w:val="20"/>
                <w:szCs w:val="20"/>
              </w:rPr>
              <w:sym w:font="Wingdings" w:char="F0FC"/>
            </w:r>
          </w:p>
        </w:tc>
        <w:tc>
          <w:tcPr>
            <w:tcW w:w="1134" w:type="dxa"/>
          </w:tcPr>
          <w:p w:rsidR="00D51DCD" w:rsidRPr="007C0E2C" w:rsidRDefault="00D51DCD" w:rsidP="007C0E2C">
            <w:pPr>
              <w:ind w:left="0" w:right="0"/>
              <w:rPr>
                <w:sz w:val="20"/>
                <w:szCs w:val="20"/>
              </w:rPr>
            </w:pPr>
            <w:r w:rsidRPr="007C0E2C">
              <w:rPr>
                <w:sz w:val="20"/>
                <w:szCs w:val="20"/>
              </w:rPr>
              <w:t>–</w:t>
            </w:r>
          </w:p>
        </w:tc>
        <w:tc>
          <w:tcPr>
            <w:tcW w:w="992" w:type="dxa"/>
          </w:tcPr>
          <w:p w:rsidR="00D51DCD" w:rsidRPr="007C0E2C" w:rsidRDefault="00D51DCD" w:rsidP="007C0E2C">
            <w:pPr>
              <w:ind w:left="0" w:right="0"/>
              <w:rPr>
                <w:sz w:val="20"/>
                <w:szCs w:val="20"/>
              </w:rPr>
            </w:pPr>
            <w:r w:rsidRPr="007C0E2C">
              <w:rPr>
                <w:sz w:val="20"/>
                <w:szCs w:val="20"/>
              </w:rPr>
              <w:sym w:font="Wingdings" w:char="F0FC"/>
            </w:r>
          </w:p>
        </w:tc>
        <w:tc>
          <w:tcPr>
            <w:tcW w:w="1217" w:type="dxa"/>
          </w:tcPr>
          <w:p w:rsidR="00D51DCD" w:rsidRPr="007C0E2C" w:rsidRDefault="00D51DCD" w:rsidP="007C0E2C">
            <w:pPr>
              <w:ind w:left="0" w:right="0"/>
              <w:rPr>
                <w:sz w:val="20"/>
                <w:szCs w:val="20"/>
              </w:rPr>
            </w:pPr>
            <w:r w:rsidRPr="007C0E2C">
              <w:rPr>
                <w:sz w:val="20"/>
                <w:szCs w:val="20"/>
              </w:rPr>
              <w:t>–</w:t>
            </w:r>
          </w:p>
        </w:tc>
      </w:tr>
      <w:tr w:rsidR="00D51DCD" w:rsidRPr="007C0E2C" w:rsidTr="007C0E2C">
        <w:trPr>
          <w:trHeight w:val="178"/>
        </w:trPr>
        <w:tc>
          <w:tcPr>
            <w:tcW w:w="1384" w:type="dxa"/>
            <w:vMerge w:val="restart"/>
          </w:tcPr>
          <w:p w:rsidR="00D51DCD" w:rsidRPr="007C0E2C" w:rsidRDefault="00D51DCD" w:rsidP="007C0E2C">
            <w:pPr>
              <w:ind w:left="0" w:right="0"/>
              <w:rPr>
                <w:b/>
                <w:sz w:val="20"/>
                <w:szCs w:val="20"/>
              </w:rPr>
            </w:pPr>
            <w:r w:rsidRPr="007C0E2C">
              <w:rPr>
                <w:b/>
                <w:sz w:val="20"/>
                <w:szCs w:val="20"/>
              </w:rPr>
              <w:t>Missing information</w:t>
            </w:r>
          </w:p>
        </w:tc>
        <w:tc>
          <w:tcPr>
            <w:tcW w:w="2977" w:type="dxa"/>
          </w:tcPr>
          <w:p w:rsidR="00D51DCD" w:rsidRPr="007C0E2C" w:rsidRDefault="00D51DCD" w:rsidP="007C0E2C">
            <w:pPr>
              <w:ind w:left="0" w:right="0"/>
              <w:rPr>
                <w:rFonts w:eastAsia="TimesNewRoman" w:cs="TimesNewRoman"/>
                <w:sz w:val="20"/>
                <w:szCs w:val="20"/>
              </w:rPr>
            </w:pPr>
            <w:r w:rsidRPr="007C0E2C">
              <w:rPr>
                <w:rFonts w:eastAsia="TimesNewRoman" w:cs="TimesNewRoman"/>
                <w:sz w:val="20"/>
                <w:szCs w:val="20"/>
              </w:rPr>
              <w:t>Patients with moderate or severe hepatic impairment</w:t>
            </w:r>
          </w:p>
        </w:tc>
        <w:tc>
          <w:tcPr>
            <w:tcW w:w="992" w:type="dxa"/>
          </w:tcPr>
          <w:p w:rsidR="00D51DCD" w:rsidRPr="007C0E2C" w:rsidRDefault="00D51DCD" w:rsidP="007C0E2C">
            <w:pPr>
              <w:ind w:left="0" w:right="0"/>
              <w:rPr>
                <w:sz w:val="20"/>
                <w:szCs w:val="20"/>
              </w:rPr>
            </w:pPr>
            <w:r w:rsidRPr="007C0E2C">
              <w:rPr>
                <w:sz w:val="20"/>
                <w:szCs w:val="20"/>
              </w:rPr>
              <w:sym w:font="Wingdings" w:char="F0FC"/>
            </w:r>
          </w:p>
        </w:tc>
        <w:tc>
          <w:tcPr>
            <w:tcW w:w="1134" w:type="dxa"/>
          </w:tcPr>
          <w:p w:rsidR="00D51DCD" w:rsidRPr="007C0E2C" w:rsidRDefault="00D51DCD" w:rsidP="007C0E2C">
            <w:pPr>
              <w:ind w:left="0" w:right="0"/>
              <w:rPr>
                <w:sz w:val="20"/>
                <w:szCs w:val="20"/>
              </w:rPr>
            </w:pPr>
            <w:r w:rsidRPr="007C0E2C">
              <w:rPr>
                <w:sz w:val="20"/>
                <w:szCs w:val="20"/>
              </w:rPr>
              <w:t>–</w:t>
            </w:r>
          </w:p>
        </w:tc>
        <w:tc>
          <w:tcPr>
            <w:tcW w:w="992" w:type="dxa"/>
          </w:tcPr>
          <w:p w:rsidR="00D51DCD" w:rsidRPr="007C0E2C" w:rsidRDefault="00D51DCD" w:rsidP="007C0E2C">
            <w:pPr>
              <w:ind w:left="0" w:right="0"/>
              <w:rPr>
                <w:sz w:val="20"/>
                <w:szCs w:val="20"/>
              </w:rPr>
            </w:pPr>
            <w:r w:rsidRPr="007C0E2C">
              <w:rPr>
                <w:sz w:val="20"/>
                <w:szCs w:val="20"/>
              </w:rPr>
              <w:sym w:font="Wingdings" w:char="F0FC"/>
            </w:r>
          </w:p>
        </w:tc>
        <w:tc>
          <w:tcPr>
            <w:tcW w:w="1217" w:type="dxa"/>
          </w:tcPr>
          <w:p w:rsidR="00D51DCD" w:rsidRPr="007C0E2C" w:rsidRDefault="00D51DCD" w:rsidP="007C0E2C">
            <w:pPr>
              <w:ind w:left="0" w:right="0"/>
              <w:rPr>
                <w:sz w:val="20"/>
                <w:szCs w:val="20"/>
              </w:rPr>
            </w:pPr>
            <w:r w:rsidRPr="007C0E2C">
              <w:rPr>
                <w:sz w:val="20"/>
                <w:szCs w:val="20"/>
              </w:rPr>
              <w:t>–</w:t>
            </w:r>
          </w:p>
        </w:tc>
      </w:tr>
      <w:tr w:rsidR="00D51DCD" w:rsidRPr="007C0E2C" w:rsidTr="007C0E2C">
        <w:trPr>
          <w:trHeight w:val="103"/>
        </w:trPr>
        <w:tc>
          <w:tcPr>
            <w:tcW w:w="1384" w:type="dxa"/>
            <w:vMerge/>
          </w:tcPr>
          <w:p w:rsidR="00D51DCD" w:rsidRPr="007C0E2C" w:rsidRDefault="00D51DCD" w:rsidP="007C0E2C">
            <w:pPr>
              <w:ind w:left="0" w:right="0"/>
              <w:rPr>
                <w:sz w:val="20"/>
                <w:szCs w:val="20"/>
              </w:rPr>
            </w:pPr>
          </w:p>
        </w:tc>
        <w:tc>
          <w:tcPr>
            <w:tcW w:w="2977" w:type="dxa"/>
          </w:tcPr>
          <w:p w:rsidR="00D51DCD" w:rsidRPr="007C0E2C" w:rsidRDefault="00D51DCD" w:rsidP="007C0E2C">
            <w:pPr>
              <w:ind w:left="0" w:right="0"/>
              <w:rPr>
                <w:sz w:val="20"/>
                <w:szCs w:val="20"/>
              </w:rPr>
            </w:pPr>
            <w:r w:rsidRPr="007C0E2C">
              <w:rPr>
                <w:rFonts w:eastAsia="TimesNewRoman" w:cs="TimesNewRoman"/>
                <w:sz w:val="20"/>
                <w:szCs w:val="20"/>
              </w:rPr>
              <w:t>Patients with severe renal impairment</w:t>
            </w:r>
          </w:p>
        </w:tc>
        <w:tc>
          <w:tcPr>
            <w:tcW w:w="992" w:type="dxa"/>
          </w:tcPr>
          <w:p w:rsidR="00D51DCD" w:rsidRPr="007C0E2C" w:rsidRDefault="00D51DCD" w:rsidP="007C0E2C">
            <w:pPr>
              <w:ind w:left="0" w:right="0"/>
              <w:rPr>
                <w:sz w:val="20"/>
                <w:szCs w:val="20"/>
              </w:rPr>
            </w:pPr>
            <w:r w:rsidRPr="007C0E2C">
              <w:rPr>
                <w:sz w:val="20"/>
                <w:szCs w:val="20"/>
              </w:rPr>
              <w:sym w:font="Wingdings" w:char="F0FC"/>
            </w:r>
          </w:p>
        </w:tc>
        <w:tc>
          <w:tcPr>
            <w:tcW w:w="1134" w:type="dxa"/>
          </w:tcPr>
          <w:p w:rsidR="00D51DCD" w:rsidRPr="007C0E2C" w:rsidRDefault="00D51DCD" w:rsidP="007C0E2C">
            <w:pPr>
              <w:ind w:left="0" w:right="0"/>
              <w:rPr>
                <w:sz w:val="20"/>
                <w:szCs w:val="20"/>
              </w:rPr>
            </w:pPr>
            <w:r w:rsidRPr="007C0E2C">
              <w:rPr>
                <w:sz w:val="20"/>
                <w:szCs w:val="20"/>
              </w:rPr>
              <w:t>–</w:t>
            </w:r>
          </w:p>
        </w:tc>
        <w:tc>
          <w:tcPr>
            <w:tcW w:w="992" w:type="dxa"/>
          </w:tcPr>
          <w:p w:rsidR="00D51DCD" w:rsidRPr="007C0E2C" w:rsidRDefault="00D51DCD" w:rsidP="007C0E2C">
            <w:pPr>
              <w:ind w:left="0" w:right="0"/>
              <w:rPr>
                <w:sz w:val="20"/>
                <w:szCs w:val="20"/>
              </w:rPr>
            </w:pPr>
            <w:r w:rsidRPr="007C0E2C">
              <w:rPr>
                <w:sz w:val="20"/>
                <w:szCs w:val="20"/>
              </w:rPr>
              <w:sym w:font="Wingdings" w:char="F0FC"/>
            </w:r>
          </w:p>
        </w:tc>
        <w:tc>
          <w:tcPr>
            <w:tcW w:w="1217" w:type="dxa"/>
          </w:tcPr>
          <w:p w:rsidR="00D51DCD" w:rsidRPr="007C0E2C" w:rsidRDefault="00D51DCD" w:rsidP="007C0E2C">
            <w:pPr>
              <w:ind w:left="0" w:right="0"/>
              <w:rPr>
                <w:sz w:val="20"/>
                <w:szCs w:val="20"/>
              </w:rPr>
            </w:pPr>
            <w:r w:rsidRPr="007C0E2C">
              <w:rPr>
                <w:sz w:val="20"/>
                <w:szCs w:val="20"/>
              </w:rPr>
              <w:t>–</w:t>
            </w:r>
          </w:p>
        </w:tc>
      </w:tr>
    </w:tbl>
    <w:p w:rsidR="00D51DCD" w:rsidRPr="006E4C0C" w:rsidRDefault="00D51DCD" w:rsidP="007C0E2C">
      <w:pPr>
        <w:pStyle w:val="TableDescription"/>
      </w:pPr>
      <w:r w:rsidRPr="006E4C0C">
        <w:t>† Included in the EU-RMP but not in the ASA – inclusion</w:t>
      </w:r>
      <w:r w:rsidR="007C0E2C">
        <w:t xml:space="preserve"> in the ASA </w:t>
      </w:r>
      <w:proofErr w:type="gramStart"/>
      <w:r w:rsidR="007C0E2C">
        <w:t>has been requested</w:t>
      </w:r>
      <w:proofErr w:type="gramEnd"/>
      <w:r w:rsidR="007C0E2C">
        <w:t xml:space="preserve">. </w:t>
      </w:r>
      <w:r w:rsidRPr="006E4C0C">
        <w:t>‡ Categorised as an important identified risk in the EU-RMP but as an important</w:t>
      </w:r>
      <w:r w:rsidR="007C0E2C">
        <w:t xml:space="preserve"> potential risk in the ASA – re</w:t>
      </w:r>
      <w:r w:rsidR="007C0E2C">
        <w:noBreakHyphen/>
      </w:r>
      <w:r w:rsidRPr="006E4C0C">
        <w:t>categorisation</w:t>
      </w:r>
      <w:r w:rsidR="007C0E2C">
        <w:t xml:space="preserve"> in the ASA </w:t>
      </w:r>
      <w:proofErr w:type="gramStart"/>
      <w:r w:rsidR="007C0E2C">
        <w:t>has been requested</w:t>
      </w:r>
      <w:proofErr w:type="gramEnd"/>
      <w:r w:rsidR="007C0E2C">
        <w:t xml:space="preserve">. </w:t>
      </w:r>
      <w:r w:rsidRPr="006E4C0C">
        <w:t>* Specific adverse drug reaction follow-up questionnaire</w:t>
      </w:r>
    </w:p>
    <w:p w:rsidR="00D51DCD" w:rsidRPr="00F5203F" w:rsidRDefault="00D51DCD" w:rsidP="00D51DCD">
      <w:pPr>
        <w:pStyle w:val="Heading4"/>
        <w:spacing w:before="240"/>
      </w:pPr>
      <w:r w:rsidRPr="00F5203F">
        <w:t>Recommended conditions of registration</w:t>
      </w:r>
    </w:p>
    <w:p w:rsidR="00D51DCD" w:rsidRPr="00F5203F" w:rsidRDefault="00D51DCD" w:rsidP="00DF1B20">
      <w:pPr>
        <w:pStyle w:val="ListBullet"/>
      </w:pPr>
      <w:r w:rsidRPr="00F5203F">
        <w:t xml:space="preserve">The </w:t>
      </w:r>
      <w:proofErr w:type="spellStart"/>
      <w:r w:rsidR="007C0E2C" w:rsidRPr="00F5203F">
        <w:t>Lorviqua</w:t>
      </w:r>
      <w:proofErr w:type="spellEnd"/>
      <w:r w:rsidRPr="00F5203F">
        <w:t xml:space="preserve"> EU-Risk Management Plan (RMP) (version 1.0, dated 26 February 2019, data lock point 2 February 2018), with Australian Specific Annex (version 0.1, dated 11 April 2018), included with submission PM-2018-04291-1-4, to be revised to the satisfaction of the TGA, will be implemented in Australia.</w:t>
      </w:r>
    </w:p>
    <w:p w:rsidR="008B4546" w:rsidRDefault="00D51DCD" w:rsidP="008B4546">
      <w:pPr>
        <w:pStyle w:val="ListBullet"/>
        <w:numPr>
          <w:ilvl w:val="0"/>
          <w:numId w:val="0"/>
        </w:numPr>
        <w:ind w:left="360"/>
      </w:pPr>
      <w:r w:rsidRPr="00F5203F">
        <w:t xml:space="preserve">Reports are to </w:t>
      </w:r>
      <w:proofErr w:type="gramStart"/>
      <w:r w:rsidRPr="00F5203F">
        <w:t>be provided</w:t>
      </w:r>
      <w:proofErr w:type="gramEnd"/>
      <w:r w:rsidRPr="00F5203F">
        <w:t xml:space="preserve"> in line with the current published list of EU reference dates and frequency of submission of PSURs until the period covered by such reports is not less than three years from the date of </w:t>
      </w:r>
      <w:r w:rsidR="008B4546">
        <w:t>this approval letter.</w:t>
      </w:r>
    </w:p>
    <w:p w:rsidR="00D51DCD" w:rsidRPr="00F5203F" w:rsidRDefault="00D51DCD" w:rsidP="008B4546">
      <w:pPr>
        <w:pStyle w:val="ListBullet"/>
        <w:numPr>
          <w:ilvl w:val="0"/>
          <w:numId w:val="0"/>
        </w:numPr>
        <w:ind w:left="360"/>
      </w:pPr>
      <w:r w:rsidRPr="00F5203F">
        <w:t xml:space="preserve">The reports are </w:t>
      </w:r>
      <w:proofErr w:type="gramStart"/>
      <w:r w:rsidRPr="00F5203F">
        <w:t>to at least meet</w:t>
      </w:r>
      <w:proofErr w:type="gramEnd"/>
      <w:r w:rsidRPr="00F5203F">
        <w:t xml:space="preserve"> the requirements for PSURs as described in the European M</w:t>
      </w:r>
      <w:r w:rsidR="008B4546">
        <w:t>edicines Agency’s Guideline on Good Pharmacovigilance P</w:t>
      </w:r>
      <w:r w:rsidRPr="00F5203F">
        <w:t>ractices (GVP) Module VII-periodic safety update report (Rev 1), Part VII.B Structures and processes. Note that submission of a PSUR does not constitute an applic</w:t>
      </w:r>
      <w:r w:rsidR="00EE3F3C">
        <w:t>ation to vary the registration.</w:t>
      </w:r>
    </w:p>
    <w:p w:rsidR="00D51DCD" w:rsidRPr="00F5203F" w:rsidRDefault="008B4546" w:rsidP="008B4546">
      <w:pPr>
        <w:pStyle w:val="ListBullet"/>
      </w:pPr>
      <w:proofErr w:type="spellStart"/>
      <w:r w:rsidRPr="00F5203F">
        <w:t>Lorviqua</w:t>
      </w:r>
      <w:proofErr w:type="spellEnd"/>
      <w:r w:rsidR="00D51DCD" w:rsidRPr="00F5203F">
        <w:t xml:space="preserve"> (</w:t>
      </w:r>
      <w:proofErr w:type="spellStart"/>
      <w:r w:rsidR="00D51DCD" w:rsidRPr="00F5203F">
        <w:t>lorlatinib</w:t>
      </w:r>
      <w:proofErr w:type="spellEnd"/>
      <w:r w:rsidR="00D51DCD" w:rsidRPr="00F5203F">
        <w:t xml:space="preserve">) is to be included in the Black Triangle Scheme. The PI and CMI for </w:t>
      </w:r>
      <w:proofErr w:type="spellStart"/>
      <w:r w:rsidRPr="00F5203F">
        <w:t>Lorviqua</w:t>
      </w:r>
      <w:proofErr w:type="spellEnd"/>
      <w:r w:rsidR="00D51DCD" w:rsidRPr="00F5203F">
        <w:t xml:space="preserve"> must include the black triangle symbol and mandatory accompanying text for the products entire peri</w:t>
      </w:r>
      <w:r w:rsidR="00EE3F3C">
        <w:t>od of provisional registration.</w:t>
      </w:r>
    </w:p>
    <w:p w:rsidR="00EE3F3C" w:rsidRDefault="00D51DCD" w:rsidP="00DF1B20">
      <w:pPr>
        <w:pStyle w:val="ListBullet"/>
      </w:pPr>
      <w:r w:rsidRPr="00F5203F">
        <w:t>Confirmatory trial data (as identified in the sponsor’s plan to submit comprehensive clinical data on the safety and efficacy of the medicine before the end of the 6 years that would start on the day that registration wo</w:t>
      </w:r>
      <w:r w:rsidR="00EE3F3C">
        <w:t xml:space="preserve">uld commence) </w:t>
      </w:r>
      <w:proofErr w:type="gramStart"/>
      <w:r w:rsidR="00EE3F3C">
        <w:t>must be provided</w:t>
      </w:r>
      <w:proofErr w:type="gramEnd"/>
      <w:r w:rsidR="00EE3F3C">
        <w:t>.</w:t>
      </w:r>
    </w:p>
    <w:p w:rsidR="00D51DCD" w:rsidRPr="00F5203F" w:rsidRDefault="00D51DCD" w:rsidP="00EE3F3C">
      <w:pPr>
        <w:pStyle w:val="ListBullet"/>
        <w:numPr>
          <w:ilvl w:val="0"/>
          <w:numId w:val="0"/>
        </w:numPr>
        <w:ind w:left="360"/>
      </w:pPr>
      <w:r w:rsidRPr="00F5203F">
        <w:lastRenderedPageBreak/>
        <w:t>Specifically the sponsor must conduct studies as described in the clinical study plan submitted with version 0.1 (date 11 April 2018) of the Australia-Specific Annex. The following study report</w:t>
      </w:r>
      <w:r w:rsidR="00EE3F3C">
        <w:t xml:space="preserve">(s) </w:t>
      </w:r>
      <w:proofErr w:type="gramStart"/>
      <w:r w:rsidR="00EE3F3C">
        <w:t>should be submitted</w:t>
      </w:r>
      <w:proofErr w:type="gramEnd"/>
      <w:r w:rsidR="00EE3F3C">
        <w:t xml:space="preserve"> to TGA.</w:t>
      </w:r>
    </w:p>
    <w:p w:rsidR="00D51DCD" w:rsidRDefault="000B2BAB" w:rsidP="00DF1B20">
      <w:pPr>
        <w:pStyle w:val="ListBullet2"/>
      </w:pPr>
      <w:r>
        <w:t xml:space="preserve">Study </w:t>
      </w:r>
      <w:r w:rsidR="008B4546">
        <w:t>B7461006; A Phase III</w:t>
      </w:r>
      <w:r w:rsidR="00D51DCD" w:rsidRPr="00F5203F">
        <w:t xml:space="preserve">, randomised, open-label study of </w:t>
      </w:r>
      <w:proofErr w:type="spellStart"/>
      <w:r w:rsidR="00D51DCD" w:rsidRPr="00F5203F">
        <w:t>lorlatinib</w:t>
      </w:r>
      <w:proofErr w:type="spellEnd"/>
      <w:r w:rsidR="00D51DCD" w:rsidRPr="00F5203F">
        <w:t xml:space="preserve"> (PF-06463922) monotherapy versus </w:t>
      </w:r>
      <w:proofErr w:type="spellStart"/>
      <w:r w:rsidR="00D51DCD" w:rsidRPr="00F5203F">
        <w:t>crizotinib</w:t>
      </w:r>
      <w:proofErr w:type="spellEnd"/>
      <w:r w:rsidR="00D51DCD" w:rsidRPr="00F5203F">
        <w:t xml:space="preserve"> monotherapy in the first-line treatment of patients with advanced ALK-positive non-small cell lung cancer; by</w:t>
      </w:r>
      <w:r w:rsidR="00D51DCD">
        <w:t xml:space="preserve"> </w:t>
      </w:r>
      <w:r>
        <w:t>the fourth quarter of</w:t>
      </w:r>
      <w:r w:rsidRPr="00F5203F">
        <w:t xml:space="preserve"> </w:t>
      </w:r>
      <w:r w:rsidR="00D51DCD" w:rsidRPr="00F5203F">
        <w:t>2021</w:t>
      </w:r>
      <w:r w:rsidR="00D51DCD">
        <w:t>.</w:t>
      </w:r>
    </w:p>
    <w:p w:rsidR="008E7846" w:rsidRPr="00B21F0D" w:rsidRDefault="00D51DCD" w:rsidP="00DF1B20">
      <w:r w:rsidRPr="009D4F1F">
        <w:t xml:space="preserve">Further </w:t>
      </w:r>
      <w:r w:rsidRPr="008B4546">
        <w:rPr>
          <w:rFonts w:asciiTheme="minorHAnsi" w:hAnsiTheme="minorHAnsi"/>
        </w:rPr>
        <w:t>guidance</w:t>
      </w:r>
      <w:r w:rsidRPr="009D4F1F">
        <w:t xml:space="preserve"> for sponsors i</w:t>
      </w:r>
      <w:r w:rsidR="00B21F0D">
        <w:t>s available on the TGA website.</w:t>
      </w:r>
    </w:p>
    <w:p w:rsidR="008E7846" w:rsidRDefault="00AA0ED0" w:rsidP="00DF1B20">
      <w:pPr>
        <w:pStyle w:val="Heading3"/>
      </w:pPr>
      <w:bookmarkStart w:id="56" w:name="_Toc247691531"/>
      <w:bookmarkStart w:id="57" w:name="_Toc314842515"/>
      <w:bookmarkStart w:id="58" w:name="_Toc33165814"/>
      <w:bookmarkStart w:id="59" w:name="_Toc196046505"/>
      <w:bookmarkStart w:id="60" w:name="_Toc196046949"/>
      <w:r>
        <w:t>Risk-benefit a</w:t>
      </w:r>
      <w:r w:rsidR="008E7846">
        <w:t>nalysis</w:t>
      </w:r>
      <w:bookmarkEnd w:id="56"/>
      <w:bookmarkEnd w:id="57"/>
      <w:bookmarkEnd w:id="58"/>
    </w:p>
    <w:p w:rsidR="00D23139" w:rsidRDefault="00D23139" w:rsidP="00D23139">
      <w:pPr>
        <w:pStyle w:val="Heading4"/>
      </w:pPr>
      <w:r w:rsidRPr="00D23139">
        <w:t>Deleg</w:t>
      </w:r>
      <w:r w:rsidR="00D51DCD">
        <w:t>ate’s considerations</w:t>
      </w:r>
    </w:p>
    <w:p w:rsidR="00D51DCD" w:rsidRDefault="00D51DCD" w:rsidP="008D0771">
      <w:pPr>
        <w:pStyle w:val="Heading5"/>
      </w:pPr>
      <w:r>
        <w:t>Efficacy</w:t>
      </w:r>
    </w:p>
    <w:p w:rsidR="00D51DCD" w:rsidRPr="00624321" w:rsidRDefault="00D51DCD" w:rsidP="00DF1B20">
      <w:r>
        <w:t>E</w:t>
      </w:r>
      <w:r w:rsidRPr="00624321">
        <w:t xml:space="preserve">fficacy </w:t>
      </w:r>
      <w:r>
        <w:t xml:space="preserve">for the proposed provisional indication </w:t>
      </w:r>
      <w:proofErr w:type="gramStart"/>
      <w:r>
        <w:t>is based</w:t>
      </w:r>
      <w:proofErr w:type="gramEnd"/>
      <w:r>
        <w:t xml:space="preserve"> on </w:t>
      </w:r>
      <w:r w:rsidR="008B4546">
        <w:t>the single-arm Phase I/II</w:t>
      </w:r>
      <w:r w:rsidRPr="00624321">
        <w:t xml:space="preserve"> </w:t>
      </w:r>
      <w:r>
        <w:t>S</w:t>
      </w:r>
      <w:r w:rsidRPr="00624321">
        <w:t>tudy B7461001.</w:t>
      </w:r>
      <w:r w:rsidR="008B4546">
        <w:t xml:space="preserve"> </w:t>
      </w:r>
      <w:r>
        <w:t>The primary endpoin</w:t>
      </w:r>
      <w:r w:rsidR="008B4546">
        <w:t xml:space="preserve">t was ORR and IC-ORR (by ICR). </w:t>
      </w:r>
      <w:r>
        <w:t xml:space="preserve">Efficacy was assessed across multiple cohorts based on prior treatment, including prior </w:t>
      </w:r>
      <w:proofErr w:type="spellStart"/>
      <w:r>
        <w:t>crizotinib</w:t>
      </w:r>
      <w:proofErr w:type="spellEnd"/>
      <w:r>
        <w:t xml:space="preserve">, prior second generation ALK TKI, 2 prior </w:t>
      </w:r>
      <w:r w:rsidR="008B4546">
        <w:t xml:space="preserve">ALK TKIs and 3 prior ALK TKIs. </w:t>
      </w:r>
      <w:r>
        <w:t>No comparative efficacy data ar</w:t>
      </w:r>
      <w:r w:rsidR="008B4546">
        <w:t>e available but a confirmatory Phase III</w:t>
      </w:r>
      <w:r>
        <w:t xml:space="preserve"> study is in progress.</w:t>
      </w:r>
    </w:p>
    <w:p w:rsidR="00D51DCD" w:rsidRDefault="00D51DCD" w:rsidP="00D51DCD">
      <w:r>
        <w:t xml:space="preserve">In the </w:t>
      </w:r>
      <w:r w:rsidR="008B4546">
        <w:t>‘</w:t>
      </w:r>
      <w:r w:rsidRPr="008B4546">
        <w:t>100 mg QD pooled group</w:t>
      </w:r>
      <w:r w:rsidR="008B4546">
        <w:t>’</w:t>
      </w:r>
      <w:r>
        <w:t>, ORR</w:t>
      </w:r>
      <w:r w:rsidR="008B4546">
        <w:t xml:space="preserve"> was 48% (4% CR, 44% PR) and IC-</w:t>
      </w:r>
      <w:r>
        <w:t>ORR in patients with measurable IC dis</w:t>
      </w:r>
      <w:r w:rsidR="008B4546">
        <w:t xml:space="preserve">ease was 60% (21% CR, 38% PR). </w:t>
      </w:r>
      <w:r>
        <w:t>Median DOR was 12.5 months (95% CI: 8.4, 23.7) and median IC DOR was 19.5 months (12.4, NE).</w:t>
      </w:r>
    </w:p>
    <w:p w:rsidR="00D51DCD" w:rsidRPr="008B4546" w:rsidRDefault="008B4546" w:rsidP="00D51DCD">
      <w:r w:rsidRPr="008B4546">
        <w:t>In the Phase II</w:t>
      </w:r>
      <w:r w:rsidR="00D51DCD" w:rsidRPr="008B4546">
        <w:t xml:space="preserve"> portion of </w:t>
      </w:r>
      <w:r w:rsidRPr="008B4546">
        <w:t xml:space="preserve">Study </w:t>
      </w:r>
      <w:r w:rsidR="00D51DCD" w:rsidRPr="008B4546">
        <w:t>B7461001, ORR was 47.2% in patients who had received at least one ALK TKI (EXP-2:</w:t>
      </w:r>
      <w:r w:rsidR="000B2BAB">
        <w:t xml:space="preserve"> </w:t>
      </w:r>
      <w:r w:rsidR="00D51DCD" w:rsidRPr="008B4546">
        <w:t>EXP-5), 33.3% in patients who had received one second-generation ALK TKI (EXP-3B) and 38.7% in patients who had received 2 o</w:t>
      </w:r>
      <w:r w:rsidRPr="008B4546">
        <w:t>r more ALK TKIs (EXP-4:</w:t>
      </w:r>
      <w:r w:rsidR="000B2BAB">
        <w:t xml:space="preserve"> </w:t>
      </w:r>
      <w:r w:rsidRPr="008B4546">
        <w:t xml:space="preserve">EXP-5). </w:t>
      </w:r>
      <w:r w:rsidR="00D51DCD" w:rsidRPr="008B4546">
        <w:t>IC-ORR was 53.0% in patients who had received at least one ALK TKI (EXP-2:</w:t>
      </w:r>
      <w:r w:rsidR="000B2BAB">
        <w:t xml:space="preserve"> </w:t>
      </w:r>
      <w:r w:rsidR="00D51DCD" w:rsidRPr="008B4546">
        <w:t>EXP-5), 41.7% in patients who had received one second-generation ALK TKI (EXP</w:t>
      </w:r>
      <w:r w:rsidR="000B2BAB">
        <w:noBreakHyphen/>
      </w:r>
      <w:r w:rsidR="00D51DCD" w:rsidRPr="008B4546">
        <w:t xml:space="preserve">3B) and 48.2% in patients who had received </w:t>
      </w:r>
      <w:proofErr w:type="gramStart"/>
      <w:r w:rsidR="00D51DCD" w:rsidRPr="008B4546">
        <w:t>2</w:t>
      </w:r>
      <w:proofErr w:type="gramEnd"/>
      <w:r w:rsidR="00D51DCD" w:rsidRPr="008B4546">
        <w:t xml:space="preserve"> or more ALK TKIs (EXP-4:</w:t>
      </w:r>
      <w:r w:rsidR="000B2BAB">
        <w:t xml:space="preserve"> </w:t>
      </w:r>
      <w:r w:rsidR="00D51DCD" w:rsidRPr="008B4546">
        <w:t>EXP-5).</w:t>
      </w:r>
    </w:p>
    <w:p w:rsidR="00D51DCD" w:rsidRDefault="00D51DCD" w:rsidP="00D51DCD">
      <w:r>
        <w:t xml:space="preserve">Study B7461001 provides promising preliminary evidence of the efficacy of </w:t>
      </w:r>
      <w:proofErr w:type="spellStart"/>
      <w:r>
        <w:t>lorlatinib</w:t>
      </w:r>
      <w:proofErr w:type="spellEnd"/>
      <w:r>
        <w:t xml:space="preserve"> in metastatic ALK-positive NSCLC, particularly for patients with</w:t>
      </w:r>
      <w:r w:rsidRPr="00D8348F">
        <w:t xml:space="preserve"> </w:t>
      </w:r>
      <w:r>
        <w:t>intracranial metastases, a population with substantial unmet need for improved treatments.</w:t>
      </w:r>
    </w:p>
    <w:p w:rsidR="00D51DCD" w:rsidRDefault="00D51DCD" w:rsidP="008D0771">
      <w:pPr>
        <w:pStyle w:val="Heading5"/>
      </w:pPr>
      <w:r w:rsidRPr="005529C3">
        <w:t>Proposed indication</w:t>
      </w:r>
    </w:p>
    <w:p w:rsidR="00D51DCD" w:rsidRPr="008B4546" w:rsidRDefault="00D51DCD" w:rsidP="00DF1B20">
      <w:r w:rsidRPr="008B4546">
        <w:t xml:space="preserve">This application for provisional registration </w:t>
      </w:r>
      <w:proofErr w:type="gramStart"/>
      <w:r w:rsidRPr="008B4546">
        <w:t>is based</w:t>
      </w:r>
      <w:proofErr w:type="gramEnd"/>
      <w:r w:rsidRPr="008B4546">
        <w:t xml:space="preserve"> on tumour response rates and duration of response in a single arm study</w:t>
      </w:r>
      <w:r w:rsidR="008B4546" w:rsidRPr="008B4546">
        <w:t xml:space="preserve">. </w:t>
      </w:r>
      <w:proofErr w:type="spellStart"/>
      <w:r w:rsidRPr="008B4546">
        <w:t>Alectinib</w:t>
      </w:r>
      <w:proofErr w:type="spellEnd"/>
      <w:r w:rsidRPr="008B4546">
        <w:t xml:space="preserve">, </w:t>
      </w:r>
      <w:proofErr w:type="spellStart"/>
      <w:r w:rsidRPr="008B4546">
        <w:t>ceritinib</w:t>
      </w:r>
      <w:proofErr w:type="spellEnd"/>
      <w:r w:rsidRPr="008B4546">
        <w:t xml:space="preserve"> and </w:t>
      </w:r>
      <w:proofErr w:type="spellStart"/>
      <w:r w:rsidRPr="008B4546">
        <w:t>crizotinib</w:t>
      </w:r>
      <w:proofErr w:type="spellEnd"/>
      <w:r w:rsidRPr="008B4546">
        <w:t xml:space="preserve"> are currently registered in Australia for the treatment of advan</w:t>
      </w:r>
      <w:r w:rsidR="008B4546" w:rsidRPr="008B4546">
        <w:t xml:space="preserve">ced ALK+ NSCLC </w:t>
      </w:r>
      <w:proofErr w:type="gramStart"/>
      <w:r w:rsidR="008B4546" w:rsidRPr="008B4546">
        <w:t>on the basis of</w:t>
      </w:r>
      <w:proofErr w:type="gramEnd"/>
      <w:r w:rsidR="008B4546" w:rsidRPr="008B4546">
        <w:t xml:space="preserve"> Phase III data. </w:t>
      </w:r>
      <w:r w:rsidRPr="008B4546">
        <w:t xml:space="preserve">Given the lack of comparative efficacy data for </w:t>
      </w:r>
      <w:proofErr w:type="spellStart"/>
      <w:r w:rsidRPr="008B4546">
        <w:t>lorlatinib</w:t>
      </w:r>
      <w:proofErr w:type="spellEnd"/>
      <w:r w:rsidRPr="008B4546">
        <w:t xml:space="preserve"> and the consequent uncertainty regarding the relative efficacy and safety of </w:t>
      </w:r>
      <w:proofErr w:type="spellStart"/>
      <w:r w:rsidRPr="008B4546">
        <w:t>lorlatinib</w:t>
      </w:r>
      <w:proofErr w:type="spellEnd"/>
      <w:r w:rsidRPr="008B4546">
        <w:t xml:space="preserve">, provisional registration </w:t>
      </w:r>
      <w:proofErr w:type="gramStart"/>
      <w:r w:rsidRPr="008B4546">
        <w:t>should be considered</w:t>
      </w:r>
      <w:proofErr w:type="gramEnd"/>
      <w:r w:rsidRPr="008B4546">
        <w:t xml:space="preserve"> only for scenarios where current treatments have failed and there is substantial unmet need.</w:t>
      </w:r>
      <w:r w:rsidR="008B4546" w:rsidRPr="008B4546">
        <w:t xml:space="preserve"> </w:t>
      </w:r>
      <w:r w:rsidRPr="008B4546">
        <w:t xml:space="preserve">On the available data, it would be reasonable to consider </w:t>
      </w:r>
      <w:proofErr w:type="spellStart"/>
      <w:r w:rsidRPr="008B4546">
        <w:t>lorlatinib</w:t>
      </w:r>
      <w:proofErr w:type="spellEnd"/>
      <w:r w:rsidRPr="008B4546">
        <w:t xml:space="preserve"> following progression on </w:t>
      </w:r>
      <w:proofErr w:type="spellStart"/>
      <w:r w:rsidRPr="008B4546">
        <w:t>alectinib</w:t>
      </w:r>
      <w:proofErr w:type="spellEnd"/>
      <w:r w:rsidRPr="008B4546">
        <w:t xml:space="preserve"> or </w:t>
      </w:r>
      <w:proofErr w:type="spellStart"/>
      <w:r w:rsidRPr="008B4546">
        <w:t>ceritinib</w:t>
      </w:r>
      <w:proofErr w:type="spellEnd"/>
      <w:r w:rsidR="008B4546" w:rsidRPr="008B4546">
        <w:t xml:space="preserve">. </w:t>
      </w:r>
      <w:r w:rsidRPr="008B4546">
        <w:t>G</w:t>
      </w:r>
      <w:r w:rsidR="008B4546" w:rsidRPr="008B4546">
        <w:t>iven that there are Phase III</w:t>
      </w:r>
      <w:r w:rsidRPr="008B4546">
        <w:t xml:space="preserve"> data demonstrating superiority of </w:t>
      </w:r>
      <w:proofErr w:type="spellStart"/>
      <w:r w:rsidRPr="008B4546">
        <w:t>alectinib</w:t>
      </w:r>
      <w:proofErr w:type="spellEnd"/>
      <w:r w:rsidRPr="008B4546">
        <w:t xml:space="preserve"> over </w:t>
      </w:r>
      <w:proofErr w:type="spellStart"/>
      <w:r w:rsidRPr="008B4546">
        <w:t>crizotinib</w:t>
      </w:r>
      <w:proofErr w:type="spellEnd"/>
      <w:r w:rsidRPr="008B4546">
        <w:t xml:space="preserve">, the provisional indication should specify that patients who receive </w:t>
      </w:r>
      <w:proofErr w:type="spellStart"/>
      <w:r w:rsidRPr="008B4546">
        <w:t>crizotinib</w:t>
      </w:r>
      <w:proofErr w:type="spellEnd"/>
      <w:r w:rsidRPr="008B4546">
        <w:t xml:space="preserve"> as first-line treatment should be treated with another ALK TKI before being considered </w:t>
      </w:r>
      <w:r w:rsidR="008B4546" w:rsidRPr="008B4546">
        <w:t xml:space="preserve">for treatment with </w:t>
      </w:r>
      <w:proofErr w:type="spellStart"/>
      <w:r w:rsidR="008B4546" w:rsidRPr="008B4546">
        <w:t>lorlatinib</w:t>
      </w:r>
      <w:proofErr w:type="spellEnd"/>
      <w:r w:rsidR="008B4546" w:rsidRPr="008B4546">
        <w:t xml:space="preserve">. </w:t>
      </w:r>
      <w:r w:rsidRPr="008B4546">
        <w:t xml:space="preserve">The proposed provisional indication </w:t>
      </w:r>
      <w:proofErr w:type="gramStart"/>
      <w:r w:rsidRPr="008B4546">
        <w:t>should be amended</w:t>
      </w:r>
      <w:proofErr w:type="gramEnd"/>
      <w:r w:rsidRPr="008B4546">
        <w:t xml:space="preserve"> accordingly</w:t>
      </w:r>
      <w:r w:rsidR="008B4546" w:rsidRPr="008B4546">
        <w:t>.</w:t>
      </w:r>
    </w:p>
    <w:p w:rsidR="00D51DCD" w:rsidRPr="00B26280" w:rsidRDefault="00D51DCD" w:rsidP="00D51DCD">
      <w:r w:rsidRPr="00B26280">
        <w:t>The proposed provisional indication specifies advanced NSCLC, whereas Study B7461001 enrolled patients only with meta</w:t>
      </w:r>
      <w:r w:rsidR="008B4546">
        <w:t>static NSCLC. The confirmatory Phase III</w:t>
      </w:r>
      <w:r w:rsidRPr="00B26280">
        <w:t xml:space="preserve"> study is enrolling patients with locally</w:t>
      </w:r>
      <w:r w:rsidR="008B4546">
        <w:t xml:space="preserve"> advanced or metastatic NSCLC. The Delegate’s</w:t>
      </w:r>
      <w:r>
        <w:t xml:space="preserve"> original position was that, g</w:t>
      </w:r>
      <w:r w:rsidRPr="00B26280">
        <w:t xml:space="preserve">iven the limitations </w:t>
      </w:r>
      <w:r>
        <w:t>of</w:t>
      </w:r>
      <w:r w:rsidRPr="00B26280">
        <w:t xml:space="preserve"> the preliminary data presented in this submission, it would be preferable for the provisional indication </w:t>
      </w:r>
      <w:r>
        <w:t xml:space="preserve">to </w:t>
      </w:r>
      <w:r w:rsidRPr="00B26280">
        <w:t>be r</w:t>
      </w:r>
      <w:r w:rsidR="008B4546">
        <w:t xml:space="preserve">estricted to </w:t>
      </w:r>
      <w:r w:rsidR="008B4546">
        <w:lastRenderedPageBreak/>
        <w:t xml:space="preserve">metastatic NSCLC. </w:t>
      </w:r>
      <w:r w:rsidRPr="00B26280">
        <w:t>Th</w:t>
      </w:r>
      <w:r>
        <w:t>e inclusion of patients with locally advanced NSCLC</w:t>
      </w:r>
      <w:r w:rsidRPr="00B26280">
        <w:t xml:space="preserve"> </w:t>
      </w:r>
      <w:proofErr w:type="gramStart"/>
      <w:r>
        <w:t>could then be considered</w:t>
      </w:r>
      <w:proofErr w:type="gramEnd"/>
      <w:r w:rsidRPr="00B26280">
        <w:t xml:space="preserve"> </w:t>
      </w:r>
      <w:r>
        <w:t>during</w:t>
      </w:r>
      <w:r w:rsidRPr="00B26280">
        <w:t xml:space="preserve"> the </w:t>
      </w:r>
      <w:r w:rsidR="008B4546">
        <w:t>evaluation of the confirmatory Phase III</w:t>
      </w:r>
      <w:r w:rsidRPr="00B26280">
        <w:t xml:space="preserve"> data if the sponsor decides to pursue full registration.</w:t>
      </w:r>
      <w:r w:rsidR="008B4546">
        <w:t xml:space="preserve"> The Delegate </w:t>
      </w:r>
      <w:r>
        <w:t>reconsidere</w:t>
      </w:r>
      <w:r w:rsidR="008B4546">
        <w:t>d their</w:t>
      </w:r>
      <w:r>
        <w:t xml:space="preserve"> position on this issue after receiving independent clinical expert advice (see </w:t>
      </w:r>
      <w:r w:rsidR="008B4546">
        <w:t>‘Independent clinical expert advice’, below</w:t>
      </w:r>
      <w:r>
        <w:t xml:space="preserve">) and </w:t>
      </w:r>
      <w:r w:rsidR="008B4546">
        <w:t>they are</w:t>
      </w:r>
      <w:r>
        <w:t xml:space="preserve"> now inclined to accept the sponsor’s proposal for the provisional indication to apply in the setting of ALK-positive advanced N</w:t>
      </w:r>
      <w:r w:rsidR="008B4546">
        <w:t>SCLC.</w:t>
      </w:r>
    </w:p>
    <w:p w:rsidR="00D51DCD" w:rsidRDefault="00D51DCD" w:rsidP="008D0771">
      <w:pPr>
        <w:pStyle w:val="Heading5"/>
      </w:pPr>
      <w:r>
        <w:t>Safety</w:t>
      </w:r>
    </w:p>
    <w:p w:rsidR="00D51DCD" w:rsidRDefault="00D51DCD" w:rsidP="008B4546">
      <w:r w:rsidRPr="00F23FCE">
        <w:t xml:space="preserve">The safety database comprises 332 patients, 295 of </w:t>
      </w:r>
      <w:r>
        <w:t>whom</w:t>
      </w:r>
      <w:r w:rsidRPr="00F23FCE">
        <w:t xml:space="preserve"> received the proposed dose for </w:t>
      </w:r>
      <w:r>
        <w:t>registration</w:t>
      </w:r>
      <w:r w:rsidRPr="00F23FCE">
        <w:t xml:space="preserve"> (100</w:t>
      </w:r>
      <w:r w:rsidR="008B4546">
        <w:t xml:space="preserve"> mg QD). </w:t>
      </w:r>
      <w:r>
        <w:t>Median duration of</w:t>
      </w:r>
      <w:r w:rsidR="008B4546">
        <w:t xml:space="preserve"> treatment in the Phase II study was 12.5 months. </w:t>
      </w:r>
      <w:r>
        <w:t xml:space="preserve">These data are sufficient to characterise the safety profile of </w:t>
      </w:r>
      <w:proofErr w:type="spellStart"/>
      <w:r>
        <w:t>lorlatinib</w:t>
      </w:r>
      <w:proofErr w:type="spellEnd"/>
      <w:r>
        <w:t xml:space="preserve"> for the purpos</w:t>
      </w:r>
      <w:r w:rsidR="008B4546">
        <w:t xml:space="preserve">e of provisional registration. </w:t>
      </w:r>
      <w:r>
        <w:t xml:space="preserve">Comparative safety data </w:t>
      </w:r>
      <w:proofErr w:type="gramStart"/>
      <w:r>
        <w:t>will b</w:t>
      </w:r>
      <w:r w:rsidR="008B4546">
        <w:t>e provided</w:t>
      </w:r>
      <w:proofErr w:type="gramEnd"/>
      <w:r w:rsidR="008B4546">
        <w:t xml:space="preserve"> in the confirmatory Phase III</w:t>
      </w:r>
      <w:r>
        <w:t xml:space="preserve"> study.</w:t>
      </w:r>
    </w:p>
    <w:p w:rsidR="00D51DCD" w:rsidRDefault="00D51DCD" w:rsidP="008B4546">
      <w:pPr>
        <w:rPr>
          <w:rFonts w:cs="TimesNewRoman"/>
        </w:rPr>
      </w:pPr>
      <w:r w:rsidRPr="00F23FCE">
        <w:t xml:space="preserve">Nearly all patients experienced at least </w:t>
      </w:r>
      <w:proofErr w:type="gramStart"/>
      <w:r w:rsidRPr="00F23FCE">
        <w:t>1</w:t>
      </w:r>
      <w:proofErr w:type="gramEnd"/>
      <w:r w:rsidRPr="00F23FCE">
        <w:t xml:space="preserve"> AE.</w:t>
      </w:r>
      <w:r w:rsidR="008B4546">
        <w:t xml:space="preserve"> </w:t>
      </w:r>
      <w:r w:rsidRPr="0095012F">
        <w:t xml:space="preserve">The most common </w:t>
      </w:r>
      <w:r>
        <w:t>AEs</w:t>
      </w:r>
      <w:r w:rsidRPr="0095012F">
        <w:t xml:space="preserve"> were </w:t>
      </w:r>
      <w:proofErr w:type="spellStart"/>
      <w:r w:rsidRPr="0095012F">
        <w:t>hypercholester</w:t>
      </w:r>
      <w:r>
        <w:t>ola</w:t>
      </w:r>
      <w:r w:rsidRPr="0095012F">
        <w:t>emia</w:t>
      </w:r>
      <w:proofErr w:type="spellEnd"/>
      <w:r>
        <w:t xml:space="preserve">, </w:t>
      </w:r>
      <w:proofErr w:type="spellStart"/>
      <w:r w:rsidRPr="0095012F">
        <w:t>hypertriglycerid</w:t>
      </w:r>
      <w:r>
        <w:t>a</w:t>
      </w:r>
      <w:r w:rsidRPr="0095012F">
        <w:t>emia</w:t>
      </w:r>
      <w:proofErr w:type="spellEnd"/>
      <w:r w:rsidRPr="0095012F">
        <w:t>, oedema, peripheral neuropathy, cognitive effects,</w:t>
      </w:r>
      <w:r>
        <w:t xml:space="preserve"> dyspnoea, </w:t>
      </w:r>
      <w:r w:rsidRPr="0095012F">
        <w:t>fatigue</w:t>
      </w:r>
      <w:r>
        <w:t>,</w:t>
      </w:r>
      <w:r w:rsidRPr="0095012F">
        <w:t xml:space="preserve"> increased weight, </w:t>
      </w:r>
      <w:r>
        <w:t xml:space="preserve">arthralgia, mood effects </w:t>
      </w:r>
      <w:r w:rsidRPr="0095012F">
        <w:t>and</w:t>
      </w:r>
      <w:r>
        <w:t xml:space="preserve"> diarrhoea</w:t>
      </w:r>
      <w:r w:rsidRPr="0095012F">
        <w:t xml:space="preserve">. </w:t>
      </w:r>
      <w:r>
        <w:rPr>
          <w:rFonts w:cs="TimesNewRoman"/>
        </w:rPr>
        <w:t>Other AEs of note incl</w:t>
      </w:r>
      <w:r w:rsidR="008B4546">
        <w:rPr>
          <w:rFonts w:cs="TimesNewRoman"/>
        </w:rPr>
        <w:t xml:space="preserve">uded PR interval prolongation/atrioventricular block and ILD/pneumonitis. </w:t>
      </w:r>
      <w:r w:rsidRPr="0095012F">
        <w:t>The most c</w:t>
      </w:r>
      <w:r w:rsidR="008B4546">
        <w:t xml:space="preserve">ommon Grade 3 to </w:t>
      </w:r>
      <w:r>
        <w:t>4 events were</w:t>
      </w:r>
      <w:r w:rsidRPr="00A311D9">
        <w:t xml:space="preserve"> </w:t>
      </w:r>
      <w:proofErr w:type="spellStart"/>
      <w:r w:rsidRPr="00A311D9">
        <w:t>hypercholesterolaemia</w:t>
      </w:r>
      <w:proofErr w:type="spellEnd"/>
      <w:r>
        <w:t xml:space="preserve"> and </w:t>
      </w:r>
      <w:proofErr w:type="spellStart"/>
      <w:r w:rsidRPr="0095012F">
        <w:t>hypertriglycerid</w:t>
      </w:r>
      <w:r>
        <w:t>a</w:t>
      </w:r>
      <w:r w:rsidRPr="0095012F">
        <w:t>emia</w:t>
      </w:r>
      <w:proofErr w:type="spellEnd"/>
      <w:r w:rsidRPr="0095012F">
        <w:t>.</w:t>
      </w:r>
    </w:p>
    <w:p w:rsidR="00D51DCD" w:rsidRPr="0095012F" w:rsidRDefault="00D51DCD" w:rsidP="008B4546">
      <w:r>
        <w:rPr>
          <w:rFonts w:cs="Calibri"/>
        </w:rPr>
        <w:t xml:space="preserve">Severe hepatotoxicity </w:t>
      </w:r>
      <w:proofErr w:type="gramStart"/>
      <w:r>
        <w:rPr>
          <w:rFonts w:cs="Calibri"/>
        </w:rPr>
        <w:t>was observed</w:t>
      </w:r>
      <w:proofErr w:type="gramEnd"/>
      <w:r>
        <w:rPr>
          <w:rFonts w:cs="Calibri"/>
        </w:rPr>
        <w:t xml:space="preserve"> in healthy subjects in Study B7461011 when </w:t>
      </w:r>
      <w:proofErr w:type="spellStart"/>
      <w:r>
        <w:rPr>
          <w:rFonts w:cs="Calibri"/>
        </w:rPr>
        <w:t>lorlatinib</w:t>
      </w:r>
      <w:proofErr w:type="spellEnd"/>
      <w:r>
        <w:rPr>
          <w:rFonts w:cs="Calibri"/>
        </w:rPr>
        <w:t xml:space="preserve"> was administered with rifampicin, a strong CYP3A</w:t>
      </w:r>
      <w:r w:rsidRPr="00A5279B">
        <w:rPr>
          <w:rFonts w:cs="Calibri"/>
        </w:rPr>
        <w:t xml:space="preserve"> </w:t>
      </w:r>
      <w:r w:rsidR="008B4546">
        <w:rPr>
          <w:rFonts w:cs="Calibri"/>
        </w:rPr>
        <w:t xml:space="preserve">inducer. </w:t>
      </w:r>
      <w:r w:rsidRPr="00381EF8">
        <w:rPr>
          <w:rFonts w:cs="Calibri"/>
        </w:rPr>
        <w:t xml:space="preserve">The risk of hepatotoxicity with concomitant use of </w:t>
      </w:r>
      <w:proofErr w:type="spellStart"/>
      <w:r w:rsidRPr="00381EF8">
        <w:rPr>
          <w:rFonts w:cs="Calibri"/>
        </w:rPr>
        <w:t>lorlatinib</w:t>
      </w:r>
      <w:proofErr w:type="spellEnd"/>
      <w:r w:rsidRPr="00381EF8">
        <w:rPr>
          <w:rFonts w:cs="Calibri"/>
        </w:rPr>
        <w:t xml:space="preserve"> and moderate CYP3A inducers is unknown.</w:t>
      </w:r>
      <w:r w:rsidR="008B4546">
        <w:rPr>
          <w:rFonts w:cs="Calibri"/>
        </w:rPr>
        <w:t xml:space="preserve"> </w:t>
      </w:r>
      <w:proofErr w:type="spellStart"/>
      <w:r w:rsidRPr="00381EF8">
        <w:rPr>
          <w:rFonts w:cs="SymbolMT"/>
        </w:rPr>
        <w:t>Lorlatinib</w:t>
      </w:r>
      <w:proofErr w:type="spellEnd"/>
      <w:r w:rsidRPr="00381EF8">
        <w:rPr>
          <w:rFonts w:cs="SymbolMT"/>
        </w:rPr>
        <w:t xml:space="preserve"> </w:t>
      </w:r>
      <w:proofErr w:type="gramStart"/>
      <w:r w:rsidRPr="00381EF8">
        <w:rPr>
          <w:rFonts w:cs="SymbolMT"/>
        </w:rPr>
        <w:t>is contraindicated</w:t>
      </w:r>
      <w:proofErr w:type="gramEnd"/>
      <w:r w:rsidRPr="00381EF8">
        <w:rPr>
          <w:rFonts w:cs="SymbolMT"/>
        </w:rPr>
        <w:t xml:space="preserve"> with strong CYP3A inducers. Avoidance of the concomitant use of moderate CYP3A inducers </w:t>
      </w:r>
      <w:proofErr w:type="gramStart"/>
      <w:r w:rsidRPr="00381EF8">
        <w:rPr>
          <w:rFonts w:cs="SymbolMT"/>
        </w:rPr>
        <w:t>is recommended</w:t>
      </w:r>
      <w:proofErr w:type="gramEnd"/>
      <w:r w:rsidRPr="00381EF8">
        <w:rPr>
          <w:rFonts w:cs="SymbolMT"/>
        </w:rPr>
        <w:t>.</w:t>
      </w:r>
    </w:p>
    <w:p w:rsidR="00D51DCD" w:rsidRDefault="00D51DCD" w:rsidP="008B4546">
      <w:r>
        <w:t>The majority of AEs were manageable with dose interruptions, dose reductions</w:t>
      </w:r>
      <w:r w:rsidRPr="00A311D9">
        <w:t xml:space="preserve"> </w:t>
      </w:r>
      <w:r>
        <w:t>an</w:t>
      </w:r>
      <w:r w:rsidR="008B4546">
        <w:t xml:space="preserve">d/or standard medical therapy. </w:t>
      </w:r>
      <w:r>
        <w:rPr>
          <w:rFonts w:cs="TimesNewRoman"/>
        </w:rPr>
        <w:t>7.8</w:t>
      </w:r>
      <w:r w:rsidRPr="00C34C79">
        <w:rPr>
          <w:rFonts w:cs="TimesNewRoman"/>
        </w:rPr>
        <w:t>%</w:t>
      </w:r>
      <w:r>
        <w:rPr>
          <w:rFonts w:cs="TimesNewRoman"/>
        </w:rPr>
        <w:t xml:space="preserve"> of</w:t>
      </w:r>
      <w:r w:rsidRPr="00C34C79">
        <w:rPr>
          <w:rFonts w:cs="TimesNewRoman"/>
        </w:rPr>
        <w:t xml:space="preserve"> patients permanently discontinued </w:t>
      </w:r>
      <w:proofErr w:type="spellStart"/>
      <w:r w:rsidRPr="00C34C79">
        <w:rPr>
          <w:rFonts w:cs="TimesNewRoman"/>
        </w:rPr>
        <w:t>lorlatinib</w:t>
      </w:r>
      <w:proofErr w:type="spellEnd"/>
      <w:r w:rsidRPr="00C34C79">
        <w:rPr>
          <w:rFonts w:cs="TimesNewRoman"/>
        </w:rPr>
        <w:t xml:space="preserve"> in association with AEs</w:t>
      </w:r>
      <w:r>
        <w:rPr>
          <w:rFonts w:cs="TimesNewRoman"/>
        </w:rPr>
        <w:t>, with approximately 3% permanently discontinuing due to treatment-related AEs.</w:t>
      </w:r>
      <w:r w:rsidRPr="00154CBD">
        <w:t xml:space="preserve"> </w:t>
      </w:r>
      <w:r>
        <w:t xml:space="preserve">In the context of the morbidity and mortality associated with metastatic NSCLC, the safety profile of </w:t>
      </w:r>
      <w:proofErr w:type="spellStart"/>
      <w:r>
        <w:t>lorlatinib</w:t>
      </w:r>
      <w:proofErr w:type="spellEnd"/>
      <w:r>
        <w:t xml:space="preserve"> in the prop</w:t>
      </w:r>
      <w:r w:rsidR="008B4546">
        <w:t>osed indication is acceptable.</w:t>
      </w:r>
    </w:p>
    <w:p w:rsidR="00D51DCD" w:rsidRDefault="00D51DCD" w:rsidP="008D0771">
      <w:pPr>
        <w:pStyle w:val="Heading5"/>
      </w:pPr>
      <w:r>
        <w:t>Dosage</w:t>
      </w:r>
    </w:p>
    <w:p w:rsidR="00D51DCD" w:rsidRDefault="00D51DCD" w:rsidP="00D51DCD">
      <w:pPr>
        <w:autoSpaceDE w:val="0"/>
        <w:autoSpaceDN w:val="0"/>
        <w:adjustRightInd w:val="0"/>
        <w:spacing w:line="240" w:lineRule="auto"/>
        <w:rPr>
          <w:rFonts w:asciiTheme="minorHAnsi" w:eastAsiaTheme="minorHAnsi" w:hAnsiTheme="minorHAnsi" w:cs="Calibri"/>
        </w:rPr>
      </w:pPr>
      <w:r>
        <w:rPr>
          <w:rFonts w:asciiTheme="minorHAnsi" w:eastAsiaTheme="minorHAnsi" w:hAnsiTheme="minorHAnsi" w:cs="Calibri"/>
        </w:rPr>
        <w:t>The proposed dosage, 100 mg ora</w:t>
      </w:r>
      <w:r w:rsidR="008B4546">
        <w:rPr>
          <w:rFonts w:asciiTheme="minorHAnsi" w:eastAsiaTheme="minorHAnsi" w:hAnsiTheme="minorHAnsi" w:cs="Calibri"/>
        </w:rPr>
        <w:t>lly daily, was the recommended Phase II</w:t>
      </w:r>
      <w:r>
        <w:rPr>
          <w:rFonts w:asciiTheme="minorHAnsi" w:eastAsiaTheme="minorHAnsi" w:hAnsiTheme="minorHAnsi" w:cs="Calibri"/>
        </w:rPr>
        <w:t xml:space="preserve"> dose based on safety and tolerability findings from the dose escalation portion of Study </w:t>
      </w:r>
      <w:r w:rsidRPr="00F7293A">
        <w:rPr>
          <w:rFonts w:asciiTheme="minorHAnsi" w:eastAsiaTheme="minorHAnsi" w:hAnsiTheme="minorHAnsi" w:cs="Calibri"/>
        </w:rPr>
        <w:t>B7461001</w:t>
      </w:r>
      <w:r w:rsidR="008B4546">
        <w:rPr>
          <w:rFonts w:asciiTheme="minorHAnsi" w:eastAsiaTheme="minorHAnsi" w:hAnsiTheme="minorHAnsi" w:cs="Calibri"/>
        </w:rPr>
        <w:t xml:space="preserve">. </w:t>
      </w:r>
      <w:r>
        <w:rPr>
          <w:rFonts w:asciiTheme="minorHAnsi" w:eastAsiaTheme="minorHAnsi" w:hAnsiTheme="minorHAnsi" w:cs="Calibri"/>
        </w:rPr>
        <w:t xml:space="preserve">This dosage </w:t>
      </w:r>
      <w:proofErr w:type="gramStart"/>
      <w:r>
        <w:rPr>
          <w:rFonts w:asciiTheme="minorHAnsi" w:eastAsiaTheme="minorHAnsi" w:hAnsiTheme="minorHAnsi" w:cs="Calibri"/>
        </w:rPr>
        <w:t>is also being used</w:t>
      </w:r>
      <w:proofErr w:type="gramEnd"/>
      <w:r>
        <w:rPr>
          <w:rFonts w:asciiTheme="minorHAnsi" w:eastAsiaTheme="minorHAnsi" w:hAnsiTheme="minorHAnsi" w:cs="Calibri"/>
        </w:rPr>
        <w:t xml:space="preserve"> </w:t>
      </w:r>
      <w:r w:rsidR="008B4546">
        <w:rPr>
          <w:rFonts w:asciiTheme="minorHAnsi" w:eastAsiaTheme="minorHAnsi" w:hAnsiTheme="minorHAnsi" w:cs="Calibri"/>
        </w:rPr>
        <w:t xml:space="preserve">in the ongoing Phase III study. </w:t>
      </w:r>
      <w:r>
        <w:rPr>
          <w:rFonts w:asciiTheme="minorHAnsi" w:eastAsiaTheme="minorHAnsi" w:hAnsiTheme="minorHAnsi" w:cs="Calibri"/>
        </w:rPr>
        <w:t xml:space="preserve">The proposed dosage is acceptable based on the demonstrated efficacy and safety profile in Study </w:t>
      </w:r>
      <w:r w:rsidRPr="00F7293A">
        <w:rPr>
          <w:rFonts w:asciiTheme="minorHAnsi" w:eastAsiaTheme="minorHAnsi" w:hAnsiTheme="minorHAnsi" w:cs="Calibri"/>
        </w:rPr>
        <w:t>B7461001</w:t>
      </w:r>
      <w:r>
        <w:rPr>
          <w:rFonts w:asciiTheme="minorHAnsi" w:eastAsiaTheme="minorHAnsi" w:hAnsiTheme="minorHAnsi" w:cs="Calibri"/>
        </w:rPr>
        <w:t>.</w:t>
      </w:r>
    </w:p>
    <w:p w:rsidR="00D51DCD" w:rsidRPr="001E323C" w:rsidRDefault="00D51DCD" w:rsidP="00D51DCD">
      <w:pPr>
        <w:autoSpaceDE w:val="0"/>
        <w:autoSpaceDN w:val="0"/>
        <w:adjustRightInd w:val="0"/>
        <w:spacing w:line="240" w:lineRule="auto"/>
        <w:rPr>
          <w:rFonts w:asciiTheme="minorHAnsi" w:hAnsiTheme="minorHAnsi"/>
          <w:lang w:eastAsia="ja-JP"/>
        </w:rPr>
      </w:pPr>
      <w:r w:rsidRPr="00967783">
        <w:rPr>
          <w:rFonts w:asciiTheme="minorHAnsi" w:eastAsiaTheme="minorHAnsi" w:hAnsiTheme="minorHAnsi" w:cs="Calibri"/>
        </w:rPr>
        <w:t xml:space="preserve">No dose adjustment </w:t>
      </w:r>
      <w:proofErr w:type="gramStart"/>
      <w:r w:rsidRPr="00967783">
        <w:rPr>
          <w:rFonts w:asciiTheme="minorHAnsi" w:eastAsiaTheme="minorHAnsi" w:hAnsiTheme="minorHAnsi" w:cs="Calibri"/>
        </w:rPr>
        <w:t>is needed</w:t>
      </w:r>
      <w:proofErr w:type="gramEnd"/>
      <w:r w:rsidRPr="00967783">
        <w:rPr>
          <w:rFonts w:asciiTheme="minorHAnsi" w:eastAsiaTheme="minorHAnsi" w:hAnsiTheme="minorHAnsi" w:cs="Calibri"/>
        </w:rPr>
        <w:t xml:space="preserve"> for patients with mild hepatic impairment. The PK of </w:t>
      </w:r>
      <w:proofErr w:type="spellStart"/>
      <w:r w:rsidRPr="00967783">
        <w:rPr>
          <w:rFonts w:asciiTheme="minorHAnsi" w:eastAsiaTheme="minorHAnsi" w:hAnsiTheme="minorHAnsi" w:cs="Calibri"/>
        </w:rPr>
        <w:t>lorlatinib</w:t>
      </w:r>
      <w:proofErr w:type="spellEnd"/>
      <w:r w:rsidRPr="00967783">
        <w:rPr>
          <w:rFonts w:asciiTheme="minorHAnsi" w:eastAsiaTheme="minorHAnsi" w:hAnsiTheme="minorHAnsi" w:cs="Calibri"/>
        </w:rPr>
        <w:t xml:space="preserve"> in patients with moderate and</w:t>
      </w:r>
      <w:r w:rsidRPr="002C6352">
        <w:rPr>
          <w:rFonts w:asciiTheme="minorHAnsi" w:eastAsiaTheme="minorHAnsi" w:hAnsiTheme="minorHAnsi" w:cs="Calibri"/>
        </w:rPr>
        <w:t xml:space="preserve"> sever</w:t>
      </w:r>
      <w:bookmarkStart w:id="61" w:name="_Toc272414629"/>
      <w:bookmarkStart w:id="62" w:name="_Toc290888478"/>
      <w:bookmarkStart w:id="63" w:name="_Toc416353674"/>
      <w:r w:rsidR="00A07908">
        <w:rPr>
          <w:rFonts w:asciiTheme="minorHAnsi" w:eastAsiaTheme="minorHAnsi" w:hAnsiTheme="minorHAnsi" w:cs="Calibri"/>
        </w:rPr>
        <w:t>e hepatic impairment is unknown</w:t>
      </w:r>
      <w:r w:rsidRPr="001E323C">
        <w:rPr>
          <w:rFonts w:asciiTheme="minorHAnsi" w:eastAsiaTheme="minorHAnsi" w:hAnsiTheme="minorHAnsi" w:cs="Calibri"/>
        </w:rPr>
        <w:t>.</w:t>
      </w:r>
      <w:bookmarkEnd w:id="61"/>
      <w:bookmarkEnd w:id="62"/>
      <w:bookmarkEnd w:id="63"/>
    </w:p>
    <w:p w:rsidR="00D51DCD" w:rsidRDefault="00D51DCD" w:rsidP="00DF1B20">
      <w:pPr>
        <w:pStyle w:val="Heading5"/>
      </w:pPr>
      <w:r>
        <w:t xml:space="preserve">Clinical </w:t>
      </w:r>
      <w:r w:rsidR="008D0771">
        <w:t>study plan for provisional registration</w:t>
      </w:r>
    </w:p>
    <w:p w:rsidR="00D51DCD" w:rsidRDefault="00D51DCD" w:rsidP="00D51DCD">
      <w:r>
        <w:t>P</w:t>
      </w:r>
      <w:r w:rsidRPr="004977EA">
        <w:t>rovisional registration</w:t>
      </w:r>
      <w:r>
        <w:t xml:space="preserve"> requires a c</w:t>
      </w:r>
      <w:r w:rsidRPr="004977EA">
        <w:t>linical study plan</w:t>
      </w:r>
      <w:r>
        <w:t xml:space="preserve"> detailing the clinical data that </w:t>
      </w:r>
      <w:proofErr w:type="gramStart"/>
      <w:r>
        <w:t>will be provided</w:t>
      </w:r>
      <w:proofErr w:type="gramEnd"/>
      <w:r>
        <w:t xml:space="preserve"> to support an appl</w:t>
      </w:r>
      <w:r w:rsidR="00A07908">
        <w:t>ication for full registration. The s</w:t>
      </w:r>
      <w:r>
        <w:t xml:space="preserve">ponsor proposes to submit Study B7461006 by </w:t>
      </w:r>
      <w:r w:rsidR="000B2BAB">
        <w:t xml:space="preserve">the fourth quarter of </w:t>
      </w:r>
      <w:r>
        <w:t>2021</w:t>
      </w:r>
      <w:r w:rsidR="00A07908">
        <w:t xml:space="preserve"> to support full registration. This is a Phase III</w:t>
      </w:r>
      <w:r>
        <w:t xml:space="preserve"> randomised, controlled, open-label study of </w:t>
      </w:r>
      <w:proofErr w:type="spellStart"/>
      <w:r>
        <w:t>lorlatinib</w:t>
      </w:r>
      <w:proofErr w:type="spellEnd"/>
      <w:r>
        <w:t xml:space="preserve"> versus </w:t>
      </w:r>
      <w:proofErr w:type="spellStart"/>
      <w:r>
        <w:t>crizotinib</w:t>
      </w:r>
      <w:proofErr w:type="spellEnd"/>
      <w:r w:rsidR="00A07908">
        <w:t xml:space="preserve"> as first-line treatment in 280 </w:t>
      </w:r>
      <w:r>
        <w:t>patients wit</w:t>
      </w:r>
      <w:r w:rsidR="00A07908">
        <w:t xml:space="preserve">h advanced ALK-positive NSCLC. </w:t>
      </w:r>
      <w:r>
        <w:t xml:space="preserve">The primary endpoint is PFS based on </w:t>
      </w:r>
      <w:r w:rsidR="00A07908">
        <w:t xml:space="preserve">BICR assessment (RECIST v1.1). </w:t>
      </w:r>
      <w:r>
        <w:t>The study commenced in April 2017 and the primary completion date</w:t>
      </w:r>
      <w:r w:rsidR="00A07908">
        <w:t xml:space="preserve"> for PFS </w:t>
      </w:r>
      <w:proofErr w:type="gramStart"/>
      <w:r w:rsidR="00A07908">
        <w:t>is planned</w:t>
      </w:r>
      <w:proofErr w:type="gramEnd"/>
      <w:r w:rsidR="00A07908">
        <w:t xml:space="preserve"> by </w:t>
      </w:r>
      <w:r w:rsidR="000B2BAB">
        <w:t xml:space="preserve">the fourth quarter of </w:t>
      </w:r>
      <w:r w:rsidR="00A07908">
        <w:t>2020.</w:t>
      </w:r>
    </w:p>
    <w:p w:rsidR="00D51DCD" w:rsidRPr="00D7551D" w:rsidRDefault="00D51DCD" w:rsidP="00D51DCD">
      <w:r>
        <w:t xml:space="preserve">The choice of </w:t>
      </w:r>
      <w:proofErr w:type="spellStart"/>
      <w:r>
        <w:t>crizotinib</w:t>
      </w:r>
      <w:proofErr w:type="spellEnd"/>
      <w:r>
        <w:t xml:space="preserve"> as the comparator in </w:t>
      </w:r>
      <w:r w:rsidR="00A07908">
        <w:t xml:space="preserve">Study </w:t>
      </w:r>
      <w:r>
        <w:t xml:space="preserve">B7461006 was appropriate at the time of the planning and initiation of the confirmatory study, but it does not reflect the current preference for </w:t>
      </w:r>
      <w:proofErr w:type="spellStart"/>
      <w:r>
        <w:t>alectinib</w:t>
      </w:r>
      <w:proofErr w:type="spellEnd"/>
      <w:r>
        <w:t xml:space="preserve"> as first-line therapy for advanced ALK-positive </w:t>
      </w:r>
      <w:r w:rsidR="00A07908">
        <w:t xml:space="preserve">NSCLC based on the ALEX study. </w:t>
      </w:r>
      <w:r>
        <w:t xml:space="preserve">The start date of Study B7461006 was 14 April 2017, prior to the publication of the primary analysis of the ALEX </w:t>
      </w:r>
      <w:r w:rsidR="000B2BAB">
        <w:t xml:space="preserve">trial </w:t>
      </w:r>
      <w:r>
        <w:t xml:space="preserve">in the </w:t>
      </w:r>
      <w:r w:rsidR="000B2BAB">
        <w:t xml:space="preserve">New England Journal of </w:t>
      </w:r>
      <w:r w:rsidR="000B2BAB">
        <w:lastRenderedPageBreak/>
        <w:t xml:space="preserve">Medicine </w:t>
      </w:r>
      <w:r>
        <w:t>in August 2017.</w:t>
      </w:r>
      <w:r w:rsidR="00A07908">
        <w:rPr>
          <w:rStyle w:val="FootnoteReference"/>
        </w:rPr>
        <w:footnoteReference w:id="8"/>
      </w:r>
      <w:r w:rsidR="00A07908">
        <w:t xml:space="preserve"> Study </w:t>
      </w:r>
      <w:r>
        <w:t xml:space="preserve">B7461006 will not provide direct comparative data against </w:t>
      </w:r>
      <w:proofErr w:type="spellStart"/>
      <w:r>
        <w:t>alectinib</w:t>
      </w:r>
      <w:proofErr w:type="spellEnd"/>
      <w:r>
        <w:t xml:space="preserve">, but the study design will allow indirect comparison of </w:t>
      </w:r>
      <w:proofErr w:type="spellStart"/>
      <w:r>
        <w:t>lorlatinib</w:t>
      </w:r>
      <w:proofErr w:type="spellEnd"/>
      <w:r>
        <w:t xml:space="preserve"> against other ALK TKIs</w:t>
      </w:r>
      <w:r w:rsidR="00A07908">
        <w:t xml:space="preserve"> through cross-trial analyses. </w:t>
      </w:r>
      <w:r>
        <w:t>This approach is acceptable given the timeline of the confirmatory study.</w:t>
      </w:r>
    </w:p>
    <w:p w:rsidR="00D51DCD" w:rsidRDefault="00D51DCD" w:rsidP="008D0771">
      <w:pPr>
        <w:pStyle w:val="Heading5"/>
      </w:pPr>
      <w:r>
        <w:t>Deficiencies of the data</w:t>
      </w:r>
    </w:p>
    <w:p w:rsidR="00D51DCD" w:rsidRDefault="00D51DCD" w:rsidP="00D51DCD">
      <w:r>
        <w:t xml:space="preserve">Efficacy </w:t>
      </w:r>
      <w:proofErr w:type="gramStart"/>
      <w:r>
        <w:t>is based</w:t>
      </w:r>
      <w:proofErr w:type="gramEnd"/>
      <w:r>
        <w:t xml:space="preserve"> on tumour response rates and duration of r</w:t>
      </w:r>
      <w:r w:rsidR="00A07908">
        <w:t xml:space="preserve">esponse in a single arm study. </w:t>
      </w:r>
      <w:r>
        <w:t>Comparative efficacy data are not yet available.</w:t>
      </w:r>
      <w:r w:rsidRPr="00855FC7">
        <w:t xml:space="preserve"> </w:t>
      </w:r>
      <w:r>
        <w:t>The data presented in this submission are sufficient to support an application for provisional registrat</w:t>
      </w:r>
      <w:r w:rsidR="00A07908">
        <w:t>ion.</w:t>
      </w:r>
    </w:p>
    <w:p w:rsidR="00D51DCD" w:rsidRDefault="00D51DCD" w:rsidP="00D51DCD">
      <w:r>
        <w:t>Study B7461001 included only patients with metastatic (Stage IV) disease, so there are no effic</w:t>
      </w:r>
      <w:r w:rsidR="00A07908">
        <w:t xml:space="preserve">acy data in Stage III disease. </w:t>
      </w:r>
      <w:r>
        <w:t xml:space="preserve">The pivotal study, </w:t>
      </w:r>
      <w:r w:rsidR="00A07908">
        <w:t xml:space="preserve">Study </w:t>
      </w:r>
      <w:r>
        <w:t>B7461006, is recruiting patients with locally advanced or metastatic ALK-positive NSCLC.</w:t>
      </w:r>
    </w:p>
    <w:p w:rsidR="00D51DCD" w:rsidRDefault="00D51DCD" w:rsidP="00D51DCD">
      <w:r>
        <w:t>The recommended dose in patients with moderate and severe hepatic impairment and severe renal impai</w:t>
      </w:r>
      <w:r w:rsidR="00A07908">
        <w:t xml:space="preserve">rment </w:t>
      </w:r>
      <w:proofErr w:type="gramStart"/>
      <w:r w:rsidR="00A07908">
        <w:t>has not been established</w:t>
      </w:r>
      <w:proofErr w:type="gramEnd"/>
      <w:r w:rsidR="00A07908">
        <w:t>.</w:t>
      </w:r>
      <w:r>
        <w:t xml:space="preserve"> Clinical studies of </w:t>
      </w:r>
      <w:proofErr w:type="spellStart"/>
      <w:r>
        <w:t>lorlatinib</w:t>
      </w:r>
      <w:proofErr w:type="spellEnd"/>
      <w:r>
        <w:t xml:space="preserve"> in patients with moderate or severe hepatic impairment (</w:t>
      </w:r>
      <w:r w:rsidR="00A07908">
        <w:t xml:space="preserve">Study </w:t>
      </w:r>
      <w:r>
        <w:t>B7461009) and severe renal impairment (</w:t>
      </w:r>
      <w:r w:rsidR="00A07908">
        <w:t xml:space="preserve">Study </w:t>
      </w:r>
      <w:r>
        <w:t xml:space="preserve">B7461010) </w:t>
      </w:r>
      <w:proofErr w:type="gramStart"/>
      <w:r>
        <w:t>are being performed</w:t>
      </w:r>
      <w:proofErr w:type="gramEnd"/>
      <w:r>
        <w:t xml:space="preserve"> as post-marketing commitments to the FDA and </w:t>
      </w:r>
      <w:r w:rsidR="00EE3F3C">
        <w:t>European Medicines Agency (</w:t>
      </w:r>
      <w:r>
        <w:t>EMA</w:t>
      </w:r>
      <w:r w:rsidR="00EE3F3C">
        <w:t>)</w:t>
      </w:r>
      <w:r w:rsidRPr="005A6EDF">
        <w:t xml:space="preserve"> </w:t>
      </w:r>
      <w:r>
        <w:t>to infor</w:t>
      </w:r>
      <w:r w:rsidR="00EE3F3C">
        <w:t xml:space="preserve">m dosing in these populations. Study </w:t>
      </w:r>
      <w:r>
        <w:t xml:space="preserve">B7461010 </w:t>
      </w:r>
      <w:proofErr w:type="gramStart"/>
      <w:r>
        <w:t>is anticipated to be completed</w:t>
      </w:r>
      <w:proofErr w:type="gramEnd"/>
      <w:r>
        <w:t xml:space="preserve"> in 2020 and </w:t>
      </w:r>
      <w:r w:rsidR="00EE3F3C">
        <w:t xml:space="preserve">Study B7461009 in 2023. </w:t>
      </w:r>
      <w:r>
        <w:t xml:space="preserve">The clinical study reports for these studies </w:t>
      </w:r>
      <w:proofErr w:type="gramStart"/>
      <w:r>
        <w:t>should be submitted</w:t>
      </w:r>
      <w:proofErr w:type="gramEnd"/>
      <w:r>
        <w:t xml:space="preserve"> to TGA when available.</w:t>
      </w:r>
    </w:p>
    <w:p w:rsidR="00D51DCD" w:rsidRDefault="00D51DCD" w:rsidP="008D0771">
      <w:pPr>
        <w:pStyle w:val="Heading5"/>
      </w:pPr>
      <w:r w:rsidRPr="005529C3">
        <w:t>Conclusion</w:t>
      </w:r>
    </w:p>
    <w:p w:rsidR="00D51DCD" w:rsidRDefault="00D51DCD" w:rsidP="00D51DCD">
      <w:r>
        <w:t xml:space="preserve">Study B7461001 provides promising preliminary evidence of efficacy of </w:t>
      </w:r>
      <w:proofErr w:type="spellStart"/>
      <w:r>
        <w:t>lorlatinib</w:t>
      </w:r>
      <w:proofErr w:type="spellEnd"/>
      <w:r>
        <w:t xml:space="preserve"> in patients with metastatic ALK+ NSCLC who have progressed on other ALK TKIs, particularly patients</w:t>
      </w:r>
      <w:r w:rsidR="00EE3F3C">
        <w:t xml:space="preserve"> with intracranial metastases. </w:t>
      </w:r>
      <w:r>
        <w:t xml:space="preserve">The tumour responses were clinically meaningful and durable, and </w:t>
      </w:r>
      <w:proofErr w:type="gramStart"/>
      <w:r>
        <w:t>are considered</w:t>
      </w:r>
      <w:proofErr w:type="gramEnd"/>
      <w:r>
        <w:t xml:space="preserve"> like</w:t>
      </w:r>
      <w:r w:rsidR="00EE3F3C">
        <w:t>ly to predict clinical benefit.</w:t>
      </w:r>
    </w:p>
    <w:p w:rsidR="00456765" w:rsidRPr="00456765" w:rsidRDefault="00D51DCD" w:rsidP="00456765">
      <w:r>
        <w:t xml:space="preserve">Given the limitations of data from a single-arm study and uncertainty regarding the relative efficacy of </w:t>
      </w:r>
      <w:proofErr w:type="spellStart"/>
      <w:r>
        <w:t>lorlatinib</w:t>
      </w:r>
      <w:proofErr w:type="spellEnd"/>
      <w:r>
        <w:t xml:space="preserve"> compared to registered ALK TKIs, provisional registration should be restricted to patients whose disease has progressed on </w:t>
      </w:r>
      <w:proofErr w:type="spellStart"/>
      <w:r>
        <w:t>alectinib</w:t>
      </w:r>
      <w:proofErr w:type="spellEnd"/>
      <w:r>
        <w:t xml:space="preserve"> or </w:t>
      </w:r>
      <w:proofErr w:type="spellStart"/>
      <w:r>
        <w:t>ceritinib</w:t>
      </w:r>
      <w:proofErr w:type="spellEnd"/>
      <w:r>
        <w:t xml:space="preserve"> as first-line therapy, or progressed on </w:t>
      </w:r>
      <w:proofErr w:type="spellStart"/>
      <w:r>
        <w:t>crizotinib</w:t>
      </w:r>
      <w:proofErr w:type="spellEnd"/>
      <w:r>
        <w:t xml:space="preserve"> a</w:t>
      </w:r>
      <w:r w:rsidR="00EE3F3C">
        <w:t xml:space="preserve">nd at least one other ALK TKI. </w:t>
      </w:r>
      <w:r>
        <w:t xml:space="preserve">The data from </w:t>
      </w:r>
      <w:r w:rsidR="00EE3F3C">
        <w:t xml:space="preserve">Study </w:t>
      </w:r>
      <w:r>
        <w:t xml:space="preserve">B7461001 support the use of </w:t>
      </w:r>
      <w:proofErr w:type="spellStart"/>
      <w:r>
        <w:t>lorlatinib</w:t>
      </w:r>
      <w:proofErr w:type="spellEnd"/>
      <w:r>
        <w:t xml:space="preserve"> in these scenarios to address unmet need, particularly for patients</w:t>
      </w:r>
      <w:r w:rsidR="00EE3F3C">
        <w:t xml:space="preserve"> with intracranial metastases. </w:t>
      </w:r>
      <w:r>
        <w:t xml:space="preserve">In this setting, the benefit of early access to </w:t>
      </w:r>
      <w:proofErr w:type="spellStart"/>
      <w:r>
        <w:t>lorlatinib</w:t>
      </w:r>
      <w:proofErr w:type="spellEnd"/>
      <w:r>
        <w:t xml:space="preserve"> based on preliminary clinical data outweighs the uncertainty arising from less comprehensive data than would be requ</w:t>
      </w:r>
      <w:r w:rsidR="00B21F0D">
        <w:t>ired for standard registration.</w:t>
      </w:r>
    </w:p>
    <w:p w:rsidR="00D23139" w:rsidRDefault="00D23139" w:rsidP="00D23139">
      <w:pPr>
        <w:pStyle w:val="Heading4"/>
      </w:pPr>
      <w:r w:rsidRPr="00D23139">
        <w:t>Proposed action</w:t>
      </w:r>
    </w:p>
    <w:p w:rsidR="00456765" w:rsidRPr="00456765" w:rsidRDefault="00B21F0D" w:rsidP="00456765">
      <w:r>
        <w:t>The proposed clin</w:t>
      </w:r>
      <w:r w:rsidR="008D0771">
        <w:t xml:space="preserve">ical study plan is acceptable. </w:t>
      </w:r>
      <w:r w:rsidR="00EE3F3C">
        <w:t xml:space="preserve">At the </w:t>
      </w:r>
      <w:proofErr w:type="gramStart"/>
      <w:r w:rsidR="00EE3F3C">
        <w:t>time</w:t>
      </w:r>
      <w:proofErr w:type="gramEnd"/>
      <w:r w:rsidR="00EE3F3C">
        <w:t xml:space="preserve"> the Delegate’s overview was written o</w:t>
      </w:r>
      <w:r w:rsidRPr="00135624">
        <w:t xml:space="preserve">utstanding issues from the </w:t>
      </w:r>
      <w:r w:rsidR="00EE3F3C">
        <w:t>quality</w:t>
      </w:r>
      <w:r w:rsidRPr="00135624">
        <w:t xml:space="preserve"> and </w:t>
      </w:r>
      <w:r w:rsidR="00EE3F3C">
        <w:t>nonclinical</w:t>
      </w:r>
      <w:r w:rsidRPr="00135624">
        <w:t xml:space="preserve"> </w:t>
      </w:r>
      <w:r w:rsidRPr="002A72BA">
        <w:t>evaluations will be reviewed prior to proceeding to a decision on this submission.</w:t>
      </w:r>
      <w:r w:rsidRPr="007836AF">
        <w:t xml:space="preserve"> </w:t>
      </w:r>
      <w:r>
        <w:t>There are no</w:t>
      </w:r>
      <w:r w:rsidRPr="00135624">
        <w:t xml:space="preserve"> </w:t>
      </w:r>
      <w:r>
        <w:t xml:space="preserve">outstanding </w:t>
      </w:r>
      <w:r w:rsidRPr="00135624">
        <w:t>clinical questions</w:t>
      </w:r>
      <w:r>
        <w:t>.</w:t>
      </w:r>
    </w:p>
    <w:p w:rsidR="00D51DCD" w:rsidRDefault="00D51DCD" w:rsidP="00D51DCD">
      <w:pPr>
        <w:pStyle w:val="Heading4"/>
        <w:spacing w:before="240"/>
      </w:pPr>
      <w:bookmarkStart w:id="64" w:name="_Ref18565293"/>
      <w:r>
        <w:t>Independent clinical expert advice</w:t>
      </w:r>
      <w:bookmarkEnd w:id="64"/>
    </w:p>
    <w:p w:rsidR="00D51DCD" w:rsidRDefault="00D51DCD" w:rsidP="00EE3F3C">
      <w:r>
        <w:t>Ind</w:t>
      </w:r>
      <w:r w:rsidR="00EE3F3C">
        <w:t xml:space="preserve">ependent clinical expert advice </w:t>
      </w:r>
      <w:proofErr w:type="gramStart"/>
      <w:r>
        <w:t>was received</w:t>
      </w:r>
      <w:proofErr w:type="gramEnd"/>
      <w:r>
        <w:t xml:space="preserve"> on 4 September </w:t>
      </w:r>
      <w:r w:rsidR="00EE3F3C">
        <w:t>2019.</w:t>
      </w:r>
    </w:p>
    <w:p w:rsidR="00D51DCD" w:rsidRDefault="00D51DCD" w:rsidP="00EE3F3C">
      <w:r>
        <w:t xml:space="preserve">The proposed usage after progression on </w:t>
      </w:r>
      <w:proofErr w:type="spellStart"/>
      <w:r>
        <w:t>crizotinib</w:t>
      </w:r>
      <w:proofErr w:type="spellEnd"/>
      <w:r>
        <w:t xml:space="preserve"> and at least </w:t>
      </w:r>
      <w:proofErr w:type="gramStart"/>
      <w:r>
        <w:t>1</w:t>
      </w:r>
      <w:proofErr w:type="gramEnd"/>
      <w:r>
        <w:t xml:space="preserve"> other ALK inhibitor, or after progression on </w:t>
      </w:r>
      <w:proofErr w:type="spellStart"/>
      <w:r>
        <w:t>alectinib</w:t>
      </w:r>
      <w:proofErr w:type="spellEnd"/>
      <w:r>
        <w:t xml:space="preserve"> or </w:t>
      </w:r>
      <w:proofErr w:type="spellStart"/>
      <w:r>
        <w:t>ceritinib</w:t>
      </w:r>
      <w:proofErr w:type="spellEnd"/>
      <w:r>
        <w:t>, was considered appropriate.</w:t>
      </w:r>
    </w:p>
    <w:p w:rsidR="00D51DCD" w:rsidRDefault="00D51DCD" w:rsidP="00EE3F3C">
      <w:r>
        <w:t>The</w:t>
      </w:r>
      <w:r w:rsidRPr="008F7E25">
        <w:t xml:space="preserve"> lack of data in patients with locally advanced disease</w:t>
      </w:r>
      <w:r>
        <w:t xml:space="preserve"> was acknowledged</w:t>
      </w:r>
      <w:r w:rsidRPr="008F7E25">
        <w:t xml:space="preserve">, but </w:t>
      </w:r>
      <w:r>
        <w:t>from a clinical practice perspective,</w:t>
      </w:r>
      <w:r w:rsidRPr="008F7E25">
        <w:t xml:space="preserve"> </w:t>
      </w:r>
      <w:r>
        <w:t>it is preferred that the indication</w:t>
      </w:r>
      <w:r w:rsidRPr="008F7E25">
        <w:t xml:space="preserve"> </w:t>
      </w:r>
      <w:r w:rsidR="00EE3F3C">
        <w:t>specify ‘advanced’</w:t>
      </w:r>
      <w:r w:rsidRPr="008F7E25">
        <w:t xml:space="preserve"> </w:t>
      </w:r>
      <w:r w:rsidR="00EE3F3C">
        <w:t>rather than ‘</w:t>
      </w:r>
      <w:r w:rsidRPr="008F7E25">
        <w:t>metastatic</w:t>
      </w:r>
      <w:r w:rsidR="00EE3F3C">
        <w:t>’</w:t>
      </w:r>
      <w:r>
        <w:t xml:space="preserve"> disease</w:t>
      </w:r>
      <w:r w:rsidRPr="008F7E25">
        <w:t>.</w:t>
      </w:r>
    </w:p>
    <w:p w:rsidR="00D51DCD" w:rsidRDefault="00D51DCD" w:rsidP="00EE3F3C">
      <w:r>
        <w:lastRenderedPageBreak/>
        <w:t xml:space="preserve">With regard to the confirmatory study, </w:t>
      </w:r>
      <w:proofErr w:type="spellStart"/>
      <w:r>
        <w:t>alectinib</w:t>
      </w:r>
      <w:proofErr w:type="spellEnd"/>
      <w:r>
        <w:t xml:space="preserve"> would be a preferred comparator based on the current treatment algorithm, but </w:t>
      </w:r>
      <w:proofErr w:type="spellStart"/>
      <w:r>
        <w:t>crizotinib</w:t>
      </w:r>
      <w:proofErr w:type="spellEnd"/>
      <w:r>
        <w:t xml:space="preserve"> was an a</w:t>
      </w:r>
      <w:r w:rsidR="00EE3F3C">
        <w:t>ppropriate comparator when the Phase III study commenced.</w:t>
      </w:r>
    </w:p>
    <w:p w:rsidR="00D51DCD" w:rsidRDefault="00D51DCD" w:rsidP="00EE3F3C">
      <w:r>
        <w:t xml:space="preserve">No further clinical questions or concerns </w:t>
      </w:r>
      <w:proofErr w:type="gramStart"/>
      <w:r>
        <w:t>were raised</w:t>
      </w:r>
      <w:proofErr w:type="gramEnd"/>
      <w:r>
        <w:t>.</w:t>
      </w:r>
    </w:p>
    <w:p w:rsidR="008E7846" w:rsidRDefault="008E7846" w:rsidP="008E7846">
      <w:pPr>
        <w:pStyle w:val="Heading4"/>
      </w:pPr>
      <w:r>
        <w:t xml:space="preserve">Advisory Committee </w:t>
      </w:r>
      <w:r w:rsidR="00DF1B20">
        <w:t>c</w:t>
      </w:r>
      <w:r>
        <w:t>onsiderations</w:t>
      </w:r>
      <w:r w:rsidR="00456765">
        <w:rPr>
          <w:rStyle w:val="FootnoteReference"/>
        </w:rPr>
        <w:footnoteReference w:id="9"/>
      </w:r>
    </w:p>
    <w:p w:rsidR="00456765" w:rsidRPr="00A322B3" w:rsidRDefault="00456765" w:rsidP="008E7846">
      <w:r>
        <w:rPr>
          <w:bCs/>
        </w:rPr>
        <w:t>The Delegate did not refer this application to the Advisory Committee on</w:t>
      </w:r>
      <w:r w:rsidR="00BA7237">
        <w:rPr>
          <w:bCs/>
        </w:rPr>
        <w:t xml:space="preserve"> </w:t>
      </w:r>
      <w:r>
        <w:rPr>
          <w:bCs/>
        </w:rPr>
        <w:t>Medicines (ACM) for advice.</w:t>
      </w:r>
    </w:p>
    <w:p w:rsidR="008E7846" w:rsidRPr="002E238E" w:rsidRDefault="008E7846" w:rsidP="008E7846">
      <w:pPr>
        <w:pStyle w:val="Heading3"/>
      </w:pPr>
      <w:bookmarkStart w:id="65" w:name="_Toc247691532"/>
      <w:bookmarkStart w:id="66" w:name="_Toc314842516"/>
      <w:bookmarkStart w:id="67" w:name="_Toc33165815"/>
      <w:bookmarkEnd w:id="31"/>
      <w:bookmarkEnd w:id="59"/>
      <w:bookmarkEnd w:id="60"/>
      <w:r>
        <w:t>Outcome</w:t>
      </w:r>
      <w:bookmarkEnd w:id="65"/>
      <w:bookmarkEnd w:id="66"/>
      <w:bookmarkEnd w:id="67"/>
    </w:p>
    <w:p w:rsidR="00D51DCD" w:rsidRPr="00D51DCD" w:rsidRDefault="00D23139" w:rsidP="00D51DCD">
      <w:bookmarkStart w:id="68" w:name="_Toc247691533"/>
      <w:bookmarkStart w:id="69" w:name="_Toc314842517"/>
      <w:r w:rsidRPr="00D23139">
        <w:t xml:space="preserve">Based on a review of quality, safety and efficacy, </w:t>
      </w:r>
      <w:r w:rsidR="00295125">
        <w:t xml:space="preserve">the </w:t>
      </w:r>
      <w:r w:rsidRPr="00D23139">
        <w:t xml:space="preserve">TGA approved the </w:t>
      </w:r>
      <w:r w:rsidR="00D51DCD">
        <w:t xml:space="preserve">provisional </w:t>
      </w:r>
      <w:r w:rsidRPr="00D23139">
        <w:t xml:space="preserve">registration of </w:t>
      </w:r>
      <w:proofErr w:type="spellStart"/>
      <w:r w:rsidR="00D51DCD" w:rsidRPr="003A4BF7">
        <w:rPr>
          <w:rFonts w:eastAsia="Calibri"/>
        </w:rPr>
        <w:t>Lorviqua</w:t>
      </w:r>
      <w:proofErr w:type="spellEnd"/>
      <w:r w:rsidR="00D51DCD">
        <w:rPr>
          <w:rFonts w:eastAsia="Calibri"/>
        </w:rPr>
        <w:t xml:space="preserve"> (</w:t>
      </w:r>
      <w:proofErr w:type="spellStart"/>
      <w:r w:rsidR="00D51DCD" w:rsidRPr="003A4BF7">
        <w:rPr>
          <w:rFonts w:eastAsia="Calibri"/>
        </w:rPr>
        <w:t>lorlatinib</w:t>
      </w:r>
      <w:proofErr w:type="spellEnd"/>
      <w:r w:rsidR="00D51DCD">
        <w:rPr>
          <w:rFonts w:eastAsia="Calibri"/>
        </w:rPr>
        <w:t>) 25 mg and 100 mg film coated tablets</w:t>
      </w:r>
      <w:r w:rsidR="00D51DCD">
        <w:t xml:space="preserve">, indicated </w:t>
      </w:r>
      <w:proofErr w:type="gramStart"/>
      <w:r w:rsidR="00D51DCD">
        <w:t>for</w:t>
      </w:r>
      <w:proofErr w:type="gramEnd"/>
      <w:r w:rsidR="00D51DCD">
        <w:t>:</w:t>
      </w:r>
    </w:p>
    <w:p w:rsidR="00D51DCD" w:rsidRPr="00C35A2C" w:rsidRDefault="00D51DCD" w:rsidP="00C35A2C">
      <w:pPr>
        <w:ind w:left="360"/>
        <w:rPr>
          <w:i/>
        </w:rPr>
      </w:pPr>
      <w:proofErr w:type="spellStart"/>
      <w:r w:rsidRPr="00C35A2C">
        <w:rPr>
          <w:i/>
        </w:rPr>
        <w:t>Lorviqua</w:t>
      </w:r>
      <w:proofErr w:type="spellEnd"/>
      <w:r w:rsidRPr="00C35A2C">
        <w:rPr>
          <w:i/>
        </w:rPr>
        <w:t xml:space="preserve"> has </w:t>
      </w:r>
      <w:r w:rsidRPr="00C35A2C">
        <w:rPr>
          <w:b/>
          <w:i/>
        </w:rPr>
        <w:t>provisional approval</w:t>
      </w:r>
      <w:r w:rsidRPr="00C35A2C">
        <w:rPr>
          <w:i/>
        </w:rPr>
        <w:t xml:space="preserve"> in Australia for the treatment of patients with anaplastic lymphoma kinase (ALK) positive advanced </w:t>
      </w:r>
      <w:proofErr w:type="spellStart"/>
      <w:proofErr w:type="gramStart"/>
      <w:r w:rsidRPr="00C35A2C">
        <w:rPr>
          <w:i/>
        </w:rPr>
        <w:t>non small</w:t>
      </w:r>
      <w:proofErr w:type="spellEnd"/>
      <w:proofErr w:type="gramEnd"/>
      <w:r w:rsidRPr="00C35A2C">
        <w:rPr>
          <w:i/>
        </w:rPr>
        <w:t xml:space="preserve"> cell lung cancer (NSCLC) whose disease has progressed on:</w:t>
      </w:r>
    </w:p>
    <w:p w:rsidR="00D51DCD" w:rsidRPr="00C35A2C" w:rsidRDefault="00D51DCD" w:rsidP="00C35A2C">
      <w:pPr>
        <w:pStyle w:val="ListBullet"/>
        <w:ind w:left="720"/>
        <w:rPr>
          <w:i/>
        </w:rPr>
      </w:pPr>
      <w:proofErr w:type="spellStart"/>
      <w:r w:rsidRPr="00C35A2C">
        <w:rPr>
          <w:i/>
        </w:rPr>
        <w:t>Crizotinib</w:t>
      </w:r>
      <w:proofErr w:type="spellEnd"/>
      <w:r w:rsidRPr="00C35A2C">
        <w:rPr>
          <w:i/>
        </w:rPr>
        <w:t xml:space="preserve"> and at least one other ALK inhibitor; or</w:t>
      </w:r>
    </w:p>
    <w:p w:rsidR="00D51DCD" w:rsidRPr="00C35A2C" w:rsidRDefault="00D51DCD" w:rsidP="00C35A2C">
      <w:pPr>
        <w:pStyle w:val="ListBullet"/>
        <w:ind w:left="720"/>
        <w:rPr>
          <w:i/>
        </w:rPr>
      </w:pPr>
      <w:proofErr w:type="spellStart"/>
      <w:r w:rsidRPr="00C35A2C">
        <w:rPr>
          <w:i/>
        </w:rPr>
        <w:t>Alectinib</w:t>
      </w:r>
      <w:proofErr w:type="spellEnd"/>
      <w:r w:rsidRPr="00C35A2C">
        <w:rPr>
          <w:i/>
        </w:rPr>
        <w:t xml:space="preserve"> as the first ALK inhibitor therapy; or</w:t>
      </w:r>
    </w:p>
    <w:p w:rsidR="00D51DCD" w:rsidRPr="00C35A2C" w:rsidRDefault="00D51DCD" w:rsidP="00C35A2C">
      <w:pPr>
        <w:pStyle w:val="ListBullet"/>
        <w:ind w:left="720"/>
        <w:rPr>
          <w:i/>
        </w:rPr>
      </w:pPr>
      <w:proofErr w:type="spellStart"/>
      <w:r w:rsidRPr="00C35A2C">
        <w:rPr>
          <w:i/>
        </w:rPr>
        <w:t>Ceritinib</w:t>
      </w:r>
      <w:proofErr w:type="spellEnd"/>
      <w:r w:rsidRPr="00C35A2C">
        <w:rPr>
          <w:i/>
        </w:rPr>
        <w:t xml:space="preserve"> as the first ALK inhibitor therapy.</w:t>
      </w:r>
    </w:p>
    <w:p w:rsidR="00D51DCD" w:rsidRPr="00C35A2C" w:rsidRDefault="00D51DCD" w:rsidP="00C35A2C">
      <w:pPr>
        <w:ind w:left="360"/>
        <w:rPr>
          <w:i/>
        </w:rPr>
      </w:pPr>
      <w:r w:rsidRPr="00C35A2C">
        <w:rPr>
          <w:i/>
        </w:rPr>
        <w:t xml:space="preserve">The decision to approve this indication has been made </w:t>
      </w:r>
      <w:proofErr w:type="gramStart"/>
      <w:r w:rsidRPr="00C35A2C">
        <w:rPr>
          <w:i/>
        </w:rPr>
        <w:t>on the basis of</w:t>
      </w:r>
      <w:proofErr w:type="gramEnd"/>
      <w:r w:rsidRPr="00C35A2C">
        <w:rPr>
          <w:i/>
        </w:rPr>
        <w:t xml:space="preserve"> tumour response rate and duration of response in a single arm study. Continued approval of this indication depends on verification and description of benefit in a confirmatory trial.</w:t>
      </w:r>
    </w:p>
    <w:p w:rsidR="00D23139" w:rsidRPr="00D23139" w:rsidRDefault="00D51DCD" w:rsidP="00D23139">
      <w:r>
        <w:t xml:space="preserve">The provisional registration period for the above medicine </w:t>
      </w:r>
      <w:proofErr w:type="gramStart"/>
      <w:r>
        <w:t xml:space="preserve">is </w:t>
      </w:r>
      <w:r w:rsidRPr="003A4BF7">
        <w:rPr>
          <w:b/>
        </w:rPr>
        <w:t>two years</w:t>
      </w:r>
      <w:r>
        <w:t xml:space="preserve"> starting on the day specified</w:t>
      </w:r>
      <w:proofErr w:type="gramEnd"/>
      <w:r>
        <w:t xml:space="preserve"> in the ARTG certificate of registration.</w:t>
      </w:r>
    </w:p>
    <w:p w:rsidR="00D23139" w:rsidRPr="00D23139" w:rsidRDefault="00D23139" w:rsidP="00DF1B20">
      <w:pPr>
        <w:pStyle w:val="Heading4"/>
      </w:pPr>
      <w:r w:rsidRPr="00D23139">
        <w:t>Specific conditions of registration applying to these goods</w:t>
      </w:r>
    </w:p>
    <w:p w:rsidR="00D51DCD" w:rsidRPr="003A4BF7" w:rsidRDefault="00D51DCD" w:rsidP="00D51DCD">
      <w:pPr>
        <w:pStyle w:val="ListBullet"/>
      </w:pPr>
      <w:proofErr w:type="spellStart"/>
      <w:r w:rsidRPr="003A4BF7">
        <w:t>Lorviqua</w:t>
      </w:r>
      <w:proofErr w:type="spellEnd"/>
      <w:r w:rsidRPr="003A4BF7">
        <w:t xml:space="preserve"> (</w:t>
      </w:r>
      <w:proofErr w:type="spellStart"/>
      <w:r w:rsidRPr="003A4BF7">
        <w:t>lorlatinib</w:t>
      </w:r>
      <w:proofErr w:type="spellEnd"/>
      <w:r w:rsidRPr="003A4BF7">
        <w:t>) is to be included in the Black Tria</w:t>
      </w:r>
      <w:r>
        <w:t xml:space="preserve">ngle Scheme. The </w:t>
      </w:r>
      <w:r w:rsidR="00702712">
        <w:t>PI</w:t>
      </w:r>
      <w:r>
        <w:t xml:space="preserve"> and </w:t>
      </w:r>
      <w:r w:rsidR="00702712">
        <w:t>CMI</w:t>
      </w:r>
      <w:r>
        <w:t xml:space="preserve"> for </w:t>
      </w:r>
      <w:proofErr w:type="spellStart"/>
      <w:r w:rsidRPr="003A4BF7">
        <w:t>Lorviqua</w:t>
      </w:r>
      <w:proofErr w:type="spellEnd"/>
      <w:r w:rsidRPr="003A4BF7">
        <w:t xml:space="preserve"> must include the black triangle symbol and mand</w:t>
      </w:r>
      <w:r>
        <w:t xml:space="preserve">atory accompanying text for the </w:t>
      </w:r>
      <w:r w:rsidRPr="003A4BF7">
        <w:t>products entire period of provisional registration.</w:t>
      </w:r>
    </w:p>
    <w:p w:rsidR="00D51DCD" w:rsidRPr="003A4BF7" w:rsidRDefault="00D51DCD" w:rsidP="00D51DCD">
      <w:pPr>
        <w:pStyle w:val="ListBullet"/>
      </w:pPr>
      <w:r w:rsidRPr="003A4BF7">
        <w:t>Confirmatory trial data (as identified in the sponsor’s plan t</w:t>
      </w:r>
      <w:r>
        <w:t xml:space="preserve">o submit comprehensive clinical </w:t>
      </w:r>
      <w:r w:rsidRPr="003A4BF7">
        <w:t xml:space="preserve">data on the safety and efficacy of the medicine before the end of </w:t>
      </w:r>
      <w:r>
        <w:t xml:space="preserve">the 6 years that would start on </w:t>
      </w:r>
      <w:r w:rsidRPr="003A4BF7">
        <w:t xml:space="preserve">the day that registration would commence) </w:t>
      </w:r>
      <w:proofErr w:type="gramStart"/>
      <w:r w:rsidRPr="003A4BF7">
        <w:t>must be provided</w:t>
      </w:r>
      <w:proofErr w:type="gramEnd"/>
      <w:r>
        <w:t xml:space="preserve">. Specifically the sponsor must </w:t>
      </w:r>
      <w:r w:rsidRPr="003A4BF7">
        <w:t>conduct studies as described in the clinical study plan subm</w:t>
      </w:r>
      <w:r>
        <w:t xml:space="preserve">itted with version 0.1 (date 11 </w:t>
      </w:r>
      <w:r w:rsidRPr="003A4BF7">
        <w:t>April 2018) of the Australia-Specific Annex. The following stud</w:t>
      </w:r>
      <w:r>
        <w:t xml:space="preserve">y report(s) should be submitted </w:t>
      </w:r>
      <w:r w:rsidRPr="003A4BF7">
        <w:t>to TGA:</w:t>
      </w:r>
    </w:p>
    <w:p w:rsidR="00D51DCD" w:rsidRPr="003A4BF7" w:rsidRDefault="00D51DCD" w:rsidP="00D51DCD">
      <w:pPr>
        <w:pStyle w:val="ListBullet2"/>
      </w:pPr>
      <w:r w:rsidRPr="003A4BF7">
        <w:t>B7461006</w:t>
      </w:r>
      <w:r>
        <w:t xml:space="preserve">; A Phase III, randomised, open </w:t>
      </w:r>
      <w:r w:rsidRPr="003A4BF7">
        <w:t>label st</w:t>
      </w:r>
      <w:r>
        <w:t xml:space="preserve">udy of </w:t>
      </w:r>
      <w:proofErr w:type="spellStart"/>
      <w:r>
        <w:t>lorlatinib</w:t>
      </w:r>
      <w:proofErr w:type="spellEnd"/>
      <w:r>
        <w:t xml:space="preserve"> (PF-06463922) </w:t>
      </w:r>
      <w:r w:rsidRPr="003A4BF7">
        <w:t xml:space="preserve">monotherapy versus </w:t>
      </w:r>
      <w:proofErr w:type="spellStart"/>
      <w:r w:rsidRPr="003A4BF7">
        <w:t>crizotinib</w:t>
      </w:r>
      <w:proofErr w:type="spellEnd"/>
      <w:r w:rsidRPr="003A4BF7">
        <w:t xml:space="preserve"> monotherapy in the first-</w:t>
      </w:r>
      <w:r>
        <w:t xml:space="preserve">line treatment of patients </w:t>
      </w:r>
      <w:r>
        <w:lastRenderedPageBreak/>
        <w:t xml:space="preserve">with </w:t>
      </w:r>
      <w:r w:rsidRPr="003A4BF7">
        <w:t>advanced ALK-positive non-small cell lun</w:t>
      </w:r>
      <w:r w:rsidR="00D74C97">
        <w:t>g cancer; by the fourth quarter of</w:t>
      </w:r>
      <w:r w:rsidRPr="003A4BF7">
        <w:t xml:space="preserve"> 2021.</w:t>
      </w:r>
    </w:p>
    <w:p w:rsidR="00D51DCD" w:rsidRPr="003A4BF7" w:rsidRDefault="00D51DCD" w:rsidP="00D51DCD">
      <w:pPr>
        <w:pStyle w:val="ListBullet"/>
      </w:pPr>
      <w:r w:rsidRPr="003A4BF7">
        <w:t xml:space="preserve">The </w:t>
      </w:r>
      <w:proofErr w:type="spellStart"/>
      <w:r w:rsidRPr="003A4BF7">
        <w:t>Lorviqua</w:t>
      </w:r>
      <w:proofErr w:type="spellEnd"/>
      <w:r w:rsidRPr="003A4BF7">
        <w:t xml:space="preserve"> E</w:t>
      </w:r>
      <w:r>
        <w:t>uropean Union</w:t>
      </w:r>
      <w:r w:rsidRPr="003A4BF7">
        <w:t>-Risk Management Plan (</w:t>
      </w:r>
      <w:r>
        <w:t>EU-</w:t>
      </w:r>
      <w:r w:rsidRPr="003A4BF7">
        <w:t>RMP) (version 1.</w:t>
      </w:r>
      <w:r>
        <w:t xml:space="preserve">0, dated 26 February 2019, data </w:t>
      </w:r>
      <w:r w:rsidRPr="003A4BF7">
        <w:t>lock point 2 February 2018), with Australian Specific Anne</w:t>
      </w:r>
      <w:r>
        <w:t xml:space="preserve">x (version 0.2, dated 26 August </w:t>
      </w:r>
      <w:r w:rsidRPr="003A4BF7">
        <w:t>2019), included with submission PM-2018-04291-1-4, to be rev</w:t>
      </w:r>
      <w:r>
        <w:t xml:space="preserve">ised to the satisfaction of the </w:t>
      </w:r>
      <w:r w:rsidRPr="003A4BF7">
        <w:t>TGA, will be implemented in Australia.</w:t>
      </w:r>
    </w:p>
    <w:p w:rsidR="00D51DCD" w:rsidRPr="003A4BF7" w:rsidRDefault="00D51DCD" w:rsidP="00D51DCD">
      <w:pPr>
        <w:pStyle w:val="ListBullet"/>
        <w:numPr>
          <w:ilvl w:val="0"/>
          <w:numId w:val="0"/>
        </w:numPr>
        <w:ind w:left="360"/>
      </w:pPr>
      <w:r w:rsidRPr="003A4BF7">
        <w:t>An obligatory component of risk management plans is rou</w:t>
      </w:r>
      <w:r>
        <w:t xml:space="preserve">tine pharmacovigilance. Routine </w:t>
      </w:r>
      <w:r w:rsidRPr="003A4BF7">
        <w:t>pharmacovigilance includes the submission of periodic safety update reports (PSURs).</w:t>
      </w:r>
    </w:p>
    <w:p w:rsidR="00D51DCD" w:rsidRPr="003A4BF7" w:rsidRDefault="00D51DCD" w:rsidP="00D51DCD">
      <w:pPr>
        <w:pStyle w:val="ListBullet"/>
        <w:numPr>
          <w:ilvl w:val="0"/>
          <w:numId w:val="0"/>
        </w:numPr>
        <w:ind w:left="360"/>
      </w:pPr>
      <w:r w:rsidRPr="003A4BF7">
        <w:t xml:space="preserve">Reports are to </w:t>
      </w:r>
      <w:proofErr w:type="gramStart"/>
      <w:r w:rsidRPr="003A4BF7">
        <w:t>be provided</w:t>
      </w:r>
      <w:proofErr w:type="gramEnd"/>
      <w:r w:rsidRPr="003A4BF7">
        <w:t xml:space="preserve"> in line with the current published</w:t>
      </w:r>
      <w:r>
        <w:t xml:space="preserve"> list of EU reference dates and </w:t>
      </w:r>
      <w:r w:rsidRPr="003A4BF7">
        <w:t>frequency of submission of PSURs until the period covered b</w:t>
      </w:r>
      <w:r>
        <w:t xml:space="preserve">y such reports is not less than </w:t>
      </w:r>
      <w:r w:rsidRPr="003A4BF7">
        <w:t>three years from the date of this approval letter.</w:t>
      </w:r>
    </w:p>
    <w:p w:rsidR="009752A5" w:rsidRDefault="00D51DCD" w:rsidP="00D51DCD">
      <w:pPr>
        <w:pStyle w:val="ListBullet"/>
        <w:numPr>
          <w:ilvl w:val="0"/>
          <w:numId w:val="0"/>
        </w:numPr>
        <w:ind w:left="360"/>
      </w:pPr>
      <w:r w:rsidRPr="003A4BF7">
        <w:t xml:space="preserve">The reports are </w:t>
      </w:r>
      <w:proofErr w:type="gramStart"/>
      <w:r w:rsidRPr="003A4BF7">
        <w:t>to at least meet</w:t>
      </w:r>
      <w:proofErr w:type="gramEnd"/>
      <w:r w:rsidRPr="003A4BF7">
        <w:t xml:space="preserve"> the requirements for PSU</w:t>
      </w:r>
      <w:r>
        <w:t xml:space="preserve">Rs as described in the European </w:t>
      </w:r>
      <w:r w:rsidRPr="003A4BF7">
        <w:t>Medicines Agency’s Guidel</w:t>
      </w:r>
      <w:r>
        <w:t>ine on Good P</w:t>
      </w:r>
      <w:r w:rsidRPr="003A4BF7">
        <w:t>harmacovigil</w:t>
      </w:r>
      <w:r>
        <w:t xml:space="preserve">ance Practices (GVP) Module VII </w:t>
      </w:r>
      <w:r w:rsidRPr="003A4BF7">
        <w:t>periodic safety update report (Rev 1), Part VII.B Stru</w:t>
      </w:r>
      <w:r>
        <w:t xml:space="preserve">ctures and processes. Note that </w:t>
      </w:r>
      <w:r w:rsidRPr="003A4BF7">
        <w:t>submission of a PSUR does not constitute an application to vary the registration.</w:t>
      </w:r>
    </w:p>
    <w:p w:rsidR="008E7846" w:rsidRDefault="00A80B5B" w:rsidP="00D23139">
      <w:pPr>
        <w:pStyle w:val="Heading2"/>
      </w:pPr>
      <w:bookmarkStart w:id="70" w:name="_Toc33165816"/>
      <w:r>
        <w:t xml:space="preserve">Attachment 1. </w:t>
      </w:r>
      <w:r w:rsidR="008E7846">
        <w:t xml:space="preserve">Product </w:t>
      </w:r>
      <w:r w:rsidR="00AA0ED0">
        <w:t>I</w:t>
      </w:r>
      <w:r w:rsidR="008E7846">
        <w:t>nformation</w:t>
      </w:r>
      <w:bookmarkEnd w:id="68"/>
      <w:bookmarkEnd w:id="69"/>
      <w:bookmarkEnd w:id="70"/>
    </w:p>
    <w:p w:rsidR="00770CAC" w:rsidRPr="00D51DCD" w:rsidRDefault="006136D7" w:rsidP="00D51DCD">
      <w:pPr>
        <w:rPr>
          <w:color w:val="000000"/>
          <w:lang w:eastAsia="en-AU"/>
        </w:rPr>
      </w:pPr>
      <w:r w:rsidRPr="002B3624">
        <w:t xml:space="preserve">The </w:t>
      </w:r>
      <w:r>
        <w:t>PI</w:t>
      </w:r>
      <w:r w:rsidRPr="002B3624">
        <w:t xml:space="preserve"> for </w:t>
      </w:r>
      <w:proofErr w:type="spellStart"/>
      <w:r w:rsidR="00D51DCD">
        <w:t>Lorviqua</w:t>
      </w:r>
      <w:proofErr w:type="spellEnd"/>
      <w:r w:rsidRPr="002B3624">
        <w:t xml:space="preserve"> </w:t>
      </w:r>
      <w:r>
        <w:t xml:space="preserve">approved with the </w:t>
      </w:r>
      <w:proofErr w:type="gramStart"/>
      <w:r>
        <w:t xml:space="preserve">submission which is described in </w:t>
      </w:r>
      <w:r w:rsidRPr="002B3624">
        <w:t xml:space="preserve">this </w:t>
      </w:r>
      <w:proofErr w:type="spellStart"/>
      <w:r w:rsidRPr="002B3624">
        <w:t>AusPAR</w:t>
      </w:r>
      <w:proofErr w:type="spellEnd"/>
      <w:proofErr w:type="gramEnd"/>
      <w:r w:rsidRPr="002B3624">
        <w:t xml:space="preserve"> is at Attachment 1. For the most recent </w:t>
      </w:r>
      <w:r>
        <w:t>PI,</w:t>
      </w:r>
      <w:r w:rsidRPr="002B3624">
        <w:t xml:space="preserve"> please refer to the </w:t>
      </w:r>
      <w:r w:rsidRPr="007C6B9B">
        <w:t xml:space="preserve">TGA website at </w:t>
      </w:r>
      <w:r w:rsidR="007C6B9B" w:rsidRPr="007C6B9B">
        <w:t>&lt;</w:t>
      </w:r>
      <w:hyperlink r:id="rId28" w:history="1">
        <w:r w:rsidR="007C6B9B" w:rsidRPr="007C6B9B">
          <w:rPr>
            <w:rStyle w:val="Hyperlink"/>
          </w:rPr>
          <w:t>https://www.tga.gov.au/product-information-pi</w:t>
        </w:r>
      </w:hyperlink>
      <w:r w:rsidR="00D51DCD">
        <w:t>&gt;.</w:t>
      </w:r>
    </w:p>
    <w:p w:rsidR="00291957" w:rsidRDefault="00291957" w:rsidP="00291957">
      <w:pPr>
        <w:rPr>
          <w:lang w:eastAsia="ja-JP"/>
        </w:rPr>
      </w:pPr>
    </w:p>
    <w:p w:rsidR="00C80137" w:rsidRPr="001D043B" w:rsidRDefault="00C80137" w:rsidP="003A7F6C">
      <w:pPr>
        <w:pStyle w:val="TableTitle"/>
        <w:sectPr w:rsidR="00C80137" w:rsidRPr="001D043B" w:rsidSect="00B452CE">
          <w:headerReference w:type="even" r:id="rId29"/>
          <w:headerReference w:type="default" r:id="rId30"/>
          <w:headerReference w:type="first" r:id="rId31"/>
          <w:footerReference w:type="first" r:id="rId32"/>
          <w:pgSz w:w="11906" w:h="16838" w:code="9"/>
          <w:pgMar w:top="834" w:right="1701" w:bottom="1191" w:left="1701" w:header="907" w:footer="216" w:gutter="0"/>
          <w:cols w:space="708"/>
          <w:docGrid w:linePitch="360"/>
        </w:sectPr>
      </w:pPr>
    </w:p>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1C32CD" w:rsidRPr="00487162" w:rsidTr="00A05FA4">
        <w:trPr>
          <w:trHeight w:hRule="exact" w:val="704"/>
        </w:trPr>
        <w:tc>
          <w:tcPr>
            <w:tcW w:w="9175" w:type="dxa"/>
          </w:tcPr>
          <w:p w:rsidR="001C32CD" w:rsidRPr="00487162" w:rsidRDefault="001C32CD" w:rsidP="00A05FA4">
            <w:pPr>
              <w:pStyle w:val="TGASignoff"/>
            </w:pPr>
            <w:r w:rsidRPr="00487162">
              <w:lastRenderedPageBreak/>
              <w:t>Therapeutic Goods Administration</w:t>
            </w:r>
          </w:p>
        </w:tc>
      </w:tr>
      <w:tr w:rsidR="001C32CD" w:rsidRPr="004C239D" w:rsidTr="00A05FA4">
        <w:trPr>
          <w:trHeight w:val="1221"/>
        </w:trPr>
        <w:tc>
          <w:tcPr>
            <w:tcW w:w="9175" w:type="dxa"/>
            <w:tcMar>
              <w:top w:w="28" w:type="dxa"/>
            </w:tcMar>
          </w:tcPr>
          <w:p w:rsidR="001C32CD" w:rsidRPr="00487162" w:rsidRDefault="001C32CD" w:rsidP="00A05FA4">
            <w:pPr>
              <w:pStyle w:val="Address"/>
            </w:pPr>
            <w:r w:rsidRPr="00487162">
              <w:t>PO Box 100 Woden ACT 2606 Australia</w:t>
            </w:r>
          </w:p>
          <w:p w:rsidR="001C32CD" w:rsidRPr="00487162" w:rsidRDefault="001C32CD" w:rsidP="00A05FA4">
            <w:pPr>
              <w:pStyle w:val="Address"/>
            </w:pPr>
            <w:r w:rsidRPr="00487162">
              <w:t xml:space="preserve">Email: </w:t>
            </w:r>
            <w:hyperlink r:id="rId33" w:history="1">
              <w:r w:rsidRPr="004C239D">
                <w:rPr>
                  <w:rStyle w:val="Hyperlink"/>
                </w:rPr>
                <w:t>info@tga.gov.au</w:t>
              </w:r>
            </w:hyperlink>
            <w:r w:rsidRPr="00487162">
              <w:t xml:space="preserve">  Phone: 1800 020 653  Fax: 02 6232 8605</w:t>
            </w:r>
          </w:p>
          <w:p w:rsidR="001C32CD" w:rsidRPr="004C239D" w:rsidRDefault="009339F6" w:rsidP="00A05FA4">
            <w:pPr>
              <w:pStyle w:val="Address"/>
              <w:spacing w:line="260" w:lineRule="atLeast"/>
              <w:rPr>
                <w:b/>
                <w:color w:val="0000FF"/>
                <w:u w:val="single"/>
              </w:rPr>
            </w:pPr>
            <w:hyperlink r:id="rId34" w:history="1">
              <w:r w:rsidR="007C6B9B" w:rsidRPr="007C6B9B">
                <w:rPr>
                  <w:rStyle w:val="Hyperlink"/>
                  <w:b/>
                </w:rPr>
                <w:t>https://www.tga.gov.au</w:t>
              </w:r>
            </w:hyperlink>
          </w:p>
        </w:tc>
      </w:tr>
    </w:tbl>
    <w:p w:rsidR="00774E1D" w:rsidRPr="008A5E0B" w:rsidRDefault="00774E1D" w:rsidP="004C239D"/>
    <w:sectPr w:rsidR="00774E1D" w:rsidRPr="008A5E0B" w:rsidSect="001C32CD">
      <w:headerReference w:type="even" r:id="rId35"/>
      <w:headerReference w:type="default" r:id="rId36"/>
      <w:footerReference w:type="default" r:id="rId37"/>
      <w:headerReference w:type="first" r:id="rId38"/>
      <w:footerReference w:type="first" r:id="rId39"/>
      <w:pgSz w:w="11906" w:h="16838" w:code="9"/>
      <w:pgMar w:top="13467" w:right="1701" w:bottom="426" w:left="1701" w:header="907"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A7237" w:rsidRDefault="00BA7237" w:rsidP="00C40A36">
      <w:pPr>
        <w:spacing w:after="0"/>
      </w:pPr>
      <w:r>
        <w:separator/>
      </w:r>
    </w:p>
  </w:endnote>
  <w:endnote w:type="continuationSeparator" w:id="0">
    <w:p w:rsidR="00BA7237" w:rsidRDefault="00BA7237"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Helv">
    <w:panose1 w:val="020B060402020203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MS Mincho">
    <w:altName w:val="ＭＳ 明朝"/>
    <w:panose1 w:val="02020609040205080304"/>
    <w:charset w:val="80"/>
    <w:family w:val="modern"/>
    <w:pitch w:val="fixed"/>
    <w:sig w:usb0="E00002FF" w:usb1="6AC7FDFB" w:usb2="00000012" w:usb3="00000000" w:csb0="0002009F" w:csb1="00000000"/>
  </w:font>
  <w:font w:name="TimesNewRoman">
    <w:altName w:val="Yu Gothic UI"/>
    <w:panose1 w:val="00000000000000000000"/>
    <w:charset w:val="80"/>
    <w:family w:val="auto"/>
    <w:notTrueType/>
    <w:pitch w:val="default"/>
    <w:sig w:usb0="00000001" w:usb1="08070000" w:usb2="00000010" w:usb3="00000000" w:csb0="00020000" w:csb1="00000000"/>
  </w:font>
  <w:font w:name="ArialMT">
    <w:panose1 w:val="00000000000000000000"/>
    <w:charset w:val="00"/>
    <w:family w:val="swiss"/>
    <w:notTrueType/>
    <w:pitch w:val="default"/>
    <w:sig w:usb0="00000003" w:usb1="00000000" w:usb2="00000000" w:usb3="00000000" w:csb0="00000001" w:csb1="00000000"/>
  </w:font>
  <w:font w:name="SymbolMT">
    <w:panose1 w:val="00000000000000000000"/>
    <w:charset w:val="00"/>
    <w:family w:val="auto"/>
    <w:notTrueType/>
    <w:pitch w:val="default"/>
    <w:sig w:usb0="00000003" w:usb1="00000000" w:usb2="00000000" w:usb3="00000000" w:csb0="00000001" w:csb1="00000000"/>
  </w:font>
  <w:font w:name="Wingdings 3">
    <w:panose1 w:val="050401020108070707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MingLiU">
    <w:altName w:val="細明體"/>
    <w:panose1 w:val="02010609000101010101"/>
    <w:charset w:val="88"/>
    <w:family w:val="modern"/>
    <w:pitch w:val="fixed"/>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861"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7371"/>
      <w:gridCol w:w="1490"/>
    </w:tblGrid>
    <w:tr w:rsidR="00BA7237" w:rsidRPr="00487162" w:rsidTr="00DB750B">
      <w:trPr>
        <w:trHeight w:val="269"/>
      </w:trPr>
      <w:tc>
        <w:tcPr>
          <w:tcW w:w="7371" w:type="dxa"/>
          <w:tcMar>
            <w:top w:w="142" w:type="dxa"/>
            <w:bottom w:w="0" w:type="dxa"/>
          </w:tcMar>
        </w:tcPr>
        <w:p w:rsidR="00BA7237" w:rsidRPr="00487162" w:rsidRDefault="00BA7237" w:rsidP="00F227CF">
          <w:pPr>
            <w:pStyle w:val="Footer"/>
          </w:pPr>
          <w:proofErr w:type="spellStart"/>
          <w:r w:rsidRPr="00487162">
            <w:t>AusPA</w:t>
          </w:r>
          <w:r>
            <w:t>R</w:t>
          </w:r>
          <w:proofErr w:type="spellEnd"/>
          <w:r>
            <w:t xml:space="preserve"> - </w:t>
          </w:r>
          <w:r w:rsidRPr="00D51814">
            <w:t xml:space="preserve">LORVIQUA - </w:t>
          </w:r>
          <w:proofErr w:type="spellStart"/>
          <w:r w:rsidRPr="00D51814">
            <w:t>Lorlatinib</w:t>
          </w:r>
          <w:proofErr w:type="spellEnd"/>
          <w:r w:rsidRPr="00D51814">
            <w:t xml:space="preserve"> - Pfizer Australia Pty Ltd - PM-2018-04291-1-4</w:t>
          </w:r>
          <w:r>
            <w:br/>
            <w:t>FINAL 21 February2020</w:t>
          </w:r>
        </w:p>
      </w:tc>
      <w:tc>
        <w:tcPr>
          <w:tcW w:w="1490" w:type="dxa"/>
          <w:tcMar>
            <w:top w:w="142" w:type="dxa"/>
            <w:bottom w:w="0" w:type="dxa"/>
          </w:tcMar>
        </w:tcPr>
        <w:p w:rsidR="00BA7237" w:rsidRPr="00487162" w:rsidRDefault="00BA7237" w:rsidP="00DB750B">
          <w:pPr>
            <w:pStyle w:val="Footer"/>
            <w:jc w:val="right"/>
          </w:pPr>
          <w:r w:rsidRPr="00487162">
            <w:t xml:space="preserve">Page </w:t>
          </w:r>
          <w:r>
            <w:fldChar w:fldCharType="begin"/>
          </w:r>
          <w:r>
            <w:instrText xml:space="preserve"> PAGE  \* Arabic </w:instrText>
          </w:r>
          <w:r>
            <w:fldChar w:fldCharType="separate"/>
          </w:r>
          <w:r w:rsidR="009339F6">
            <w:rPr>
              <w:noProof/>
            </w:rPr>
            <w:t>21</w:t>
          </w:r>
          <w:r>
            <w:fldChar w:fldCharType="end"/>
          </w:r>
          <w:r w:rsidRPr="00487162">
            <w:t xml:space="preserve"> of </w:t>
          </w:r>
          <w:r w:rsidR="009339F6">
            <w:fldChar w:fldCharType="begin"/>
          </w:r>
          <w:r w:rsidR="009339F6">
            <w:instrText xml:space="preserve"> NUMPAGES  \* Arabic </w:instrText>
          </w:r>
          <w:r w:rsidR="009339F6">
            <w:fldChar w:fldCharType="separate"/>
          </w:r>
          <w:r w:rsidR="009339F6">
            <w:rPr>
              <w:noProof/>
            </w:rPr>
            <w:t>29</w:t>
          </w:r>
          <w:r w:rsidR="009339F6">
            <w:rPr>
              <w:noProof/>
            </w:rPr>
            <w:fldChar w:fldCharType="end"/>
          </w:r>
        </w:p>
      </w:tc>
    </w:tr>
  </w:tbl>
  <w:p w:rsidR="00BA7237" w:rsidRDefault="00BA7237" w:rsidP="003D1E6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BA7237" w:rsidRPr="00487162" w:rsidTr="00E45619">
      <w:trPr>
        <w:trHeight w:val="269"/>
      </w:trPr>
      <w:tc>
        <w:tcPr>
          <w:tcW w:w="4519" w:type="dxa"/>
          <w:tcBorders>
            <w:top w:val="single" w:sz="4" w:space="0" w:color="auto"/>
          </w:tcBorders>
          <w:tcMar>
            <w:top w:w="142" w:type="dxa"/>
            <w:bottom w:w="0" w:type="dxa"/>
          </w:tcMar>
        </w:tcPr>
        <w:p w:rsidR="00BA7237" w:rsidRPr="00487162" w:rsidRDefault="00BA7237" w:rsidP="00FE1DEE">
          <w:pPr>
            <w:pStyle w:val="Footer"/>
          </w:pPr>
          <w:r w:rsidRPr="00487162">
            <w:t>Document title, Part #, Section # - Section title</w:t>
          </w:r>
        </w:p>
        <w:p w:rsidR="00BA7237" w:rsidRPr="00487162" w:rsidRDefault="00BA7237" w:rsidP="00FE1DEE">
          <w:pPr>
            <w:pStyle w:val="Footer"/>
          </w:pPr>
          <w:r w:rsidRPr="00487162">
            <w:t>V1.0 October 2010</w:t>
          </w:r>
        </w:p>
      </w:tc>
      <w:tc>
        <w:tcPr>
          <w:tcW w:w="4342" w:type="dxa"/>
          <w:tcBorders>
            <w:top w:val="single" w:sz="4" w:space="0" w:color="auto"/>
          </w:tcBorders>
          <w:tcMar>
            <w:top w:w="142" w:type="dxa"/>
            <w:bottom w:w="0" w:type="dxa"/>
          </w:tcMar>
        </w:tcPr>
        <w:p w:rsidR="00BA7237" w:rsidRPr="00487162" w:rsidRDefault="00BA7237"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r w:rsidR="009339F6">
            <w:fldChar w:fldCharType="begin"/>
          </w:r>
          <w:r w:rsidR="009339F6">
            <w:instrText xml:space="preserve"> NUMPAGES  </w:instrText>
          </w:r>
          <w:r w:rsidR="009339F6">
            <w:fldChar w:fldCharType="separate"/>
          </w:r>
          <w:r>
            <w:rPr>
              <w:noProof/>
            </w:rPr>
            <w:t>3</w:t>
          </w:r>
          <w:r w:rsidR="009339F6">
            <w:rPr>
              <w:noProof/>
            </w:rPr>
            <w:fldChar w:fldCharType="end"/>
          </w:r>
        </w:p>
      </w:tc>
    </w:tr>
  </w:tbl>
  <w:p w:rsidR="00BA7237" w:rsidRDefault="00BA723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7237" w:rsidRPr="001C32CD" w:rsidRDefault="00BA7237" w:rsidP="001C32C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BA7237" w:rsidTr="0010601F">
      <w:trPr>
        <w:trHeight w:val="108"/>
      </w:trPr>
      <w:tc>
        <w:tcPr>
          <w:tcW w:w="8875" w:type="dxa"/>
          <w:gridSpan w:val="2"/>
          <w:tcBorders>
            <w:bottom w:val="single" w:sz="4" w:space="0" w:color="auto"/>
          </w:tcBorders>
          <w:tcMar>
            <w:right w:w="284" w:type="dxa"/>
          </w:tcMar>
        </w:tcPr>
        <w:p w:rsidR="00BA7237" w:rsidRDefault="00BA7237" w:rsidP="006E08B3">
          <w:pPr>
            <w:pStyle w:val="Heading3"/>
          </w:pPr>
          <w:r>
            <w:t>Copyright</w:t>
          </w:r>
        </w:p>
        <w:p w:rsidR="00BA7237" w:rsidRDefault="00BA7237" w:rsidP="006E08B3">
          <w:r>
            <w:rPr>
              <w:rFonts w:cs="Arial"/>
            </w:rPr>
            <w:t>©</w:t>
          </w:r>
          <w:r>
            <w:t xml:space="preserve"> Commonwealth of Australia [add year]</w:t>
          </w:r>
        </w:p>
        <w:p w:rsidR="00BA7237" w:rsidRDefault="00BA7237" w:rsidP="006E08B3"/>
        <w:p w:rsidR="00BA7237" w:rsidRDefault="00BA7237"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rsidR="00BA7237" w:rsidRDefault="00BA7237" w:rsidP="006E08B3"/>
        <w:p w:rsidR="00BA7237" w:rsidRDefault="00BA7237" w:rsidP="006E08B3">
          <w:pPr>
            <w:pStyle w:val="Heading3"/>
          </w:pPr>
          <w:r>
            <w:t>Confidentiality</w:t>
          </w:r>
        </w:p>
        <w:p w:rsidR="00BA7237" w:rsidRDefault="00BA7237" w:rsidP="006E08B3">
          <w:r>
            <w:t xml:space="preserve">All submissions received </w:t>
          </w:r>
          <w:proofErr w:type="gramStart"/>
          <w:r>
            <w:t>will be placed</w:t>
          </w:r>
          <w:proofErr w:type="gramEnd"/>
          <w:r>
            <w:t xml:space="preserve"> on the TGA’s Internet site, unless marked confidential. Any confidential material contained within your submission </w:t>
          </w:r>
          <w:proofErr w:type="gramStart"/>
          <w:r>
            <w:t>should be provided</w:t>
          </w:r>
          <w:proofErr w:type="gramEnd"/>
          <w:r>
            <w:t xml:space="preserve"> under a separate cover and clearly marked “IN CONFIDENCE”. Reasons for a claim to confidentiality must be included in the space provided on the TGA submission coversheet.</w:t>
          </w:r>
        </w:p>
        <w:p w:rsidR="00BA7237" w:rsidRDefault="00BA7237" w:rsidP="006E08B3"/>
        <w:p w:rsidR="00BA7237" w:rsidRDefault="00BA7237" w:rsidP="006E08B3">
          <w:r>
            <w:t xml:space="preserve">For submission made by individuals, all personal details, other than your name, </w:t>
          </w:r>
          <w:proofErr w:type="gramStart"/>
          <w:r>
            <w:t>will be removed</w:t>
          </w:r>
          <w:proofErr w:type="gramEnd"/>
          <w:r>
            <w:t xml:space="preserve"> from your submission before it is published on the TGA’s Internet site.</w:t>
          </w:r>
        </w:p>
        <w:p w:rsidR="00BA7237" w:rsidRDefault="00BA7237" w:rsidP="006E08B3"/>
        <w:p w:rsidR="00BA7237" w:rsidRDefault="00BA7237" w:rsidP="006E08B3">
          <w:r>
            <w:t xml:space="preserve">In addition, a list of parties making submissions </w:t>
          </w:r>
          <w:proofErr w:type="gramStart"/>
          <w:r>
            <w:t>will be published</w:t>
          </w:r>
          <w:proofErr w:type="gramEnd"/>
          <w:r>
            <w:t xml:space="preserve">. If you do not wish to be identified with your </w:t>
          </w:r>
          <w:proofErr w:type="gramStart"/>
          <w:r>
            <w:t>submission</w:t>
          </w:r>
          <w:proofErr w:type="gramEnd"/>
          <w:r>
            <w:t xml:space="preserve"> you must specifically request this in the space provided </w:t>
          </w:r>
          <w:proofErr w:type="spellStart"/>
          <w:r>
            <w:t>ib</w:t>
          </w:r>
          <w:proofErr w:type="spellEnd"/>
          <w:r>
            <w:t xml:space="preserve"> the submission coversheet.</w:t>
          </w:r>
        </w:p>
      </w:tc>
    </w:tr>
    <w:tr w:rsidR="00BA7237" w:rsidTr="0010601F">
      <w:trPr>
        <w:trHeight w:val="417"/>
      </w:trPr>
      <w:tc>
        <w:tcPr>
          <w:tcW w:w="4519" w:type="dxa"/>
          <w:tcBorders>
            <w:top w:val="single" w:sz="4" w:space="0" w:color="auto"/>
          </w:tcBorders>
          <w:tcMar>
            <w:top w:w="142" w:type="dxa"/>
            <w:bottom w:w="0" w:type="dxa"/>
          </w:tcMar>
        </w:tcPr>
        <w:p w:rsidR="00BA7237" w:rsidRDefault="00BA7237" w:rsidP="006E08B3">
          <w:r>
            <w:t>Document title, Part #, Section # - Section title</w:t>
          </w:r>
        </w:p>
        <w:p w:rsidR="00BA7237" w:rsidRDefault="00BA7237" w:rsidP="006E08B3">
          <w:r>
            <w:t>V1.0 October 2010</w:t>
          </w:r>
        </w:p>
      </w:tc>
      <w:tc>
        <w:tcPr>
          <w:tcW w:w="4356" w:type="dxa"/>
          <w:tcBorders>
            <w:top w:val="single" w:sz="4" w:space="0" w:color="auto"/>
          </w:tcBorders>
          <w:tcMar>
            <w:top w:w="142" w:type="dxa"/>
            <w:bottom w:w="0" w:type="dxa"/>
          </w:tcMar>
        </w:tcPr>
        <w:p w:rsidR="00BA7237" w:rsidRDefault="00BA7237"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r w:rsidR="009339F6">
            <w:fldChar w:fldCharType="begin"/>
          </w:r>
          <w:r w:rsidR="009339F6">
            <w:instrText xml:space="preserve"> NUMPAGES  \* Arabic </w:instrText>
          </w:r>
          <w:r w:rsidR="009339F6">
            <w:fldChar w:fldCharType="separate"/>
          </w:r>
          <w:r>
            <w:rPr>
              <w:noProof/>
            </w:rPr>
            <w:t>3</w:t>
          </w:r>
          <w:r w:rsidR="009339F6">
            <w:rPr>
              <w:noProof/>
            </w:rPr>
            <w:fldChar w:fldCharType="end"/>
          </w:r>
          <w:r>
            <w:t xml:space="preserve">  </w:t>
          </w:r>
        </w:p>
      </w:tc>
    </w:tr>
  </w:tbl>
  <w:p w:rsidR="00BA7237" w:rsidRDefault="00BA7237"/>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A7237" w:rsidRDefault="00BA7237" w:rsidP="00C40A36">
      <w:pPr>
        <w:spacing w:after="0"/>
      </w:pPr>
      <w:r>
        <w:separator/>
      </w:r>
    </w:p>
  </w:footnote>
  <w:footnote w:type="continuationSeparator" w:id="0">
    <w:p w:rsidR="00BA7237" w:rsidRDefault="00BA7237" w:rsidP="00C40A36">
      <w:pPr>
        <w:spacing w:after="0"/>
      </w:pPr>
      <w:r>
        <w:continuationSeparator/>
      </w:r>
    </w:p>
  </w:footnote>
  <w:footnote w:id="1">
    <w:p w:rsidR="00BA7237" w:rsidRPr="00BA7237" w:rsidRDefault="00BA7237">
      <w:pPr>
        <w:pStyle w:val="FootnoteText"/>
        <w:rPr>
          <w:lang w:val="en-GB"/>
        </w:rPr>
      </w:pPr>
      <w:r>
        <w:rPr>
          <w:rStyle w:val="FootnoteReference"/>
        </w:rPr>
        <w:footnoteRef/>
      </w:r>
      <w:r>
        <w:t xml:space="preserve"> Peters S, et al. </w:t>
      </w:r>
      <w:proofErr w:type="spellStart"/>
      <w:r w:rsidRPr="007364C3">
        <w:t>Alectinib</w:t>
      </w:r>
      <w:proofErr w:type="spellEnd"/>
      <w:r w:rsidRPr="007364C3">
        <w:t xml:space="preserve"> versus </w:t>
      </w:r>
      <w:proofErr w:type="spellStart"/>
      <w:r w:rsidRPr="007364C3">
        <w:t>Crizotinib</w:t>
      </w:r>
      <w:proofErr w:type="spellEnd"/>
      <w:r w:rsidRPr="007364C3">
        <w:t xml:space="preserve"> in Untreated ALK-Positive Non–Small-Cell Lung Cancer</w:t>
      </w:r>
      <w:r>
        <w:t xml:space="preserve">. </w:t>
      </w:r>
      <w:r w:rsidRPr="00BA7237">
        <w:rPr>
          <w:i/>
        </w:rPr>
        <w:t xml:space="preserve">N </w:t>
      </w:r>
      <w:proofErr w:type="spellStart"/>
      <w:r w:rsidRPr="00BA7237">
        <w:rPr>
          <w:i/>
        </w:rPr>
        <w:t>Engl</w:t>
      </w:r>
      <w:proofErr w:type="spellEnd"/>
      <w:r w:rsidRPr="00BA7237">
        <w:rPr>
          <w:i/>
        </w:rPr>
        <w:t xml:space="preserve"> J Med</w:t>
      </w:r>
      <w:r>
        <w:t>,</w:t>
      </w:r>
      <w:r w:rsidRPr="007364C3">
        <w:t xml:space="preserve"> 2017; 377:</w:t>
      </w:r>
      <w:r>
        <w:t xml:space="preserve"> </w:t>
      </w:r>
      <w:r w:rsidRPr="007364C3">
        <w:t>829-838</w:t>
      </w:r>
    </w:p>
  </w:footnote>
  <w:footnote w:id="2">
    <w:p w:rsidR="00BA7237" w:rsidRPr="00BA7237" w:rsidRDefault="00BA7237">
      <w:pPr>
        <w:pStyle w:val="FootnoteText"/>
        <w:rPr>
          <w:lang w:val="en-GB"/>
        </w:rPr>
      </w:pPr>
      <w:r>
        <w:rPr>
          <w:rStyle w:val="FootnoteReference"/>
        </w:rPr>
        <w:footnoteRef/>
      </w:r>
      <w:r>
        <w:t xml:space="preserve"> </w:t>
      </w:r>
      <w:r>
        <w:rPr>
          <w:lang w:val="en-GB"/>
        </w:rPr>
        <w:t xml:space="preserve">RECIST; </w:t>
      </w:r>
      <w:r w:rsidRPr="00051480">
        <w:rPr>
          <w:lang w:val="en-GB"/>
        </w:rPr>
        <w:t xml:space="preserve">Response evaluation criteria in solid </w:t>
      </w:r>
      <w:proofErr w:type="spellStart"/>
      <w:r w:rsidRPr="00051480">
        <w:rPr>
          <w:lang w:val="en-GB"/>
        </w:rPr>
        <w:t>tumors</w:t>
      </w:r>
      <w:proofErr w:type="spellEnd"/>
      <w:r>
        <w:rPr>
          <w:lang w:val="en-GB"/>
        </w:rPr>
        <w:t>.</w:t>
      </w:r>
    </w:p>
  </w:footnote>
  <w:footnote w:id="3">
    <w:p w:rsidR="00BA7237" w:rsidRPr="00BA7237" w:rsidRDefault="00BA7237">
      <w:pPr>
        <w:pStyle w:val="FootnoteText"/>
        <w:rPr>
          <w:lang w:val="en-GB"/>
        </w:rPr>
      </w:pPr>
      <w:r>
        <w:rPr>
          <w:rStyle w:val="FootnoteReference"/>
        </w:rPr>
        <w:footnoteRef/>
      </w:r>
      <w:r>
        <w:t xml:space="preserve"> PR interval: </w:t>
      </w:r>
      <w:r>
        <w:rPr>
          <w:lang w:val="en-GB"/>
        </w:rPr>
        <w:t xml:space="preserve">The PR interval is the time from the beginning of the P-wave to the end of the PR-segment immediately before the start of the corresponding QRS wave complex on an ECG and is normally 120 to 200 </w:t>
      </w:r>
      <w:proofErr w:type="spellStart"/>
      <w:r>
        <w:rPr>
          <w:lang w:val="en-GB"/>
        </w:rPr>
        <w:t>msec</w:t>
      </w:r>
      <w:proofErr w:type="spellEnd"/>
      <w:r>
        <w:rPr>
          <w:lang w:val="en-GB"/>
        </w:rPr>
        <w:t xml:space="preserve"> in duration.</w:t>
      </w:r>
    </w:p>
  </w:footnote>
  <w:footnote w:id="4">
    <w:p w:rsidR="00BA7237" w:rsidRPr="00BA7237" w:rsidRDefault="00BA7237" w:rsidP="0094599B">
      <w:pPr>
        <w:pStyle w:val="FootnoteText"/>
        <w:rPr>
          <w:lang w:val="en-GB"/>
        </w:rPr>
      </w:pPr>
      <w:r>
        <w:rPr>
          <w:rStyle w:val="FootnoteReference"/>
        </w:rPr>
        <w:footnoteRef/>
      </w:r>
      <w:r>
        <w:t xml:space="preserve"> </w:t>
      </w:r>
      <w:proofErr w:type="spellStart"/>
      <w:r>
        <w:t>QTcF</w:t>
      </w:r>
      <w:proofErr w:type="spellEnd"/>
      <w:r>
        <w:t xml:space="preserve">: The </w:t>
      </w:r>
      <w:r>
        <w:rPr>
          <w:lang w:val="en-GB"/>
        </w:rPr>
        <w:t xml:space="preserve">QT interval corrected for heart rate according to </w:t>
      </w:r>
      <w:proofErr w:type="spellStart"/>
      <w:r w:rsidRPr="0094599B">
        <w:rPr>
          <w:lang w:val="en-GB"/>
        </w:rPr>
        <w:t>Fredericia</w:t>
      </w:r>
      <w:r>
        <w:rPr>
          <w:lang w:val="en-GB"/>
        </w:rPr>
        <w:t>’s</w:t>
      </w:r>
      <w:proofErr w:type="spellEnd"/>
      <w:r>
        <w:rPr>
          <w:lang w:val="en-GB"/>
        </w:rPr>
        <w:t xml:space="preserve"> formula. The QT interval is the time from the start of the </w:t>
      </w:r>
      <w:r w:rsidRPr="0094599B">
        <w:rPr>
          <w:lang w:val="en-GB"/>
        </w:rPr>
        <w:t xml:space="preserve">QRS </w:t>
      </w:r>
      <w:r>
        <w:rPr>
          <w:lang w:val="en-GB"/>
        </w:rPr>
        <w:t>wave complex to the end of the T-</w:t>
      </w:r>
      <w:r w:rsidRPr="0094599B">
        <w:rPr>
          <w:lang w:val="en-GB"/>
        </w:rPr>
        <w:t>wave. It expresses the ti</w:t>
      </w:r>
      <w:r>
        <w:rPr>
          <w:lang w:val="en-GB"/>
        </w:rPr>
        <w:t xml:space="preserve">me required for the ventricular </w:t>
      </w:r>
      <w:r w:rsidRPr="0094599B">
        <w:rPr>
          <w:lang w:val="en-GB"/>
        </w:rPr>
        <w:t>myocardium to depolarize and re-polarize.</w:t>
      </w:r>
      <w:r>
        <w:rPr>
          <w:lang w:val="en-GB"/>
        </w:rPr>
        <w:t xml:space="preserve"> A </w:t>
      </w:r>
      <w:proofErr w:type="spellStart"/>
      <w:r>
        <w:rPr>
          <w:lang w:val="en-GB"/>
        </w:rPr>
        <w:t>QTcF</w:t>
      </w:r>
      <w:proofErr w:type="spellEnd"/>
      <w:r>
        <w:rPr>
          <w:lang w:val="en-GB"/>
        </w:rPr>
        <w:t xml:space="preserve"> &gt; 450 </w:t>
      </w:r>
      <w:proofErr w:type="spellStart"/>
      <w:r>
        <w:rPr>
          <w:lang w:val="en-GB"/>
        </w:rPr>
        <w:t>msec</w:t>
      </w:r>
      <w:proofErr w:type="spellEnd"/>
      <w:r>
        <w:rPr>
          <w:lang w:val="en-GB"/>
        </w:rPr>
        <w:t xml:space="preserve"> (males) and &gt; 470 </w:t>
      </w:r>
      <w:proofErr w:type="spellStart"/>
      <w:r>
        <w:rPr>
          <w:lang w:val="en-GB"/>
        </w:rPr>
        <w:t>msec</w:t>
      </w:r>
      <w:proofErr w:type="spellEnd"/>
      <w:r>
        <w:rPr>
          <w:lang w:val="en-GB"/>
        </w:rPr>
        <w:t xml:space="preserve"> (females) is considered prolonged.</w:t>
      </w:r>
    </w:p>
  </w:footnote>
  <w:footnote w:id="5">
    <w:p w:rsidR="00BA7237" w:rsidRPr="00BA7237" w:rsidRDefault="00BA7237">
      <w:pPr>
        <w:pStyle w:val="FootnoteText"/>
        <w:rPr>
          <w:lang w:val="en-GB"/>
        </w:rPr>
      </w:pPr>
      <w:r>
        <w:rPr>
          <w:rStyle w:val="FootnoteReference"/>
        </w:rPr>
        <w:footnoteRef/>
      </w:r>
      <w:r>
        <w:t xml:space="preserve"> </w:t>
      </w:r>
      <w:proofErr w:type="spellStart"/>
      <w:r>
        <w:t>QTc</w:t>
      </w:r>
      <w:proofErr w:type="spellEnd"/>
      <w:r>
        <w:t>: The QT interval corrected for heart rate.</w:t>
      </w:r>
    </w:p>
  </w:footnote>
  <w:footnote w:id="6">
    <w:p w:rsidR="00BA7237" w:rsidRDefault="00BA7237">
      <w:pPr>
        <w:pStyle w:val="FootnoteText"/>
      </w:pPr>
      <w:r>
        <w:rPr>
          <w:rStyle w:val="FootnoteReference"/>
        </w:rPr>
        <w:footnoteRef/>
      </w:r>
      <w:r>
        <w:t xml:space="preserve"> </w:t>
      </w:r>
      <w:proofErr w:type="spellStart"/>
      <w:r>
        <w:t>Hy’s</w:t>
      </w:r>
      <w:proofErr w:type="spellEnd"/>
      <w:r>
        <w:t xml:space="preserve"> Law: Evidence of hepatocellular injury with ALT and/or AST &gt; 3 x ULN and total bilirubin &gt; 2 x ULN, and no other reason to explain rise in aminotransferases and total bilirubin.</w:t>
      </w:r>
    </w:p>
  </w:footnote>
  <w:footnote w:id="7">
    <w:p w:rsidR="00BA7237" w:rsidRDefault="00BA7237" w:rsidP="00B21F0D">
      <w:pPr>
        <w:pStyle w:val="FootnoteText"/>
      </w:pPr>
      <w:r>
        <w:rPr>
          <w:rStyle w:val="FootnoteReference"/>
        </w:rPr>
        <w:footnoteRef/>
      </w:r>
      <w:r>
        <w:t xml:space="preserve"> </w:t>
      </w:r>
      <w:r w:rsidRPr="00F12492">
        <w:rPr>
          <w:i/>
        </w:rPr>
        <w:t>Routine risk minimisation</w:t>
      </w:r>
      <w:r>
        <w:t xml:space="preserve"> activities may be limited to ensuring that suitable warnings are included in the product information or by careful use of labelling and packaging.</w:t>
      </w:r>
    </w:p>
    <w:p w:rsidR="00BA7237" w:rsidRDefault="00BA7237" w:rsidP="00B21F0D">
      <w:pPr>
        <w:pStyle w:val="FootnoteText"/>
      </w:pPr>
      <w:r w:rsidRPr="00F12492">
        <w:rPr>
          <w:i/>
        </w:rPr>
        <w:t>Routine pharmacovigilance</w:t>
      </w:r>
      <w:r>
        <w:t xml:space="preserve"> practices involve the following activities:</w:t>
      </w:r>
    </w:p>
    <w:p w:rsidR="00BA7237" w:rsidRDefault="00BA7237" w:rsidP="00B21F0D">
      <w:pPr>
        <w:pStyle w:val="FootnoteText"/>
        <w:numPr>
          <w:ilvl w:val="0"/>
          <w:numId w:val="28"/>
        </w:numPr>
      </w:pPr>
      <w:r>
        <w:t>All suspected adverse reactions that are reported to the personnel of the company are collected and collated in an accessible manner;</w:t>
      </w:r>
    </w:p>
    <w:p w:rsidR="00BA7237" w:rsidRDefault="00BA7237" w:rsidP="00B21F0D">
      <w:pPr>
        <w:pStyle w:val="FootnoteText"/>
        <w:numPr>
          <w:ilvl w:val="0"/>
          <w:numId w:val="28"/>
        </w:numPr>
      </w:pPr>
      <w:r>
        <w:t>Reporting to regulatory authorities;</w:t>
      </w:r>
    </w:p>
    <w:p w:rsidR="00BA7237" w:rsidRDefault="00BA7237" w:rsidP="00B21F0D">
      <w:pPr>
        <w:pStyle w:val="FootnoteText"/>
        <w:numPr>
          <w:ilvl w:val="0"/>
          <w:numId w:val="28"/>
        </w:numPr>
      </w:pPr>
      <w:r>
        <w:t xml:space="preserve">Continuous monitoring of the safety profiles of approved products including signal detection and updating of </w:t>
      </w:r>
      <w:proofErr w:type="spellStart"/>
      <w:r>
        <w:t>labeling</w:t>
      </w:r>
      <w:proofErr w:type="spellEnd"/>
      <w:r>
        <w:t>;</w:t>
      </w:r>
    </w:p>
    <w:p w:rsidR="00BA7237" w:rsidRDefault="00BA7237" w:rsidP="00B21F0D">
      <w:pPr>
        <w:pStyle w:val="FootnoteText"/>
        <w:numPr>
          <w:ilvl w:val="0"/>
          <w:numId w:val="28"/>
        </w:numPr>
      </w:pPr>
      <w:r>
        <w:t>Submission of PSURs;</w:t>
      </w:r>
    </w:p>
    <w:p w:rsidR="00BA7237" w:rsidRPr="00F12492" w:rsidRDefault="00BA7237" w:rsidP="00B21F0D">
      <w:pPr>
        <w:pStyle w:val="FootnoteText"/>
        <w:numPr>
          <w:ilvl w:val="0"/>
          <w:numId w:val="28"/>
        </w:numPr>
        <w:rPr>
          <w:lang w:val="en-US"/>
        </w:rPr>
      </w:pPr>
      <w:r>
        <w:t>Meeting other local regulatory agency requirements.</w:t>
      </w:r>
    </w:p>
  </w:footnote>
  <w:footnote w:id="8">
    <w:p w:rsidR="00BA7237" w:rsidRDefault="00BA7237">
      <w:pPr>
        <w:pStyle w:val="FootnoteText"/>
      </w:pPr>
      <w:r>
        <w:rPr>
          <w:rStyle w:val="FootnoteReference"/>
        </w:rPr>
        <w:footnoteRef/>
      </w:r>
      <w:r>
        <w:t xml:space="preserve"> Peters, S. et al (2017). </w:t>
      </w:r>
      <w:proofErr w:type="spellStart"/>
      <w:r>
        <w:rPr>
          <w:rStyle w:val="titledefault"/>
          <w:color w:val="1A1A1A"/>
          <w:lang w:val="en"/>
        </w:rPr>
        <w:t>Alectinib</w:t>
      </w:r>
      <w:proofErr w:type="spellEnd"/>
      <w:r>
        <w:rPr>
          <w:rStyle w:val="titledefault"/>
          <w:color w:val="1A1A1A"/>
          <w:lang w:val="en"/>
        </w:rPr>
        <w:t xml:space="preserve"> versus </w:t>
      </w:r>
      <w:proofErr w:type="spellStart"/>
      <w:r>
        <w:rPr>
          <w:rStyle w:val="titledefault"/>
          <w:color w:val="1A1A1A"/>
          <w:lang w:val="en"/>
        </w:rPr>
        <w:t>Crizotinib</w:t>
      </w:r>
      <w:proofErr w:type="spellEnd"/>
      <w:r>
        <w:rPr>
          <w:rStyle w:val="titledefault"/>
          <w:color w:val="1A1A1A"/>
          <w:lang w:val="en"/>
        </w:rPr>
        <w:t xml:space="preserve"> in Untreated </w:t>
      </w:r>
      <w:r>
        <w:rPr>
          <w:rStyle w:val="titledefault"/>
          <w:i/>
          <w:iCs/>
          <w:color w:val="1A1A1A"/>
          <w:lang w:val="en"/>
        </w:rPr>
        <w:t>ALK</w:t>
      </w:r>
      <w:r>
        <w:rPr>
          <w:rStyle w:val="titledefault"/>
          <w:color w:val="1A1A1A"/>
          <w:lang w:val="en"/>
        </w:rPr>
        <w:t xml:space="preserve">-Positive Non–Small-Cell Lung Cancer, </w:t>
      </w:r>
      <w:r w:rsidRPr="00A07908">
        <w:rPr>
          <w:rStyle w:val="titledefault"/>
          <w:i/>
          <w:color w:val="1A1A1A"/>
          <w:lang w:val="en"/>
        </w:rPr>
        <w:t>NEJM</w:t>
      </w:r>
      <w:r>
        <w:rPr>
          <w:rStyle w:val="titledefault"/>
          <w:color w:val="1A1A1A"/>
          <w:lang w:val="en"/>
        </w:rPr>
        <w:t>, 2017</w:t>
      </w:r>
      <w:proofErr w:type="gramStart"/>
      <w:r>
        <w:rPr>
          <w:rStyle w:val="titledefault"/>
          <w:color w:val="1A1A1A"/>
          <w:lang w:val="en"/>
        </w:rPr>
        <w:t>;</w:t>
      </w:r>
      <w:proofErr w:type="gramEnd"/>
      <w:r>
        <w:rPr>
          <w:rStyle w:val="titledefault"/>
          <w:color w:val="1A1A1A"/>
          <w:lang w:val="en"/>
        </w:rPr>
        <w:t xml:space="preserve"> 377: 829-838.</w:t>
      </w:r>
    </w:p>
  </w:footnote>
  <w:footnote w:id="9">
    <w:p w:rsidR="00BA7237" w:rsidRDefault="00BA7237" w:rsidP="00456765">
      <w:pPr>
        <w:pStyle w:val="FootnoteText"/>
      </w:pPr>
      <w:r>
        <w:rPr>
          <w:rStyle w:val="FootnoteReference"/>
        </w:rPr>
        <w:footnoteRef/>
      </w:r>
      <w:r>
        <w:t xml:space="preserve"> The ACM provides independent medical and scientific advice to the Minister for Health and the Therapeutic Goods Administration (TGA) on issues relating to the safety, quality and efficacy of medicines supplied in Australia including issues relating to pre-market and post-market functions for medicines.</w:t>
      </w:r>
    </w:p>
    <w:p w:rsidR="00BA7237" w:rsidRPr="00456765" w:rsidRDefault="00BA7237" w:rsidP="00456765">
      <w:pPr>
        <w:pStyle w:val="FootnoteText"/>
        <w:rPr>
          <w:lang w:val="en-US"/>
        </w:rPr>
      </w:pPr>
      <w:r>
        <w:t xml:space="preserve">The Committee </w:t>
      </w:r>
      <w:proofErr w:type="gramStart"/>
      <w:r>
        <w:t>is established</w:t>
      </w:r>
      <w:proofErr w:type="gramEnd"/>
      <w:r>
        <w:t xml:space="preserve"> under Regulation 35 of the </w:t>
      </w:r>
      <w:r w:rsidRPr="00DF1B20">
        <w:rPr>
          <w:i/>
        </w:rPr>
        <w:t>Therapeutic Goods Regulations 1990</w:t>
      </w:r>
      <w:r>
        <w:t xml:space="preserve">. </w:t>
      </w:r>
      <w:proofErr w:type="gramStart"/>
      <w:r>
        <w:t>Members are appointed by the Minister</w:t>
      </w:r>
      <w:proofErr w:type="gramEnd"/>
      <w:r>
        <w:t xml:space="preserve">. The ACM was established in January 2017 replacing </w:t>
      </w:r>
      <w:r w:rsidRPr="009E0C19">
        <w:t>Advisory Committee on Prescription Medicines (ACPM</w:t>
      </w:r>
      <w:proofErr w:type="gramStart"/>
      <w:r w:rsidRPr="009E0C19">
        <w:t xml:space="preserve">) </w:t>
      </w:r>
      <w:r>
        <w:t>which</w:t>
      </w:r>
      <w:proofErr w:type="gramEnd"/>
      <w:r>
        <w:t xml:space="preserve"> </w:t>
      </w:r>
      <w:r w:rsidRPr="009E0C19">
        <w:t>was formed in January 2010</w:t>
      </w:r>
      <w:r>
        <w:t>. ACM encompass pre and post-market advice for medicines, following the consolidation of the previous functions of the Advisory Committee on Prescription Medicines (ACPM), the Advisory Committee on the Safety of Medicines (ACSOM) and the Advisory Committee on Non-Prescription Medicines (ACNM). Membership comprises of professionals with specific scientific, medical or clinical expertise, as well as appropriate consumer health issues relating to medicines.</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7237" w:rsidRDefault="00BA7237" w:rsidP="00E45619">
    <w:pPr>
      <w:pStyle w:val="Header"/>
    </w:pPr>
    <w:r>
      <w:t>Therapeutic Goods Administration</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7237" w:rsidRDefault="00BA7237">
    <w:pPr>
      <w:rPr>
        <w:noProof/>
        <w:lang w:eastAsia="en-AU"/>
      </w:rPr>
    </w:pPr>
    <w:r w:rsidRPr="00347824">
      <w:rPr>
        <w:noProof/>
        <w:lang w:eastAsia="en-AU"/>
      </w:rPr>
      <w:drawing>
        <wp:anchor distT="0" distB="0" distL="114300" distR="114300" simplePos="0" relativeHeight="251659264" behindDoc="1" locked="0" layoutInCell="1" allowOverlap="1" wp14:anchorId="7ED9F9D0" wp14:editId="0B51929B">
          <wp:simplePos x="0" y="0"/>
          <wp:positionH relativeFrom="column">
            <wp:posOffset>-1089660</wp:posOffset>
          </wp:positionH>
          <wp:positionV relativeFrom="paragraph">
            <wp:posOffset>-585470</wp:posOffset>
          </wp:positionV>
          <wp:extent cx="7572375" cy="10706100"/>
          <wp:effectExtent l="19050" t="0" r="0" b="0"/>
          <wp:wrapNone/>
          <wp:docPr id="18"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p w:rsidR="00BA7237" w:rsidRDefault="00BA7237" w:rsidP="00593AD1">
    <w:pPr>
      <w:pStyle w:val="HeaderNoLine"/>
    </w:pPr>
    <w:r>
      <w:rPr>
        <w:noProof/>
        <w:lang w:eastAsia="en-AU"/>
      </w:rPr>
      <w:drawing>
        <wp:inline distT="0" distB="0" distL="0" distR="0" wp14:anchorId="53720951" wp14:editId="58DC4D6E">
          <wp:extent cx="5400675" cy="7639050"/>
          <wp:effectExtent l="0" t="0" r="9525" b="0"/>
          <wp:docPr id="19" name="Picture 19" descr="Light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ghtblu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00675" cy="7639050"/>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7237" w:rsidRDefault="00BA723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7237" w:rsidRDefault="00BA7237">
    <w:pPr>
      <w:pStyle w:val="Header"/>
    </w:pPr>
    <w:r>
      <w:t>Therapeutic Goods Administration</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7237" w:rsidRDefault="00BA7237">
    <w:pPr>
      <w:pStyle w:val="Header"/>
    </w:pPr>
    <w:r>
      <w:t>Therapeutic Goods Administration</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7237" w:rsidRDefault="00BA7237">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7237" w:rsidRDefault="00BA7237" w:rsidP="004C239D">
    <w:pPr>
      <w:pStyle w:val="HeaderNoLine"/>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7237" w:rsidRDefault="00BA7237" w:rsidP="006E08B3">
    <w:r>
      <w:t>Therapeutic Goods Administration</w:t>
    </w:r>
  </w:p>
  <w:p w:rsidR="00BA7237" w:rsidRDefault="00BA7237" w:rsidP="006D03E5"/>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2"/>
    <w:multiLevelType w:val="singleLevel"/>
    <w:tmpl w:val="406830BE"/>
    <w:lvl w:ilvl="0">
      <w:start w:val="1"/>
      <w:numFmt w:val="bullet"/>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A04AD474"/>
    <w:lvl w:ilvl="0">
      <w:start w:val="1"/>
      <w:numFmt w:val="bullet"/>
      <w:lvlText w:val="–"/>
      <w:lvlJc w:val="left"/>
      <w:pPr>
        <w:ind w:left="643" w:hanging="360"/>
      </w:pPr>
      <w:rPr>
        <w:rFonts w:ascii="Arial" w:hAnsi="Arial" w:hint="default"/>
      </w:rPr>
    </w:lvl>
  </w:abstractNum>
  <w:abstractNum w:abstractNumId="2" w15:restartNumberingAfterBreak="0">
    <w:nsid w:val="FFFFFF89"/>
    <w:multiLevelType w:val="singleLevel"/>
    <w:tmpl w:val="F4085A32"/>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FFFFFFFE"/>
    <w:multiLevelType w:val="singleLevel"/>
    <w:tmpl w:val="B8320B0A"/>
    <w:lvl w:ilvl="0">
      <w:numFmt w:val="bullet"/>
      <w:lvlText w:val="*"/>
      <w:lvlJc w:val="left"/>
    </w:lvl>
  </w:abstractNum>
  <w:abstractNum w:abstractNumId="4" w15:restartNumberingAfterBreak="0">
    <w:nsid w:val="10053F11"/>
    <w:multiLevelType w:val="multilevel"/>
    <w:tmpl w:val="575CEDB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5" w15:restartNumberingAfterBreak="0">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6" w15:restartNumberingAfterBreak="0">
    <w:nsid w:val="212F4897"/>
    <w:multiLevelType w:val="hybridMultilevel"/>
    <w:tmpl w:val="2CECD6F4"/>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911205B"/>
    <w:multiLevelType w:val="multilevel"/>
    <w:tmpl w:val="0316C41A"/>
    <w:lvl w:ilvl="0">
      <w:start w:val="1"/>
      <w:numFmt w:val="decimal"/>
      <w:lvlText w:val="%1."/>
      <w:lvlJc w:val="left"/>
      <w:pPr>
        <w:ind w:left="720" w:hanging="360"/>
      </w:pPr>
    </w:lvl>
    <w:lvl w:ilvl="1">
      <w:start w:val="8"/>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3E8412CA"/>
    <w:multiLevelType w:val="hybridMultilevel"/>
    <w:tmpl w:val="EFBC84EA"/>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9" w15:restartNumberingAfterBreak="0">
    <w:nsid w:val="41DA0565"/>
    <w:multiLevelType w:val="hybridMultilevel"/>
    <w:tmpl w:val="224C0ED4"/>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0" w15:restartNumberingAfterBreak="0">
    <w:nsid w:val="489B15D7"/>
    <w:multiLevelType w:val="hybridMultilevel"/>
    <w:tmpl w:val="3D2E60CC"/>
    <w:lvl w:ilvl="0" w:tplc="04CEB5FC">
      <w:start w:val="1"/>
      <w:numFmt w:val="bullet"/>
      <w:pStyle w:val="Bulletpoint"/>
      <w:lvlText w:val=""/>
      <w:lvlJc w:val="left"/>
      <w:pPr>
        <w:tabs>
          <w:tab w:val="num" w:pos="369"/>
        </w:tabs>
        <w:ind w:left="369" w:hanging="227"/>
      </w:pPr>
      <w:rPr>
        <w:rFonts w:ascii="Symbol" w:hAnsi="Symbol" w:hint="default"/>
        <w:position w:val="0"/>
        <w:sz w:val="22"/>
        <w:szCs w:val="22"/>
      </w:rPr>
    </w:lvl>
    <w:lvl w:ilvl="1" w:tplc="0C090003" w:tentative="1">
      <w:start w:val="1"/>
      <w:numFmt w:val="bullet"/>
      <w:lvlText w:val="o"/>
      <w:lvlJc w:val="left"/>
      <w:pPr>
        <w:tabs>
          <w:tab w:val="num" w:pos="1440"/>
        </w:tabs>
        <w:ind w:left="1440" w:hanging="360"/>
      </w:pPr>
      <w:rPr>
        <w:rFonts w:ascii="Courier New" w:hAnsi="Courier New" w:cs="Symbo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Symbol"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Symbol"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EB41F2F"/>
    <w:multiLevelType w:val="hybridMultilevel"/>
    <w:tmpl w:val="E79C11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65E83990"/>
    <w:multiLevelType w:val="hybridMultilevel"/>
    <w:tmpl w:val="1D56F5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6F9B4EE6"/>
    <w:multiLevelType w:val="hybridMultilevel"/>
    <w:tmpl w:val="F52EABC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74801A31"/>
    <w:multiLevelType w:val="hybridMultilevel"/>
    <w:tmpl w:val="9CC8325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77606DC0"/>
    <w:multiLevelType w:val="hybridMultilevel"/>
    <w:tmpl w:val="8780E0A6"/>
    <w:lvl w:ilvl="0" w:tplc="4224B92E">
      <w:numFmt w:val="bullet"/>
      <w:lvlText w:val="•"/>
      <w:lvlJc w:val="left"/>
      <w:pPr>
        <w:ind w:left="360" w:hanging="360"/>
      </w:pPr>
      <w:rPr>
        <w:rFonts w:ascii="Cambria" w:eastAsia="Cambria" w:hAnsi="Cambria"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7DD104EC"/>
    <w:multiLevelType w:val="hybridMultilevel"/>
    <w:tmpl w:val="08F277E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2"/>
  </w:num>
  <w:num w:numId="2">
    <w:abstractNumId w:val="1"/>
  </w:num>
  <w:num w:numId="3">
    <w:abstractNumId w:val="5"/>
  </w:num>
  <w:num w:numId="4">
    <w:abstractNumId w:val="5"/>
  </w:num>
  <w:num w:numId="5">
    <w:abstractNumId w:val="0"/>
  </w:num>
  <w:num w:numId="6">
    <w:abstractNumId w:val="5"/>
  </w:num>
  <w:num w:numId="7">
    <w:abstractNumId w:val="5"/>
  </w:num>
  <w:num w:numId="8">
    <w:abstractNumId w:val="4"/>
  </w:num>
  <w:num w:numId="9">
    <w:abstractNumId w:val="4"/>
  </w:num>
  <w:num w:numId="10">
    <w:abstractNumId w:val="4"/>
  </w:num>
  <w:num w:numId="11">
    <w:abstractNumId w:val="4"/>
  </w:num>
  <w:num w:numId="12">
    <w:abstractNumId w:val="3"/>
    <w:lvlOverride w:ilvl="0">
      <w:lvl w:ilvl="0">
        <w:numFmt w:val="bullet"/>
        <w:lvlText w:val="•"/>
        <w:legacy w:legacy="1" w:legacySpace="0" w:legacyIndent="0"/>
        <w:lvlJc w:val="left"/>
        <w:rPr>
          <w:rFonts w:ascii="Helv" w:hAnsi="Helv" w:hint="default"/>
        </w:rPr>
      </w:lvl>
    </w:lvlOverride>
  </w:num>
  <w:num w:numId="13">
    <w:abstractNumId w:val="5"/>
  </w:num>
  <w:num w:numId="14">
    <w:abstractNumId w:val="5"/>
  </w:num>
  <w:num w:numId="15">
    <w:abstractNumId w:val="5"/>
  </w:num>
  <w:num w:numId="16">
    <w:abstractNumId w:val="4"/>
  </w:num>
  <w:num w:numId="17">
    <w:abstractNumId w:val="4"/>
  </w:num>
  <w:num w:numId="18">
    <w:abstractNumId w:val="4"/>
  </w:num>
  <w:num w:numId="19">
    <w:abstractNumId w:val="5"/>
  </w:num>
  <w:num w:numId="20">
    <w:abstractNumId w:val="5"/>
  </w:num>
  <w:num w:numId="21">
    <w:abstractNumId w:val="5"/>
  </w:num>
  <w:num w:numId="22">
    <w:abstractNumId w:val="4"/>
  </w:num>
  <w:num w:numId="23">
    <w:abstractNumId w:val="4"/>
  </w:num>
  <w:num w:numId="24">
    <w:abstractNumId w:val="4"/>
  </w:num>
  <w:num w:numId="25">
    <w:abstractNumId w:val="4"/>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26">
    <w:abstractNumId w:val="4"/>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27">
    <w:abstractNumId w:val="11"/>
  </w:num>
  <w:num w:numId="28">
    <w:abstractNumId w:val="15"/>
  </w:num>
  <w:num w:numId="29">
    <w:abstractNumId w:val="10"/>
  </w:num>
  <w:num w:numId="30">
    <w:abstractNumId w:val="14"/>
  </w:num>
  <w:num w:numId="31">
    <w:abstractNumId w:val="12"/>
  </w:num>
  <w:num w:numId="32">
    <w:abstractNumId w:val="8"/>
  </w:num>
  <w:num w:numId="33">
    <w:abstractNumId w:val="6"/>
  </w:num>
  <w:num w:numId="34">
    <w:abstractNumId w:val="16"/>
  </w:num>
  <w:num w:numId="35">
    <w:abstractNumId w:val="9"/>
  </w:num>
  <w:num w:numId="36">
    <w:abstractNumId w:val="13"/>
  </w:num>
  <w:num w:numId="3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67"/>
  <w:proofState w:spelling="clean"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4270"/>
    <w:rsid w:val="00002031"/>
    <w:rsid w:val="00004734"/>
    <w:rsid w:val="00006B22"/>
    <w:rsid w:val="0001276A"/>
    <w:rsid w:val="000246AE"/>
    <w:rsid w:val="00025C67"/>
    <w:rsid w:val="00044772"/>
    <w:rsid w:val="0004541C"/>
    <w:rsid w:val="00051480"/>
    <w:rsid w:val="0005559E"/>
    <w:rsid w:val="000604D6"/>
    <w:rsid w:val="000734D8"/>
    <w:rsid w:val="00077775"/>
    <w:rsid w:val="00090471"/>
    <w:rsid w:val="00096AA7"/>
    <w:rsid w:val="000A3AED"/>
    <w:rsid w:val="000B2BAB"/>
    <w:rsid w:val="000B3532"/>
    <w:rsid w:val="000B3A75"/>
    <w:rsid w:val="000C00C2"/>
    <w:rsid w:val="000C5FBE"/>
    <w:rsid w:val="000C690F"/>
    <w:rsid w:val="000D1295"/>
    <w:rsid w:val="000D391B"/>
    <w:rsid w:val="000D3D6D"/>
    <w:rsid w:val="000D4FC7"/>
    <w:rsid w:val="000E6196"/>
    <w:rsid w:val="000F4869"/>
    <w:rsid w:val="000F5B42"/>
    <w:rsid w:val="000F6E6F"/>
    <w:rsid w:val="0010601F"/>
    <w:rsid w:val="0010788A"/>
    <w:rsid w:val="00107A31"/>
    <w:rsid w:val="00110EA5"/>
    <w:rsid w:val="00112F56"/>
    <w:rsid w:val="00124ACD"/>
    <w:rsid w:val="00125318"/>
    <w:rsid w:val="00125ECF"/>
    <w:rsid w:val="001305A2"/>
    <w:rsid w:val="00133238"/>
    <w:rsid w:val="00133A1B"/>
    <w:rsid w:val="00140EFD"/>
    <w:rsid w:val="0014197B"/>
    <w:rsid w:val="001447CD"/>
    <w:rsid w:val="001516B1"/>
    <w:rsid w:val="00154EBB"/>
    <w:rsid w:val="00156316"/>
    <w:rsid w:val="00161181"/>
    <w:rsid w:val="00162D14"/>
    <w:rsid w:val="00163780"/>
    <w:rsid w:val="00165389"/>
    <w:rsid w:val="0017693F"/>
    <w:rsid w:val="0018110E"/>
    <w:rsid w:val="00181684"/>
    <w:rsid w:val="001843C6"/>
    <w:rsid w:val="001850E0"/>
    <w:rsid w:val="001A03AF"/>
    <w:rsid w:val="001A2158"/>
    <w:rsid w:val="001A525F"/>
    <w:rsid w:val="001B09F9"/>
    <w:rsid w:val="001B5C90"/>
    <w:rsid w:val="001B6448"/>
    <w:rsid w:val="001C32CD"/>
    <w:rsid w:val="001C63BA"/>
    <w:rsid w:val="001D2984"/>
    <w:rsid w:val="001E07CF"/>
    <w:rsid w:val="001E59F1"/>
    <w:rsid w:val="001F2CEE"/>
    <w:rsid w:val="001F3EF7"/>
    <w:rsid w:val="001F49EB"/>
    <w:rsid w:val="001F573E"/>
    <w:rsid w:val="001F6CBA"/>
    <w:rsid w:val="00201D4E"/>
    <w:rsid w:val="002076C9"/>
    <w:rsid w:val="00220B8A"/>
    <w:rsid w:val="002257F3"/>
    <w:rsid w:val="00233456"/>
    <w:rsid w:val="002339A5"/>
    <w:rsid w:val="00257848"/>
    <w:rsid w:val="002578E8"/>
    <w:rsid w:val="0027084A"/>
    <w:rsid w:val="00280265"/>
    <w:rsid w:val="00286434"/>
    <w:rsid w:val="00286C59"/>
    <w:rsid w:val="00291957"/>
    <w:rsid w:val="002942D1"/>
    <w:rsid w:val="00294DF8"/>
    <w:rsid w:val="0029501A"/>
    <w:rsid w:val="00295125"/>
    <w:rsid w:val="002A1A01"/>
    <w:rsid w:val="002A3721"/>
    <w:rsid w:val="002B1638"/>
    <w:rsid w:val="002B3624"/>
    <w:rsid w:val="002D0952"/>
    <w:rsid w:val="002E40B3"/>
    <w:rsid w:val="002E4C9A"/>
    <w:rsid w:val="002F11F8"/>
    <w:rsid w:val="002F3F56"/>
    <w:rsid w:val="002F44B5"/>
    <w:rsid w:val="002F5122"/>
    <w:rsid w:val="00311AC0"/>
    <w:rsid w:val="003176FC"/>
    <w:rsid w:val="0032583B"/>
    <w:rsid w:val="00327883"/>
    <w:rsid w:val="00335504"/>
    <w:rsid w:val="00340C18"/>
    <w:rsid w:val="003442FD"/>
    <w:rsid w:val="00347824"/>
    <w:rsid w:val="0035023C"/>
    <w:rsid w:val="00350567"/>
    <w:rsid w:val="003521E8"/>
    <w:rsid w:val="00370CE3"/>
    <w:rsid w:val="003728F3"/>
    <w:rsid w:val="003735BC"/>
    <w:rsid w:val="0037496E"/>
    <w:rsid w:val="00383221"/>
    <w:rsid w:val="00386150"/>
    <w:rsid w:val="003874CE"/>
    <w:rsid w:val="00390900"/>
    <w:rsid w:val="003A7F6C"/>
    <w:rsid w:val="003B4D60"/>
    <w:rsid w:val="003B7E39"/>
    <w:rsid w:val="003C58DC"/>
    <w:rsid w:val="003D1E62"/>
    <w:rsid w:val="003D3BDB"/>
    <w:rsid w:val="003E0B99"/>
    <w:rsid w:val="003E2486"/>
    <w:rsid w:val="003E3208"/>
    <w:rsid w:val="003F0B04"/>
    <w:rsid w:val="0040134E"/>
    <w:rsid w:val="004334C7"/>
    <w:rsid w:val="00440A2D"/>
    <w:rsid w:val="00441C3F"/>
    <w:rsid w:val="00444D1A"/>
    <w:rsid w:val="0045186A"/>
    <w:rsid w:val="004564A7"/>
    <w:rsid w:val="00456765"/>
    <w:rsid w:val="004617BF"/>
    <w:rsid w:val="00463658"/>
    <w:rsid w:val="004637A0"/>
    <w:rsid w:val="004722CC"/>
    <w:rsid w:val="00490483"/>
    <w:rsid w:val="004936E4"/>
    <w:rsid w:val="00494E60"/>
    <w:rsid w:val="00497487"/>
    <w:rsid w:val="004A2771"/>
    <w:rsid w:val="004A6189"/>
    <w:rsid w:val="004A7390"/>
    <w:rsid w:val="004B7B76"/>
    <w:rsid w:val="004C239D"/>
    <w:rsid w:val="004C2DCA"/>
    <w:rsid w:val="004C61D2"/>
    <w:rsid w:val="004F0C4A"/>
    <w:rsid w:val="004F0F38"/>
    <w:rsid w:val="004F47D6"/>
    <w:rsid w:val="00500337"/>
    <w:rsid w:val="00501921"/>
    <w:rsid w:val="0051722B"/>
    <w:rsid w:val="00530354"/>
    <w:rsid w:val="0053625B"/>
    <w:rsid w:val="005434C6"/>
    <w:rsid w:val="00543B39"/>
    <w:rsid w:val="00546154"/>
    <w:rsid w:val="00550096"/>
    <w:rsid w:val="00555280"/>
    <w:rsid w:val="00557FF9"/>
    <w:rsid w:val="00562327"/>
    <w:rsid w:val="005711D5"/>
    <w:rsid w:val="00576378"/>
    <w:rsid w:val="00577130"/>
    <w:rsid w:val="00577945"/>
    <w:rsid w:val="00577E38"/>
    <w:rsid w:val="00585322"/>
    <w:rsid w:val="005857C6"/>
    <w:rsid w:val="00592F6E"/>
    <w:rsid w:val="00593AD1"/>
    <w:rsid w:val="005A68B6"/>
    <w:rsid w:val="005C5570"/>
    <w:rsid w:val="005C79A4"/>
    <w:rsid w:val="005D1957"/>
    <w:rsid w:val="005D5442"/>
    <w:rsid w:val="00603F32"/>
    <w:rsid w:val="00605AD4"/>
    <w:rsid w:val="006136D7"/>
    <w:rsid w:val="00624270"/>
    <w:rsid w:val="00625A6E"/>
    <w:rsid w:val="00632398"/>
    <w:rsid w:val="006364E6"/>
    <w:rsid w:val="00640FC3"/>
    <w:rsid w:val="00642020"/>
    <w:rsid w:val="006430EE"/>
    <w:rsid w:val="0065337B"/>
    <w:rsid w:val="0065419D"/>
    <w:rsid w:val="006603BC"/>
    <w:rsid w:val="006604D8"/>
    <w:rsid w:val="00664A5B"/>
    <w:rsid w:val="0066735C"/>
    <w:rsid w:val="006763D2"/>
    <w:rsid w:val="00680C08"/>
    <w:rsid w:val="006916A0"/>
    <w:rsid w:val="006931B1"/>
    <w:rsid w:val="006A15C0"/>
    <w:rsid w:val="006A58A8"/>
    <w:rsid w:val="006C1218"/>
    <w:rsid w:val="006C3E2A"/>
    <w:rsid w:val="006C642F"/>
    <w:rsid w:val="006D03E5"/>
    <w:rsid w:val="006D5D3E"/>
    <w:rsid w:val="006E08B3"/>
    <w:rsid w:val="006F17AC"/>
    <w:rsid w:val="006F25B8"/>
    <w:rsid w:val="006F572E"/>
    <w:rsid w:val="00702712"/>
    <w:rsid w:val="007046D6"/>
    <w:rsid w:val="00705DB0"/>
    <w:rsid w:val="00722B57"/>
    <w:rsid w:val="00730F8A"/>
    <w:rsid w:val="00735A8C"/>
    <w:rsid w:val="007364C3"/>
    <w:rsid w:val="0074253D"/>
    <w:rsid w:val="0074429B"/>
    <w:rsid w:val="007507F9"/>
    <w:rsid w:val="007615BC"/>
    <w:rsid w:val="00762F05"/>
    <w:rsid w:val="007652FF"/>
    <w:rsid w:val="00770CAC"/>
    <w:rsid w:val="00770EF1"/>
    <w:rsid w:val="00773EF7"/>
    <w:rsid w:val="00774E1D"/>
    <w:rsid w:val="007765D8"/>
    <w:rsid w:val="0077675A"/>
    <w:rsid w:val="00780355"/>
    <w:rsid w:val="007819FD"/>
    <w:rsid w:val="00785717"/>
    <w:rsid w:val="00785721"/>
    <w:rsid w:val="00786DF1"/>
    <w:rsid w:val="007919B3"/>
    <w:rsid w:val="00793A59"/>
    <w:rsid w:val="007A46F5"/>
    <w:rsid w:val="007A6505"/>
    <w:rsid w:val="007B6132"/>
    <w:rsid w:val="007B6E9F"/>
    <w:rsid w:val="007C0E2C"/>
    <w:rsid w:val="007C1216"/>
    <w:rsid w:val="007C1AF7"/>
    <w:rsid w:val="007C46D3"/>
    <w:rsid w:val="007C6B9B"/>
    <w:rsid w:val="007F7DAC"/>
    <w:rsid w:val="00805D27"/>
    <w:rsid w:val="00806DCB"/>
    <w:rsid w:val="008170A7"/>
    <w:rsid w:val="00821776"/>
    <w:rsid w:val="008321F5"/>
    <w:rsid w:val="00832369"/>
    <w:rsid w:val="00834660"/>
    <w:rsid w:val="00836BC2"/>
    <w:rsid w:val="0085156D"/>
    <w:rsid w:val="00852B28"/>
    <w:rsid w:val="00854F4F"/>
    <w:rsid w:val="0085641B"/>
    <w:rsid w:val="00857136"/>
    <w:rsid w:val="00863906"/>
    <w:rsid w:val="00875A6B"/>
    <w:rsid w:val="00885B11"/>
    <w:rsid w:val="00886D15"/>
    <w:rsid w:val="00887DD8"/>
    <w:rsid w:val="00891BA9"/>
    <w:rsid w:val="00896018"/>
    <w:rsid w:val="008960DD"/>
    <w:rsid w:val="0089635C"/>
    <w:rsid w:val="008A2B9D"/>
    <w:rsid w:val="008A3D9F"/>
    <w:rsid w:val="008A5E0B"/>
    <w:rsid w:val="008A6D59"/>
    <w:rsid w:val="008B4546"/>
    <w:rsid w:val="008B4B03"/>
    <w:rsid w:val="008B596F"/>
    <w:rsid w:val="008C159F"/>
    <w:rsid w:val="008C1623"/>
    <w:rsid w:val="008C1850"/>
    <w:rsid w:val="008C51A9"/>
    <w:rsid w:val="008D0771"/>
    <w:rsid w:val="008E7846"/>
    <w:rsid w:val="008F02E5"/>
    <w:rsid w:val="008F1CCC"/>
    <w:rsid w:val="008F2967"/>
    <w:rsid w:val="008F67C8"/>
    <w:rsid w:val="008F6943"/>
    <w:rsid w:val="00902A21"/>
    <w:rsid w:val="0091523F"/>
    <w:rsid w:val="00920330"/>
    <w:rsid w:val="009219D7"/>
    <w:rsid w:val="00922D53"/>
    <w:rsid w:val="00923B70"/>
    <w:rsid w:val="00924482"/>
    <w:rsid w:val="00930237"/>
    <w:rsid w:val="0093092C"/>
    <w:rsid w:val="009339F6"/>
    <w:rsid w:val="00937C17"/>
    <w:rsid w:val="00940A89"/>
    <w:rsid w:val="00941F77"/>
    <w:rsid w:val="0094599B"/>
    <w:rsid w:val="00946EA5"/>
    <w:rsid w:val="00947274"/>
    <w:rsid w:val="00960520"/>
    <w:rsid w:val="00963C08"/>
    <w:rsid w:val="009752A5"/>
    <w:rsid w:val="0098585A"/>
    <w:rsid w:val="009A4CED"/>
    <w:rsid w:val="009A690D"/>
    <w:rsid w:val="009B1D12"/>
    <w:rsid w:val="009B416B"/>
    <w:rsid w:val="009C4BD5"/>
    <w:rsid w:val="009D0CE9"/>
    <w:rsid w:val="009D7B77"/>
    <w:rsid w:val="009E0BB0"/>
    <w:rsid w:val="009E3FBB"/>
    <w:rsid w:val="009F7353"/>
    <w:rsid w:val="00A04F85"/>
    <w:rsid w:val="00A05FA4"/>
    <w:rsid w:val="00A07908"/>
    <w:rsid w:val="00A102E4"/>
    <w:rsid w:val="00A1219C"/>
    <w:rsid w:val="00A12C42"/>
    <w:rsid w:val="00A14DF7"/>
    <w:rsid w:val="00A22D57"/>
    <w:rsid w:val="00A3246D"/>
    <w:rsid w:val="00A335E5"/>
    <w:rsid w:val="00A36FA7"/>
    <w:rsid w:val="00A44DDB"/>
    <w:rsid w:val="00A475B7"/>
    <w:rsid w:val="00A47AF7"/>
    <w:rsid w:val="00A47C3E"/>
    <w:rsid w:val="00A50226"/>
    <w:rsid w:val="00A60BAD"/>
    <w:rsid w:val="00A77F87"/>
    <w:rsid w:val="00A80B5B"/>
    <w:rsid w:val="00A84E36"/>
    <w:rsid w:val="00A964D1"/>
    <w:rsid w:val="00AA0ED0"/>
    <w:rsid w:val="00AC2B40"/>
    <w:rsid w:val="00AC2BB2"/>
    <w:rsid w:val="00AC2C3C"/>
    <w:rsid w:val="00AC512D"/>
    <w:rsid w:val="00AD0083"/>
    <w:rsid w:val="00AD3935"/>
    <w:rsid w:val="00AE65EB"/>
    <w:rsid w:val="00AE67A7"/>
    <w:rsid w:val="00AF1D94"/>
    <w:rsid w:val="00AF60C5"/>
    <w:rsid w:val="00B009C6"/>
    <w:rsid w:val="00B01548"/>
    <w:rsid w:val="00B130C5"/>
    <w:rsid w:val="00B13EBD"/>
    <w:rsid w:val="00B21D29"/>
    <w:rsid w:val="00B21F0D"/>
    <w:rsid w:val="00B25034"/>
    <w:rsid w:val="00B33588"/>
    <w:rsid w:val="00B33863"/>
    <w:rsid w:val="00B37D17"/>
    <w:rsid w:val="00B4175E"/>
    <w:rsid w:val="00B41C85"/>
    <w:rsid w:val="00B452CE"/>
    <w:rsid w:val="00B54C25"/>
    <w:rsid w:val="00B76B91"/>
    <w:rsid w:val="00B77EB1"/>
    <w:rsid w:val="00B811C6"/>
    <w:rsid w:val="00B855B0"/>
    <w:rsid w:val="00B92E08"/>
    <w:rsid w:val="00BA7237"/>
    <w:rsid w:val="00BB78F7"/>
    <w:rsid w:val="00BC622A"/>
    <w:rsid w:val="00BE0A78"/>
    <w:rsid w:val="00BE51F5"/>
    <w:rsid w:val="00BE79F0"/>
    <w:rsid w:val="00BF046D"/>
    <w:rsid w:val="00BF1190"/>
    <w:rsid w:val="00BF3774"/>
    <w:rsid w:val="00BF5D04"/>
    <w:rsid w:val="00C009AA"/>
    <w:rsid w:val="00C01081"/>
    <w:rsid w:val="00C02ABD"/>
    <w:rsid w:val="00C1164D"/>
    <w:rsid w:val="00C16861"/>
    <w:rsid w:val="00C346AB"/>
    <w:rsid w:val="00C35A2C"/>
    <w:rsid w:val="00C404A6"/>
    <w:rsid w:val="00C40A36"/>
    <w:rsid w:val="00C44419"/>
    <w:rsid w:val="00C45E7B"/>
    <w:rsid w:val="00C471B1"/>
    <w:rsid w:val="00C528EE"/>
    <w:rsid w:val="00C52E24"/>
    <w:rsid w:val="00C6316B"/>
    <w:rsid w:val="00C634A9"/>
    <w:rsid w:val="00C64586"/>
    <w:rsid w:val="00C70D53"/>
    <w:rsid w:val="00C73D0B"/>
    <w:rsid w:val="00C74F5C"/>
    <w:rsid w:val="00C772FF"/>
    <w:rsid w:val="00C80137"/>
    <w:rsid w:val="00C801AF"/>
    <w:rsid w:val="00C80256"/>
    <w:rsid w:val="00C94CD4"/>
    <w:rsid w:val="00C9747E"/>
    <w:rsid w:val="00CB4628"/>
    <w:rsid w:val="00CB6BC0"/>
    <w:rsid w:val="00CC1B7C"/>
    <w:rsid w:val="00CC727F"/>
    <w:rsid w:val="00CF15C3"/>
    <w:rsid w:val="00CF2B6F"/>
    <w:rsid w:val="00CF2F3E"/>
    <w:rsid w:val="00CF58B6"/>
    <w:rsid w:val="00D0062D"/>
    <w:rsid w:val="00D017ED"/>
    <w:rsid w:val="00D040D3"/>
    <w:rsid w:val="00D04C65"/>
    <w:rsid w:val="00D153D8"/>
    <w:rsid w:val="00D201D2"/>
    <w:rsid w:val="00D224FE"/>
    <w:rsid w:val="00D23139"/>
    <w:rsid w:val="00D425BB"/>
    <w:rsid w:val="00D453FA"/>
    <w:rsid w:val="00D51814"/>
    <w:rsid w:val="00D51DCD"/>
    <w:rsid w:val="00D61142"/>
    <w:rsid w:val="00D6493E"/>
    <w:rsid w:val="00D674E3"/>
    <w:rsid w:val="00D7195D"/>
    <w:rsid w:val="00D7301E"/>
    <w:rsid w:val="00D74C97"/>
    <w:rsid w:val="00D83AE1"/>
    <w:rsid w:val="00D855D4"/>
    <w:rsid w:val="00D902C9"/>
    <w:rsid w:val="00D93466"/>
    <w:rsid w:val="00D94F4C"/>
    <w:rsid w:val="00DA1124"/>
    <w:rsid w:val="00DA64CB"/>
    <w:rsid w:val="00DB06B8"/>
    <w:rsid w:val="00DB6124"/>
    <w:rsid w:val="00DB750B"/>
    <w:rsid w:val="00DB75B7"/>
    <w:rsid w:val="00DC0A2F"/>
    <w:rsid w:val="00DC1948"/>
    <w:rsid w:val="00DC6E02"/>
    <w:rsid w:val="00DD28CD"/>
    <w:rsid w:val="00DE02AE"/>
    <w:rsid w:val="00DE39D1"/>
    <w:rsid w:val="00DE7764"/>
    <w:rsid w:val="00DF1B20"/>
    <w:rsid w:val="00DF1D7F"/>
    <w:rsid w:val="00DF4BE4"/>
    <w:rsid w:val="00E02382"/>
    <w:rsid w:val="00E02FB4"/>
    <w:rsid w:val="00E13FC7"/>
    <w:rsid w:val="00E20571"/>
    <w:rsid w:val="00E235F7"/>
    <w:rsid w:val="00E23659"/>
    <w:rsid w:val="00E239D4"/>
    <w:rsid w:val="00E26130"/>
    <w:rsid w:val="00E40B22"/>
    <w:rsid w:val="00E44ED1"/>
    <w:rsid w:val="00E45619"/>
    <w:rsid w:val="00E4588F"/>
    <w:rsid w:val="00E46DA3"/>
    <w:rsid w:val="00E51BB1"/>
    <w:rsid w:val="00E55CB0"/>
    <w:rsid w:val="00E624A5"/>
    <w:rsid w:val="00E64BA4"/>
    <w:rsid w:val="00E7344E"/>
    <w:rsid w:val="00E82665"/>
    <w:rsid w:val="00EB0798"/>
    <w:rsid w:val="00EB40AD"/>
    <w:rsid w:val="00EB586E"/>
    <w:rsid w:val="00EB5FC8"/>
    <w:rsid w:val="00EC463D"/>
    <w:rsid w:val="00EC7A85"/>
    <w:rsid w:val="00ED2922"/>
    <w:rsid w:val="00ED3CAD"/>
    <w:rsid w:val="00ED5A41"/>
    <w:rsid w:val="00EE1DE8"/>
    <w:rsid w:val="00EE27C2"/>
    <w:rsid w:val="00EE3F3C"/>
    <w:rsid w:val="00EF4BAD"/>
    <w:rsid w:val="00EF59DC"/>
    <w:rsid w:val="00F033EC"/>
    <w:rsid w:val="00F04F68"/>
    <w:rsid w:val="00F12670"/>
    <w:rsid w:val="00F14B27"/>
    <w:rsid w:val="00F227CF"/>
    <w:rsid w:val="00F3148D"/>
    <w:rsid w:val="00F325C5"/>
    <w:rsid w:val="00F32FE0"/>
    <w:rsid w:val="00F35298"/>
    <w:rsid w:val="00F4381E"/>
    <w:rsid w:val="00F47333"/>
    <w:rsid w:val="00F47E37"/>
    <w:rsid w:val="00F53C07"/>
    <w:rsid w:val="00F54B65"/>
    <w:rsid w:val="00F640B6"/>
    <w:rsid w:val="00F66DF2"/>
    <w:rsid w:val="00F80E40"/>
    <w:rsid w:val="00F848D9"/>
    <w:rsid w:val="00FA5069"/>
    <w:rsid w:val="00FA5B82"/>
    <w:rsid w:val="00FA639E"/>
    <w:rsid w:val="00FB0901"/>
    <w:rsid w:val="00FC1FCA"/>
    <w:rsid w:val="00FC25E4"/>
    <w:rsid w:val="00FC456C"/>
    <w:rsid w:val="00FC4EF7"/>
    <w:rsid w:val="00FD0824"/>
    <w:rsid w:val="00FD119B"/>
    <w:rsid w:val="00FD1EDC"/>
    <w:rsid w:val="00FE1DEE"/>
    <w:rsid w:val="00FF2126"/>
    <w:rsid w:val="00FF5755"/>
    <w:rsid w:val="00FF69BE"/>
    <w:rsid w:val="00FF7B93"/>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1737B261"/>
  <w15:docId w15:val="{7DA0E6CF-7BFF-4A40-A7E0-44B246878B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0" w:defUnhideWhenUsed="0" w:defQFormat="0" w:count="371">
    <w:lsdException w:name="Normal" w:uiPriority="0" w:qFormat="1"/>
    <w:lsdException w:name="heading 1" w:uiPriority="0"/>
    <w:lsdException w:name="heading 2" w:uiPriority="0" w:qFormat="1"/>
    <w:lsdException w:name="heading 3" w:uiPriority="0" w:qFormat="1"/>
    <w:lsdException w:name="heading 4" w:uiPriority="0" w:qFormat="1"/>
    <w:lsdException w:name="heading 5" w:uiPriority="9" w:qFormat="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index heading" w:semiHidden="1" w:unhideWhenUsed="1"/>
    <w:lsdException w:name="caption" w:uiPriority="35"/>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2"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uiPriority="2" w:qFormat="1"/>
    <w:lsdException w:name="List Bullet 3" w:semiHidden="1" w:uiPriority="2"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AD3935"/>
    <w:pPr>
      <w:spacing w:before="120" w:after="120" w:line="240" w:lineRule="atLeast"/>
    </w:pPr>
    <w:rPr>
      <w:rFonts w:ascii="Cambria" w:eastAsia="Cambria" w:hAnsi="Cambria" w:cs="Times New Roman"/>
    </w:rPr>
  </w:style>
  <w:style w:type="paragraph" w:styleId="Heading1">
    <w:name w:val="heading 1"/>
    <w:basedOn w:val="Heading2"/>
    <w:next w:val="Normal"/>
    <w:link w:val="Heading1Char"/>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EF59DC"/>
    <w:pPr>
      <w:keepNext/>
      <w:keepLines/>
      <w:spacing w:before="480" w:after="0" w:line="220" w:lineRule="atLeast"/>
      <w:outlineLvl w:val="2"/>
    </w:pPr>
    <w:rPr>
      <w:rFonts w:ascii="Arial" w:eastAsia="Times New Roman" w:hAnsi="Arial"/>
      <w:b/>
      <w:bCs/>
      <w:sz w:val="26"/>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rsid w:val="00770CAC"/>
    <w:pPr>
      <w:keepNext/>
      <w:spacing w:after="60" w:line="180" w:lineRule="atLeast"/>
      <w:outlineLvl w:val="6"/>
    </w:pPr>
    <w:rPr>
      <w:rFonts w:eastAsia="Times New Roman"/>
      <w:bCs/>
      <w:sz w:val="2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AD3935"/>
    <w:rPr>
      <w:rFonts w:ascii="Arial" w:eastAsia="Times New Roman" w:hAnsi="Arial" w:cs="Times New Roman"/>
      <w:b/>
      <w:bCs/>
      <w:sz w:val="32"/>
      <w:szCs w:val="26"/>
    </w:rPr>
  </w:style>
  <w:style w:type="character" w:customStyle="1" w:styleId="Heading3Char">
    <w:name w:val="Heading 3 Char"/>
    <w:basedOn w:val="DefaultParagraphFont"/>
    <w:link w:val="Heading3"/>
    <w:rsid w:val="00EF59DC"/>
    <w:rPr>
      <w:rFonts w:ascii="Arial" w:eastAsia="Times New Roman" w:hAnsi="Arial" w:cs="Times New Roman"/>
      <w:b/>
      <w:bCs/>
      <w:sz w:val="26"/>
      <w:szCs w:val="21"/>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1B5C90"/>
    <w:pPr>
      <w:keepNext/>
      <w:spacing w:line="220" w:lineRule="atLeast"/>
    </w:pPr>
    <w:rPr>
      <w:b/>
    </w:rPr>
  </w:style>
  <w:style w:type="character" w:customStyle="1" w:styleId="Heading4Char">
    <w:name w:val="Heading 4 Char"/>
    <w:basedOn w:val="DefaultParagraphFont"/>
    <w:link w:val="Heading4"/>
    <w:rsid w:val="00AD3935"/>
    <w:rPr>
      <w:rFonts w:ascii="Cambria" w:eastAsia="Cambria" w:hAnsi="Cambria" w:cs="Times New Roman"/>
      <w:b/>
      <w:bCs/>
      <w:szCs w:val="21"/>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AD393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770CAC"/>
    <w:rPr>
      <w:rFonts w:ascii="Cambria" w:eastAsia="Times New Roman" w:hAnsi="Cambria" w:cs="Times New Roman"/>
      <w:bCs/>
      <w:sz w:val="20"/>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C74F5C"/>
    <w:pPr>
      <w:outlineLvl w:val="1"/>
    </w:pPr>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2"/>
    <w:qFormat/>
    <w:rsid w:val="004C2DCA"/>
    <w:pPr>
      <w:numPr>
        <w:numId w:val="21"/>
      </w:numPr>
    </w:pPr>
  </w:style>
  <w:style w:type="paragraph" w:styleId="ListBullet2">
    <w:name w:val="List Bullet 2"/>
    <w:basedOn w:val="Normal"/>
    <w:uiPriority w:val="2"/>
    <w:qFormat/>
    <w:rsid w:val="004C2DCA"/>
    <w:pPr>
      <w:numPr>
        <w:ilvl w:val="1"/>
        <w:numId w:val="21"/>
      </w:numPr>
    </w:pPr>
  </w:style>
  <w:style w:type="paragraph" w:styleId="ListBullet3">
    <w:name w:val="List Bullet 3"/>
    <w:basedOn w:val="Normal"/>
    <w:uiPriority w:val="2"/>
    <w:qFormat/>
    <w:rsid w:val="004C2DCA"/>
    <w:pPr>
      <w:numPr>
        <w:ilvl w:val="2"/>
        <w:numId w:val="21"/>
      </w:numPr>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C74F5C"/>
    <w:pPr>
      <w:spacing w:before="240"/>
      <w:outlineLvl w:val="1"/>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uiPriority w:val="2"/>
    <w:qFormat/>
    <w:rsid w:val="004C2DCA"/>
    <w:pPr>
      <w:numPr>
        <w:numId w:val="24"/>
      </w:numPr>
    </w:pPr>
  </w:style>
  <w:style w:type="paragraph" w:customStyle="1" w:styleId="Numberbullet2">
    <w:name w:val="Number bullet 2"/>
    <w:basedOn w:val="ListBullet2"/>
    <w:uiPriority w:val="2"/>
    <w:qFormat/>
    <w:rsid w:val="004C2DCA"/>
    <w:pPr>
      <w:numPr>
        <w:numId w:val="24"/>
      </w:numPr>
    </w:pPr>
  </w:style>
  <w:style w:type="paragraph" w:customStyle="1" w:styleId="Numberbullet3">
    <w:name w:val="Number bullet 3"/>
    <w:basedOn w:val="ListBullet3"/>
    <w:uiPriority w:val="2"/>
    <w:qFormat/>
    <w:rsid w:val="004C2DCA"/>
    <w:pPr>
      <w:numPr>
        <w:numId w:val="24"/>
      </w:numPr>
    </w:pPr>
  </w:style>
  <w:style w:type="numbering" w:customStyle="1" w:styleId="NumberBullet">
    <w:name w:val="NumberBullet"/>
    <w:uiPriority w:val="99"/>
    <w:locked/>
    <w:rsid w:val="00F3148D"/>
    <w:pPr>
      <w:numPr>
        <w:numId w:val="8"/>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FC456C"/>
    <w:pPr>
      <w:framePr w:hSpace="180" w:wrap="around" w:vAnchor="page" w:hAnchor="text" w:y="3316"/>
      <w:numPr>
        <w:ilvl w:val="1"/>
      </w:numPr>
      <w:spacing w:after="360"/>
      <w:ind w:left="170"/>
    </w:pPr>
    <w:rPr>
      <w:rFonts w:ascii="Arial" w:eastAsia="Times New Roman" w:hAnsi="Arial"/>
      <w:bCs/>
      <w:iCs/>
      <w:color w:val="FFFFFF" w:themeColor="background1"/>
      <w:sz w:val="40"/>
      <w:szCs w:val="24"/>
    </w:rPr>
  </w:style>
  <w:style w:type="character" w:customStyle="1" w:styleId="SubtitleChar">
    <w:name w:val="Subtitle Char"/>
    <w:basedOn w:val="DefaultParagraphFont"/>
    <w:link w:val="Subtitle"/>
    <w:uiPriority w:val="11"/>
    <w:rsid w:val="00FC456C"/>
    <w:rPr>
      <w:rFonts w:ascii="Arial" w:eastAsia="Times New Roman" w:hAnsi="Arial" w:cs="Times New Roman"/>
      <w:bCs/>
      <w:iCs/>
      <w:color w:val="FFFFFF" w:themeColor="background1"/>
      <w:sz w:val="40"/>
      <w:szCs w:val="24"/>
    </w:rPr>
  </w:style>
  <w:style w:type="paragraph" w:customStyle="1" w:styleId="TableDescription">
    <w:name w:val="Table Description"/>
    <w:basedOn w:val="FigureDescription"/>
    <w:rsid w:val="00500337"/>
    <w:pPr>
      <w:spacing w:line="240" w:lineRule="auto"/>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link w:val="TabletextChar"/>
    <w:qFormat/>
    <w:rsid w:val="00F3148D"/>
    <w:rPr>
      <w:sz w:val="19"/>
    </w:rPr>
  </w:style>
  <w:style w:type="table" w:customStyle="1" w:styleId="TableTGAblue">
    <w:name w:val="Table TGA blue"/>
    <w:basedOn w:val="TableNormal"/>
    <w:uiPriority w:val="99"/>
    <w:qFormat/>
    <w:rsid w:val="00FD119B"/>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rsid w:val="002E40B3"/>
    <w:pPr>
      <w:keepNext/>
    </w:pPr>
    <w:rPr>
      <w:b/>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C456C"/>
    <w:pPr>
      <w:framePr w:hSpace="180" w:wrap="around" w:vAnchor="page" w:hAnchor="text" w:y="3316"/>
      <w:spacing w:after="480" w:line="240" w:lineRule="auto"/>
      <w:contextualSpacing/>
      <w:outlineLvl w:val="0"/>
    </w:pPr>
    <w:rPr>
      <w:rFonts w:ascii="Arial" w:eastAsia="Times New Roman" w:hAnsi="Arial" w:cs="Times New Roman"/>
      <w:color w:val="FFFFFF" w:themeColor="background1"/>
      <w:spacing w:val="5"/>
      <w:kern w:val="28"/>
      <w:sz w:val="52"/>
      <w:szCs w:val="52"/>
    </w:rPr>
  </w:style>
  <w:style w:type="character" w:customStyle="1" w:styleId="TitleChar">
    <w:name w:val="Title Char"/>
    <w:basedOn w:val="DefaultParagraphFont"/>
    <w:link w:val="Title"/>
    <w:uiPriority w:val="10"/>
    <w:rsid w:val="00FC456C"/>
    <w:rPr>
      <w:rFonts w:ascii="Arial" w:eastAsia="Times New Roman" w:hAnsi="Arial" w:cs="Times New Roman"/>
      <w:color w:val="FFFFFF" w:themeColor="background1"/>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rsid w:val="001B5C90"/>
    <w:rPr>
      <w:rFonts w:ascii="Cambria" w:eastAsia="Cambria" w:hAnsi="Cambria" w:cs="Times New Roman"/>
      <w:sz w:val="18"/>
      <w:szCs w:val="20"/>
    </w:rPr>
  </w:style>
  <w:style w:type="character" w:styleId="FootnoteReference">
    <w:name w:val="footnote reference"/>
    <w:basedOn w:val="DefaultParagraphFont"/>
    <w:uiPriority w:val="99"/>
    <w:semiHidden/>
    <w:unhideWhenUsed/>
    <w:rsid w:val="001B5C90"/>
    <w:rPr>
      <w:vertAlign w:val="superscript"/>
    </w:rPr>
  </w:style>
  <w:style w:type="paragraph" w:customStyle="1" w:styleId="Quotation">
    <w:name w:val="Quotation"/>
    <w:basedOn w:val="Normal"/>
    <w:next w:val="Normal"/>
    <w:uiPriority w:val="4"/>
    <w:qFormat/>
    <w:rsid w:val="00E13FC7"/>
    <w:pPr>
      <w:spacing w:after="180"/>
      <w:ind w:left="425"/>
    </w:pPr>
    <w:rPr>
      <w:rFonts w:eastAsiaTheme="minorEastAsia" w:cstheme="minorBidi"/>
      <w:sz w:val="20"/>
      <w:lang w:eastAsia="zh-TW"/>
    </w:rPr>
  </w:style>
  <w:style w:type="paragraph" w:customStyle="1" w:styleId="Comment">
    <w:name w:val="Comment"/>
    <w:basedOn w:val="Normal"/>
    <w:next w:val="Normal"/>
    <w:uiPriority w:val="1"/>
    <w:qFormat/>
    <w:rsid w:val="00DD28CD"/>
    <w:pPr>
      <w:ind w:left="992" w:hanging="992"/>
    </w:pPr>
  </w:style>
  <w:style w:type="paragraph" w:styleId="EndnoteText">
    <w:name w:val="endnote text"/>
    <w:basedOn w:val="Normal"/>
    <w:link w:val="EndnoteTextChar"/>
    <w:uiPriority w:val="99"/>
    <w:semiHidden/>
    <w:unhideWhenUsed/>
    <w:rsid w:val="000E6196"/>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0E6196"/>
    <w:rPr>
      <w:rFonts w:ascii="Cambria" w:eastAsia="Cambria" w:hAnsi="Cambria" w:cs="Times New Roman"/>
      <w:sz w:val="20"/>
      <w:szCs w:val="20"/>
    </w:rPr>
  </w:style>
  <w:style w:type="character" w:styleId="EndnoteReference">
    <w:name w:val="endnote reference"/>
    <w:basedOn w:val="DefaultParagraphFont"/>
    <w:uiPriority w:val="99"/>
    <w:semiHidden/>
    <w:unhideWhenUsed/>
    <w:rsid w:val="000E6196"/>
    <w:rPr>
      <w:vertAlign w:val="superscript"/>
    </w:rPr>
  </w:style>
  <w:style w:type="character" w:styleId="CommentReference">
    <w:name w:val="annotation reference"/>
    <w:basedOn w:val="DefaultParagraphFont"/>
    <w:uiPriority w:val="99"/>
    <w:semiHidden/>
    <w:unhideWhenUsed/>
    <w:rsid w:val="00EC463D"/>
    <w:rPr>
      <w:sz w:val="16"/>
      <w:szCs w:val="16"/>
    </w:rPr>
  </w:style>
  <w:style w:type="paragraph" w:styleId="CommentText">
    <w:name w:val="annotation text"/>
    <w:basedOn w:val="Normal"/>
    <w:link w:val="CommentTextChar"/>
    <w:uiPriority w:val="99"/>
    <w:semiHidden/>
    <w:unhideWhenUsed/>
    <w:rsid w:val="00EC463D"/>
    <w:pPr>
      <w:spacing w:line="240" w:lineRule="auto"/>
    </w:pPr>
    <w:rPr>
      <w:sz w:val="20"/>
      <w:szCs w:val="20"/>
    </w:rPr>
  </w:style>
  <w:style w:type="character" w:customStyle="1" w:styleId="CommentTextChar">
    <w:name w:val="Comment Text Char"/>
    <w:basedOn w:val="DefaultParagraphFont"/>
    <w:link w:val="CommentText"/>
    <w:uiPriority w:val="99"/>
    <w:semiHidden/>
    <w:rsid w:val="00EC463D"/>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EC463D"/>
    <w:rPr>
      <w:b/>
      <w:bCs/>
    </w:rPr>
  </w:style>
  <w:style w:type="character" w:customStyle="1" w:styleId="CommentSubjectChar">
    <w:name w:val="Comment Subject Char"/>
    <w:basedOn w:val="CommentTextChar"/>
    <w:link w:val="CommentSubject"/>
    <w:uiPriority w:val="99"/>
    <w:semiHidden/>
    <w:rsid w:val="00EC463D"/>
    <w:rPr>
      <w:rFonts w:ascii="Cambria" w:eastAsia="Cambria" w:hAnsi="Cambria" w:cs="Times New Roman"/>
      <w:b/>
      <w:bCs/>
      <w:sz w:val="20"/>
      <w:szCs w:val="20"/>
    </w:rPr>
  </w:style>
  <w:style w:type="paragraph" w:styleId="Revision">
    <w:name w:val="Revision"/>
    <w:hidden/>
    <w:uiPriority w:val="99"/>
    <w:semiHidden/>
    <w:rsid w:val="003442FD"/>
    <w:pPr>
      <w:spacing w:after="0" w:line="240" w:lineRule="auto"/>
    </w:pPr>
    <w:rPr>
      <w:rFonts w:ascii="Cambria" w:eastAsia="Cambria" w:hAnsi="Cambria" w:cs="Times New Roman"/>
    </w:rPr>
  </w:style>
  <w:style w:type="paragraph" w:customStyle="1" w:styleId="Instructions">
    <w:name w:val="Instructions"/>
    <w:basedOn w:val="Normal"/>
    <w:next w:val="Normal"/>
    <w:uiPriority w:val="1"/>
    <w:qFormat/>
    <w:rsid w:val="00EE27C2"/>
    <w:rPr>
      <w:i/>
      <w:color w:val="007099"/>
    </w:rPr>
  </w:style>
  <w:style w:type="paragraph" w:customStyle="1" w:styleId="Bulletpoint">
    <w:name w:val="Bullet point"/>
    <w:basedOn w:val="Normal"/>
    <w:rsid w:val="00D51DCD"/>
    <w:pPr>
      <w:numPr>
        <w:numId w:val="29"/>
      </w:numPr>
      <w:tabs>
        <w:tab w:val="clear" w:pos="369"/>
        <w:tab w:val="left" w:pos="397"/>
        <w:tab w:val="num" w:pos="511"/>
      </w:tabs>
      <w:spacing w:before="0" w:after="180" w:line="252" w:lineRule="auto"/>
      <w:ind w:left="0" w:firstLine="0"/>
    </w:pPr>
    <w:rPr>
      <w:rFonts w:eastAsia="Times New Roman"/>
      <w:snapToGrid w:val="0"/>
      <w:kern w:val="16"/>
      <w:szCs w:val="24"/>
    </w:rPr>
  </w:style>
  <w:style w:type="paragraph" w:styleId="ListParagraph">
    <w:name w:val="List Paragraph"/>
    <w:basedOn w:val="Normal"/>
    <w:uiPriority w:val="34"/>
    <w:qFormat/>
    <w:rsid w:val="00D51DCD"/>
    <w:pPr>
      <w:adjustRightInd w:val="0"/>
      <w:snapToGrid w:val="0"/>
      <w:spacing w:before="180" w:after="180"/>
      <w:ind w:left="720"/>
      <w:contextualSpacing/>
    </w:pPr>
    <w:rPr>
      <w:rFonts w:eastAsia="MS Mincho"/>
      <w:szCs w:val="20"/>
      <w:lang w:eastAsia="ja-JP"/>
    </w:rPr>
  </w:style>
  <w:style w:type="paragraph" w:styleId="NoSpacing">
    <w:name w:val="No Spacing"/>
    <w:basedOn w:val="Normal"/>
    <w:uiPriority w:val="1"/>
    <w:qFormat/>
    <w:rsid w:val="00D51DCD"/>
    <w:pPr>
      <w:spacing w:before="0" w:after="0" w:line="240" w:lineRule="auto"/>
    </w:pPr>
    <w:rPr>
      <w:rFonts w:asciiTheme="minorHAnsi" w:eastAsiaTheme="minorEastAsia" w:hAnsiTheme="minorHAnsi" w:cstheme="minorBidi"/>
      <w:sz w:val="18"/>
    </w:rPr>
  </w:style>
  <w:style w:type="paragraph" w:customStyle="1" w:styleId="Standard">
    <w:name w:val="Standard"/>
    <w:basedOn w:val="Normal"/>
    <w:link w:val="StandardChar"/>
    <w:qFormat/>
    <w:rsid w:val="00D51DCD"/>
    <w:pPr>
      <w:spacing w:before="0" w:after="220" w:line="252" w:lineRule="auto"/>
    </w:pPr>
    <w:rPr>
      <w:rFonts w:eastAsia="Times New Roman"/>
      <w:snapToGrid w:val="0"/>
      <w:kern w:val="16"/>
      <w:sz w:val="23"/>
      <w:szCs w:val="24"/>
    </w:rPr>
  </w:style>
  <w:style w:type="character" w:customStyle="1" w:styleId="StandardChar">
    <w:name w:val="Standard Char"/>
    <w:basedOn w:val="DefaultParagraphFont"/>
    <w:link w:val="Standard"/>
    <w:rsid w:val="00D51DCD"/>
    <w:rPr>
      <w:rFonts w:ascii="Cambria" w:eastAsia="Times New Roman" w:hAnsi="Cambria" w:cs="Times New Roman"/>
      <w:snapToGrid w:val="0"/>
      <w:kern w:val="16"/>
      <w:sz w:val="23"/>
      <w:szCs w:val="24"/>
    </w:rPr>
  </w:style>
  <w:style w:type="character" w:customStyle="1" w:styleId="TabletextChar">
    <w:name w:val="Table text Char"/>
    <w:basedOn w:val="StandardChar"/>
    <w:link w:val="Tabletext"/>
    <w:rsid w:val="00D51DCD"/>
    <w:rPr>
      <w:rFonts w:ascii="Cambria" w:eastAsia="Cambria" w:hAnsi="Cambria" w:cs="Times New Roman"/>
      <w:snapToGrid/>
      <w:kern w:val="16"/>
      <w:sz w:val="19"/>
      <w:szCs w:val="24"/>
    </w:rPr>
  </w:style>
  <w:style w:type="paragraph" w:customStyle="1" w:styleId="Summaryofsafetyconcerns">
    <w:name w:val="Summary of safety concerns"/>
    <w:basedOn w:val="Tabletext"/>
    <w:link w:val="SummaryofsafetyconcernsChar"/>
    <w:qFormat/>
    <w:rsid w:val="00D51DCD"/>
    <w:pPr>
      <w:spacing w:before="20" w:after="20" w:line="252" w:lineRule="auto"/>
    </w:pPr>
    <w:rPr>
      <w:rFonts w:eastAsia="Times New Roman"/>
      <w:b/>
      <w:snapToGrid w:val="0"/>
      <w:kern w:val="16"/>
      <w:sz w:val="20"/>
      <w:szCs w:val="24"/>
    </w:rPr>
  </w:style>
  <w:style w:type="character" w:customStyle="1" w:styleId="SummaryofsafetyconcernsChar">
    <w:name w:val="Summary of safety concerns Char"/>
    <w:basedOn w:val="TabletextChar"/>
    <w:link w:val="Summaryofsafetyconcerns"/>
    <w:rsid w:val="00D51DCD"/>
    <w:rPr>
      <w:rFonts w:ascii="Cambria" w:eastAsia="Times New Roman" w:hAnsi="Cambria" w:cs="Times New Roman"/>
      <w:b/>
      <w:snapToGrid w:val="0"/>
      <w:kern w:val="16"/>
      <w:sz w:val="20"/>
      <w:szCs w:val="24"/>
    </w:rPr>
  </w:style>
  <w:style w:type="paragraph" w:customStyle="1" w:styleId="Figuredescription0">
    <w:name w:val="Figure description"/>
    <w:basedOn w:val="Normal"/>
    <w:next w:val="Normal"/>
    <w:rsid w:val="00D51DCD"/>
    <w:pPr>
      <w:spacing w:after="240" w:line="180" w:lineRule="atLeast"/>
    </w:pPr>
    <w:rPr>
      <w:sz w:val="18"/>
      <w:szCs w:val="20"/>
    </w:rPr>
  </w:style>
  <w:style w:type="character" w:customStyle="1" w:styleId="titledefault">
    <w:name w:val="title_default"/>
    <w:basedOn w:val="DefaultParagraphFont"/>
    <w:rsid w:val="00A0790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tga.gov.au" TargetMode="External"/><Relationship Id="rId13" Type="http://schemas.openxmlformats.org/officeDocument/2006/relationships/hyperlink" Target="https://www.tga.gov.au/product-information-pi" TargetMode="External"/><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footer" Target="footer4.xml"/><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hyperlink" Target="https://www.tga.gov.au" TargetMode="Externa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hyperlink" Target="mailto:info@tga.gov.au" TargetMode="External"/><Relationship Id="rId38" Type="http://schemas.openxmlformats.org/officeDocument/2006/relationships/header" Target="header8.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header" Target="header3.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3.png"/><Relationship Id="rId32" Type="http://schemas.openxmlformats.org/officeDocument/2006/relationships/footer" Target="footer2.xml"/><Relationship Id="rId37" Type="http://schemas.openxmlformats.org/officeDocument/2006/relationships/footer" Target="footer3.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hyperlink" Target="https://www.tga.gov.au/product-information-pi" TargetMode="External"/><Relationship Id="rId36" Type="http://schemas.openxmlformats.org/officeDocument/2006/relationships/header" Target="header7.xml"/><Relationship Id="rId10" Type="http://schemas.openxmlformats.org/officeDocument/2006/relationships/header" Target="header1.xml"/><Relationship Id="rId19" Type="http://schemas.openxmlformats.org/officeDocument/2006/relationships/image" Target="media/image8.png"/><Relationship Id="rId31"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yperlink" Target="mailto:tga.copyright@tga.gov.au" TargetMode="Externa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header" Target="header4.xml"/><Relationship Id="rId35" Type="http://schemas.openxmlformats.org/officeDocument/2006/relationships/header" Target="header6.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ergul\AppData\Local\Hewlett-Packard\HP%20TRIM\TEMP\HPTRIM.11604\t0Q71ADC.DOTX" TargetMode="External"/></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8B8710-3C44-4CD3-A0A7-88B00BBAD8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t0Q71ADC.DOTX</Template>
  <TotalTime>43</TotalTime>
  <Pages>29</Pages>
  <Words>8168</Words>
  <Characters>46559</Characters>
  <Application>Microsoft Office Word</Application>
  <DocSecurity>0</DocSecurity>
  <Lines>387</Lines>
  <Paragraphs>109</Paragraphs>
  <ScaleCrop>false</ScaleCrop>
  <HeadingPairs>
    <vt:vector size="2" baseType="variant">
      <vt:variant>
        <vt:lpstr>Title</vt:lpstr>
      </vt:variant>
      <vt:variant>
        <vt:i4>1</vt:i4>
      </vt:variant>
    </vt:vector>
  </HeadingPairs>
  <TitlesOfParts>
    <vt:vector size="1" baseType="lpstr">
      <vt:lpstr>Australian public assessment report for</vt:lpstr>
    </vt:vector>
  </TitlesOfParts>
  <Company>Department of Health Therapeutic Goods Administration</Company>
  <LinksUpToDate>false</LinksUpToDate>
  <CharactersWithSpaces>54618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Report for Lorlatinib</dc:title>
  <dc:subject>prescription medicine regulation</dc:subject>
  <dc:creator>Therapeutic Goods Administration</dc:creator>
  <cp:keywords>AusPARs</cp:keywords>
  <cp:lastPrinted>2019-08-14T04:30:00Z</cp:lastPrinted>
  <dcterms:created xsi:type="dcterms:W3CDTF">2020-02-19T01:02:00Z</dcterms:created>
  <dcterms:modified xsi:type="dcterms:W3CDTF">2020-03-05T05:23:00Z</dcterms:modified>
</cp:coreProperties>
</file>