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36F8B" w14:textId="3756816B" w:rsidR="007830EE" w:rsidRPr="007830EE" w:rsidRDefault="006170C8" w:rsidP="007830EE">
      <w:pPr>
        <w:pStyle w:val="CLDNormal"/>
        <w:rPr>
          <w:rFonts w:eastAsia="Calibri"/>
          <w:lang w:val="en-AU"/>
        </w:rPr>
      </w:pPr>
      <w:r>
        <w:rPr>
          <w:noProof/>
          <w:lang w:val="en-AU" w:eastAsia="en-AU"/>
        </w:rPr>
        <mc:AlternateContent>
          <mc:Choice Requires="wps">
            <w:drawing>
              <wp:inline distT="0" distB="0" distL="0" distR="0" wp14:anchorId="37723DF0" wp14:editId="34BEF6BB">
                <wp:extent cx="252095" cy="25209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21F799" w14:textId="77777777" w:rsidR="003D182C" w:rsidRPr="00BE2A26" w:rsidRDefault="003D182C" w:rsidP="007830EE">
                            <w:pPr>
                              <w:rPr>
                                <w:rFonts w:ascii="Wingdings 3" w:hAnsi="Wingdings 3"/>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37723DF0" id="_x0000_t202" coordsize="21600,21600" o:spt="202" path="m,l,21600r21600,l21600,xe">
                <v:stroke joinstyle="miter"/>
                <v:path gradientshapeok="t" o:connecttype="rect"/>
              </v:shapetype>
              <v:shape id="Text Box 4"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4xdAIAAP4EAAAOAAAAZHJzL2Uyb0RvYy54bWysVG1v2yAQ/j5p/wHxPfWLnDa26lRtskyT&#10;uhep3Q8ggGM0DAxI7G7qf9+B47TrNmma5g/4gOPh7p7nuLwaOokO3DqhVY2zsxQjrqhmQu1q/Pl+&#10;M1tg5DxRjEiteI0fuMNXy9evLntT8Vy3WjJuEYAoV/Wmxq33pkoSR1veEXemDVew2WjbEQ9Tu0uY&#10;JT2gdzLJ0/Q86bVlxmrKnYPV9biJlxG/aTj1H5vGcY9kjSE2H0cbx20Yk+UlqXaWmFbQYxjkH6Lo&#10;iFBw6QlqTTxBeyt+geoEtdrpxp9R3SW6aQTlMQfIJktfZHPXEsNjLlAcZ05lcv8Pln44fLJIsBoX&#10;GCnSAUX3fPDoRg+oCNXpjavA6c6Amx9gGViOmTpzq+kXh5RetUTt+LW1um85YRBdFk4mz46OOC6A&#10;bPv3msE1ZO91BBoa24XSQTEQoANLDydmQigUFvN5npZzjChsHe1wA6mmw8Y6/5brDgWjxhaIj+Dk&#10;cOv86Dq5hLucloJthJRxYnfblbToQEAkm/jF+F+4SRWclQ7HRsRxBWKEO8JeiDaS/r3M8iK9ycvZ&#10;5nxxMSs2xXxWXqSLWZqVN+V5WpTFevMYAsyKqhWMcXUrFJ8EmBV/R/CxFUbpRAmivsblPJ+PDP0x&#10;yTR+v0uyEx76UYquxouTE6kCr28Ug7RJ5YmQo538HH4kBGow/WNVogoC8aME/LAdACVIY6vZA+jB&#10;auALSIdHBIxW228Y9dCQNXZf98RyjOQ7BZoK3TsZdjK2k0EUhaM19hiN5sqPXb43VuxaQB5Vq/Q1&#10;6K4RURNPURzVCk0Wgz8+CKGLn8+j19OztfwBAAD//wMAUEsDBBQABgAIAAAAIQBj9U4M2QAAAAMB&#10;AAAPAAAAZHJzL2Rvd25yZXYueG1sTI9BT8JAEIXvJvyHzZB4MbAVE5TaLUHQmxxAwnnojm1Dd7bZ&#10;3dLy7131oJd5mbzJe99ky8E04kLO15YV3E8TEMSF1TWXCg4fb5MnED4ga2wsk4IreVjmo5sMU217&#10;3tFlH0oRQ9inqKAKoU2l9EVFBv3UtsTR+7TOYIirK6V22Mdw08hZksylwZpjQ4UtrSsqzvvOKJhv&#10;XNfveH23Oby+47YtZ8eX61Gp2/GwegYRaAh/x/CNH9Ehj0wn27H2olEQHwk/M3oPi0cQp1+VeSb/&#10;s+dfAAAA//8DAFBLAQItABQABgAIAAAAIQC2gziS/gAAAOEBAAATAAAAAAAAAAAAAAAAAAAAAABb&#10;Q29udGVudF9UeXBlc10ueG1sUEsBAi0AFAAGAAgAAAAhADj9If/WAAAAlAEAAAsAAAAAAAAAAAAA&#10;AAAALwEAAF9yZWxzLy5yZWxzUEsBAi0AFAAGAAgAAAAhABvYfjF0AgAA/gQAAA4AAAAAAAAAAAAA&#10;AAAALgIAAGRycy9lMm9Eb2MueG1sUEsBAi0AFAAGAAgAAAAhAGP1TgzZAAAAAwEAAA8AAAAAAAAA&#10;AAAAAAAAzgQAAGRycy9kb3ducmV2LnhtbFBLBQYAAAAABAAEAPMAAADUBQAAAAA=&#10;" stroked="f">
                <v:textbox inset="0,0,0,0">
                  <w:txbxContent>
                    <w:p w14:paraId="2E21F799" w14:textId="77777777" w:rsidR="003D182C" w:rsidRPr="00BE2A26" w:rsidRDefault="003D182C" w:rsidP="007830EE">
                      <w:pPr>
                        <w:rPr>
                          <w:rFonts w:ascii="Wingdings 3" w:hAnsi="Wingdings 3"/>
                        </w:rPr>
                      </w:pPr>
                      <w:r w:rsidRPr="00BE2A26">
                        <w:rPr>
                          <w:rFonts w:ascii="SimSun" w:eastAsia="SimSun" w:hAnsi="SimSun" w:cs="Arial" w:hint="eastAsia"/>
                          <w:sz w:val="40"/>
                        </w:rPr>
                        <w:t>▼</w:t>
                      </w:r>
                    </w:p>
                  </w:txbxContent>
                </v:textbox>
                <w10:anchorlock/>
              </v:shape>
            </w:pict>
          </mc:Fallback>
        </mc:AlternateContent>
      </w:r>
      <w:r w:rsidR="007830EE" w:rsidRPr="007830EE">
        <w:rPr>
          <w:rFonts w:eastAsia="Calibri"/>
          <w:lang w:val="en-AU"/>
        </w:rPr>
        <w:t xml:space="preserve">This medicinal product is subject to additional monitoring in Australia. This will allow quick identification of new safety information. Healthcare professionals are asked to report any suspected adverse events at </w:t>
      </w:r>
      <w:hyperlink r:id="rId8" w:history="1">
        <w:r w:rsidR="007830EE" w:rsidRPr="007830EE">
          <w:rPr>
            <w:rFonts w:eastAsia="Calibri"/>
            <w:color w:val="0000FF"/>
            <w:u w:val="single"/>
            <w:lang w:val="en-AU"/>
          </w:rPr>
          <w:t>www.tga.gov.au/reporting-problems</w:t>
        </w:r>
      </w:hyperlink>
      <w:r w:rsidR="007830EE" w:rsidRPr="007830EE">
        <w:rPr>
          <w:rFonts w:eastAsia="Calibri"/>
          <w:lang w:val="en-AU"/>
        </w:rPr>
        <w:t>.</w:t>
      </w:r>
    </w:p>
    <w:p w14:paraId="42DB1351" w14:textId="77777777" w:rsidR="009C1B6A" w:rsidRPr="007830EE" w:rsidRDefault="000F2F06" w:rsidP="007830EE">
      <w:pPr>
        <w:pStyle w:val="Title"/>
        <w:spacing w:after="240"/>
        <w:jc w:val="left"/>
        <w:outlineLvl w:val="0"/>
        <w:rPr>
          <w:kern w:val="28"/>
          <w:sz w:val="40"/>
          <w:szCs w:val="40"/>
        </w:rPr>
      </w:pPr>
      <w:r w:rsidRPr="007830EE">
        <w:rPr>
          <w:kern w:val="28"/>
          <w:sz w:val="40"/>
          <w:szCs w:val="40"/>
        </w:rPr>
        <w:t xml:space="preserve">AUSTRALIAN </w:t>
      </w:r>
      <w:r w:rsidR="00CE0399" w:rsidRPr="007830EE">
        <w:rPr>
          <w:kern w:val="28"/>
          <w:sz w:val="40"/>
          <w:szCs w:val="40"/>
        </w:rPr>
        <w:t>PRODUCT INFORMATION</w:t>
      </w:r>
      <w:r w:rsidR="007830EE">
        <w:rPr>
          <w:kern w:val="28"/>
          <w:sz w:val="40"/>
          <w:szCs w:val="40"/>
        </w:rPr>
        <w:t xml:space="preserve"> - LORVIQUA® (LORLATINIB)</w:t>
      </w:r>
    </w:p>
    <w:p w14:paraId="6980F2F3" w14:textId="77777777" w:rsidR="00E028D1" w:rsidRPr="007830EE" w:rsidRDefault="00CE0399" w:rsidP="005A65B0">
      <w:pPr>
        <w:pStyle w:val="Heading1"/>
      </w:pPr>
      <w:r w:rsidRPr="007830EE">
        <w:t>NAME OF THE MEDICIN</w:t>
      </w:r>
      <w:r w:rsidR="009C1B6A" w:rsidRPr="007830EE">
        <w:t>e</w:t>
      </w:r>
    </w:p>
    <w:p w14:paraId="12F53D08" w14:textId="77777777" w:rsidR="009C1B6A" w:rsidRPr="00663935" w:rsidRDefault="00EC2AE6" w:rsidP="009C1B6A">
      <w:pPr>
        <w:widowControl w:val="0"/>
        <w:rPr>
          <w:bCs/>
        </w:rPr>
      </w:pPr>
      <w:r>
        <w:rPr>
          <w:bCs/>
        </w:rPr>
        <w:t>Lorlatinib</w:t>
      </w:r>
    </w:p>
    <w:p w14:paraId="65330CD5" w14:textId="77777777" w:rsidR="00E028D1" w:rsidRPr="000F2F06" w:rsidRDefault="000F2F06" w:rsidP="005A65B0">
      <w:pPr>
        <w:pStyle w:val="Heading1"/>
      </w:pPr>
      <w:r w:rsidRPr="000F2F06">
        <w:t>QUALITATIVE AND QUANTITATIVE COMPOSITION</w:t>
      </w:r>
    </w:p>
    <w:p w14:paraId="728038AB" w14:textId="77777777" w:rsidR="009C1B6A" w:rsidRPr="00663935" w:rsidRDefault="009C1B6A" w:rsidP="009C1B6A">
      <w:pPr>
        <w:autoSpaceDE w:val="0"/>
        <w:autoSpaceDN w:val="0"/>
        <w:adjustRightInd w:val="0"/>
        <w:jc w:val="both"/>
        <w:rPr>
          <w:bCs/>
        </w:rPr>
      </w:pPr>
      <w:r w:rsidRPr="00663935">
        <w:rPr>
          <w:bCs/>
        </w:rPr>
        <w:t>Each 25 mg film</w:t>
      </w:r>
      <w:r>
        <w:rPr>
          <w:bCs/>
        </w:rPr>
        <w:noBreakHyphen/>
      </w:r>
      <w:r w:rsidRPr="00663935">
        <w:rPr>
          <w:bCs/>
        </w:rPr>
        <w:t>coated tablet contains 25 mg of lorlatinib.</w:t>
      </w:r>
    </w:p>
    <w:p w14:paraId="3C0AEA8A" w14:textId="77777777" w:rsidR="009C1B6A" w:rsidRPr="00663935" w:rsidRDefault="009C1B6A" w:rsidP="003D182C">
      <w:pPr>
        <w:autoSpaceDE w:val="0"/>
        <w:autoSpaceDN w:val="0"/>
        <w:adjustRightInd w:val="0"/>
        <w:spacing w:after="180"/>
        <w:jc w:val="both"/>
        <w:rPr>
          <w:bCs/>
        </w:rPr>
      </w:pPr>
      <w:r w:rsidRPr="00663935">
        <w:rPr>
          <w:rFonts w:eastAsia="SimSun"/>
          <w:szCs w:val="22"/>
        </w:rPr>
        <w:t>Excipient with known effect: 1.58 mg of lactose per film</w:t>
      </w:r>
      <w:r>
        <w:rPr>
          <w:rFonts w:eastAsia="SimSun"/>
          <w:szCs w:val="22"/>
        </w:rPr>
        <w:noBreakHyphen/>
      </w:r>
      <w:r w:rsidRPr="00663935">
        <w:rPr>
          <w:rFonts w:eastAsia="SimSun"/>
          <w:szCs w:val="22"/>
        </w:rPr>
        <w:t>coated tablet.</w:t>
      </w:r>
    </w:p>
    <w:p w14:paraId="361A9108" w14:textId="77777777" w:rsidR="009C1B6A" w:rsidRPr="00663935" w:rsidRDefault="009C1B6A" w:rsidP="009C1B6A">
      <w:pPr>
        <w:autoSpaceDE w:val="0"/>
        <w:autoSpaceDN w:val="0"/>
        <w:adjustRightInd w:val="0"/>
        <w:jc w:val="both"/>
        <w:rPr>
          <w:bCs/>
        </w:rPr>
      </w:pPr>
      <w:r w:rsidRPr="00663935">
        <w:rPr>
          <w:bCs/>
        </w:rPr>
        <w:t>Each 100 mg film</w:t>
      </w:r>
      <w:r>
        <w:rPr>
          <w:bCs/>
        </w:rPr>
        <w:noBreakHyphen/>
      </w:r>
      <w:r w:rsidRPr="00663935">
        <w:rPr>
          <w:bCs/>
        </w:rPr>
        <w:t>coated tablet contains 100 mg of lorlatinib.</w:t>
      </w:r>
    </w:p>
    <w:p w14:paraId="343AB1CE" w14:textId="77777777" w:rsidR="009C1B6A" w:rsidRPr="00663935" w:rsidRDefault="009C1B6A" w:rsidP="003D182C">
      <w:pPr>
        <w:spacing w:after="180"/>
      </w:pPr>
      <w:r w:rsidRPr="00663935">
        <w:rPr>
          <w:rFonts w:eastAsia="SimSun"/>
          <w:szCs w:val="22"/>
        </w:rPr>
        <w:t>Excipient with known effect: 4.20 mg of lactose per film</w:t>
      </w:r>
      <w:r>
        <w:rPr>
          <w:rFonts w:eastAsia="SimSun"/>
          <w:szCs w:val="22"/>
        </w:rPr>
        <w:noBreakHyphen/>
      </w:r>
      <w:r w:rsidRPr="00663935">
        <w:rPr>
          <w:rFonts w:eastAsia="SimSun"/>
          <w:szCs w:val="22"/>
        </w:rPr>
        <w:t>coated tablet.</w:t>
      </w:r>
    </w:p>
    <w:p w14:paraId="5A6B8E6D" w14:textId="77777777" w:rsidR="000F2F06" w:rsidRPr="000F2F06" w:rsidRDefault="000F2F06" w:rsidP="000F2F06">
      <w:r w:rsidRPr="00F931DB">
        <w:t xml:space="preserve">For the full list of excipients, see </w:t>
      </w:r>
      <w:r w:rsidR="008F036C">
        <w:t>S</w:t>
      </w:r>
      <w:r w:rsidRPr="00DB2A34">
        <w:t>ection 6.1</w:t>
      </w:r>
      <w:r w:rsidR="006A11E4">
        <w:t xml:space="preserve"> </w:t>
      </w:r>
      <w:r w:rsidR="008F036C">
        <w:t>List of Excipients.</w:t>
      </w:r>
    </w:p>
    <w:p w14:paraId="6B43DED6" w14:textId="77777777" w:rsidR="000F2F06" w:rsidRDefault="000F2F06" w:rsidP="005A65B0">
      <w:pPr>
        <w:pStyle w:val="Heading1"/>
      </w:pPr>
      <w:r w:rsidRPr="000F2F06">
        <w:t>PHARMACEUTICAL FORM</w:t>
      </w:r>
    </w:p>
    <w:p w14:paraId="25C89F85" w14:textId="77777777" w:rsidR="009C1B6A" w:rsidRPr="00663935" w:rsidRDefault="00EC2AE6" w:rsidP="003D182C">
      <w:pPr>
        <w:autoSpaceDE w:val="0"/>
        <w:autoSpaceDN w:val="0"/>
        <w:adjustRightInd w:val="0"/>
        <w:spacing w:after="180"/>
      </w:pPr>
      <w:r>
        <w:t>T</w:t>
      </w:r>
      <w:r w:rsidR="009C1B6A" w:rsidRPr="00663935">
        <w:t>ablet</w:t>
      </w:r>
      <w:r>
        <w:t>, film coated.</w:t>
      </w:r>
    </w:p>
    <w:p w14:paraId="3A20AB66" w14:textId="77777777" w:rsidR="009C1B6A" w:rsidRPr="00663935" w:rsidRDefault="009C1B6A" w:rsidP="003D182C">
      <w:pPr>
        <w:autoSpaceDE w:val="0"/>
        <w:autoSpaceDN w:val="0"/>
        <w:adjustRightInd w:val="0"/>
        <w:spacing w:after="180"/>
        <w:rPr>
          <w:bCs/>
        </w:rPr>
      </w:pPr>
      <w:r w:rsidRPr="00663935">
        <w:t>25 mg: 8 mm round tan film</w:t>
      </w:r>
      <w:r>
        <w:noBreakHyphen/>
      </w:r>
      <w:r w:rsidRPr="00663935">
        <w:t>coated tablet, debossed with “Pfizer” on one side and “25” and “LLN” on the other side.</w:t>
      </w:r>
    </w:p>
    <w:p w14:paraId="74EEE72D" w14:textId="77777777" w:rsidR="009C1B6A" w:rsidRPr="00663935" w:rsidRDefault="009C1B6A" w:rsidP="003D182C">
      <w:pPr>
        <w:autoSpaceDE w:val="0"/>
        <w:autoSpaceDN w:val="0"/>
        <w:adjustRightInd w:val="0"/>
        <w:spacing w:after="180"/>
        <w:rPr>
          <w:bCs/>
        </w:rPr>
      </w:pPr>
      <w:r w:rsidRPr="00663935">
        <w:t>100 mg: oval (8.5 × 17 mm) lavender film</w:t>
      </w:r>
      <w:r>
        <w:noBreakHyphen/>
      </w:r>
      <w:r w:rsidRPr="00663935">
        <w:t>coated tablet, debossed with “Pfizer” on one side and “LLN 100” on the other side.</w:t>
      </w:r>
    </w:p>
    <w:p w14:paraId="0C279BEB" w14:textId="77777777" w:rsidR="000F2F06" w:rsidRPr="000F2F06" w:rsidRDefault="000F2F06" w:rsidP="005A65B0">
      <w:pPr>
        <w:pStyle w:val="Heading1"/>
      </w:pPr>
      <w:r w:rsidRPr="00D5184C">
        <w:t>CLINICAL PARTICULARS</w:t>
      </w:r>
    </w:p>
    <w:p w14:paraId="66952F81" w14:textId="77777777" w:rsidR="000F2F06" w:rsidRPr="007876D3" w:rsidRDefault="000F2F06" w:rsidP="007830EE">
      <w:pPr>
        <w:pStyle w:val="PIHeading2"/>
        <w:spacing w:before="360" w:after="240" w:line="240" w:lineRule="auto"/>
        <w:rPr>
          <w:sz w:val="28"/>
          <w:szCs w:val="28"/>
        </w:rPr>
      </w:pPr>
      <w:r w:rsidRPr="007876D3">
        <w:rPr>
          <w:sz w:val="28"/>
          <w:szCs w:val="28"/>
        </w:rPr>
        <w:t>4.1</w:t>
      </w:r>
      <w:r w:rsidRPr="007876D3">
        <w:rPr>
          <w:sz w:val="28"/>
          <w:szCs w:val="28"/>
        </w:rPr>
        <w:tab/>
      </w:r>
      <w:r w:rsidR="007830EE" w:rsidRPr="007876D3">
        <w:rPr>
          <w:sz w:val="28"/>
          <w:szCs w:val="28"/>
        </w:rPr>
        <w:t>Therapeutic indications</w:t>
      </w:r>
    </w:p>
    <w:p w14:paraId="3E653839" w14:textId="18385581" w:rsidR="00D7183C" w:rsidRDefault="00605EA5" w:rsidP="00D7183C">
      <w:pPr>
        <w:pStyle w:val="PINormal"/>
        <w:spacing w:after="0"/>
        <w:jc w:val="left"/>
        <w:rPr>
          <w:lang w:val="en-GB"/>
        </w:rPr>
      </w:pPr>
      <w:r w:rsidRPr="00605EA5">
        <w:rPr>
          <w:bCs/>
        </w:rPr>
        <w:t>LORVIQUA</w:t>
      </w:r>
      <w:r w:rsidR="009C1B6A" w:rsidRPr="003B4C6C">
        <w:t xml:space="preserve"> </w:t>
      </w:r>
      <w:r w:rsidR="00777E7A">
        <w:t xml:space="preserve">has </w:t>
      </w:r>
      <w:r w:rsidR="00777E7A" w:rsidRPr="00287990">
        <w:rPr>
          <w:b/>
        </w:rPr>
        <w:t>provisional approval</w:t>
      </w:r>
      <w:r w:rsidR="00777E7A">
        <w:t xml:space="preserve"> in Australia</w:t>
      </w:r>
      <w:r w:rsidR="009C1B6A">
        <w:t xml:space="preserve"> for the</w:t>
      </w:r>
      <w:r w:rsidR="009C1B6A">
        <w:rPr>
          <w:szCs w:val="22"/>
        </w:rPr>
        <w:t xml:space="preserve"> </w:t>
      </w:r>
      <w:r w:rsidR="009C1B6A" w:rsidRPr="00663935">
        <w:rPr>
          <w:szCs w:val="22"/>
        </w:rPr>
        <w:t>treatment of patients with anaplastic lymphoma kinase (ALK)</w:t>
      </w:r>
      <w:r w:rsidR="009C1B6A">
        <w:rPr>
          <w:szCs w:val="22"/>
        </w:rPr>
        <w:noBreakHyphen/>
      </w:r>
      <w:r w:rsidR="009C1B6A" w:rsidRPr="00663935">
        <w:rPr>
          <w:szCs w:val="22"/>
        </w:rPr>
        <w:t>positi</w:t>
      </w:r>
      <w:r w:rsidR="009C1B6A" w:rsidRPr="00995B52">
        <w:rPr>
          <w:szCs w:val="22"/>
        </w:rPr>
        <w:t>ve advanced</w:t>
      </w:r>
      <w:r w:rsidR="009C1B6A" w:rsidRPr="00663935">
        <w:rPr>
          <w:szCs w:val="22"/>
        </w:rPr>
        <w:t xml:space="preserve"> non</w:t>
      </w:r>
      <w:r w:rsidR="009C1B6A">
        <w:rPr>
          <w:szCs w:val="22"/>
        </w:rPr>
        <w:noBreakHyphen/>
      </w:r>
      <w:r w:rsidR="009C1B6A" w:rsidRPr="00663935">
        <w:rPr>
          <w:szCs w:val="22"/>
        </w:rPr>
        <w:t xml:space="preserve">small cell lung cancer (NSCLC) </w:t>
      </w:r>
      <w:r w:rsidR="00D7183C">
        <w:rPr>
          <w:lang w:val="en-GB"/>
        </w:rPr>
        <w:t>whose disease has progressed on</w:t>
      </w:r>
    </w:p>
    <w:p w14:paraId="630BC068" w14:textId="77777777" w:rsidR="00D7183C" w:rsidRDefault="00D7183C" w:rsidP="00D7183C">
      <w:pPr>
        <w:rPr>
          <w:sz w:val="22"/>
        </w:rPr>
      </w:pPr>
      <w:r>
        <w:t>•            crizotinib and at least one other ALK inhibitor; or</w:t>
      </w:r>
    </w:p>
    <w:p w14:paraId="54E13B9C" w14:textId="77777777" w:rsidR="00D7183C" w:rsidRDefault="00D7183C" w:rsidP="00D7183C">
      <w:r>
        <w:t>•            alectinib as the first ALK inhibitor therapy; or</w:t>
      </w:r>
    </w:p>
    <w:p w14:paraId="5FB8A3BD" w14:textId="77777777" w:rsidR="00D7183C" w:rsidRDefault="00D7183C" w:rsidP="00D7183C">
      <w:pPr>
        <w:spacing w:after="240"/>
      </w:pPr>
      <w:r>
        <w:t>•            ceritinib as the first ALK inhibitor therapy.</w:t>
      </w:r>
    </w:p>
    <w:p w14:paraId="00A61858" w14:textId="1832C3B8" w:rsidR="001F0699" w:rsidRPr="00E91775" w:rsidRDefault="007B26A6" w:rsidP="001F0699">
      <w:pPr>
        <w:pStyle w:val="PINormal"/>
        <w:jc w:val="left"/>
        <w:rPr>
          <w:lang w:val="en-GB"/>
        </w:rPr>
      </w:pPr>
      <w:r w:rsidRPr="007B26A6">
        <w:rPr>
          <w:lang w:val="en-GB"/>
        </w:rPr>
        <w:lastRenderedPageBreak/>
        <w:t xml:space="preserve">The decision to approve this indication has been made on the basis of </w:t>
      </w:r>
      <w:r w:rsidR="009A1AA2" w:rsidRPr="00941F89">
        <w:rPr>
          <w:lang w:val="en-GB"/>
        </w:rPr>
        <w:t>tumo</w:t>
      </w:r>
      <w:r w:rsidR="00183ED7">
        <w:rPr>
          <w:lang w:val="en-GB"/>
        </w:rPr>
        <w:t>u</w:t>
      </w:r>
      <w:r w:rsidR="009A1AA2" w:rsidRPr="00941F89">
        <w:rPr>
          <w:lang w:val="en-GB"/>
        </w:rPr>
        <w:t>r response rate and duration of response</w:t>
      </w:r>
      <w:r w:rsidR="00336EAE">
        <w:rPr>
          <w:lang w:val="en-GB"/>
        </w:rPr>
        <w:t xml:space="preserve"> in a single arm study</w:t>
      </w:r>
      <w:r w:rsidRPr="007B26A6">
        <w:rPr>
          <w:lang w:val="en-GB"/>
        </w:rPr>
        <w:t xml:space="preserve">. </w:t>
      </w:r>
      <w:r w:rsidR="00336EAE">
        <w:rPr>
          <w:lang w:val="en-GB"/>
        </w:rPr>
        <w:t>Continued approval of this indication depends on verification and description of benefit in a confirmatory trial</w:t>
      </w:r>
      <w:r w:rsidRPr="007B26A6">
        <w:rPr>
          <w:lang w:val="en-GB"/>
        </w:rPr>
        <w:t>.</w:t>
      </w:r>
    </w:p>
    <w:p w14:paraId="7F00A8DA" w14:textId="77777777" w:rsidR="000F2F06" w:rsidRPr="007876D3" w:rsidRDefault="000F2F06" w:rsidP="007830EE">
      <w:pPr>
        <w:pStyle w:val="PIHeading2"/>
        <w:spacing w:before="360" w:after="240" w:line="240" w:lineRule="auto"/>
        <w:rPr>
          <w:sz w:val="28"/>
          <w:szCs w:val="28"/>
        </w:rPr>
      </w:pPr>
      <w:r w:rsidRPr="007876D3">
        <w:rPr>
          <w:sz w:val="28"/>
          <w:szCs w:val="28"/>
        </w:rPr>
        <w:t>4.2</w:t>
      </w:r>
      <w:r w:rsidRPr="007876D3">
        <w:rPr>
          <w:sz w:val="28"/>
          <w:szCs w:val="28"/>
        </w:rPr>
        <w:tab/>
      </w:r>
      <w:r w:rsidR="007830EE" w:rsidRPr="007876D3">
        <w:rPr>
          <w:sz w:val="28"/>
          <w:szCs w:val="28"/>
        </w:rPr>
        <w:t>Dose and method of administration</w:t>
      </w:r>
    </w:p>
    <w:p w14:paraId="7347F483" w14:textId="6ACBB296" w:rsidR="00336EAE" w:rsidRPr="00336EAE" w:rsidRDefault="00336EAE" w:rsidP="007830EE">
      <w:pPr>
        <w:keepNext/>
        <w:spacing w:before="240" w:after="120"/>
        <w:rPr>
          <w:szCs w:val="22"/>
        </w:rPr>
      </w:pPr>
      <w:r w:rsidRPr="00336EAE">
        <w:rPr>
          <w:szCs w:val="22"/>
        </w:rPr>
        <w:t xml:space="preserve">ALK-positive status should be </w:t>
      </w:r>
      <w:r>
        <w:rPr>
          <w:szCs w:val="22"/>
        </w:rPr>
        <w:t>established using a validated ALK assay prior to initiation of lorlatinib therapy.</w:t>
      </w:r>
    </w:p>
    <w:p w14:paraId="575ABEF0" w14:textId="777A6126" w:rsidR="009C1B6A" w:rsidRPr="007830EE" w:rsidRDefault="00360106" w:rsidP="007830EE">
      <w:pPr>
        <w:keepNext/>
        <w:spacing w:before="240" w:after="120"/>
        <w:rPr>
          <w:b/>
          <w:szCs w:val="22"/>
        </w:rPr>
      </w:pPr>
      <w:r w:rsidRPr="007830EE">
        <w:rPr>
          <w:b/>
          <w:szCs w:val="22"/>
        </w:rPr>
        <w:t xml:space="preserve">Recommended </w:t>
      </w:r>
      <w:r w:rsidR="006170C8">
        <w:rPr>
          <w:b/>
          <w:szCs w:val="22"/>
        </w:rPr>
        <w:t>d</w:t>
      </w:r>
      <w:r w:rsidRPr="007830EE">
        <w:rPr>
          <w:b/>
          <w:szCs w:val="22"/>
        </w:rPr>
        <w:t>osing</w:t>
      </w:r>
    </w:p>
    <w:p w14:paraId="4F5BD96C" w14:textId="3C4D0D00" w:rsidR="009C1B6A" w:rsidRPr="00663935" w:rsidRDefault="009C1B6A" w:rsidP="003D182C">
      <w:pPr>
        <w:keepNext/>
        <w:spacing w:after="180"/>
      </w:pPr>
      <w:r w:rsidRPr="00663935">
        <w:t xml:space="preserve">The recommended dose of </w:t>
      </w:r>
      <w:r w:rsidR="00605EA5" w:rsidRPr="00605EA5">
        <w:t>LORVIQUA</w:t>
      </w:r>
      <w:r w:rsidR="00360106" w:rsidRPr="003B4C6C">
        <w:t xml:space="preserve"> </w:t>
      </w:r>
      <w:r w:rsidRPr="00663935">
        <w:t>is 100 mg taken orally once daily.</w:t>
      </w:r>
      <w:r w:rsidR="00360106">
        <w:t xml:space="preserve"> </w:t>
      </w:r>
      <w:r w:rsidRPr="00663935">
        <w:t xml:space="preserve">Continue treatment </w:t>
      </w:r>
      <w:r w:rsidR="004332A2">
        <w:t xml:space="preserve">for </w:t>
      </w:r>
      <w:r w:rsidRPr="00663935">
        <w:t>as long as the patient is deriving clinical benefit from therapy.</w:t>
      </w:r>
    </w:p>
    <w:p w14:paraId="4CB6C8DF" w14:textId="77777777" w:rsidR="00360106" w:rsidRDefault="00605EA5" w:rsidP="001F0699">
      <w:pPr>
        <w:pStyle w:val="PINormal"/>
        <w:jc w:val="left"/>
        <w:rPr>
          <w:bCs/>
        </w:rPr>
      </w:pPr>
      <w:r w:rsidRPr="00605EA5">
        <w:rPr>
          <w:bCs/>
        </w:rPr>
        <w:t>LORVIQUA</w:t>
      </w:r>
      <w:r w:rsidR="00360106">
        <w:rPr>
          <w:bCs/>
        </w:rPr>
        <w:t xml:space="preserve"> may be taken with or without food (</w:t>
      </w:r>
      <w:r w:rsidR="00B61068">
        <w:rPr>
          <w:bCs/>
        </w:rPr>
        <w:t>s</w:t>
      </w:r>
      <w:r w:rsidR="00360106">
        <w:rPr>
          <w:bCs/>
        </w:rPr>
        <w:t xml:space="preserve">ee </w:t>
      </w:r>
      <w:r w:rsidR="00035029">
        <w:rPr>
          <w:bCs/>
        </w:rPr>
        <w:t>S</w:t>
      </w:r>
      <w:r w:rsidR="00360106">
        <w:rPr>
          <w:bCs/>
        </w:rPr>
        <w:t>ection 5.2).</w:t>
      </w:r>
    </w:p>
    <w:p w14:paraId="1B44ED3A" w14:textId="77777777" w:rsidR="00360106" w:rsidRDefault="00360106" w:rsidP="001F0699">
      <w:pPr>
        <w:pStyle w:val="PINormal"/>
        <w:jc w:val="left"/>
        <w:rPr>
          <w:bCs/>
        </w:rPr>
      </w:pPr>
      <w:r>
        <w:rPr>
          <w:bCs/>
        </w:rPr>
        <w:t>Patients should be en</w:t>
      </w:r>
      <w:r w:rsidR="00605EA5">
        <w:rPr>
          <w:bCs/>
        </w:rPr>
        <w:t xml:space="preserve">couraged to take their dose of </w:t>
      </w:r>
      <w:r w:rsidR="00605EA5" w:rsidRPr="00605EA5">
        <w:t>LORVIQUA</w:t>
      </w:r>
      <w:r>
        <w:rPr>
          <w:bCs/>
        </w:rPr>
        <w:t xml:space="preserve"> at approximately the same time each day. Tablets should be swallowed whole (tablets should not be chewed, crushed or split prior to swallowing). No tablet should be ingested if it is broken, cracked or otherwise not intact.</w:t>
      </w:r>
    </w:p>
    <w:p w14:paraId="3E4D9839" w14:textId="77777777" w:rsidR="00360106" w:rsidRPr="00360106" w:rsidRDefault="00360106" w:rsidP="00360106">
      <w:pPr>
        <w:pStyle w:val="PINormal"/>
        <w:rPr>
          <w:lang w:val="en-GB"/>
        </w:rPr>
      </w:pPr>
      <w:r w:rsidRPr="00360106">
        <w:rPr>
          <w:lang w:val="en-GB"/>
        </w:rPr>
        <w:t xml:space="preserve">If a dose of </w:t>
      </w:r>
      <w:r w:rsidR="00905526" w:rsidRPr="00605EA5">
        <w:t>LORVIQUA</w:t>
      </w:r>
      <w:r>
        <w:rPr>
          <w:lang w:val="en-GB"/>
        </w:rPr>
        <w:t xml:space="preserve"> </w:t>
      </w:r>
      <w:r w:rsidRPr="00360106">
        <w:rPr>
          <w:lang w:val="en-GB"/>
        </w:rPr>
        <w:t>is missed, then it should be taken as soon as the patient remembers unless it is less than 4 hours before the next dose, in which case the patient should not take the missed dose. Patients should not take 2 doses at the same time to make up for a missed dose.</w:t>
      </w:r>
    </w:p>
    <w:p w14:paraId="41D5877E" w14:textId="72F895FC" w:rsidR="00360106" w:rsidRPr="007830EE" w:rsidRDefault="00C605DD" w:rsidP="007830EE">
      <w:pPr>
        <w:pStyle w:val="PINormal"/>
        <w:spacing w:before="240" w:after="120"/>
        <w:jc w:val="left"/>
        <w:rPr>
          <w:b/>
          <w:szCs w:val="24"/>
          <w:lang w:val="en-GB"/>
        </w:rPr>
      </w:pPr>
      <w:r w:rsidRPr="007830EE">
        <w:rPr>
          <w:b/>
          <w:szCs w:val="24"/>
          <w:lang w:val="en-GB"/>
        </w:rPr>
        <w:t xml:space="preserve">Dose </w:t>
      </w:r>
      <w:r w:rsidR="006170C8">
        <w:rPr>
          <w:b/>
          <w:szCs w:val="24"/>
          <w:lang w:val="en-GB"/>
        </w:rPr>
        <w:t>m</w:t>
      </w:r>
      <w:r w:rsidRPr="007830EE">
        <w:rPr>
          <w:b/>
          <w:szCs w:val="24"/>
          <w:lang w:val="en-GB"/>
        </w:rPr>
        <w:t>odifications</w:t>
      </w:r>
    </w:p>
    <w:p w14:paraId="37BBBCDF" w14:textId="77777777" w:rsidR="00C605DD" w:rsidRPr="006F349F" w:rsidRDefault="00C605DD" w:rsidP="00C605DD">
      <w:pPr>
        <w:rPr>
          <w:szCs w:val="22"/>
        </w:rPr>
      </w:pPr>
      <w:r w:rsidRPr="00663935">
        <w:rPr>
          <w:szCs w:val="22"/>
        </w:rPr>
        <w:t>Dosing interruption and/or dose reduction may be required based on individual safety and tolerability. Dose reduction levels are summa</w:t>
      </w:r>
      <w:r w:rsidRPr="006F349F">
        <w:rPr>
          <w:szCs w:val="22"/>
        </w:rPr>
        <w:t>ri</w:t>
      </w:r>
      <w:r>
        <w:rPr>
          <w:szCs w:val="22"/>
        </w:rPr>
        <w:t>sed</w:t>
      </w:r>
      <w:r w:rsidRPr="006F349F">
        <w:rPr>
          <w:szCs w:val="22"/>
        </w:rPr>
        <w:t xml:space="preserve"> below.</w:t>
      </w:r>
    </w:p>
    <w:p w14:paraId="38499785" w14:textId="10BE8D91" w:rsidR="00C605DD" w:rsidRPr="00E72323" w:rsidRDefault="00BD11B3" w:rsidP="00C605DD">
      <w:pPr>
        <w:numPr>
          <w:ilvl w:val="1"/>
          <w:numId w:val="32"/>
        </w:numPr>
        <w:tabs>
          <w:tab w:val="clear" w:pos="1440"/>
        </w:tabs>
        <w:ind w:left="576" w:firstLine="0"/>
        <w:rPr>
          <w:szCs w:val="22"/>
        </w:rPr>
      </w:pPr>
      <w:r>
        <w:rPr>
          <w:szCs w:val="22"/>
        </w:rPr>
        <w:t xml:space="preserve"> </w:t>
      </w:r>
      <w:r w:rsidR="00C605DD" w:rsidRPr="001F60A1">
        <w:rPr>
          <w:szCs w:val="22"/>
        </w:rPr>
        <w:t>First dose reduction:</w:t>
      </w:r>
      <w:r w:rsidR="00C605DD" w:rsidRPr="006F349F">
        <w:rPr>
          <w:szCs w:val="22"/>
        </w:rPr>
        <w:t xml:space="preserve"> </w:t>
      </w:r>
      <w:r w:rsidR="00605EA5" w:rsidRPr="00605EA5">
        <w:t>LORVIQUA</w:t>
      </w:r>
      <w:r w:rsidR="00C605DD" w:rsidRPr="00E72323">
        <w:rPr>
          <w:szCs w:val="22"/>
        </w:rPr>
        <w:t xml:space="preserve"> 75 mg taken orally once daily</w:t>
      </w:r>
    </w:p>
    <w:p w14:paraId="7A46A15B" w14:textId="7949BC5A" w:rsidR="00C605DD" w:rsidRPr="003B4C6C" w:rsidRDefault="00BD11B3" w:rsidP="003D182C">
      <w:pPr>
        <w:numPr>
          <w:ilvl w:val="1"/>
          <w:numId w:val="32"/>
        </w:numPr>
        <w:tabs>
          <w:tab w:val="clear" w:pos="1440"/>
        </w:tabs>
        <w:spacing w:after="180"/>
        <w:ind w:left="578" w:firstLine="0"/>
        <w:rPr>
          <w:szCs w:val="22"/>
        </w:rPr>
      </w:pPr>
      <w:r>
        <w:rPr>
          <w:szCs w:val="22"/>
        </w:rPr>
        <w:t xml:space="preserve"> </w:t>
      </w:r>
      <w:r w:rsidR="00C605DD" w:rsidRPr="00C67025">
        <w:rPr>
          <w:szCs w:val="22"/>
        </w:rPr>
        <w:t xml:space="preserve">Second dose reduction: </w:t>
      </w:r>
      <w:r w:rsidR="00605EA5" w:rsidRPr="00605EA5">
        <w:t>LORVIQUA</w:t>
      </w:r>
      <w:r w:rsidR="00C605DD" w:rsidRPr="003B4C6C">
        <w:rPr>
          <w:szCs w:val="22"/>
        </w:rPr>
        <w:t xml:space="preserve"> 50 mg taken orally once daily</w:t>
      </w:r>
    </w:p>
    <w:p w14:paraId="29FD420E" w14:textId="77777777" w:rsidR="00C605DD" w:rsidRPr="00663935" w:rsidRDefault="00605EA5" w:rsidP="003D182C">
      <w:pPr>
        <w:spacing w:after="180"/>
        <w:rPr>
          <w:szCs w:val="22"/>
        </w:rPr>
      </w:pPr>
      <w:r w:rsidRPr="00605EA5">
        <w:t>LORVIQUA</w:t>
      </w:r>
      <w:r w:rsidR="00C605DD">
        <w:rPr>
          <w:szCs w:val="22"/>
        </w:rPr>
        <w:t xml:space="preserve"> </w:t>
      </w:r>
      <w:r w:rsidR="00C605DD" w:rsidRPr="00663935">
        <w:rPr>
          <w:szCs w:val="22"/>
        </w:rPr>
        <w:t xml:space="preserve">should be permanently discontinued if the patient is unable to tolerate </w:t>
      </w:r>
      <w:r w:rsidRPr="00605EA5">
        <w:t>LORVIQUA</w:t>
      </w:r>
      <w:r w:rsidR="00C605DD" w:rsidRPr="00663935">
        <w:rPr>
          <w:szCs w:val="22"/>
        </w:rPr>
        <w:t xml:space="preserve"> 50 mg taken orally once daily.</w:t>
      </w:r>
    </w:p>
    <w:p w14:paraId="561D5448" w14:textId="09D0B192" w:rsidR="00C605DD" w:rsidRPr="004A4EB7" w:rsidRDefault="00C605DD" w:rsidP="003D182C">
      <w:pPr>
        <w:spacing w:after="180"/>
        <w:rPr>
          <w:szCs w:val="24"/>
        </w:rPr>
      </w:pPr>
      <w:r w:rsidRPr="004A4EB7">
        <w:rPr>
          <w:szCs w:val="24"/>
        </w:rPr>
        <w:t xml:space="preserve">Dose modification recommendations for toxicities </w:t>
      </w:r>
      <w:r w:rsidR="00860B1A">
        <w:rPr>
          <w:szCs w:val="24"/>
        </w:rPr>
        <w:t xml:space="preserve">and </w:t>
      </w:r>
      <w:r w:rsidR="00860B1A" w:rsidRPr="004A4EB7">
        <w:rPr>
          <w:szCs w:val="24"/>
        </w:rPr>
        <w:t>for patients who develop first</w:t>
      </w:r>
      <w:r w:rsidR="00860B1A" w:rsidRPr="004A4EB7">
        <w:rPr>
          <w:szCs w:val="24"/>
        </w:rPr>
        <w:noBreakHyphen/>
        <w:t>degree, second</w:t>
      </w:r>
      <w:r w:rsidR="00860B1A" w:rsidRPr="004A4EB7">
        <w:rPr>
          <w:szCs w:val="24"/>
        </w:rPr>
        <w:noBreakHyphen/>
        <w:t>degree, or complete a</w:t>
      </w:r>
      <w:r w:rsidR="00860B1A" w:rsidRPr="004A4EB7">
        <w:rPr>
          <w:color w:val="000000"/>
          <w:kern w:val="32"/>
          <w:szCs w:val="24"/>
        </w:rPr>
        <w:t>trioventricular (</w:t>
      </w:r>
      <w:r w:rsidR="00860B1A" w:rsidRPr="004A4EB7">
        <w:rPr>
          <w:szCs w:val="24"/>
        </w:rPr>
        <w:t xml:space="preserve">AV) block </w:t>
      </w:r>
      <w:r w:rsidR="003D182C">
        <w:rPr>
          <w:szCs w:val="24"/>
        </w:rPr>
        <w:t>are provided in 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6"/>
        <w:gridCol w:w="5137"/>
      </w:tblGrid>
      <w:tr w:rsidR="00C605DD" w:rsidRPr="00663935" w14:paraId="25ED6599" w14:textId="77777777" w:rsidTr="00860B1A">
        <w:trPr>
          <w:tblHeader/>
        </w:trPr>
        <w:tc>
          <w:tcPr>
            <w:tcW w:w="9413" w:type="dxa"/>
            <w:gridSpan w:val="2"/>
            <w:tcBorders>
              <w:top w:val="nil"/>
              <w:left w:val="nil"/>
              <w:right w:val="nil"/>
            </w:tcBorders>
            <w:shd w:val="clear" w:color="auto" w:fill="auto"/>
          </w:tcPr>
          <w:p w14:paraId="66D21E9D" w14:textId="77777777" w:rsidR="00C605DD" w:rsidRPr="006F349F" w:rsidRDefault="00C605DD" w:rsidP="00605EA5">
            <w:pPr>
              <w:pStyle w:val="Paragraph"/>
              <w:tabs>
                <w:tab w:val="left" w:pos="900"/>
              </w:tabs>
              <w:spacing w:after="0"/>
              <w:rPr>
                <w:b/>
                <w:sz w:val="22"/>
                <w:szCs w:val="22"/>
                <w:lang w:val="en-GB"/>
              </w:rPr>
            </w:pPr>
            <w:r w:rsidRPr="00663935">
              <w:rPr>
                <w:b/>
                <w:sz w:val="22"/>
                <w:szCs w:val="22"/>
                <w:lang w:val="en-GB"/>
              </w:rPr>
              <w:t>Table 1.</w:t>
            </w:r>
            <w:r w:rsidRPr="00663935">
              <w:rPr>
                <w:b/>
                <w:sz w:val="22"/>
                <w:szCs w:val="22"/>
                <w:lang w:val="en-GB"/>
              </w:rPr>
              <w:tab/>
              <w:t xml:space="preserve">Recommended </w:t>
            </w:r>
            <w:r w:rsidR="00605EA5" w:rsidRPr="00605EA5">
              <w:rPr>
                <w:b/>
                <w:sz w:val="22"/>
                <w:szCs w:val="22"/>
                <w:lang w:val="en-AU"/>
              </w:rPr>
              <w:t>LORVIQUA</w:t>
            </w:r>
            <w:r w:rsidRPr="00663935">
              <w:rPr>
                <w:b/>
                <w:sz w:val="22"/>
                <w:szCs w:val="22"/>
                <w:lang w:val="en-GB"/>
              </w:rPr>
              <w:t xml:space="preserve"> </w:t>
            </w:r>
            <w:r w:rsidR="00995B52">
              <w:rPr>
                <w:b/>
                <w:sz w:val="22"/>
                <w:szCs w:val="22"/>
                <w:lang w:val="en-GB"/>
              </w:rPr>
              <w:t>D</w:t>
            </w:r>
            <w:r w:rsidRPr="00663935">
              <w:rPr>
                <w:b/>
                <w:sz w:val="22"/>
                <w:szCs w:val="22"/>
                <w:lang w:val="en-GB"/>
              </w:rPr>
              <w:t xml:space="preserve">ose </w:t>
            </w:r>
            <w:r w:rsidR="00995B52">
              <w:rPr>
                <w:b/>
                <w:sz w:val="22"/>
                <w:szCs w:val="22"/>
                <w:lang w:val="en-GB"/>
              </w:rPr>
              <w:t>M</w:t>
            </w:r>
            <w:r w:rsidRPr="00663935">
              <w:rPr>
                <w:b/>
                <w:sz w:val="22"/>
                <w:szCs w:val="22"/>
                <w:lang w:val="en-GB"/>
              </w:rPr>
              <w:t xml:space="preserve">odifications for </w:t>
            </w:r>
            <w:r w:rsidR="00995B52">
              <w:rPr>
                <w:b/>
                <w:sz w:val="22"/>
                <w:szCs w:val="22"/>
                <w:lang w:val="en-GB"/>
              </w:rPr>
              <w:t>Adverse R</w:t>
            </w:r>
            <w:r w:rsidRPr="00663935">
              <w:rPr>
                <w:b/>
                <w:sz w:val="22"/>
                <w:szCs w:val="22"/>
                <w:lang w:val="en-GB"/>
              </w:rPr>
              <w:t>eactions</w:t>
            </w:r>
          </w:p>
        </w:tc>
      </w:tr>
      <w:tr w:rsidR="00C605DD" w:rsidRPr="001E6296" w14:paraId="2607111C" w14:textId="77777777" w:rsidTr="00860B1A">
        <w:trPr>
          <w:tblHeader/>
        </w:trPr>
        <w:tc>
          <w:tcPr>
            <w:tcW w:w="4276" w:type="dxa"/>
            <w:shd w:val="clear" w:color="auto" w:fill="auto"/>
          </w:tcPr>
          <w:p w14:paraId="1F5F5C07" w14:textId="77777777" w:rsidR="00C605DD" w:rsidRPr="001E6296" w:rsidRDefault="00C605DD" w:rsidP="00995B52">
            <w:pPr>
              <w:pStyle w:val="Paragraph"/>
              <w:overflowPunct w:val="0"/>
              <w:autoSpaceDE w:val="0"/>
              <w:autoSpaceDN w:val="0"/>
              <w:adjustRightInd w:val="0"/>
              <w:spacing w:after="0"/>
              <w:textAlignment w:val="baseline"/>
              <w:rPr>
                <w:color w:val="000000"/>
                <w:kern w:val="32"/>
                <w:sz w:val="22"/>
                <w:szCs w:val="22"/>
                <w:lang w:val="en-GB"/>
              </w:rPr>
            </w:pPr>
            <w:r w:rsidRPr="001E6296">
              <w:rPr>
                <w:b/>
                <w:color w:val="000000"/>
                <w:kern w:val="32"/>
                <w:sz w:val="22"/>
                <w:szCs w:val="22"/>
                <w:lang w:val="en-GB"/>
              </w:rPr>
              <w:t xml:space="preserve">Adverse </w:t>
            </w:r>
            <w:r w:rsidR="00995B52" w:rsidRPr="001E6296">
              <w:rPr>
                <w:b/>
                <w:color w:val="000000"/>
                <w:kern w:val="32"/>
                <w:sz w:val="22"/>
                <w:szCs w:val="22"/>
                <w:lang w:val="en-GB"/>
              </w:rPr>
              <w:t>R</w:t>
            </w:r>
            <w:r w:rsidRPr="001E6296">
              <w:rPr>
                <w:b/>
                <w:color w:val="000000"/>
                <w:kern w:val="32"/>
                <w:sz w:val="22"/>
                <w:szCs w:val="22"/>
                <w:lang w:val="en-GB"/>
              </w:rPr>
              <w:t>eaction</w:t>
            </w:r>
          </w:p>
        </w:tc>
        <w:tc>
          <w:tcPr>
            <w:tcW w:w="5137" w:type="dxa"/>
            <w:shd w:val="clear" w:color="auto" w:fill="auto"/>
          </w:tcPr>
          <w:p w14:paraId="285A29EC" w14:textId="77777777" w:rsidR="00C605DD" w:rsidRPr="001E6296" w:rsidRDefault="00605EA5" w:rsidP="00995B52">
            <w:pPr>
              <w:pStyle w:val="Paragraph"/>
              <w:overflowPunct w:val="0"/>
              <w:autoSpaceDE w:val="0"/>
              <w:autoSpaceDN w:val="0"/>
              <w:adjustRightInd w:val="0"/>
              <w:spacing w:after="0"/>
              <w:textAlignment w:val="baseline"/>
              <w:rPr>
                <w:b/>
                <w:color w:val="000000"/>
                <w:kern w:val="32"/>
                <w:sz w:val="22"/>
                <w:szCs w:val="22"/>
                <w:lang w:val="en-GB"/>
              </w:rPr>
            </w:pPr>
            <w:r w:rsidRPr="001E6296">
              <w:rPr>
                <w:b/>
                <w:sz w:val="22"/>
                <w:szCs w:val="22"/>
                <w:lang w:val="en-AU"/>
              </w:rPr>
              <w:t>LORVIQUA</w:t>
            </w:r>
            <w:r w:rsidR="00C605DD" w:rsidRPr="001E6296">
              <w:rPr>
                <w:b/>
                <w:sz w:val="22"/>
                <w:szCs w:val="22"/>
                <w:lang w:val="en-GB"/>
              </w:rPr>
              <w:t xml:space="preserve"> </w:t>
            </w:r>
            <w:r w:rsidR="00995B52" w:rsidRPr="001E6296">
              <w:rPr>
                <w:b/>
                <w:sz w:val="22"/>
                <w:szCs w:val="22"/>
                <w:lang w:val="en-GB"/>
              </w:rPr>
              <w:t>D</w:t>
            </w:r>
            <w:r w:rsidR="00C605DD" w:rsidRPr="001E6296">
              <w:rPr>
                <w:b/>
                <w:color w:val="000000"/>
                <w:kern w:val="32"/>
                <w:sz w:val="22"/>
                <w:szCs w:val="22"/>
                <w:lang w:val="en-GB"/>
              </w:rPr>
              <w:t>osing</w:t>
            </w:r>
          </w:p>
        </w:tc>
      </w:tr>
      <w:tr w:rsidR="00C605DD" w:rsidRPr="001E6296" w14:paraId="3A1A3A05" w14:textId="77777777" w:rsidTr="00860B1A">
        <w:tc>
          <w:tcPr>
            <w:tcW w:w="9413" w:type="dxa"/>
            <w:gridSpan w:val="2"/>
            <w:shd w:val="clear" w:color="auto" w:fill="auto"/>
          </w:tcPr>
          <w:p w14:paraId="782838DC" w14:textId="77777777" w:rsidR="00C605DD" w:rsidRPr="001E6296" w:rsidRDefault="00995B52" w:rsidP="00FA293E">
            <w:pPr>
              <w:pStyle w:val="Paragraph"/>
              <w:overflowPunct w:val="0"/>
              <w:autoSpaceDE w:val="0"/>
              <w:autoSpaceDN w:val="0"/>
              <w:adjustRightInd w:val="0"/>
              <w:spacing w:after="0"/>
              <w:textAlignment w:val="baseline"/>
              <w:rPr>
                <w:b/>
                <w:color w:val="000000"/>
                <w:kern w:val="32"/>
                <w:sz w:val="22"/>
                <w:szCs w:val="22"/>
                <w:lang w:val="en-GB"/>
              </w:rPr>
            </w:pPr>
            <w:r w:rsidRPr="001E6296">
              <w:rPr>
                <w:b/>
                <w:color w:val="000000"/>
                <w:kern w:val="32"/>
                <w:sz w:val="22"/>
                <w:szCs w:val="22"/>
                <w:lang w:val="en-GB"/>
              </w:rPr>
              <w:t>Hypercholesterolaemia or H</w:t>
            </w:r>
            <w:r w:rsidR="00C605DD" w:rsidRPr="001E6296">
              <w:rPr>
                <w:b/>
                <w:color w:val="000000"/>
                <w:kern w:val="32"/>
                <w:sz w:val="22"/>
                <w:szCs w:val="22"/>
                <w:lang w:val="en-GB"/>
              </w:rPr>
              <w:t xml:space="preserve">ypertriglyceridaemia </w:t>
            </w:r>
          </w:p>
        </w:tc>
      </w:tr>
      <w:tr w:rsidR="00C605DD" w:rsidRPr="001E6296" w14:paraId="16103130" w14:textId="77777777" w:rsidTr="00860B1A">
        <w:tc>
          <w:tcPr>
            <w:tcW w:w="4276" w:type="dxa"/>
            <w:shd w:val="clear" w:color="auto" w:fill="auto"/>
            <w:vAlign w:val="center"/>
          </w:tcPr>
          <w:p w14:paraId="1B30B373" w14:textId="77777777" w:rsidR="00C605DD" w:rsidRPr="001E6296" w:rsidRDefault="00C605DD" w:rsidP="00FA293E">
            <w:pPr>
              <w:pStyle w:val="Paragraph"/>
              <w:spacing w:after="0"/>
              <w:rPr>
                <w:color w:val="000000"/>
                <w:kern w:val="32"/>
                <w:sz w:val="22"/>
                <w:szCs w:val="22"/>
                <w:lang w:val="en-GB"/>
              </w:rPr>
            </w:pPr>
            <w:r w:rsidRPr="001E6296">
              <w:rPr>
                <w:color w:val="000000"/>
                <w:kern w:val="32"/>
                <w:sz w:val="22"/>
                <w:szCs w:val="22"/>
                <w:lang w:val="en-GB"/>
              </w:rPr>
              <w:t>Mild hypercholesterolaemia</w:t>
            </w:r>
          </w:p>
          <w:p w14:paraId="36611041" w14:textId="77777777" w:rsidR="00C605DD" w:rsidRPr="001E6296" w:rsidRDefault="00C605DD" w:rsidP="00FA293E">
            <w:pPr>
              <w:pStyle w:val="Paragraph"/>
              <w:spacing w:after="0"/>
              <w:ind w:left="180" w:hanging="180"/>
              <w:rPr>
                <w:color w:val="000000"/>
                <w:kern w:val="32"/>
                <w:sz w:val="22"/>
                <w:szCs w:val="22"/>
                <w:lang w:val="en-GB"/>
              </w:rPr>
            </w:pPr>
            <w:r w:rsidRPr="001E6296">
              <w:rPr>
                <w:color w:val="000000"/>
                <w:kern w:val="32"/>
                <w:sz w:val="22"/>
                <w:szCs w:val="22"/>
                <w:lang w:val="en-GB"/>
              </w:rPr>
              <w:t>(cholesterol between ULN and 300 mg/dL or between ULN and 7.75 mmol/L)</w:t>
            </w:r>
          </w:p>
          <w:p w14:paraId="44B96069" w14:textId="77777777" w:rsidR="00C605DD" w:rsidRPr="001E6296" w:rsidRDefault="00C605DD" w:rsidP="00FA293E">
            <w:pPr>
              <w:pStyle w:val="Paragraph"/>
              <w:spacing w:after="0"/>
              <w:rPr>
                <w:color w:val="000000"/>
                <w:kern w:val="32"/>
                <w:sz w:val="22"/>
                <w:szCs w:val="22"/>
                <w:lang w:val="en-GB"/>
              </w:rPr>
            </w:pPr>
          </w:p>
          <w:p w14:paraId="16B46AF9" w14:textId="77777777" w:rsidR="00C605DD" w:rsidRPr="001E6296" w:rsidRDefault="00C605DD" w:rsidP="00FA293E">
            <w:pPr>
              <w:pStyle w:val="Paragraph"/>
              <w:spacing w:after="0"/>
              <w:rPr>
                <w:color w:val="000000"/>
                <w:kern w:val="32"/>
                <w:sz w:val="22"/>
                <w:szCs w:val="22"/>
                <w:u w:val="single"/>
                <w:lang w:val="en-GB"/>
              </w:rPr>
            </w:pPr>
            <w:r w:rsidRPr="001E6296">
              <w:rPr>
                <w:color w:val="000000"/>
                <w:kern w:val="32"/>
                <w:sz w:val="22"/>
                <w:szCs w:val="22"/>
                <w:u w:val="single"/>
                <w:lang w:val="en-GB"/>
              </w:rPr>
              <w:t>OR</w:t>
            </w:r>
          </w:p>
          <w:p w14:paraId="2278893B" w14:textId="77777777" w:rsidR="00860B1A" w:rsidRPr="001E6296" w:rsidRDefault="00860B1A" w:rsidP="00FA293E">
            <w:pPr>
              <w:pStyle w:val="Paragraph"/>
              <w:spacing w:after="0"/>
              <w:rPr>
                <w:color w:val="000000"/>
                <w:kern w:val="32"/>
                <w:sz w:val="22"/>
                <w:szCs w:val="22"/>
                <w:u w:val="single"/>
                <w:lang w:val="en-GB"/>
              </w:rPr>
            </w:pPr>
          </w:p>
          <w:p w14:paraId="05356DCF" w14:textId="77777777" w:rsidR="00860B1A" w:rsidRPr="001E6296" w:rsidRDefault="00860B1A" w:rsidP="00860B1A">
            <w:pPr>
              <w:widowControl w:val="0"/>
              <w:rPr>
                <w:color w:val="000000"/>
                <w:kern w:val="32"/>
                <w:sz w:val="22"/>
                <w:szCs w:val="22"/>
              </w:rPr>
            </w:pPr>
            <w:r w:rsidRPr="001E6296">
              <w:rPr>
                <w:color w:val="000000"/>
                <w:kern w:val="32"/>
                <w:sz w:val="22"/>
                <w:szCs w:val="22"/>
              </w:rPr>
              <w:t>Moderate hypercholesterolaemia</w:t>
            </w:r>
          </w:p>
          <w:p w14:paraId="4ECF839E" w14:textId="77777777" w:rsidR="00C605DD" w:rsidRDefault="00860B1A" w:rsidP="00E8660F">
            <w:pPr>
              <w:widowControl w:val="0"/>
              <w:ind w:left="180" w:hanging="180"/>
              <w:rPr>
                <w:color w:val="000000"/>
                <w:kern w:val="32"/>
                <w:sz w:val="22"/>
                <w:szCs w:val="22"/>
              </w:rPr>
            </w:pPr>
            <w:r w:rsidRPr="001E6296">
              <w:rPr>
                <w:color w:val="000000"/>
                <w:kern w:val="32"/>
                <w:sz w:val="22"/>
                <w:szCs w:val="22"/>
              </w:rPr>
              <w:t>(cholesterol between 301 and 400 mg/dL or between 7.76 and 10.34 mmol/L)</w:t>
            </w:r>
          </w:p>
          <w:p w14:paraId="27265362" w14:textId="2C86EA19" w:rsidR="00E8660F" w:rsidRPr="001E6296" w:rsidRDefault="00E8660F" w:rsidP="00E8660F">
            <w:pPr>
              <w:widowControl w:val="0"/>
              <w:ind w:left="180" w:hanging="180"/>
              <w:rPr>
                <w:color w:val="000000"/>
                <w:kern w:val="32"/>
                <w:sz w:val="22"/>
                <w:szCs w:val="22"/>
                <w:lang w:val="en-GB"/>
              </w:rPr>
            </w:pPr>
          </w:p>
        </w:tc>
        <w:tc>
          <w:tcPr>
            <w:tcW w:w="5137" w:type="dxa"/>
            <w:vMerge w:val="restart"/>
            <w:shd w:val="clear" w:color="auto" w:fill="auto"/>
            <w:vAlign w:val="center"/>
          </w:tcPr>
          <w:p w14:paraId="0459A3B5" w14:textId="77777777" w:rsidR="00C605DD" w:rsidRPr="001E6296" w:rsidRDefault="00C605DD" w:rsidP="00FA293E">
            <w:pPr>
              <w:pStyle w:val="Paragraph"/>
              <w:spacing w:after="0"/>
              <w:rPr>
                <w:color w:val="000000"/>
                <w:kern w:val="32"/>
                <w:sz w:val="22"/>
                <w:szCs w:val="22"/>
                <w:lang w:val="en-GB"/>
              </w:rPr>
            </w:pPr>
          </w:p>
          <w:p w14:paraId="7DEA06B4" w14:textId="77777777" w:rsidR="00C605DD" w:rsidRPr="001E6296" w:rsidRDefault="00C605DD" w:rsidP="00605EA5">
            <w:pPr>
              <w:pStyle w:val="Paragraph"/>
              <w:spacing w:after="0"/>
              <w:rPr>
                <w:color w:val="000000"/>
                <w:kern w:val="32"/>
                <w:sz w:val="22"/>
                <w:szCs w:val="22"/>
                <w:lang w:val="en-GB"/>
              </w:rPr>
            </w:pPr>
            <w:r w:rsidRPr="001E6296">
              <w:rPr>
                <w:color w:val="000000"/>
                <w:kern w:val="32"/>
                <w:sz w:val="22"/>
                <w:szCs w:val="22"/>
                <w:lang w:val="en-GB"/>
              </w:rPr>
              <w:t>Introduce or modify lipid</w:t>
            </w:r>
            <w:r w:rsidRPr="001E6296">
              <w:rPr>
                <w:color w:val="000000"/>
                <w:kern w:val="32"/>
                <w:sz w:val="22"/>
                <w:szCs w:val="22"/>
                <w:lang w:val="en-GB"/>
              </w:rPr>
              <w:noBreakHyphen/>
              <w:t>lowering therapy</w:t>
            </w:r>
            <w:r w:rsidRPr="001E6296">
              <w:rPr>
                <w:color w:val="000000"/>
                <w:kern w:val="32"/>
                <w:sz w:val="22"/>
                <w:szCs w:val="22"/>
                <w:vertAlign w:val="superscript"/>
                <w:lang w:val="en-GB"/>
              </w:rPr>
              <w:t>a</w:t>
            </w:r>
            <w:r w:rsidRPr="001E6296">
              <w:rPr>
                <w:color w:val="000000"/>
                <w:kern w:val="32"/>
                <w:sz w:val="22"/>
                <w:szCs w:val="22"/>
                <w:lang w:val="en-GB"/>
              </w:rPr>
              <w:t xml:space="preserve"> in accordance with respective prescribing information; continue </w:t>
            </w:r>
            <w:r w:rsidR="00605EA5" w:rsidRPr="001E6296">
              <w:rPr>
                <w:color w:val="000000"/>
                <w:kern w:val="32"/>
                <w:sz w:val="22"/>
                <w:szCs w:val="22"/>
                <w:lang w:val="en-AU"/>
              </w:rPr>
              <w:t>LORVIQUA</w:t>
            </w:r>
            <w:r w:rsidRPr="001E6296">
              <w:rPr>
                <w:color w:val="000000"/>
                <w:kern w:val="32"/>
                <w:sz w:val="22"/>
                <w:szCs w:val="22"/>
                <w:lang w:val="en-GB"/>
              </w:rPr>
              <w:t xml:space="preserve"> at same dose.</w:t>
            </w:r>
          </w:p>
        </w:tc>
      </w:tr>
      <w:tr w:rsidR="00C605DD" w:rsidRPr="001E6296" w14:paraId="5CF25040" w14:textId="77777777" w:rsidTr="00860B1A">
        <w:tc>
          <w:tcPr>
            <w:tcW w:w="4276" w:type="dxa"/>
            <w:shd w:val="clear" w:color="auto" w:fill="auto"/>
            <w:vAlign w:val="center"/>
          </w:tcPr>
          <w:p w14:paraId="3A23456A" w14:textId="77777777" w:rsidR="00860B1A" w:rsidRPr="001E6296" w:rsidRDefault="00860B1A" w:rsidP="00860B1A">
            <w:pPr>
              <w:pStyle w:val="Paragraph"/>
              <w:spacing w:after="0"/>
              <w:rPr>
                <w:color w:val="000000"/>
                <w:kern w:val="32"/>
                <w:sz w:val="22"/>
                <w:szCs w:val="22"/>
                <w:lang w:val="en-GB"/>
              </w:rPr>
            </w:pPr>
            <w:r w:rsidRPr="001E6296">
              <w:rPr>
                <w:color w:val="000000"/>
                <w:kern w:val="32"/>
                <w:sz w:val="22"/>
                <w:szCs w:val="22"/>
                <w:lang w:val="en-GB"/>
              </w:rPr>
              <w:lastRenderedPageBreak/>
              <w:t>Mild hypertriglyceridaemia</w:t>
            </w:r>
          </w:p>
          <w:p w14:paraId="762AC939" w14:textId="77777777" w:rsidR="00C605DD" w:rsidRPr="001E6296" w:rsidRDefault="00860B1A" w:rsidP="003D182C">
            <w:pPr>
              <w:widowControl w:val="0"/>
              <w:spacing w:after="180"/>
              <w:rPr>
                <w:color w:val="000000"/>
                <w:kern w:val="32"/>
                <w:sz w:val="22"/>
                <w:szCs w:val="22"/>
                <w:lang w:val="en-GB"/>
              </w:rPr>
            </w:pPr>
            <w:r w:rsidRPr="001E6296">
              <w:rPr>
                <w:color w:val="000000"/>
                <w:kern w:val="32"/>
                <w:sz w:val="22"/>
                <w:szCs w:val="22"/>
                <w:lang w:val="en-GB"/>
              </w:rPr>
              <w:t>(triglycerides between 150 and 300 mg/dL or 1.71 and 3.42 mmol/L)</w:t>
            </w:r>
          </w:p>
          <w:p w14:paraId="7850BCD7" w14:textId="77777777" w:rsidR="00C605DD" w:rsidRPr="001E6296" w:rsidRDefault="00C605DD" w:rsidP="003D182C">
            <w:pPr>
              <w:widowControl w:val="0"/>
              <w:spacing w:after="180"/>
              <w:rPr>
                <w:color w:val="000000"/>
                <w:kern w:val="32"/>
                <w:sz w:val="22"/>
                <w:szCs w:val="22"/>
                <w:u w:val="single"/>
              </w:rPr>
            </w:pPr>
            <w:r w:rsidRPr="001E6296">
              <w:rPr>
                <w:color w:val="000000"/>
                <w:kern w:val="32"/>
                <w:sz w:val="22"/>
                <w:szCs w:val="22"/>
                <w:u w:val="single"/>
              </w:rPr>
              <w:t>OR</w:t>
            </w:r>
          </w:p>
          <w:p w14:paraId="033CE81C" w14:textId="77777777" w:rsidR="00C605DD" w:rsidRPr="001E6296" w:rsidRDefault="00C605DD" w:rsidP="00FA293E">
            <w:pPr>
              <w:widowControl w:val="0"/>
              <w:rPr>
                <w:color w:val="000000"/>
                <w:kern w:val="32"/>
                <w:sz w:val="22"/>
                <w:szCs w:val="22"/>
              </w:rPr>
            </w:pPr>
            <w:r w:rsidRPr="001E6296">
              <w:rPr>
                <w:color w:val="000000"/>
                <w:kern w:val="32"/>
                <w:sz w:val="22"/>
                <w:szCs w:val="22"/>
              </w:rPr>
              <w:t>Moderate hypertriglyceridaemia</w:t>
            </w:r>
          </w:p>
          <w:p w14:paraId="52A11C7D" w14:textId="77777777" w:rsidR="00C605DD" w:rsidRPr="001E6296" w:rsidRDefault="00C605DD" w:rsidP="00FA293E">
            <w:pPr>
              <w:pStyle w:val="Paragraph"/>
              <w:spacing w:after="0"/>
              <w:ind w:left="187" w:hanging="187"/>
              <w:rPr>
                <w:color w:val="000000"/>
                <w:kern w:val="32"/>
                <w:sz w:val="22"/>
                <w:szCs w:val="22"/>
                <w:lang w:val="en-GB"/>
              </w:rPr>
            </w:pPr>
            <w:r w:rsidRPr="001E6296">
              <w:rPr>
                <w:color w:val="000000"/>
                <w:kern w:val="32"/>
                <w:sz w:val="22"/>
                <w:szCs w:val="22"/>
                <w:lang w:val="en-GB"/>
              </w:rPr>
              <w:t>(triglycerides between 301 and 500 mg/dL or 3.43 and 5.7 mmol/L)</w:t>
            </w:r>
          </w:p>
        </w:tc>
        <w:tc>
          <w:tcPr>
            <w:tcW w:w="5137" w:type="dxa"/>
            <w:vMerge/>
            <w:shd w:val="clear" w:color="auto" w:fill="auto"/>
            <w:vAlign w:val="center"/>
          </w:tcPr>
          <w:p w14:paraId="09CEC899" w14:textId="77777777" w:rsidR="00C605DD" w:rsidRPr="001E6296" w:rsidRDefault="00C605DD" w:rsidP="00FA293E">
            <w:pPr>
              <w:pStyle w:val="Paragraph"/>
              <w:spacing w:after="0"/>
              <w:rPr>
                <w:color w:val="000000"/>
                <w:kern w:val="32"/>
                <w:sz w:val="22"/>
                <w:szCs w:val="22"/>
                <w:lang w:val="en-GB"/>
              </w:rPr>
            </w:pPr>
          </w:p>
        </w:tc>
      </w:tr>
      <w:tr w:rsidR="00C605DD" w:rsidRPr="001E6296" w14:paraId="12650088" w14:textId="77777777" w:rsidTr="00860B1A">
        <w:tc>
          <w:tcPr>
            <w:tcW w:w="4276" w:type="dxa"/>
            <w:shd w:val="clear" w:color="auto" w:fill="auto"/>
            <w:vAlign w:val="center"/>
          </w:tcPr>
          <w:p w14:paraId="56FD89B4" w14:textId="77777777" w:rsidR="00C605DD" w:rsidRPr="001E6296" w:rsidRDefault="00C605DD" w:rsidP="00FA293E">
            <w:pPr>
              <w:pStyle w:val="Paragraph"/>
              <w:spacing w:after="0"/>
              <w:rPr>
                <w:color w:val="000000"/>
                <w:kern w:val="32"/>
                <w:sz w:val="22"/>
                <w:szCs w:val="22"/>
                <w:lang w:val="en-GB"/>
              </w:rPr>
            </w:pPr>
            <w:r w:rsidRPr="001E6296">
              <w:rPr>
                <w:color w:val="000000"/>
                <w:kern w:val="32"/>
                <w:sz w:val="22"/>
                <w:szCs w:val="22"/>
                <w:lang w:val="en-GB"/>
              </w:rPr>
              <w:t>Severe hypercholesterolaemia</w:t>
            </w:r>
          </w:p>
          <w:p w14:paraId="5798B227" w14:textId="77777777" w:rsidR="00C605DD" w:rsidRPr="001E6296" w:rsidRDefault="00C605DD" w:rsidP="003D182C">
            <w:pPr>
              <w:pStyle w:val="Paragraph"/>
              <w:spacing w:after="180"/>
              <w:ind w:left="180" w:hanging="180"/>
              <w:rPr>
                <w:color w:val="000000"/>
                <w:kern w:val="32"/>
                <w:sz w:val="22"/>
                <w:szCs w:val="22"/>
                <w:lang w:val="en-GB"/>
              </w:rPr>
            </w:pPr>
            <w:r w:rsidRPr="001E6296">
              <w:rPr>
                <w:color w:val="000000"/>
                <w:kern w:val="32"/>
                <w:sz w:val="22"/>
                <w:szCs w:val="22"/>
                <w:lang w:val="en-GB"/>
              </w:rPr>
              <w:t>(cholesterol between 401 and 500 mg/dL or between 10.35 and 12.92 mmol/L)</w:t>
            </w:r>
          </w:p>
          <w:p w14:paraId="0B37C05F" w14:textId="77777777" w:rsidR="00C605DD" w:rsidRPr="001E6296" w:rsidRDefault="00C605DD" w:rsidP="003D182C">
            <w:pPr>
              <w:pStyle w:val="Paragraph"/>
              <w:spacing w:after="180"/>
              <w:rPr>
                <w:color w:val="000000"/>
                <w:kern w:val="32"/>
                <w:sz w:val="22"/>
                <w:szCs w:val="22"/>
                <w:u w:val="single"/>
                <w:lang w:val="en-GB"/>
              </w:rPr>
            </w:pPr>
            <w:r w:rsidRPr="001E6296">
              <w:rPr>
                <w:color w:val="000000"/>
                <w:kern w:val="32"/>
                <w:sz w:val="22"/>
                <w:szCs w:val="22"/>
                <w:u w:val="single"/>
                <w:lang w:val="en-GB"/>
              </w:rPr>
              <w:t>OR</w:t>
            </w:r>
          </w:p>
          <w:p w14:paraId="2B6B698A" w14:textId="77777777" w:rsidR="00C605DD" w:rsidRPr="001E6296" w:rsidRDefault="00C605DD" w:rsidP="00FA293E">
            <w:pPr>
              <w:pStyle w:val="Paragraph"/>
              <w:spacing w:after="0"/>
              <w:rPr>
                <w:color w:val="000000"/>
                <w:kern w:val="32"/>
                <w:sz w:val="22"/>
                <w:szCs w:val="22"/>
                <w:lang w:val="en-GB"/>
              </w:rPr>
            </w:pPr>
            <w:r w:rsidRPr="001E6296">
              <w:rPr>
                <w:color w:val="000000"/>
                <w:kern w:val="32"/>
                <w:sz w:val="22"/>
                <w:szCs w:val="22"/>
                <w:lang w:val="en-GB"/>
              </w:rPr>
              <w:t>Severe hypertriglyceridaemia</w:t>
            </w:r>
          </w:p>
          <w:p w14:paraId="52BCA554" w14:textId="77777777" w:rsidR="00C605DD" w:rsidRPr="001E6296" w:rsidRDefault="00C605DD" w:rsidP="00FA293E">
            <w:pPr>
              <w:pStyle w:val="Paragraph"/>
              <w:spacing w:after="0"/>
              <w:ind w:left="180" w:hanging="180"/>
              <w:rPr>
                <w:color w:val="000000"/>
                <w:kern w:val="32"/>
                <w:sz w:val="22"/>
                <w:szCs w:val="22"/>
                <w:lang w:val="en-GB"/>
              </w:rPr>
            </w:pPr>
            <w:r w:rsidRPr="001E6296">
              <w:rPr>
                <w:color w:val="000000"/>
                <w:kern w:val="32"/>
                <w:sz w:val="22"/>
                <w:szCs w:val="22"/>
                <w:lang w:val="en-GB"/>
              </w:rPr>
              <w:t>(triglycerides between 501 and 1,000 mg/dL or 5.71 and 11.4 mmol/L)</w:t>
            </w:r>
          </w:p>
        </w:tc>
        <w:tc>
          <w:tcPr>
            <w:tcW w:w="5137" w:type="dxa"/>
            <w:shd w:val="clear" w:color="auto" w:fill="auto"/>
            <w:vAlign w:val="center"/>
          </w:tcPr>
          <w:p w14:paraId="2A1F6B52" w14:textId="77777777" w:rsidR="00C605DD" w:rsidRPr="001E6296" w:rsidRDefault="00C605DD" w:rsidP="00605EA5">
            <w:pPr>
              <w:pStyle w:val="Paragraph"/>
              <w:spacing w:after="0"/>
              <w:rPr>
                <w:color w:val="000000"/>
                <w:kern w:val="32"/>
                <w:sz w:val="22"/>
                <w:szCs w:val="22"/>
                <w:lang w:val="en-GB"/>
              </w:rPr>
            </w:pPr>
            <w:r w:rsidRPr="001E6296">
              <w:rPr>
                <w:color w:val="000000"/>
                <w:kern w:val="32"/>
                <w:sz w:val="22"/>
                <w:szCs w:val="22"/>
                <w:lang w:val="en-GB"/>
              </w:rPr>
              <w:t>Introduce the use of lipid</w:t>
            </w:r>
            <w:r w:rsidRPr="001E6296">
              <w:rPr>
                <w:color w:val="000000"/>
                <w:kern w:val="32"/>
                <w:sz w:val="22"/>
                <w:szCs w:val="22"/>
                <w:lang w:val="en-GB"/>
              </w:rPr>
              <w:noBreakHyphen/>
              <w:t>lowering therapy</w:t>
            </w:r>
            <w:r w:rsidRPr="001E6296">
              <w:rPr>
                <w:color w:val="000000"/>
                <w:kern w:val="32"/>
                <w:sz w:val="22"/>
                <w:szCs w:val="22"/>
                <w:vertAlign w:val="superscript"/>
                <w:lang w:val="en-GB"/>
              </w:rPr>
              <w:t>a</w:t>
            </w:r>
            <w:r w:rsidR="00420E9B" w:rsidRPr="001E6296">
              <w:rPr>
                <w:color w:val="000000"/>
                <w:kern w:val="32"/>
                <w:sz w:val="22"/>
                <w:szCs w:val="22"/>
                <w:lang w:val="en-GB"/>
              </w:rPr>
              <w:t>;</w:t>
            </w:r>
            <w:r w:rsidRPr="001E6296">
              <w:rPr>
                <w:color w:val="000000"/>
                <w:kern w:val="32"/>
                <w:sz w:val="22"/>
                <w:szCs w:val="22"/>
                <w:lang w:val="en-GB"/>
              </w:rPr>
              <w:t xml:space="preserve"> if currently on lipid</w:t>
            </w:r>
            <w:r w:rsidRPr="001E6296">
              <w:rPr>
                <w:color w:val="000000"/>
                <w:kern w:val="32"/>
                <w:sz w:val="22"/>
                <w:szCs w:val="22"/>
                <w:lang w:val="en-GB"/>
              </w:rPr>
              <w:noBreakHyphen/>
              <w:t>lowering therapy, increase the dose of this therapy</w:t>
            </w:r>
            <w:r w:rsidRPr="001E6296">
              <w:rPr>
                <w:color w:val="000000"/>
                <w:kern w:val="32"/>
                <w:sz w:val="22"/>
                <w:szCs w:val="22"/>
                <w:vertAlign w:val="superscript"/>
                <w:lang w:val="en-GB"/>
              </w:rPr>
              <w:t>a</w:t>
            </w:r>
            <w:r w:rsidRPr="001E6296">
              <w:rPr>
                <w:color w:val="000000"/>
                <w:kern w:val="32"/>
                <w:sz w:val="22"/>
                <w:szCs w:val="22"/>
                <w:lang w:val="en-GB"/>
              </w:rPr>
              <w:t xml:space="preserve"> in accordance with respective prescribing information; or change to a new lipid</w:t>
            </w:r>
            <w:r w:rsidRPr="001E6296">
              <w:rPr>
                <w:color w:val="000000"/>
                <w:kern w:val="32"/>
                <w:sz w:val="22"/>
                <w:szCs w:val="22"/>
                <w:lang w:val="en-GB"/>
              </w:rPr>
              <w:noBreakHyphen/>
              <w:t xml:space="preserve">lowering therapy. Continue </w:t>
            </w:r>
            <w:r w:rsidR="00605EA5" w:rsidRPr="001E6296">
              <w:rPr>
                <w:color w:val="000000"/>
                <w:kern w:val="32"/>
                <w:sz w:val="22"/>
                <w:szCs w:val="22"/>
                <w:lang w:val="en-AU"/>
              </w:rPr>
              <w:t>LORVIQUA</w:t>
            </w:r>
            <w:r w:rsidRPr="001E6296">
              <w:rPr>
                <w:color w:val="000000"/>
                <w:kern w:val="32"/>
                <w:sz w:val="22"/>
                <w:szCs w:val="22"/>
                <w:lang w:val="en-GB"/>
              </w:rPr>
              <w:t xml:space="preserve"> at the same dose without interruption. </w:t>
            </w:r>
          </w:p>
        </w:tc>
      </w:tr>
      <w:tr w:rsidR="00C605DD" w:rsidRPr="001E6296" w14:paraId="38E94ED0" w14:textId="77777777" w:rsidTr="00860B1A">
        <w:trPr>
          <w:cantSplit/>
        </w:trPr>
        <w:tc>
          <w:tcPr>
            <w:tcW w:w="4276" w:type="dxa"/>
            <w:shd w:val="clear" w:color="auto" w:fill="auto"/>
            <w:vAlign w:val="center"/>
          </w:tcPr>
          <w:p w14:paraId="47D22FC8" w14:textId="77777777" w:rsidR="00C605DD" w:rsidRPr="001E6296" w:rsidRDefault="00C605DD" w:rsidP="00FA293E">
            <w:pPr>
              <w:pStyle w:val="Paragraph"/>
              <w:spacing w:after="0"/>
              <w:rPr>
                <w:color w:val="000000"/>
                <w:kern w:val="32"/>
                <w:sz w:val="22"/>
                <w:szCs w:val="22"/>
                <w:lang w:val="en-GB"/>
              </w:rPr>
            </w:pPr>
            <w:r w:rsidRPr="001E6296">
              <w:rPr>
                <w:color w:val="000000"/>
                <w:kern w:val="32"/>
                <w:sz w:val="22"/>
                <w:szCs w:val="22"/>
                <w:lang w:val="en-GB"/>
              </w:rPr>
              <w:t>Life</w:t>
            </w:r>
            <w:r w:rsidRPr="001E6296">
              <w:rPr>
                <w:color w:val="000000"/>
                <w:kern w:val="32"/>
                <w:sz w:val="22"/>
                <w:szCs w:val="22"/>
                <w:lang w:val="en-GB"/>
              </w:rPr>
              <w:noBreakHyphen/>
              <w:t>threatening hypercholesterolaemia</w:t>
            </w:r>
          </w:p>
          <w:p w14:paraId="657FE558" w14:textId="77777777" w:rsidR="00C605DD" w:rsidRPr="001E6296" w:rsidRDefault="00C605DD" w:rsidP="003D182C">
            <w:pPr>
              <w:pStyle w:val="Paragraph"/>
              <w:spacing w:after="180"/>
              <w:ind w:left="180" w:hanging="180"/>
              <w:rPr>
                <w:color w:val="000000"/>
                <w:kern w:val="32"/>
                <w:sz w:val="22"/>
                <w:szCs w:val="22"/>
                <w:lang w:val="en-GB"/>
              </w:rPr>
            </w:pPr>
            <w:r w:rsidRPr="001E6296">
              <w:rPr>
                <w:color w:val="000000"/>
                <w:kern w:val="32"/>
                <w:sz w:val="22"/>
                <w:szCs w:val="22"/>
                <w:lang w:val="en-GB"/>
              </w:rPr>
              <w:t>(cholesterol over 500 mg/dL or over 12.92 mmol/L)</w:t>
            </w:r>
          </w:p>
          <w:p w14:paraId="4BE2ACCF" w14:textId="77777777" w:rsidR="00C605DD" w:rsidRPr="001E6296" w:rsidRDefault="00C605DD" w:rsidP="003D182C">
            <w:pPr>
              <w:pStyle w:val="Paragraph"/>
              <w:spacing w:after="180"/>
              <w:rPr>
                <w:color w:val="000000"/>
                <w:kern w:val="32"/>
                <w:sz w:val="22"/>
                <w:szCs w:val="22"/>
                <w:u w:val="single"/>
                <w:lang w:val="en-GB"/>
              </w:rPr>
            </w:pPr>
            <w:r w:rsidRPr="001E6296">
              <w:rPr>
                <w:color w:val="000000"/>
                <w:kern w:val="32"/>
                <w:sz w:val="22"/>
                <w:szCs w:val="22"/>
                <w:u w:val="single"/>
                <w:lang w:val="en-GB"/>
              </w:rPr>
              <w:t>OR</w:t>
            </w:r>
          </w:p>
          <w:p w14:paraId="3D35F584" w14:textId="77777777" w:rsidR="00C605DD" w:rsidRPr="001E6296" w:rsidRDefault="00C605DD" w:rsidP="00FA293E">
            <w:pPr>
              <w:pStyle w:val="Paragraph"/>
              <w:spacing w:after="0"/>
              <w:rPr>
                <w:color w:val="000000"/>
                <w:kern w:val="32"/>
                <w:sz w:val="22"/>
                <w:szCs w:val="22"/>
                <w:lang w:val="en-GB"/>
              </w:rPr>
            </w:pPr>
            <w:r w:rsidRPr="001E6296">
              <w:rPr>
                <w:color w:val="000000"/>
                <w:kern w:val="32"/>
                <w:sz w:val="22"/>
                <w:szCs w:val="22"/>
                <w:lang w:val="en-GB"/>
              </w:rPr>
              <w:t>Life</w:t>
            </w:r>
            <w:r w:rsidRPr="001E6296">
              <w:rPr>
                <w:color w:val="000000"/>
                <w:kern w:val="32"/>
                <w:sz w:val="22"/>
                <w:szCs w:val="22"/>
                <w:lang w:val="en-GB"/>
              </w:rPr>
              <w:noBreakHyphen/>
              <w:t>threatening hypertriglyceridaemia</w:t>
            </w:r>
          </w:p>
          <w:p w14:paraId="5A1893A8" w14:textId="77777777" w:rsidR="00C605DD" w:rsidRPr="001E6296" w:rsidRDefault="00C605DD" w:rsidP="00FA293E">
            <w:pPr>
              <w:pStyle w:val="Paragraph"/>
              <w:spacing w:after="0"/>
              <w:ind w:left="180" w:hanging="180"/>
              <w:rPr>
                <w:color w:val="000000"/>
                <w:kern w:val="32"/>
                <w:sz w:val="22"/>
                <w:szCs w:val="22"/>
                <w:lang w:val="en-GB"/>
              </w:rPr>
            </w:pPr>
            <w:r w:rsidRPr="001E6296">
              <w:rPr>
                <w:color w:val="000000"/>
                <w:kern w:val="32"/>
                <w:sz w:val="22"/>
                <w:szCs w:val="22"/>
                <w:lang w:val="en-GB"/>
              </w:rPr>
              <w:t>(triglycerides over 1,000 mg/dL or over 11.4 mmol/L)</w:t>
            </w:r>
          </w:p>
        </w:tc>
        <w:tc>
          <w:tcPr>
            <w:tcW w:w="5137" w:type="dxa"/>
            <w:shd w:val="clear" w:color="auto" w:fill="auto"/>
            <w:vAlign w:val="center"/>
          </w:tcPr>
          <w:p w14:paraId="7BE5718A" w14:textId="77777777" w:rsidR="00C605DD" w:rsidRPr="001E6296" w:rsidRDefault="00C605DD" w:rsidP="003D182C">
            <w:pPr>
              <w:pStyle w:val="Paragraph"/>
              <w:spacing w:after="180"/>
              <w:rPr>
                <w:color w:val="000000"/>
                <w:kern w:val="32"/>
                <w:sz w:val="22"/>
                <w:szCs w:val="22"/>
                <w:lang w:val="en-GB"/>
              </w:rPr>
            </w:pPr>
            <w:r w:rsidRPr="001E6296">
              <w:rPr>
                <w:color w:val="000000"/>
                <w:kern w:val="32"/>
                <w:sz w:val="22"/>
                <w:szCs w:val="22"/>
                <w:lang w:val="en-GB"/>
              </w:rPr>
              <w:t>Introduce the use of lipid</w:t>
            </w:r>
            <w:r w:rsidRPr="001E6296">
              <w:rPr>
                <w:color w:val="000000"/>
                <w:kern w:val="32"/>
                <w:sz w:val="22"/>
                <w:szCs w:val="22"/>
                <w:lang w:val="en-GB"/>
              </w:rPr>
              <w:noBreakHyphen/>
              <w:t>lowering therapy</w:t>
            </w:r>
            <w:r w:rsidRPr="001E6296">
              <w:rPr>
                <w:color w:val="000000"/>
                <w:kern w:val="32"/>
                <w:sz w:val="22"/>
                <w:szCs w:val="22"/>
                <w:vertAlign w:val="superscript"/>
                <w:lang w:val="en-GB"/>
              </w:rPr>
              <w:t>a</w:t>
            </w:r>
            <w:r w:rsidRPr="001E6296">
              <w:rPr>
                <w:color w:val="000000"/>
                <w:kern w:val="32"/>
                <w:sz w:val="22"/>
                <w:szCs w:val="22"/>
                <w:lang w:val="en-GB"/>
              </w:rPr>
              <w:t xml:space="preserve"> or increase the dose of this therapy</w:t>
            </w:r>
            <w:r w:rsidRPr="001E6296">
              <w:rPr>
                <w:color w:val="000000"/>
                <w:kern w:val="32"/>
                <w:sz w:val="22"/>
                <w:szCs w:val="22"/>
                <w:vertAlign w:val="superscript"/>
                <w:lang w:val="en-GB"/>
              </w:rPr>
              <w:t>a</w:t>
            </w:r>
            <w:r w:rsidRPr="001E6296">
              <w:rPr>
                <w:color w:val="000000"/>
                <w:kern w:val="32"/>
                <w:sz w:val="22"/>
                <w:szCs w:val="22"/>
                <w:lang w:val="en-GB"/>
              </w:rPr>
              <w:t xml:space="preserve"> in accordance with respective prescribing information or change to a new lipid</w:t>
            </w:r>
            <w:r w:rsidRPr="001E6296">
              <w:rPr>
                <w:color w:val="000000"/>
                <w:kern w:val="32"/>
                <w:sz w:val="22"/>
                <w:szCs w:val="22"/>
                <w:lang w:val="en-GB"/>
              </w:rPr>
              <w:noBreakHyphen/>
              <w:t xml:space="preserve">lowering therapy. Withhold </w:t>
            </w:r>
            <w:r w:rsidR="00605EA5" w:rsidRPr="001E6296">
              <w:rPr>
                <w:color w:val="000000"/>
                <w:kern w:val="32"/>
                <w:sz w:val="22"/>
                <w:szCs w:val="22"/>
                <w:lang w:val="en-AU"/>
              </w:rPr>
              <w:t>LORVIQUA</w:t>
            </w:r>
            <w:r w:rsidRPr="001E6296">
              <w:rPr>
                <w:color w:val="000000"/>
                <w:kern w:val="32"/>
                <w:sz w:val="22"/>
                <w:szCs w:val="22"/>
                <w:lang w:val="en-GB"/>
              </w:rPr>
              <w:t xml:space="preserve"> until recovery of hypercholesterolaemia and/or hypertriglyceridaemia to moderate or mild severity grade.</w:t>
            </w:r>
          </w:p>
          <w:p w14:paraId="6EF0B8AE" w14:textId="77777777" w:rsidR="00C605DD" w:rsidRPr="001E6296" w:rsidRDefault="00C605DD" w:rsidP="003D182C">
            <w:pPr>
              <w:pStyle w:val="Paragraph"/>
              <w:spacing w:after="180"/>
              <w:rPr>
                <w:color w:val="000000"/>
                <w:kern w:val="32"/>
                <w:sz w:val="22"/>
                <w:szCs w:val="22"/>
                <w:lang w:val="en-GB"/>
              </w:rPr>
            </w:pPr>
            <w:r w:rsidRPr="001E6296">
              <w:rPr>
                <w:color w:val="000000"/>
                <w:kern w:val="32"/>
                <w:sz w:val="22"/>
                <w:szCs w:val="22"/>
                <w:lang w:val="en-GB"/>
              </w:rPr>
              <w:t>Re</w:t>
            </w:r>
            <w:r w:rsidRPr="001E6296">
              <w:rPr>
                <w:color w:val="000000"/>
                <w:kern w:val="32"/>
                <w:sz w:val="22"/>
                <w:szCs w:val="22"/>
                <w:lang w:val="en-GB"/>
              </w:rPr>
              <w:noBreakHyphen/>
              <w:t xml:space="preserve">challenge at same </w:t>
            </w:r>
            <w:r w:rsidR="00605EA5" w:rsidRPr="001E6296">
              <w:rPr>
                <w:color w:val="000000"/>
                <w:kern w:val="32"/>
                <w:sz w:val="22"/>
                <w:szCs w:val="22"/>
                <w:lang w:val="en-AU"/>
              </w:rPr>
              <w:t>LORVIQUA</w:t>
            </w:r>
            <w:r w:rsidRPr="001E6296">
              <w:rPr>
                <w:color w:val="000000"/>
                <w:kern w:val="32"/>
                <w:sz w:val="22"/>
                <w:szCs w:val="22"/>
                <w:lang w:val="en-GB"/>
              </w:rPr>
              <w:t xml:space="preserve"> dose while maximising lipid</w:t>
            </w:r>
            <w:r w:rsidRPr="001E6296">
              <w:rPr>
                <w:color w:val="000000"/>
                <w:kern w:val="32"/>
                <w:sz w:val="22"/>
                <w:szCs w:val="22"/>
                <w:lang w:val="en-GB"/>
              </w:rPr>
              <w:noBreakHyphen/>
              <w:t>lowering therapy</w:t>
            </w:r>
            <w:r w:rsidRPr="001E6296">
              <w:rPr>
                <w:color w:val="000000"/>
                <w:kern w:val="32"/>
                <w:sz w:val="22"/>
                <w:szCs w:val="22"/>
                <w:vertAlign w:val="superscript"/>
                <w:lang w:val="en-GB"/>
              </w:rPr>
              <w:t>a</w:t>
            </w:r>
            <w:r w:rsidRPr="001E6296">
              <w:rPr>
                <w:bCs/>
                <w:sz w:val="22"/>
                <w:szCs w:val="22"/>
                <w:lang w:val="en-GB"/>
              </w:rPr>
              <w:t xml:space="preserve"> </w:t>
            </w:r>
            <w:r w:rsidRPr="001E6296">
              <w:rPr>
                <w:color w:val="000000"/>
                <w:kern w:val="32"/>
                <w:sz w:val="22"/>
                <w:szCs w:val="22"/>
                <w:lang w:val="en-GB"/>
              </w:rPr>
              <w:t>in accordance with respective prescribing information.</w:t>
            </w:r>
          </w:p>
          <w:p w14:paraId="5C475DE0" w14:textId="77777777" w:rsidR="00C605DD" w:rsidRPr="001E6296" w:rsidRDefault="00C605DD" w:rsidP="00605EA5">
            <w:pPr>
              <w:pStyle w:val="Paragraph"/>
              <w:spacing w:after="0"/>
              <w:rPr>
                <w:color w:val="000000"/>
                <w:kern w:val="32"/>
                <w:sz w:val="22"/>
                <w:szCs w:val="22"/>
                <w:lang w:val="en-GB"/>
              </w:rPr>
            </w:pPr>
            <w:r w:rsidRPr="001E6296">
              <w:rPr>
                <w:color w:val="000000"/>
                <w:kern w:val="32"/>
                <w:sz w:val="22"/>
                <w:szCs w:val="22"/>
                <w:lang w:val="en-GB"/>
              </w:rPr>
              <w:t>If severe hypercholesterolaemia and/or hypertriglyceridaemia recur despite maximal lipid</w:t>
            </w:r>
            <w:r w:rsidRPr="001E6296">
              <w:rPr>
                <w:color w:val="000000"/>
                <w:kern w:val="32"/>
                <w:sz w:val="22"/>
                <w:szCs w:val="22"/>
                <w:lang w:val="en-GB"/>
              </w:rPr>
              <w:noBreakHyphen/>
              <w:t>lowering therapy</w:t>
            </w:r>
            <w:r w:rsidRPr="001E6296">
              <w:rPr>
                <w:bCs/>
                <w:sz w:val="22"/>
                <w:szCs w:val="22"/>
                <w:vertAlign w:val="superscript"/>
                <w:lang w:val="en-GB"/>
              </w:rPr>
              <w:t>a</w:t>
            </w:r>
            <w:r w:rsidRPr="001E6296">
              <w:rPr>
                <w:color w:val="000000"/>
                <w:kern w:val="32"/>
                <w:sz w:val="22"/>
                <w:szCs w:val="22"/>
                <w:lang w:val="en-GB"/>
              </w:rPr>
              <w:t xml:space="preserve"> in accordance with respective prescribing information, reduce </w:t>
            </w:r>
            <w:r w:rsidR="00605EA5" w:rsidRPr="001E6296">
              <w:rPr>
                <w:color w:val="000000"/>
                <w:kern w:val="32"/>
                <w:sz w:val="22"/>
                <w:szCs w:val="22"/>
                <w:lang w:val="en-AU"/>
              </w:rPr>
              <w:t>LORVIQUA</w:t>
            </w:r>
            <w:r w:rsidRPr="001E6296">
              <w:rPr>
                <w:color w:val="000000"/>
                <w:kern w:val="32"/>
                <w:sz w:val="22"/>
                <w:szCs w:val="22"/>
                <w:lang w:val="en-GB"/>
              </w:rPr>
              <w:t xml:space="preserve"> by 1 dose level.</w:t>
            </w:r>
          </w:p>
        </w:tc>
      </w:tr>
      <w:tr w:rsidR="00C605DD" w:rsidRPr="001E6296" w14:paraId="2428FE3F" w14:textId="77777777" w:rsidTr="00860B1A">
        <w:tc>
          <w:tcPr>
            <w:tcW w:w="9413" w:type="dxa"/>
            <w:gridSpan w:val="2"/>
            <w:shd w:val="clear" w:color="auto" w:fill="auto"/>
          </w:tcPr>
          <w:p w14:paraId="698165BD" w14:textId="77777777" w:rsidR="00C605DD" w:rsidRPr="001E6296" w:rsidRDefault="00C605DD" w:rsidP="00711CA7">
            <w:pPr>
              <w:pStyle w:val="Paragraph"/>
              <w:widowControl w:val="0"/>
              <w:overflowPunct w:val="0"/>
              <w:autoSpaceDE w:val="0"/>
              <w:autoSpaceDN w:val="0"/>
              <w:adjustRightInd w:val="0"/>
              <w:spacing w:after="0"/>
              <w:textAlignment w:val="baseline"/>
              <w:rPr>
                <w:b/>
                <w:color w:val="000000"/>
                <w:kern w:val="32"/>
                <w:sz w:val="22"/>
                <w:szCs w:val="22"/>
                <w:lang w:val="en-GB"/>
              </w:rPr>
            </w:pPr>
            <w:r w:rsidRPr="001E6296">
              <w:rPr>
                <w:b/>
                <w:color w:val="000000"/>
                <w:kern w:val="32"/>
                <w:sz w:val="22"/>
                <w:szCs w:val="22"/>
                <w:lang w:val="en-GB"/>
              </w:rPr>
              <w:t xml:space="preserve">Central </w:t>
            </w:r>
            <w:r w:rsidR="00711CA7" w:rsidRPr="001E6296">
              <w:rPr>
                <w:b/>
                <w:color w:val="000000"/>
                <w:kern w:val="32"/>
                <w:sz w:val="22"/>
                <w:szCs w:val="22"/>
                <w:lang w:val="en-GB"/>
              </w:rPr>
              <w:t>N</w:t>
            </w:r>
            <w:r w:rsidRPr="001E6296">
              <w:rPr>
                <w:b/>
                <w:color w:val="000000"/>
                <w:kern w:val="32"/>
                <w:sz w:val="22"/>
                <w:szCs w:val="22"/>
                <w:lang w:val="en-GB"/>
              </w:rPr>
              <w:t xml:space="preserve">ervous </w:t>
            </w:r>
            <w:r w:rsidR="00711CA7" w:rsidRPr="001E6296">
              <w:rPr>
                <w:b/>
                <w:color w:val="000000"/>
                <w:kern w:val="32"/>
                <w:sz w:val="22"/>
                <w:szCs w:val="22"/>
                <w:lang w:val="en-GB"/>
              </w:rPr>
              <w:t>S</w:t>
            </w:r>
            <w:r w:rsidRPr="001E6296">
              <w:rPr>
                <w:b/>
                <w:color w:val="000000"/>
                <w:kern w:val="32"/>
                <w:sz w:val="22"/>
                <w:szCs w:val="22"/>
                <w:lang w:val="en-GB"/>
              </w:rPr>
              <w:t xml:space="preserve">ystem </w:t>
            </w:r>
            <w:r w:rsidR="00711CA7" w:rsidRPr="001E6296">
              <w:rPr>
                <w:b/>
                <w:color w:val="000000"/>
                <w:kern w:val="32"/>
                <w:sz w:val="22"/>
                <w:szCs w:val="22"/>
                <w:lang w:val="en-GB"/>
              </w:rPr>
              <w:t>E</w:t>
            </w:r>
            <w:r w:rsidRPr="001E6296">
              <w:rPr>
                <w:b/>
                <w:color w:val="000000"/>
                <w:kern w:val="32"/>
                <w:sz w:val="22"/>
                <w:szCs w:val="22"/>
                <w:lang w:val="en-GB"/>
              </w:rPr>
              <w:t>ffects</w:t>
            </w:r>
            <w:r w:rsidRPr="001E6296">
              <w:rPr>
                <w:b/>
                <w:color w:val="000000"/>
                <w:kern w:val="32"/>
                <w:sz w:val="22"/>
                <w:szCs w:val="22"/>
                <w:vertAlign w:val="superscript"/>
                <w:lang w:val="en-GB"/>
              </w:rPr>
              <w:t>b,c</w:t>
            </w:r>
          </w:p>
        </w:tc>
      </w:tr>
      <w:tr w:rsidR="00C605DD" w:rsidRPr="001E6296" w14:paraId="70E6346C" w14:textId="77777777" w:rsidTr="00860B1A">
        <w:tc>
          <w:tcPr>
            <w:tcW w:w="4276" w:type="dxa"/>
            <w:shd w:val="clear" w:color="auto" w:fill="auto"/>
            <w:vAlign w:val="center"/>
          </w:tcPr>
          <w:p w14:paraId="575F4873" w14:textId="77777777" w:rsidR="00C605DD" w:rsidRPr="001E6296" w:rsidRDefault="00C605DD" w:rsidP="003D182C">
            <w:pPr>
              <w:pStyle w:val="Paragraph"/>
              <w:widowControl w:val="0"/>
              <w:spacing w:after="180"/>
              <w:rPr>
                <w:color w:val="000000"/>
                <w:kern w:val="32"/>
                <w:sz w:val="22"/>
                <w:szCs w:val="22"/>
                <w:lang w:val="en-GB"/>
              </w:rPr>
            </w:pPr>
            <w:r w:rsidRPr="001E6296">
              <w:rPr>
                <w:color w:val="000000"/>
                <w:kern w:val="32"/>
                <w:sz w:val="22"/>
                <w:szCs w:val="22"/>
                <w:lang w:val="en-GB"/>
              </w:rPr>
              <w:t>Grade 2: Moderate</w:t>
            </w:r>
          </w:p>
          <w:p w14:paraId="15B4AD3F" w14:textId="0E7E4BBE" w:rsidR="00C605DD" w:rsidRPr="001E6296" w:rsidRDefault="003D182C" w:rsidP="003D182C">
            <w:pPr>
              <w:pStyle w:val="Paragraph"/>
              <w:widowControl w:val="0"/>
              <w:spacing w:after="180"/>
              <w:rPr>
                <w:color w:val="000000"/>
                <w:kern w:val="32"/>
                <w:sz w:val="22"/>
                <w:szCs w:val="22"/>
                <w:u w:val="single"/>
                <w:lang w:val="en-GB"/>
              </w:rPr>
            </w:pPr>
            <w:r>
              <w:rPr>
                <w:color w:val="000000"/>
                <w:kern w:val="32"/>
                <w:sz w:val="22"/>
                <w:szCs w:val="22"/>
                <w:u w:val="single"/>
                <w:lang w:val="en-GB"/>
              </w:rPr>
              <w:t>OR</w:t>
            </w:r>
          </w:p>
          <w:p w14:paraId="3EBC1751" w14:textId="55CDAAC3" w:rsidR="00C605DD" w:rsidRPr="001E6296" w:rsidRDefault="00C605DD" w:rsidP="00FA293E">
            <w:pPr>
              <w:pStyle w:val="Paragraph"/>
              <w:widowControl w:val="0"/>
              <w:spacing w:after="0"/>
              <w:rPr>
                <w:color w:val="000000"/>
                <w:kern w:val="32"/>
                <w:sz w:val="22"/>
                <w:szCs w:val="22"/>
                <w:lang w:val="en-GB"/>
              </w:rPr>
            </w:pPr>
            <w:r w:rsidRPr="001E6296">
              <w:rPr>
                <w:color w:val="000000"/>
                <w:kern w:val="32"/>
                <w:sz w:val="22"/>
                <w:szCs w:val="22"/>
                <w:lang w:val="en-GB"/>
              </w:rPr>
              <w:t>Grade 3: Severe</w:t>
            </w:r>
          </w:p>
        </w:tc>
        <w:tc>
          <w:tcPr>
            <w:tcW w:w="5137" w:type="dxa"/>
            <w:shd w:val="clear" w:color="auto" w:fill="auto"/>
            <w:vAlign w:val="center"/>
          </w:tcPr>
          <w:p w14:paraId="50D75BB6" w14:textId="6A9521FE" w:rsidR="00C605DD" w:rsidRPr="001E6296" w:rsidRDefault="00C605DD" w:rsidP="00605EA5">
            <w:pPr>
              <w:pStyle w:val="Paragraph"/>
              <w:widowControl w:val="0"/>
              <w:spacing w:after="0"/>
              <w:rPr>
                <w:color w:val="000000"/>
                <w:kern w:val="32"/>
                <w:sz w:val="22"/>
                <w:szCs w:val="22"/>
                <w:lang w:val="en-GB"/>
              </w:rPr>
            </w:pPr>
            <w:r w:rsidRPr="001E6296">
              <w:rPr>
                <w:color w:val="000000"/>
                <w:kern w:val="32"/>
                <w:sz w:val="22"/>
                <w:szCs w:val="22"/>
                <w:lang w:val="en-GB"/>
              </w:rPr>
              <w:t xml:space="preserve">Withhold dose until toxicity is less than or equal to Grade 1. Then resume </w:t>
            </w:r>
            <w:r w:rsidR="00605EA5" w:rsidRPr="001E6296">
              <w:rPr>
                <w:color w:val="000000"/>
                <w:kern w:val="32"/>
                <w:sz w:val="22"/>
                <w:szCs w:val="22"/>
                <w:lang w:val="en-AU"/>
              </w:rPr>
              <w:t>LORVIQUA</w:t>
            </w:r>
            <w:r w:rsidRPr="001E6296">
              <w:rPr>
                <w:color w:val="000000"/>
                <w:kern w:val="32"/>
                <w:sz w:val="22"/>
                <w:szCs w:val="22"/>
                <w:lang w:val="en-GB"/>
              </w:rPr>
              <w:t xml:space="preserve"> at 1 reduced dose level.</w:t>
            </w:r>
          </w:p>
        </w:tc>
      </w:tr>
      <w:tr w:rsidR="00C605DD" w:rsidRPr="001E6296" w14:paraId="00104D10" w14:textId="77777777" w:rsidTr="00860B1A">
        <w:tc>
          <w:tcPr>
            <w:tcW w:w="4276" w:type="dxa"/>
            <w:shd w:val="clear" w:color="auto" w:fill="auto"/>
            <w:vAlign w:val="center"/>
          </w:tcPr>
          <w:p w14:paraId="4A76153C" w14:textId="77777777" w:rsidR="00C605DD" w:rsidRPr="001E6296" w:rsidRDefault="00C605DD" w:rsidP="00FA293E">
            <w:pPr>
              <w:pStyle w:val="Paragraph"/>
              <w:widowControl w:val="0"/>
              <w:spacing w:after="0"/>
              <w:ind w:left="180" w:hanging="180"/>
              <w:rPr>
                <w:color w:val="000000"/>
                <w:kern w:val="32"/>
                <w:sz w:val="22"/>
                <w:szCs w:val="22"/>
                <w:lang w:val="en-GB"/>
              </w:rPr>
            </w:pPr>
            <w:r w:rsidRPr="001E6296">
              <w:rPr>
                <w:color w:val="000000"/>
                <w:kern w:val="32"/>
                <w:sz w:val="22"/>
                <w:szCs w:val="22"/>
                <w:lang w:val="en-GB"/>
              </w:rPr>
              <w:t>Grade 4: Life</w:t>
            </w:r>
            <w:r w:rsidRPr="001E6296">
              <w:rPr>
                <w:color w:val="000000"/>
                <w:kern w:val="32"/>
                <w:sz w:val="22"/>
                <w:szCs w:val="22"/>
                <w:lang w:val="en-GB"/>
              </w:rPr>
              <w:noBreakHyphen/>
              <w:t>threatening/Urgent intervention indicated</w:t>
            </w:r>
          </w:p>
        </w:tc>
        <w:tc>
          <w:tcPr>
            <w:tcW w:w="5137" w:type="dxa"/>
            <w:shd w:val="clear" w:color="auto" w:fill="auto"/>
            <w:vAlign w:val="center"/>
          </w:tcPr>
          <w:p w14:paraId="2F197E55" w14:textId="77777777" w:rsidR="00C605DD" w:rsidRPr="001E6296" w:rsidRDefault="00C605DD" w:rsidP="00605EA5">
            <w:pPr>
              <w:pStyle w:val="Paragraph"/>
              <w:tabs>
                <w:tab w:val="left" w:pos="4247"/>
              </w:tabs>
              <w:overflowPunct w:val="0"/>
              <w:autoSpaceDE w:val="0"/>
              <w:autoSpaceDN w:val="0"/>
              <w:adjustRightInd w:val="0"/>
              <w:spacing w:after="0"/>
              <w:textAlignment w:val="baseline"/>
              <w:rPr>
                <w:color w:val="000000"/>
                <w:kern w:val="32"/>
                <w:sz w:val="22"/>
                <w:szCs w:val="22"/>
                <w:lang w:val="en-GB"/>
              </w:rPr>
            </w:pPr>
            <w:r w:rsidRPr="001E6296">
              <w:rPr>
                <w:color w:val="000000"/>
                <w:kern w:val="32"/>
                <w:sz w:val="22"/>
                <w:szCs w:val="22"/>
                <w:lang w:val="en-GB"/>
              </w:rPr>
              <w:t xml:space="preserve">Permanently discontinue </w:t>
            </w:r>
            <w:r w:rsidR="00605EA5" w:rsidRPr="001E6296">
              <w:rPr>
                <w:color w:val="000000"/>
                <w:kern w:val="32"/>
                <w:sz w:val="22"/>
                <w:szCs w:val="22"/>
                <w:lang w:val="en-AU"/>
              </w:rPr>
              <w:t>LORVIQUA</w:t>
            </w:r>
            <w:r w:rsidRPr="001E6296">
              <w:rPr>
                <w:color w:val="000000"/>
                <w:kern w:val="32"/>
                <w:sz w:val="22"/>
                <w:szCs w:val="22"/>
                <w:lang w:val="en-GB"/>
              </w:rPr>
              <w:t>.</w:t>
            </w:r>
          </w:p>
        </w:tc>
      </w:tr>
      <w:tr w:rsidR="00E178D7" w:rsidRPr="001E6296" w14:paraId="635E1111" w14:textId="77777777" w:rsidTr="00860B1A">
        <w:tc>
          <w:tcPr>
            <w:tcW w:w="9413" w:type="dxa"/>
            <w:gridSpan w:val="2"/>
            <w:shd w:val="clear" w:color="auto" w:fill="auto"/>
            <w:vAlign w:val="center"/>
          </w:tcPr>
          <w:p w14:paraId="2011BBCB" w14:textId="3A74DBBD" w:rsidR="00E178D7" w:rsidRPr="001E6296" w:rsidRDefault="00E178D7" w:rsidP="00FA293E">
            <w:pPr>
              <w:pStyle w:val="Paragraph"/>
              <w:tabs>
                <w:tab w:val="left" w:pos="4247"/>
              </w:tabs>
              <w:overflowPunct w:val="0"/>
              <w:autoSpaceDE w:val="0"/>
              <w:autoSpaceDN w:val="0"/>
              <w:adjustRightInd w:val="0"/>
              <w:spacing w:after="0"/>
              <w:textAlignment w:val="baseline"/>
              <w:rPr>
                <w:b/>
                <w:color w:val="000000"/>
                <w:kern w:val="32"/>
                <w:sz w:val="22"/>
                <w:szCs w:val="22"/>
                <w:lang w:val="en-GB"/>
              </w:rPr>
            </w:pPr>
            <w:r w:rsidRPr="001E6296">
              <w:rPr>
                <w:b/>
                <w:color w:val="000000"/>
                <w:kern w:val="32"/>
                <w:sz w:val="22"/>
                <w:szCs w:val="22"/>
                <w:lang w:val="en-GB"/>
              </w:rPr>
              <w:t>Lipase/Amylase Increase</w:t>
            </w:r>
          </w:p>
        </w:tc>
      </w:tr>
      <w:tr w:rsidR="00E178D7" w:rsidRPr="001E6296" w14:paraId="0AFC8ABE" w14:textId="77777777" w:rsidTr="00E178D7">
        <w:tc>
          <w:tcPr>
            <w:tcW w:w="4276" w:type="dxa"/>
            <w:shd w:val="clear" w:color="auto" w:fill="auto"/>
            <w:vAlign w:val="center"/>
          </w:tcPr>
          <w:p w14:paraId="2FC6C22F" w14:textId="77777777" w:rsidR="00E178D7" w:rsidRPr="001E6296" w:rsidRDefault="00E178D7" w:rsidP="003D182C">
            <w:pPr>
              <w:pStyle w:val="Paragraph"/>
              <w:tabs>
                <w:tab w:val="left" w:pos="4247"/>
              </w:tabs>
              <w:overflowPunct w:val="0"/>
              <w:autoSpaceDE w:val="0"/>
              <w:autoSpaceDN w:val="0"/>
              <w:adjustRightInd w:val="0"/>
              <w:spacing w:after="180"/>
              <w:textAlignment w:val="baseline"/>
              <w:rPr>
                <w:color w:val="000000"/>
                <w:kern w:val="32"/>
                <w:sz w:val="22"/>
                <w:szCs w:val="22"/>
                <w:lang w:val="en-GB"/>
              </w:rPr>
            </w:pPr>
            <w:r w:rsidRPr="001E6296">
              <w:rPr>
                <w:color w:val="000000"/>
                <w:kern w:val="32"/>
                <w:sz w:val="22"/>
                <w:szCs w:val="22"/>
                <w:lang w:val="en-GB"/>
              </w:rPr>
              <w:t>Grade 3: Severe</w:t>
            </w:r>
          </w:p>
          <w:p w14:paraId="21F0BD09" w14:textId="77777777" w:rsidR="00E178D7" w:rsidRPr="00083621" w:rsidRDefault="00E178D7" w:rsidP="003D182C">
            <w:pPr>
              <w:pStyle w:val="Paragraph"/>
              <w:tabs>
                <w:tab w:val="left" w:pos="4247"/>
              </w:tabs>
              <w:overflowPunct w:val="0"/>
              <w:autoSpaceDE w:val="0"/>
              <w:autoSpaceDN w:val="0"/>
              <w:adjustRightInd w:val="0"/>
              <w:spacing w:after="180"/>
              <w:textAlignment w:val="baseline"/>
              <w:rPr>
                <w:color w:val="000000"/>
                <w:kern w:val="32"/>
                <w:sz w:val="22"/>
                <w:szCs w:val="22"/>
                <w:u w:val="single"/>
                <w:lang w:val="en-GB"/>
              </w:rPr>
            </w:pPr>
            <w:r w:rsidRPr="00083621">
              <w:rPr>
                <w:color w:val="000000"/>
                <w:kern w:val="32"/>
                <w:sz w:val="22"/>
                <w:szCs w:val="22"/>
                <w:u w:val="single"/>
                <w:lang w:val="en-GB"/>
              </w:rPr>
              <w:t>OR</w:t>
            </w:r>
          </w:p>
          <w:p w14:paraId="16BCB6C8" w14:textId="4BDAC59B" w:rsidR="003D182C" w:rsidRPr="001E6296" w:rsidRDefault="00E178D7" w:rsidP="003D182C">
            <w:pPr>
              <w:pStyle w:val="Paragraph"/>
              <w:tabs>
                <w:tab w:val="left" w:pos="4247"/>
              </w:tabs>
              <w:overflowPunct w:val="0"/>
              <w:autoSpaceDE w:val="0"/>
              <w:autoSpaceDN w:val="0"/>
              <w:adjustRightInd w:val="0"/>
              <w:spacing w:after="180"/>
              <w:textAlignment w:val="baseline"/>
              <w:rPr>
                <w:color w:val="000000"/>
                <w:kern w:val="32"/>
                <w:sz w:val="22"/>
                <w:szCs w:val="22"/>
                <w:lang w:val="en-GB"/>
              </w:rPr>
            </w:pPr>
            <w:r w:rsidRPr="001E6296">
              <w:rPr>
                <w:color w:val="000000"/>
                <w:kern w:val="32"/>
                <w:sz w:val="22"/>
                <w:szCs w:val="22"/>
                <w:lang w:val="en-GB"/>
              </w:rPr>
              <w:t>Grade 4: Life-threatening/Urgent intervention indicated</w:t>
            </w:r>
          </w:p>
        </w:tc>
        <w:tc>
          <w:tcPr>
            <w:tcW w:w="5137" w:type="dxa"/>
            <w:shd w:val="clear" w:color="auto" w:fill="auto"/>
            <w:vAlign w:val="center"/>
          </w:tcPr>
          <w:p w14:paraId="16886E4F" w14:textId="5513C4C8" w:rsidR="00E178D7" w:rsidRPr="001E6296" w:rsidRDefault="00E178D7" w:rsidP="00FA293E">
            <w:pPr>
              <w:pStyle w:val="Paragraph"/>
              <w:tabs>
                <w:tab w:val="left" w:pos="4247"/>
              </w:tabs>
              <w:overflowPunct w:val="0"/>
              <w:autoSpaceDE w:val="0"/>
              <w:autoSpaceDN w:val="0"/>
              <w:adjustRightInd w:val="0"/>
              <w:spacing w:after="0"/>
              <w:textAlignment w:val="baseline"/>
              <w:rPr>
                <w:b/>
                <w:color w:val="000000"/>
                <w:kern w:val="32"/>
                <w:sz w:val="22"/>
                <w:szCs w:val="22"/>
                <w:lang w:val="en-GB"/>
              </w:rPr>
            </w:pPr>
            <w:r w:rsidRPr="001E6296">
              <w:rPr>
                <w:kern w:val="32"/>
                <w:sz w:val="22"/>
                <w:szCs w:val="22"/>
                <w:lang w:val="en-GB"/>
              </w:rPr>
              <w:t>Withhold LORVIQUA until lipase or amylase returns to baseline. Then resume LORVIQUA at 1 reduced dose level.</w:t>
            </w:r>
          </w:p>
        </w:tc>
      </w:tr>
      <w:tr w:rsidR="00860B1A" w:rsidRPr="001E6296" w14:paraId="34ECBE32" w14:textId="77777777" w:rsidTr="00860B1A">
        <w:tc>
          <w:tcPr>
            <w:tcW w:w="9413" w:type="dxa"/>
            <w:gridSpan w:val="2"/>
            <w:shd w:val="clear" w:color="auto" w:fill="auto"/>
            <w:vAlign w:val="center"/>
          </w:tcPr>
          <w:p w14:paraId="0C690B8C" w14:textId="68BD186C" w:rsidR="00860B1A" w:rsidRPr="001E6296" w:rsidRDefault="00E178D7" w:rsidP="00FA293E">
            <w:pPr>
              <w:pStyle w:val="Paragraph"/>
              <w:tabs>
                <w:tab w:val="left" w:pos="4247"/>
              </w:tabs>
              <w:overflowPunct w:val="0"/>
              <w:autoSpaceDE w:val="0"/>
              <w:autoSpaceDN w:val="0"/>
              <w:adjustRightInd w:val="0"/>
              <w:spacing w:after="0"/>
              <w:textAlignment w:val="baseline"/>
              <w:rPr>
                <w:b/>
                <w:color w:val="000000"/>
                <w:kern w:val="32"/>
                <w:sz w:val="22"/>
                <w:szCs w:val="22"/>
                <w:lang w:val="en-GB"/>
              </w:rPr>
            </w:pPr>
            <w:r w:rsidRPr="001E6296">
              <w:rPr>
                <w:b/>
                <w:color w:val="000000"/>
                <w:kern w:val="32"/>
                <w:sz w:val="22"/>
                <w:szCs w:val="22"/>
                <w:lang w:val="en-GB"/>
              </w:rPr>
              <w:lastRenderedPageBreak/>
              <w:t>Interstitial Lung Disease (ILD)/</w:t>
            </w:r>
            <w:r w:rsidR="00860B1A" w:rsidRPr="001E6296">
              <w:rPr>
                <w:b/>
                <w:color w:val="000000"/>
                <w:kern w:val="32"/>
                <w:sz w:val="22"/>
                <w:szCs w:val="22"/>
                <w:lang w:val="en-GB"/>
              </w:rPr>
              <w:t>Pneumonitis</w:t>
            </w:r>
          </w:p>
        </w:tc>
      </w:tr>
      <w:tr w:rsidR="00860B1A" w:rsidRPr="001E6296" w14:paraId="4A710C29" w14:textId="77777777" w:rsidTr="00875F1A">
        <w:tc>
          <w:tcPr>
            <w:tcW w:w="4276" w:type="dxa"/>
            <w:shd w:val="clear" w:color="auto" w:fill="auto"/>
            <w:vAlign w:val="center"/>
          </w:tcPr>
          <w:p w14:paraId="79495E78" w14:textId="77777777" w:rsidR="00860B1A" w:rsidRPr="001E6296" w:rsidRDefault="00860B1A" w:rsidP="003D182C">
            <w:pPr>
              <w:pStyle w:val="Paragraph"/>
              <w:widowControl w:val="0"/>
              <w:spacing w:after="180"/>
              <w:ind w:left="181" w:hanging="181"/>
              <w:rPr>
                <w:kern w:val="32"/>
                <w:sz w:val="22"/>
                <w:szCs w:val="22"/>
                <w:lang w:val="en-GB"/>
              </w:rPr>
            </w:pPr>
            <w:r w:rsidRPr="001E6296">
              <w:rPr>
                <w:kern w:val="32"/>
                <w:sz w:val="22"/>
                <w:szCs w:val="22"/>
                <w:lang w:val="en-GB"/>
              </w:rPr>
              <w:t>Grade 1: Mild</w:t>
            </w:r>
          </w:p>
          <w:p w14:paraId="13CC7696" w14:textId="450AE5B5" w:rsidR="00860B1A" w:rsidRPr="001E6296" w:rsidRDefault="00860B1A" w:rsidP="003D182C">
            <w:pPr>
              <w:pStyle w:val="Paragraph"/>
              <w:widowControl w:val="0"/>
              <w:spacing w:after="180"/>
              <w:ind w:left="181" w:hanging="181"/>
              <w:rPr>
                <w:kern w:val="32"/>
                <w:sz w:val="22"/>
                <w:szCs w:val="22"/>
                <w:u w:val="single"/>
                <w:lang w:val="en-GB"/>
              </w:rPr>
            </w:pPr>
            <w:r w:rsidRPr="001E6296">
              <w:rPr>
                <w:kern w:val="32"/>
                <w:sz w:val="22"/>
                <w:szCs w:val="22"/>
                <w:u w:val="single"/>
                <w:lang w:val="en-GB"/>
              </w:rPr>
              <w:t>OR</w:t>
            </w:r>
          </w:p>
          <w:p w14:paraId="398D0C69" w14:textId="77777777" w:rsidR="00860B1A" w:rsidRPr="001E6296" w:rsidRDefault="00860B1A" w:rsidP="00860B1A">
            <w:pPr>
              <w:pStyle w:val="Paragraph"/>
              <w:widowControl w:val="0"/>
              <w:spacing w:after="0"/>
              <w:ind w:left="180" w:hanging="180"/>
              <w:rPr>
                <w:color w:val="000000"/>
                <w:kern w:val="32"/>
                <w:sz w:val="22"/>
                <w:szCs w:val="22"/>
                <w:lang w:val="en-GB"/>
              </w:rPr>
            </w:pPr>
            <w:r w:rsidRPr="001E6296">
              <w:rPr>
                <w:kern w:val="32"/>
                <w:sz w:val="22"/>
                <w:szCs w:val="22"/>
                <w:lang w:val="en-GB"/>
              </w:rPr>
              <w:t>Grade 2: Moderate</w:t>
            </w:r>
          </w:p>
        </w:tc>
        <w:tc>
          <w:tcPr>
            <w:tcW w:w="5137" w:type="dxa"/>
            <w:shd w:val="clear" w:color="auto" w:fill="auto"/>
            <w:vAlign w:val="center"/>
          </w:tcPr>
          <w:p w14:paraId="7321F474" w14:textId="77777777" w:rsidR="00187FDC" w:rsidRPr="001E6296" w:rsidRDefault="00187FDC" w:rsidP="003D182C">
            <w:pPr>
              <w:pStyle w:val="Paragraph"/>
              <w:keepNext/>
              <w:tabs>
                <w:tab w:val="left" w:pos="4247"/>
              </w:tabs>
              <w:overflowPunct w:val="0"/>
              <w:autoSpaceDE w:val="0"/>
              <w:autoSpaceDN w:val="0"/>
              <w:adjustRightInd w:val="0"/>
              <w:spacing w:after="180"/>
              <w:textAlignment w:val="baseline"/>
              <w:rPr>
                <w:kern w:val="32"/>
                <w:sz w:val="22"/>
                <w:szCs w:val="22"/>
                <w:lang w:val="en-GB"/>
              </w:rPr>
            </w:pPr>
            <w:r w:rsidRPr="001E6296">
              <w:rPr>
                <w:kern w:val="32"/>
                <w:sz w:val="22"/>
                <w:szCs w:val="22"/>
                <w:lang w:val="en-GB"/>
              </w:rPr>
              <w:t>Withhold LORVIQUA until symptoms have returned to baseline and consider initiating corticosteroids. Resume LORVIQUA at 1 reduced dose level.</w:t>
            </w:r>
          </w:p>
          <w:p w14:paraId="793A3E32" w14:textId="77777777" w:rsidR="00860B1A" w:rsidRPr="001E6296" w:rsidRDefault="00187FDC" w:rsidP="00187FDC">
            <w:pPr>
              <w:pStyle w:val="Paragraph"/>
              <w:tabs>
                <w:tab w:val="left" w:pos="4247"/>
              </w:tabs>
              <w:overflowPunct w:val="0"/>
              <w:autoSpaceDE w:val="0"/>
              <w:autoSpaceDN w:val="0"/>
              <w:adjustRightInd w:val="0"/>
              <w:spacing w:after="0"/>
              <w:textAlignment w:val="baseline"/>
              <w:rPr>
                <w:color w:val="000000"/>
                <w:kern w:val="32"/>
                <w:sz w:val="22"/>
                <w:szCs w:val="22"/>
                <w:lang w:val="en-GB"/>
              </w:rPr>
            </w:pPr>
            <w:r w:rsidRPr="001E6296">
              <w:rPr>
                <w:kern w:val="32"/>
                <w:sz w:val="22"/>
                <w:szCs w:val="22"/>
                <w:lang w:val="en-GB"/>
              </w:rPr>
              <w:t>Permanently discontinue LORVIQUA if ILD/pneumonitis recurs or fails to recover after 6 weeks of LORVIQUA hold and steroid treatment.</w:t>
            </w:r>
          </w:p>
        </w:tc>
      </w:tr>
      <w:tr w:rsidR="00205CC5" w:rsidRPr="001E6296" w14:paraId="19433A04" w14:textId="77777777" w:rsidTr="00875F1A">
        <w:tc>
          <w:tcPr>
            <w:tcW w:w="4276" w:type="dxa"/>
            <w:shd w:val="clear" w:color="auto" w:fill="auto"/>
            <w:vAlign w:val="center"/>
          </w:tcPr>
          <w:p w14:paraId="6DEC4E71" w14:textId="77777777" w:rsidR="00205CC5" w:rsidRPr="001E6296" w:rsidRDefault="00205CC5" w:rsidP="003D182C">
            <w:pPr>
              <w:pStyle w:val="Paragraph"/>
              <w:widowControl w:val="0"/>
              <w:spacing w:after="180"/>
              <w:ind w:left="181" w:hanging="181"/>
              <w:rPr>
                <w:kern w:val="32"/>
                <w:sz w:val="22"/>
                <w:szCs w:val="22"/>
                <w:lang w:val="en-GB"/>
              </w:rPr>
            </w:pPr>
            <w:r w:rsidRPr="001E6296">
              <w:rPr>
                <w:kern w:val="32"/>
                <w:sz w:val="22"/>
                <w:szCs w:val="22"/>
                <w:lang w:val="en-GB"/>
              </w:rPr>
              <w:t xml:space="preserve">Grade 3: Severe </w:t>
            </w:r>
          </w:p>
          <w:p w14:paraId="5C8CC090" w14:textId="77777777" w:rsidR="00205CC5" w:rsidRPr="001E6296" w:rsidRDefault="00205CC5" w:rsidP="003D182C">
            <w:pPr>
              <w:pStyle w:val="Paragraph"/>
              <w:widowControl w:val="0"/>
              <w:spacing w:after="180"/>
              <w:ind w:left="181" w:hanging="181"/>
              <w:rPr>
                <w:kern w:val="32"/>
                <w:sz w:val="22"/>
                <w:szCs w:val="22"/>
                <w:u w:val="single"/>
                <w:lang w:val="en-GB"/>
              </w:rPr>
            </w:pPr>
            <w:r w:rsidRPr="001E6296">
              <w:rPr>
                <w:kern w:val="32"/>
                <w:sz w:val="22"/>
                <w:szCs w:val="22"/>
                <w:u w:val="single"/>
                <w:lang w:val="en-GB"/>
              </w:rPr>
              <w:t>OR</w:t>
            </w:r>
          </w:p>
          <w:p w14:paraId="69CEE172" w14:textId="77777777" w:rsidR="00205CC5" w:rsidRPr="001E6296" w:rsidRDefault="00205CC5" w:rsidP="00205CC5">
            <w:pPr>
              <w:pStyle w:val="Paragraph"/>
              <w:widowControl w:val="0"/>
              <w:spacing w:after="0"/>
              <w:ind w:left="180" w:hanging="180"/>
              <w:rPr>
                <w:kern w:val="32"/>
                <w:sz w:val="22"/>
                <w:szCs w:val="22"/>
                <w:lang w:val="en-GB"/>
              </w:rPr>
            </w:pPr>
            <w:r w:rsidRPr="001E6296">
              <w:rPr>
                <w:kern w:val="32"/>
                <w:sz w:val="22"/>
                <w:szCs w:val="22"/>
                <w:lang w:val="en-GB"/>
              </w:rPr>
              <w:t>Grade 4: Life</w:t>
            </w:r>
            <w:r w:rsidRPr="001E6296">
              <w:rPr>
                <w:kern w:val="32"/>
                <w:sz w:val="22"/>
                <w:szCs w:val="22"/>
                <w:lang w:val="en-GB"/>
              </w:rPr>
              <w:noBreakHyphen/>
              <w:t>threatening/Urgent intervention indicated</w:t>
            </w:r>
          </w:p>
        </w:tc>
        <w:tc>
          <w:tcPr>
            <w:tcW w:w="5137" w:type="dxa"/>
            <w:shd w:val="clear" w:color="auto" w:fill="auto"/>
            <w:vAlign w:val="center"/>
          </w:tcPr>
          <w:p w14:paraId="40ABC8CD" w14:textId="385B76B3" w:rsidR="00205CC5" w:rsidRPr="001E6296" w:rsidRDefault="00205CC5" w:rsidP="00187FDC">
            <w:pPr>
              <w:pStyle w:val="Paragraph"/>
              <w:keepNext/>
              <w:tabs>
                <w:tab w:val="left" w:pos="4247"/>
              </w:tabs>
              <w:overflowPunct w:val="0"/>
              <w:autoSpaceDE w:val="0"/>
              <w:autoSpaceDN w:val="0"/>
              <w:adjustRightInd w:val="0"/>
              <w:spacing w:after="0"/>
              <w:textAlignment w:val="baseline"/>
              <w:rPr>
                <w:kern w:val="32"/>
                <w:sz w:val="22"/>
                <w:szCs w:val="22"/>
                <w:lang w:val="en-GB"/>
              </w:rPr>
            </w:pPr>
            <w:r w:rsidRPr="001E6296">
              <w:rPr>
                <w:kern w:val="32"/>
                <w:sz w:val="22"/>
                <w:szCs w:val="22"/>
                <w:lang w:val="en-GB"/>
              </w:rPr>
              <w:t>Permanently discontinue LORVIQUA.</w:t>
            </w:r>
          </w:p>
        </w:tc>
      </w:tr>
      <w:tr w:rsidR="00205CC5" w:rsidRPr="001E6296" w14:paraId="2640BE20" w14:textId="77777777" w:rsidTr="00875F1A">
        <w:tc>
          <w:tcPr>
            <w:tcW w:w="9413" w:type="dxa"/>
            <w:gridSpan w:val="2"/>
            <w:shd w:val="clear" w:color="auto" w:fill="auto"/>
            <w:vAlign w:val="center"/>
          </w:tcPr>
          <w:p w14:paraId="43156140" w14:textId="77777777" w:rsidR="00205CC5" w:rsidRPr="001E6296" w:rsidRDefault="00205CC5" w:rsidP="00187FDC">
            <w:pPr>
              <w:pStyle w:val="Paragraph"/>
              <w:keepNext/>
              <w:tabs>
                <w:tab w:val="left" w:pos="4247"/>
              </w:tabs>
              <w:overflowPunct w:val="0"/>
              <w:autoSpaceDE w:val="0"/>
              <w:autoSpaceDN w:val="0"/>
              <w:adjustRightInd w:val="0"/>
              <w:spacing w:after="0"/>
              <w:textAlignment w:val="baseline"/>
              <w:rPr>
                <w:kern w:val="32"/>
                <w:sz w:val="22"/>
                <w:szCs w:val="22"/>
                <w:lang w:val="en-GB"/>
              </w:rPr>
            </w:pPr>
            <w:r w:rsidRPr="001E6296">
              <w:rPr>
                <w:b/>
                <w:kern w:val="32"/>
                <w:sz w:val="22"/>
                <w:szCs w:val="22"/>
                <w:lang w:val="en-GB"/>
              </w:rPr>
              <w:t>PR interval prolongation/Atrioventricular (AV) block</w:t>
            </w:r>
          </w:p>
        </w:tc>
      </w:tr>
      <w:tr w:rsidR="00205CC5" w:rsidRPr="001E6296" w14:paraId="6201B970" w14:textId="77777777" w:rsidTr="00875F1A">
        <w:tc>
          <w:tcPr>
            <w:tcW w:w="4276" w:type="dxa"/>
            <w:shd w:val="clear" w:color="auto" w:fill="auto"/>
            <w:vAlign w:val="center"/>
          </w:tcPr>
          <w:p w14:paraId="1CCA9E5B" w14:textId="77777777" w:rsidR="00205CC5" w:rsidRPr="001E6296" w:rsidRDefault="00205CC5" w:rsidP="00205CC5">
            <w:pPr>
              <w:pStyle w:val="Paragraph"/>
              <w:keepNext/>
              <w:widowControl w:val="0"/>
              <w:spacing w:after="0"/>
              <w:ind w:left="180" w:hanging="180"/>
              <w:rPr>
                <w:kern w:val="32"/>
                <w:sz w:val="22"/>
                <w:szCs w:val="22"/>
                <w:lang w:val="en-GB"/>
              </w:rPr>
            </w:pPr>
            <w:r w:rsidRPr="001E6296">
              <w:rPr>
                <w:kern w:val="32"/>
                <w:sz w:val="22"/>
                <w:szCs w:val="22"/>
                <w:lang w:val="en-GB"/>
              </w:rPr>
              <w:t>First</w:t>
            </w:r>
            <w:r w:rsidRPr="001E6296">
              <w:rPr>
                <w:kern w:val="32"/>
                <w:sz w:val="22"/>
                <w:szCs w:val="22"/>
                <w:lang w:val="en-GB"/>
              </w:rPr>
              <w:noBreakHyphen/>
              <w:t>degree AV block:</w:t>
            </w:r>
          </w:p>
          <w:p w14:paraId="2429BC89" w14:textId="77777777" w:rsidR="00205CC5" w:rsidRPr="001E6296" w:rsidRDefault="00205CC5" w:rsidP="00205CC5">
            <w:pPr>
              <w:pStyle w:val="Paragraph"/>
              <w:widowControl w:val="0"/>
              <w:spacing w:after="0"/>
              <w:ind w:left="180" w:hanging="180"/>
              <w:rPr>
                <w:kern w:val="32"/>
                <w:sz w:val="22"/>
                <w:szCs w:val="22"/>
                <w:lang w:val="en-GB"/>
              </w:rPr>
            </w:pPr>
            <w:r w:rsidRPr="001E6296">
              <w:rPr>
                <w:kern w:val="32"/>
                <w:sz w:val="22"/>
                <w:szCs w:val="22"/>
                <w:lang w:val="en-GB"/>
              </w:rPr>
              <w:t>Asymptomatic</w:t>
            </w:r>
          </w:p>
        </w:tc>
        <w:tc>
          <w:tcPr>
            <w:tcW w:w="5137" w:type="dxa"/>
            <w:shd w:val="clear" w:color="auto" w:fill="auto"/>
            <w:vAlign w:val="center"/>
          </w:tcPr>
          <w:p w14:paraId="7032A570" w14:textId="77777777" w:rsidR="00205CC5" w:rsidRPr="001E6296" w:rsidRDefault="00205CC5" w:rsidP="00187FDC">
            <w:pPr>
              <w:pStyle w:val="Paragraph"/>
              <w:keepNext/>
              <w:tabs>
                <w:tab w:val="left" w:pos="4247"/>
              </w:tabs>
              <w:overflowPunct w:val="0"/>
              <w:autoSpaceDE w:val="0"/>
              <w:autoSpaceDN w:val="0"/>
              <w:adjustRightInd w:val="0"/>
              <w:spacing w:after="0"/>
              <w:textAlignment w:val="baseline"/>
              <w:rPr>
                <w:kern w:val="32"/>
                <w:sz w:val="22"/>
                <w:szCs w:val="22"/>
                <w:lang w:val="en-GB"/>
              </w:rPr>
            </w:pPr>
            <w:r w:rsidRPr="001E6296">
              <w:rPr>
                <w:sz w:val="22"/>
                <w:szCs w:val="22"/>
              </w:rPr>
              <w:t>Continue LORVIQUA at the same dose without interruption. Consider effects of concomitant medicinal products, and assess and correct electrolyte imbalance that may prolong PR interval. Monitor ECG/symptoms potentially related to heart block closely.</w:t>
            </w:r>
          </w:p>
        </w:tc>
      </w:tr>
      <w:tr w:rsidR="00205CC5" w:rsidRPr="001E6296" w14:paraId="3F8F11D4" w14:textId="77777777" w:rsidTr="00875F1A">
        <w:tc>
          <w:tcPr>
            <w:tcW w:w="4276" w:type="dxa"/>
            <w:shd w:val="clear" w:color="auto" w:fill="auto"/>
            <w:vAlign w:val="center"/>
          </w:tcPr>
          <w:p w14:paraId="7733F259" w14:textId="77777777" w:rsidR="00205CC5" w:rsidRPr="001E6296" w:rsidRDefault="00205CC5" w:rsidP="00205CC5">
            <w:pPr>
              <w:pStyle w:val="Paragraph"/>
              <w:widowControl w:val="0"/>
              <w:spacing w:after="0"/>
              <w:ind w:left="180" w:hanging="180"/>
              <w:rPr>
                <w:kern w:val="32"/>
                <w:sz w:val="22"/>
                <w:szCs w:val="22"/>
                <w:lang w:val="en-GB"/>
              </w:rPr>
            </w:pPr>
            <w:r w:rsidRPr="001E6296">
              <w:rPr>
                <w:kern w:val="32"/>
                <w:sz w:val="22"/>
                <w:szCs w:val="22"/>
                <w:lang w:val="en-GB"/>
              </w:rPr>
              <w:t>First</w:t>
            </w:r>
            <w:r w:rsidRPr="001E6296">
              <w:rPr>
                <w:kern w:val="32"/>
                <w:sz w:val="22"/>
                <w:szCs w:val="22"/>
                <w:lang w:val="en-GB"/>
              </w:rPr>
              <w:noBreakHyphen/>
              <w:t>degree AV block:</w:t>
            </w:r>
          </w:p>
          <w:p w14:paraId="1EE5396B" w14:textId="77777777" w:rsidR="00205CC5" w:rsidRPr="001E6296" w:rsidRDefault="00205CC5" w:rsidP="00205CC5">
            <w:pPr>
              <w:pStyle w:val="Paragraph"/>
              <w:widowControl w:val="0"/>
              <w:spacing w:after="0"/>
              <w:ind w:left="180" w:hanging="180"/>
              <w:rPr>
                <w:kern w:val="32"/>
                <w:sz w:val="22"/>
                <w:szCs w:val="22"/>
                <w:lang w:val="en-GB"/>
              </w:rPr>
            </w:pPr>
            <w:r w:rsidRPr="001E6296">
              <w:rPr>
                <w:kern w:val="32"/>
                <w:sz w:val="22"/>
                <w:szCs w:val="22"/>
                <w:lang w:val="en-GB"/>
              </w:rPr>
              <w:t>Symptomatic</w:t>
            </w:r>
          </w:p>
        </w:tc>
        <w:tc>
          <w:tcPr>
            <w:tcW w:w="5137" w:type="dxa"/>
            <w:shd w:val="clear" w:color="auto" w:fill="auto"/>
            <w:vAlign w:val="center"/>
          </w:tcPr>
          <w:p w14:paraId="5AD885BA" w14:textId="77777777" w:rsidR="00205CC5" w:rsidRPr="001E6296" w:rsidRDefault="00205CC5" w:rsidP="00187FDC">
            <w:pPr>
              <w:pStyle w:val="Paragraph"/>
              <w:keepNext/>
              <w:tabs>
                <w:tab w:val="left" w:pos="4247"/>
              </w:tabs>
              <w:overflowPunct w:val="0"/>
              <w:autoSpaceDE w:val="0"/>
              <w:autoSpaceDN w:val="0"/>
              <w:adjustRightInd w:val="0"/>
              <w:spacing w:after="0"/>
              <w:textAlignment w:val="baseline"/>
              <w:rPr>
                <w:kern w:val="32"/>
                <w:sz w:val="22"/>
                <w:szCs w:val="22"/>
                <w:lang w:val="en-GB"/>
              </w:rPr>
            </w:pPr>
            <w:r w:rsidRPr="001E6296">
              <w:rPr>
                <w:sz w:val="22"/>
                <w:szCs w:val="22"/>
              </w:rPr>
              <w:t>Withhold LORVIQUA. Consider effects of concomitant medicinal products, and assess and correct electrolyte imbalance that may prolong PR interval. Monitor ECG/symptoms potentially related to AV block closely. If symptoms resolve, resume LORVIQUA at 1 reduced dose level.</w:t>
            </w:r>
          </w:p>
        </w:tc>
      </w:tr>
      <w:tr w:rsidR="00205CC5" w:rsidRPr="001E6296" w14:paraId="7B1F56F3" w14:textId="77777777" w:rsidTr="00875F1A">
        <w:tc>
          <w:tcPr>
            <w:tcW w:w="4276" w:type="dxa"/>
            <w:shd w:val="clear" w:color="auto" w:fill="auto"/>
            <w:vAlign w:val="center"/>
          </w:tcPr>
          <w:p w14:paraId="6EABC303" w14:textId="77777777" w:rsidR="00205CC5" w:rsidRPr="001E6296" w:rsidRDefault="00205CC5" w:rsidP="00205CC5">
            <w:pPr>
              <w:pStyle w:val="Paragraph"/>
              <w:widowControl w:val="0"/>
              <w:spacing w:after="0"/>
              <w:ind w:left="180" w:hanging="180"/>
              <w:rPr>
                <w:kern w:val="32"/>
                <w:sz w:val="22"/>
                <w:szCs w:val="22"/>
                <w:lang w:val="en-GB"/>
              </w:rPr>
            </w:pPr>
            <w:r w:rsidRPr="001E6296">
              <w:rPr>
                <w:kern w:val="32"/>
                <w:sz w:val="22"/>
                <w:szCs w:val="22"/>
                <w:lang w:val="en-GB"/>
              </w:rPr>
              <w:t>Second</w:t>
            </w:r>
            <w:r w:rsidRPr="001E6296">
              <w:rPr>
                <w:kern w:val="32"/>
                <w:sz w:val="22"/>
                <w:szCs w:val="22"/>
                <w:lang w:val="en-GB"/>
              </w:rPr>
              <w:noBreakHyphen/>
              <w:t>degree AV block:</w:t>
            </w:r>
          </w:p>
          <w:p w14:paraId="4E65317E" w14:textId="77777777" w:rsidR="00205CC5" w:rsidRPr="001E6296" w:rsidRDefault="00205CC5" w:rsidP="00205CC5">
            <w:pPr>
              <w:pStyle w:val="Paragraph"/>
              <w:widowControl w:val="0"/>
              <w:spacing w:after="0"/>
              <w:ind w:left="180" w:hanging="180"/>
              <w:rPr>
                <w:kern w:val="32"/>
                <w:sz w:val="22"/>
                <w:szCs w:val="22"/>
                <w:lang w:val="en-GB"/>
              </w:rPr>
            </w:pPr>
            <w:r w:rsidRPr="001E6296">
              <w:rPr>
                <w:kern w:val="32"/>
                <w:sz w:val="22"/>
                <w:szCs w:val="22"/>
                <w:lang w:val="en-GB"/>
              </w:rPr>
              <w:t>Asymptomatic</w:t>
            </w:r>
          </w:p>
        </w:tc>
        <w:tc>
          <w:tcPr>
            <w:tcW w:w="5137" w:type="dxa"/>
            <w:shd w:val="clear" w:color="auto" w:fill="auto"/>
            <w:vAlign w:val="center"/>
          </w:tcPr>
          <w:p w14:paraId="1B287BBA" w14:textId="77777777" w:rsidR="00205CC5" w:rsidRPr="001E6296" w:rsidRDefault="00205CC5" w:rsidP="00187FDC">
            <w:pPr>
              <w:pStyle w:val="Paragraph"/>
              <w:keepNext/>
              <w:tabs>
                <w:tab w:val="left" w:pos="4247"/>
              </w:tabs>
              <w:overflowPunct w:val="0"/>
              <w:autoSpaceDE w:val="0"/>
              <w:autoSpaceDN w:val="0"/>
              <w:adjustRightInd w:val="0"/>
              <w:spacing w:after="0"/>
              <w:textAlignment w:val="baseline"/>
              <w:rPr>
                <w:kern w:val="32"/>
                <w:sz w:val="22"/>
                <w:szCs w:val="22"/>
                <w:lang w:val="en-GB"/>
              </w:rPr>
            </w:pPr>
            <w:r w:rsidRPr="001E6296">
              <w:rPr>
                <w:sz w:val="22"/>
                <w:szCs w:val="22"/>
              </w:rPr>
              <w:t>Withhold LORVIQUA. Consider effects of concomitant medicinal products, and assess and correct electrolyte imbalance that may prolong PR interval. Monitor ECG/symptoms potentially related to heart block closely. If subsequent ECG does not show second</w:t>
            </w:r>
            <w:r w:rsidRPr="001E6296">
              <w:rPr>
                <w:sz w:val="22"/>
                <w:szCs w:val="22"/>
              </w:rPr>
              <w:noBreakHyphen/>
              <w:t>degree AV block, resume LORVIQUA at 1 reduced dose level.</w:t>
            </w:r>
          </w:p>
        </w:tc>
      </w:tr>
      <w:tr w:rsidR="00205CC5" w:rsidRPr="001E6296" w14:paraId="47801035" w14:textId="77777777" w:rsidTr="00875F1A">
        <w:tc>
          <w:tcPr>
            <w:tcW w:w="4276" w:type="dxa"/>
            <w:shd w:val="clear" w:color="auto" w:fill="auto"/>
            <w:vAlign w:val="center"/>
          </w:tcPr>
          <w:p w14:paraId="7C5793F2" w14:textId="77777777" w:rsidR="00205CC5" w:rsidRPr="001E6296" w:rsidRDefault="00205CC5" w:rsidP="00205CC5">
            <w:pPr>
              <w:pStyle w:val="Paragraph"/>
              <w:widowControl w:val="0"/>
              <w:spacing w:after="0"/>
              <w:ind w:left="180" w:hanging="180"/>
              <w:rPr>
                <w:kern w:val="32"/>
                <w:sz w:val="22"/>
                <w:szCs w:val="22"/>
                <w:lang w:val="en-GB"/>
              </w:rPr>
            </w:pPr>
            <w:r w:rsidRPr="001E6296">
              <w:rPr>
                <w:kern w:val="32"/>
                <w:sz w:val="22"/>
                <w:szCs w:val="22"/>
                <w:lang w:val="en-GB"/>
              </w:rPr>
              <w:t>Second</w:t>
            </w:r>
            <w:r w:rsidRPr="001E6296">
              <w:rPr>
                <w:kern w:val="32"/>
                <w:sz w:val="22"/>
                <w:szCs w:val="22"/>
                <w:lang w:val="en-GB"/>
              </w:rPr>
              <w:noBreakHyphen/>
              <w:t>degree AV block:</w:t>
            </w:r>
          </w:p>
          <w:p w14:paraId="46D3ABDE" w14:textId="77777777" w:rsidR="00205CC5" w:rsidRPr="001E6296" w:rsidRDefault="00205CC5" w:rsidP="00205CC5">
            <w:pPr>
              <w:pStyle w:val="Paragraph"/>
              <w:widowControl w:val="0"/>
              <w:spacing w:after="0"/>
              <w:ind w:left="180" w:hanging="180"/>
              <w:rPr>
                <w:kern w:val="32"/>
                <w:sz w:val="22"/>
                <w:szCs w:val="22"/>
                <w:lang w:val="en-GB"/>
              </w:rPr>
            </w:pPr>
            <w:r w:rsidRPr="001E6296">
              <w:rPr>
                <w:kern w:val="32"/>
                <w:sz w:val="22"/>
                <w:szCs w:val="22"/>
                <w:lang w:val="en-GB"/>
              </w:rPr>
              <w:t>Symptomatic</w:t>
            </w:r>
          </w:p>
        </w:tc>
        <w:tc>
          <w:tcPr>
            <w:tcW w:w="5137" w:type="dxa"/>
            <w:shd w:val="clear" w:color="auto" w:fill="auto"/>
            <w:vAlign w:val="center"/>
          </w:tcPr>
          <w:p w14:paraId="41752E5A" w14:textId="77777777" w:rsidR="00205CC5" w:rsidRPr="001E6296" w:rsidRDefault="00205CC5" w:rsidP="00187FDC">
            <w:pPr>
              <w:pStyle w:val="Paragraph"/>
              <w:keepNext/>
              <w:tabs>
                <w:tab w:val="left" w:pos="4247"/>
              </w:tabs>
              <w:overflowPunct w:val="0"/>
              <w:autoSpaceDE w:val="0"/>
              <w:autoSpaceDN w:val="0"/>
              <w:adjustRightInd w:val="0"/>
              <w:spacing w:after="0"/>
              <w:textAlignment w:val="baseline"/>
              <w:rPr>
                <w:kern w:val="32"/>
                <w:sz w:val="22"/>
                <w:szCs w:val="22"/>
                <w:lang w:val="en-GB"/>
              </w:rPr>
            </w:pPr>
            <w:r w:rsidRPr="001E6296">
              <w:rPr>
                <w:sz w:val="22"/>
                <w:szCs w:val="22"/>
              </w:rPr>
              <w:t>Withhold LORVIQUA. Consider effects of concomitant medicinal products, and assess and correct electrolyte imbalance that may prolong PR interval. Refer for cardiac observation and monitoring. Consider pacemaker placement if symptomatic AV block persists. If symptoms and the second</w:t>
            </w:r>
            <w:r w:rsidRPr="001E6296">
              <w:rPr>
                <w:sz w:val="22"/>
                <w:szCs w:val="22"/>
              </w:rPr>
              <w:noBreakHyphen/>
              <w:t>degree AV block resolve or if patients revert to asymptomatic first</w:t>
            </w:r>
            <w:r w:rsidRPr="001E6296">
              <w:rPr>
                <w:sz w:val="22"/>
                <w:szCs w:val="22"/>
              </w:rPr>
              <w:noBreakHyphen/>
              <w:t>degree AV block, resume LORVIQUA at 1 reduced dose level.</w:t>
            </w:r>
          </w:p>
        </w:tc>
      </w:tr>
      <w:tr w:rsidR="00205CC5" w:rsidRPr="001E6296" w14:paraId="27FEDC37" w14:textId="77777777" w:rsidTr="00875F1A">
        <w:tc>
          <w:tcPr>
            <w:tcW w:w="4276" w:type="dxa"/>
            <w:shd w:val="clear" w:color="auto" w:fill="auto"/>
            <w:vAlign w:val="center"/>
          </w:tcPr>
          <w:p w14:paraId="16FA8F1B" w14:textId="77777777" w:rsidR="00205CC5" w:rsidRPr="001E6296" w:rsidRDefault="00205CC5" w:rsidP="00205CC5">
            <w:pPr>
              <w:pStyle w:val="Paragraph"/>
              <w:widowControl w:val="0"/>
              <w:spacing w:after="0"/>
              <w:ind w:left="180" w:hanging="180"/>
              <w:rPr>
                <w:kern w:val="32"/>
                <w:sz w:val="22"/>
                <w:szCs w:val="22"/>
                <w:lang w:val="en-GB"/>
              </w:rPr>
            </w:pPr>
            <w:r w:rsidRPr="001E6296">
              <w:rPr>
                <w:kern w:val="32"/>
                <w:sz w:val="22"/>
                <w:szCs w:val="22"/>
                <w:lang w:val="en-GB"/>
              </w:rPr>
              <w:t>Complete AV block</w:t>
            </w:r>
          </w:p>
        </w:tc>
        <w:tc>
          <w:tcPr>
            <w:tcW w:w="5137" w:type="dxa"/>
            <w:shd w:val="clear" w:color="auto" w:fill="auto"/>
            <w:vAlign w:val="center"/>
          </w:tcPr>
          <w:p w14:paraId="2550CE16" w14:textId="077B128E" w:rsidR="00856813" w:rsidRPr="001E6296" w:rsidRDefault="00205CC5" w:rsidP="00856813">
            <w:pPr>
              <w:pStyle w:val="Paragraph"/>
              <w:tabs>
                <w:tab w:val="left" w:pos="4247"/>
              </w:tabs>
              <w:overflowPunct w:val="0"/>
              <w:autoSpaceDE w:val="0"/>
              <w:autoSpaceDN w:val="0"/>
              <w:adjustRightInd w:val="0"/>
              <w:spacing w:after="0"/>
              <w:textAlignment w:val="baseline"/>
              <w:rPr>
                <w:kern w:val="32"/>
                <w:sz w:val="22"/>
                <w:szCs w:val="22"/>
                <w:lang w:val="en-GB"/>
              </w:rPr>
            </w:pPr>
            <w:r w:rsidRPr="001E6296">
              <w:rPr>
                <w:kern w:val="32"/>
                <w:sz w:val="22"/>
                <w:szCs w:val="22"/>
                <w:lang w:val="en-GB"/>
              </w:rPr>
              <w:t xml:space="preserve">Withhold LORVIQUA. </w:t>
            </w:r>
            <w:r w:rsidRPr="001E6296">
              <w:rPr>
                <w:sz w:val="22"/>
                <w:szCs w:val="22"/>
              </w:rPr>
              <w:t xml:space="preserve">Consider effects of concomitant medicinal products, and assess and correct electrolyte imbalance that may prolong PR interval. </w:t>
            </w:r>
            <w:r w:rsidRPr="001E6296">
              <w:rPr>
                <w:kern w:val="32"/>
                <w:sz w:val="22"/>
                <w:szCs w:val="22"/>
                <w:lang w:val="en-GB"/>
              </w:rPr>
              <w:t xml:space="preserve">Refer for cardiac observation and monitoring. Pacemaker placement may be indicated for severe symptoms associated with AV block. If AV block does not resolve, placement of a permanent pacemaker may </w:t>
            </w:r>
            <w:r w:rsidRPr="001E6296">
              <w:rPr>
                <w:kern w:val="32"/>
                <w:sz w:val="22"/>
                <w:szCs w:val="22"/>
                <w:lang w:val="en-GB"/>
              </w:rPr>
              <w:lastRenderedPageBreak/>
              <w:t xml:space="preserve">be considered. </w:t>
            </w:r>
            <w:r w:rsidR="0049101A" w:rsidRPr="001E6296">
              <w:rPr>
                <w:kern w:val="32"/>
                <w:sz w:val="22"/>
                <w:szCs w:val="22"/>
                <w:lang w:val="en-GB"/>
              </w:rPr>
              <w:t xml:space="preserve">If pacemaker placed, resume LORVIQUA at full dose. If no pacemaker placed, resume </w:t>
            </w:r>
            <w:r w:rsidR="0049101A" w:rsidRPr="001E6296">
              <w:rPr>
                <w:sz w:val="22"/>
                <w:szCs w:val="22"/>
              </w:rPr>
              <w:t>LORVIQUA</w:t>
            </w:r>
            <w:r w:rsidR="0049101A" w:rsidRPr="001E6296">
              <w:rPr>
                <w:kern w:val="32"/>
                <w:sz w:val="22"/>
                <w:szCs w:val="22"/>
                <w:lang w:val="en-GB"/>
              </w:rPr>
              <w:t xml:space="preserve"> at 1 reduced dose level only when symptoms resolve and PR interval is less than 200 msec.</w:t>
            </w:r>
          </w:p>
        </w:tc>
      </w:tr>
      <w:tr w:rsidR="00C605DD" w:rsidRPr="001E6296" w14:paraId="41CCFA41" w14:textId="77777777" w:rsidTr="00860B1A">
        <w:tc>
          <w:tcPr>
            <w:tcW w:w="9413" w:type="dxa"/>
            <w:gridSpan w:val="2"/>
            <w:shd w:val="clear" w:color="auto" w:fill="auto"/>
            <w:vAlign w:val="center"/>
          </w:tcPr>
          <w:p w14:paraId="7752E2A0" w14:textId="77777777" w:rsidR="00C605DD" w:rsidRPr="001E6296" w:rsidRDefault="00C605DD" w:rsidP="00FA293E">
            <w:pPr>
              <w:pStyle w:val="Paragraph"/>
              <w:tabs>
                <w:tab w:val="left" w:pos="4247"/>
              </w:tabs>
              <w:overflowPunct w:val="0"/>
              <w:autoSpaceDE w:val="0"/>
              <w:autoSpaceDN w:val="0"/>
              <w:adjustRightInd w:val="0"/>
              <w:spacing w:after="0"/>
              <w:textAlignment w:val="baseline"/>
              <w:rPr>
                <w:color w:val="000000"/>
                <w:kern w:val="32"/>
                <w:sz w:val="22"/>
                <w:szCs w:val="22"/>
                <w:lang w:val="en-GB"/>
              </w:rPr>
            </w:pPr>
            <w:r w:rsidRPr="001E6296">
              <w:rPr>
                <w:b/>
                <w:color w:val="000000"/>
                <w:kern w:val="32"/>
                <w:sz w:val="22"/>
                <w:szCs w:val="22"/>
                <w:lang w:val="en-GB"/>
              </w:rPr>
              <w:lastRenderedPageBreak/>
              <w:t>Other adverse reactions</w:t>
            </w:r>
            <w:r w:rsidRPr="001E6296">
              <w:rPr>
                <w:color w:val="000000"/>
                <w:kern w:val="32"/>
                <w:sz w:val="22"/>
                <w:szCs w:val="22"/>
                <w:vertAlign w:val="superscript"/>
                <w:lang w:val="en-GB"/>
              </w:rPr>
              <w:t>c</w:t>
            </w:r>
          </w:p>
        </w:tc>
      </w:tr>
      <w:tr w:rsidR="00856813" w:rsidRPr="001E6296" w14:paraId="3D192B5D" w14:textId="77777777" w:rsidTr="00856813">
        <w:tc>
          <w:tcPr>
            <w:tcW w:w="4276" w:type="dxa"/>
            <w:shd w:val="clear" w:color="auto" w:fill="auto"/>
            <w:vAlign w:val="center"/>
          </w:tcPr>
          <w:p w14:paraId="076CEF7D" w14:textId="12C388E3" w:rsidR="00856813" w:rsidRDefault="00856813" w:rsidP="003D182C">
            <w:pPr>
              <w:pStyle w:val="Paragraph"/>
              <w:tabs>
                <w:tab w:val="left" w:pos="4247"/>
              </w:tabs>
              <w:overflowPunct w:val="0"/>
              <w:autoSpaceDE w:val="0"/>
              <w:autoSpaceDN w:val="0"/>
              <w:adjustRightInd w:val="0"/>
              <w:spacing w:after="180"/>
              <w:textAlignment w:val="baseline"/>
              <w:rPr>
                <w:color w:val="000000"/>
                <w:kern w:val="32"/>
                <w:sz w:val="22"/>
                <w:szCs w:val="22"/>
                <w:lang w:val="en-GB"/>
              </w:rPr>
            </w:pPr>
            <w:r>
              <w:rPr>
                <w:color w:val="000000"/>
                <w:kern w:val="32"/>
                <w:sz w:val="22"/>
                <w:szCs w:val="22"/>
                <w:lang w:val="en-GB"/>
              </w:rPr>
              <w:t>Grade 1</w:t>
            </w:r>
          </w:p>
          <w:p w14:paraId="1DD472AD" w14:textId="7CFB8748" w:rsidR="00856813" w:rsidRPr="00083621" w:rsidRDefault="00856813" w:rsidP="003D182C">
            <w:pPr>
              <w:pStyle w:val="Paragraph"/>
              <w:tabs>
                <w:tab w:val="left" w:pos="4247"/>
              </w:tabs>
              <w:overflowPunct w:val="0"/>
              <w:autoSpaceDE w:val="0"/>
              <w:autoSpaceDN w:val="0"/>
              <w:adjustRightInd w:val="0"/>
              <w:spacing w:after="180"/>
              <w:textAlignment w:val="baseline"/>
              <w:rPr>
                <w:color w:val="000000"/>
                <w:kern w:val="32"/>
                <w:sz w:val="22"/>
                <w:szCs w:val="22"/>
                <w:u w:val="single"/>
                <w:lang w:val="en-GB"/>
              </w:rPr>
            </w:pPr>
            <w:r w:rsidRPr="00083621">
              <w:rPr>
                <w:color w:val="000000"/>
                <w:kern w:val="32"/>
                <w:sz w:val="22"/>
                <w:szCs w:val="22"/>
                <w:u w:val="single"/>
                <w:lang w:val="en-GB"/>
              </w:rPr>
              <w:t>OR</w:t>
            </w:r>
          </w:p>
          <w:p w14:paraId="31FB2EA9" w14:textId="30830213" w:rsidR="00856813" w:rsidRPr="00856813" w:rsidRDefault="00856813" w:rsidP="00FA293E">
            <w:pPr>
              <w:pStyle w:val="Paragraph"/>
              <w:tabs>
                <w:tab w:val="left" w:pos="4247"/>
              </w:tabs>
              <w:overflowPunct w:val="0"/>
              <w:autoSpaceDE w:val="0"/>
              <w:autoSpaceDN w:val="0"/>
              <w:adjustRightInd w:val="0"/>
              <w:spacing w:after="0"/>
              <w:textAlignment w:val="baseline"/>
              <w:rPr>
                <w:color w:val="000000"/>
                <w:kern w:val="32"/>
                <w:sz w:val="22"/>
                <w:szCs w:val="22"/>
                <w:lang w:val="en-GB"/>
              </w:rPr>
            </w:pPr>
            <w:r>
              <w:rPr>
                <w:color w:val="000000"/>
                <w:kern w:val="32"/>
                <w:sz w:val="22"/>
                <w:szCs w:val="22"/>
                <w:lang w:val="en-GB"/>
              </w:rPr>
              <w:t>Grade 2</w:t>
            </w:r>
          </w:p>
        </w:tc>
        <w:tc>
          <w:tcPr>
            <w:tcW w:w="5137" w:type="dxa"/>
            <w:shd w:val="clear" w:color="auto" w:fill="auto"/>
            <w:vAlign w:val="center"/>
          </w:tcPr>
          <w:p w14:paraId="2C831DC0" w14:textId="43DD1035" w:rsidR="00856813" w:rsidRPr="00856813" w:rsidRDefault="00856813" w:rsidP="00FA293E">
            <w:pPr>
              <w:pStyle w:val="Paragraph"/>
              <w:tabs>
                <w:tab w:val="left" w:pos="4247"/>
              </w:tabs>
              <w:overflowPunct w:val="0"/>
              <w:autoSpaceDE w:val="0"/>
              <w:autoSpaceDN w:val="0"/>
              <w:adjustRightInd w:val="0"/>
              <w:spacing w:after="0"/>
              <w:textAlignment w:val="baseline"/>
              <w:rPr>
                <w:color w:val="000000"/>
                <w:kern w:val="32"/>
                <w:sz w:val="22"/>
                <w:szCs w:val="22"/>
                <w:lang w:val="en-GB"/>
              </w:rPr>
            </w:pPr>
            <w:r w:rsidRPr="00856813">
              <w:rPr>
                <w:color w:val="000000"/>
                <w:kern w:val="32"/>
                <w:sz w:val="22"/>
                <w:szCs w:val="22"/>
                <w:lang w:val="en-GB"/>
              </w:rPr>
              <w:t>Consider no dose modification or reduce by 1 dose level, as clinically indicated.</w:t>
            </w:r>
          </w:p>
        </w:tc>
      </w:tr>
      <w:tr w:rsidR="00C605DD" w:rsidRPr="001E6296" w14:paraId="5E5764AA" w14:textId="77777777" w:rsidTr="00860B1A">
        <w:tc>
          <w:tcPr>
            <w:tcW w:w="4276" w:type="dxa"/>
            <w:shd w:val="clear" w:color="auto" w:fill="auto"/>
            <w:vAlign w:val="center"/>
          </w:tcPr>
          <w:p w14:paraId="48D25707" w14:textId="77777777" w:rsidR="00C605DD" w:rsidRPr="001E6296" w:rsidRDefault="00C605DD" w:rsidP="00FA293E">
            <w:pPr>
              <w:pStyle w:val="Paragraph"/>
              <w:widowControl w:val="0"/>
              <w:spacing w:after="0"/>
              <w:rPr>
                <w:color w:val="000000"/>
                <w:kern w:val="32"/>
                <w:sz w:val="22"/>
                <w:szCs w:val="22"/>
                <w:lang w:val="en-GB"/>
              </w:rPr>
            </w:pPr>
            <w:r w:rsidRPr="001E6296">
              <w:rPr>
                <w:color w:val="000000"/>
                <w:kern w:val="32"/>
                <w:sz w:val="22"/>
                <w:szCs w:val="22"/>
                <w:lang w:val="en-GB"/>
              </w:rPr>
              <w:t>Greater than or equal to Grade 3</w:t>
            </w:r>
          </w:p>
        </w:tc>
        <w:tc>
          <w:tcPr>
            <w:tcW w:w="5137" w:type="dxa"/>
            <w:shd w:val="clear" w:color="auto" w:fill="auto"/>
            <w:vAlign w:val="center"/>
          </w:tcPr>
          <w:p w14:paraId="48617878" w14:textId="77777777" w:rsidR="00C605DD" w:rsidRPr="001E6296" w:rsidRDefault="00C605DD" w:rsidP="00605EA5">
            <w:pPr>
              <w:pStyle w:val="Paragraph"/>
              <w:tabs>
                <w:tab w:val="left" w:pos="4247"/>
              </w:tabs>
              <w:overflowPunct w:val="0"/>
              <w:autoSpaceDE w:val="0"/>
              <w:autoSpaceDN w:val="0"/>
              <w:adjustRightInd w:val="0"/>
              <w:spacing w:after="0"/>
              <w:textAlignment w:val="baseline"/>
              <w:rPr>
                <w:color w:val="000000"/>
                <w:kern w:val="32"/>
                <w:sz w:val="22"/>
                <w:szCs w:val="22"/>
                <w:lang w:val="en-GB"/>
              </w:rPr>
            </w:pPr>
            <w:r w:rsidRPr="001E6296">
              <w:rPr>
                <w:color w:val="000000"/>
                <w:kern w:val="32"/>
                <w:sz w:val="22"/>
                <w:szCs w:val="22"/>
                <w:lang w:val="en-GB"/>
              </w:rPr>
              <w:t xml:space="preserve">Withhold </w:t>
            </w:r>
            <w:r w:rsidR="00605EA5" w:rsidRPr="001E6296">
              <w:rPr>
                <w:color w:val="000000"/>
                <w:kern w:val="32"/>
                <w:sz w:val="22"/>
                <w:szCs w:val="22"/>
                <w:lang w:val="en-AU"/>
              </w:rPr>
              <w:t>LORVIQUA</w:t>
            </w:r>
            <w:r w:rsidRPr="001E6296">
              <w:rPr>
                <w:color w:val="000000"/>
                <w:kern w:val="32"/>
                <w:sz w:val="22"/>
                <w:szCs w:val="22"/>
                <w:lang w:val="en-GB"/>
              </w:rPr>
              <w:t xml:space="preserve"> until symptoms resolve to less than or equal to Grade 2 or baseline. Then resume </w:t>
            </w:r>
            <w:r w:rsidR="00605EA5" w:rsidRPr="001E6296">
              <w:rPr>
                <w:color w:val="000000"/>
                <w:kern w:val="32"/>
                <w:sz w:val="22"/>
                <w:szCs w:val="22"/>
                <w:lang w:val="en-AU"/>
              </w:rPr>
              <w:t>LORVIQUA</w:t>
            </w:r>
            <w:r w:rsidRPr="001E6296">
              <w:rPr>
                <w:color w:val="000000"/>
                <w:kern w:val="32"/>
                <w:sz w:val="22"/>
                <w:szCs w:val="22"/>
                <w:lang w:val="en-GB"/>
              </w:rPr>
              <w:t xml:space="preserve"> at 1 reduced dose level.</w:t>
            </w:r>
          </w:p>
        </w:tc>
      </w:tr>
      <w:tr w:rsidR="00C605DD" w:rsidRPr="00663935" w14:paraId="625F34B6" w14:textId="77777777" w:rsidTr="00860B1A">
        <w:tc>
          <w:tcPr>
            <w:tcW w:w="9413" w:type="dxa"/>
            <w:gridSpan w:val="2"/>
            <w:tcBorders>
              <w:top w:val="single" w:sz="4" w:space="0" w:color="auto"/>
              <w:left w:val="nil"/>
              <w:bottom w:val="nil"/>
              <w:right w:val="nil"/>
            </w:tcBorders>
            <w:shd w:val="clear" w:color="auto" w:fill="auto"/>
          </w:tcPr>
          <w:p w14:paraId="59BDBC20" w14:textId="77777777" w:rsidR="00C605DD" w:rsidRPr="00663935" w:rsidRDefault="00C605DD" w:rsidP="00FA293E">
            <w:pPr>
              <w:pStyle w:val="Paragraph"/>
              <w:overflowPunct w:val="0"/>
              <w:autoSpaceDE w:val="0"/>
              <w:autoSpaceDN w:val="0"/>
              <w:adjustRightInd w:val="0"/>
              <w:spacing w:after="0"/>
              <w:textAlignment w:val="baseline"/>
              <w:rPr>
                <w:sz w:val="20"/>
                <w:szCs w:val="22"/>
                <w:lang w:val="en-GB"/>
              </w:rPr>
            </w:pPr>
            <w:r w:rsidRPr="00663935">
              <w:rPr>
                <w:color w:val="000000"/>
                <w:kern w:val="32"/>
                <w:sz w:val="20"/>
                <w:szCs w:val="22"/>
                <w:lang w:val="en-GB"/>
              </w:rPr>
              <w:t xml:space="preserve">Abbreviations: CNS=central nervous system; CTCAE=Common Terminology Criteria for Adverse Events; </w:t>
            </w:r>
            <w:r w:rsidR="00D72445">
              <w:rPr>
                <w:color w:val="000000"/>
                <w:kern w:val="32"/>
                <w:sz w:val="20"/>
                <w:szCs w:val="22"/>
                <w:lang w:val="en-GB"/>
              </w:rPr>
              <w:t xml:space="preserve">ECG=electrocardiogram; </w:t>
            </w:r>
            <w:r w:rsidRPr="00663935">
              <w:rPr>
                <w:color w:val="000000"/>
                <w:kern w:val="32"/>
                <w:sz w:val="20"/>
                <w:szCs w:val="22"/>
                <w:lang w:val="en-GB"/>
              </w:rPr>
              <w:t>HMG CoA=3</w:t>
            </w:r>
            <w:r>
              <w:rPr>
                <w:color w:val="000000"/>
                <w:kern w:val="32"/>
                <w:sz w:val="20"/>
                <w:szCs w:val="22"/>
                <w:lang w:val="en-GB"/>
              </w:rPr>
              <w:noBreakHyphen/>
            </w:r>
            <w:r w:rsidRPr="00663935">
              <w:rPr>
                <w:color w:val="000000"/>
                <w:kern w:val="32"/>
                <w:sz w:val="20"/>
                <w:szCs w:val="22"/>
                <w:lang w:val="en-GB"/>
              </w:rPr>
              <w:t>hydroxy</w:t>
            </w:r>
            <w:r>
              <w:rPr>
                <w:color w:val="000000"/>
                <w:kern w:val="32"/>
                <w:sz w:val="20"/>
                <w:szCs w:val="22"/>
                <w:lang w:val="en-GB"/>
              </w:rPr>
              <w:noBreakHyphen/>
            </w:r>
            <w:r w:rsidRPr="00663935">
              <w:rPr>
                <w:color w:val="000000"/>
                <w:kern w:val="32"/>
                <w:sz w:val="20"/>
                <w:szCs w:val="22"/>
                <w:lang w:val="en-GB"/>
              </w:rPr>
              <w:t>3</w:t>
            </w:r>
            <w:r>
              <w:rPr>
                <w:color w:val="000000"/>
                <w:kern w:val="32"/>
                <w:sz w:val="20"/>
                <w:szCs w:val="22"/>
                <w:lang w:val="en-GB"/>
              </w:rPr>
              <w:noBreakHyphen/>
            </w:r>
            <w:r w:rsidRPr="00663935">
              <w:rPr>
                <w:color w:val="000000"/>
                <w:kern w:val="32"/>
                <w:sz w:val="20"/>
                <w:szCs w:val="22"/>
                <w:lang w:val="en-GB"/>
              </w:rPr>
              <w:t>methylglutaryl coenzyme A; ULN=upper limit of normal</w:t>
            </w:r>
            <w:r w:rsidRPr="00663935">
              <w:rPr>
                <w:sz w:val="20"/>
                <w:szCs w:val="22"/>
                <w:lang w:val="en-GB"/>
              </w:rPr>
              <w:t>.</w:t>
            </w:r>
          </w:p>
          <w:p w14:paraId="5EE706D1" w14:textId="77777777" w:rsidR="00C605DD" w:rsidRPr="00663935" w:rsidRDefault="00C605DD" w:rsidP="00FA293E">
            <w:pPr>
              <w:pStyle w:val="Paragraph"/>
              <w:tabs>
                <w:tab w:val="left" w:pos="180"/>
              </w:tabs>
              <w:overflowPunct w:val="0"/>
              <w:autoSpaceDE w:val="0"/>
              <w:autoSpaceDN w:val="0"/>
              <w:adjustRightInd w:val="0"/>
              <w:spacing w:after="0"/>
              <w:ind w:left="180" w:hanging="180"/>
              <w:textAlignment w:val="baseline"/>
              <w:rPr>
                <w:i/>
                <w:color w:val="000000"/>
                <w:kern w:val="32"/>
                <w:sz w:val="20"/>
                <w:szCs w:val="22"/>
                <w:lang w:val="en-GB"/>
              </w:rPr>
            </w:pPr>
            <w:r w:rsidRPr="00663935">
              <w:rPr>
                <w:color w:val="000000"/>
                <w:kern w:val="32"/>
                <w:sz w:val="20"/>
                <w:szCs w:val="22"/>
                <w:vertAlign w:val="superscript"/>
                <w:lang w:val="en-GB"/>
              </w:rPr>
              <w:t>a</w:t>
            </w:r>
            <w:r w:rsidRPr="00663935">
              <w:rPr>
                <w:color w:val="000000"/>
                <w:kern w:val="32"/>
                <w:sz w:val="20"/>
                <w:szCs w:val="22"/>
                <w:vertAlign w:val="superscript"/>
                <w:lang w:val="en-GB"/>
              </w:rPr>
              <w:tab/>
            </w:r>
            <w:r w:rsidRPr="00663935">
              <w:rPr>
                <w:color w:val="000000"/>
                <w:kern w:val="32"/>
                <w:sz w:val="20"/>
                <w:szCs w:val="22"/>
                <w:lang w:val="en-GB"/>
              </w:rPr>
              <w:t>Lipid</w:t>
            </w:r>
            <w:r>
              <w:rPr>
                <w:color w:val="000000"/>
                <w:kern w:val="32"/>
                <w:sz w:val="20"/>
                <w:szCs w:val="22"/>
                <w:lang w:val="en-GB"/>
              </w:rPr>
              <w:noBreakHyphen/>
            </w:r>
            <w:r w:rsidRPr="00663935">
              <w:rPr>
                <w:color w:val="000000"/>
                <w:kern w:val="32"/>
                <w:sz w:val="20"/>
                <w:szCs w:val="22"/>
                <w:lang w:val="en-GB"/>
              </w:rPr>
              <w:t>lowering therapy may include: HMG CoA reductase inhibitor, nicotinic acid, fibric acid, or ethyl esters of omega</w:t>
            </w:r>
            <w:r>
              <w:rPr>
                <w:color w:val="000000"/>
                <w:kern w:val="32"/>
                <w:sz w:val="20"/>
                <w:szCs w:val="22"/>
                <w:lang w:val="en-GB"/>
              </w:rPr>
              <w:noBreakHyphen/>
            </w:r>
            <w:r w:rsidRPr="00663935">
              <w:rPr>
                <w:color w:val="000000"/>
                <w:kern w:val="32"/>
                <w:sz w:val="20"/>
                <w:szCs w:val="22"/>
                <w:lang w:val="en-GB"/>
              </w:rPr>
              <w:t>3 fatty acids.</w:t>
            </w:r>
          </w:p>
          <w:p w14:paraId="5FFD6F0B" w14:textId="7D01996D" w:rsidR="00C605DD" w:rsidRPr="00663935" w:rsidRDefault="00C605DD" w:rsidP="00FA293E">
            <w:pPr>
              <w:pStyle w:val="Paragraph"/>
              <w:tabs>
                <w:tab w:val="left" w:pos="195"/>
              </w:tabs>
              <w:overflowPunct w:val="0"/>
              <w:autoSpaceDE w:val="0"/>
              <w:autoSpaceDN w:val="0"/>
              <w:adjustRightInd w:val="0"/>
              <w:spacing w:after="0"/>
              <w:ind w:left="180" w:hanging="180"/>
              <w:textAlignment w:val="baseline"/>
              <w:rPr>
                <w:color w:val="000000"/>
                <w:kern w:val="32"/>
                <w:sz w:val="20"/>
                <w:szCs w:val="22"/>
                <w:lang w:val="en-GB"/>
              </w:rPr>
            </w:pPr>
            <w:r w:rsidRPr="00663935">
              <w:rPr>
                <w:color w:val="000000"/>
                <w:kern w:val="32"/>
                <w:sz w:val="20"/>
                <w:szCs w:val="22"/>
                <w:vertAlign w:val="superscript"/>
                <w:lang w:val="en-GB"/>
              </w:rPr>
              <w:t>b</w:t>
            </w:r>
            <w:r w:rsidRPr="00663935">
              <w:rPr>
                <w:color w:val="000000"/>
                <w:kern w:val="32"/>
                <w:sz w:val="20"/>
                <w:szCs w:val="22"/>
                <w:lang w:val="en-GB"/>
              </w:rPr>
              <w:tab/>
              <w:t xml:space="preserve">Examples of CNS effects comprise </w:t>
            </w:r>
            <w:r w:rsidR="00DC6084">
              <w:rPr>
                <w:color w:val="000000"/>
                <w:kern w:val="32"/>
                <w:sz w:val="20"/>
                <w:szCs w:val="22"/>
                <w:lang w:val="en-GB"/>
              </w:rPr>
              <w:t xml:space="preserve">hallucination and </w:t>
            </w:r>
            <w:r w:rsidRPr="00663935">
              <w:rPr>
                <w:color w:val="000000"/>
                <w:kern w:val="32"/>
                <w:sz w:val="20"/>
                <w:szCs w:val="22"/>
                <w:lang w:val="en-GB"/>
              </w:rPr>
              <w:t>changes in cognition</w:t>
            </w:r>
            <w:r w:rsidR="00DC6084">
              <w:rPr>
                <w:color w:val="000000"/>
                <w:kern w:val="32"/>
                <w:sz w:val="20"/>
                <w:szCs w:val="22"/>
                <w:lang w:val="en-GB"/>
              </w:rPr>
              <w:t>, mood, mental status, or speech</w:t>
            </w:r>
            <w:r w:rsidRPr="00663935">
              <w:rPr>
                <w:color w:val="000000"/>
                <w:kern w:val="32"/>
                <w:sz w:val="20"/>
                <w:szCs w:val="22"/>
                <w:lang w:val="en-GB"/>
              </w:rPr>
              <w:t xml:space="preserve"> (see</w:t>
            </w:r>
            <w:r w:rsidRPr="00663935">
              <w:rPr>
                <w:i/>
                <w:color w:val="000000"/>
                <w:kern w:val="32"/>
                <w:sz w:val="20"/>
                <w:szCs w:val="22"/>
                <w:lang w:val="en-GB"/>
              </w:rPr>
              <w:t xml:space="preserve"> </w:t>
            </w:r>
            <w:r w:rsidRPr="00663935">
              <w:rPr>
                <w:color w:val="000000"/>
                <w:kern w:val="32"/>
                <w:sz w:val="20"/>
                <w:szCs w:val="22"/>
                <w:lang w:val="en-GB"/>
              </w:rPr>
              <w:t>sections 4.4 and 4.8).</w:t>
            </w:r>
          </w:p>
          <w:p w14:paraId="1899E126" w14:textId="77777777" w:rsidR="00C605DD" w:rsidRPr="00663935" w:rsidRDefault="00C605DD" w:rsidP="00FA293E">
            <w:pPr>
              <w:pStyle w:val="Paragraph"/>
              <w:tabs>
                <w:tab w:val="left" w:pos="195"/>
              </w:tabs>
              <w:overflowPunct w:val="0"/>
              <w:autoSpaceDE w:val="0"/>
              <w:autoSpaceDN w:val="0"/>
              <w:adjustRightInd w:val="0"/>
              <w:spacing w:after="0"/>
              <w:ind w:left="180" w:hanging="180"/>
              <w:textAlignment w:val="baseline"/>
              <w:rPr>
                <w:color w:val="000000"/>
                <w:kern w:val="32"/>
                <w:sz w:val="20"/>
                <w:szCs w:val="22"/>
                <w:lang w:val="en-GB"/>
              </w:rPr>
            </w:pPr>
            <w:r w:rsidRPr="00663935">
              <w:rPr>
                <w:color w:val="000000"/>
                <w:kern w:val="32"/>
                <w:sz w:val="20"/>
                <w:szCs w:val="22"/>
                <w:vertAlign w:val="superscript"/>
                <w:lang w:val="en-GB"/>
              </w:rPr>
              <w:t>c</w:t>
            </w:r>
            <w:r w:rsidRPr="00663935">
              <w:rPr>
                <w:color w:val="000000"/>
                <w:kern w:val="32"/>
                <w:sz w:val="20"/>
                <w:szCs w:val="22"/>
                <w:lang w:val="en-GB"/>
              </w:rPr>
              <w:tab/>
              <w:t>Grade categories are based on CTCAE classifications.</w:t>
            </w:r>
          </w:p>
        </w:tc>
      </w:tr>
    </w:tbl>
    <w:p w14:paraId="1950E6DA" w14:textId="050D3CC5" w:rsidR="007830EE" w:rsidRPr="007830EE" w:rsidRDefault="004A4EB7" w:rsidP="007830EE">
      <w:pPr>
        <w:pStyle w:val="PIHeading2"/>
        <w:spacing w:before="120" w:line="240" w:lineRule="auto"/>
        <w:rPr>
          <w:i/>
        </w:rPr>
      </w:pPr>
      <w:r w:rsidRPr="007830EE">
        <w:rPr>
          <w:i/>
        </w:rPr>
        <w:t>Strong cytochrome P</w:t>
      </w:r>
      <w:r w:rsidRPr="007830EE">
        <w:rPr>
          <w:i/>
        </w:rPr>
        <w:noBreakHyphen/>
        <w:t>450 (CYP) 3A inhibitors</w:t>
      </w:r>
    </w:p>
    <w:p w14:paraId="4FB4E780" w14:textId="61746666" w:rsidR="004A4EB7" w:rsidRDefault="004A4EB7" w:rsidP="004A4EB7">
      <w:pPr>
        <w:pStyle w:val="PIHeading2"/>
        <w:rPr>
          <w:b w:val="0"/>
        </w:rPr>
      </w:pPr>
      <w:r w:rsidRPr="004A4EB7">
        <w:rPr>
          <w:b w:val="0"/>
        </w:rPr>
        <w:t>Conc</w:t>
      </w:r>
      <w:r w:rsidR="008F2D6E">
        <w:rPr>
          <w:b w:val="0"/>
        </w:rPr>
        <w:t>u</w:t>
      </w:r>
      <w:r w:rsidRPr="004A4EB7">
        <w:rPr>
          <w:b w:val="0"/>
        </w:rPr>
        <w:t xml:space="preserve">rrent use of </w:t>
      </w:r>
      <w:r w:rsidR="00605EA5" w:rsidRPr="00605EA5">
        <w:rPr>
          <w:b w:val="0"/>
          <w:lang w:val="en-AU"/>
        </w:rPr>
        <w:t>LORVIQUA</w:t>
      </w:r>
      <w:r w:rsidRPr="004A4EB7">
        <w:rPr>
          <w:b w:val="0"/>
        </w:rPr>
        <w:t xml:space="preserve"> with strong CYP3A inhibitors may increase lorlatinib plasma concentrations.</w:t>
      </w:r>
      <w:r w:rsidRPr="004A4EB7">
        <w:rPr>
          <w:b w:val="0"/>
          <w:vertAlign w:val="superscript"/>
        </w:rPr>
        <w:t xml:space="preserve"> </w:t>
      </w:r>
      <w:r w:rsidRPr="004A4EB7">
        <w:rPr>
          <w:b w:val="0"/>
        </w:rPr>
        <w:t xml:space="preserve">An alternative concomitant medicinal product with less potential to inhibit CYP3A should be considered (see </w:t>
      </w:r>
      <w:r w:rsidR="00711CA7">
        <w:rPr>
          <w:b w:val="0"/>
        </w:rPr>
        <w:t>S</w:t>
      </w:r>
      <w:r w:rsidRPr="004A4EB7">
        <w:rPr>
          <w:b w:val="0"/>
        </w:rPr>
        <w:t>ection</w:t>
      </w:r>
      <w:r w:rsidR="00D45036">
        <w:rPr>
          <w:b w:val="0"/>
        </w:rPr>
        <w:t>s</w:t>
      </w:r>
      <w:r w:rsidRPr="004A4EB7">
        <w:rPr>
          <w:b w:val="0"/>
        </w:rPr>
        <w:t> 4.5</w:t>
      </w:r>
      <w:r w:rsidR="00D45036">
        <w:rPr>
          <w:b w:val="0"/>
        </w:rPr>
        <w:t xml:space="preserve"> and 5.2</w:t>
      </w:r>
      <w:r w:rsidRPr="004A4EB7">
        <w:rPr>
          <w:b w:val="0"/>
        </w:rPr>
        <w:t>). If a strong CYP3A inhibitor must be co</w:t>
      </w:r>
      <w:r w:rsidRPr="004A4EB7">
        <w:rPr>
          <w:b w:val="0"/>
        </w:rPr>
        <w:noBreakHyphen/>
        <w:t xml:space="preserve">administered, the starting </w:t>
      </w:r>
      <w:r w:rsidR="00605EA5" w:rsidRPr="00605EA5">
        <w:rPr>
          <w:b w:val="0"/>
          <w:lang w:val="en-AU"/>
        </w:rPr>
        <w:t>LORVIQUA</w:t>
      </w:r>
      <w:r w:rsidR="00420E9B" w:rsidRPr="00420E9B">
        <w:rPr>
          <w:lang w:val="en-AU"/>
        </w:rPr>
        <w:t xml:space="preserve"> </w:t>
      </w:r>
      <w:r w:rsidRPr="004A4EB7">
        <w:rPr>
          <w:b w:val="0"/>
        </w:rPr>
        <w:t xml:space="preserve">dose of 100 mg once daily should be reduced to once daily 75 mg dose. If concurrent use of </w:t>
      </w:r>
      <w:r w:rsidR="00420E9B">
        <w:rPr>
          <w:b w:val="0"/>
        </w:rPr>
        <w:t>a</w:t>
      </w:r>
      <w:r w:rsidRPr="004A4EB7">
        <w:rPr>
          <w:b w:val="0"/>
        </w:rPr>
        <w:t xml:space="preserve"> strong CYP3A inhibitor is discontinued, </w:t>
      </w:r>
      <w:r w:rsidR="00605EA5" w:rsidRPr="00605EA5">
        <w:rPr>
          <w:b w:val="0"/>
          <w:lang w:val="en-AU"/>
        </w:rPr>
        <w:t>LORVIQUA</w:t>
      </w:r>
      <w:r w:rsidR="00420E9B" w:rsidRPr="00B1779E">
        <w:rPr>
          <w:b w:val="0"/>
          <w:lang w:val="en-AU"/>
        </w:rPr>
        <w:t xml:space="preserve"> </w:t>
      </w:r>
      <w:r w:rsidRPr="004A4EB7">
        <w:rPr>
          <w:b w:val="0"/>
        </w:rPr>
        <w:t>should be resumed at the dose used prior to the initiation of the strong CYP3A inhibitor and after a washout period of 3 to 5 half</w:t>
      </w:r>
      <w:r w:rsidRPr="004A4EB7">
        <w:rPr>
          <w:b w:val="0"/>
        </w:rPr>
        <w:noBreakHyphen/>
        <w:t>lives of the strong CYP3A inhibitor.</w:t>
      </w:r>
    </w:p>
    <w:p w14:paraId="6A21FD14" w14:textId="77777777" w:rsidR="00B61068" w:rsidRPr="007830EE" w:rsidRDefault="00B61068" w:rsidP="007830EE">
      <w:pPr>
        <w:pStyle w:val="PIHeading2"/>
        <w:spacing w:before="120" w:line="240" w:lineRule="auto"/>
        <w:rPr>
          <w:i/>
          <w:iCs/>
        </w:rPr>
      </w:pPr>
      <w:r w:rsidRPr="007830EE">
        <w:rPr>
          <w:i/>
        </w:rPr>
        <w:t>Hepatic impairment</w:t>
      </w:r>
    </w:p>
    <w:p w14:paraId="34F6D177" w14:textId="77777777" w:rsidR="00B61068" w:rsidRDefault="00B61068" w:rsidP="00B61068">
      <w:pPr>
        <w:pStyle w:val="PIHeading2"/>
        <w:rPr>
          <w:b w:val="0"/>
        </w:rPr>
      </w:pPr>
      <w:r w:rsidRPr="00B61068">
        <w:rPr>
          <w:b w:val="0"/>
        </w:rPr>
        <w:t xml:space="preserve">No dose adjustments are recommended for patients with mild hepatic impairment. Limited information is available for lorlatinib in patients with moderate or severe hepatic impairment. Therefore, </w:t>
      </w:r>
      <w:r w:rsidR="00605EA5" w:rsidRPr="00605EA5">
        <w:rPr>
          <w:b w:val="0"/>
          <w:lang w:val="en-AU"/>
        </w:rPr>
        <w:t>LORVIQUA</w:t>
      </w:r>
      <w:r w:rsidRPr="00B61068">
        <w:rPr>
          <w:b w:val="0"/>
        </w:rPr>
        <w:t xml:space="preserve"> is not recommended in patients with moderate to severe hepatic impairment (see </w:t>
      </w:r>
      <w:r w:rsidR="00035029">
        <w:rPr>
          <w:b w:val="0"/>
        </w:rPr>
        <w:t>S</w:t>
      </w:r>
      <w:r w:rsidRPr="00B61068">
        <w:rPr>
          <w:b w:val="0"/>
        </w:rPr>
        <w:t>ection 5.2).</w:t>
      </w:r>
    </w:p>
    <w:p w14:paraId="7BCE9CF7" w14:textId="77777777" w:rsidR="00F341F7" w:rsidRPr="007830EE" w:rsidRDefault="00F341F7" w:rsidP="007830EE">
      <w:pPr>
        <w:pStyle w:val="PIHeading2"/>
        <w:spacing w:before="120" w:line="240" w:lineRule="auto"/>
        <w:rPr>
          <w:i/>
        </w:rPr>
      </w:pPr>
      <w:r w:rsidRPr="007830EE">
        <w:rPr>
          <w:i/>
          <w:iCs/>
        </w:rPr>
        <w:t>Renal impairment</w:t>
      </w:r>
    </w:p>
    <w:p w14:paraId="4068AEA9" w14:textId="5813A6ED" w:rsidR="00F341F7" w:rsidRPr="00F341F7" w:rsidRDefault="00F341F7" w:rsidP="00F341F7">
      <w:pPr>
        <w:pStyle w:val="PIHeading2"/>
        <w:rPr>
          <w:b w:val="0"/>
        </w:rPr>
      </w:pPr>
      <w:r w:rsidRPr="00F341F7">
        <w:rPr>
          <w:b w:val="0"/>
        </w:rPr>
        <w:t xml:space="preserve">No dose adjustment is needed for patients with mild </w:t>
      </w:r>
      <w:r w:rsidR="00D45036">
        <w:rPr>
          <w:b w:val="0"/>
        </w:rPr>
        <w:t xml:space="preserve">or moderate </w:t>
      </w:r>
      <w:r w:rsidRPr="00F341F7">
        <w:rPr>
          <w:b w:val="0"/>
        </w:rPr>
        <w:t>(creatinine clearance [CL</w:t>
      </w:r>
      <w:r w:rsidRPr="00F341F7">
        <w:rPr>
          <w:b w:val="0"/>
          <w:vertAlign w:val="subscript"/>
        </w:rPr>
        <w:t>cr</w:t>
      </w:r>
      <w:r w:rsidRPr="00F341F7">
        <w:rPr>
          <w:b w:val="0"/>
        </w:rPr>
        <w:t xml:space="preserve">]: </w:t>
      </w:r>
      <w:r w:rsidR="00D45036">
        <w:rPr>
          <w:b w:val="0"/>
        </w:rPr>
        <w:t>≥</w:t>
      </w:r>
      <w:r w:rsidRPr="00F341F7">
        <w:rPr>
          <w:b w:val="0"/>
        </w:rPr>
        <w:t xml:space="preserve">30 mL/min) renal impairment based on a population pharmacokinetic analysis. Information for </w:t>
      </w:r>
      <w:r w:rsidR="00605EA5" w:rsidRPr="00605EA5">
        <w:rPr>
          <w:b w:val="0"/>
          <w:lang w:val="en-AU"/>
        </w:rPr>
        <w:t>LORVIQUA</w:t>
      </w:r>
      <w:r w:rsidR="00420E9B" w:rsidRPr="00F341F7">
        <w:rPr>
          <w:b w:val="0"/>
        </w:rPr>
        <w:t xml:space="preserve"> </w:t>
      </w:r>
      <w:r w:rsidRPr="00F341F7">
        <w:rPr>
          <w:b w:val="0"/>
        </w:rPr>
        <w:t>use in patients with severe (CL</w:t>
      </w:r>
      <w:r w:rsidRPr="00F341F7">
        <w:rPr>
          <w:b w:val="0"/>
          <w:vertAlign w:val="subscript"/>
        </w:rPr>
        <w:t>cr</w:t>
      </w:r>
      <w:r w:rsidRPr="00F341F7">
        <w:rPr>
          <w:b w:val="0"/>
        </w:rPr>
        <w:t xml:space="preserve">: &lt; 30 mL/min) renal impairment is limited (n=1). </w:t>
      </w:r>
      <w:r w:rsidRPr="00F341F7">
        <w:rPr>
          <w:b w:val="0"/>
        </w:rPr>
        <w:lastRenderedPageBreak/>
        <w:t xml:space="preserve">Therefore, </w:t>
      </w:r>
      <w:r w:rsidR="00605EA5" w:rsidRPr="00605EA5">
        <w:rPr>
          <w:b w:val="0"/>
          <w:lang w:val="en-AU"/>
        </w:rPr>
        <w:t>LORVIQUA</w:t>
      </w:r>
      <w:r w:rsidR="00B1779E" w:rsidRPr="00B1779E">
        <w:rPr>
          <w:lang w:val="en-AU"/>
        </w:rPr>
        <w:t xml:space="preserve"> </w:t>
      </w:r>
      <w:r w:rsidRPr="00F341F7">
        <w:rPr>
          <w:b w:val="0"/>
        </w:rPr>
        <w:t xml:space="preserve">is not recommended in patients with severe renal impairment (see </w:t>
      </w:r>
      <w:r w:rsidR="00035029">
        <w:rPr>
          <w:b w:val="0"/>
        </w:rPr>
        <w:t>S</w:t>
      </w:r>
      <w:r w:rsidRPr="00F341F7">
        <w:rPr>
          <w:b w:val="0"/>
        </w:rPr>
        <w:t>ection 5.2).</w:t>
      </w:r>
    </w:p>
    <w:p w14:paraId="0B0157D9" w14:textId="213D002F" w:rsidR="00F341F7" w:rsidRPr="007830EE" w:rsidRDefault="00F341F7" w:rsidP="007830EE">
      <w:pPr>
        <w:pStyle w:val="PIHeading2"/>
        <w:spacing w:before="120" w:line="240" w:lineRule="auto"/>
        <w:rPr>
          <w:i/>
        </w:rPr>
      </w:pPr>
      <w:r w:rsidRPr="007830EE">
        <w:rPr>
          <w:i/>
        </w:rPr>
        <w:t>Elderly (</w:t>
      </w:r>
      <w:r w:rsidR="003D182C">
        <w:rPr>
          <w:i/>
        </w:rPr>
        <w:sym w:font="Symbol" w:char="F0B3"/>
      </w:r>
      <w:r w:rsidRPr="007830EE">
        <w:rPr>
          <w:i/>
        </w:rPr>
        <w:t> 65 years)</w:t>
      </w:r>
    </w:p>
    <w:p w14:paraId="4D93DA20" w14:textId="784354A0" w:rsidR="00F341F7" w:rsidRPr="00F341F7" w:rsidRDefault="00F341F7" w:rsidP="00F341F7">
      <w:pPr>
        <w:pStyle w:val="PIHeading2"/>
        <w:rPr>
          <w:b w:val="0"/>
        </w:rPr>
      </w:pPr>
      <w:r w:rsidRPr="00F341F7">
        <w:rPr>
          <w:b w:val="0"/>
        </w:rPr>
        <w:t xml:space="preserve">The limited data on the safety and efficacy of </w:t>
      </w:r>
      <w:r w:rsidR="001678BA" w:rsidRPr="00605EA5">
        <w:rPr>
          <w:b w:val="0"/>
          <w:lang w:val="en-AU"/>
        </w:rPr>
        <w:t>LORVIQUA</w:t>
      </w:r>
      <w:r w:rsidRPr="00F341F7">
        <w:rPr>
          <w:b w:val="0"/>
        </w:rPr>
        <w:t xml:space="preserve"> in patients aged 65 years and older do not suggest that a dose adjustment is required in elderly patients (see </w:t>
      </w:r>
      <w:r w:rsidR="00035029">
        <w:rPr>
          <w:b w:val="0"/>
        </w:rPr>
        <w:t>S</w:t>
      </w:r>
      <w:r w:rsidR="003D182C">
        <w:rPr>
          <w:b w:val="0"/>
        </w:rPr>
        <w:t>ection 5.2).</w:t>
      </w:r>
    </w:p>
    <w:p w14:paraId="3C23E39A" w14:textId="77777777" w:rsidR="006D5027" w:rsidRPr="007830EE" w:rsidRDefault="006D5027" w:rsidP="007830EE">
      <w:pPr>
        <w:pStyle w:val="PIHeading2"/>
        <w:spacing w:before="120" w:line="240" w:lineRule="auto"/>
        <w:rPr>
          <w:i/>
        </w:rPr>
      </w:pPr>
      <w:r w:rsidRPr="007830EE">
        <w:rPr>
          <w:i/>
        </w:rPr>
        <w:t>Paediatric patients</w:t>
      </w:r>
    </w:p>
    <w:p w14:paraId="47DF6CF4" w14:textId="77777777" w:rsidR="00F341F7" w:rsidRPr="00B61068" w:rsidRDefault="006D5027" w:rsidP="006D5027">
      <w:pPr>
        <w:pStyle w:val="PIHeading2"/>
        <w:rPr>
          <w:b w:val="0"/>
        </w:rPr>
      </w:pPr>
      <w:r w:rsidRPr="006D5027">
        <w:rPr>
          <w:b w:val="0"/>
          <w:lang w:val="en-AU"/>
        </w:rPr>
        <w:t xml:space="preserve">The safety and efficacy of </w:t>
      </w:r>
      <w:r w:rsidR="001678BA" w:rsidRPr="00605EA5">
        <w:rPr>
          <w:b w:val="0"/>
          <w:lang w:val="en-AU"/>
        </w:rPr>
        <w:t>LORVIQUA</w:t>
      </w:r>
      <w:r w:rsidRPr="006D5027">
        <w:rPr>
          <w:b w:val="0"/>
          <w:lang w:val="en-AU"/>
        </w:rPr>
        <w:t xml:space="preserve"> in paediatric patients ha</w:t>
      </w:r>
      <w:r>
        <w:rPr>
          <w:b w:val="0"/>
          <w:lang w:val="en-AU"/>
        </w:rPr>
        <w:t>s</w:t>
      </w:r>
      <w:r w:rsidRPr="006D5027">
        <w:rPr>
          <w:b w:val="0"/>
          <w:lang w:val="en-AU"/>
        </w:rPr>
        <w:t xml:space="preserve"> not been established.</w:t>
      </w:r>
    </w:p>
    <w:p w14:paraId="61639698" w14:textId="77777777" w:rsidR="001F0699" w:rsidRPr="007876D3" w:rsidRDefault="001F0699" w:rsidP="007876D3">
      <w:pPr>
        <w:pStyle w:val="PIHeading2"/>
        <w:spacing w:before="360" w:after="240" w:line="240" w:lineRule="auto"/>
        <w:rPr>
          <w:sz w:val="28"/>
          <w:szCs w:val="28"/>
        </w:rPr>
      </w:pPr>
      <w:r w:rsidRPr="007876D3">
        <w:rPr>
          <w:sz w:val="28"/>
          <w:szCs w:val="28"/>
        </w:rPr>
        <w:t>4.3</w:t>
      </w:r>
      <w:r w:rsidRPr="007876D3">
        <w:rPr>
          <w:sz w:val="28"/>
          <w:szCs w:val="28"/>
        </w:rPr>
        <w:tab/>
      </w:r>
      <w:r w:rsidR="007876D3">
        <w:rPr>
          <w:sz w:val="28"/>
          <w:szCs w:val="28"/>
        </w:rPr>
        <w:t>C</w:t>
      </w:r>
      <w:r w:rsidR="007876D3" w:rsidRPr="007876D3">
        <w:rPr>
          <w:sz w:val="28"/>
          <w:szCs w:val="28"/>
        </w:rPr>
        <w:t>ontraindications</w:t>
      </w:r>
    </w:p>
    <w:p w14:paraId="449529C6" w14:textId="77777777" w:rsidR="003546A5" w:rsidRPr="00420E9B" w:rsidRDefault="003546A5" w:rsidP="003D182C">
      <w:pPr>
        <w:pStyle w:val="Paragraph"/>
        <w:spacing w:after="180"/>
        <w:rPr>
          <w:lang w:val="en-GB"/>
        </w:rPr>
      </w:pPr>
      <w:r w:rsidRPr="00CA0DA1">
        <w:t>Hypersensitivity to lorlatinib or to any of the excipients listed in Section 6.1.</w:t>
      </w:r>
    </w:p>
    <w:p w14:paraId="575E2904" w14:textId="04F7AA11" w:rsidR="006D5027" w:rsidRPr="00BD7E76" w:rsidRDefault="006D5027" w:rsidP="006D5027">
      <w:pPr>
        <w:pStyle w:val="Paragraph"/>
        <w:spacing w:after="0"/>
        <w:rPr>
          <w:lang w:val="en-GB"/>
        </w:rPr>
      </w:pPr>
      <w:r w:rsidRPr="00420E9B">
        <w:rPr>
          <w:lang w:val="en-GB"/>
        </w:rPr>
        <w:t>Concomitant use of strong CYP3A inducers</w:t>
      </w:r>
      <w:r w:rsidR="00711CA7" w:rsidRPr="00420E9B">
        <w:rPr>
          <w:lang w:val="en-GB"/>
        </w:rPr>
        <w:t xml:space="preserve"> with </w:t>
      </w:r>
      <w:r w:rsidR="001678BA" w:rsidRPr="00605EA5">
        <w:rPr>
          <w:lang w:val="en-AU"/>
        </w:rPr>
        <w:t>LORVIQUA</w:t>
      </w:r>
      <w:r w:rsidR="00711CA7" w:rsidRPr="00420E9B">
        <w:rPr>
          <w:lang w:val="en-GB"/>
        </w:rPr>
        <w:t xml:space="preserve"> is contraindicated</w:t>
      </w:r>
      <w:r w:rsidRPr="00420E9B">
        <w:rPr>
          <w:lang w:val="en-GB"/>
        </w:rPr>
        <w:t xml:space="preserve"> </w:t>
      </w:r>
      <w:r w:rsidR="00D45036">
        <w:t>due to the potential for serious hepatotoxicity</w:t>
      </w:r>
      <w:r w:rsidR="00D45036" w:rsidRPr="00F3524D">
        <w:t xml:space="preserve"> </w:t>
      </w:r>
      <w:r w:rsidR="00D45036" w:rsidRPr="00894D5F">
        <w:t>(</w:t>
      </w:r>
      <w:r w:rsidR="00D45036">
        <w:t>aspartate aminotransferase [</w:t>
      </w:r>
      <w:r w:rsidR="00D45036" w:rsidRPr="00894D5F">
        <w:t>AST</w:t>
      </w:r>
      <w:r w:rsidR="00D45036">
        <w:t>]</w:t>
      </w:r>
      <w:r w:rsidR="00D45036" w:rsidRPr="00894D5F">
        <w:t xml:space="preserve"> and </w:t>
      </w:r>
      <w:r w:rsidR="00D45036">
        <w:t>alanine aminotransferase [</w:t>
      </w:r>
      <w:r w:rsidR="00D45036" w:rsidRPr="00894D5F">
        <w:t>ALT</w:t>
      </w:r>
      <w:r w:rsidR="00D45036">
        <w:t>]</w:t>
      </w:r>
      <w:r w:rsidR="00D45036" w:rsidRPr="00894D5F">
        <w:t xml:space="preserve"> elevations) </w:t>
      </w:r>
      <w:r w:rsidRPr="00420E9B">
        <w:rPr>
          <w:lang w:val="en-GB"/>
        </w:rPr>
        <w:t xml:space="preserve">(see </w:t>
      </w:r>
      <w:r w:rsidR="00035029" w:rsidRPr="00420E9B">
        <w:rPr>
          <w:lang w:val="en-GB"/>
        </w:rPr>
        <w:t>S</w:t>
      </w:r>
      <w:r w:rsidRPr="00420E9B">
        <w:rPr>
          <w:lang w:val="en-GB"/>
        </w:rPr>
        <w:t>ections 4.4 and 4.5).</w:t>
      </w:r>
    </w:p>
    <w:p w14:paraId="52585BE3" w14:textId="77777777" w:rsidR="001F0699" w:rsidRPr="007876D3" w:rsidRDefault="001F0699" w:rsidP="007830EE">
      <w:pPr>
        <w:pStyle w:val="PIHeading2"/>
        <w:spacing w:before="360" w:after="240" w:line="240" w:lineRule="auto"/>
        <w:rPr>
          <w:sz w:val="28"/>
          <w:szCs w:val="28"/>
        </w:rPr>
      </w:pPr>
      <w:r w:rsidRPr="007876D3">
        <w:rPr>
          <w:sz w:val="28"/>
          <w:szCs w:val="28"/>
        </w:rPr>
        <w:t>4.4</w:t>
      </w:r>
      <w:r w:rsidRPr="007876D3">
        <w:rPr>
          <w:sz w:val="28"/>
          <w:szCs w:val="28"/>
        </w:rPr>
        <w:tab/>
      </w:r>
      <w:r w:rsidR="007876D3">
        <w:rPr>
          <w:sz w:val="28"/>
          <w:szCs w:val="28"/>
        </w:rPr>
        <w:t>Special w</w:t>
      </w:r>
      <w:r w:rsidR="007876D3" w:rsidRPr="007876D3">
        <w:rPr>
          <w:sz w:val="28"/>
          <w:szCs w:val="28"/>
        </w:rPr>
        <w:t xml:space="preserve">arnings </w:t>
      </w:r>
      <w:r w:rsidR="007876D3">
        <w:rPr>
          <w:sz w:val="28"/>
          <w:szCs w:val="28"/>
        </w:rPr>
        <w:t>a</w:t>
      </w:r>
      <w:r w:rsidR="007876D3" w:rsidRPr="007876D3">
        <w:rPr>
          <w:sz w:val="28"/>
          <w:szCs w:val="28"/>
        </w:rPr>
        <w:t xml:space="preserve">nd </w:t>
      </w:r>
      <w:r w:rsidR="007876D3">
        <w:rPr>
          <w:sz w:val="28"/>
          <w:szCs w:val="28"/>
        </w:rPr>
        <w:t>p</w:t>
      </w:r>
      <w:r w:rsidR="007876D3" w:rsidRPr="007876D3">
        <w:rPr>
          <w:sz w:val="28"/>
          <w:szCs w:val="28"/>
        </w:rPr>
        <w:t xml:space="preserve">recautions </w:t>
      </w:r>
      <w:r w:rsidR="007876D3">
        <w:rPr>
          <w:sz w:val="28"/>
          <w:szCs w:val="28"/>
        </w:rPr>
        <w:t>f</w:t>
      </w:r>
      <w:r w:rsidR="007876D3" w:rsidRPr="007876D3">
        <w:rPr>
          <w:sz w:val="28"/>
          <w:szCs w:val="28"/>
        </w:rPr>
        <w:t xml:space="preserve">or </w:t>
      </w:r>
      <w:r w:rsidR="007876D3">
        <w:rPr>
          <w:sz w:val="28"/>
          <w:szCs w:val="28"/>
        </w:rPr>
        <w:t>u</w:t>
      </w:r>
      <w:r w:rsidR="007876D3" w:rsidRPr="007876D3">
        <w:rPr>
          <w:sz w:val="28"/>
          <w:szCs w:val="28"/>
        </w:rPr>
        <w:t>se</w:t>
      </w:r>
    </w:p>
    <w:p w14:paraId="492450C7" w14:textId="68510033" w:rsidR="00E178D7" w:rsidRPr="00E178D7" w:rsidRDefault="00E178D7" w:rsidP="007830EE">
      <w:pPr>
        <w:keepNext/>
        <w:spacing w:before="240" w:after="120"/>
      </w:pPr>
      <w:r>
        <w:t>ALK-positive status should be established using a validated ALK assay.</w:t>
      </w:r>
    </w:p>
    <w:p w14:paraId="22CA00B6" w14:textId="5785F567" w:rsidR="006D5027" w:rsidRPr="007830EE" w:rsidRDefault="006D5027" w:rsidP="007830EE">
      <w:pPr>
        <w:keepNext/>
        <w:spacing w:before="240" w:after="120"/>
        <w:rPr>
          <w:b/>
        </w:rPr>
      </w:pPr>
      <w:r w:rsidRPr="007830EE">
        <w:rPr>
          <w:b/>
        </w:rPr>
        <w:t>Hyperlipid</w:t>
      </w:r>
      <w:r w:rsidR="00354CDE" w:rsidRPr="007830EE">
        <w:rPr>
          <w:b/>
        </w:rPr>
        <w:t>a</w:t>
      </w:r>
      <w:r w:rsidRPr="007830EE">
        <w:rPr>
          <w:b/>
        </w:rPr>
        <w:t>emia</w:t>
      </w:r>
    </w:p>
    <w:p w14:paraId="3A8A1983" w14:textId="2A7A6D64" w:rsidR="006D5027" w:rsidRPr="003D182C" w:rsidRDefault="006D5027" w:rsidP="006D5027">
      <w:pPr>
        <w:keepNext/>
      </w:pPr>
      <w:r w:rsidRPr="001D3DC0">
        <w:t xml:space="preserve">The use of </w:t>
      </w:r>
      <w:r w:rsidR="001678BA" w:rsidRPr="00605EA5">
        <w:t>LORVIQUA</w:t>
      </w:r>
      <w:r w:rsidR="00354CDE">
        <w:t xml:space="preserve"> </w:t>
      </w:r>
      <w:r w:rsidRPr="001D3DC0">
        <w:t xml:space="preserve">has been associated with increases in serum cholesterol and triglycerides (see </w:t>
      </w:r>
      <w:r w:rsidR="00711CA7">
        <w:t>S</w:t>
      </w:r>
      <w:r w:rsidRPr="001D3DC0">
        <w:t>ection </w:t>
      </w:r>
      <w:r w:rsidRPr="00D06C41">
        <w:t>4.8).</w:t>
      </w:r>
      <w:r w:rsidR="00682E43" w:rsidRPr="00682E43">
        <w:rPr>
          <w:szCs w:val="24"/>
        </w:rPr>
        <w:t xml:space="preserve"> </w:t>
      </w:r>
      <w:r w:rsidR="00682E43" w:rsidRPr="00097C61">
        <w:rPr>
          <w:szCs w:val="24"/>
        </w:rPr>
        <w:t xml:space="preserve">Serum cholesterol and triglycerides should be monitored before initiation </w:t>
      </w:r>
      <w:r w:rsidR="00EE28AA">
        <w:rPr>
          <w:szCs w:val="24"/>
        </w:rPr>
        <w:t>with</w:t>
      </w:r>
      <w:r w:rsidR="00682E43" w:rsidRPr="00097C61">
        <w:rPr>
          <w:szCs w:val="24"/>
        </w:rPr>
        <w:t xml:space="preserve"> </w:t>
      </w:r>
      <w:r w:rsidR="00682E43">
        <w:rPr>
          <w:szCs w:val="24"/>
        </w:rPr>
        <w:t>LORVIQUA</w:t>
      </w:r>
      <w:r w:rsidR="00EE28AA">
        <w:rPr>
          <w:szCs w:val="24"/>
        </w:rPr>
        <w:t>,</w:t>
      </w:r>
      <w:r w:rsidR="00682E43" w:rsidRPr="00097C61">
        <w:rPr>
          <w:szCs w:val="24"/>
        </w:rPr>
        <w:t xml:space="preserve"> </w:t>
      </w:r>
      <w:r w:rsidR="00EE28AA">
        <w:rPr>
          <w:szCs w:val="24"/>
        </w:rPr>
        <w:t xml:space="preserve">for </w:t>
      </w:r>
      <w:r w:rsidR="00682E43">
        <w:rPr>
          <w:szCs w:val="24"/>
        </w:rPr>
        <w:t xml:space="preserve">2, 4, and 8 weeks </w:t>
      </w:r>
      <w:r w:rsidR="00682E43" w:rsidRPr="00097C61">
        <w:rPr>
          <w:szCs w:val="24"/>
        </w:rPr>
        <w:t xml:space="preserve">after initiating </w:t>
      </w:r>
      <w:r w:rsidR="00682E43">
        <w:rPr>
          <w:szCs w:val="24"/>
        </w:rPr>
        <w:t>LORVIQUA</w:t>
      </w:r>
      <w:r w:rsidR="00682E43" w:rsidRPr="00097C61">
        <w:rPr>
          <w:szCs w:val="24"/>
        </w:rPr>
        <w:t xml:space="preserve"> and periodically thereafter</w:t>
      </w:r>
      <w:r w:rsidRPr="001D3DC0">
        <w:t>.</w:t>
      </w:r>
      <w:r w:rsidRPr="006F349F">
        <w:t xml:space="preserve"> Initiation</w:t>
      </w:r>
      <w:r w:rsidR="003546A5">
        <w:t>,</w:t>
      </w:r>
      <w:r w:rsidRPr="006F349F">
        <w:t xml:space="preserve"> or increase in the dose</w:t>
      </w:r>
      <w:r w:rsidR="003546A5">
        <w:t>,</w:t>
      </w:r>
      <w:r w:rsidRPr="006F349F">
        <w:t xml:space="preserve"> of lipid</w:t>
      </w:r>
      <w:r>
        <w:noBreakHyphen/>
      </w:r>
      <w:r w:rsidRPr="001D3DC0">
        <w:t>lowering agents is require</w:t>
      </w:r>
      <w:r w:rsidR="00035029">
        <w:t>d (see S</w:t>
      </w:r>
      <w:r w:rsidRPr="001D3DC0">
        <w:t>ection 4.2).</w:t>
      </w:r>
    </w:p>
    <w:p w14:paraId="5B02F2A4" w14:textId="735B6B3C" w:rsidR="006D5027" w:rsidRPr="007830EE" w:rsidRDefault="006D5027" w:rsidP="007830EE">
      <w:pPr>
        <w:keepNext/>
        <w:spacing w:before="240" w:after="120"/>
        <w:rPr>
          <w:b/>
          <w:szCs w:val="22"/>
        </w:rPr>
      </w:pPr>
      <w:r w:rsidRPr="007830EE">
        <w:rPr>
          <w:b/>
          <w:szCs w:val="22"/>
        </w:rPr>
        <w:t xml:space="preserve">Central </w:t>
      </w:r>
      <w:r w:rsidR="00491C60">
        <w:rPr>
          <w:b/>
          <w:szCs w:val="22"/>
        </w:rPr>
        <w:t>n</w:t>
      </w:r>
      <w:r w:rsidRPr="007830EE">
        <w:rPr>
          <w:b/>
          <w:szCs w:val="22"/>
        </w:rPr>
        <w:t xml:space="preserve">ervous </w:t>
      </w:r>
      <w:r w:rsidR="00491C60">
        <w:rPr>
          <w:b/>
          <w:szCs w:val="22"/>
        </w:rPr>
        <w:t>s</w:t>
      </w:r>
      <w:r w:rsidRPr="007830EE">
        <w:rPr>
          <w:b/>
          <w:szCs w:val="22"/>
        </w:rPr>
        <w:t xml:space="preserve">ystem </w:t>
      </w:r>
      <w:r w:rsidR="00491C60">
        <w:rPr>
          <w:b/>
          <w:szCs w:val="22"/>
        </w:rPr>
        <w:t>e</w:t>
      </w:r>
      <w:r w:rsidRPr="007830EE">
        <w:rPr>
          <w:b/>
          <w:szCs w:val="22"/>
        </w:rPr>
        <w:t>ffects</w:t>
      </w:r>
    </w:p>
    <w:p w14:paraId="1B2351F3" w14:textId="4BEBD13B" w:rsidR="006D5027" w:rsidRPr="003D182C" w:rsidRDefault="006D5027" w:rsidP="006D5027">
      <w:pPr>
        <w:keepNext/>
        <w:rPr>
          <w:szCs w:val="22"/>
        </w:rPr>
      </w:pPr>
      <w:r w:rsidRPr="001F60A1">
        <w:rPr>
          <w:szCs w:val="22"/>
        </w:rPr>
        <w:t xml:space="preserve">Central nervous system (CNS) effects have been observed in patients receiving </w:t>
      </w:r>
      <w:r w:rsidR="001678BA" w:rsidRPr="00605EA5">
        <w:t>LORVIQUA</w:t>
      </w:r>
      <w:r w:rsidR="00876880" w:rsidRPr="001F60A1">
        <w:rPr>
          <w:szCs w:val="22"/>
        </w:rPr>
        <w:t xml:space="preserve"> </w:t>
      </w:r>
      <w:r w:rsidRPr="001F60A1">
        <w:rPr>
          <w:szCs w:val="22"/>
        </w:rPr>
        <w:t xml:space="preserve">including </w:t>
      </w:r>
      <w:r w:rsidR="00CF144B">
        <w:rPr>
          <w:szCs w:val="22"/>
        </w:rPr>
        <w:t xml:space="preserve">hallucinations, </w:t>
      </w:r>
      <w:r w:rsidRPr="001F60A1">
        <w:rPr>
          <w:szCs w:val="22"/>
        </w:rPr>
        <w:t>changes in cognitive function, mood, speech</w:t>
      </w:r>
      <w:r w:rsidRPr="00E72323">
        <w:rPr>
          <w:szCs w:val="22"/>
        </w:rPr>
        <w:t>,</w:t>
      </w:r>
      <w:r w:rsidRPr="00C67025">
        <w:rPr>
          <w:szCs w:val="22"/>
        </w:rPr>
        <w:t xml:space="preserve"> </w:t>
      </w:r>
      <w:r w:rsidR="00414F5C">
        <w:rPr>
          <w:szCs w:val="22"/>
        </w:rPr>
        <w:t>and mental status changes</w:t>
      </w:r>
      <w:r w:rsidRPr="003B4C6C">
        <w:rPr>
          <w:szCs w:val="22"/>
        </w:rPr>
        <w:t xml:space="preserve"> (see </w:t>
      </w:r>
      <w:r w:rsidR="00B1779E">
        <w:rPr>
          <w:szCs w:val="22"/>
        </w:rPr>
        <w:t>S</w:t>
      </w:r>
      <w:r w:rsidRPr="003B4C6C">
        <w:rPr>
          <w:szCs w:val="22"/>
        </w:rPr>
        <w:t>ection 4.8)</w:t>
      </w:r>
      <w:r w:rsidRPr="00663935">
        <w:rPr>
          <w:szCs w:val="22"/>
        </w:rPr>
        <w:t xml:space="preserve">. </w:t>
      </w:r>
      <w:r w:rsidRPr="00663935">
        <w:rPr>
          <w:color w:val="000000"/>
          <w:kern w:val="32"/>
          <w:szCs w:val="22"/>
        </w:rPr>
        <w:t xml:space="preserve">Dose modification </w:t>
      </w:r>
      <w:r w:rsidR="00414F5C">
        <w:rPr>
          <w:color w:val="000000"/>
          <w:kern w:val="32"/>
          <w:szCs w:val="22"/>
        </w:rPr>
        <w:t xml:space="preserve">or discontinuation </w:t>
      </w:r>
      <w:r w:rsidRPr="00663935">
        <w:rPr>
          <w:color w:val="000000"/>
          <w:kern w:val="32"/>
          <w:szCs w:val="22"/>
        </w:rPr>
        <w:t>may be required for those patients who develop CNS effects</w:t>
      </w:r>
      <w:r w:rsidRPr="00663935">
        <w:rPr>
          <w:szCs w:val="22"/>
        </w:rPr>
        <w:t xml:space="preserve"> </w:t>
      </w:r>
      <w:r w:rsidR="00035029">
        <w:rPr>
          <w:szCs w:val="22"/>
        </w:rPr>
        <w:t>(see S</w:t>
      </w:r>
      <w:r w:rsidRPr="00663935">
        <w:rPr>
          <w:szCs w:val="22"/>
        </w:rPr>
        <w:t>ection 4.2).</w:t>
      </w:r>
    </w:p>
    <w:p w14:paraId="350B9EFC" w14:textId="23AC4FC8" w:rsidR="006D5027" w:rsidRPr="007830EE" w:rsidRDefault="006D5027" w:rsidP="007830EE">
      <w:pPr>
        <w:spacing w:before="240" w:after="120"/>
        <w:rPr>
          <w:b/>
        </w:rPr>
      </w:pPr>
      <w:r w:rsidRPr="007830EE">
        <w:rPr>
          <w:b/>
        </w:rPr>
        <w:t xml:space="preserve">Atrioventricular </w:t>
      </w:r>
      <w:r w:rsidR="00491C60">
        <w:rPr>
          <w:b/>
        </w:rPr>
        <w:t>b</w:t>
      </w:r>
      <w:r w:rsidRPr="007830EE">
        <w:rPr>
          <w:b/>
        </w:rPr>
        <w:t>lock</w:t>
      </w:r>
    </w:p>
    <w:p w14:paraId="19DEFCDF" w14:textId="1FB31CBC" w:rsidR="006D5027" w:rsidRDefault="006D5027" w:rsidP="006D5027">
      <w:pPr>
        <w:rPr>
          <w:szCs w:val="22"/>
        </w:rPr>
      </w:pPr>
      <w:r w:rsidRPr="00663935">
        <w:t>PR interval prolongation and AV block events have been</w:t>
      </w:r>
      <w:r w:rsidR="00B1779E">
        <w:t xml:space="preserve"> reported in patients receiving </w:t>
      </w:r>
      <w:r w:rsidR="001678BA" w:rsidRPr="00605EA5">
        <w:t>LORVIQUA</w:t>
      </w:r>
      <w:r w:rsidRPr="00663935">
        <w:t>.</w:t>
      </w:r>
      <w:r w:rsidRPr="006F349F">
        <w:t xml:space="preserve"> </w:t>
      </w:r>
      <w:r w:rsidR="00491C60" w:rsidRPr="00491C60">
        <w:t xml:space="preserve"> </w:t>
      </w:r>
      <w:r w:rsidR="00491C60" w:rsidRPr="002576CA">
        <w:t xml:space="preserve">Monitor </w:t>
      </w:r>
      <w:r w:rsidR="00491C60" w:rsidRPr="003A3FA7">
        <w:t xml:space="preserve">electrocardiogram </w:t>
      </w:r>
      <w:r w:rsidR="00491C60">
        <w:t>(</w:t>
      </w:r>
      <w:r w:rsidR="00491C60" w:rsidRPr="002576CA">
        <w:t>ECG</w:t>
      </w:r>
      <w:r w:rsidR="00491C60">
        <w:t>)</w:t>
      </w:r>
      <w:r w:rsidR="00491C60" w:rsidRPr="002576CA">
        <w:t xml:space="preserve"> prior to initiating </w:t>
      </w:r>
      <w:r w:rsidR="00491C60">
        <w:t>LORVIQUA</w:t>
      </w:r>
      <w:r w:rsidR="00491C60" w:rsidRPr="002576CA">
        <w:t xml:space="preserve"> and monthly thereafter, particularly in patients with predisposing conditions to the occurrence of clinically significant cardiac events. Dose modification may be required for those patients who develop AV block</w:t>
      </w:r>
      <w:r w:rsidRPr="001D3DC0">
        <w:rPr>
          <w:color w:val="000000"/>
          <w:kern w:val="32"/>
          <w:szCs w:val="22"/>
        </w:rPr>
        <w:t xml:space="preserve"> </w:t>
      </w:r>
      <w:r w:rsidR="00035029">
        <w:rPr>
          <w:szCs w:val="22"/>
        </w:rPr>
        <w:t>(see S</w:t>
      </w:r>
      <w:r w:rsidRPr="001D3DC0">
        <w:rPr>
          <w:szCs w:val="22"/>
        </w:rPr>
        <w:t>ection</w:t>
      </w:r>
      <w:r w:rsidR="003D182C">
        <w:rPr>
          <w:szCs w:val="22"/>
        </w:rPr>
        <w:t> 4.2).</w:t>
      </w:r>
    </w:p>
    <w:p w14:paraId="6655B26E" w14:textId="68F824DE" w:rsidR="00E178D7" w:rsidRDefault="00E178D7" w:rsidP="00BD11B3">
      <w:pPr>
        <w:keepNext/>
        <w:spacing w:before="240" w:after="120"/>
        <w:rPr>
          <w:b/>
        </w:rPr>
      </w:pPr>
      <w:r>
        <w:rPr>
          <w:b/>
        </w:rPr>
        <w:t>Lipase and amylase increase</w:t>
      </w:r>
    </w:p>
    <w:p w14:paraId="54BC75F5" w14:textId="1F97B774" w:rsidR="00E178D7" w:rsidRDefault="00E178D7" w:rsidP="00E178D7">
      <w:pPr>
        <w:rPr>
          <w:szCs w:val="22"/>
        </w:rPr>
      </w:pPr>
      <w:r>
        <w:rPr>
          <w:szCs w:val="22"/>
        </w:rPr>
        <w:t xml:space="preserve">Elevations of lipase and/or amylase have occurred in patients receiving lorlatinib (see section 4.8). Median time of occurrence of increase in serum lipase and amylase is 70 days (range: 7 to </w:t>
      </w:r>
      <w:r>
        <w:rPr>
          <w:szCs w:val="22"/>
        </w:rPr>
        <w:lastRenderedPageBreak/>
        <w:t>696 days) and 41 days (range: 7 to 489 days), respectively. Risk of pancreatitis should be considered in patients receiving lorlatinib due to concomitant hypertriglyceridaemia and/or a potential intrinsic mechanism. Patients should be monitored for lipase and amylase elevations prior to the start of lorlatinib treatment and regularly thereafter as clinicall</w:t>
      </w:r>
      <w:r w:rsidR="003D182C">
        <w:rPr>
          <w:szCs w:val="22"/>
        </w:rPr>
        <w:t>y indicated (see section 4.2).</w:t>
      </w:r>
    </w:p>
    <w:p w14:paraId="475D501E" w14:textId="03B147A2" w:rsidR="007A69FF" w:rsidRPr="00BD11B3" w:rsidRDefault="00E178D7" w:rsidP="00BD11B3">
      <w:pPr>
        <w:keepNext/>
        <w:spacing w:before="240" w:after="120"/>
        <w:rPr>
          <w:b/>
        </w:rPr>
      </w:pPr>
      <w:r>
        <w:rPr>
          <w:b/>
        </w:rPr>
        <w:t>Interstitial lung disease (ILD)/</w:t>
      </w:r>
      <w:r w:rsidR="003D182C">
        <w:rPr>
          <w:b/>
        </w:rPr>
        <w:t>Pneumonitis</w:t>
      </w:r>
    </w:p>
    <w:p w14:paraId="1EF9B66C" w14:textId="606A9720" w:rsidR="007A69FF" w:rsidRDefault="007A69FF" w:rsidP="005A69E3">
      <w:pPr>
        <w:keepNext/>
      </w:pPr>
      <w:r>
        <w:t>Severe or life-threatening pulmonary adverse reactions consistent with pneumonitis have occurred with lorlatinib (see Section 4.8). Any patient who presents with worsening of respiratory symptoms indicative of pneumonitis (e.g. dyspn</w:t>
      </w:r>
      <w:r w:rsidR="003B6F68">
        <w:t>o</w:t>
      </w:r>
      <w:r>
        <w:t>ea, cough, and fever) should be promptly evaluated for pneumonitis. LORVIQUA should be withheld and/or permanently discontinued based on severity (see Section 4.2).</w:t>
      </w:r>
    </w:p>
    <w:p w14:paraId="6CD80ECB" w14:textId="476F118D" w:rsidR="006D5027" w:rsidRDefault="00592919" w:rsidP="00B47781">
      <w:pPr>
        <w:spacing w:before="240" w:after="120"/>
        <w:outlineLvl w:val="0"/>
        <w:rPr>
          <w:b/>
          <w:szCs w:val="22"/>
        </w:rPr>
      </w:pPr>
      <w:r>
        <w:rPr>
          <w:b/>
          <w:szCs w:val="22"/>
        </w:rPr>
        <w:t>Risk of serious hepatotoxicity with concomitant use of strong CYP3A inducers</w:t>
      </w:r>
    </w:p>
    <w:p w14:paraId="37BC7F7A" w14:textId="0995C298" w:rsidR="006D5027" w:rsidRDefault="006D5027" w:rsidP="003D182C">
      <w:pPr>
        <w:spacing w:after="180"/>
        <w:outlineLvl w:val="0"/>
      </w:pPr>
      <w:r w:rsidRPr="001F60A1">
        <w:rPr>
          <w:szCs w:val="22"/>
        </w:rPr>
        <w:t xml:space="preserve">In a study conducted in healthy volunteers, the concomitant use of </w:t>
      </w:r>
      <w:r w:rsidR="001678BA" w:rsidRPr="00605EA5">
        <w:t>LORVIQUA</w:t>
      </w:r>
      <w:r w:rsidR="00876880">
        <w:rPr>
          <w:szCs w:val="22"/>
        </w:rPr>
        <w:t xml:space="preserve"> </w:t>
      </w:r>
      <w:r w:rsidRPr="001F60A1">
        <w:rPr>
          <w:szCs w:val="22"/>
        </w:rPr>
        <w:t>and rifampi</w:t>
      </w:r>
      <w:r w:rsidR="00354CDE">
        <w:rPr>
          <w:szCs w:val="22"/>
        </w:rPr>
        <w:t>cin</w:t>
      </w:r>
      <w:r w:rsidRPr="001F60A1">
        <w:rPr>
          <w:szCs w:val="22"/>
        </w:rPr>
        <w:t xml:space="preserve">, a strong CYP3A inducer, was associated with increases of ALT and AST with no increase of total bilirubin and alkaline phosphatase (see </w:t>
      </w:r>
      <w:r w:rsidR="00B1779E">
        <w:rPr>
          <w:szCs w:val="22"/>
        </w:rPr>
        <w:t>S</w:t>
      </w:r>
      <w:r w:rsidRPr="001F60A1">
        <w:rPr>
          <w:szCs w:val="22"/>
        </w:rPr>
        <w:t>ection 4.5)</w:t>
      </w:r>
      <w:r w:rsidRPr="001F60A1">
        <w:t>.</w:t>
      </w:r>
      <w:r w:rsidRPr="006F349F">
        <w:t xml:space="preserve"> </w:t>
      </w:r>
      <w:r w:rsidRPr="006F349F">
        <w:rPr>
          <w:szCs w:val="22"/>
        </w:rPr>
        <w:t>Concomitant use of a strong CYP3A</w:t>
      </w:r>
      <w:r w:rsidRPr="001D3DC0">
        <w:rPr>
          <w:szCs w:val="22"/>
        </w:rPr>
        <w:t xml:space="preserve"> i</w:t>
      </w:r>
      <w:r w:rsidR="00035029">
        <w:rPr>
          <w:szCs w:val="22"/>
        </w:rPr>
        <w:t>nducer is contraindicated (see S</w:t>
      </w:r>
      <w:r w:rsidRPr="001D3DC0">
        <w:rPr>
          <w:szCs w:val="22"/>
        </w:rPr>
        <w:t>ections 4.3 and 4.5).</w:t>
      </w:r>
      <w:r w:rsidR="00B058E9">
        <w:rPr>
          <w:szCs w:val="22"/>
        </w:rPr>
        <w:t xml:space="preserve"> </w:t>
      </w:r>
      <w:r w:rsidR="00B058E9">
        <w:t xml:space="preserve">Any </w:t>
      </w:r>
      <w:r w:rsidR="00B058E9" w:rsidRPr="00C30FBA">
        <w:t>strong CYP3A inducers</w:t>
      </w:r>
      <w:r w:rsidR="00B058E9">
        <w:t xml:space="preserve"> have to be discontinued for at least </w:t>
      </w:r>
      <w:r w:rsidR="00B058E9" w:rsidRPr="00C30FBA">
        <w:t>3 plasma half-lives</w:t>
      </w:r>
      <w:r w:rsidR="00B058E9">
        <w:t xml:space="preserve"> of the strong CYP3A inducer before LORVIQUA treatment is started.</w:t>
      </w:r>
    </w:p>
    <w:p w14:paraId="750BA786" w14:textId="77777777" w:rsidR="00592919" w:rsidRDefault="00592919" w:rsidP="003D182C">
      <w:pPr>
        <w:spacing w:after="180"/>
        <w:outlineLvl w:val="0"/>
      </w:pPr>
      <w:r>
        <w:t xml:space="preserve">Avoid concomitant use of LORVIQUA with moderate CYP3A inducers. If concomitant use of moderate CYP3A inducers cannot be avoided, monitor AST, ALT, and bilirubin 48 hours after initiating LORVIQUA and at least 3 times during the first week after initiating LORVIQUA. </w:t>
      </w:r>
    </w:p>
    <w:p w14:paraId="76F585C8" w14:textId="77777777" w:rsidR="00592919" w:rsidRPr="003D182C" w:rsidRDefault="00592919" w:rsidP="00592919">
      <w:pPr>
        <w:outlineLvl w:val="0"/>
      </w:pPr>
      <w:r>
        <w:t>Depending upon the relative importance of each drug, discontinue LORVIQUA or the CYP3A inducer for persistent Grade 2 or higher hepatotoxicity</w:t>
      </w:r>
      <w:r w:rsidRPr="003D182C">
        <w:t>.</w:t>
      </w:r>
    </w:p>
    <w:p w14:paraId="41061504" w14:textId="77777777" w:rsidR="004B07D5" w:rsidRPr="00BD11B3" w:rsidRDefault="004B07D5" w:rsidP="00BD11B3">
      <w:pPr>
        <w:spacing w:before="240" w:after="120"/>
        <w:rPr>
          <w:b/>
        </w:rPr>
      </w:pPr>
      <w:r w:rsidRPr="00BD11B3">
        <w:rPr>
          <w:b/>
        </w:rPr>
        <w:t>Fertility and pregnancy</w:t>
      </w:r>
    </w:p>
    <w:p w14:paraId="25400851" w14:textId="38648FC5" w:rsidR="004B07D5" w:rsidRDefault="004B07D5" w:rsidP="003D182C">
      <w:pPr>
        <w:spacing w:after="180"/>
      </w:pPr>
      <w:r w:rsidRPr="00693307">
        <w:t>Based on animal data and mechanism of action</w:t>
      </w:r>
      <w:r>
        <w:t>,</w:t>
      </w:r>
      <w:r w:rsidRPr="00693307">
        <w:t xml:space="preserve"> there is a risk of fetal</w:t>
      </w:r>
      <w:r>
        <w:t xml:space="preserve"> harm if exposed to LORVIQUA (see Sections 5.1 and 5.3). </w:t>
      </w:r>
      <w:r w:rsidRPr="00693307">
        <w:t xml:space="preserve">Women of childbearing potential should be advised to avoid becoming pregnant while receiving </w:t>
      </w:r>
      <w:r>
        <w:t>LORVIQUA</w:t>
      </w:r>
      <w:r w:rsidRPr="00693307">
        <w:t>. A</w:t>
      </w:r>
      <w:r>
        <w:t xml:space="preserve"> highly</w:t>
      </w:r>
      <w:r w:rsidRPr="00693307">
        <w:t xml:space="preserve"> effective non-hormonal method of contraception is required for female patients during treatment with </w:t>
      </w:r>
      <w:r>
        <w:t>LORVIQUA because lorlatinib can render hormonal contraceptives ineffective (see Sections 4.5 and 4.6). If a hormonal method of contraception is unavoidable, then a condom must be used in combination with the hormonal method.</w:t>
      </w:r>
      <w:r>
        <w:rPr>
          <w:noProof/>
          <w:szCs w:val="22"/>
        </w:rPr>
        <w:t xml:space="preserve"> Effective contraception must be continued</w:t>
      </w:r>
      <w:r w:rsidRPr="00693307">
        <w:t xml:space="preserve"> for at least </w:t>
      </w:r>
      <w:r w:rsidRPr="00970C92">
        <w:t>21 days</w:t>
      </w:r>
      <w:r w:rsidR="003D182C">
        <w:t xml:space="preserve"> after completing therapy.</w:t>
      </w:r>
    </w:p>
    <w:p w14:paraId="212FE9B2" w14:textId="57FE0F2F" w:rsidR="004B07D5" w:rsidRPr="003D182C" w:rsidRDefault="004B07D5" w:rsidP="00811241">
      <w:r w:rsidRPr="00693307">
        <w:t xml:space="preserve">During treatment with </w:t>
      </w:r>
      <w:r>
        <w:t>LORVIQUA</w:t>
      </w:r>
      <w:r w:rsidRPr="00693307">
        <w:t xml:space="preserve"> and for at least </w:t>
      </w:r>
      <w:r w:rsidR="00970C92">
        <w:t>14 weeks</w:t>
      </w:r>
      <w:r w:rsidRPr="00693307">
        <w:t xml:space="preserve"> after the final dose, </w:t>
      </w:r>
      <w:r w:rsidRPr="0019105E">
        <w:t>male patients with female partners of reproductive potential must use effective contraception, including a condom, and male patients with pregnant partners mus</w:t>
      </w:r>
      <w:r>
        <w:t xml:space="preserve">t use condoms (see </w:t>
      </w:r>
      <w:r w:rsidRPr="0035697E">
        <w:t>S</w:t>
      </w:r>
      <w:r>
        <w:t>ection 4.6)</w:t>
      </w:r>
      <w:r w:rsidRPr="00693307">
        <w:t>.</w:t>
      </w:r>
      <w:r w:rsidR="009E0838">
        <w:t xml:space="preserve"> </w:t>
      </w:r>
      <w:r w:rsidRPr="00742387">
        <w:t>M</w:t>
      </w:r>
      <w:r w:rsidRPr="0019105E">
        <w:t xml:space="preserve">ale fertility may be compromised during treatment with </w:t>
      </w:r>
      <w:r w:rsidR="009E0838">
        <w:t>LORVIQUA</w:t>
      </w:r>
      <w:r w:rsidRPr="0019105E">
        <w:t xml:space="preserve"> (see </w:t>
      </w:r>
      <w:r w:rsidRPr="0035697E">
        <w:t>S</w:t>
      </w:r>
      <w:r w:rsidRPr="0019105E">
        <w:t>ection 5.3). Men should seek advice on effective fertility preservation before treatment.</w:t>
      </w:r>
    </w:p>
    <w:p w14:paraId="3FAF6041" w14:textId="77777777" w:rsidR="002643F1" w:rsidRPr="004E65A1" w:rsidRDefault="002643F1" w:rsidP="007830EE">
      <w:pPr>
        <w:pStyle w:val="PIHeading2"/>
        <w:spacing w:before="360" w:after="240" w:line="240" w:lineRule="auto"/>
      </w:pPr>
      <w:r w:rsidRPr="007876D3">
        <w:rPr>
          <w:sz w:val="28"/>
          <w:szCs w:val="28"/>
        </w:rPr>
        <w:lastRenderedPageBreak/>
        <w:t>4.5</w:t>
      </w:r>
      <w:r w:rsidRPr="007876D3">
        <w:rPr>
          <w:sz w:val="28"/>
          <w:szCs w:val="28"/>
        </w:rPr>
        <w:tab/>
      </w:r>
      <w:r w:rsidR="007876D3">
        <w:rPr>
          <w:sz w:val="28"/>
          <w:szCs w:val="28"/>
        </w:rPr>
        <w:t>I</w:t>
      </w:r>
      <w:r w:rsidR="007876D3" w:rsidRPr="007830EE">
        <w:rPr>
          <w:sz w:val="28"/>
          <w:szCs w:val="28"/>
        </w:rPr>
        <w:t>nteractions with other medicines and other forms of interaction</w:t>
      </w:r>
    </w:p>
    <w:p w14:paraId="460C6B04" w14:textId="77777777" w:rsidR="00876880" w:rsidRPr="00A0555C" w:rsidRDefault="00876880" w:rsidP="00876880">
      <w:pPr>
        <w:pStyle w:val="CommentText"/>
        <w:rPr>
          <w:sz w:val="24"/>
          <w:szCs w:val="24"/>
        </w:rPr>
      </w:pPr>
      <w:r w:rsidRPr="00A0555C">
        <w:rPr>
          <w:i/>
          <w:iCs/>
          <w:sz w:val="24"/>
          <w:szCs w:val="24"/>
        </w:rPr>
        <w:t>In vitro</w:t>
      </w:r>
      <w:r w:rsidRPr="00A0555C">
        <w:rPr>
          <w:sz w:val="24"/>
          <w:szCs w:val="24"/>
        </w:rPr>
        <w:t xml:space="preserve"> data indicate that lorlatinib is </w:t>
      </w:r>
      <w:bookmarkStart w:id="0" w:name="_Toc274663624"/>
      <w:r w:rsidRPr="00A0555C">
        <w:rPr>
          <w:sz w:val="24"/>
          <w:szCs w:val="24"/>
        </w:rPr>
        <w:t>primarily metabolized by CYP3A4</w:t>
      </w:r>
      <w:r>
        <w:rPr>
          <w:sz w:val="24"/>
          <w:szCs w:val="24"/>
        </w:rPr>
        <w:t xml:space="preserve"> </w:t>
      </w:r>
      <w:r w:rsidRPr="00A0555C">
        <w:rPr>
          <w:sz w:val="24"/>
          <w:szCs w:val="24"/>
        </w:rPr>
        <w:t>and uridine diphosphate-glucuronosyltransferase (UGT) 1A4, with minor contributions from CYP2C8, CYP2C19, CYP3A5, and UGT1A3.</w:t>
      </w:r>
    </w:p>
    <w:p w14:paraId="65724447" w14:textId="2D331ABC" w:rsidR="00876880" w:rsidRPr="002905BA" w:rsidRDefault="00876880" w:rsidP="002905BA">
      <w:pPr>
        <w:pStyle w:val="Paragraph"/>
        <w:keepNext/>
        <w:spacing w:before="240" w:after="120"/>
        <w:rPr>
          <w:b/>
        </w:rPr>
      </w:pPr>
      <w:r w:rsidRPr="002905BA">
        <w:rPr>
          <w:b/>
        </w:rPr>
        <w:t>CYP3A inhibitors</w:t>
      </w:r>
      <w:bookmarkStart w:id="1" w:name="_Toc274663625"/>
      <w:bookmarkEnd w:id="0"/>
    </w:p>
    <w:p w14:paraId="6BB25119" w14:textId="2CD961C3" w:rsidR="00876880" w:rsidRPr="00876880" w:rsidRDefault="00876880" w:rsidP="00876880">
      <w:pPr>
        <w:pStyle w:val="Paragraph"/>
        <w:keepNext/>
        <w:spacing w:after="0"/>
        <w:rPr>
          <w:u w:val="single"/>
        </w:rPr>
      </w:pPr>
      <w:r w:rsidRPr="00F3524D">
        <w:t>Itraconazole, a strong inhibitor of CYP3A, administered at a dose of 200 mg once daily for 5 days, increased the mean area under the curve (AUC) 42% and C</w:t>
      </w:r>
      <w:r w:rsidRPr="00F3524D">
        <w:rPr>
          <w:vertAlign w:val="subscript"/>
        </w:rPr>
        <w:t>max</w:t>
      </w:r>
      <w:r w:rsidRPr="00F3524D">
        <w:t xml:space="preserve"> 24% of a single 100</w:t>
      </w:r>
      <w:r>
        <w:t> </w:t>
      </w:r>
      <w:r w:rsidRPr="00F3524D">
        <w:t xml:space="preserve">mg oral dose </w:t>
      </w:r>
      <w:r w:rsidRPr="00A0555C">
        <w:t>of lorlatinib in healthy volunteers.</w:t>
      </w:r>
      <w:r w:rsidRPr="00A0555C">
        <w:rPr>
          <w:bCs/>
          <w:color w:val="0000FF"/>
        </w:rPr>
        <w:t xml:space="preserve"> </w:t>
      </w:r>
      <w:r w:rsidRPr="00A0555C">
        <w:t>Concomitant</w:t>
      </w:r>
      <w:r w:rsidRPr="00F3524D">
        <w:t xml:space="preserve"> administration of </w:t>
      </w:r>
      <w:r w:rsidR="001678BA" w:rsidRPr="00605EA5">
        <w:rPr>
          <w:lang w:val="en-AU"/>
        </w:rPr>
        <w:t>LORVIQUA</w:t>
      </w:r>
      <w:r w:rsidRPr="00F3524D">
        <w:t xml:space="preserve"> with strong CYP3A inhibitors (e</w:t>
      </w:r>
      <w:r>
        <w:t>.</w:t>
      </w:r>
      <w:r w:rsidRPr="00F3524D">
        <w:t xml:space="preserve">g., boceprevir, cobicistat, conivaptan, itraconazole, ketoconazole, posaconazole, telaprevir, </w:t>
      </w:r>
      <w:r w:rsidRPr="00A0555C">
        <w:t>troleandomycin</w:t>
      </w:r>
      <w:r w:rsidRPr="00F803EF">
        <w:t>,</w:t>
      </w:r>
      <w:r w:rsidRPr="00F3524D">
        <w:t xml:space="preserve"> voriconazole, ritonavir, paritaprevir in combination with ritonavir and ombitasvir and/or dasabuvir, and ritonavir in combination with either</w:t>
      </w:r>
      <w:r w:rsidR="00CA0DA1">
        <w:t xml:space="preserve"> </w:t>
      </w:r>
      <w:r w:rsidRPr="00F3524D">
        <w:t>danoprevir, elvitegravir, indinavir, lopinavir</w:t>
      </w:r>
      <w:r w:rsidR="00077D91">
        <w:t xml:space="preserve">, </w:t>
      </w:r>
      <w:r w:rsidR="00077D91" w:rsidRPr="005E779C">
        <w:t>saquinavir</w:t>
      </w:r>
      <w:r w:rsidR="00077D91">
        <w:t>,</w:t>
      </w:r>
      <w:r w:rsidR="00077D91" w:rsidRPr="00F3524D">
        <w:t xml:space="preserve"> </w:t>
      </w:r>
      <w:r w:rsidRPr="00F3524D">
        <w:t>or tipranavir) may increase lorlatinib plasma concentrations.</w:t>
      </w:r>
      <w:r w:rsidRPr="00F3524D">
        <w:rPr>
          <w:rStyle w:val="superscriptChar"/>
        </w:rPr>
        <w:t xml:space="preserve"> </w:t>
      </w:r>
      <w:r w:rsidRPr="00F3524D">
        <w:t>Grapefruit products may also increase lorlatinib plasma concentrations.</w:t>
      </w:r>
      <w:r w:rsidRPr="00F3524D">
        <w:rPr>
          <w:rFonts w:eastAsia="MS Mincho"/>
        </w:rPr>
        <w:t xml:space="preserve"> </w:t>
      </w:r>
      <w:r w:rsidRPr="00876880">
        <w:rPr>
          <w:rStyle w:val="superscriptChar"/>
          <w:vertAlign w:val="baseline"/>
        </w:rPr>
        <w:t>An alternative concomitant medicinal product with less potential to inhibit CYP3A should be considered</w:t>
      </w:r>
      <w:r w:rsidRPr="00F3524D">
        <w:rPr>
          <w:rStyle w:val="superscriptChar"/>
        </w:rPr>
        <w:t>.</w:t>
      </w:r>
      <w:r w:rsidRPr="00F3524D">
        <w:t xml:space="preserve"> If a strong CYP3A inhibitor must be concomitantly administered, a dose reduction of </w:t>
      </w:r>
      <w:r w:rsidR="001678BA" w:rsidRPr="00605EA5">
        <w:rPr>
          <w:lang w:val="en-AU"/>
        </w:rPr>
        <w:t>LORVIQUA</w:t>
      </w:r>
      <w:r w:rsidR="00354CDE">
        <w:t xml:space="preserve"> </w:t>
      </w:r>
      <w:r w:rsidRPr="00F3524D">
        <w:t>is recommended</w:t>
      </w:r>
      <w:r w:rsidRPr="00F3524D">
        <w:rPr>
          <w:rStyle w:val="superscriptChar"/>
          <w:b/>
        </w:rPr>
        <w:t xml:space="preserve"> </w:t>
      </w:r>
      <w:r w:rsidRPr="00F3524D">
        <w:rPr>
          <w:rFonts w:eastAsia="MS Mincho"/>
        </w:rPr>
        <w:t xml:space="preserve">(see </w:t>
      </w:r>
      <w:r>
        <w:rPr>
          <w:rFonts w:eastAsia="MS Mincho"/>
        </w:rPr>
        <w:t>S</w:t>
      </w:r>
      <w:r w:rsidRPr="00F3524D">
        <w:rPr>
          <w:rFonts w:eastAsia="MS Mincho"/>
        </w:rPr>
        <w:t>ection </w:t>
      </w:r>
      <w:r w:rsidRPr="00F3524D">
        <w:t>4.2).</w:t>
      </w:r>
    </w:p>
    <w:p w14:paraId="32DE2F35" w14:textId="2A882F3D" w:rsidR="00876880" w:rsidRPr="002905BA" w:rsidRDefault="00876880" w:rsidP="002905BA">
      <w:pPr>
        <w:pStyle w:val="Paragraph"/>
        <w:spacing w:before="240" w:after="120"/>
        <w:rPr>
          <w:b/>
        </w:rPr>
      </w:pPr>
      <w:r w:rsidRPr="002905BA">
        <w:rPr>
          <w:b/>
        </w:rPr>
        <w:t>CYP3A inducers</w:t>
      </w:r>
      <w:bookmarkEnd w:id="1"/>
    </w:p>
    <w:p w14:paraId="10C5D94D" w14:textId="69A2E753" w:rsidR="00876880" w:rsidRPr="00876880" w:rsidRDefault="00876880" w:rsidP="00876880">
      <w:pPr>
        <w:pStyle w:val="Paragraph"/>
        <w:spacing w:after="0"/>
      </w:pPr>
      <w:r w:rsidRPr="00F3524D">
        <w:t>Rifampi</w:t>
      </w:r>
      <w:r w:rsidR="00354CDE">
        <w:t>ci</w:t>
      </w:r>
      <w:r w:rsidRPr="00F3524D">
        <w:t xml:space="preserve">n, a strong inducer of CYP3A, administered at a dose of 600 mg once daily for </w:t>
      </w:r>
      <w:r w:rsidR="00EE74D5">
        <w:t>9</w:t>
      </w:r>
      <w:r w:rsidRPr="00F3524D">
        <w:t> days, reduced the mean lorlatinib AUC by 85% and C</w:t>
      </w:r>
      <w:r w:rsidRPr="00F3524D">
        <w:rPr>
          <w:vertAlign w:val="subscript"/>
        </w:rPr>
        <w:t>max</w:t>
      </w:r>
      <w:r w:rsidRPr="00F3524D">
        <w:t xml:space="preserve"> by 76% of a single 100 mg dose of lorlatinib in healthy volunteers; increases in liver function tests (AST and ALT) were also observed. Concomitant administration of </w:t>
      </w:r>
      <w:r w:rsidR="00BC5079" w:rsidRPr="00605EA5">
        <w:t>LORVIQUA</w:t>
      </w:r>
      <w:r w:rsidRPr="00F3524D">
        <w:t xml:space="preserve"> with strong CYP3A inducers (e.g.,</w:t>
      </w:r>
      <w:r>
        <w:t> </w:t>
      </w:r>
      <w:r w:rsidRPr="00F3524D">
        <w:t>rifampi</w:t>
      </w:r>
      <w:r w:rsidR="00354CDE">
        <w:t>ci</w:t>
      </w:r>
      <w:r w:rsidRPr="00F3524D">
        <w:t>n, carbamazepine</w:t>
      </w:r>
      <w:r w:rsidRPr="002628B5">
        <w:t xml:space="preserve">, </w:t>
      </w:r>
      <w:r w:rsidRPr="009D7309">
        <w:t>enzal</w:t>
      </w:r>
      <w:r w:rsidR="00A171E0">
        <w:t>u</w:t>
      </w:r>
      <w:r w:rsidRPr="009D7309">
        <w:t>t</w:t>
      </w:r>
      <w:r w:rsidR="00A171E0">
        <w:t>a</w:t>
      </w:r>
      <w:r w:rsidRPr="009D7309">
        <w:t>mide,</w:t>
      </w:r>
      <w:r w:rsidRPr="00F3524D">
        <w:t xml:space="preserve"> mitotane, phenytoin and St. John’s wort</w:t>
      </w:r>
      <w:r w:rsidR="00592919">
        <w:t>)</w:t>
      </w:r>
      <w:r w:rsidRPr="00F3524D">
        <w:t xml:space="preserve"> may decrease lorlatinib plasma concentrations.</w:t>
      </w:r>
      <w:r>
        <w:t xml:space="preserve"> </w:t>
      </w:r>
      <w:r w:rsidRPr="00876880">
        <w:rPr>
          <w:rStyle w:val="superscriptChar"/>
          <w:vertAlign w:val="baseline"/>
        </w:rPr>
        <w:t xml:space="preserve">The use of a strong CYP3A inducer with </w:t>
      </w:r>
      <w:r w:rsidR="001678BA" w:rsidRPr="00605EA5">
        <w:rPr>
          <w:lang w:val="en-AU"/>
        </w:rPr>
        <w:t>LORVIQUA</w:t>
      </w:r>
      <w:r w:rsidRPr="00876880">
        <w:rPr>
          <w:rStyle w:val="superscriptChar"/>
          <w:vertAlign w:val="baseline"/>
        </w:rPr>
        <w:t xml:space="preserve"> is contraindicated</w:t>
      </w:r>
      <w:r w:rsidRPr="00F3524D">
        <w:rPr>
          <w:rStyle w:val="superscriptChar"/>
        </w:rPr>
        <w:t xml:space="preserve"> </w:t>
      </w:r>
      <w:r w:rsidRPr="00F3524D">
        <w:rPr>
          <w:rFonts w:eastAsia="MS Mincho"/>
        </w:rPr>
        <w:t xml:space="preserve">(see </w:t>
      </w:r>
      <w:r>
        <w:rPr>
          <w:rFonts w:eastAsia="MS Mincho"/>
        </w:rPr>
        <w:t>S</w:t>
      </w:r>
      <w:r w:rsidRPr="00F3524D">
        <w:rPr>
          <w:rFonts w:eastAsia="MS Mincho"/>
        </w:rPr>
        <w:t xml:space="preserve">ection </w:t>
      </w:r>
      <w:r w:rsidRPr="00F3524D">
        <w:t>4.3</w:t>
      </w:r>
      <w:r>
        <w:t xml:space="preserve"> and 4.4</w:t>
      </w:r>
      <w:r w:rsidRPr="00F3524D">
        <w:t xml:space="preserve">). </w:t>
      </w:r>
      <w:r w:rsidR="00077D91">
        <w:t xml:space="preserve">Any </w:t>
      </w:r>
      <w:r w:rsidR="00077D91" w:rsidRPr="00C30FBA">
        <w:t>strong CYP3A inducers</w:t>
      </w:r>
      <w:r w:rsidR="00077D91">
        <w:t xml:space="preserve"> have to be discontinued for at least </w:t>
      </w:r>
      <w:r w:rsidR="00077D91" w:rsidRPr="00C30FBA">
        <w:t>3</w:t>
      </w:r>
      <w:r w:rsidR="00077D91">
        <w:t> </w:t>
      </w:r>
      <w:r w:rsidR="00077D91" w:rsidRPr="00C30FBA">
        <w:t>plasma half-lives</w:t>
      </w:r>
      <w:r w:rsidR="00077D91">
        <w:t xml:space="preserve"> of the strong CYP3A inducer before </w:t>
      </w:r>
      <w:r w:rsidR="009E0838">
        <w:t>treatment with LORVIQUA</w:t>
      </w:r>
      <w:r w:rsidR="00077D91">
        <w:t xml:space="preserve"> is started. </w:t>
      </w:r>
      <w:r w:rsidRPr="00F3524D">
        <w:t>Concomitant use with moderate CYP3A inducers should be avoided, if possible, as they may also reduce lorlatinib plasma concentrations.</w:t>
      </w:r>
    </w:p>
    <w:p w14:paraId="112E18AC" w14:textId="77777777" w:rsidR="00876880" w:rsidRPr="002905BA" w:rsidRDefault="00876880" w:rsidP="002905BA">
      <w:pPr>
        <w:pStyle w:val="Paragraph"/>
        <w:keepNext/>
        <w:spacing w:before="240" w:after="120"/>
        <w:rPr>
          <w:b/>
        </w:rPr>
      </w:pPr>
      <w:r w:rsidRPr="002905BA">
        <w:rPr>
          <w:b/>
        </w:rPr>
        <w:t>Proton</w:t>
      </w:r>
      <w:r w:rsidRPr="002905BA">
        <w:rPr>
          <w:b/>
        </w:rPr>
        <w:noBreakHyphen/>
        <w:t>Pump inhibitors, H</w:t>
      </w:r>
      <w:r w:rsidRPr="002905BA">
        <w:rPr>
          <w:b/>
          <w:vertAlign w:val="subscript"/>
        </w:rPr>
        <w:t>2</w:t>
      </w:r>
      <w:r w:rsidRPr="002905BA">
        <w:rPr>
          <w:b/>
        </w:rPr>
        <w:t>-receptor antagonists, or locally acting antacids</w:t>
      </w:r>
    </w:p>
    <w:p w14:paraId="30752CB7" w14:textId="77777777" w:rsidR="00876880" w:rsidRPr="00F3524D" w:rsidRDefault="00876880" w:rsidP="00876880">
      <w:pPr>
        <w:pStyle w:val="Paragraph"/>
        <w:keepNext/>
        <w:spacing w:after="0"/>
      </w:pPr>
      <w:r w:rsidRPr="00F3524D">
        <w:t>The proton-pump inhibitor rabeprazole had a minimal effect on lorlat</w:t>
      </w:r>
      <w:r>
        <w:t>i</w:t>
      </w:r>
      <w:r w:rsidRPr="00F3524D">
        <w:t xml:space="preserve">nib plasma exposure (90% confidence interval [CI] for the </w:t>
      </w:r>
      <w:r w:rsidR="00834AAE">
        <w:t>AUC</w:t>
      </w:r>
      <w:r w:rsidR="00834AAE" w:rsidRPr="00900FB6">
        <w:rPr>
          <w:vertAlign w:val="subscript"/>
        </w:rPr>
        <w:t>inf</w:t>
      </w:r>
      <w:r w:rsidR="00834AAE" w:rsidRPr="00F3524D">
        <w:t xml:space="preserve"> </w:t>
      </w:r>
      <w:r w:rsidRPr="00F3524D">
        <w:t>ratio, expressed as a percentage: 97.6</w:t>
      </w:r>
      <w:r>
        <w:t>%</w:t>
      </w:r>
      <w:r w:rsidRPr="00F3524D">
        <w:t>, 104.3%).</w:t>
      </w:r>
      <w:r w:rsidRPr="0048435B">
        <w:t xml:space="preserve"> </w:t>
      </w:r>
      <w:r w:rsidRPr="00F3524D">
        <w:rPr>
          <w:lang w:val="en-GB"/>
        </w:rPr>
        <w:t>No dose adjustment is required</w:t>
      </w:r>
      <w:r w:rsidRPr="00F3524D">
        <w:rPr>
          <w:sz w:val="22"/>
          <w:szCs w:val="22"/>
          <w:lang w:val="en-GB"/>
        </w:rPr>
        <w:t xml:space="preserve"> </w:t>
      </w:r>
      <w:r w:rsidRPr="00F3524D">
        <w:t xml:space="preserve">when </w:t>
      </w:r>
      <w:r w:rsidR="001678BA" w:rsidRPr="00605EA5">
        <w:rPr>
          <w:lang w:val="en-AU"/>
        </w:rPr>
        <w:t>LORVIQUA</w:t>
      </w:r>
      <w:r w:rsidRPr="00F3524D">
        <w:t xml:space="preserve"> is taken with proton-pump inhibitors, H</w:t>
      </w:r>
      <w:r w:rsidRPr="00F3524D">
        <w:rPr>
          <w:vertAlign w:val="subscript"/>
        </w:rPr>
        <w:t>2</w:t>
      </w:r>
      <w:r w:rsidRPr="00F3524D">
        <w:t>-receptor antagonists, or locally acting antacids.</w:t>
      </w:r>
    </w:p>
    <w:p w14:paraId="1A414518" w14:textId="77777777" w:rsidR="00876880" w:rsidRPr="002905BA" w:rsidRDefault="00876880" w:rsidP="002905BA">
      <w:pPr>
        <w:pStyle w:val="StyleHeading2Titre212H2GulliverGemenFetArial12pt"/>
        <w:rPr>
          <w:i w:val="0"/>
        </w:rPr>
      </w:pPr>
      <w:r w:rsidRPr="002905BA">
        <w:rPr>
          <w:i w:val="0"/>
        </w:rPr>
        <w:t xml:space="preserve">Drugs whose plasma concentrations may be altered by lorlatinib </w:t>
      </w:r>
    </w:p>
    <w:p w14:paraId="550470AD" w14:textId="2991397D" w:rsidR="00876880" w:rsidRPr="002905BA" w:rsidRDefault="00876880" w:rsidP="002905BA">
      <w:pPr>
        <w:pStyle w:val="Paragraph"/>
        <w:keepNext/>
        <w:spacing w:before="120" w:after="120"/>
        <w:rPr>
          <w:b/>
          <w:i/>
        </w:rPr>
      </w:pPr>
      <w:r w:rsidRPr="002905BA">
        <w:rPr>
          <w:b/>
          <w:i/>
        </w:rPr>
        <w:t>CYP3A substrates</w:t>
      </w:r>
    </w:p>
    <w:p w14:paraId="26637737" w14:textId="6CBCDE13" w:rsidR="00876880" w:rsidRDefault="00876880" w:rsidP="00876880">
      <w:pPr>
        <w:pStyle w:val="Paragraph"/>
        <w:keepNext/>
        <w:spacing w:after="0"/>
      </w:pPr>
      <w:r w:rsidRPr="00F3524D">
        <w:rPr>
          <w:rStyle w:val="BlueText"/>
          <w:color w:val="000000"/>
        </w:rPr>
        <w:t xml:space="preserve">Lorlatinib has a net induction effect on CYP3A both </w:t>
      </w:r>
      <w:r w:rsidRPr="00F3524D">
        <w:rPr>
          <w:rStyle w:val="BlueText"/>
          <w:i/>
          <w:color w:val="000000"/>
        </w:rPr>
        <w:t>in vitro</w:t>
      </w:r>
      <w:r w:rsidRPr="00675BE9">
        <w:rPr>
          <w:rStyle w:val="BlueText"/>
          <w:color w:val="000000"/>
        </w:rPr>
        <w:t xml:space="preserve"> </w:t>
      </w:r>
      <w:r w:rsidRPr="00F3524D">
        <w:rPr>
          <w:rStyle w:val="BlueText"/>
          <w:color w:val="000000"/>
        </w:rPr>
        <w:t xml:space="preserve">and </w:t>
      </w:r>
      <w:r w:rsidRPr="00F3524D">
        <w:rPr>
          <w:rStyle w:val="BlueText"/>
          <w:i/>
          <w:color w:val="000000"/>
        </w:rPr>
        <w:t>in vivo</w:t>
      </w:r>
      <w:r w:rsidRPr="00F3524D">
        <w:rPr>
          <w:rStyle w:val="BlueText"/>
          <w:color w:val="000000"/>
        </w:rPr>
        <w:t>. .</w:t>
      </w:r>
      <w:r w:rsidRPr="008D4B5E">
        <w:rPr>
          <w:color w:val="0000FF"/>
        </w:rPr>
        <w:t xml:space="preserve"> </w:t>
      </w:r>
      <w:r w:rsidR="007E7246" w:rsidRPr="00113331">
        <w:t>Lorlatinib 150 mg orally once daily for 15 days decreased AUC</w:t>
      </w:r>
      <w:r w:rsidR="007E7246" w:rsidRPr="00113331">
        <w:rPr>
          <w:vertAlign w:val="subscript"/>
        </w:rPr>
        <w:t>inf</w:t>
      </w:r>
      <w:r w:rsidR="007E7246" w:rsidRPr="00113331">
        <w:t xml:space="preserve"> by 64% and C</w:t>
      </w:r>
      <w:r w:rsidR="007E7246" w:rsidRPr="00113331">
        <w:rPr>
          <w:vertAlign w:val="subscript"/>
        </w:rPr>
        <w:t>max</w:t>
      </w:r>
      <w:r w:rsidR="007E7246" w:rsidRPr="00113331">
        <w:t xml:space="preserve"> by 50% of a single oral 2 mg dose of midazolam (a sensitive CYP3A substrate).</w:t>
      </w:r>
      <w:r w:rsidRPr="00F3524D">
        <w:t xml:space="preserve">Thus, concurrent administration of </w:t>
      </w:r>
      <w:r w:rsidR="001678BA" w:rsidRPr="00605EA5">
        <w:rPr>
          <w:lang w:val="en-AU"/>
        </w:rPr>
        <w:t>LORVIQUA</w:t>
      </w:r>
      <w:r w:rsidRPr="00F3524D">
        <w:t xml:space="preserve"> with CYP3A substrates with narrow therapeutic indices, including but not limited to </w:t>
      </w:r>
      <w:r w:rsidR="007E7246">
        <w:t xml:space="preserve">hormonal contraceptives, </w:t>
      </w:r>
      <w:r w:rsidRPr="00F3524D">
        <w:t>alfentanil, c</w:t>
      </w:r>
      <w:r w:rsidR="00E64090">
        <w:t>i</w:t>
      </w:r>
      <w:r w:rsidRPr="00F3524D">
        <w:t xml:space="preserve">closporin, dihydroergotamine, ergotamine, fentanyl, </w:t>
      </w:r>
      <w:r w:rsidRPr="00F3524D">
        <w:lastRenderedPageBreak/>
        <w:t xml:space="preserve">pimozide, quinidine, sirolimus, and tacrolimus, </w:t>
      </w:r>
      <w:r w:rsidRPr="00F3524D">
        <w:rPr>
          <w:lang w:val="en-GB"/>
        </w:rPr>
        <w:t>should be avoided since</w:t>
      </w:r>
      <w:r w:rsidRPr="00F3524D">
        <w:t xml:space="preserve"> the </w:t>
      </w:r>
      <w:r w:rsidRPr="008D4B5E">
        <w:t>concentration of these drugs may be reduced by lorlatinib.</w:t>
      </w:r>
      <w:r w:rsidRPr="00F3524D">
        <w:t xml:space="preserve"> </w:t>
      </w:r>
    </w:p>
    <w:p w14:paraId="50E12EB4" w14:textId="77777777" w:rsidR="00C67192" w:rsidRPr="002905BA" w:rsidRDefault="00C67192" w:rsidP="002905BA">
      <w:pPr>
        <w:pStyle w:val="Paragraph"/>
        <w:keepNext/>
        <w:spacing w:before="120" w:after="120"/>
        <w:rPr>
          <w:b/>
          <w:i/>
        </w:rPr>
      </w:pPr>
      <w:r w:rsidRPr="002905BA">
        <w:rPr>
          <w:b/>
          <w:i/>
        </w:rPr>
        <w:t>In vitro studies of other CYP inhibition and induction</w:t>
      </w:r>
    </w:p>
    <w:p w14:paraId="69C9924B" w14:textId="37F1D1E7" w:rsidR="00B1779E" w:rsidRDefault="00B1779E" w:rsidP="00876880">
      <w:pPr>
        <w:pStyle w:val="Paragraph"/>
        <w:keepNext/>
        <w:spacing w:after="0"/>
      </w:pPr>
      <w:r w:rsidRPr="00C67192">
        <w:rPr>
          <w:i/>
        </w:rPr>
        <w:t>In vitro</w:t>
      </w:r>
      <w:r>
        <w:t xml:space="preserve"> studies indicated that clinical drug-drug interactions as a result of lorlatinib-mediated </w:t>
      </w:r>
      <w:r w:rsidR="00C67192">
        <w:t xml:space="preserve">inhibition of the metabolism of substrates for CYP1A2, CYP2B6, CYP2C8, </w:t>
      </w:r>
      <w:r w:rsidR="005801D8">
        <w:t xml:space="preserve">CYP2C9, </w:t>
      </w:r>
      <w:r w:rsidR="00C67192">
        <w:t xml:space="preserve">CYP2C19 and CYP2D6 are unlikely to occur. </w:t>
      </w:r>
    </w:p>
    <w:p w14:paraId="74FE3E74" w14:textId="77777777" w:rsidR="00962529" w:rsidRDefault="00962529" w:rsidP="00876880">
      <w:pPr>
        <w:pStyle w:val="Paragraph"/>
        <w:keepNext/>
        <w:spacing w:after="0"/>
      </w:pPr>
    </w:p>
    <w:p w14:paraId="58AEE7F8" w14:textId="70724686" w:rsidR="00962529" w:rsidRPr="00962529" w:rsidRDefault="00962529" w:rsidP="00962529">
      <w:pPr>
        <w:pStyle w:val="Paragraph"/>
        <w:keepNext/>
        <w:rPr>
          <w:lang w:val="en-GB"/>
        </w:rPr>
      </w:pPr>
      <w:r w:rsidRPr="00962529">
        <w:rPr>
          <w:i/>
          <w:lang w:val="en-GB"/>
        </w:rPr>
        <w:t>In vitro</w:t>
      </w:r>
      <w:r w:rsidRPr="00962529">
        <w:rPr>
          <w:lang w:val="en-GB"/>
        </w:rPr>
        <w:t xml:space="preserve"> studies also indicated that lorlatinib is a time</w:t>
      </w:r>
      <w:r w:rsidRPr="00962529">
        <w:rPr>
          <w:lang w:val="en-GB"/>
        </w:rPr>
        <w:noBreakHyphen/>
        <w:t>dependent inhibitor as well as an inducer of CYP3A and it activates the human pregnane</w:t>
      </w:r>
      <w:r w:rsidRPr="00962529">
        <w:rPr>
          <w:lang w:val="en-GB"/>
        </w:rPr>
        <w:noBreakHyphen/>
        <w:t>X</w:t>
      </w:r>
      <w:r w:rsidRPr="00962529">
        <w:rPr>
          <w:lang w:val="en-GB"/>
        </w:rPr>
        <w:noBreakHyphen/>
        <w:t xml:space="preserve">receptor (PXR), with the net effect </w:t>
      </w:r>
      <w:r w:rsidRPr="00962529">
        <w:rPr>
          <w:i/>
          <w:lang w:val="en-GB"/>
        </w:rPr>
        <w:t>in vivo</w:t>
      </w:r>
      <w:r w:rsidRPr="00962529">
        <w:rPr>
          <w:lang w:val="en-GB"/>
        </w:rPr>
        <w:t xml:space="preserve"> being induction. </w:t>
      </w:r>
      <w:r w:rsidRPr="00962529">
        <w:rPr>
          <w:i/>
          <w:lang w:val="en-GB"/>
        </w:rPr>
        <w:t>In vitro</w:t>
      </w:r>
      <w:r w:rsidRPr="00962529">
        <w:rPr>
          <w:lang w:val="en-GB"/>
        </w:rPr>
        <w:t xml:space="preserve"> studies also indicated that lorlatinib is an inducer of CYP2B6 and activates the human constitutive androstane receptor (CAR). Concomitant administration of</w:t>
      </w:r>
      <w:r w:rsidR="00E64090">
        <w:rPr>
          <w:lang w:val="en-GB"/>
        </w:rPr>
        <w:t xml:space="preserve"> </w:t>
      </w:r>
      <w:r w:rsidR="001678BA" w:rsidRPr="00605EA5">
        <w:rPr>
          <w:lang w:val="en-AU"/>
        </w:rPr>
        <w:t>LORVIQUA</w:t>
      </w:r>
      <w:r w:rsidRPr="00962529">
        <w:rPr>
          <w:lang w:val="en-GB"/>
        </w:rPr>
        <w:t xml:space="preserve"> with CYP2B6 substrates (e.g. bupropion, efavirenz) may result in reduced plasma concentrations of the CYP2B6 substrate. </w:t>
      </w:r>
      <w:r w:rsidR="005801D8">
        <w:rPr>
          <w:lang w:val="en-GB"/>
        </w:rPr>
        <w:t xml:space="preserve">Lorlatinib might also induce CYP2C and reduce plasma concentrations of CYP2C substrates. </w:t>
      </w:r>
      <w:r w:rsidRPr="00962529">
        <w:rPr>
          <w:i/>
          <w:lang w:val="en-GB"/>
        </w:rPr>
        <w:t>In vitro</w:t>
      </w:r>
      <w:r w:rsidRPr="00962529">
        <w:rPr>
          <w:lang w:val="en-GB"/>
        </w:rPr>
        <w:t>, lorlatinib has a low potential to cause drug</w:t>
      </w:r>
      <w:r w:rsidRPr="00962529">
        <w:rPr>
          <w:lang w:val="en-GB"/>
        </w:rPr>
        <w:noBreakHyphen/>
        <w:t>drug interactions by induction of CYP1A2.</w:t>
      </w:r>
    </w:p>
    <w:p w14:paraId="4905EA70" w14:textId="49334DD8" w:rsidR="00962529" w:rsidRDefault="00962529" w:rsidP="00962529">
      <w:pPr>
        <w:pStyle w:val="Paragraph"/>
        <w:keepNext/>
        <w:rPr>
          <w:lang w:val="en-GB"/>
        </w:rPr>
      </w:pPr>
      <w:r w:rsidRPr="00962529">
        <w:rPr>
          <w:i/>
          <w:lang w:val="en-GB"/>
        </w:rPr>
        <w:t>In vitro</w:t>
      </w:r>
      <w:r w:rsidRPr="00962529">
        <w:rPr>
          <w:lang w:val="en-GB"/>
        </w:rPr>
        <w:t xml:space="preserve">, the major circulating metabolite </w:t>
      </w:r>
      <w:r w:rsidR="005801D8">
        <w:rPr>
          <w:lang w:val="en-GB"/>
        </w:rPr>
        <w:t>(M8) of</w:t>
      </w:r>
      <w:r w:rsidRPr="00962529">
        <w:rPr>
          <w:lang w:val="en-GB"/>
        </w:rPr>
        <w:t xml:space="preserve"> lorlatinib showed a low potential to cause drug</w:t>
      </w:r>
      <w:r w:rsidRPr="00962529">
        <w:rPr>
          <w:lang w:val="en-GB"/>
        </w:rPr>
        <w:noBreakHyphen/>
        <w:t>drug interaction by inhibiting CYP1A2, CYP2B6, CYP2C8, CYP2C9, CYP2C19, CYP2D6, and CYP3A, or by inducing CYP1A2, CYP2B6, and CYP3A.</w:t>
      </w:r>
    </w:p>
    <w:p w14:paraId="02FFA042" w14:textId="44625D86" w:rsidR="008D7830" w:rsidRDefault="008D7830" w:rsidP="002905BA">
      <w:pPr>
        <w:pStyle w:val="Paragraph"/>
        <w:spacing w:before="120" w:after="120"/>
        <w:rPr>
          <w:b/>
          <w:i/>
          <w:lang w:val="en-GB"/>
        </w:rPr>
      </w:pPr>
      <w:r w:rsidRPr="002905BA">
        <w:rPr>
          <w:b/>
          <w:i/>
          <w:lang w:val="en-GB"/>
        </w:rPr>
        <w:t xml:space="preserve">In vitro studies of UDP-glucuronylsyltransferase (UGT) inhibition </w:t>
      </w:r>
    </w:p>
    <w:p w14:paraId="1B40B44C" w14:textId="36BBF8BA" w:rsidR="00F64C74" w:rsidRDefault="00F64C74" w:rsidP="00F64C74">
      <w:pPr>
        <w:pStyle w:val="Paragraph"/>
        <w:keepNext/>
        <w:rPr>
          <w:lang w:val="en-GB"/>
        </w:rPr>
      </w:pPr>
      <w:r w:rsidRPr="008D7830">
        <w:rPr>
          <w:i/>
          <w:iCs/>
          <w:lang w:val="en-GB"/>
        </w:rPr>
        <w:t xml:space="preserve">In vitro </w:t>
      </w:r>
      <w:r w:rsidRPr="008D7830">
        <w:rPr>
          <w:lang w:val="en-GB"/>
        </w:rPr>
        <w:t>studies indicated that clinical drug</w:t>
      </w:r>
      <w:r w:rsidRPr="008D7830">
        <w:rPr>
          <w:lang w:val="en-GB"/>
        </w:rPr>
        <w:noBreakHyphen/>
        <w:t>drug interactions as a result of lorlatinib</w:t>
      </w:r>
      <w:r w:rsidRPr="008D7830">
        <w:rPr>
          <w:lang w:val="en-GB"/>
        </w:rPr>
        <w:noBreakHyphen/>
        <w:t>mediated inhibition of the metabolism of substrates for UGT1A1</w:t>
      </w:r>
      <w:r>
        <w:rPr>
          <w:lang w:val="en-GB"/>
        </w:rPr>
        <w:t xml:space="preserve">, </w:t>
      </w:r>
      <w:r w:rsidRPr="008D7830">
        <w:rPr>
          <w:lang w:val="en-GB"/>
        </w:rPr>
        <w:t xml:space="preserve">UGT1A4, UGT1A6, UGT1A9, UGT2B7 and UGT2B15 are unlikely to occur. </w:t>
      </w:r>
    </w:p>
    <w:p w14:paraId="0CAAA9E3" w14:textId="15727D74" w:rsidR="00F64C74" w:rsidRPr="00F64C74" w:rsidRDefault="00E8660F" w:rsidP="00E8660F">
      <w:pPr>
        <w:pStyle w:val="Paragraph"/>
        <w:keepNext/>
        <w:spacing w:after="0"/>
        <w:rPr>
          <w:b/>
          <w:lang w:val="en-GB"/>
        </w:rPr>
      </w:pPr>
      <w:r w:rsidRPr="008D7830">
        <w:rPr>
          <w:i/>
          <w:iCs/>
          <w:lang w:val="en-GB"/>
        </w:rPr>
        <w:t xml:space="preserve">In vitro </w:t>
      </w:r>
      <w:r w:rsidRPr="008D7830">
        <w:rPr>
          <w:lang w:val="en-GB"/>
        </w:rPr>
        <w:t>studies indicated that clinical drug</w:t>
      </w:r>
      <w:r w:rsidRPr="008D7830">
        <w:rPr>
          <w:lang w:val="en-GB"/>
        </w:rPr>
        <w:noBreakHyphen/>
        <w:t xml:space="preserve">drug interactions </w:t>
      </w:r>
      <w:r>
        <w:rPr>
          <w:lang w:val="en-GB"/>
        </w:rPr>
        <w:t xml:space="preserve">as a result of M8-mediated inhibition of the metabolism of </w:t>
      </w:r>
      <w:r w:rsidRPr="008D7830">
        <w:rPr>
          <w:lang w:val="en-GB"/>
        </w:rPr>
        <w:t>substrates for UGT1A1, UGT1A4, UGT1A6, UGT1A9, UGT2B7, and</w:t>
      </w:r>
      <w:r>
        <w:rPr>
          <w:lang w:val="en-GB"/>
        </w:rPr>
        <w:t xml:space="preserve"> </w:t>
      </w:r>
    </w:p>
    <w:p w14:paraId="430FD21B" w14:textId="5586FD9B" w:rsidR="008D7830" w:rsidRDefault="005F4B7F" w:rsidP="008D7830">
      <w:pPr>
        <w:pStyle w:val="Paragraph"/>
        <w:keepNext/>
        <w:rPr>
          <w:lang w:val="en-GB"/>
        </w:rPr>
      </w:pPr>
      <w:r w:rsidRPr="008D7830">
        <w:rPr>
          <w:lang w:val="en-GB"/>
        </w:rPr>
        <w:t xml:space="preserve">UGT2B15 </w:t>
      </w:r>
      <w:r w:rsidR="008D7830" w:rsidRPr="008D7830">
        <w:rPr>
          <w:lang w:val="en-GB"/>
        </w:rPr>
        <w:t>are unlikely to occur.</w:t>
      </w:r>
    </w:p>
    <w:p w14:paraId="50FC25AE" w14:textId="58F2B319" w:rsidR="003546A5" w:rsidRPr="002905BA" w:rsidRDefault="008D7830" w:rsidP="002905BA">
      <w:pPr>
        <w:pStyle w:val="Paragraph"/>
        <w:spacing w:before="120" w:after="120"/>
        <w:rPr>
          <w:b/>
          <w:bCs/>
          <w:i/>
          <w:lang w:val="en-GB"/>
        </w:rPr>
      </w:pPr>
      <w:bookmarkStart w:id="2" w:name="_Toc274663627"/>
      <w:r w:rsidRPr="002905BA">
        <w:rPr>
          <w:b/>
          <w:bCs/>
          <w:i/>
          <w:lang w:val="en-GB"/>
        </w:rPr>
        <w:t xml:space="preserve">In vitro studies with </w:t>
      </w:r>
      <w:bookmarkEnd w:id="2"/>
      <w:r w:rsidRPr="002905BA">
        <w:rPr>
          <w:b/>
          <w:bCs/>
          <w:i/>
          <w:lang w:val="en-GB"/>
        </w:rPr>
        <w:t>drug transporters</w:t>
      </w:r>
    </w:p>
    <w:p w14:paraId="743E762D" w14:textId="7ABA1299" w:rsidR="008D7830" w:rsidRPr="008D7830" w:rsidRDefault="008D7830" w:rsidP="003546A5">
      <w:pPr>
        <w:pStyle w:val="Paragraph"/>
        <w:spacing w:after="120"/>
        <w:rPr>
          <w:lang w:val="en-GB"/>
        </w:rPr>
      </w:pPr>
      <w:r w:rsidRPr="008D7830">
        <w:rPr>
          <w:i/>
          <w:iCs/>
          <w:lang w:val="en-GB"/>
        </w:rPr>
        <w:t xml:space="preserve">In vitro </w:t>
      </w:r>
      <w:r w:rsidRPr="008D7830">
        <w:rPr>
          <w:lang w:val="en-GB"/>
        </w:rPr>
        <w:t>studies indicated that clinical drug</w:t>
      </w:r>
      <w:r w:rsidRPr="008D7830">
        <w:rPr>
          <w:lang w:val="en-GB"/>
        </w:rPr>
        <w:noBreakHyphen/>
        <w:t>drug interactions as a result of lorlatinib</w:t>
      </w:r>
      <w:r w:rsidRPr="008D7830">
        <w:rPr>
          <w:lang w:val="en-GB"/>
        </w:rPr>
        <w:noBreakHyphen/>
        <w:t xml:space="preserve">mediated inhibition of breast cancer resistance protein (BCRP, systemically), multidrug and toxin extrusion protein (MATE)2K, organic anion transporter (OAT)1, organic cation transporter (OCT)2 </w:t>
      </w:r>
      <w:r w:rsidR="005F4B7F">
        <w:rPr>
          <w:lang w:val="en-GB"/>
        </w:rPr>
        <w:t xml:space="preserve">and organic anion transporting polypeptide </w:t>
      </w:r>
      <w:r w:rsidR="0020303B">
        <w:rPr>
          <w:lang w:val="en-GB"/>
        </w:rPr>
        <w:t xml:space="preserve">OATP1B1 and </w:t>
      </w:r>
      <w:r w:rsidR="005F4B7F">
        <w:rPr>
          <w:lang w:val="en-GB"/>
        </w:rPr>
        <w:t>OATP</w:t>
      </w:r>
      <w:r w:rsidR="00251F22">
        <w:rPr>
          <w:lang w:val="en-GB"/>
        </w:rPr>
        <w:t>1</w:t>
      </w:r>
      <w:r w:rsidR="005F4B7F">
        <w:rPr>
          <w:lang w:val="en-GB"/>
        </w:rPr>
        <w:t xml:space="preserve">B3 </w:t>
      </w:r>
      <w:r w:rsidRPr="008D7830">
        <w:rPr>
          <w:lang w:val="en-GB"/>
        </w:rPr>
        <w:t>are unlikely. Lorlatinib may have the potential to inhibit P</w:t>
      </w:r>
      <w:r w:rsidRPr="008D7830">
        <w:rPr>
          <w:lang w:val="en-GB"/>
        </w:rPr>
        <w:noBreakHyphen/>
        <w:t>glycoprotein (P</w:t>
      </w:r>
      <w:r w:rsidRPr="008D7830">
        <w:rPr>
          <w:lang w:val="en-GB"/>
        </w:rPr>
        <w:noBreakHyphen/>
        <w:t>gp, systemically and at the gastrointestinal [GI] tract), BCRP (GI tract), OCT1, MATE1, and OAT3 at clinically relevant concentrations.</w:t>
      </w:r>
    </w:p>
    <w:p w14:paraId="1B4880C1" w14:textId="28EE9276" w:rsidR="008D7830" w:rsidRPr="008D7830" w:rsidRDefault="008D7830" w:rsidP="003D182C">
      <w:pPr>
        <w:pStyle w:val="Paragraph"/>
        <w:rPr>
          <w:lang w:val="en-GB"/>
        </w:rPr>
      </w:pPr>
      <w:r w:rsidRPr="008D7830">
        <w:rPr>
          <w:i/>
          <w:iCs/>
          <w:lang w:val="en-GB"/>
        </w:rPr>
        <w:t xml:space="preserve">In vitro </w:t>
      </w:r>
      <w:r w:rsidRPr="008D7830">
        <w:rPr>
          <w:lang w:val="en-GB"/>
        </w:rPr>
        <w:t>studies indicated that clinical drug</w:t>
      </w:r>
      <w:r w:rsidRPr="008D7830">
        <w:rPr>
          <w:lang w:val="en-GB"/>
        </w:rPr>
        <w:noBreakHyphen/>
        <w:t xml:space="preserve">drug interactions </w:t>
      </w:r>
      <w:r w:rsidR="00EF3C97">
        <w:rPr>
          <w:lang w:val="en-GB"/>
        </w:rPr>
        <w:t xml:space="preserve">as a result of M8-mediated inhibition </w:t>
      </w:r>
      <w:r w:rsidR="001D2FC0">
        <w:rPr>
          <w:lang w:val="en-GB"/>
        </w:rPr>
        <w:t>of</w:t>
      </w:r>
      <w:r w:rsidR="00873AA1" w:rsidRPr="008D7830">
        <w:rPr>
          <w:lang w:val="en-GB"/>
        </w:rPr>
        <w:t xml:space="preserve"> P</w:t>
      </w:r>
      <w:r w:rsidR="00873AA1" w:rsidRPr="008D7830">
        <w:rPr>
          <w:lang w:val="en-GB"/>
        </w:rPr>
        <w:noBreakHyphen/>
        <w:t xml:space="preserve">gp, BCRP, OATP1B1, OATP1B3, OAT1, OAT3, OCT1, OCT2, MATE1, and MATE2K </w:t>
      </w:r>
      <w:r w:rsidRPr="008D7830">
        <w:rPr>
          <w:lang w:val="en-GB"/>
        </w:rPr>
        <w:t>are unlikely to occur.</w:t>
      </w:r>
    </w:p>
    <w:p w14:paraId="47802EE0" w14:textId="77777777" w:rsidR="002643F1" w:rsidRPr="002905BA" w:rsidRDefault="002643F1" w:rsidP="002905BA">
      <w:pPr>
        <w:pStyle w:val="PIHeading2"/>
        <w:spacing w:before="360" w:after="240" w:line="240" w:lineRule="auto"/>
        <w:rPr>
          <w:sz w:val="28"/>
          <w:szCs w:val="28"/>
        </w:rPr>
      </w:pPr>
      <w:r w:rsidRPr="007876D3">
        <w:rPr>
          <w:sz w:val="28"/>
          <w:szCs w:val="28"/>
        </w:rPr>
        <w:lastRenderedPageBreak/>
        <w:t>4.6</w:t>
      </w:r>
      <w:r w:rsidRPr="007876D3">
        <w:rPr>
          <w:sz w:val="28"/>
          <w:szCs w:val="28"/>
        </w:rPr>
        <w:tab/>
      </w:r>
      <w:r w:rsidR="007876D3">
        <w:rPr>
          <w:sz w:val="28"/>
          <w:szCs w:val="28"/>
        </w:rPr>
        <w:t>F</w:t>
      </w:r>
      <w:r w:rsidR="007876D3" w:rsidRPr="002905BA">
        <w:rPr>
          <w:sz w:val="28"/>
          <w:szCs w:val="28"/>
        </w:rPr>
        <w:t>ertility, pregnancy and lactation</w:t>
      </w:r>
    </w:p>
    <w:p w14:paraId="1B931B26" w14:textId="77777777" w:rsidR="00737ADC" w:rsidRPr="002905BA" w:rsidRDefault="00737ADC" w:rsidP="002905BA">
      <w:pPr>
        <w:keepNext/>
        <w:spacing w:before="240" w:after="120"/>
        <w:rPr>
          <w:b/>
        </w:rPr>
      </w:pPr>
      <w:r w:rsidRPr="002905BA">
        <w:rPr>
          <w:b/>
          <w:noProof/>
          <w:szCs w:val="22"/>
        </w:rPr>
        <w:t>Women of childbearing potential/Contraception in females and males</w:t>
      </w:r>
    </w:p>
    <w:p w14:paraId="75853720" w14:textId="0507A7EA" w:rsidR="00185BEB" w:rsidRDefault="00737ADC" w:rsidP="003D182C">
      <w:pPr>
        <w:keepNext/>
        <w:spacing w:after="180"/>
        <w:rPr>
          <w:noProof/>
          <w:szCs w:val="22"/>
        </w:rPr>
      </w:pPr>
      <w:r w:rsidRPr="00F3524D">
        <w:rPr>
          <w:noProof/>
          <w:szCs w:val="22"/>
        </w:rPr>
        <w:t xml:space="preserve">Women of childbearing potential should be advised to avoid becoming pregnant while receiving </w:t>
      </w:r>
      <w:r w:rsidR="001678BA" w:rsidRPr="00605EA5">
        <w:t>LORVIQUA</w:t>
      </w:r>
      <w:r w:rsidRPr="00F3524D">
        <w:rPr>
          <w:noProof/>
          <w:szCs w:val="22"/>
        </w:rPr>
        <w:t xml:space="preserve">. A highly effective </w:t>
      </w:r>
      <w:r w:rsidR="00185BEB">
        <w:rPr>
          <w:noProof/>
          <w:szCs w:val="22"/>
        </w:rPr>
        <w:t>non</w:t>
      </w:r>
      <w:r w:rsidR="00467E72">
        <w:rPr>
          <w:noProof/>
          <w:szCs w:val="22"/>
        </w:rPr>
        <w:t>-</w:t>
      </w:r>
      <w:r w:rsidR="00185BEB">
        <w:rPr>
          <w:noProof/>
          <w:szCs w:val="22"/>
        </w:rPr>
        <w:t xml:space="preserve">hormonal </w:t>
      </w:r>
      <w:r w:rsidRPr="00F3524D">
        <w:rPr>
          <w:noProof/>
          <w:szCs w:val="22"/>
        </w:rPr>
        <w:t xml:space="preserve">method of contraception is required for </w:t>
      </w:r>
      <w:r>
        <w:rPr>
          <w:noProof/>
          <w:szCs w:val="22"/>
        </w:rPr>
        <w:t xml:space="preserve">female </w:t>
      </w:r>
      <w:r w:rsidRPr="00F3524D">
        <w:rPr>
          <w:noProof/>
          <w:szCs w:val="22"/>
        </w:rPr>
        <w:t xml:space="preserve">patients </w:t>
      </w:r>
      <w:r>
        <w:rPr>
          <w:noProof/>
          <w:szCs w:val="22"/>
        </w:rPr>
        <w:t xml:space="preserve">during treatment with </w:t>
      </w:r>
      <w:r w:rsidR="001678BA" w:rsidRPr="00605EA5">
        <w:t>LORVIQUA</w:t>
      </w:r>
      <w:r>
        <w:rPr>
          <w:noProof/>
          <w:szCs w:val="22"/>
        </w:rPr>
        <w:t xml:space="preserve">, </w:t>
      </w:r>
      <w:r w:rsidR="00185BEB">
        <w:t>because lorlatinib can render hormonal contraceptives ineffective (see Sections 4.4 and 4.5)</w:t>
      </w:r>
      <w:r w:rsidR="00185BEB">
        <w:rPr>
          <w:noProof/>
          <w:szCs w:val="22"/>
        </w:rPr>
        <w:t xml:space="preserve">. </w:t>
      </w:r>
      <w:r w:rsidR="00185BEB">
        <w:t xml:space="preserve">If a hormonal method of contraception is unavoidable, then a condom must be used in combination with the hormonal method. </w:t>
      </w:r>
      <w:r w:rsidR="00185BEB">
        <w:rPr>
          <w:noProof/>
          <w:szCs w:val="22"/>
        </w:rPr>
        <w:t>Effective contraception must be continued</w:t>
      </w:r>
      <w:r>
        <w:rPr>
          <w:noProof/>
          <w:szCs w:val="22"/>
        </w:rPr>
        <w:t xml:space="preserve"> </w:t>
      </w:r>
      <w:r w:rsidRPr="00F3524D">
        <w:rPr>
          <w:noProof/>
          <w:szCs w:val="22"/>
        </w:rPr>
        <w:t xml:space="preserve">for at </w:t>
      </w:r>
      <w:r>
        <w:rPr>
          <w:noProof/>
          <w:szCs w:val="22"/>
        </w:rPr>
        <w:t xml:space="preserve">least </w:t>
      </w:r>
      <w:r w:rsidRPr="00DD5F73">
        <w:rPr>
          <w:noProof/>
          <w:szCs w:val="22"/>
        </w:rPr>
        <w:t>21 days</w:t>
      </w:r>
      <w:r w:rsidRPr="00F3524D">
        <w:rPr>
          <w:noProof/>
          <w:szCs w:val="22"/>
        </w:rPr>
        <w:t xml:space="preserve"> after completing </w:t>
      </w:r>
      <w:r>
        <w:rPr>
          <w:noProof/>
          <w:szCs w:val="22"/>
        </w:rPr>
        <w:t>therapy</w:t>
      </w:r>
      <w:r w:rsidRPr="00F3524D">
        <w:rPr>
          <w:noProof/>
          <w:szCs w:val="22"/>
        </w:rPr>
        <w:t>.</w:t>
      </w:r>
    </w:p>
    <w:p w14:paraId="3B2F7940" w14:textId="6869F8AE" w:rsidR="00737ADC" w:rsidRPr="00B1727F" w:rsidRDefault="00737ADC" w:rsidP="00737ADC">
      <w:pPr>
        <w:keepNext/>
        <w:rPr>
          <w:noProof/>
          <w:szCs w:val="22"/>
        </w:rPr>
      </w:pPr>
      <w:r>
        <w:rPr>
          <w:noProof/>
          <w:szCs w:val="22"/>
        </w:rPr>
        <w:t>D</w:t>
      </w:r>
      <w:r w:rsidRPr="00FB3155">
        <w:rPr>
          <w:noProof/>
          <w:szCs w:val="22"/>
        </w:rPr>
        <w:t xml:space="preserve">uring treatment with </w:t>
      </w:r>
      <w:r w:rsidR="001678BA" w:rsidRPr="00605EA5">
        <w:t>LORVIQUA</w:t>
      </w:r>
      <w:r w:rsidRPr="00FB3155">
        <w:rPr>
          <w:noProof/>
          <w:szCs w:val="22"/>
        </w:rPr>
        <w:t xml:space="preserve"> and for at </w:t>
      </w:r>
      <w:r w:rsidRPr="00DD5F73">
        <w:rPr>
          <w:noProof/>
          <w:szCs w:val="22"/>
        </w:rPr>
        <w:t xml:space="preserve">least </w:t>
      </w:r>
      <w:r w:rsidR="00DD5F73">
        <w:rPr>
          <w:noProof/>
          <w:szCs w:val="22"/>
        </w:rPr>
        <w:t>14 weeks</w:t>
      </w:r>
      <w:r w:rsidRPr="00FB3155">
        <w:rPr>
          <w:noProof/>
          <w:szCs w:val="22"/>
        </w:rPr>
        <w:t xml:space="preserve"> after the final dose, advise male patients with female partners of reproductive potential to use effective contraception, including a </w:t>
      </w:r>
      <w:r w:rsidRPr="00115C5C">
        <w:rPr>
          <w:noProof/>
          <w:szCs w:val="22"/>
        </w:rPr>
        <w:t>condom, and advise male patients with pregnant partners to use condoms.</w:t>
      </w:r>
    </w:p>
    <w:p w14:paraId="274B68B7" w14:textId="0AA4B69C" w:rsidR="0013716F" w:rsidRDefault="0013716F" w:rsidP="002905BA">
      <w:pPr>
        <w:spacing w:before="240" w:after="120"/>
        <w:rPr>
          <w:b/>
          <w:noProof/>
        </w:rPr>
      </w:pPr>
      <w:r w:rsidRPr="002905BA">
        <w:rPr>
          <w:b/>
          <w:noProof/>
        </w:rPr>
        <w:t>Effects on fertility</w:t>
      </w:r>
    </w:p>
    <w:p w14:paraId="01F402FC" w14:textId="77777777" w:rsidR="00873AA1" w:rsidRPr="00D275EA" w:rsidRDefault="00873AA1" w:rsidP="003D182C">
      <w:pPr>
        <w:pStyle w:val="Paragraph"/>
        <w:spacing w:after="180"/>
      </w:pPr>
      <w:r>
        <w:rPr>
          <w:noProof/>
        </w:rPr>
        <w:t xml:space="preserve">Dedicated fertility studies were not conducted with lorlatinib. </w:t>
      </w:r>
      <w:r w:rsidRPr="00D275EA">
        <w:t xml:space="preserve">Effects on male reproductive organs were observed in </w:t>
      </w:r>
      <w:r>
        <w:t>repeat dose toxicity studies and included lower testicular, epididymal and prostate weights; testicular tubular degeneration / atrophy; prostatic atrophy; and/or epididymal inflammation at 20 mg/kg/day and 7 mg/kg/day in rats and dogs, respectively (approximately 4 and 1.6 times the human clinical exposure at 100 mg based on AUC)</w:t>
      </w:r>
      <w:r w:rsidRPr="00D275EA">
        <w:t>.</w:t>
      </w:r>
      <w:r>
        <w:t xml:space="preserve"> The effects on male reproductive organs were fully or partially reversible.</w:t>
      </w:r>
    </w:p>
    <w:p w14:paraId="12FCED81" w14:textId="2C45AC92" w:rsidR="0013716F" w:rsidRPr="00F3524D" w:rsidRDefault="0013716F" w:rsidP="0013716F">
      <w:pPr>
        <w:rPr>
          <w:noProof/>
        </w:rPr>
      </w:pPr>
      <w:r w:rsidRPr="00F3524D">
        <w:rPr>
          <w:noProof/>
        </w:rPr>
        <w:t xml:space="preserve">Based on nonclinical safety findings, male </w:t>
      </w:r>
      <w:r w:rsidRPr="00F3524D">
        <w:t>fertility m</w:t>
      </w:r>
      <w:r w:rsidRPr="00F3524D">
        <w:rPr>
          <w:noProof/>
        </w:rPr>
        <w:t xml:space="preserve">ay be compromised during treatment with </w:t>
      </w:r>
      <w:r w:rsidR="001678BA" w:rsidRPr="00605EA5">
        <w:t>LORVIQUA</w:t>
      </w:r>
      <w:r w:rsidRPr="00F3524D">
        <w:rPr>
          <w:noProof/>
        </w:rPr>
        <w:t xml:space="preserve">. </w:t>
      </w:r>
      <w:r w:rsidRPr="00115C5C">
        <w:rPr>
          <w:noProof/>
        </w:rPr>
        <w:t>It</w:t>
      </w:r>
      <w:r>
        <w:rPr>
          <w:noProof/>
        </w:rPr>
        <w:t xml:space="preserve"> is not known whether </w:t>
      </w:r>
      <w:r w:rsidR="001678BA" w:rsidRPr="00605EA5">
        <w:t>LORVIQUA</w:t>
      </w:r>
      <w:r>
        <w:rPr>
          <w:noProof/>
        </w:rPr>
        <w:t xml:space="preserve"> affects female fertility. </w:t>
      </w:r>
      <w:r w:rsidRPr="00115C5C">
        <w:t>Men</w:t>
      </w:r>
      <w:r>
        <w:t xml:space="preserve"> </w:t>
      </w:r>
      <w:r w:rsidRPr="00F3524D">
        <w:rPr>
          <w:noProof/>
        </w:rPr>
        <w:t>should seek advice on effective fertility preservation before treatment.</w:t>
      </w:r>
    </w:p>
    <w:p w14:paraId="0C302A1C" w14:textId="7970FA55" w:rsidR="00737ADC" w:rsidRPr="002905BA" w:rsidRDefault="0013716F" w:rsidP="002905BA">
      <w:pPr>
        <w:keepNext/>
        <w:tabs>
          <w:tab w:val="left" w:pos="1720"/>
        </w:tabs>
        <w:spacing w:before="240" w:after="120"/>
        <w:rPr>
          <w:b/>
          <w:noProof/>
        </w:rPr>
      </w:pPr>
      <w:r w:rsidRPr="002905BA">
        <w:rPr>
          <w:b/>
          <w:noProof/>
          <w:szCs w:val="22"/>
        </w:rPr>
        <w:t>Use in p</w:t>
      </w:r>
      <w:r w:rsidR="00737ADC" w:rsidRPr="002905BA">
        <w:rPr>
          <w:b/>
          <w:noProof/>
          <w:szCs w:val="22"/>
        </w:rPr>
        <w:t>regnancy</w:t>
      </w:r>
      <w:r w:rsidR="006D4D0F">
        <w:rPr>
          <w:b/>
          <w:noProof/>
          <w:szCs w:val="22"/>
        </w:rPr>
        <w:t xml:space="preserve"> – Pregnancy Category D</w:t>
      </w:r>
    </w:p>
    <w:p w14:paraId="646A3031" w14:textId="01D7825F" w:rsidR="00873AA1" w:rsidRDefault="006D4D0F" w:rsidP="003D182C">
      <w:pPr>
        <w:keepNext/>
        <w:spacing w:after="180"/>
        <w:rPr>
          <w:noProof/>
        </w:rPr>
      </w:pPr>
      <w:r>
        <w:rPr>
          <w:noProof/>
        </w:rPr>
        <w:t xml:space="preserve">Based on findings </w:t>
      </w:r>
      <w:r w:rsidR="00873AA1">
        <w:rPr>
          <w:noProof/>
        </w:rPr>
        <w:t xml:space="preserve">from animal studies and its mechanism of action, LORVIQUA can cause embryo-fetal harn when administered to a pregnant woman. </w:t>
      </w:r>
      <w:r w:rsidR="00737ADC" w:rsidRPr="00F3524D">
        <w:rPr>
          <w:noProof/>
        </w:rPr>
        <w:t xml:space="preserve"> There are no data in pregnant women using </w:t>
      </w:r>
      <w:r w:rsidR="001678BA" w:rsidRPr="00605EA5">
        <w:t>LORVIQUA</w:t>
      </w:r>
      <w:r w:rsidR="003D182C">
        <w:rPr>
          <w:noProof/>
        </w:rPr>
        <w:t>.</w:t>
      </w:r>
    </w:p>
    <w:p w14:paraId="642F9737" w14:textId="77777777" w:rsidR="00873AA1" w:rsidRDefault="00873AA1" w:rsidP="003D182C">
      <w:pPr>
        <w:spacing w:after="180"/>
      </w:pPr>
      <w:r>
        <w:t xml:space="preserve">Administration of lorlatinib to pregnant rats and rabbits by oral gavage during the period of organogenesis resulted in embryolethality, abortions and malformations. </w:t>
      </w:r>
      <w:r w:rsidRPr="00D275EA">
        <w:t>Fetal morphologic abnormalities included rotated limbs, supernum</w:t>
      </w:r>
      <w:r>
        <w:t>er</w:t>
      </w:r>
      <w:r w:rsidRPr="00D275EA">
        <w:t>ary digits, gastroschisis, malformed kidneys, domed head, high arched palate, and dilation of ventricles of the brain. The lowest doses with embryo-fetal effects</w:t>
      </w:r>
      <w:r>
        <w:t xml:space="preserve"> </w:t>
      </w:r>
      <w:r w:rsidRPr="00D275EA">
        <w:t xml:space="preserve">in animals correlated with </w:t>
      </w:r>
      <w:r>
        <w:t>0.6</w:t>
      </w:r>
      <w:r w:rsidRPr="00D275EA">
        <w:t xml:space="preserve"> </w:t>
      </w:r>
      <w:r>
        <w:t>to</w:t>
      </w:r>
      <w:r w:rsidRPr="00D275EA">
        <w:t xml:space="preserve"> </w:t>
      </w:r>
      <w:r>
        <w:t>1.1</w:t>
      </w:r>
      <w:r w:rsidRPr="00D275EA">
        <w:t xml:space="preserve"> times the human clinical exposure at 100 mg, based on AUC.</w:t>
      </w:r>
    </w:p>
    <w:p w14:paraId="3DBF8206" w14:textId="77777777" w:rsidR="00737ADC" w:rsidRPr="00F3524D" w:rsidRDefault="001678BA" w:rsidP="00737ADC">
      <w:pPr>
        <w:rPr>
          <w:noProof/>
        </w:rPr>
      </w:pPr>
      <w:r w:rsidRPr="00605EA5">
        <w:t>LORVIQUA</w:t>
      </w:r>
      <w:r w:rsidR="0013716F">
        <w:rPr>
          <w:noProof/>
          <w:szCs w:val="22"/>
        </w:rPr>
        <w:t xml:space="preserve"> </w:t>
      </w:r>
      <w:r w:rsidR="00737ADC" w:rsidRPr="00F3524D">
        <w:rPr>
          <w:szCs w:val="22"/>
        </w:rPr>
        <w:t>is not recommended during pregnancy or for women of childbearing potential not using contraception.</w:t>
      </w:r>
    </w:p>
    <w:p w14:paraId="76EBF5E5" w14:textId="77777777" w:rsidR="00737ADC" w:rsidRPr="002905BA" w:rsidRDefault="0013716F" w:rsidP="002905BA">
      <w:pPr>
        <w:keepNext/>
        <w:spacing w:before="240" w:after="120"/>
        <w:rPr>
          <w:b/>
          <w:noProof/>
        </w:rPr>
      </w:pPr>
      <w:r w:rsidRPr="002905BA">
        <w:rPr>
          <w:b/>
          <w:noProof/>
          <w:szCs w:val="22"/>
        </w:rPr>
        <w:lastRenderedPageBreak/>
        <w:t>Use in lactation</w:t>
      </w:r>
    </w:p>
    <w:p w14:paraId="55454A9A" w14:textId="77777777" w:rsidR="00737ADC" w:rsidRPr="00F3524D" w:rsidRDefault="00737ADC" w:rsidP="003D182C">
      <w:pPr>
        <w:keepNext/>
        <w:spacing w:after="180"/>
        <w:rPr>
          <w:noProof/>
        </w:rPr>
      </w:pPr>
      <w:r w:rsidRPr="00F3524D">
        <w:rPr>
          <w:noProof/>
        </w:rPr>
        <w:t>It is not known whether lorlatinib and its metabolites are excreted in human milk. A risk to the newborn child cannot be excluded.</w:t>
      </w:r>
    </w:p>
    <w:p w14:paraId="1CD9AA6B" w14:textId="1770A874" w:rsidR="00737ADC" w:rsidRPr="00F3524D" w:rsidRDefault="001678BA" w:rsidP="00737ADC">
      <w:pPr>
        <w:rPr>
          <w:noProof/>
        </w:rPr>
      </w:pPr>
      <w:r w:rsidRPr="00605EA5">
        <w:t>LORVIQUA</w:t>
      </w:r>
      <w:r w:rsidR="00737ADC" w:rsidRPr="00F3524D">
        <w:rPr>
          <w:noProof/>
        </w:rPr>
        <w:t xml:space="preserve"> should not be used during breastfeeding. Breastfeeding should be discontinued during treatment with </w:t>
      </w:r>
      <w:r w:rsidRPr="00605EA5">
        <w:t>LORVIQUA</w:t>
      </w:r>
      <w:r w:rsidR="00737ADC">
        <w:rPr>
          <w:noProof/>
        </w:rPr>
        <w:t xml:space="preserve"> and for 7 days after the last dose.</w:t>
      </w:r>
    </w:p>
    <w:p w14:paraId="656B9460" w14:textId="77777777" w:rsidR="00737ADC" w:rsidRPr="007876D3" w:rsidRDefault="00737ADC" w:rsidP="007876D3">
      <w:pPr>
        <w:pStyle w:val="PIHeading2"/>
        <w:spacing w:before="360" w:after="240" w:line="240" w:lineRule="auto"/>
        <w:rPr>
          <w:sz w:val="28"/>
          <w:szCs w:val="28"/>
        </w:rPr>
      </w:pPr>
      <w:r w:rsidRPr="007876D3">
        <w:rPr>
          <w:sz w:val="28"/>
          <w:szCs w:val="28"/>
        </w:rPr>
        <w:t>4.7</w:t>
      </w:r>
      <w:r w:rsidRPr="007876D3">
        <w:rPr>
          <w:sz w:val="28"/>
          <w:szCs w:val="28"/>
        </w:rPr>
        <w:tab/>
      </w:r>
      <w:r w:rsidR="007876D3">
        <w:rPr>
          <w:sz w:val="28"/>
          <w:szCs w:val="28"/>
        </w:rPr>
        <w:t>E</w:t>
      </w:r>
      <w:r w:rsidR="007876D3" w:rsidRPr="007876D3">
        <w:rPr>
          <w:sz w:val="28"/>
          <w:szCs w:val="28"/>
        </w:rPr>
        <w:t>ffects on ability to drive and use machines</w:t>
      </w:r>
    </w:p>
    <w:p w14:paraId="6B2807FB" w14:textId="1E94CF22" w:rsidR="00737ADC" w:rsidRDefault="008D6F3A" w:rsidP="00F95564">
      <w:pPr>
        <w:pStyle w:val="PINormal"/>
        <w:jc w:val="left"/>
      </w:pPr>
      <w:r w:rsidRPr="0075558E">
        <w:t xml:space="preserve">Lorlatinib has moderate influence on the ability to drive and use machines. Caution should be exercised when driving or operating machines as patients may experience CNS effects (see </w:t>
      </w:r>
      <w:r>
        <w:t>S</w:t>
      </w:r>
      <w:r w:rsidRPr="0075558E">
        <w:t>ection 4.8).</w:t>
      </w:r>
    </w:p>
    <w:p w14:paraId="79C7119B" w14:textId="77777777" w:rsidR="00737ADC" w:rsidRPr="007876D3" w:rsidRDefault="00737ADC" w:rsidP="00D71855">
      <w:pPr>
        <w:pStyle w:val="PIHeading2"/>
        <w:spacing w:before="360" w:after="240" w:line="240" w:lineRule="auto"/>
        <w:rPr>
          <w:sz w:val="28"/>
          <w:szCs w:val="28"/>
        </w:rPr>
      </w:pPr>
      <w:r w:rsidRPr="007876D3">
        <w:rPr>
          <w:sz w:val="28"/>
          <w:szCs w:val="28"/>
        </w:rPr>
        <w:t>4.8</w:t>
      </w:r>
      <w:r w:rsidRPr="007876D3">
        <w:rPr>
          <w:sz w:val="28"/>
          <w:szCs w:val="28"/>
        </w:rPr>
        <w:tab/>
      </w:r>
      <w:r w:rsidR="00D71855">
        <w:rPr>
          <w:sz w:val="28"/>
          <w:szCs w:val="28"/>
        </w:rPr>
        <w:t>A</w:t>
      </w:r>
      <w:r w:rsidR="00D71855" w:rsidRPr="007876D3">
        <w:rPr>
          <w:sz w:val="28"/>
          <w:szCs w:val="28"/>
        </w:rPr>
        <w:t>dverse effects (undesirable effects)</w:t>
      </w:r>
    </w:p>
    <w:p w14:paraId="64FB5706" w14:textId="7EE5B5E6" w:rsidR="00737ADC" w:rsidRPr="00B1727F" w:rsidRDefault="00737ADC" w:rsidP="003D182C">
      <w:pPr>
        <w:spacing w:after="180"/>
        <w:rPr>
          <w:noProof/>
        </w:rPr>
      </w:pPr>
      <w:r w:rsidRPr="00B1727F">
        <w:rPr>
          <w:noProof/>
        </w:rPr>
        <w:t xml:space="preserve">The data described below reflect exposure to </w:t>
      </w:r>
      <w:r w:rsidR="001678BA" w:rsidRPr="00605EA5">
        <w:t>LORVIQUA</w:t>
      </w:r>
      <w:r w:rsidRPr="00B1727F">
        <w:rPr>
          <w:noProof/>
        </w:rPr>
        <w:t xml:space="preserve"> in 295</w:t>
      </w:r>
      <w:r w:rsidRPr="00B1727F">
        <w:t> </w:t>
      </w:r>
      <w:r w:rsidRPr="00B1727F">
        <w:rPr>
          <w:noProof/>
        </w:rPr>
        <w:t>adult patients with ALK</w:t>
      </w:r>
      <w:r w:rsidRPr="00B1727F">
        <w:rPr>
          <w:noProof/>
        </w:rPr>
        <w:noBreakHyphen/>
        <w:t>positive or c</w:t>
      </w:r>
      <w:r w:rsidRPr="00B1727F">
        <w:rPr>
          <w:noProof/>
        </w:rPr>
        <w:noBreakHyphen/>
        <w:t>ros oncogene 1 (ROS1)</w:t>
      </w:r>
      <w:r w:rsidRPr="00B1727F">
        <w:rPr>
          <w:noProof/>
        </w:rPr>
        <w:noBreakHyphen/>
        <w:t xml:space="preserve">positive </w:t>
      </w:r>
      <w:r w:rsidRPr="00B1727F">
        <w:t xml:space="preserve">metastatic NSCLC </w:t>
      </w:r>
      <w:r w:rsidR="008D6F3A" w:rsidRPr="00607A79">
        <w:t xml:space="preserve">who received </w:t>
      </w:r>
      <w:r w:rsidR="008D6F3A">
        <w:t>LORVIQUA</w:t>
      </w:r>
      <w:r w:rsidR="008D6F3A" w:rsidRPr="00607A79">
        <w:t xml:space="preserve"> 100 mg orally once daily in Study </w:t>
      </w:r>
      <w:r w:rsidR="008D6F3A" w:rsidRPr="00607A79">
        <w:rPr>
          <w:bCs/>
        </w:rPr>
        <w:t>B7461001</w:t>
      </w:r>
      <w:r w:rsidRPr="00B1727F">
        <w:rPr>
          <w:noProof/>
        </w:rPr>
        <w:t>.</w:t>
      </w:r>
    </w:p>
    <w:p w14:paraId="3FE169A8" w14:textId="63CE060F" w:rsidR="00737ADC" w:rsidRPr="00B1727F" w:rsidRDefault="00737ADC" w:rsidP="003D182C">
      <w:pPr>
        <w:spacing w:after="180"/>
      </w:pPr>
      <w:r w:rsidRPr="00B1727F">
        <w:t xml:space="preserve">The median duration of treatment was </w:t>
      </w:r>
      <w:r w:rsidR="00FC4593">
        <w:t>16.3</w:t>
      </w:r>
      <w:r w:rsidRPr="00B1727F">
        <w:t xml:space="preserve"> months (range: 1 day to </w:t>
      </w:r>
      <w:r w:rsidR="008D6F3A">
        <w:t>3</w:t>
      </w:r>
      <w:r w:rsidR="00FC4593">
        <w:t>9</w:t>
      </w:r>
      <w:r w:rsidR="008D6F3A">
        <w:t>.7</w:t>
      </w:r>
      <w:r w:rsidRPr="00B1727F">
        <w:t xml:space="preserve"> months),</w:t>
      </w:r>
      <w:r w:rsidRPr="00B1727F">
        <w:rPr>
          <w:color w:val="0000FF"/>
        </w:rPr>
        <w:t xml:space="preserve"> </w:t>
      </w:r>
      <w:r w:rsidRPr="00B1727F">
        <w:t>the median age was 53 years (range: 19 to 85 years), and 18% of patients were older than 65 years.</w:t>
      </w:r>
      <w:r w:rsidRPr="00B1727F">
        <w:rPr>
          <w:color w:val="0000FF"/>
        </w:rPr>
        <w:t xml:space="preserve"> </w:t>
      </w:r>
      <w:r w:rsidRPr="00B1727F">
        <w:t>A total of 58% of patients were female, 49% of patients were White, and 37% of patients were Asian.</w:t>
      </w:r>
    </w:p>
    <w:p w14:paraId="66E8553B" w14:textId="13BAD3C6" w:rsidR="008D6F3A" w:rsidRDefault="008D6F3A" w:rsidP="003D182C">
      <w:pPr>
        <w:spacing w:after="180"/>
      </w:pPr>
      <w:r w:rsidRPr="00010288">
        <w:t>The most frequently reported adverse reactions were hypercholesterol</w:t>
      </w:r>
      <w:r>
        <w:t>a</w:t>
      </w:r>
      <w:r w:rsidRPr="00010288">
        <w:t>emia (84.4%), hypertriglycerid</w:t>
      </w:r>
      <w:r>
        <w:t>a</w:t>
      </w:r>
      <w:r w:rsidRPr="00010288">
        <w:t xml:space="preserve">emia (67.1%), </w:t>
      </w:r>
      <w:r>
        <w:t>o</w:t>
      </w:r>
      <w:r w:rsidRPr="00010288">
        <w:t xml:space="preserve">edema (54.6%), peripheral neuropathy (47.8%), cognitive </w:t>
      </w:r>
      <w:r>
        <w:t>effects</w:t>
      </w:r>
      <w:r w:rsidRPr="00010288">
        <w:t xml:space="preserve"> (28.8%), fatigue (28.1%)</w:t>
      </w:r>
      <w:r>
        <w:t>,</w:t>
      </w:r>
      <w:r w:rsidRPr="00010288">
        <w:t xml:space="preserve"> weight increased (26.4%)</w:t>
      </w:r>
      <w:r>
        <w:t>, and mood effects (22.7%)</w:t>
      </w:r>
      <w:r w:rsidRPr="00010288">
        <w:t>.</w:t>
      </w:r>
    </w:p>
    <w:p w14:paraId="7A1AB4F7" w14:textId="77777777" w:rsidR="008D6F3A" w:rsidRPr="00B1727F" w:rsidRDefault="008D6F3A" w:rsidP="00F654EE">
      <w:pPr>
        <w:spacing w:after="180"/>
      </w:pPr>
      <w:r w:rsidRPr="00010288">
        <w:t>Dose reductions due to adverse reactions occurred in 23.4% of patients receiving lorlatinib.</w:t>
      </w:r>
      <w:r w:rsidRPr="0050683B">
        <w:rPr>
          <w:vertAlign w:val="superscript"/>
        </w:rPr>
        <w:t xml:space="preserve"> </w:t>
      </w:r>
      <w:r w:rsidRPr="00010288">
        <w:t xml:space="preserve">The most common adverse reactions that led to dose reductions were </w:t>
      </w:r>
      <w:r>
        <w:t>o</w:t>
      </w:r>
      <w:r w:rsidRPr="00010288">
        <w:t xml:space="preserve">edema and peripheral neuropathy. Permanent treatment discontinuation associated with adverse reactions occurred in 3.1% of patients receiving lorlatinib. The most frequent adverse reaction that led to </w:t>
      </w:r>
      <w:r>
        <w:t xml:space="preserve">a </w:t>
      </w:r>
      <w:r w:rsidRPr="00010288">
        <w:t xml:space="preserve">permanent discontinuation was </w:t>
      </w:r>
      <w:r>
        <w:t>hallucinations</w:t>
      </w:r>
      <w:r w:rsidRPr="00010288">
        <w:t>.</w:t>
      </w:r>
    </w:p>
    <w:p w14:paraId="47B50F82" w14:textId="662FD3C5" w:rsidR="00737ADC" w:rsidRDefault="00737ADC" w:rsidP="00F654EE">
      <w:pPr>
        <w:spacing w:after="180"/>
      </w:pPr>
      <w:r w:rsidRPr="00B1727F">
        <w:t xml:space="preserve">Serious adverse reactions were reported in </w:t>
      </w:r>
      <w:r w:rsidR="00D34044">
        <w:t>7.8%</w:t>
      </w:r>
      <w:r w:rsidRPr="00B1727F">
        <w:t xml:space="preserve"> patients </w:t>
      </w:r>
      <w:r w:rsidR="00D34044">
        <w:t>receiving lorlatinib</w:t>
      </w:r>
      <w:r w:rsidRPr="00B1727F">
        <w:t xml:space="preserve">. The most frequent serious adverse reaction reported </w:t>
      </w:r>
      <w:r w:rsidR="00D34044">
        <w:t>was</w:t>
      </w:r>
      <w:r w:rsidRPr="00B1727F">
        <w:t xml:space="preserve"> cognitive </w:t>
      </w:r>
      <w:r w:rsidR="007F63E4">
        <w:t>effects</w:t>
      </w:r>
      <w:r w:rsidRPr="00B1727F">
        <w:t xml:space="preserve"> (1.0%).</w:t>
      </w:r>
    </w:p>
    <w:p w14:paraId="24BA66C1" w14:textId="07F25530" w:rsidR="008D53CB" w:rsidRDefault="00037E87" w:rsidP="00F654EE">
      <w:pPr>
        <w:keepNext/>
        <w:tabs>
          <w:tab w:val="left" w:pos="1080"/>
        </w:tabs>
        <w:spacing w:after="180"/>
      </w:pPr>
      <w:r w:rsidRPr="00037E87">
        <w:rPr>
          <w:lang w:val="en-GB"/>
        </w:rPr>
        <w:t>Table </w:t>
      </w:r>
      <w:r w:rsidR="00F64C3A">
        <w:rPr>
          <w:lang w:val="en-GB"/>
        </w:rPr>
        <w:t>2</w:t>
      </w:r>
      <w:r w:rsidRPr="00037E87">
        <w:rPr>
          <w:lang w:val="en-GB"/>
        </w:rPr>
        <w:t xml:space="preserve"> present</w:t>
      </w:r>
      <w:r w:rsidR="00D67798">
        <w:rPr>
          <w:lang w:val="en-GB"/>
        </w:rPr>
        <w:t xml:space="preserve">s </w:t>
      </w:r>
      <w:r w:rsidR="00D67798" w:rsidRPr="00037E87">
        <w:rPr>
          <w:lang w:val="en-GB"/>
        </w:rPr>
        <w:t xml:space="preserve">adverse </w:t>
      </w:r>
      <w:r w:rsidR="00D67798">
        <w:rPr>
          <w:lang w:val="en-GB"/>
        </w:rPr>
        <w:t xml:space="preserve">drug </w:t>
      </w:r>
      <w:r w:rsidR="00D67798" w:rsidRPr="00037E87">
        <w:rPr>
          <w:lang w:val="en-GB"/>
        </w:rPr>
        <w:t>reactions</w:t>
      </w:r>
      <w:r w:rsidRPr="00037E87">
        <w:rPr>
          <w:lang w:val="en-GB"/>
        </w:rPr>
        <w:t xml:space="preserve"> </w:t>
      </w:r>
      <w:r w:rsidR="001678BA">
        <w:rPr>
          <w:lang w:val="en-GB"/>
        </w:rPr>
        <w:t xml:space="preserve">for </w:t>
      </w:r>
      <w:r w:rsidR="001678BA" w:rsidRPr="00605EA5">
        <w:t>LORVIQUA</w:t>
      </w:r>
      <w:r w:rsidR="00D67798">
        <w:rPr>
          <w:lang w:val="en-GB"/>
        </w:rPr>
        <w:t xml:space="preserve"> </w:t>
      </w:r>
      <w:r w:rsidRPr="00037E87">
        <w:rPr>
          <w:lang w:val="en-GB"/>
        </w:rPr>
        <w:t xml:space="preserve">by system organ class </w:t>
      </w:r>
      <w:r>
        <w:rPr>
          <w:lang w:val="en-GB"/>
        </w:rPr>
        <w:t xml:space="preserve">(SOC) </w:t>
      </w:r>
      <w:r w:rsidRPr="00037E87">
        <w:rPr>
          <w:lang w:val="en-GB"/>
        </w:rPr>
        <w:t xml:space="preserve">and </w:t>
      </w:r>
      <w:r>
        <w:rPr>
          <w:lang w:val="en-GB"/>
        </w:rPr>
        <w:t xml:space="preserve">CIOMS </w:t>
      </w:r>
      <w:r w:rsidRPr="00037E87">
        <w:rPr>
          <w:lang w:val="en-GB"/>
        </w:rPr>
        <w:t>frequency categor</w:t>
      </w:r>
      <w:r w:rsidR="00F77346">
        <w:rPr>
          <w:lang w:val="en-GB"/>
        </w:rPr>
        <w:t>ies</w:t>
      </w:r>
      <w:r w:rsidR="00042E0E">
        <w:rPr>
          <w:lang w:val="en-GB"/>
        </w:rPr>
        <w:t>, defined using the following convention: very common (</w:t>
      </w:r>
      <w:r w:rsidR="00BC149B">
        <w:rPr>
          <w:lang w:val="en-GB"/>
        </w:rPr>
        <w:sym w:font="Symbol" w:char="F0B3"/>
      </w:r>
      <w:r w:rsidR="00042E0E">
        <w:rPr>
          <w:lang w:val="en-GB"/>
        </w:rPr>
        <w:t xml:space="preserve"> 1/10), common (</w:t>
      </w:r>
      <w:r w:rsidR="00BC149B">
        <w:rPr>
          <w:lang w:val="en-GB"/>
        </w:rPr>
        <w:sym w:font="Symbol" w:char="F0B3"/>
      </w:r>
      <w:r w:rsidR="00042E0E">
        <w:rPr>
          <w:lang w:val="en-GB"/>
        </w:rPr>
        <w:t xml:space="preserve"> 1/100 to &lt; 1/10), uncommon (</w:t>
      </w:r>
      <w:r w:rsidR="00BC149B">
        <w:rPr>
          <w:lang w:val="en-GB"/>
        </w:rPr>
        <w:sym w:font="Symbol" w:char="F0B3"/>
      </w:r>
      <w:r w:rsidR="00042E0E">
        <w:rPr>
          <w:lang w:val="en-GB"/>
        </w:rPr>
        <w:t xml:space="preserve"> 1/1,000 to &lt; 1/100), rare (</w:t>
      </w:r>
      <w:r w:rsidR="00BC149B">
        <w:rPr>
          <w:lang w:val="en-GB"/>
        </w:rPr>
        <w:sym w:font="Symbol" w:char="F0B3"/>
      </w:r>
      <w:r w:rsidR="00042E0E">
        <w:rPr>
          <w:lang w:val="en-GB"/>
        </w:rPr>
        <w:t xml:space="preserve"> 1/10,000 to &lt; 1/1,000), very rare (&lt;1/10,000). Within each SOC and frequency category, undesirable effects are presented</w:t>
      </w:r>
      <w:r>
        <w:rPr>
          <w:lang w:val="en-GB"/>
        </w:rPr>
        <w:t xml:space="preserve"> </w:t>
      </w:r>
      <w:r w:rsidRPr="00037E87">
        <w:rPr>
          <w:lang w:val="en-GB"/>
        </w:rPr>
        <w:t>in order of decreasing medical seriousness</w:t>
      </w:r>
      <w:r>
        <w:rPr>
          <w:lang w:val="en-GB"/>
        </w:rPr>
        <w:t xml:space="preserve"> </w:t>
      </w:r>
      <w:r w:rsidR="00FE4651">
        <w:rPr>
          <w:lang w:val="en-GB"/>
        </w:rPr>
        <w:t>or clinical importance</w:t>
      </w:r>
      <w:r>
        <w:rPr>
          <w:lang w:val="en-GB"/>
        </w:rPr>
        <w:t>.</w:t>
      </w:r>
    </w:p>
    <w:p w14:paraId="43015AE7" w14:textId="08AEE218" w:rsidR="00737ADC" w:rsidRPr="00F3524D" w:rsidRDefault="00737ADC" w:rsidP="00F654EE">
      <w:pPr>
        <w:keepNext/>
        <w:pageBreakBefore/>
        <w:tabs>
          <w:tab w:val="left" w:pos="1080"/>
        </w:tabs>
        <w:rPr>
          <w:b/>
          <w:noProof/>
        </w:rPr>
      </w:pPr>
      <w:r w:rsidRPr="00F3524D">
        <w:rPr>
          <w:b/>
        </w:rPr>
        <w:lastRenderedPageBreak/>
        <w:t xml:space="preserve">Table </w:t>
      </w:r>
      <w:r w:rsidR="00F64C3A">
        <w:rPr>
          <w:b/>
        </w:rPr>
        <w:t>2</w:t>
      </w:r>
      <w:r w:rsidRPr="00F3524D">
        <w:rPr>
          <w:b/>
        </w:rPr>
        <w:t xml:space="preserve">. </w:t>
      </w:r>
      <w:r>
        <w:rPr>
          <w:b/>
        </w:rPr>
        <w:tab/>
      </w:r>
      <w:r w:rsidRPr="00F3524D">
        <w:rPr>
          <w:b/>
        </w:rPr>
        <w:t>Adverse Drug Reactions</w:t>
      </w:r>
      <w:r w:rsidRPr="00F3524D">
        <w:rPr>
          <w:b/>
          <w:noProof/>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268"/>
        <w:gridCol w:w="1701"/>
        <w:gridCol w:w="1389"/>
      </w:tblGrid>
      <w:tr w:rsidR="00042E0E" w:rsidRPr="00932E97" w14:paraId="35D24EF8" w14:textId="77777777" w:rsidTr="000C44FC">
        <w:tc>
          <w:tcPr>
            <w:tcW w:w="4248" w:type="dxa"/>
            <w:tcBorders>
              <w:top w:val="single" w:sz="4" w:space="0" w:color="auto"/>
              <w:left w:val="single" w:sz="4" w:space="0" w:color="auto"/>
              <w:bottom w:val="single" w:sz="4" w:space="0" w:color="auto"/>
              <w:right w:val="single" w:sz="4" w:space="0" w:color="auto"/>
            </w:tcBorders>
          </w:tcPr>
          <w:p w14:paraId="7D6A14AD" w14:textId="77777777" w:rsidR="00042E0E" w:rsidRPr="00932E97" w:rsidRDefault="00042E0E" w:rsidP="000C44FC">
            <w:pPr>
              <w:rPr>
                <w:b/>
                <w:iCs/>
                <w:sz w:val="22"/>
                <w:szCs w:val="22"/>
              </w:rPr>
            </w:pPr>
            <w:r w:rsidRPr="00932E97">
              <w:rPr>
                <w:b/>
                <w:iCs/>
                <w:sz w:val="22"/>
                <w:szCs w:val="22"/>
              </w:rPr>
              <w:t>System Organ Class and Adverse Drug Reaction</w:t>
            </w:r>
          </w:p>
        </w:tc>
        <w:tc>
          <w:tcPr>
            <w:tcW w:w="2268" w:type="dxa"/>
            <w:tcBorders>
              <w:top w:val="single" w:sz="4" w:space="0" w:color="auto"/>
              <w:left w:val="single" w:sz="4" w:space="0" w:color="auto"/>
              <w:bottom w:val="single" w:sz="4" w:space="0" w:color="auto"/>
              <w:right w:val="single" w:sz="4" w:space="0" w:color="auto"/>
            </w:tcBorders>
          </w:tcPr>
          <w:p w14:paraId="69A83C70" w14:textId="77777777" w:rsidR="00042E0E" w:rsidRPr="00932E97" w:rsidRDefault="00042E0E" w:rsidP="000C44FC">
            <w:pPr>
              <w:jc w:val="center"/>
              <w:rPr>
                <w:b/>
                <w:iCs/>
                <w:sz w:val="22"/>
                <w:szCs w:val="22"/>
              </w:rPr>
            </w:pPr>
            <w:r w:rsidRPr="00932E97">
              <w:rPr>
                <w:b/>
                <w:iCs/>
                <w:sz w:val="22"/>
                <w:szCs w:val="22"/>
              </w:rPr>
              <w:t>Frequency Category</w:t>
            </w:r>
          </w:p>
        </w:tc>
        <w:tc>
          <w:tcPr>
            <w:tcW w:w="1701" w:type="dxa"/>
            <w:tcBorders>
              <w:top w:val="single" w:sz="4" w:space="0" w:color="auto"/>
              <w:left w:val="single" w:sz="4" w:space="0" w:color="auto"/>
              <w:bottom w:val="single" w:sz="4" w:space="0" w:color="auto"/>
              <w:right w:val="single" w:sz="4" w:space="0" w:color="auto"/>
            </w:tcBorders>
          </w:tcPr>
          <w:p w14:paraId="76237DCF" w14:textId="77777777" w:rsidR="00042E0E" w:rsidRPr="00932E97" w:rsidRDefault="00042E0E" w:rsidP="000C44FC">
            <w:pPr>
              <w:jc w:val="center"/>
              <w:rPr>
                <w:b/>
                <w:iCs/>
                <w:sz w:val="22"/>
                <w:szCs w:val="22"/>
              </w:rPr>
            </w:pPr>
            <w:r w:rsidRPr="00932E97">
              <w:rPr>
                <w:b/>
                <w:iCs/>
                <w:sz w:val="22"/>
                <w:szCs w:val="22"/>
              </w:rPr>
              <w:t>All Grades</w:t>
            </w:r>
          </w:p>
          <w:p w14:paraId="4A9E6855" w14:textId="77777777" w:rsidR="00042E0E" w:rsidRPr="00932E97" w:rsidRDefault="00042E0E" w:rsidP="000C44FC">
            <w:pPr>
              <w:jc w:val="center"/>
              <w:rPr>
                <w:b/>
                <w:iCs/>
                <w:sz w:val="22"/>
                <w:szCs w:val="22"/>
              </w:rPr>
            </w:pPr>
            <w:r w:rsidRPr="00932E97">
              <w:rPr>
                <w:b/>
                <w:iCs/>
                <w:sz w:val="22"/>
                <w:szCs w:val="22"/>
              </w:rPr>
              <w:t>%</w:t>
            </w:r>
          </w:p>
        </w:tc>
        <w:tc>
          <w:tcPr>
            <w:tcW w:w="1389" w:type="dxa"/>
            <w:tcBorders>
              <w:top w:val="single" w:sz="4" w:space="0" w:color="auto"/>
              <w:left w:val="single" w:sz="4" w:space="0" w:color="auto"/>
              <w:bottom w:val="single" w:sz="4" w:space="0" w:color="auto"/>
              <w:right w:val="single" w:sz="4" w:space="0" w:color="auto"/>
            </w:tcBorders>
          </w:tcPr>
          <w:p w14:paraId="3A1561B7" w14:textId="77777777" w:rsidR="00042E0E" w:rsidRPr="00932E97" w:rsidRDefault="00042E0E" w:rsidP="000C44FC">
            <w:pPr>
              <w:jc w:val="center"/>
              <w:rPr>
                <w:b/>
                <w:iCs/>
                <w:sz w:val="22"/>
                <w:szCs w:val="22"/>
              </w:rPr>
            </w:pPr>
            <w:r w:rsidRPr="00932E97">
              <w:rPr>
                <w:b/>
                <w:iCs/>
                <w:sz w:val="22"/>
                <w:szCs w:val="22"/>
              </w:rPr>
              <w:t>Grades 3-4</w:t>
            </w:r>
          </w:p>
          <w:p w14:paraId="61528557" w14:textId="77777777" w:rsidR="00042E0E" w:rsidRPr="00932E97" w:rsidRDefault="00042E0E" w:rsidP="000C44FC">
            <w:pPr>
              <w:jc w:val="center"/>
              <w:rPr>
                <w:b/>
                <w:iCs/>
                <w:sz w:val="22"/>
                <w:szCs w:val="22"/>
              </w:rPr>
            </w:pPr>
            <w:r w:rsidRPr="00932E97">
              <w:rPr>
                <w:b/>
                <w:iCs/>
                <w:sz w:val="22"/>
                <w:szCs w:val="22"/>
              </w:rPr>
              <w:t>%</w:t>
            </w:r>
          </w:p>
        </w:tc>
      </w:tr>
      <w:tr w:rsidR="00042E0E" w:rsidRPr="00932E97" w14:paraId="533C77A3" w14:textId="77777777" w:rsidTr="000C44FC">
        <w:tc>
          <w:tcPr>
            <w:tcW w:w="4248" w:type="dxa"/>
            <w:tcBorders>
              <w:top w:val="single" w:sz="4" w:space="0" w:color="auto"/>
              <w:left w:val="single" w:sz="4" w:space="0" w:color="auto"/>
              <w:bottom w:val="single" w:sz="4" w:space="0" w:color="auto"/>
              <w:right w:val="single" w:sz="4" w:space="0" w:color="auto"/>
            </w:tcBorders>
          </w:tcPr>
          <w:p w14:paraId="602C5D4E" w14:textId="77777777" w:rsidR="00042E0E" w:rsidRPr="00932E97" w:rsidRDefault="00042E0E" w:rsidP="000C44FC">
            <w:pPr>
              <w:rPr>
                <w:iCs/>
                <w:sz w:val="22"/>
                <w:szCs w:val="22"/>
              </w:rPr>
            </w:pPr>
            <w:r w:rsidRPr="00932E97">
              <w:rPr>
                <w:iCs/>
                <w:sz w:val="22"/>
                <w:szCs w:val="22"/>
              </w:rPr>
              <w:t>Blood and lymphatic system disorders</w:t>
            </w:r>
          </w:p>
          <w:p w14:paraId="210451AE" w14:textId="77777777" w:rsidR="00042E0E" w:rsidRPr="00932E97" w:rsidRDefault="00042E0E" w:rsidP="000C44FC">
            <w:pPr>
              <w:rPr>
                <w:iCs/>
                <w:sz w:val="22"/>
                <w:szCs w:val="22"/>
              </w:rPr>
            </w:pPr>
            <w:r>
              <w:rPr>
                <w:iCs/>
                <w:sz w:val="22"/>
                <w:szCs w:val="22"/>
              </w:rPr>
              <w:t xml:space="preserve">   </w:t>
            </w:r>
            <w:r w:rsidRPr="00932E97">
              <w:rPr>
                <w:iCs/>
                <w:sz w:val="22"/>
                <w:szCs w:val="22"/>
              </w:rPr>
              <w:t>Anaemia</w:t>
            </w:r>
          </w:p>
        </w:tc>
        <w:tc>
          <w:tcPr>
            <w:tcW w:w="2268" w:type="dxa"/>
            <w:tcBorders>
              <w:top w:val="single" w:sz="4" w:space="0" w:color="auto"/>
              <w:left w:val="single" w:sz="4" w:space="0" w:color="auto"/>
              <w:bottom w:val="single" w:sz="4" w:space="0" w:color="auto"/>
              <w:right w:val="single" w:sz="4" w:space="0" w:color="auto"/>
            </w:tcBorders>
          </w:tcPr>
          <w:p w14:paraId="3DBE399B" w14:textId="77777777" w:rsidR="00042E0E" w:rsidRPr="00932E97" w:rsidRDefault="00042E0E" w:rsidP="000C44FC">
            <w:pPr>
              <w:rPr>
                <w:iCs/>
                <w:sz w:val="22"/>
                <w:szCs w:val="22"/>
              </w:rPr>
            </w:pPr>
          </w:p>
          <w:p w14:paraId="45B4CE64" w14:textId="77777777" w:rsidR="00042E0E" w:rsidRPr="00932E97" w:rsidRDefault="00042E0E" w:rsidP="000C44FC">
            <w:pPr>
              <w:jc w:val="center"/>
              <w:rPr>
                <w:iCs/>
                <w:sz w:val="22"/>
                <w:szCs w:val="22"/>
              </w:rPr>
            </w:pPr>
            <w:r w:rsidRPr="00932E97">
              <w:rPr>
                <w:iCs/>
                <w:sz w:val="22"/>
                <w:szCs w:val="22"/>
              </w:rPr>
              <w:t>Very common</w:t>
            </w:r>
          </w:p>
        </w:tc>
        <w:tc>
          <w:tcPr>
            <w:tcW w:w="1701" w:type="dxa"/>
            <w:tcBorders>
              <w:top w:val="single" w:sz="4" w:space="0" w:color="auto"/>
              <w:left w:val="single" w:sz="4" w:space="0" w:color="auto"/>
              <w:bottom w:val="single" w:sz="4" w:space="0" w:color="auto"/>
              <w:right w:val="single" w:sz="4" w:space="0" w:color="auto"/>
            </w:tcBorders>
          </w:tcPr>
          <w:p w14:paraId="445EBF6C" w14:textId="77777777" w:rsidR="00042E0E" w:rsidRDefault="00042E0E" w:rsidP="000C44FC">
            <w:pPr>
              <w:jc w:val="center"/>
              <w:rPr>
                <w:iCs/>
                <w:sz w:val="22"/>
                <w:szCs w:val="22"/>
              </w:rPr>
            </w:pPr>
          </w:p>
          <w:p w14:paraId="01E27E0F" w14:textId="77777777" w:rsidR="00042E0E" w:rsidRPr="00932E97" w:rsidRDefault="00042E0E" w:rsidP="000C44FC">
            <w:pPr>
              <w:jc w:val="center"/>
              <w:rPr>
                <w:iCs/>
                <w:sz w:val="22"/>
                <w:szCs w:val="22"/>
              </w:rPr>
            </w:pPr>
            <w:r>
              <w:rPr>
                <w:iCs/>
                <w:sz w:val="22"/>
                <w:szCs w:val="22"/>
              </w:rPr>
              <w:t>15.9</w:t>
            </w:r>
          </w:p>
        </w:tc>
        <w:tc>
          <w:tcPr>
            <w:tcW w:w="1389" w:type="dxa"/>
            <w:tcBorders>
              <w:top w:val="single" w:sz="4" w:space="0" w:color="auto"/>
              <w:left w:val="single" w:sz="4" w:space="0" w:color="auto"/>
              <w:bottom w:val="single" w:sz="4" w:space="0" w:color="auto"/>
              <w:right w:val="single" w:sz="4" w:space="0" w:color="auto"/>
            </w:tcBorders>
          </w:tcPr>
          <w:p w14:paraId="690AC789" w14:textId="77777777" w:rsidR="00042E0E" w:rsidRDefault="00042E0E" w:rsidP="000C44FC">
            <w:pPr>
              <w:jc w:val="center"/>
              <w:rPr>
                <w:iCs/>
                <w:sz w:val="22"/>
                <w:szCs w:val="22"/>
              </w:rPr>
            </w:pPr>
          </w:p>
          <w:p w14:paraId="5D95B48D" w14:textId="77777777" w:rsidR="00042E0E" w:rsidRPr="00932E97" w:rsidRDefault="00042E0E" w:rsidP="000C44FC">
            <w:pPr>
              <w:jc w:val="center"/>
              <w:rPr>
                <w:iCs/>
                <w:sz w:val="22"/>
                <w:szCs w:val="22"/>
              </w:rPr>
            </w:pPr>
            <w:r>
              <w:rPr>
                <w:iCs/>
                <w:sz w:val="22"/>
                <w:szCs w:val="22"/>
              </w:rPr>
              <w:t>5.1</w:t>
            </w:r>
          </w:p>
        </w:tc>
      </w:tr>
      <w:tr w:rsidR="00042E0E" w:rsidRPr="00932E97" w14:paraId="5FF81D2E" w14:textId="77777777" w:rsidTr="000C44FC">
        <w:tc>
          <w:tcPr>
            <w:tcW w:w="4248" w:type="dxa"/>
            <w:tcBorders>
              <w:top w:val="single" w:sz="4" w:space="0" w:color="auto"/>
              <w:left w:val="single" w:sz="4" w:space="0" w:color="auto"/>
              <w:bottom w:val="single" w:sz="4" w:space="0" w:color="auto"/>
              <w:right w:val="single" w:sz="4" w:space="0" w:color="auto"/>
            </w:tcBorders>
          </w:tcPr>
          <w:p w14:paraId="51C69011" w14:textId="77777777" w:rsidR="00042E0E" w:rsidRPr="00932E97" w:rsidRDefault="00042E0E" w:rsidP="000C44FC">
            <w:pPr>
              <w:rPr>
                <w:iCs/>
                <w:sz w:val="22"/>
                <w:szCs w:val="22"/>
              </w:rPr>
            </w:pPr>
            <w:r w:rsidRPr="00932E97">
              <w:rPr>
                <w:iCs/>
                <w:sz w:val="22"/>
                <w:szCs w:val="22"/>
              </w:rPr>
              <w:t>Metabolism and nutrition disorders</w:t>
            </w:r>
          </w:p>
          <w:p w14:paraId="4991AC93" w14:textId="77777777" w:rsidR="00042E0E" w:rsidRPr="00932E97" w:rsidRDefault="00042E0E" w:rsidP="000C44FC">
            <w:pPr>
              <w:keepNext/>
              <w:rPr>
                <w:sz w:val="22"/>
                <w:szCs w:val="22"/>
              </w:rPr>
            </w:pPr>
            <w:r>
              <w:rPr>
                <w:sz w:val="22"/>
                <w:szCs w:val="22"/>
              </w:rPr>
              <w:t xml:space="preserve">   </w:t>
            </w:r>
            <w:r w:rsidRPr="00932E97">
              <w:rPr>
                <w:sz w:val="22"/>
                <w:szCs w:val="22"/>
              </w:rPr>
              <w:t>Hypercholesterolaemia</w:t>
            </w:r>
            <w:r w:rsidRPr="00932E97">
              <w:rPr>
                <w:sz w:val="22"/>
                <w:szCs w:val="22"/>
                <w:vertAlign w:val="superscript"/>
              </w:rPr>
              <w:t>a</w:t>
            </w:r>
            <w:r>
              <w:rPr>
                <w:sz w:val="22"/>
                <w:szCs w:val="22"/>
                <w:vertAlign w:val="superscript"/>
              </w:rPr>
              <w:t xml:space="preserve"> </w:t>
            </w:r>
          </w:p>
          <w:p w14:paraId="7496596B" w14:textId="77777777" w:rsidR="00042E0E" w:rsidRPr="00932E97" w:rsidRDefault="00042E0E" w:rsidP="000C44FC">
            <w:pPr>
              <w:rPr>
                <w:iCs/>
                <w:sz w:val="22"/>
                <w:szCs w:val="22"/>
              </w:rPr>
            </w:pPr>
            <w:r>
              <w:rPr>
                <w:sz w:val="22"/>
                <w:szCs w:val="22"/>
              </w:rPr>
              <w:t xml:space="preserve">   </w:t>
            </w:r>
            <w:r w:rsidRPr="00932E97">
              <w:rPr>
                <w:sz w:val="22"/>
                <w:szCs w:val="22"/>
              </w:rPr>
              <w:t>Hypertriglyceridaemia</w:t>
            </w:r>
            <w:r w:rsidRPr="00932E97">
              <w:rPr>
                <w:sz w:val="22"/>
                <w:szCs w:val="22"/>
                <w:vertAlign w:val="superscript"/>
              </w:rPr>
              <w:t>b</w:t>
            </w:r>
          </w:p>
        </w:tc>
        <w:tc>
          <w:tcPr>
            <w:tcW w:w="2268" w:type="dxa"/>
            <w:tcBorders>
              <w:top w:val="single" w:sz="4" w:space="0" w:color="auto"/>
              <w:left w:val="single" w:sz="4" w:space="0" w:color="auto"/>
              <w:bottom w:val="single" w:sz="4" w:space="0" w:color="auto"/>
              <w:right w:val="single" w:sz="4" w:space="0" w:color="auto"/>
            </w:tcBorders>
          </w:tcPr>
          <w:p w14:paraId="46F14BCA" w14:textId="77777777" w:rsidR="00042E0E" w:rsidRDefault="00042E0E" w:rsidP="000C44FC">
            <w:pPr>
              <w:jc w:val="center"/>
              <w:rPr>
                <w:iCs/>
                <w:sz w:val="22"/>
                <w:szCs w:val="22"/>
              </w:rPr>
            </w:pPr>
          </w:p>
          <w:p w14:paraId="31F57035" w14:textId="77777777" w:rsidR="00042E0E" w:rsidRDefault="00042E0E" w:rsidP="000C44FC">
            <w:pPr>
              <w:jc w:val="center"/>
              <w:rPr>
                <w:iCs/>
                <w:sz w:val="22"/>
                <w:szCs w:val="22"/>
              </w:rPr>
            </w:pPr>
            <w:r w:rsidRPr="00932E97">
              <w:rPr>
                <w:iCs/>
                <w:sz w:val="22"/>
                <w:szCs w:val="22"/>
              </w:rPr>
              <w:t>Very common</w:t>
            </w:r>
          </w:p>
          <w:p w14:paraId="2FDE6358" w14:textId="77777777" w:rsidR="00042E0E" w:rsidRPr="00932E97" w:rsidRDefault="00042E0E" w:rsidP="000C44FC">
            <w:pPr>
              <w:jc w:val="center"/>
              <w:rPr>
                <w:iCs/>
                <w:sz w:val="22"/>
                <w:szCs w:val="22"/>
              </w:rPr>
            </w:pPr>
            <w:r w:rsidRPr="00932E97">
              <w:rPr>
                <w:iCs/>
                <w:sz w:val="22"/>
                <w:szCs w:val="22"/>
              </w:rPr>
              <w:t>Very common</w:t>
            </w:r>
          </w:p>
        </w:tc>
        <w:tc>
          <w:tcPr>
            <w:tcW w:w="1701" w:type="dxa"/>
            <w:tcBorders>
              <w:top w:val="single" w:sz="4" w:space="0" w:color="auto"/>
              <w:left w:val="single" w:sz="4" w:space="0" w:color="auto"/>
              <w:bottom w:val="single" w:sz="4" w:space="0" w:color="auto"/>
              <w:right w:val="single" w:sz="4" w:space="0" w:color="auto"/>
            </w:tcBorders>
          </w:tcPr>
          <w:p w14:paraId="0195E264" w14:textId="77777777" w:rsidR="00042E0E" w:rsidRDefault="00042E0E" w:rsidP="000C44FC">
            <w:pPr>
              <w:jc w:val="center"/>
              <w:rPr>
                <w:iCs/>
                <w:sz w:val="22"/>
                <w:szCs w:val="22"/>
              </w:rPr>
            </w:pPr>
          </w:p>
          <w:p w14:paraId="6E1ACB60" w14:textId="77777777" w:rsidR="00042E0E" w:rsidRDefault="00042E0E" w:rsidP="000C44FC">
            <w:pPr>
              <w:jc w:val="center"/>
              <w:rPr>
                <w:iCs/>
                <w:sz w:val="22"/>
                <w:szCs w:val="22"/>
              </w:rPr>
            </w:pPr>
            <w:r>
              <w:rPr>
                <w:iCs/>
                <w:sz w:val="22"/>
                <w:szCs w:val="22"/>
              </w:rPr>
              <w:t>84.4</w:t>
            </w:r>
          </w:p>
          <w:p w14:paraId="14F912CC" w14:textId="77777777" w:rsidR="00042E0E" w:rsidRPr="00932E97" w:rsidRDefault="00042E0E" w:rsidP="000C44FC">
            <w:pPr>
              <w:jc w:val="center"/>
              <w:rPr>
                <w:iCs/>
                <w:sz w:val="22"/>
                <w:szCs w:val="22"/>
              </w:rPr>
            </w:pPr>
            <w:r>
              <w:rPr>
                <w:iCs/>
                <w:sz w:val="22"/>
                <w:szCs w:val="22"/>
              </w:rPr>
              <w:t>67.1</w:t>
            </w:r>
          </w:p>
        </w:tc>
        <w:tc>
          <w:tcPr>
            <w:tcW w:w="1389" w:type="dxa"/>
            <w:tcBorders>
              <w:top w:val="single" w:sz="4" w:space="0" w:color="auto"/>
              <w:left w:val="single" w:sz="4" w:space="0" w:color="auto"/>
              <w:bottom w:val="single" w:sz="4" w:space="0" w:color="auto"/>
              <w:right w:val="single" w:sz="4" w:space="0" w:color="auto"/>
            </w:tcBorders>
          </w:tcPr>
          <w:p w14:paraId="3252D0EF" w14:textId="77777777" w:rsidR="00042E0E" w:rsidRDefault="00042E0E" w:rsidP="000C44FC">
            <w:pPr>
              <w:jc w:val="center"/>
              <w:rPr>
                <w:iCs/>
                <w:sz w:val="22"/>
                <w:szCs w:val="22"/>
              </w:rPr>
            </w:pPr>
          </w:p>
          <w:p w14:paraId="2E263CD6" w14:textId="77777777" w:rsidR="00042E0E" w:rsidRDefault="00042E0E" w:rsidP="000C44FC">
            <w:pPr>
              <w:jc w:val="center"/>
              <w:rPr>
                <w:iCs/>
                <w:sz w:val="22"/>
                <w:szCs w:val="22"/>
              </w:rPr>
            </w:pPr>
            <w:r>
              <w:rPr>
                <w:iCs/>
                <w:sz w:val="22"/>
                <w:szCs w:val="22"/>
              </w:rPr>
              <w:t>16.6</w:t>
            </w:r>
          </w:p>
          <w:p w14:paraId="0BF8B9AF" w14:textId="77777777" w:rsidR="00042E0E" w:rsidRPr="00932E97" w:rsidRDefault="00042E0E" w:rsidP="000C44FC">
            <w:pPr>
              <w:jc w:val="center"/>
              <w:rPr>
                <w:iCs/>
                <w:sz w:val="22"/>
                <w:szCs w:val="22"/>
              </w:rPr>
            </w:pPr>
            <w:r>
              <w:rPr>
                <w:iCs/>
                <w:sz w:val="22"/>
                <w:szCs w:val="22"/>
              </w:rPr>
              <w:t>16.6</w:t>
            </w:r>
          </w:p>
        </w:tc>
      </w:tr>
      <w:tr w:rsidR="00042E0E" w:rsidRPr="00932E97" w14:paraId="29378E10" w14:textId="77777777" w:rsidTr="000C44FC">
        <w:tc>
          <w:tcPr>
            <w:tcW w:w="4248" w:type="dxa"/>
            <w:tcBorders>
              <w:top w:val="single" w:sz="4" w:space="0" w:color="auto"/>
              <w:left w:val="single" w:sz="4" w:space="0" w:color="auto"/>
              <w:bottom w:val="single" w:sz="4" w:space="0" w:color="auto"/>
              <w:right w:val="single" w:sz="4" w:space="0" w:color="auto"/>
            </w:tcBorders>
          </w:tcPr>
          <w:p w14:paraId="4C8446CD" w14:textId="77777777" w:rsidR="00042E0E" w:rsidRDefault="00042E0E" w:rsidP="000C44FC">
            <w:pPr>
              <w:rPr>
                <w:rFonts w:cs="Arial"/>
                <w:szCs w:val="22"/>
              </w:rPr>
            </w:pPr>
            <w:r w:rsidRPr="00F3524D">
              <w:rPr>
                <w:rFonts w:cs="Arial"/>
                <w:szCs w:val="22"/>
              </w:rPr>
              <w:t>Psychiatric disorders</w:t>
            </w:r>
          </w:p>
          <w:p w14:paraId="099CFF31" w14:textId="77777777" w:rsidR="00042E0E" w:rsidRDefault="00042E0E" w:rsidP="000C44FC">
            <w:pPr>
              <w:keepNext/>
              <w:rPr>
                <w:rFonts w:cs="Arial"/>
                <w:szCs w:val="22"/>
              </w:rPr>
            </w:pPr>
            <w:r>
              <w:rPr>
                <w:rFonts w:cs="Arial"/>
                <w:szCs w:val="22"/>
              </w:rPr>
              <w:t xml:space="preserve">   </w:t>
            </w:r>
            <w:r w:rsidRPr="00F3524D">
              <w:rPr>
                <w:rFonts w:cs="Arial"/>
                <w:szCs w:val="22"/>
              </w:rPr>
              <w:t xml:space="preserve">Mood </w:t>
            </w:r>
            <w:r>
              <w:rPr>
                <w:rFonts w:cs="Arial"/>
                <w:szCs w:val="22"/>
              </w:rPr>
              <w:t>effects</w:t>
            </w:r>
            <w:r w:rsidRPr="00F3524D">
              <w:rPr>
                <w:rFonts w:cs="Arial"/>
                <w:szCs w:val="22"/>
                <w:vertAlign w:val="superscript"/>
              </w:rPr>
              <w:t>c</w:t>
            </w:r>
            <w:r w:rsidRPr="00F3524D">
              <w:rPr>
                <w:rFonts w:cs="Arial"/>
                <w:szCs w:val="22"/>
              </w:rPr>
              <w:t xml:space="preserve"> </w:t>
            </w:r>
          </w:p>
          <w:p w14:paraId="66F6B0AC" w14:textId="77777777" w:rsidR="00042E0E" w:rsidRPr="00932E97" w:rsidRDefault="00042E0E" w:rsidP="000C44FC">
            <w:pPr>
              <w:keepNext/>
              <w:rPr>
                <w:rFonts w:cs="Arial"/>
                <w:szCs w:val="22"/>
                <w:vertAlign w:val="superscript"/>
              </w:rPr>
            </w:pPr>
            <w:r>
              <w:rPr>
                <w:rFonts w:cs="Arial"/>
                <w:szCs w:val="22"/>
              </w:rPr>
              <w:t xml:space="preserve">   Hallucinations</w:t>
            </w:r>
            <w:r w:rsidRPr="00F3524D">
              <w:rPr>
                <w:rFonts w:cs="Arial"/>
                <w:szCs w:val="22"/>
                <w:vertAlign w:val="superscript"/>
              </w:rPr>
              <w:t>d</w:t>
            </w:r>
          </w:p>
        </w:tc>
        <w:tc>
          <w:tcPr>
            <w:tcW w:w="2268" w:type="dxa"/>
            <w:tcBorders>
              <w:top w:val="single" w:sz="4" w:space="0" w:color="auto"/>
              <w:left w:val="single" w:sz="4" w:space="0" w:color="auto"/>
              <w:bottom w:val="single" w:sz="4" w:space="0" w:color="auto"/>
              <w:right w:val="single" w:sz="4" w:space="0" w:color="auto"/>
            </w:tcBorders>
          </w:tcPr>
          <w:p w14:paraId="20E4A754" w14:textId="77777777" w:rsidR="00042E0E" w:rsidRDefault="00042E0E" w:rsidP="000C44FC">
            <w:pPr>
              <w:jc w:val="center"/>
              <w:rPr>
                <w:iCs/>
                <w:sz w:val="22"/>
                <w:szCs w:val="22"/>
              </w:rPr>
            </w:pPr>
          </w:p>
          <w:p w14:paraId="7EF40A1E" w14:textId="77777777" w:rsidR="00042E0E" w:rsidRDefault="00042E0E" w:rsidP="000C44FC">
            <w:pPr>
              <w:jc w:val="center"/>
              <w:rPr>
                <w:iCs/>
                <w:sz w:val="22"/>
                <w:szCs w:val="22"/>
              </w:rPr>
            </w:pPr>
            <w:r w:rsidRPr="00932E97">
              <w:rPr>
                <w:iCs/>
                <w:sz w:val="22"/>
                <w:szCs w:val="22"/>
              </w:rPr>
              <w:t>Very common</w:t>
            </w:r>
          </w:p>
          <w:p w14:paraId="73352179" w14:textId="77777777" w:rsidR="00042E0E" w:rsidRPr="00932E97" w:rsidRDefault="00042E0E" w:rsidP="000C44FC">
            <w:pPr>
              <w:jc w:val="center"/>
              <w:rPr>
                <w:iCs/>
                <w:sz w:val="22"/>
                <w:szCs w:val="22"/>
              </w:rPr>
            </w:pPr>
            <w:r>
              <w:rPr>
                <w:iCs/>
                <w:sz w:val="22"/>
                <w:szCs w:val="22"/>
              </w:rPr>
              <w:t>C</w:t>
            </w:r>
            <w:r w:rsidRPr="00932E97">
              <w:rPr>
                <w:iCs/>
                <w:sz w:val="22"/>
                <w:szCs w:val="22"/>
              </w:rPr>
              <w:t>ommon</w:t>
            </w:r>
          </w:p>
        </w:tc>
        <w:tc>
          <w:tcPr>
            <w:tcW w:w="1701" w:type="dxa"/>
            <w:tcBorders>
              <w:top w:val="single" w:sz="4" w:space="0" w:color="auto"/>
              <w:left w:val="single" w:sz="4" w:space="0" w:color="auto"/>
              <w:bottom w:val="single" w:sz="4" w:space="0" w:color="auto"/>
              <w:right w:val="single" w:sz="4" w:space="0" w:color="auto"/>
            </w:tcBorders>
          </w:tcPr>
          <w:p w14:paraId="58521378" w14:textId="77777777" w:rsidR="00042E0E" w:rsidRDefault="00042E0E" w:rsidP="000C44FC">
            <w:pPr>
              <w:jc w:val="center"/>
              <w:rPr>
                <w:iCs/>
                <w:sz w:val="22"/>
                <w:szCs w:val="22"/>
              </w:rPr>
            </w:pPr>
          </w:p>
          <w:p w14:paraId="5FC1CDD1" w14:textId="77777777" w:rsidR="00042E0E" w:rsidRDefault="00042E0E" w:rsidP="000C44FC">
            <w:pPr>
              <w:jc w:val="center"/>
              <w:rPr>
                <w:iCs/>
                <w:sz w:val="22"/>
                <w:szCs w:val="22"/>
              </w:rPr>
            </w:pPr>
            <w:r>
              <w:rPr>
                <w:iCs/>
                <w:sz w:val="22"/>
                <w:szCs w:val="22"/>
              </w:rPr>
              <w:t>22.7</w:t>
            </w:r>
          </w:p>
          <w:p w14:paraId="2901A1FF" w14:textId="77777777" w:rsidR="00042E0E" w:rsidRPr="00932E97" w:rsidRDefault="00042E0E" w:rsidP="000C44FC">
            <w:pPr>
              <w:jc w:val="center"/>
              <w:rPr>
                <w:iCs/>
                <w:sz w:val="22"/>
                <w:szCs w:val="22"/>
              </w:rPr>
            </w:pPr>
            <w:r>
              <w:rPr>
                <w:iCs/>
                <w:sz w:val="22"/>
                <w:szCs w:val="22"/>
              </w:rPr>
              <w:t>7.8</w:t>
            </w:r>
          </w:p>
        </w:tc>
        <w:tc>
          <w:tcPr>
            <w:tcW w:w="1389" w:type="dxa"/>
            <w:tcBorders>
              <w:top w:val="single" w:sz="4" w:space="0" w:color="auto"/>
              <w:left w:val="single" w:sz="4" w:space="0" w:color="auto"/>
              <w:bottom w:val="single" w:sz="4" w:space="0" w:color="auto"/>
              <w:right w:val="single" w:sz="4" w:space="0" w:color="auto"/>
            </w:tcBorders>
          </w:tcPr>
          <w:p w14:paraId="3EB069A9" w14:textId="77777777" w:rsidR="00042E0E" w:rsidRDefault="00042E0E" w:rsidP="000C44FC">
            <w:pPr>
              <w:jc w:val="center"/>
              <w:rPr>
                <w:iCs/>
                <w:sz w:val="22"/>
                <w:szCs w:val="22"/>
              </w:rPr>
            </w:pPr>
          </w:p>
          <w:p w14:paraId="10D250D0" w14:textId="77777777" w:rsidR="00042E0E" w:rsidRDefault="00042E0E" w:rsidP="000C44FC">
            <w:pPr>
              <w:jc w:val="center"/>
              <w:rPr>
                <w:iCs/>
                <w:sz w:val="22"/>
                <w:szCs w:val="22"/>
              </w:rPr>
            </w:pPr>
            <w:r>
              <w:rPr>
                <w:iCs/>
                <w:sz w:val="22"/>
                <w:szCs w:val="22"/>
              </w:rPr>
              <w:t>1.7</w:t>
            </w:r>
          </w:p>
          <w:p w14:paraId="6F72FBEC" w14:textId="77777777" w:rsidR="00042E0E" w:rsidRPr="00932E97" w:rsidRDefault="00042E0E" w:rsidP="000C44FC">
            <w:pPr>
              <w:jc w:val="center"/>
              <w:rPr>
                <w:iCs/>
                <w:sz w:val="22"/>
                <w:szCs w:val="22"/>
              </w:rPr>
            </w:pPr>
            <w:r>
              <w:rPr>
                <w:iCs/>
                <w:sz w:val="22"/>
                <w:szCs w:val="22"/>
              </w:rPr>
              <w:t>1.0</w:t>
            </w:r>
          </w:p>
        </w:tc>
      </w:tr>
      <w:tr w:rsidR="00042E0E" w:rsidRPr="00932E97" w14:paraId="673C50A5" w14:textId="77777777" w:rsidTr="000C44FC">
        <w:tc>
          <w:tcPr>
            <w:tcW w:w="4248" w:type="dxa"/>
            <w:tcBorders>
              <w:top w:val="single" w:sz="4" w:space="0" w:color="auto"/>
              <w:left w:val="single" w:sz="4" w:space="0" w:color="auto"/>
              <w:bottom w:val="single" w:sz="4" w:space="0" w:color="auto"/>
              <w:right w:val="single" w:sz="4" w:space="0" w:color="auto"/>
            </w:tcBorders>
          </w:tcPr>
          <w:p w14:paraId="5351C312" w14:textId="77777777" w:rsidR="00042E0E" w:rsidRDefault="00042E0E" w:rsidP="000C44FC">
            <w:pPr>
              <w:rPr>
                <w:rFonts w:cs="Arial"/>
                <w:szCs w:val="22"/>
              </w:rPr>
            </w:pPr>
            <w:r w:rsidRPr="00F3524D">
              <w:rPr>
                <w:rFonts w:cs="Arial"/>
                <w:szCs w:val="22"/>
              </w:rPr>
              <w:t>Nervous system disorders</w:t>
            </w:r>
          </w:p>
          <w:p w14:paraId="02B5596B" w14:textId="77777777" w:rsidR="00042E0E" w:rsidRPr="00F3524D" w:rsidRDefault="00042E0E" w:rsidP="000C44FC">
            <w:pPr>
              <w:rPr>
                <w:rFonts w:cs="Arial"/>
                <w:szCs w:val="22"/>
              </w:rPr>
            </w:pPr>
            <w:r>
              <w:rPr>
                <w:rFonts w:cs="Arial"/>
                <w:szCs w:val="22"/>
              </w:rPr>
              <w:t xml:space="preserve">   </w:t>
            </w:r>
            <w:r w:rsidRPr="00F3524D">
              <w:rPr>
                <w:rFonts w:cs="Arial"/>
                <w:szCs w:val="22"/>
              </w:rPr>
              <w:t xml:space="preserve">Cognitive </w:t>
            </w:r>
            <w:r>
              <w:rPr>
                <w:rFonts w:cs="Arial"/>
                <w:szCs w:val="22"/>
              </w:rPr>
              <w:t>effects</w:t>
            </w:r>
            <w:r>
              <w:rPr>
                <w:rFonts w:cs="Arial"/>
                <w:szCs w:val="22"/>
                <w:vertAlign w:val="superscript"/>
              </w:rPr>
              <w:t>e</w:t>
            </w:r>
            <w:r w:rsidRPr="00F3524D">
              <w:rPr>
                <w:rFonts w:cs="Arial"/>
                <w:szCs w:val="22"/>
              </w:rPr>
              <w:t xml:space="preserve"> </w:t>
            </w:r>
          </w:p>
          <w:p w14:paraId="0234031D" w14:textId="77777777" w:rsidR="00042E0E" w:rsidRDefault="00042E0E" w:rsidP="000C44FC">
            <w:pPr>
              <w:rPr>
                <w:rFonts w:cs="Arial"/>
                <w:szCs w:val="22"/>
                <w:vertAlign w:val="superscript"/>
              </w:rPr>
            </w:pPr>
            <w:r>
              <w:rPr>
                <w:rFonts w:cs="Arial"/>
                <w:szCs w:val="22"/>
              </w:rPr>
              <w:t xml:space="preserve">   </w:t>
            </w:r>
            <w:r w:rsidRPr="00F3524D">
              <w:rPr>
                <w:rFonts w:cs="Arial"/>
                <w:szCs w:val="22"/>
              </w:rPr>
              <w:t>Peripheral neuropathy</w:t>
            </w:r>
            <w:r>
              <w:rPr>
                <w:rFonts w:cs="Arial"/>
                <w:szCs w:val="22"/>
                <w:vertAlign w:val="superscript"/>
              </w:rPr>
              <w:t>f</w:t>
            </w:r>
          </w:p>
          <w:p w14:paraId="20682D95" w14:textId="77777777" w:rsidR="00042E0E" w:rsidRDefault="00042E0E" w:rsidP="000C44FC">
            <w:pPr>
              <w:rPr>
                <w:rFonts w:cs="Arial"/>
                <w:szCs w:val="22"/>
              </w:rPr>
            </w:pPr>
            <w:r>
              <w:rPr>
                <w:rFonts w:cs="Arial"/>
                <w:szCs w:val="22"/>
              </w:rPr>
              <w:t xml:space="preserve">   Headache</w:t>
            </w:r>
          </w:p>
          <w:p w14:paraId="57A96086" w14:textId="77777777" w:rsidR="00042E0E" w:rsidRPr="00932E97" w:rsidRDefault="00042E0E" w:rsidP="000C44FC">
            <w:pPr>
              <w:rPr>
                <w:iCs/>
                <w:sz w:val="22"/>
                <w:szCs w:val="22"/>
              </w:rPr>
            </w:pPr>
            <w:r>
              <w:rPr>
                <w:rFonts w:cs="Arial"/>
                <w:szCs w:val="22"/>
              </w:rPr>
              <w:t xml:space="preserve">   </w:t>
            </w:r>
            <w:r w:rsidRPr="00F3524D">
              <w:rPr>
                <w:rFonts w:cs="Arial"/>
                <w:szCs w:val="22"/>
              </w:rPr>
              <w:t xml:space="preserve">Speech </w:t>
            </w:r>
            <w:r>
              <w:rPr>
                <w:rFonts w:cs="Arial"/>
                <w:szCs w:val="22"/>
              </w:rPr>
              <w:t>effects</w:t>
            </w:r>
            <w:r>
              <w:rPr>
                <w:rFonts w:cs="Arial"/>
                <w:szCs w:val="22"/>
                <w:vertAlign w:val="superscript"/>
              </w:rPr>
              <w:t>g</w:t>
            </w:r>
          </w:p>
        </w:tc>
        <w:tc>
          <w:tcPr>
            <w:tcW w:w="2268" w:type="dxa"/>
            <w:tcBorders>
              <w:top w:val="single" w:sz="4" w:space="0" w:color="auto"/>
              <w:left w:val="single" w:sz="4" w:space="0" w:color="auto"/>
              <w:bottom w:val="single" w:sz="4" w:space="0" w:color="auto"/>
              <w:right w:val="single" w:sz="4" w:space="0" w:color="auto"/>
            </w:tcBorders>
          </w:tcPr>
          <w:p w14:paraId="17E8DE1B" w14:textId="77777777" w:rsidR="00042E0E" w:rsidRDefault="00042E0E" w:rsidP="000C44FC">
            <w:pPr>
              <w:jc w:val="center"/>
              <w:rPr>
                <w:iCs/>
                <w:sz w:val="22"/>
                <w:szCs w:val="22"/>
              </w:rPr>
            </w:pPr>
          </w:p>
          <w:p w14:paraId="5B9D7B16" w14:textId="77777777" w:rsidR="00042E0E" w:rsidRDefault="00042E0E" w:rsidP="000C44FC">
            <w:pPr>
              <w:jc w:val="center"/>
              <w:rPr>
                <w:iCs/>
                <w:sz w:val="22"/>
                <w:szCs w:val="22"/>
              </w:rPr>
            </w:pPr>
            <w:r w:rsidRPr="00932E97">
              <w:rPr>
                <w:iCs/>
                <w:sz w:val="22"/>
                <w:szCs w:val="22"/>
              </w:rPr>
              <w:t>Very common</w:t>
            </w:r>
          </w:p>
          <w:p w14:paraId="4387ED8F" w14:textId="77777777" w:rsidR="00042E0E" w:rsidRDefault="00042E0E" w:rsidP="000C44FC">
            <w:pPr>
              <w:jc w:val="center"/>
              <w:rPr>
                <w:iCs/>
                <w:sz w:val="22"/>
                <w:szCs w:val="22"/>
              </w:rPr>
            </w:pPr>
            <w:r w:rsidRPr="00932E97">
              <w:rPr>
                <w:iCs/>
                <w:sz w:val="22"/>
                <w:szCs w:val="22"/>
              </w:rPr>
              <w:t>Very common</w:t>
            </w:r>
          </w:p>
          <w:p w14:paraId="50B1565F" w14:textId="77777777" w:rsidR="00042E0E" w:rsidRDefault="00042E0E" w:rsidP="000C44FC">
            <w:pPr>
              <w:jc w:val="center"/>
              <w:rPr>
                <w:iCs/>
                <w:sz w:val="22"/>
                <w:szCs w:val="22"/>
              </w:rPr>
            </w:pPr>
            <w:r w:rsidRPr="00932E97">
              <w:rPr>
                <w:iCs/>
                <w:sz w:val="22"/>
                <w:szCs w:val="22"/>
              </w:rPr>
              <w:t>Very common</w:t>
            </w:r>
          </w:p>
          <w:p w14:paraId="3E4B6908" w14:textId="77777777" w:rsidR="00042E0E" w:rsidRPr="00932E97" w:rsidRDefault="00042E0E" w:rsidP="000C44FC">
            <w:pPr>
              <w:jc w:val="center"/>
              <w:rPr>
                <w:iCs/>
                <w:sz w:val="22"/>
                <w:szCs w:val="22"/>
              </w:rPr>
            </w:pPr>
            <w:r>
              <w:rPr>
                <w:iCs/>
                <w:sz w:val="22"/>
                <w:szCs w:val="22"/>
              </w:rPr>
              <w:t>C</w:t>
            </w:r>
            <w:r w:rsidRPr="00932E97">
              <w:rPr>
                <w:iCs/>
                <w:sz w:val="22"/>
                <w:szCs w:val="22"/>
              </w:rPr>
              <w:t>ommon</w:t>
            </w:r>
          </w:p>
        </w:tc>
        <w:tc>
          <w:tcPr>
            <w:tcW w:w="1701" w:type="dxa"/>
            <w:tcBorders>
              <w:top w:val="single" w:sz="4" w:space="0" w:color="auto"/>
              <w:left w:val="single" w:sz="4" w:space="0" w:color="auto"/>
              <w:bottom w:val="single" w:sz="4" w:space="0" w:color="auto"/>
              <w:right w:val="single" w:sz="4" w:space="0" w:color="auto"/>
            </w:tcBorders>
          </w:tcPr>
          <w:p w14:paraId="6E092EAC" w14:textId="77777777" w:rsidR="00042E0E" w:rsidRDefault="00042E0E" w:rsidP="000C44FC">
            <w:pPr>
              <w:jc w:val="center"/>
              <w:rPr>
                <w:iCs/>
                <w:sz w:val="22"/>
                <w:szCs w:val="22"/>
              </w:rPr>
            </w:pPr>
          </w:p>
          <w:p w14:paraId="7150635C" w14:textId="77777777" w:rsidR="00042E0E" w:rsidRDefault="00042E0E" w:rsidP="000C44FC">
            <w:pPr>
              <w:jc w:val="center"/>
              <w:rPr>
                <w:iCs/>
                <w:sz w:val="22"/>
                <w:szCs w:val="22"/>
              </w:rPr>
            </w:pPr>
            <w:r>
              <w:rPr>
                <w:iCs/>
                <w:sz w:val="22"/>
                <w:szCs w:val="22"/>
              </w:rPr>
              <w:t>28.8</w:t>
            </w:r>
          </w:p>
          <w:p w14:paraId="3400A966" w14:textId="77777777" w:rsidR="00042E0E" w:rsidRDefault="00042E0E" w:rsidP="000C44FC">
            <w:pPr>
              <w:jc w:val="center"/>
              <w:rPr>
                <w:iCs/>
                <w:sz w:val="22"/>
                <w:szCs w:val="22"/>
              </w:rPr>
            </w:pPr>
            <w:r>
              <w:rPr>
                <w:iCs/>
                <w:sz w:val="22"/>
                <w:szCs w:val="22"/>
              </w:rPr>
              <w:t>47.8</w:t>
            </w:r>
          </w:p>
          <w:p w14:paraId="186F73F7" w14:textId="77777777" w:rsidR="00042E0E" w:rsidRDefault="00042E0E" w:rsidP="000C44FC">
            <w:pPr>
              <w:jc w:val="center"/>
              <w:rPr>
                <w:iCs/>
                <w:sz w:val="22"/>
                <w:szCs w:val="22"/>
              </w:rPr>
            </w:pPr>
            <w:r>
              <w:rPr>
                <w:iCs/>
                <w:sz w:val="22"/>
                <w:szCs w:val="22"/>
              </w:rPr>
              <w:t>18.0</w:t>
            </w:r>
          </w:p>
          <w:p w14:paraId="06C09045" w14:textId="77777777" w:rsidR="00042E0E" w:rsidRPr="00932E97" w:rsidRDefault="00042E0E" w:rsidP="000C44FC">
            <w:pPr>
              <w:jc w:val="center"/>
              <w:rPr>
                <w:iCs/>
                <w:sz w:val="22"/>
                <w:szCs w:val="22"/>
              </w:rPr>
            </w:pPr>
            <w:r>
              <w:rPr>
                <w:iCs/>
                <w:sz w:val="22"/>
                <w:szCs w:val="22"/>
              </w:rPr>
              <w:t>9.8</w:t>
            </w:r>
          </w:p>
        </w:tc>
        <w:tc>
          <w:tcPr>
            <w:tcW w:w="1389" w:type="dxa"/>
            <w:tcBorders>
              <w:top w:val="single" w:sz="4" w:space="0" w:color="auto"/>
              <w:left w:val="single" w:sz="4" w:space="0" w:color="auto"/>
              <w:bottom w:val="single" w:sz="4" w:space="0" w:color="auto"/>
              <w:right w:val="single" w:sz="4" w:space="0" w:color="auto"/>
            </w:tcBorders>
          </w:tcPr>
          <w:p w14:paraId="246B49C3" w14:textId="77777777" w:rsidR="00042E0E" w:rsidRDefault="00042E0E" w:rsidP="000C44FC">
            <w:pPr>
              <w:jc w:val="center"/>
              <w:rPr>
                <w:iCs/>
                <w:sz w:val="22"/>
                <w:szCs w:val="22"/>
              </w:rPr>
            </w:pPr>
          </w:p>
          <w:p w14:paraId="42F97523" w14:textId="77777777" w:rsidR="00042E0E" w:rsidRDefault="00042E0E" w:rsidP="000C44FC">
            <w:pPr>
              <w:jc w:val="center"/>
              <w:rPr>
                <w:iCs/>
                <w:sz w:val="22"/>
                <w:szCs w:val="22"/>
              </w:rPr>
            </w:pPr>
            <w:r>
              <w:rPr>
                <w:iCs/>
                <w:sz w:val="22"/>
                <w:szCs w:val="22"/>
              </w:rPr>
              <w:t>2.0</w:t>
            </w:r>
          </w:p>
          <w:p w14:paraId="770F9B80" w14:textId="77777777" w:rsidR="00042E0E" w:rsidRDefault="00042E0E" w:rsidP="000C44FC">
            <w:pPr>
              <w:jc w:val="center"/>
              <w:rPr>
                <w:iCs/>
                <w:sz w:val="22"/>
                <w:szCs w:val="22"/>
              </w:rPr>
            </w:pPr>
            <w:r>
              <w:rPr>
                <w:iCs/>
                <w:sz w:val="22"/>
                <w:szCs w:val="22"/>
              </w:rPr>
              <w:t>2.7</w:t>
            </w:r>
          </w:p>
          <w:p w14:paraId="2CCD6AE6" w14:textId="77777777" w:rsidR="00042E0E" w:rsidRDefault="00042E0E" w:rsidP="000C44FC">
            <w:pPr>
              <w:jc w:val="center"/>
              <w:rPr>
                <w:iCs/>
                <w:sz w:val="22"/>
                <w:szCs w:val="22"/>
              </w:rPr>
            </w:pPr>
            <w:r>
              <w:rPr>
                <w:iCs/>
                <w:sz w:val="22"/>
                <w:szCs w:val="22"/>
              </w:rPr>
              <w:t>0.7</w:t>
            </w:r>
          </w:p>
          <w:p w14:paraId="5F8AB486" w14:textId="77777777" w:rsidR="00042E0E" w:rsidRPr="00932E97" w:rsidRDefault="00042E0E" w:rsidP="000C44FC">
            <w:pPr>
              <w:jc w:val="center"/>
              <w:rPr>
                <w:iCs/>
                <w:sz w:val="22"/>
                <w:szCs w:val="22"/>
              </w:rPr>
            </w:pPr>
            <w:r>
              <w:rPr>
                <w:iCs/>
                <w:sz w:val="22"/>
                <w:szCs w:val="22"/>
              </w:rPr>
              <w:t>0.3</w:t>
            </w:r>
          </w:p>
        </w:tc>
      </w:tr>
      <w:tr w:rsidR="00042E0E" w:rsidRPr="00932E97" w14:paraId="73919FBB" w14:textId="77777777" w:rsidTr="000C44FC">
        <w:tc>
          <w:tcPr>
            <w:tcW w:w="4248" w:type="dxa"/>
            <w:tcBorders>
              <w:top w:val="single" w:sz="4" w:space="0" w:color="auto"/>
              <w:left w:val="single" w:sz="4" w:space="0" w:color="auto"/>
              <w:bottom w:val="single" w:sz="4" w:space="0" w:color="auto"/>
              <w:right w:val="single" w:sz="4" w:space="0" w:color="auto"/>
            </w:tcBorders>
          </w:tcPr>
          <w:p w14:paraId="0FEEAD3A" w14:textId="77777777" w:rsidR="00042E0E" w:rsidRDefault="00042E0E" w:rsidP="000C44FC">
            <w:pPr>
              <w:rPr>
                <w:rFonts w:cs="Arial"/>
              </w:rPr>
            </w:pPr>
            <w:r w:rsidRPr="00F3524D">
              <w:rPr>
                <w:rFonts w:cs="Arial"/>
              </w:rPr>
              <w:t>Eye disorders</w:t>
            </w:r>
          </w:p>
          <w:p w14:paraId="52783108" w14:textId="77777777" w:rsidR="00042E0E" w:rsidRPr="00932E97" w:rsidRDefault="00042E0E" w:rsidP="000C44FC">
            <w:pPr>
              <w:rPr>
                <w:iCs/>
                <w:sz w:val="22"/>
                <w:szCs w:val="22"/>
              </w:rPr>
            </w:pPr>
            <w:r>
              <w:rPr>
                <w:rFonts w:cs="Arial"/>
              </w:rPr>
              <w:t xml:space="preserve">   </w:t>
            </w:r>
            <w:r w:rsidRPr="00F3524D">
              <w:rPr>
                <w:rFonts w:cs="Arial"/>
              </w:rPr>
              <w:t>Vision disorder</w:t>
            </w:r>
            <w:r>
              <w:rPr>
                <w:rFonts w:cs="Arial"/>
                <w:vertAlign w:val="superscript"/>
              </w:rPr>
              <w:t>h</w:t>
            </w:r>
          </w:p>
        </w:tc>
        <w:tc>
          <w:tcPr>
            <w:tcW w:w="2268" w:type="dxa"/>
            <w:tcBorders>
              <w:top w:val="single" w:sz="4" w:space="0" w:color="auto"/>
              <w:left w:val="single" w:sz="4" w:space="0" w:color="auto"/>
              <w:bottom w:val="single" w:sz="4" w:space="0" w:color="auto"/>
              <w:right w:val="single" w:sz="4" w:space="0" w:color="auto"/>
            </w:tcBorders>
          </w:tcPr>
          <w:p w14:paraId="67FDEB20" w14:textId="77777777" w:rsidR="00042E0E" w:rsidRDefault="00042E0E" w:rsidP="000C44FC">
            <w:pPr>
              <w:jc w:val="center"/>
              <w:rPr>
                <w:iCs/>
                <w:sz w:val="22"/>
                <w:szCs w:val="22"/>
              </w:rPr>
            </w:pPr>
          </w:p>
          <w:p w14:paraId="1332280F" w14:textId="77777777" w:rsidR="00042E0E" w:rsidRPr="00932E97" w:rsidRDefault="00042E0E" w:rsidP="000C44FC">
            <w:pPr>
              <w:jc w:val="center"/>
              <w:rPr>
                <w:iCs/>
                <w:sz w:val="22"/>
                <w:szCs w:val="22"/>
              </w:rPr>
            </w:pPr>
            <w:r>
              <w:rPr>
                <w:iCs/>
                <w:sz w:val="22"/>
                <w:szCs w:val="22"/>
              </w:rPr>
              <w:t>Very common</w:t>
            </w:r>
          </w:p>
        </w:tc>
        <w:tc>
          <w:tcPr>
            <w:tcW w:w="1701" w:type="dxa"/>
            <w:tcBorders>
              <w:top w:val="single" w:sz="4" w:space="0" w:color="auto"/>
              <w:left w:val="single" w:sz="4" w:space="0" w:color="auto"/>
              <w:bottom w:val="single" w:sz="4" w:space="0" w:color="auto"/>
              <w:right w:val="single" w:sz="4" w:space="0" w:color="auto"/>
            </w:tcBorders>
          </w:tcPr>
          <w:p w14:paraId="06377D7A" w14:textId="77777777" w:rsidR="00042E0E" w:rsidRDefault="00042E0E" w:rsidP="000C44FC">
            <w:pPr>
              <w:jc w:val="center"/>
              <w:rPr>
                <w:iCs/>
                <w:sz w:val="22"/>
                <w:szCs w:val="22"/>
              </w:rPr>
            </w:pPr>
          </w:p>
          <w:p w14:paraId="19D56360" w14:textId="77777777" w:rsidR="00042E0E" w:rsidRPr="00932E97" w:rsidRDefault="00042E0E" w:rsidP="000C44FC">
            <w:pPr>
              <w:jc w:val="center"/>
              <w:rPr>
                <w:iCs/>
                <w:sz w:val="22"/>
                <w:szCs w:val="22"/>
              </w:rPr>
            </w:pPr>
            <w:r>
              <w:rPr>
                <w:iCs/>
                <w:sz w:val="22"/>
                <w:szCs w:val="22"/>
              </w:rPr>
              <w:t>15.3</w:t>
            </w:r>
          </w:p>
        </w:tc>
        <w:tc>
          <w:tcPr>
            <w:tcW w:w="1389" w:type="dxa"/>
            <w:tcBorders>
              <w:top w:val="single" w:sz="4" w:space="0" w:color="auto"/>
              <w:left w:val="single" w:sz="4" w:space="0" w:color="auto"/>
              <w:bottom w:val="single" w:sz="4" w:space="0" w:color="auto"/>
              <w:right w:val="single" w:sz="4" w:space="0" w:color="auto"/>
            </w:tcBorders>
          </w:tcPr>
          <w:p w14:paraId="2A521A3D" w14:textId="77777777" w:rsidR="00042E0E" w:rsidRDefault="00042E0E" w:rsidP="000C44FC">
            <w:pPr>
              <w:jc w:val="center"/>
              <w:rPr>
                <w:iCs/>
                <w:sz w:val="22"/>
                <w:szCs w:val="22"/>
              </w:rPr>
            </w:pPr>
          </w:p>
          <w:p w14:paraId="2AC57120" w14:textId="77777777" w:rsidR="00042E0E" w:rsidRPr="00932E97" w:rsidRDefault="00042E0E" w:rsidP="000C44FC">
            <w:pPr>
              <w:jc w:val="center"/>
              <w:rPr>
                <w:iCs/>
                <w:sz w:val="22"/>
                <w:szCs w:val="22"/>
              </w:rPr>
            </w:pPr>
            <w:r>
              <w:rPr>
                <w:iCs/>
                <w:sz w:val="22"/>
                <w:szCs w:val="22"/>
              </w:rPr>
              <w:t>0.3</w:t>
            </w:r>
          </w:p>
        </w:tc>
      </w:tr>
      <w:tr w:rsidR="00042E0E" w:rsidRPr="00932E97" w14:paraId="5E5805CB" w14:textId="77777777" w:rsidTr="000C44FC">
        <w:tc>
          <w:tcPr>
            <w:tcW w:w="4248" w:type="dxa"/>
            <w:tcBorders>
              <w:top w:val="single" w:sz="4" w:space="0" w:color="auto"/>
              <w:left w:val="single" w:sz="4" w:space="0" w:color="auto"/>
              <w:bottom w:val="single" w:sz="4" w:space="0" w:color="auto"/>
              <w:right w:val="single" w:sz="4" w:space="0" w:color="auto"/>
            </w:tcBorders>
          </w:tcPr>
          <w:p w14:paraId="34A9B13C" w14:textId="77777777" w:rsidR="00042E0E" w:rsidRDefault="00042E0E" w:rsidP="000C44FC">
            <w:pPr>
              <w:rPr>
                <w:rFonts w:cs="Arial"/>
                <w:szCs w:val="22"/>
              </w:rPr>
            </w:pPr>
            <w:r w:rsidRPr="00A25969">
              <w:rPr>
                <w:rFonts w:cs="Arial"/>
                <w:szCs w:val="22"/>
              </w:rPr>
              <w:t>Respiratory, thoracic and mediastinal disorders</w:t>
            </w:r>
          </w:p>
          <w:p w14:paraId="6D011EA4" w14:textId="77777777" w:rsidR="00042E0E" w:rsidRPr="00932E97" w:rsidRDefault="00042E0E" w:rsidP="000C44FC">
            <w:pPr>
              <w:rPr>
                <w:iCs/>
                <w:sz w:val="22"/>
                <w:szCs w:val="22"/>
              </w:rPr>
            </w:pPr>
            <w:r>
              <w:rPr>
                <w:iCs/>
                <w:sz w:val="22"/>
                <w:szCs w:val="22"/>
              </w:rPr>
              <w:t xml:space="preserve">   </w:t>
            </w:r>
            <w:r w:rsidRPr="00A25969">
              <w:rPr>
                <w:rFonts w:cs="Arial"/>
                <w:szCs w:val="22"/>
              </w:rPr>
              <w:t>Pneumonitis</w:t>
            </w:r>
            <w:r>
              <w:rPr>
                <w:rFonts w:cs="Arial"/>
                <w:szCs w:val="22"/>
                <w:vertAlign w:val="superscript"/>
              </w:rPr>
              <w:t>i</w:t>
            </w:r>
          </w:p>
        </w:tc>
        <w:tc>
          <w:tcPr>
            <w:tcW w:w="2268" w:type="dxa"/>
            <w:tcBorders>
              <w:top w:val="single" w:sz="4" w:space="0" w:color="auto"/>
              <w:left w:val="single" w:sz="4" w:space="0" w:color="auto"/>
              <w:bottom w:val="single" w:sz="4" w:space="0" w:color="auto"/>
              <w:right w:val="single" w:sz="4" w:space="0" w:color="auto"/>
            </w:tcBorders>
          </w:tcPr>
          <w:p w14:paraId="5F015D3B" w14:textId="77777777" w:rsidR="00042E0E" w:rsidRDefault="00042E0E" w:rsidP="000C44FC">
            <w:pPr>
              <w:jc w:val="center"/>
              <w:rPr>
                <w:iCs/>
                <w:sz w:val="22"/>
                <w:szCs w:val="22"/>
              </w:rPr>
            </w:pPr>
          </w:p>
          <w:p w14:paraId="526290C0" w14:textId="77777777" w:rsidR="00042E0E" w:rsidRDefault="00042E0E" w:rsidP="000C44FC">
            <w:pPr>
              <w:jc w:val="center"/>
              <w:rPr>
                <w:iCs/>
                <w:sz w:val="22"/>
                <w:szCs w:val="22"/>
              </w:rPr>
            </w:pPr>
          </w:p>
          <w:p w14:paraId="2A57FA4E" w14:textId="77777777" w:rsidR="00042E0E" w:rsidRPr="00932E97" w:rsidRDefault="00042E0E" w:rsidP="000C44FC">
            <w:pPr>
              <w:jc w:val="center"/>
              <w:rPr>
                <w:iCs/>
                <w:sz w:val="22"/>
                <w:szCs w:val="22"/>
              </w:rPr>
            </w:pPr>
            <w:r>
              <w:rPr>
                <w:iCs/>
                <w:sz w:val="22"/>
                <w:szCs w:val="22"/>
              </w:rPr>
              <w:t>Common</w:t>
            </w:r>
          </w:p>
        </w:tc>
        <w:tc>
          <w:tcPr>
            <w:tcW w:w="1701" w:type="dxa"/>
            <w:tcBorders>
              <w:top w:val="single" w:sz="4" w:space="0" w:color="auto"/>
              <w:left w:val="single" w:sz="4" w:space="0" w:color="auto"/>
              <w:bottom w:val="single" w:sz="4" w:space="0" w:color="auto"/>
              <w:right w:val="single" w:sz="4" w:space="0" w:color="auto"/>
            </w:tcBorders>
          </w:tcPr>
          <w:p w14:paraId="0C2A530A" w14:textId="77777777" w:rsidR="00042E0E" w:rsidRDefault="00042E0E" w:rsidP="000C44FC">
            <w:pPr>
              <w:jc w:val="center"/>
              <w:rPr>
                <w:iCs/>
                <w:sz w:val="22"/>
                <w:szCs w:val="22"/>
              </w:rPr>
            </w:pPr>
          </w:p>
          <w:p w14:paraId="4EC04BCC" w14:textId="77777777" w:rsidR="00042E0E" w:rsidRDefault="00042E0E" w:rsidP="000C44FC">
            <w:pPr>
              <w:jc w:val="center"/>
              <w:rPr>
                <w:iCs/>
                <w:sz w:val="22"/>
                <w:szCs w:val="22"/>
              </w:rPr>
            </w:pPr>
          </w:p>
          <w:p w14:paraId="4228AE8C" w14:textId="77777777" w:rsidR="00042E0E" w:rsidRPr="00932E97" w:rsidRDefault="00042E0E" w:rsidP="000C44FC">
            <w:pPr>
              <w:jc w:val="center"/>
              <w:rPr>
                <w:iCs/>
                <w:sz w:val="22"/>
                <w:szCs w:val="22"/>
              </w:rPr>
            </w:pPr>
            <w:r>
              <w:rPr>
                <w:iCs/>
                <w:sz w:val="22"/>
                <w:szCs w:val="22"/>
              </w:rPr>
              <w:t>1.4</w:t>
            </w:r>
          </w:p>
        </w:tc>
        <w:tc>
          <w:tcPr>
            <w:tcW w:w="1389" w:type="dxa"/>
            <w:tcBorders>
              <w:top w:val="single" w:sz="4" w:space="0" w:color="auto"/>
              <w:left w:val="single" w:sz="4" w:space="0" w:color="auto"/>
              <w:bottom w:val="single" w:sz="4" w:space="0" w:color="auto"/>
              <w:right w:val="single" w:sz="4" w:space="0" w:color="auto"/>
            </w:tcBorders>
          </w:tcPr>
          <w:p w14:paraId="2DBCF7BE" w14:textId="77777777" w:rsidR="00042E0E" w:rsidRDefault="00042E0E" w:rsidP="000C44FC">
            <w:pPr>
              <w:jc w:val="center"/>
              <w:rPr>
                <w:iCs/>
                <w:sz w:val="22"/>
                <w:szCs w:val="22"/>
              </w:rPr>
            </w:pPr>
          </w:p>
          <w:p w14:paraId="4579076B" w14:textId="77777777" w:rsidR="00042E0E" w:rsidRDefault="00042E0E" w:rsidP="000C44FC">
            <w:pPr>
              <w:jc w:val="center"/>
              <w:rPr>
                <w:iCs/>
                <w:sz w:val="22"/>
                <w:szCs w:val="22"/>
              </w:rPr>
            </w:pPr>
          </w:p>
          <w:p w14:paraId="4F1E7414" w14:textId="77777777" w:rsidR="00042E0E" w:rsidRPr="00932E97" w:rsidRDefault="00042E0E" w:rsidP="000C44FC">
            <w:pPr>
              <w:jc w:val="center"/>
              <w:rPr>
                <w:iCs/>
                <w:sz w:val="22"/>
                <w:szCs w:val="22"/>
              </w:rPr>
            </w:pPr>
            <w:r>
              <w:rPr>
                <w:iCs/>
                <w:sz w:val="22"/>
                <w:szCs w:val="22"/>
              </w:rPr>
              <w:t>1.0</w:t>
            </w:r>
          </w:p>
        </w:tc>
      </w:tr>
      <w:tr w:rsidR="00042E0E" w:rsidRPr="00932E97" w14:paraId="1075E4B2" w14:textId="77777777" w:rsidTr="000C44FC">
        <w:tc>
          <w:tcPr>
            <w:tcW w:w="4248" w:type="dxa"/>
            <w:tcBorders>
              <w:top w:val="single" w:sz="4" w:space="0" w:color="auto"/>
              <w:left w:val="single" w:sz="4" w:space="0" w:color="auto"/>
              <w:bottom w:val="single" w:sz="4" w:space="0" w:color="auto"/>
              <w:right w:val="single" w:sz="4" w:space="0" w:color="auto"/>
            </w:tcBorders>
          </w:tcPr>
          <w:p w14:paraId="71E3377A" w14:textId="77777777" w:rsidR="00042E0E" w:rsidRDefault="00042E0E" w:rsidP="000C44FC">
            <w:pPr>
              <w:rPr>
                <w:rFonts w:cs="Arial"/>
                <w:szCs w:val="22"/>
              </w:rPr>
            </w:pPr>
            <w:r w:rsidRPr="00F3524D">
              <w:rPr>
                <w:rFonts w:cs="Arial"/>
                <w:szCs w:val="22"/>
              </w:rPr>
              <w:t>Gastrointestinal disorders</w:t>
            </w:r>
          </w:p>
          <w:p w14:paraId="34D43164" w14:textId="77777777" w:rsidR="00042E0E" w:rsidRDefault="00042E0E" w:rsidP="000C44FC">
            <w:pPr>
              <w:rPr>
                <w:rFonts w:cs="Arial"/>
                <w:szCs w:val="22"/>
              </w:rPr>
            </w:pPr>
            <w:r>
              <w:rPr>
                <w:iCs/>
                <w:sz w:val="22"/>
                <w:szCs w:val="22"/>
              </w:rPr>
              <w:t xml:space="preserve">   </w:t>
            </w:r>
            <w:r w:rsidRPr="00F3524D">
              <w:rPr>
                <w:rFonts w:cs="Arial"/>
                <w:szCs w:val="22"/>
              </w:rPr>
              <w:t>Diarrhoea</w:t>
            </w:r>
          </w:p>
          <w:p w14:paraId="4B779CB9" w14:textId="77777777" w:rsidR="00042E0E" w:rsidRPr="00F3524D" w:rsidRDefault="00042E0E" w:rsidP="000C44FC">
            <w:pPr>
              <w:rPr>
                <w:rFonts w:cs="Arial"/>
                <w:szCs w:val="22"/>
              </w:rPr>
            </w:pPr>
            <w:r>
              <w:rPr>
                <w:rFonts w:cs="Arial"/>
                <w:szCs w:val="22"/>
              </w:rPr>
              <w:t xml:space="preserve">   Nausea</w:t>
            </w:r>
          </w:p>
          <w:p w14:paraId="46C4456A" w14:textId="77777777" w:rsidR="00042E0E" w:rsidRPr="00932E97" w:rsidRDefault="00042E0E" w:rsidP="000C44FC">
            <w:pPr>
              <w:rPr>
                <w:iCs/>
                <w:sz w:val="22"/>
                <w:szCs w:val="22"/>
              </w:rPr>
            </w:pPr>
            <w:r>
              <w:rPr>
                <w:rFonts w:cs="Arial"/>
                <w:szCs w:val="22"/>
              </w:rPr>
              <w:t xml:space="preserve">   </w:t>
            </w:r>
            <w:r w:rsidRPr="00F3524D">
              <w:rPr>
                <w:rFonts w:cs="Arial"/>
                <w:szCs w:val="22"/>
              </w:rPr>
              <w:t>Constipation</w:t>
            </w:r>
          </w:p>
        </w:tc>
        <w:tc>
          <w:tcPr>
            <w:tcW w:w="2268" w:type="dxa"/>
            <w:tcBorders>
              <w:top w:val="single" w:sz="4" w:space="0" w:color="auto"/>
              <w:left w:val="single" w:sz="4" w:space="0" w:color="auto"/>
              <w:bottom w:val="single" w:sz="4" w:space="0" w:color="auto"/>
              <w:right w:val="single" w:sz="4" w:space="0" w:color="auto"/>
            </w:tcBorders>
          </w:tcPr>
          <w:p w14:paraId="72A7D609" w14:textId="77777777" w:rsidR="00042E0E" w:rsidRDefault="00042E0E" w:rsidP="000C44FC">
            <w:pPr>
              <w:jc w:val="center"/>
              <w:rPr>
                <w:iCs/>
                <w:sz w:val="22"/>
                <w:szCs w:val="22"/>
              </w:rPr>
            </w:pPr>
          </w:p>
          <w:p w14:paraId="2BCB1201" w14:textId="77777777" w:rsidR="00042E0E" w:rsidRDefault="00042E0E" w:rsidP="000C44FC">
            <w:pPr>
              <w:jc w:val="center"/>
              <w:rPr>
                <w:iCs/>
                <w:sz w:val="22"/>
                <w:szCs w:val="22"/>
              </w:rPr>
            </w:pPr>
            <w:r>
              <w:rPr>
                <w:iCs/>
                <w:sz w:val="22"/>
                <w:szCs w:val="22"/>
              </w:rPr>
              <w:t>Very common</w:t>
            </w:r>
          </w:p>
          <w:p w14:paraId="287E7839" w14:textId="77777777" w:rsidR="00042E0E" w:rsidRDefault="00042E0E" w:rsidP="000C44FC">
            <w:pPr>
              <w:jc w:val="center"/>
              <w:rPr>
                <w:iCs/>
                <w:sz w:val="22"/>
                <w:szCs w:val="22"/>
              </w:rPr>
            </w:pPr>
            <w:r>
              <w:rPr>
                <w:iCs/>
                <w:sz w:val="22"/>
                <w:szCs w:val="22"/>
              </w:rPr>
              <w:t>Very common</w:t>
            </w:r>
          </w:p>
          <w:p w14:paraId="16D6DD9A" w14:textId="77777777" w:rsidR="00042E0E" w:rsidRPr="00932E97" w:rsidRDefault="00042E0E" w:rsidP="000C44FC">
            <w:pPr>
              <w:jc w:val="center"/>
              <w:rPr>
                <w:iCs/>
                <w:sz w:val="22"/>
                <w:szCs w:val="22"/>
              </w:rPr>
            </w:pPr>
            <w:r>
              <w:rPr>
                <w:iCs/>
                <w:sz w:val="22"/>
                <w:szCs w:val="22"/>
              </w:rPr>
              <w:t>Very common</w:t>
            </w:r>
          </w:p>
        </w:tc>
        <w:tc>
          <w:tcPr>
            <w:tcW w:w="1701" w:type="dxa"/>
            <w:tcBorders>
              <w:top w:val="single" w:sz="4" w:space="0" w:color="auto"/>
              <w:left w:val="single" w:sz="4" w:space="0" w:color="auto"/>
              <w:bottom w:val="single" w:sz="4" w:space="0" w:color="auto"/>
              <w:right w:val="single" w:sz="4" w:space="0" w:color="auto"/>
            </w:tcBorders>
          </w:tcPr>
          <w:p w14:paraId="4C002DF1" w14:textId="77777777" w:rsidR="00042E0E" w:rsidRDefault="00042E0E" w:rsidP="000C44FC">
            <w:pPr>
              <w:jc w:val="center"/>
              <w:rPr>
                <w:iCs/>
                <w:sz w:val="22"/>
                <w:szCs w:val="22"/>
              </w:rPr>
            </w:pPr>
          </w:p>
          <w:p w14:paraId="3DEF5DF4" w14:textId="77777777" w:rsidR="00042E0E" w:rsidRDefault="00042E0E" w:rsidP="000C44FC">
            <w:pPr>
              <w:jc w:val="center"/>
              <w:rPr>
                <w:iCs/>
                <w:sz w:val="22"/>
                <w:szCs w:val="22"/>
              </w:rPr>
            </w:pPr>
            <w:r>
              <w:rPr>
                <w:iCs/>
                <w:sz w:val="22"/>
                <w:szCs w:val="22"/>
              </w:rPr>
              <w:t>22.7</w:t>
            </w:r>
          </w:p>
          <w:p w14:paraId="22F42698" w14:textId="77777777" w:rsidR="00042E0E" w:rsidRDefault="00042E0E" w:rsidP="000C44FC">
            <w:pPr>
              <w:jc w:val="center"/>
              <w:rPr>
                <w:iCs/>
                <w:sz w:val="22"/>
                <w:szCs w:val="22"/>
              </w:rPr>
            </w:pPr>
            <w:r>
              <w:rPr>
                <w:iCs/>
                <w:sz w:val="22"/>
                <w:szCs w:val="22"/>
              </w:rPr>
              <w:t>18.3</w:t>
            </w:r>
          </w:p>
          <w:p w14:paraId="0B795D9A" w14:textId="77777777" w:rsidR="00042E0E" w:rsidRPr="00932E97" w:rsidRDefault="00042E0E" w:rsidP="000C44FC">
            <w:pPr>
              <w:jc w:val="center"/>
              <w:rPr>
                <w:iCs/>
                <w:sz w:val="22"/>
                <w:szCs w:val="22"/>
              </w:rPr>
            </w:pPr>
            <w:r>
              <w:rPr>
                <w:iCs/>
                <w:sz w:val="22"/>
                <w:szCs w:val="22"/>
              </w:rPr>
              <w:t>15.9</w:t>
            </w:r>
          </w:p>
        </w:tc>
        <w:tc>
          <w:tcPr>
            <w:tcW w:w="1389" w:type="dxa"/>
            <w:tcBorders>
              <w:top w:val="single" w:sz="4" w:space="0" w:color="auto"/>
              <w:left w:val="single" w:sz="4" w:space="0" w:color="auto"/>
              <w:bottom w:val="single" w:sz="4" w:space="0" w:color="auto"/>
              <w:right w:val="single" w:sz="4" w:space="0" w:color="auto"/>
            </w:tcBorders>
          </w:tcPr>
          <w:p w14:paraId="4A08A241" w14:textId="77777777" w:rsidR="00042E0E" w:rsidRDefault="00042E0E" w:rsidP="000C44FC">
            <w:pPr>
              <w:jc w:val="center"/>
              <w:rPr>
                <w:iCs/>
                <w:sz w:val="22"/>
                <w:szCs w:val="22"/>
              </w:rPr>
            </w:pPr>
          </w:p>
          <w:p w14:paraId="48457220" w14:textId="77777777" w:rsidR="00042E0E" w:rsidRDefault="00042E0E" w:rsidP="000C44FC">
            <w:pPr>
              <w:jc w:val="center"/>
              <w:rPr>
                <w:iCs/>
                <w:sz w:val="22"/>
                <w:szCs w:val="22"/>
              </w:rPr>
            </w:pPr>
            <w:r>
              <w:rPr>
                <w:iCs/>
                <w:sz w:val="22"/>
                <w:szCs w:val="22"/>
              </w:rPr>
              <w:t>1.0</w:t>
            </w:r>
          </w:p>
          <w:p w14:paraId="2B381FA6" w14:textId="77777777" w:rsidR="00042E0E" w:rsidRDefault="00042E0E" w:rsidP="000C44FC">
            <w:pPr>
              <w:jc w:val="center"/>
              <w:rPr>
                <w:iCs/>
                <w:sz w:val="22"/>
                <w:szCs w:val="22"/>
              </w:rPr>
            </w:pPr>
            <w:r>
              <w:rPr>
                <w:iCs/>
                <w:sz w:val="22"/>
                <w:szCs w:val="22"/>
              </w:rPr>
              <w:t>0.7</w:t>
            </w:r>
          </w:p>
          <w:p w14:paraId="2322FDF8" w14:textId="77777777" w:rsidR="00042E0E" w:rsidRPr="00932E97" w:rsidRDefault="00042E0E" w:rsidP="000C44FC">
            <w:pPr>
              <w:jc w:val="center"/>
              <w:rPr>
                <w:iCs/>
                <w:sz w:val="22"/>
                <w:szCs w:val="22"/>
              </w:rPr>
            </w:pPr>
            <w:r>
              <w:rPr>
                <w:iCs/>
                <w:sz w:val="22"/>
                <w:szCs w:val="22"/>
              </w:rPr>
              <w:t>0</w:t>
            </w:r>
          </w:p>
        </w:tc>
      </w:tr>
      <w:tr w:rsidR="00042E0E" w:rsidRPr="00932E97" w14:paraId="6C741114" w14:textId="77777777" w:rsidTr="000C44FC">
        <w:tc>
          <w:tcPr>
            <w:tcW w:w="4248" w:type="dxa"/>
            <w:tcBorders>
              <w:top w:val="single" w:sz="4" w:space="0" w:color="auto"/>
              <w:left w:val="single" w:sz="4" w:space="0" w:color="auto"/>
              <w:bottom w:val="single" w:sz="4" w:space="0" w:color="auto"/>
              <w:right w:val="single" w:sz="4" w:space="0" w:color="auto"/>
            </w:tcBorders>
          </w:tcPr>
          <w:p w14:paraId="15D32CBA" w14:textId="77777777" w:rsidR="00042E0E" w:rsidRDefault="00042E0E" w:rsidP="000C44FC">
            <w:pPr>
              <w:rPr>
                <w:iCs/>
                <w:sz w:val="22"/>
                <w:szCs w:val="22"/>
              </w:rPr>
            </w:pPr>
            <w:r>
              <w:rPr>
                <w:iCs/>
                <w:sz w:val="22"/>
                <w:szCs w:val="22"/>
              </w:rPr>
              <w:t>Skin and subcutaneous tissue disorders</w:t>
            </w:r>
          </w:p>
          <w:p w14:paraId="6167878D" w14:textId="77777777" w:rsidR="00042E0E" w:rsidRPr="00841F83" w:rsidRDefault="00042E0E" w:rsidP="000C44FC">
            <w:pPr>
              <w:rPr>
                <w:iCs/>
                <w:sz w:val="22"/>
                <w:szCs w:val="22"/>
                <w:vertAlign w:val="superscript"/>
              </w:rPr>
            </w:pPr>
            <w:r>
              <w:rPr>
                <w:iCs/>
                <w:sz w:val="22"/>
                <w:szCs w:val="22"/>
              </w:rPr>
              <w:t xml:space="preserve">   Rash</w:t>
            </w:r>
            <w:r>
              <w:rPr>
                <w:iCs/>
                <w:sz w:val="22"/>
                <w:szCs w:val="22"/>
                <w:vertAlign w:val="superscript"/>
              </w:rPr>
              <w:t>j</w:t>
            </w:r>
          </w:p>
        </w:tc>
        <w:tc>
          <w:tcPr>
            <w:tcW w:w="2268" w:type="dxa"/>
            <w:tcBorders>
              <w:top w:val="single" w:sz="4" w:space="0" w:color="auto"/>
              <w:left w:val="single" w:sz="4" w:space="0" w:color="auto"/>
              <w:bottom w:val="single" w:sz="4" w:space="0" w:color="auto"/>
              <w:right w:val="single" w:sz="4" w:space="0" w:color="auto"/>
            </w:tcBorders>
          </w:tcPr>
          <w:p w14:paraId="5BC81DF6" w14:textId="77777777" w:rsidR="00042E0E" w:rsidRDefault="00042E0E" w:rsidP="000C44FC">
            <w:pPr>
              <w:jc w:val="center"/>
              <w:rPr>
                <w:iCs/>
                <w:sz w:val="22"/>
                <w:szCs w:val="22"/>
              </w:rPr>
            </w:pPr>
          </w:p>
          <w:p w14:paraId="27325C3B" w14:textId="77777777" w:rsidR="00042E0E" w:rsidRPr="00932E97" w:rsidRDefault="00042E0E" w:rsidP="000C44FC">
            <w:pPr>
              <w:jc w:val="center"/>
              <w:rPr>
                <w:iCs/>
                <w:sz w:val="22"/>
                <w:szCs w:val="22"/>
              </w:rPr>
            </w:pPr>
            <w:r>
              <w:rPr>
                <w:iCs/>
                <w:sz w:val="22"/>
                <w:szCs w:val="22"/>
              </w:rPr>
              <w:t>Very common</w:t>
            </w:r>
          </w:p>
        </w:tc>
        <w:tc>
          <w:tcPr>
            <w:tcW w:w="1701" w:type="dxa"/>
            <w:tcBorders>
              <w:top w:val="single" w:sz="4" w:space="0" w:color="auto"/>
              <w:left w:val="single" w:sz="4" w:space="0" w:color="auto"/>
              <w:bottom w:val="single" w:sz="4" w:space="0" w:color="auto"/>
              <w:right w:val="single" w:sz="4" w:space="0" w:color="auto"/>
            </w:tcBorders>
          </w:tcPr>
          <w:p w14:paraId="5209128F" w14:textId="77777777" w:rsidR="00042E0E" w:rsidRDefault="00042E0E" w:rsidP="000C44FC">
            <w:pPr>
              <w:jc w:val="center"/>
              <w:rPr>
                <w:iCs/>
                <w:sz w:val="22"/>
                <w:szCs w:val="22"/>
              </w:rPr>
            </w:pPr>
          </w:p>
          <w:p w14:paraId="4119CA98" w14:textId="77777777" w:rsidR="00042E0E" w:rsidRPr="00932E97" w:rsidRDefault="00042E0E" w:rsidP="000C44FC">
            <w:pPr>
              <w:jc w:val="center"/>
              <w:rPr>
                <w:iCs/>
                <w:sz w:val="22"/>
                <w:szCs w:val="22"/>
              </w:rPr>
            </w:pPr>
            <w:r>
              <w:rPr>
                <w:iCs/>
                <w:sz w:val="22"/>
                <w:szCs w:val="22"/>
              </w:rPr>
              <w:t>14.2</w:t>
            </w:r>
          </w:p>
        </w:tc>
        <w:tc>
          <w:tcPr>
            <w:tcW w:w="1389" w:type="dxa"/>
            <w:tcBorders>
              <w:top w:val="single" w:sz="4" w:space="0" w:color="auto"/>
              <w:left w:val="single" w:sz="4" w:space="0" w:color="auto"/>
              <w:bottom w:val="single" w:sz="4" w:space="0" w:color="auto"/>
              <w:right w:val="single" w:sz="4" w:space="0" w:color="auto"/>
            </w:tcBorders>
          </w:tcPr>
          <w:p w14:paraId="157E1079" w14:textId="77777777" w:rsidR="00042E0E" w:rsidRDefault="00042E0E" w:rsidP="000C44FC">
            <w:pPr>
              <w:jc w:val="center"/>
              <w:rPr>
                <w:iCs/>
                <w:sz w:val="22"/>
                <w:szCs w:val="22"/>
              </w:rPr>
            </w:pPr>
          </w:p>
          <w:p w14:paraId="204AB0F9" w14:textId="77777777" w:rsidR="00042E0E" w:rsidRPr="00932E97" w:rsidRDefault="00042E0E" w:rsidP="000C44FC">
            <w:pPr>
              <w:jc w:val="center"/>
              <w:rPr>
                <w:iCs/>
                <w:sz w:val="22"/>
                <w:szCs w:val="22"/>
              </w:rPr>
            </w:pPr>
            <w:r>
              <w:rPr>
                <w:iCs/>
                <w:sz w:val="22"/>
                <w:szCs w:val="22"/>
              </w:rPr>
              <w:t>0.3</w:t>
            </w:r>
          </w:p>
        </w:tc>
      </w:tr>
      <w:tr w:rsidR="00042E0E" w:rsidRPr="00932E97" w14:paraId="14417584" w14:textId="77777777" w:rsidTr="000C44FC">
        <w:tc>
          <w:tcPr>
            <w:tcW w:w="4248" w:type="dxa"/>
            <w:tcBorders>
              <w:top w:val="single" w:sz="4" w:space="0" w:color="auto"/>
              <w:left w:val="single" w:sz="4" w:space="0" w:color="auto"/>
              <w:bottom w:val="single" w:sz="4" w:space="0" w:color="auto"/>
              <w:right w:val="single" w:sz="4" w:space="0" w:color="auto"/>
            </w:tcBorders>
          </w:tcPr>
          <w:p w14:paraId="3BC01730" w14:textId="77777777" w:rsidR="00042E0E" w:rsidRDefault="00042E0E" w:rsidP="000C44FC">
            <w:pPr>
              <w:rPr>
                <w:rFonts w:cs="Arial"/>
                <w:szCs w:val="22"/>
              </w:rPr>
            </w:pPr>
            <w:r w:rsidRPr="00F3524D">
              <w:rPr>
                <w:rFonts w:cs="Arial"/>
                <w:szCs w:val="22"/>
              </w:rPr>
              <w:t>Musculoskeletal and connective tissue disorders</w:t>
            </w:r>
          </w:p>
          <w:p w14:paraId="53466E11" w14:textId="77777777" w:rsidR="00042E0E" w:rsidRDefault="00042E0E" w:rsidP="000C44FC">
            <w:pPr>
              <w:rPr>
                <w:rFonts w:cs="Arial"/>
                <w:szCs w:val="22"/>
              </w:rPr>
            </w:pPr>
            <w:r>
              <w:rPr>
                <w:rFonts w:cs="Arial"/>
                <w:szCs w:val="22"/>
              </w:rPr>
              <w:t xml:space="preserve">   </w:t>
            </w:r>
            <w:r w:rsidRPr="00F3524D">
              <w:rPr>
                <w:rFonts w:cs="Arial"/>
                <w:szCs w:val="22"/>
              </w:rPr>
              <w:t>Arthralgia</w:t>
            </w:r>
          </w:p>
          <w:p w14:paraId="4FF97604" w14:textId="77777777" w:rsidR="00042E0E" w:rsidRPr="00841F83" w:rsidRDefault="00042E0E" w:rsidP="000C44FC">
            <w:pPr>
              <w:rPr>
                <w:iCs/>
                <w:sz w:val="22"/>
                <w:szCs w:val="22"/>
              </w:rPr>
            </w:pPr>
            <w:r>
              <w:rPr>
                <w:rFonts w:cs="Arial"/>
                <w:szCs w:val="22"/>
              </w:rPr>
              <w:t xml:space="preserve">   Myalgia</w:t>
            </w:r>
            <w:r>
              <w:rPr>
                <w:rFonts w:cs="Arial"/>
                <w:szCs w:val="22"/>
                <w:vertAlign w:val="superscript"/>
              </w:rPr>
              <w:t>k</w:t>
            </w:r>
          </w:p>
        </w:tc>
        <w:tc>
          <w:tcPr>
            <w:tcW w:w="2268" w:type="dxa"/>
            <w:tcBorders>
              <w:top w:val="single" w:sz="4" w:space="0" w:color="auto"/>
              <w:left w:val="single" w:sz="4" w:space="0" w:color="auto"/>
              <w:bottom w:val="single" w:sz="4" w:space="0" w:color="auto"/>
              <w:right w:val="single" w:sz="4" w:space="0" w:color="auto"/>
            </w:tcBorders>
          </w:tcPr>
          <w:p w14:paraId="30314A40" w14:textId="77777777" w:rsidR="00042E0E" w:rsidRDefault="00042E0E" w:rsidP="000C44FC">
            <w:pPr>
              <w:jc w:val="center"/>
              <w:rPr>
                <w:iCs/>
                <w:sz w:val="22"/>
                <w:szCs w:val="22"/>
              </w:rPr>
            </w:pPr>
          </w:p>
          <w:p w14:paraId="6DFA4812" w14:textId="77777777" w:rsidR="00042E0E" w:rsidRDefault="00042E0E" w:rsidP="000C44FC">
            <w:pPr>
              <w:jc w:val="center"/>
              <w:rPr>
                <w:iCs/>
                <w:sz w:val="22"/>
                <w:szCs w:val="22"/>
              </w:rPr>
            </w:pPr>
          </w:p>
          <w:p w14:paraId="35ABDE0A" w14:textId="77777777" w:rsidR="00042E0E" w:rsidRDefault="00042E0E" w:rsidP="000C44FC">
            <w:pPr>
              <w:jc w:val="center"/>
              <w:rPr>
                <w:iCs/>
                <w:sz w:val="22"/>
                <w:szCs w:val="22"/>
              </w:rPr>
            </w:pPr>
            <w:r>
              <w:rPr>
                <w:iCs/>
                <w:sz w:val="22"/>
                <w:szCs w:val="22"/>
              </w:rPr>
              <w:t>Very common</w:t>
            </w:r>
          </w:p>
          <w:p w14:paraId="1D71F715" w14:textId="77777777" w:rsidR="00042E0E" w:rsidRPr="00932E97" w:rsidRDefault="00042E0E" w:rsidP="000C44FC">
            <w:pPr>
              <w:jc w:val="center"/>
              <w:rPr>
                <w:iCs/>
                <w:sz w:val="22"/>
                <w:szCs w:val="22"/>
              </w:rPr>
            </w:pPr>
            <w:r>
              <w:rPr>
                <w:iCs/>
                <w:sz w:val="22"/>
                <w:szCs w:val="22"/>
              </w:rPr>
              <w:t>Very common</w:t>
            </w:r>
          </w:p>
        </w:tc>
        <w:tc>
          <w:tcPr>
            <w:tcW w:w="1701" w:type="dxa"/>
            <w:tcBorders>
              <w:top w:val="single" w:sz="4" w:space="0" w:color="auto"/>
              <w:left w:val="single" w:sz="4" w:space="0" w:color="auto"/>
              <w:bottom w:val="single" w:sz="4" w:space="0" w:color="auto"/>
              <w:right w:val="single" w:sz="4" w:space="0" w:color="auto"/>
            </w:tcBorders>
          </w:tcPr>
          <w:p w14:paraId="3820A51D" w14:textId="77777777" w:rsidR="00042E0E" w:rsidRDefault="00042E0E" w:rsidP="000C44FC">
            <w:pPr>
              <w:jc w:val="center"/>
              <w:rPr>
                <w:iCs/>
                <w:sz w:val="22"/>
                <w:szCs w:val="22"/>
              </w:rPr>
            </w:pPr>
          </w:p>
          <w:p w14:paraId="576B241F" w14:textId="77777777" w:rsidR="00042E0E" w:rsidRDefault="00042E0E" w:rsidP="000C44FC">
            <w:pPr>
              <w:jc w:val="center"/>
              <w:rPr>
                <w:iCs/>
                <w:sz w:val="22"/>
                <w:szCs w:val="22"/>
              </w:rPr>
            </w:pPr>
          </w:p>
          <w:p w14:paraId="4455AA41" w14:textId="77777777" w:rsidR="00042E0E" w:rsidRDefault="00042E0E" w:rsidP="000C44FC">
            <w:pPr>
              <w:jc w:val="center"/>
              <w:rPr>
                <w:iCs/>
                <w:sz w:val="22"/>
                <w:szCs w:val="22"/>
              </w:rPr>
            </w:pPr>
            <w:r>
              <w:rPr>
                <w:iCs/>
                <w:sz w:val="22"/>
                <w:szCs w:val="22"/>
              </w:rPr>
              <w:t>24.7</w:t>
            </w:r>
          </w:p>
          <w:p w14:paraId="25715628" w14:textId="77777777" w:rsidR="00042E0E" w:rsidRPr="00932E97" w:rsidRDefault="00042E0E" w:rsidP="000C44FC">
            <w:pPr>
              <w:jc w:val="center"/>
              <w:rPr>
                <w:iCs/>
                <w:sz w:val="22"/>
                <w:szCs w:val="22"/>
              </w:rPr>
            </w:pPr>
            <w:r>
              <w:rPr>
                <w:iCs/>
                <w:sz w:val="22"/>
                <w:szCs w:val="22"/>
              </w:rPr>
              <w:t>19.3</w:t>
            </w:r>
          </w:p>
        </w:tc>
        <w:tc>
          <w:tcPr>
            <w:tcW w:w="1389" w:type="dxa"/>
            <w:tcBorders>
              <w:top w:val="single" w:sz="4" w:space="0" w:color="auto"/>
              <w:left w:val="single" w:sz="4" w:space="0" w:color="auto"/>
              <w:bottom w:val="single" w:sz="4" w:space="0" w:color="auto"/>
              <w:right w:val="single" w:sz="4" w:space="0" w:color="auto"/>
            </w:tcBorders>
          </w:tcPr>
          <w:p w14:paraId="08030E82" w14:textId="77777777" w:rsidR="00042E0E" w:rsidRDefault="00042E0E" w:rsidP="000C44FC">
            <w:pPr>
              <w:jc w:val="center"/>
              <w:rPr>
                <w:iCs/>
                <w:sz w:val="22"/>
                <w:szCs w:val="22"/>
              </w:rPr>
            </w:pPr>
          </w:p>
          <w:p w14:paraId="785039C2" w14:textId="77777777" w:rsidR="00042E0E" w:rsidRDefault="00042E0E" w:rsidP="000C44FC">
            <w:pPr>
              <w:jc w:val="center"/>
              <w:rPr>
                <w:iCs/>
                <w:sz w:val="22"/>
                <w:szCs w:val="22"/>
              </w:rPr>
            </w:pPr>
          </w:p>
          <w:p w14:paraId="38C4D1F2" w14:textId="77777777" w:rsidR="00042E0E" w:rsidRDefault="00042E0E" w:rsidP="000C44FC">
            <w:pPr>
              <w:jc w:val="center"/>
              <w:rPr>
                <w:iCs/>
                <w:sz w:val="22"/>
                <w:szCs w:val="22"/>
              </w:rPr>
            </w:pPr>
            <w:r>
              <w:rPr>
                <w:iCs/>
                <w:sz w:val="22"/>
                <w:szCs w:val="22"/>
              </w:rPr>
              <w:t>0.7</w:t>
            </w:r>
          </w:p>
          <w:p w14:paraId="71B6FE2A" w14:textId="77777777" w:rsidR="00042E0E" w:rsidRPr="00932E97" w:rsidRDefault="00042E0E" w:rsidP="000C44FC">
            <w:pPr>
              <w:jc w:val="center"/>
              <w:rPr>
                <w:iCs/>
                <w:sz w:val="22"/>
                <w:szCs w:val="22"/>
              </w:rPr>
            </w:pPr>
            <w:r>
              <w:rPr>
                <w:iCs/>
                <w:sz w:val="22"/>
                <w:szCs w:val="22"/>
              </w:rPr>
              <w:t>0</w:t>
            </w:r>
          </w:p>
        </w:tc>
      </w:tr>
      <w:tr w:rsidR="00042E0E" w:rsidRPr="00932E97" w14:paraId="44C53C4A" w14:textId="77777777" w:rsidTr="000C44FC">
        <w:tc>
          <w:tcPr>
            <w:tcW w:w="4248" w:type="dxa"/>
            <w:tcBorders>
              <w:top w:val="single" w:sz="4" w:space="0" w:color="auto"/>
              <w:left w:val="single" w:sz="4" w:space="0" w:color="auto"/>
              <w:bottom w:val="single" w:sz="4" w:space="0" w:color="auto"/>
              <w:right w:val="single" w:sz="4" w:space="0" w:color="auto"/>
            </w:tcBorders>
          </w:tcPr>
          <w:p w14:paraId="2E45FDEE" w14:textId="77777777" w:rsidR="00042E0E" w:rsidRDefault="00042E0E" w:rsidP="000C44FC">
            <w:pPr>
              <w:rPr>
                <w:rFonts w:cs="Arial"/>
                <w:szCs w:val="22"/>
              </w:rPr>
            </w:pPr>
            <w:r w:rsidRPr="00F3524D">
              <w:rPr>
                <w:rFonts w:cs="Arial"/>
                <w:szCs w:val="22"/>
              </w:rPr>
              <w:t>General disorders and administration site conditions</w:t>
            </w:r>
          </w:p>
          <w:p w14:paraId="4E2B570C" w14:textId="77777777" w:rsidR="00042E0E" w:rsidRPr="00F3524D" w:rsidRDefault="00042E0E" w:rsidP="000C44FC">
            <w:pPr>
              <w:rPr>
                <w:rFonts w:cs="Arial"/>
                <w:szCs w:val="22"/>
                <w:vertAlign w:val="superscript"/>
              </w:rPr>
            </w:pPr>
            <w:r>
              <w:rPr>
                <w:iCs/>
                <w:sz w:val="22"/>
                <w:szCs w:val="22"/>
              </w:rPr>
              <w:t xml:space="preserve">   </w:t>
            </w:r>
            <w:r w:rsidRPr="00F3524D">
              <w:rPr>
                <w:rFonts w:cs="Arial"/>
                <w:szCs w:val="22"/>
              </w:rPr>
              <w:t>Oedema</w:t>
            </w:r>
            <w:r>
              <w:rPr>
                <w:rFonts w:cs="Arial"/>
                <w:szCs w:val="22"/>
                <w:vertAlign w:val="superscript"/>
              </w:rPr>
              <w:t>l</w:t>
            </w:r>
          </w:p>
          <w:p w14:paraId="6FB73B0D" w14:textId="77777777" w:rsidR="00042E0E" w:rsidRPr="00932E97" w:rsidRDefault="00042E0E" w:rsidP="000C44FC">
            <w:pPr>
              <w:rPr>
                <w:iCs/>
                <w:sz w:val="22"/>
                <w:szCs w:val="22"/>
              </w:rPr>
            </w:pPr>
            <w:r>
              <w:rPr>
                <w:rFonts w:cs="Arial"/>
                <w:szCs w:val="22"/>
              </w:rPr>
              <w:t xml:space="preserve">   </w:t>
            </w:r>
            <w:r w:rsidRPr="00F3524D">
              <w:rPr>
                <w:rFonts w:cs="Arial"/>
                <w:szCs w:val="22"/>
              </w:rPr>
              <w:t>Fatigue</w:t>
            </w:r>
            <w:r>
              <w:rPr>
                <w:rFonts w:cs="Arial"/>
                <w:szCs w:val="22"/>
                <w:vertAlign w:val="superscript"/>
              </w:rPr>
              <w:t>m</w:t>
            </w:r>
          </w:p>
        </w:tc>
        <w:tc>
          <w:tcPr>
            <w:tcW w:w="2268" w:type="dxa"/>
            <w:tcBorders>
              <w:top w:val="single" w:sz="4" w:space="0" w:color="auto"/>
              <w:left w:val="single" w:sz="4" w:space="0" w:color="auto"/>
              <w:bottom w:val="single" w:sz="4" w:space="0" w:color="auto"/>
              <w:right w:val="single" w:sz="4" w:space="0" w:color="auto"/>
            </w:tcBorders>
          </w:tcPr>
          <w:p w14:paraId="63615DCD" w14:textId="77777777" w:rsidR="00042E0E" w:rsidRDefault="00042E0E" w:rsidP="000C44FC">
            <w:pPr>
              <w:jc w:val="center"/>
              <w:rPr>
                <w:iCs/>
                <w:sz w:val="22"/>
                <w:szCs w:val="22"/>
              </w:rPr>
            </w:pPr>
          </w:p>
          <w:p w14:paraId="295879E2" w14:textId="77777777" w:rsidR="00042E0E" w:rsidRDefault="00042E0E" w:rsidP="000C44FC">
            <w:pPr>
              <w:jc w:val="center"/>
              <w:rPr>
                <w:iCs/>
                <w:sz w:val="22"/>
                <w:szCs w:val="22"/>
              </w:rPr>
            </w:pPr>
          </w:p>
          <w:p w14:paraId="4248A8F8" w14:textId="77777777" w:rsidR="00042E0E" w:rsidRDefault="00042E0E" w:rsidP="000C44FC">
            <w:pPr>
              <w:jc w:val="center"/>
              <w:rPr>
                <w:iCs/>
                <w:sz w:val="22"/>
                <w:szCs w:val="22"/>
              </w:rPr>
            </w:pPr>
            <w:r>
              <w:rPr>
                <w:iCs/>
                <w:sz w:val="22"/>
                <w:szCs w:val="22"/>
              </w:rPr>
              <w:t>Very common</w:t>
            </w:r>
          </w:p>
          <w:p w14:paraId="78871213" w14:textId="77777777" w:rsidR="00042E0E" w:rsidRPr="00932E97" w:rsidRDefault="00042E0E" w:rsidP="000C44FC">
            <w:pPr>
              <w:jc w:val="center"/>
              <w:rPr>
                <w:iCs/>
                <w:sz w:val="22"/>
                <w:szCs w:val="22"/>
              </w:rPr>
            </w:pPr>
            <w:r>
              <w:rPr>
                <w:iCs/>
                <w:sz w:val="22"/>
                <w:szCs w:val="22"/>
              </w:rPr>
              <w:t>Very common</w:t>
            </w:r>
          </w:p>
        </w:tc>
        <w:tc>
          <w:tcPr>
            <w:tcW w:w="1701" w:type="dxa"/>
            <w:tcBorders>
              <w:top w:val="single" w:sz="4" w:space="0" w:color="auto"/>
              <w:left w:val="single" w:sz="4" w:space="0" w:color="auto"/>
              <w:bottom w:val="single" w:sz="4" w:space="0" w:color="auto"/>
              <w:right w:val="single" w:sz="4" w:space="0" w:color="auto"/>
            </w:tcBorders>
          </w:tcPr>
          <w:p w14:paraId="70CD56E4" w14:textId="77777777" w:rsidR="00042E0E" w:rsidRDefault="00042E0E" w:rsidP="000C44FC">
            <w:pPr>
              <w:jc w:val="center"/>
              <w:rPr>
                <w:iCs/>
                <w:sz w:val="22"/>
                <w:szCs w:val="22"/>
              </w:rPr>
            </w:pPr>
          </w:p>
          <w:p w14:paraId="108B4990" w14:textId="77777777" w:rsidR="00042E0E" w:rsidRDefault="00042E0E" w:rsidP="000C44FC">
            <w:pPr>
              <w:jc w:val="center"/>
              <w:rPr>
                <w:iCs/>
                <w:sz w:val="22"/>
                <w:szCs w:val="22"/>
              </w:rPr>
            </w:pPr>
          </w:p>
          <w:p w14:paraId="4A91DFF8" w14:textId="77777777" w:rsidR="00042E0E" w:rsidRDefault="00042E0E" w:rsidP="000C44FC">
            <w:pPr>
              <w:jc w:val="center"/>
              <w:rPr>
                <w:iCs/>
                <w:sz w:val="22"/>
                <w:szCs w:val="22"/>
              </w:rPr>
            </w:pPr>
            <w:r>
              <w:rPr>
                <w:iCs/>
                <w:sz w:val="22"/>
                <w:szCs w:val="22"/>
              </w:rPr>
              <w:t>54.6</w:t>
            </w:r>
          </w:p>
          <w:p w14:paraId="594A11F2" w14:textId="77777777" w:rsidR="00042E0E" w:rsidRPr="00932E97" w:rsidRDefault="00042E0E" w:rsidP="000C44FC">
            <w:pPr>
              <w:jc w:val="center"/>
              <w:rPr>
                <w:iCs/>
                <w:sz w:val="22"/>
                <w:szCs w:val="22"/>
              </w:rPr>
            </w:pPr>
            <w:r>
              <w:rPr>
                <w:iCs/>
                <w:sz w:val="22"/>
                <w:szCs w:val="22"/>
              </w:rPr>
              <w:t>28.1</w:t>
            </w:r>
          </w:p>
        </w:tc>
        <w:tc>
          <w:tcPr>
            <w:tcW w:w="1389" w:type="dxa"/>
            <w:tcBorders>
              <w:top w:val="single" w:sz="4" w:space="0" w:color="auto"/>
              <w:left w:val="single" w:sz="4" w:space="0" w:color="auto"/>
              <w:bottom w:val="single" w:sz="4" w:space="0" w:color="auto"/>
              <w:right w:val="single" w:sz="4" w:space="0" w:color="auto"/>
            </w:tcBorders>
          </w:tcPr>
          <w:p w14:paraId="099F5D7D" w14:textId="77777777" w:rsidR="00042E0E" w:rsidRDefault="00042E0E" w:rsidP="000C44FC">
            <w:pPr>
              <w:jc w:val="center"/>
              <w:rPr>
                <w:iCs/>
                <w:sz w:val="22"/>
                <w:szCs w:val="22"/>
              </w:rPr>
            </w:pPr>
          </w:p>
          <w:p w14:paraId="41D23F74" w14:textId="77777777" w:rsidR="00042E0E" w:rsidRDefault="00042E0E" w:rsidP="000C44FC">
            <w:pPr>
              <w:jc w:val="center"/>
              <w:rPr>
                <w:iCs/>
                <w:sz w:val="22"/>
                <w:szCs w:val="22"/>
              </w:rPr>
            </w:pPr>
          </w:p>
          <w:p w14:paraId="39D92413" w14:textId="77777777" w:rsidR="00042E0E" w:rsidRDefault="00042E0E" w:rsidP="000C44FC">
            <w:pPr>
              <w:jc w:val="center"/>
              <w:rPr>
                <w:iCs/>
                <w:sz w:val="22"/>
                <w:szCs w:val="22"/>
              </w:rPr>
            </w:pPr>
            <w:r>
              <w:rPr>
                <w:iCs/>
                <w:sz w:val="22"/>
                <w:szCs w:val="22"/>
              </w:rPr>
              <w:t>2.4</w:t>
            </w:r>
          </w:p>
          <w:p w14:paraId="5A49CC0F" w14:textId="77777777" w:rsidR="00042E0E" w:rsidRDefault="00042E0E" w:rsidP="000C44FC">
            <w:pPr>
              <w:jc w:val="center"/>
              <w:rPr>
                <w:iCs/>
                <w:sz w:val="22"/>
                <w:szCs w:val="22"/>
              </w:rPr>
            </w:pPr>
            <w:r>
              <w:rPr>
                <w:iCs/>
                <w:sz w:val="22"/>
                <w:szCs w:val="22"/>
              </w:rPr>
              <w:t>0.7</w:t>
            </w:r>
          </w:p>
          <w:p w14:paraId="5C264F83" w14:textId="77777777" w:rsidR="00042E0E" w:rsidRPr="00932E97" w:rsidRDefault="00042E0E" w:rsidP="000C44FC">
            <w:pPr>
              <w:jc w:val="center"/>
              <w:rPr>
                <w:iCs/>
                <w:sz w:val="22"/>
                <w:szCs w:val="22"/>
              </w:rPr>
            </w:pPr>
          </w:p>
        </w:tc>
      </w:tr>
      <w:tr w:rsidR="00042E0E" w:rsidRPr="00932E97" w14:paraId="18C4C255" w14:textId="77777777" w:rsidTr="000C44FC">
        <w:tc>
          <w:tcPr>
            <w:tcW w:w="4248" w:type="dxa"/>
            <w:tcBorders>
              <w:top w:val="single" w:sz="4" w:space="0" w:color="auto"/>
              <w:left w:val="single" w:sz="4" w:space="0" w:color="auto"/>
              <w:bottom w:val="single" w:sz="4" w:space="0" w:color="auto"/>
              <w:right w:val="single" w:sz="4" w:space="0" w:color="auto"/>
            </w:tcBorders>
          </w:tcPr>
          <w:p w14:paraId="5DA6CBB5" w14:textId="77777777" w:rsidR="00042E0E" w:rsidRDefault="00042E0E" w:rsidP="000C44FC">
            <w:pPr>
              <w:rPr>
                <w:rFonts w:cs="Arial"/>
                <w:szCs w:val="22"/>
              </w:rPr>
            </w:pPr>
            <w:r w:rsidRPr="00F3524D">
              <w:rPr>
                <w:rFonts w:cs="Arial"/>
                <w:szCs w:val="22"/>
              </w:rPr>
              <w:t>Investigations</w:t>
            </w:r>
          </w:p>
          <w:p w14:paraId="62E1BD03" w14:textId="77777777" w:rsidR="00042E0E" w:rsidRDefault="00042E0E" w:rsidP="000C44FC">
            <w:pPr>
              <w:rPr>
                <w:rFonts w:cs="Arial"/>
                <w:szCs w:val="22"/>
              </w:rPr>
            </w:pPr>
            <w:r>
              <w:rPr>
                <w:rFonts w:cs="Arial"/>
                <w:szCs w:val="22"/>
              </w:rPr>
              <w:t xml:space="preserve">   </w:t>
            </w:r>
            <w:r w:rsidRPr="00F3524D">
              <w:rPr>
                <w:rFonts w:cs="Arial"/>
                <w:szCs w:val="22"/>
              </w:rPr>
              <w:t>Weight increased</w:t>
            </w:r>
          </w:p>
          <w:p w14:paraId="091D0944" w14:textId="77777777" w:rsidR="00042E0E" w:rsidRDefault="00042E0E" w:rsidP="000C44FC">
            <w:pPr>
              <w:rPr>
                <w:rFonts w:cs="Arial"/>
                <w:szCs w:val="22"/>
              </w:rPr>
            </w:pPr>
            <w:r>
              <w:rPr>
                <w:rFonts w:cs="Arial"/>
                <w:szCs w:val="22"/>
              </w:rPr>
              <w:t xml:space="preserve">   Lipase increased</w:t>
            </w:r>
          </w:p>
          <w:p w14:paraId="39F91BC4" w14:textId="77777777" w:rsidR="00042E0E" w:rsidRDefault="00042E0E" w:rsidP="000C44FC">
            <w:pPr>
              <w:rPr>
                <w:rFonts w:cs="Arial"/>
                <w:szCs w:val="22"/>
              </w:rPr>
            </w:pPr>
            <w:r>
              <w:rPr>
                <w:rFonts w:cs="Arial"/>
                <w:szCs w:val="22"/>
              </w:rPr>
              <w:t xml:space="preserve">   Amylase increased</w:t>
            </w:r>
          </w:p>
          <w:p w14:paraId="24AB1289" w14:textId="77777777" w:rsidR="00042E0E" w:rsidRPr="00FF30BB" w:rsidRDefault="00042E0E" w:rsidP="000C44FC">
            <w:pPr>
              <w:rPr>
                <w:rFonts w:cs="Arial"/>
                <w:szCs w:val="22"/>
              </w:rPr>
            </w:pPr>
            <w:r>
              <w:rPr>
                <w:rFonts w:cs="Arial"/>
                <w:szCs w:val="22"/>
              </w:rPr>
              <w:t xml:space="preserve">   Electrocardiogram PR prolongation</w:t>
            </w:r>
          </w:p>
        </w:tc>
        <w:tc>
          <w:tcPr>
            <w:tcW w:w="2268" w:type="dxa"/>
            <w:tcBorders>
              <w:top w:val="single" w:sz="4" w:space="0" w:color="auto"/>
              <w:left w:val="single" w:sz="4" w:space="0" w:color="auto"/>
              <w:bottom w:val="single" w:sz="4" w:space="0" w:color="auto"/>
              <w:right w:val="single" w:sz="4" w:space="0" w:color="auto"/>
            </w:tcBorders>
          </w:tcPr>
          <w:p w14:paraId="51F2CD90" w14:textId="77777777" w:rsidR="00042E0E" w:rsidRDefault="00042E0E" w:rsidP="000C44FC">
            <w:pPr>
              <w:jc w:val="center"/>
              <w:rPr>
                <w:iCs/>
                <w:sz w:val="22"/>
                <w:szCs w:val="22"/>
              </w:rPr>
            </w:pPr>
          </w:p>
          <w:p w14:paraId="6AC4E533" w14:textId="77777777" w:rsidR="00042E0E" w:rsidRDefault="00042E0E" w:rsidP="000C44FC">
            <w:pPr>
              <w:jc w:val="center"/>
              <w:rPr>
                <w:iCs/>
                <w:sz w:val="22"/>
                <w:szCs w:val="22"/>
              </w:rPr>
            </w:pPr>
            <w:r>
              <w:rPr>
                <w:iCs/>
                <w:sz w:val="22"/>
                <w:szCs w:val="22"/>
              </w:rPr>
              <w:t>Very common</w:t>
            </w:r>
          </w:p>
          <w:p w14:paraId="1E99D834" w14:textId="77777777" w:rsidR="00042E0E" w:rsidRDefault="00042E0E" w:rsidP="000C44FC">
            <w:pPr>
              <w:jc w:val="center"/>
              <w:rPr>
                <w:iCs/>
                <w:sz w:val="22"/>
                <w:szCs w:val="22"/>
              </w:rPr>
            </w:pPr>
            <w:r>
              <w:rPr>
                <w:iCs/>
                <w:sz w:val="22"/>
                <w:szCs w:val="22"/>
              </w:rPr>
              <w:t>Very common</w:t>
            </w:r>
          </w:p>
          <w:p w14:paraId="0F081457" w14:textId="77777777" w:rsidR="00042E0E" w:rsidRDefault="00042E0E" w:rsidP="000C44FC">
            <w:pPr>
              <w:jc w:val="center"/>
              <w:rPr>
                <w:iCs/>
                <w:sz w:val="22"/>
                <w:szCs w:val="22"/>
              </w:rPr>
            </w:pPr>
            <w:r>
              <w:rPr>
                <w:iCs/>
                <w:sz w:val="22"/>
                <w:szCs w:val="22"/>
              </w:rPr>
              <w:t>Very common</w:t>
            </w:r>
          </w:p>
          <w:p w14:paraId="44011217" w14:textId="77777777" w:rsidR="00042E0E" w:rsidRPr="00932E97" w:rsidRDefault="00042E0E" w:rsidP="000C44FC">
            <w:pPr>
              <w:jc w:val="center"/>
              <w:rPr>
                <w:iCs/>
                <w:sz w:val="22"/>
                <w:szCs w:val="22"/>
              </w:rPr>
            </w:pPr>
            <w:r>
              <w:rPr>
                <w:iCs/>
                <w:sz w:val="22"/>
                <w:szCs w:val="22"/>
              </w:rPr>
              <w:t>Uncommon</w:t>
            </w:r>
          </w:p>
        </w:tc>
        <w:tc>
          <w:tcPr>
            <w:tcW w:w="1701" w:type="dxa"/>
            <w:tcBorders>
              <w:top w:val="single" w:sz="4" w:space="0" w:color="auto"/>
              <w:left w:val="single" w:sz="4" w:space="0" w:color="auto"/>
              <w:bottom w:val="single" w:sz="4" w:space="0" w:color="auto"/>
              <w:right w:val="single" w:sz="4" w:space="0" w:color="auto"/>
            </w:tcBorders>
          </w:tcPr>
          <w:p w14:paraId="781FD6F1" w14:textId="77777777" w:rsidR="00042E0E" w:rsidRDefault="00042E0E" w:rsidP="000C44FC">
            <w:pPr>
              <w:jc w:val="center"/>
              <w:rPr>
                <w:iCs/>
                <w:sz w:val="22"/>
                <w:szCs w:val="22"/>
              </w:rPr>
            </w:pPr>
          </w:p>
          <w:p w14:paraId="7885CC8A" w14:textId="77777777" w:rsidR="00042E0E" w:rsidRDefault="00042E0E" w:rsidP="000C44FC">
            <w:pPr>
              <w:jc w:val="center"/>
              <w:rPr>
                <w:iCs/>
                <w:sz w:val="22"/>
                <w:szCs w:val="22"/>
              </w:rPr>
            </w:pPr>
            <w:r>
              <w:rPr>
                <w:iCs/>
                <w:sz w:val="22"/>
                <w:szCs w:val="22"/>
              </w:rPr>
              <w:t>26.4</w:t>
            </w:r>
          </w:p>
          <w:p w14:paraId="4004C70A" w14:textId="77777777" w:rsidR="00042E0E" w:rsidRDefault="00042E0E" w:rsidP="000C44FC">
            <w:pPr>
              <w:jc w:val="center"/>
              <w:rPr>
                <w:iCs/>
                <w:sz w:val="22"/>
                <w:szCs w:val="22"/>
              </w:rPr>
            </w:pPr>
            <w:r>
              <w:rPr>
                <w:iCs/>
                <w:sz w:val="22"/>
                <w:szCs w:val="22"/>
              </w:rPr>
              <w:t>13.9</w:t>
            </w:r>
          </w:p>
          <w:p w14:paraId="12549CAF" w14:textId="77777777" w:rsidR="00042E0E" w:rsidRDefault="00042E0E" w:rsidP="000C44FC">
            <w:pPr>
              <w:jc w:val="center"/>
              <w:rPr>
                <w:iCs/>
                <w:sz w:val="22"/>
                <w:szCs w:val="22"/>
              </w:rPr>
            </w:pPr>
            <w:r>
              <w:rPr>
                <w:iCs/>
                <w:sz w:val="22"/>
                <w:szCs w:val="22"/>
              </w:rPr>
              <w:t>10.2</w:t>
            </w:r>
          </w:p>
          <w:p w14:paraId="530B9514" w14:textId="77777777" w:rsidR="00042E0E" w:rsidRPr="00932E97" w:rsidRDefault="00042E0E" w:rsidP="000C44FC">
            <w:pPr>
              <w:jc w:val="center"/>
              <w:rPr>
                <w:iCs/>
                <w:sz w:val="22"/>
                <w:szCs w:val="22"/>
              </w:rPr>
            </w:pPr>
            <w:r>
              <w:rPr>
                <w:iCs/>
                <w:sz w:val="22"/>
                <w:szCs w:val="22"/>
              </w:rPr>
              <w:t>0.7</w:t>
            </w:r>
          </w:p>
        </w:tc>
        <w:tc>
          <w:tcPr>
            <w:tcW w:w="1389" w:type="dxa"/>
            <w:tcBorders>
              <w:top w:val="single" w:sz="4" w:space="0" w:color="auto"/>
              <w:left w:val="single" w:sz="4" w:space="0" w:color="auto"/>
              <w:bottom w:val="single" w:sz="4" w:space="0" w:color="auto"/>
              <w:right w:val="single" w:sz="4" w:space="0" w:color="auto"/>
            </w:tcBorders>
          </w:tcPr>
          <w:p w14:paraId="7E63003F" w14:textId="77777777" w:rsidR="00042E0E" w:rsidRDefault="00042E0E" w:rsidP="000C44FC">
            <w:pPr>
              <w:jc w:val="center"/>
              <w:rPr>
                <w:iCs/>
                <w:sz w:val="22"/>
                <w:szCs w:val="22"/>
              </w:rPr>
            </w:pPr>
          </w:p>
          <w:p w14:paraId="370D64E0" w14:textId="77777777" w:rsidR="00042E0E" w:rsidRDefault="00042E0E" w:rsidP="000C44FC">
            <w:pPr>
              <w:jc w:val="center"/>
              <w:rPr>
                <w:iCs/>
                <w:sz w:val="22"/>
                <w:szCs w:val="22"/>
              </w:rPr>
            </w:pPr>
            <w:r>
              <w:rPr>
                <w:iCs/>
                <w:sz w:val="22"/>
                <w:szCs w:val="22"/>
              </w:rPr>
              <w:t>5.4</w:t>
            </w:r>
          </w:p>
          <w:p w14:paraId="17E3C61C" w14:textId="77777777" w:rsidR="00042E0E" w:rsidRDefault="00042E0E" w:rsidP="000C44FC">
            <w:pPr>
              <w:jc w:val="center"/>
              <w:rPr>
                <w:iCs/>
                <w:sz w:val="22"/>
                <w:szCs w:val="22"/>
              </w:rPr>
            </w:pPr>
            <w:r>
              <w:rPr>
                <w:iCs/>
                <w:sz w:val="22"/>
                <w:szCs w:val="22"/>
              </w:rPr>
              <w:t>8.8</w:t>
            </w:r>
          </w:p>
          <w:p w14:paraId="1833E6C2" w14:textId="77777777" w:rsidR="00042E0E" w:rsidRDefault="00042E0E" w:rsidP="000C44FC">
            <w:pPr>
              <w:jc w:val="center"/>
              <w:rPr>
                <w:iCs/>
                <w:sz w:val="22"/>
                <w:szCs w:val="22"/>
              </w:rPr>
            </w:pPr>
            <w:r>
              <w:rPr>
                <w:iCs/>
                <w:sz w:val="22"/>
                <w:szCs w:val="22"/>
              </w:rPr>
              <w:t>3.1</w:t>
            </w:r>
          </w:p>
          <w:p w14:paraId="1A285800" w14:textId="77777777" w:rsidR="00042E0E" w:rsidRPr="00932E97" w:rsidRDefault="00042E0E" w:rsidP="000C44FC">
            <w:pPr>
              <w:jc w:val="center"/>
              <w:rPr>
                <w:iCs/>
                <w:sz w:val="22"/>
                <w:szCs w:val="22"/>
              </w:rPr>
            </w:pPr>
            <w:r>
              <w:rPr>
                <w:iCs/>
                <w:sz w:val="22"/>
                <w:szCs w:val="22"/>
              </w:rPr>
              <w:t>0</w:t>
            </w:r>
          </w:p>
        </w:tc>
      </w:tr>
      <w:tr w:rsidR="00737ADC" w:rsidRPr="00F3524D" w14:paraId="58F48653" w14:textId="77777777" w:rsidTr="00037E87">
        <w:tc>
          <w:tcPr>
            <w:tcW w:w="9606" w:type="dxa"/>
            <w:gridSpan w:val="4"/>
            <w:tcBorders>
              <w:top w:val="single" w:sz="4" w:space="0" w:color="auto"/>
              <w:left w:val="nil"/>
              <w:bottom w:val="nil"/>
              <w:right w:val="nil"/>
            </w:tcBorders>
          </w:tcPr>
          <w:p w14:paraId="78843015" w14:textId="1403203B" w:rsidR="00737ADC" w:rsidRPr="00F3524D" w:rsidRDefault="00737ADC" w:rsidP="00FA293E">
            <w:pPr>
              <w:rPr>
                <w:iCs/>
                <w:sz w:val="20"/>
              </w:rPr>
            </w:pPr>
            <w:r w:rsidRPr="00F3524D">
              <w:rPr>
                <w:iCs/>
                <w:sz w:val="20"/>
              </w:rPr>
              <w:t xml:space="preserve">Event terms that represent the same medical concept or condition were grouped together and reported as a single adverse drug reaction in the table above. Terms actually reported in the studies up to the data cutoff date </w:t>
            </w:r>
            <w:r w:rsidR="00F64C3A">
              <w:rPr>
                <w:iCs/>
                <w:sz w:val="20"/>
              </w:rPr>
              <w:t xml:space="preserve">(02Feb2018) </w:t>
            </w:r>
            <w:r w:rsidRPr="00F3524D">
              <w:rPr>
                <w:iCs/>
                <w:sz w:val="20"/>
              </w:rPr>
              <w:t>and contributing to the relevant adverse reaction are indicated in parentheses, as listed below.</w:t>
            </w:r>
          </w:p>
          <w:p w14:paraId="02358534" w14:textId="77777777" w:rsidR="00737ADC" w:rsidRPr="00F3524D" w:rsidRDefault="00737ADC" w:rsidP="00FA293E">
            <w:pPr>
              <w:tabs>
                <w:tab w:val="left" w:pos="180"/>
              </w:tabs>
              <w:ind w:left="180" w:hanging="180"/>
              <w:rPr>
                <w:iCs/>
                <w:sz w:val="20"/>
              </w:rPr>
            </w:pPr>
            <w:r w:rsidRPr="00F3524D">
              <w:rPr>
                <w:iCs/>
                <w:sz w:val="20"/>
                <w:vertAlign w:val="superscript"/>
              </w:rPr>
              <w:t>a</w:t>
            </w:r>
            <w:r w:rsidRPr="00BA0560">
              <w:rPr>
                <w:iCs/>
                <w:color w:val="000000"/>
                <w:sz w:val="20"/>
                <w:vertAlign w:val="superscript"/>
              </w:rPr>
              <w:tab/>
            </w:r>
            <w:r w:rsidRPr="00F3524D">
              <w:rPr>
                <w:iCs/>
                <w:sz w:val="20"/>
              </w:rPr>
              <w:t>Hypercholesterolaemia (including blood cholesterol increased, hypercholesterolaemia).</w:t>
            </w:r>
          </w:p>
          <w:p w14:paraId="5A43BAD6" w14:textId="77777777" w:rsidR="00737ADC" w:rsidRPr="00F3524D" w:rsidRDefault="00737ADC" w:rsidP="00FA293E">
            <w:pPr>
              <w:tabs>
                <w:tab w:val="left" w:pos="180"/>
              </w:tabs>
              <w:ind w:left="180" w:hanging="180"/>
              <w:rPr>
                <w:iCs/>
                <w:sz w:val="20"/>
              </w:rPr>
            </w:pPr>
            <w:r w:rsidRPr="00F3524D">
              <w:rPr>
                <w:iCs/>
                <w:sz w:val="20"/>
                <w:vertAlign w:val="superscript"/>
              </w:rPr>
              <w:t>b</w:t>
            </w:r>
            <w:r w:rsidRPr="00BA0560">
              <w:rPr>
                <w:iCs/>
                <w:color w:val="000000"/>
                <w:sz w:val="20"/>
                <w:vertAlign w:val="superscript"/>
              </w:rPr>
              <w:tab/>
            </w:r>
            <w:r w:rsidRPr="00F3524D">
              <w:rPr>
                <w:iCs/>
                <w:sz w:val="20"/>
              </w:rPr>
              <w:t>Hypertriglyceridaemia (including blood triglycerides increased, hypertriglyceridaemia).</w:t>
            </w:r>
          </w:p>
          <w:p w14:paraId="73637E41" w14:textId="38246299" w:rsidR="00737ADC" w:rsidRDefault="00737ADC" w:rsidP="00FA293E">
            <w:pPr>
              <w:pStyle w:val="CommentText"/>
              <w:tabs>
                <w:tab w:val="left" w:pos="180"/>
              </w:tabs>
              <w:ind w:left="180" w:hanging="180"/>
              <w:rPr>
                <w:iCs/>
              </w:rPr>
            </w:pPr>
            <w:r w:rsidRPr="00F3524D">
              <w:rPr>
                <w:iCs/>
                <w:vertAlign w:val="superscript"/>
              </w:rPr>
              <w:t>c</w:t>
            </w:r>
            <w:r w:rsidRPr="00BA0560">
              <w:rPr>
                <w:iCs/>
                <w:color w:val="000000"/>
                <w:vertAlign w:val="superscript"/>
              </w:rPr>
              <w:tab/>
            </w:r>
            <w:r w:rsidRPr="00F3524D">
              <w:rPr>
                <w:iCs/>
              </w:rPr>
              <w:t xml:space="preserve">Mood </w:t>
            </w:r>
            <w:r w:rsidR="00F64C3A">
              <w:rPr>
                <w:iCs/>
              </w:rPr>
              <w:t>effects</w:t>
            </w:r>
            <w:r w:rsidRPr="00F3524D">
              <w:rPr>
                <w:iCs/>
              </w:rPr>
              <w:t xml:space="preserve"> (including affective disorder, affect</w:t>
            </w:r>
            <w:r w:rsidR="00481F38">
              <w:rPr>
                <w:iCs/>
              </w:rPr>
              <w:t xml:space="preserve"> </w:t>
            </w:r>
            <w:r>
              <w:rPr>
                <w:iCs/>
              </w:rPr>
              <w:t>lability</w:t>
            </w:r>
            <w:r w:rsidRPr="00F3524D">
              <w:rPr>
                <w:iCs/>
              </w:rPr>
              <w:t>, aggression, agitation, anxiety, depressed mood, depression, euphoric mood, irritability, mania, mood altered, mood swings, personality change</w:t>
            </w:r>
            <w:r w:rsidR="00F64C3A">
              <w:rPr>
                <w:iCs/>
              </w:rPr>
              <w:t>, stress</w:t>
            </w:r>
            <w:r w:rsidRPr="00F3524D">
              <w:rPr>
                <w:iCs/>
              </w:rPr>
              <w:t xml:space="preserve">). </w:t>
            </w:r>
          </w:p>
          <w:p w14:paraId="4AEF84A4" w14:textId="77777777" w:rsidR="00F64C3A" w:rsidRPr="00F3524D" w:rsidRDefault="00F64C3A" w:rsidP="00FA293E">
            <w:pPr>
              <w:pStyle w:val="CommentText"/>
              <w:tabs>
                <w:tab w:val="left" w:pos="180"/>
              </w:tabs>
              <w:ind w:left="180" w:hanging="180"/>
              <w:rPr>
                <w:iCs/>
              </w:rPr>
            </w:pPr>
            <w:r w:rsidRPr="00F3524D">
              <w:rPr>
                <w:iCs/>
                <w:vertAlign w:val="superscript"/>
              </w:rPr>
              <w:lastRenderedPageBreak/>
              <w:t>d</w:t>
            </w:r>
            <w:r w:rsidRPr="00BA0560">
              <w:rPr>
                <w:iCs/>
                <w:color w:val="000000"/>
                <w:vertAlign w:val="superscript"/>
              </w:rPr>
              <w:tab/>
            </w:r>
            <w:r w:rsidRPr="00A25BE1">
              <w:rPr>
                <w:iCs/>
              </w:rPr>
              <w:t>Hallucination</w:t>
            </w:r>
            <w:r>
              <w:rPr>
                <w:iCs/>
              </w:rPr>
              <w:t>s</w:t>
            </w:r>
            <w:r w:rsidRPr="00A25BE1">
              <w:rPr>
                <w:iCs/>
              </w:rPr>
              <w:t xml:space="preserve"> (including hallucination, hallucination auditory</w:t>
            </w:r>
            <w:r>
              <w:rPr>
                <w:iCs/>
              </w:rPr>
              <w:t xml:space="preserve">, </w:t>
            </w:r>
            <w:r w:rsidRPr="00A25BE1">
              <w:rPr>
                <w:iCs/>
              </w:rPr>
              <w:t>hallucination visual)</w:t>
            </w:r>
            <w:r>
              <w:rPr>
                <w:iCs/>
              </w:rPr>
              <w:t>.</w:t>
            </w:r>
          </w:p>
          <w:p w14:paraId="61C05953" w14:textId="6C4179CE" w:rsidR="00737ADC" w:rsidRPr="00F3524D" w:rsidRDefault="00F64C3A" w:rsidP="00FA293E">
            <w:pPr>
              <w:pStyle w:val="CommentText"/>
              <w:tabs>
                <w:tab w:val="left" w:pos="165"/>
              </w:tabs>
              <w:ind w:left="180" w:hanging="180"/>
              <w:rPr>
                <w:iCs/>
              </w:rPr>
            </w:pPr>
            <w:r>
              <w:rPr>
                <w:iCs/>
                <w:vertAlign w:val="superscript"/>
              </w:rPr>
              <w:t>e</w:t>
            </w:r>
            <w:r w:rsidR="00737ADC" w:rsidRPr="00BA0560">
              <w:rPr>
                <w:iCs/>
                <w:color w:val="000000"/>
                <w:vertAlign w:val="superscript"/>
              </w:rPr>
              <w:tab/>
            </w:r>
            <w:r w:rsidR="00737ADC" w:rsidRPr="00357A8D">
              <w:rPr>
                <w:iCs/>
              </w:rPr>
              <w:t xml:space="preserve">Cognitive </w:t>
            </w:r>
            <w:r>
              <w:rPr>
                <w:iCs/>
              </w:rPr>
              <w:t>effects</w:t>
            </w:r>
            <w:r w:rsidR="00737ADC" w:rsidRPr="00357A8D">
              <w:rPr>
                <w:iCs/>
              </w:rPr>
              <w:t xml:space="preserve"> (including events from SOC Nervous system disorders: amnesia, cognitive disorder, dementia, disturbance in attention, memory impairment, mental impairment; and also including events from SOC Psychiatric disorders: </w:t>
            </w:r>
            <w:r w:rsidR="002B2F9E" w:rsidRPr="00357A8D">
              <w:rPr>
                <w:iCs/>
              </w:rPr>
              <w:t>attention deficit/hyperactivity disorder</w:t>
            </w:r>
            <w:r w:rsidR="002B2F9E">
              <w:rPr>
                <w:iCs/>
              </w:rPr>
              <w:t xml:space="preserve">, </w:t>
            </w:r>
            <w:r w:rsidR="00737ADC" w:rsidRPr="00357A8D">
              <w:rPr>
                <w:iCs/>
              </w:rPr>
              <w:t xml:space="preserve">confusional state, delirium, </w:t>
            </w:r>
            <w:r>
              <w:rPr>
                <w:iCs/>
              </w:rPr>
              <w:t xml:space="preserve">disorientation, </w:t>
            </w:r>
            <w:r w:rsidR="00481F38">
              <w:rPr>
                <w:iCs/>
              </w:rPr>
              <w:t>reading disorder</w:t>
            </w:r>
            <w:r w:rsidR="00737ADC" w:rsidRPr="00357A8D">
              <w:rPr>
                <w:iCs/>
              </w:rPr>
              <w:t>). Within these effects, terms from SOC Nervous system disorders were more frequently reported than terms from SOC Psychiatric disorders</w:t>
            </w:r>
            <w:r w:rsidR="00737ADC">
              <w:rPr>
                <w:iCs/>
              </w:rPr>
              <w:t>.</w:t>
            </w:r>
          </w:p>
          <w:p w14:paraId="2B2FA583" w14:textId="6917DD6C" w:rsidR="00737ADC" w:rsidRPr="00F3524D" w:rsidRDefault="00F64C3A" w:rsidP="00FA293E">
            <w:pPr>
              <w:pStyle w:val="CommentText"/>
              <w:tabs>
                <w:tab w:val="left" w:pos="180"/>
              </w:tabs>
              <w:ind w:left="180" w:hanging="180"/>
              <w:rPr>
                <w:iCs/>
              </w:rPr>
            </w:pPr>
            <w:r>
              <w:rPr>
                <w:iCs/>
                <w:vertAlign w:val="superscript"/>
              </w:rPr>
              <w:t>f</w:t>
            </w:r>
            <w:r w:rsidR="00737ADC" w:rsidRPr="00BA0560">
              <w:rPr>
                <w:iCs/>
                <w:color w:val="000000"/>
                <w:vertAlign w:val="superscript"/>
              </w:rPr>
              <w:tab/>
            </w:r>
            <w:r w:rsidR="00737ADC" w:rsidRPr="00F3524D">
              <w:rPr>
                <w:iCs/>
              </w:rPr>
              <w:t xml:space="preserve">Peripheral neuropathy (including burning sensation, carpal tunnel syndrome, dysaesthesia, formication, gait disturbance, hypoaesthesia, muscular weakness, neuralgia, neuropathy peripheral, neurotoxicity, paraesthesia, peripheral sensory neuropathy, </w:t>
            </w:r>
            <w:r>
              <w:rPr>
                <w:iCs/>
              </w:rPr>
              <w:t xml:space="preserve">peroneal nerve palsy, </w:t>
            </w:r>
            <w:r w:rsidR="00737ADC" w:rsidRPr="00F3524D">
              <w:rPr>
                <w:iCs/>
              </w:rPr>
              <w:t>sensory disturbance).</w:t>
            </w:r>
          </w:p>
          <w:p w14:paraId="5DED5CB1" w14:textId="47E0FBC7" w:rsidR="00737ADC" w:rsidRPr="00F3524D" w:rsidRDefault="00F64C3A" w:rsidP="00FA293E">
            <w:pPr>
              <w:pStyle w:val="CommentText"/>
              <w:tabs>
                <w:tab w:val="left" w:pos="180"/>
              </w:tabs>
              <w:rPr>
                <w:iCs/>
              </w:rPr>
            </w:pPr>
            <w:r>
              <w:rPr>
                <w:iCs/>
                <w:vertAlign w:val="superscript"/>
              </w:rPr>
              <w:t>g</w:t>
            </w:r>
            <w:r w:rsidR="00737ADC" w:rsidRPr="00BA0560">
              <w:rPr>
                <w:iCs/>
                <w:color w:val="000000"/>
                <w:vertAlign w:val="superscript"/>
              </w:rPr>
              <w:tab/>
            </w:r>
            <w:r w:rsidR="00737ADC" w:rsidRPr="00F3524D">
              <w:rPr>
                <w:iCs/>
              </w:rPr>
              <w:t xml:space="preserve">Speech </w:t>
            </w:r>
            <w:r>
              <w:rPr>
                <w:iCs/>
              </w:rPr>
              <w:t>effects</w:t>
            </w:r>
            <w:r w:rsidR="00737ADC" w:rsidRPr="00F3524D">
              <w:rPr>
                <w:iCs/>
              </w:rPr>
              <w:t xml:space="preserve"> (</w:t>
            </w:r>
            <w:r w:rsidR="004109DC">
              <w:rPr>
                <w:iCs/>
              </w:rPr>
              <w:t xml:space="preserve">including </w:t>
            </w:r>
            <w:r w:rsidR="00737ADC" w:rsidRPr="00F3524D">
              <w:rPr>
                <w:iCs/>
              </w:rPr>
              <w:t>dysarthria, slow speech, speech disorder).</w:t>
            </w:r>
          </w:p>
          <w:p w14:paraId="7609E4CA" w14:textId="799FC316" w:rsidR="00737ADC" w:rsidRPr="00BC149B" w:rsidRDefault="004109DC" w:rsidP="00FA293E">
            <w:pPr>
              <w:pStyle w:val="CommentText"/>
              <w:tabs>
                <w:tab w:val="left" w:pos="180"/>
              </w:tabs>
              <w:ind w:left="180" w:hanging="180"/>
            </w:pPr>
            <w:r>
              <w:rPr>
                <w:vertAlign w:val="superscript"/>
              </w:rPr>
              <w:t>h</w:t>
            </w:r>
            <w:r w:rsidR="00737ADC" w:rsidRPr="00BA0560">
              <w:rPr>
                <w:iCs/>
                <w:color w:val="000000"/>
                <w:vertAlign w:val="superscript"/>
              </w:rPr>
              <w:tab/>
            </w:r>
            <w:r w:rsidR="00737ADC" w:rsidRPr="00F3524D">
              <w:rPr>
                <w:iCs/>
              </w:rPr>
              <w:t xml:space="preserve">Vision disorder (including diplopia, photophobia, photopsia, vision blurred, visual acuity reduced, </w:t>
            </w:r>
            <w:r w:rsidR="00481F38" w:rsidRPr="00481F38">
              <w:rPr>
                <w:iCs/>
                <w:lang w:val="en-AU"/>
              </w:rPr>
              <w:t xml:space="preserve">visual impairment, </w:t>
            </w:r>
            <w:r w:rsidR="00737ADC" w:rsidRPr="00F3524D">
              <w:rPr>
                <w:iCs/>
              </w:rPr>
              <w:t>vitreous floaters).</w:t>
            </w:r>
          </w:p>
          <w:p w14:paraId="749B0833" w14:textId="77A79E2B" w:rsidR="004109DC" w:rsidRDefault="004109DC" w:rsidP="00FA293E">
            <w:pPr>
              <w:pStyle w:val="CommentText"/>
              <w:tabs>
                <w:tab w:val="left" w:pos="180"/>
              </w:tabs>
              <w:ind w:left="180" w:hanging="180"/>
              <w:rPr>
                <w:iCs/>
              </w:rPr>
            </w:pPr>
            <w:r>
              <w:rPr>
                <w:iCs/>
                <w:color w:val="000000"/>
                <w:vertAlign w:val="superscript"/>
              </w:rPr>
              <w:t>i</w:t>
            </w:r>
            <w:r w:rsidRPr="00BA0560">
              <w:rPr>
                <w:iCs/>
                <w:color w:val="000000"/>
                <w:vertAlign w:val="superscript"/>
              </w:rPr>
              <w:tab/>
            </w:r>
            <w:r>
              <w:rPr>
                <w:iCs/>
              </w:rPr>
              <w:t>Pneumonitis (including interstitial lung disease, pneumonitis).</w:t>
            </w:r>
          </w:p>
          <w:p w14:paraId="746BD9EB" w14:textId="7C0CCA3C" w:rsidR="00042E0E" w:rsidRDefault="00042E0E" w:rsidP="00FA293E">
            <w:pPr>
              <w:pStyle w:val="CommentText"/>
              <w:tabs>
                <w:tab w:val="left" w:pos="180"/>
              </w:tabs>
              <w:ind w:left="180" w:hanging="180"/>
            </w:pPr>
            <w:r>
              <w:rPr>
                <w:vertAlign w:val="superscript"/>
              </w:rPr>
              <w:t>j</w:t>
            </w:r>
            <w:r>
              <w:t xml:space="preserve"> Rash (including dermatitis acneiform, maculopapular rash, pruritic rash, rash).</w:t>
            </w:r>
          </w:p>
          <w:p w14:paraId="11B7543D" w14:textId="6CACA36B" w:rsidR="00042E0E" w:rsidRPr="00042E0E" w:rsidRDefault="00042E0E" w:rsidP="00FA293E">
            <w:pPr>
              <w:pStyle w:val="CommentText"/>
              <w:tabs>
                <w:tab w:val="left" w:pos="180"/>
              </w:tabs>
              <w:ind w:left="180" w:hanging="180"/>
            </w:pPr>
            <w:r>
              <w:rPr>
                <w:vertAlign w:val="superscript"/>
              </w:rPr>
              <w:t>k</w:t>
            </w:r>
            <w:r>
              <w:t xml:space="preserve"> Myalgi</w:t>
            </w:r>
            <w:r w:rsidR="005E34AF">
              <w:t>a</w:t>
            </w:r>
            <w:r w:rsidR="00194054">
              <w:t xml:space="preserve"> (including muscular skeletal pain, myalgia).</w:t>
            </w:r>
          </w:p>
          <w:p w14:paraId="7A967F3D" w14:textId="2D9A34AD" w:rsidR="00737ADC" w:rsidRPr="00F3524D" w:rsidRDefault="00194054" w:rsidP="00FA293E">
            <w:pPr>
              <w:pStyle w:val="CommentText"/>
              <w:tabs>
                <w:tab w:val="left" w:pos="180"/>
              </w:tabs>
            </w:pPr>
            <w:r>
              <w:rPr>
                <w:vertAlign w:val="superscript"/>
              </w:rPr>
              <w:t>l</w:t>
            </w:r>
            <w:r w:rsidR="00737ADC" w:rsidRPr="00BA0560">
              <w:rPr>
                <w:iCs/>
                <w:color w:val="000000"/>
                <w:vertAlign w:val="superscript"/>
              </w:rPr>
              <w:tab/>
            </w:r>
            <w:r w:rsidR="00737ADC" w:rsidRPr="00F3524D">
              <w:t>Oedema (including generalised oedema, oedema, oedema p</w:t>
            </w:r>
            <w:r w:rsidR="00481F38">
              <w:t xml:space="preserve">eripheral, peripheral swelling, </w:t>
            </w:r>
            <w:r w:rsidR="00737ADC" w:rsidRPr="00F3524D">
              <w:t>swelling).</w:t>
            </w:r>
          </w:p>
          <w:p w14:paraId="7A9C4AF5" w14:textId="0FE3A9CA" w:rsidR="00737ADC" w:rsidRPr="00F3524D" w:rsidRDefault="00194054" w:rsidP="00737ADC">
            <w:pPr>
              <w:pStyle w:val="CommentText"/>
              <w:tabs>
                <w:tab w:val="left" w:pos="180"/>
              </w:tabs>
              <w:rPr>
                <w:iCs/>
              </w:rPr>
            </w:pPr>
            <w:r>
              <w:rPr>
                <w:iCs/>
                <w:vertAlign w:val="superscript"/>
              </w:rPr>
              <w:t>m</w:t>
            </w:r>
            <w:r w:rsidR="00737ADC" w:rsidRPr="00BA0560">
              <w:rPr>
                <w:iCs/>
                <w:color w:val="000000"/>
                <w:vertAlign w:val="superscript"/>
              </w:rPr>
              <w:tab/>
            </w:r>
            <w:r w:rsidR="00737ADC" w:rsidRPr="00F3524D">
              <w:t>Fa</w:t>
            </w:r>
            <w:r w:rsidR="00737ADC" w:rsidRPr="00F3524D">
              <w:rPr>
                <w:iCs/>
              </w:rPr>
              <w:t>tigue (including asthenia, fatigue).</w:t>
            </w:r>
          </w:p>
        </w:tc>
      </w:tr>
    </w:tbl>
    <w:p w14:paraId="37D1F897" w14:textId="31F43313" w:rsidR="00737ADC" w:rsidRPr="00D71855" w:rsidRDefault="00737ADC" w:rsidP="00D71855">
      <w:pPr>
        <w:keepNext/>
        <w:spacing w:before="240" w:after="120"/>
        <w:rPr>
          <w:b/>
          <w:noProof/>
        </w:rPr>
      </w:pPr>
      <w:r w:rsidRPr="00D71855">
        <w:rPr>
          <w:b/>
          <w:noProof/>
        </w:rPr>
        <w:lastRenderedPageBreak/>
        <w:t>Descriptio</w:t>
      </w:r>
      <w:r w:rsidR="00BC149B">
        <w:rPr>
          <w:b/>
          <w:noProof/>
        </w:rPr>
        <w:t>n of selected adverse reactions</w:t>
      </w:r>
    </w:p>
    <w:p w14:paraId="0D3A9BEA" w14:textId="77777777" w:rsidR="00737ADC" w:rsidRPr="00D71855" w:rsidRDefault="00737ADC" w:rsidP="00D71855">
      <w:pPr>
        <w:keepNext/>
        <w:spacing w:before="120" w:after="120"/>
        <w:jc w:val="both"/>
        <w:rPr>
          <w:b/>
          <w:i/>
        </w:rPr>
      </w:pPr>
      <w:r w:rsidRPr="00D71855">
        <w:rPr>
          <w:b/>
          <w:i/>
        </w:rPr>
        <w:t>Hypercholesterol</w:t>
      </w:r>
      <w:r w:rsidR="00AE41D1" w:rsidRPr="00D71855">
        <w:rPr>
          <w:b/>
          <w:i/>
        </w:rPr>
        <w:t>a</w:t>
      </w:r>
      <w:r w:rsidRPr="00D71855">
        <w:rPr>
          <w:b/>
          <w:i/>
        </w:rPr>
        <w:t>emia/Hypertriglycerid</w:t>
      </w:r>
      <w:r w:rsidR="00AE41D1" w:rsidRPr="00D71855">
        <w:rPr>
          <w:b/>
          <w:i/>
        </w:rPr>
        <w:t>a</w:t>
      </w:r>
      <w:r w:rsidRPr="00D71855">
        <w:rPr>
          <w:b/>
          <w:i/>
        </w:rPr>
        <w:t>emia</w:t>
      </w:r>
    </w:p>
    <w:p w14:paraId="1C7C186E" w14:textId="11555FF6" w:rsidR="00737ADC" w:rsidRPr="00941859" w:rsidRDefault="00737ADC" w:rsidP="00737ADC">
      <w:pPr>
        <w:pStyle w:val="CommentText"/>
        <w:rPr>
          <w:sz w:val="24"/>
          <w:szCs w:val="24"/>
        </w:rPr>
      </w:pPr>
      <w:r w:rsidRPr="00A94536">
        <w:rPr>
          <w:sz w:val="24"/>
          <w:szCs w:val="24"/>
        </w:rPr>
        <w:t xml:space="preserve">In Study </w:t>
      </w:r>
      <w:r w:rsidR="003C640E">
        <w:rPr>
          <w:sz w:val="24"/>
          <w:szCs w:val="24"/>
        </w:rPr>
        <w:t>B7461001</w:t>
      </w:r>
      <w:r w:rsidRPr="00A94536">
        <w:rPr>
          <w:sz w:val="24"/>
          <w:szCs w:val="24"/>
        </w:rPr>
        <w:t xml:space="preserve">, adverse reactions of increase in serum cholesterol or triglycerides were reported in </w:t>
      </w:r>
      <w:r w:rsidR="00FC4593">
        <w:rPr>
          <w:sz w:val="24"/>
          <w:szCs w:val="24"/>
        </w:rPr>
        <w:t>84.4</w:t>
      </w:r>
      <w:r w:rsidRPr="00A94536">
        <w:rPr>
          <w:sz w:val="24"/>
          <w:szCs w:val="24"/>
        </w:rPr>
        <w:t xml:space="preserve">% and </w:t>
      </w:r>
      <w:r w:rsidR="003C640E">
        <w:rPr>
          <w:sz w:val="24"/>
          <w:szCs w:val="24"/>
        </w:rPr>
        <w:t>67.1</w:t>
      </w:r>
      <w:r w:rsidRPr="00A94536">
        <w:rPr>
          <w:sz w:val="24"/>
          <w:szCs w:val="24"/>
        </w:rPr>
        <w:t xml:space="preserve">% of patients, respectively. </w:t>
      </w:r>
      <w:r w:rsidR="003C640E" w:rsidRPr="003C640E">
        <w:rPr>
          <w:sz w:val="24"/>
          <w:szCs w:val="24"/>
        </w:rPr>
        <w:t xml:space="preserve"> </w:t>
      </w:r>
      <w:r w:rsidR="003C640E">
        <w:rPr>
          <w:sz w:val="24"/>
          <w:szCs w:val="24"/>
        </w:rPr>
        <w:t>M</w:t>
      </w:r>
      <w:r w:rsidR="003C640E" w:rsidRPr="00A25BE1">
        <w:rPr>
          <w:sz w:val="24"/>
          <w:szCs w:val="24"/>
        </w:rPr>
        <w:t>ild or moderate adverse reactions of hypercholesterolaemia or hypertriglyceridaemia occurred in 67.8% and 50.5% of patients, respectively</w:t>
      </w:r>
      <w:r w:rsidR="003C640E">
        <w:rPr>
          <w:sz w:val="24"/>
          <w:szCs w:val="24"/>
        </w:rPr>
        <w:t>. N</w:t>
      </w:r>
      <w:r w:rsidR="003C640E" w:rsidRPr="00BC5BA1">
        <w:rPr>
          <w:sz w:val="24"/>
          <w:szCs w:val="24"/>
        </w:rPr>
        <w:t>o patient was discontinued from treatment with lorlatinib due to hypercholesterolaemia or hypertriglyceridaemia</w:t>
      </w:r>
      <w:r w:rsidRPr="00A94536">
        <w:rPr>
          <w:sz w:val="24"/>
          <w:szCs w:val="24"/>
        </w:rPr>
        <w:t xml:space="preserve"> (see Section</w:t>
      </w:r>
      <w:r>
        <w:rPr>
          <w:sz w:val="24"/>
          <w:szCs w:val="24"/>
        </w:rPr>
        <w:t>s 4.2 and</w:t>
      </w:r>
      <w:r w:rsidRPr="00A94536">
        <w:rPr>
          <w:sz w:val="24"/>
          <w:szCs w:val="24"/>
        </w:rPr>
        <w:t> 4.4).</w:t>
      </w:r>
      <w:r w:rsidR="003C640E">
        <w:rPr>
          <w:sz w:val="24"/>
          <w:szCs w:val="24"/>
        </w:rPr>
        <w:t xml:space="preserve"> </w:t>
      </w:r>
      <w:r w:rsidR="003C640E" w:rsidRPr="0082733F">
        <w:rPr>
          <w:sz w:val="24"/>
          <w:szCs w:val="24"/>
        </w:rPr>
        <w:t>The median time to onset for both hypercholesterolaemia and hypertriglyceridaemia was 15 days. The median duration of hypercholesterolaemia and hypertriglyceridaemia was 381 and 405 days, respectively.</w:t>
      </w:r>
    </w:p>
    <w:p w14:paraId="5FC2052E" w14:textId="77777777" w:rsidR="00737ADC" w:rsidRPr="00D71855" w:rsidRDefault="00737ADC" w:rsidP="00D71855">
      <w:pPr>
        <w:keepNext/>
        <w:spacing w:before="120" w:after="120"/>
        <w:jc w:val="both"/>
        <w:rPr>
          <w:b/>
          <w:i/>
        </w:rPr>
      </w:pPr>
      <w:r w:rsidRPr="00D71855">
        <w:rPr>
          <w:b/>
          <w:i/>
        </w:rPr>
        <w:t>Nervous system disorders</w:t>
      </w:r>
    </w:p>
    <w:p w14:paraId="314DB205" w14:textId="085EE1DE" w:rsidR="00737ADC" w:rsidRPr="00B1727F" w:rsidRDefault="00737ADC" w:rsidP="00737ADC">
      <w:pPr>
        <w:pStyle w:val="CommentText"/>
        <w:rPr>
          <w:sz w:val="24"/>
          <w:szCs w:val="24"/>
        </w:rPr>
      </w:pPr>
      <w:r w:rsidRPr="00B1727F">
        <w:rPr>
          <w:sz w:val="24"/>
          <w:szCs w:val="24"/>
        </w:rPr>
        <w:t>In Study </w:t>
      </w:r>
      <w:r w:rsidR="00F44053">
        <w:rPr>
          <w:sz w:val="24"/>
          <w:szCs w:val="24"/>
        </w:rPr>
        <w:t>B7461001</w:t>
      </w:r>
      <w:r w:rsidRPr="00B1727F">
        <w:rPr>
          <w:sz w:val="24"/>
          <w:szCs w:val="24"/>
        </w:rPr>
        <w:t xml:space="preserve">, CNS adverse reactions were primarily cognitive </w:t>
      </w:r>
      <w:r w:rsidR="00F44053">
        <w:rPr>
          <w:sz w:val="24"/>
          <w:szCs w:val="24"/>
        </w:rPr>
        <w:t>effects</w:t>
      </w:r>
      <w:r w:rsidRPr="00B1727F">
        <w:rPr>
          <w:sz w:val="24"/>
          <w:szCs w:val="24"/>
        </w:rPr>
        <w:t xml:space="preserve"> (</w:t>
      </w:r>
      <w:r w:rsidR="00F44053">
        <w:rPr>
          <w:sz w:val="24"/>
          <w:szCs w:val="24"/>
        </w:rPr>
        <w:t>28.8</w:t>
      </w:r>
      <w:r w:rsidRPr="00B1727F">
        <w:rPr>
          <w:sz w:val="24"/>
          <w:szCs w:val="24"/>
        </w:rPr>
        <w:t xml:space="preserve">%), mood </w:t>
      </w:r>
      <w:r w:rsidR="00F44053">
        <w:rPr>
          <w:sz w:val="24"/>
          <w:szCs w:val="24"/>
        </w:rPr>
        <w:t>effects</w:t>
      </w:r>
      <w:r w:rsidRPr="00B1727F">
        <w:rPr>
          <w:sz w:val="24"/>
          <w:szCs w:val="24"/>
        </w:rPr>
        <w:t xml:space="preserve"> (</w:t>
      </w:r>
      <w:r w:rsidR="00F44053">
        <w:rPr>
          <w:sz w:val="24"/>
          <w:szCs w:val="24"/>
        </w:rPr>
        <w:t>22.7</w:t>
      </w:r>
      <w:r w:rsidRPr="00B1727F">
        <w:rPr>
          <w:sz w:val="24"/>
          <w:szCs w:val="24"/>
        </w:rPr>
        <w:t xml:space="preserve">%), and speech </w:t>
      </w:r>
      <w:r w:rsidR="00F44053">
        <w:rPr>
          <w:sz w:val="24"/>
          <w:szCs w:val="24"/>
        </w:rPr>
        <w:t>effects</w:t>
      </w:r>
      <w:r w:rsidRPr="00B1727F">
        <w:rPr>
          <w:sz w:val="24"/>
          <w:szCs w:val="24"/>
        </w:rPr>
        <w:t xml:space="preserve"> (</w:t>
      </w:r>
      <w:r w:rsidR="00F44053">
        <w:rPr>
          <w:sz w:val="24"/>
          <w:szCs w:val="24"/>
        </w:rPr>
        <w:t>9.8</w:t>
      </w:r>
      <w:r w:rsidRPr="00B1727F">
        <w:rPr>
          <w:sz w:val="24"/>
          <w:szCs w:val="24"/>
        </w:rPr>
        <w:t>%), and were generally mild, transient, and reversible upon dose delay and/or dose reduction</w:t>
      </w:r>
      <w:r>
        <w:rPr>
          <w:sz w:val="24"/>
          <w:szCs w:val="24"/>
        </w:rPr>
        <w:t xml:space="preserve"> (see Sections 4.2 and 4.4)</w:t>
      </w:r>
      <w:r w:rsidRPr="00B1727F">
        <w:rPr>
          <w:sz w:val="24"/>
          <w:szCs w:val="24"/>
        </w:rPr>
        <w:t>.</w:t>
      </w:r>
      <w:r w:rsidRPr="00B1727F">
        <w:rPr>
          <w:color w:val="0000FF"/>
          <w:sz w:val="24"/>
          <w:szCs w:val="24"/>
        </w:rPr>
        <w:t xml:space="preserve"> </w:t>
      </w:r>
      <w:r w:rsidRPr="00B1727F">
        <w:rPr>
          <w:sz w:val="24"/>
          <w:szCs w:val="24"/>
        </w:rPr>
        <w:t xml:space="preserve">The most common cognitive </w:t>
      </w:r>
      <w:r w:rsidR="00F44053">
        <w:rPr>
          <w:sz w:val="24"/>
          <w:szCs w:val="24"/>
        </w:rPr>
        <w:t>effect</w:t>
      </w:r>
      <w:r w:rsidRPr="00B1727F">
        <w:rPr>
          <w:sz w:val="24"/>
          <w:szCs w:val="24"/>
        </w:rPr>
        <w:t xml:space="preserve"> of any grade was memory impairment (</w:t>
      </w:r>
      <w:r w:rsidR="00F44053">
        <w:rPr>
          <w:sz w:val="24"/>
          <w:szCs w:val="24"/>
        </w:rPr>
        <w:t>11.5</w:t>
      </w:r>
      <w:r w:rsidRPr="00B1727F">
        <w:rPr>
          <w:sz w:val="24"/>
          <w:szCs w:val="24"/>
        </w:rPr>
        <w:t>%)</w:t>
      </w:r>
      <w:r w:rsidR="00F44053" w:rsidRPr="00BC5BA1">
        <w:rPr>
          <w:sz w:val="24"/>
          <w:szCs w:val="24"/>
        </w:rPr>
        <w:t>, and the most common Grade 3 or 4 reactions were cognitive disorder and confusional state (0.7% each)</w:t>
      </w:r>
      <w:r w:rsidRPr="00B1727F">
        <w:rPr>
          <w:sz w:val="24"/>
          <w:szCs w:val="24"/>
        </w:rPr>
        <w:t>.</w:t>
      </w:r>
      <w:r w:rsidRPr="00A974A0">
        <w:rPr>
          <w:sz w:val="24"/>
          <w:szCs w:val="24"/>
        </w:rPr>
        <w:t xml:space="preserve"> </w:t>
      </w:r>
      <w:r w:rsidRPr="00B1727F">
        <w:rPr>
          <w:sz w:val="24"/>
          <w:szCs w:val="24"/>
        </w:rPr>
        <w:t xml:space="preserve">The most common mood </w:t>
      </w:r>
      <w:r w:rsidR="00F44053">
        <w:rPr>
          <w:sz w:val="24"/>
          <w:szCs w:val="24"/>
        </w:rPr>
        <w:t>effect</w:t>
      </w:r>
      <w:r w:rsidRPr="00B1727F">
        <w:rPr>
          <w:sz w:val="24"/>
          <w:szCs w:val="24"/>
        </w:rPr>
        <w:t xml:space="preserve"> of any grade </w:t>
      </w:r>
      <w:r w:rsidR="00F44053">
        <w:rPr>
          <w:sz w:val="24"/>
          <w:szCs w:val="24"/>
        </w:rPr>
        <w:t>was</w:t>
      </w:r>
      <w:r w:rsidRPr="00B1727F">
        <w:rPr>
          <w:sz w:val="24"/>
          <w:szCs w:val="24"/>
        </w:rPr>
        <w:t xml:space="preserve"> irritability (6.1%)</w:t>
      </w:r>
      <w:r w:rsidR="00F44053">
        <w:rPr>
          <w:sz w:val="24"/>
          <w:szCs w:val="24"/>
        </w:rPr>
        <w:t xml:space="preserve">, </w:t>
      </w:r>
      <w:r w:rsidR="00F44053" w:rsidRPr="00BC5BA1">
        <w:rPr>
          <w:sz w:val="24"/>
          <w:szCs w:val="24"/>
        </w:rPr>
        <w:t>which was also the most common Grade 3 or 4 reaction (1.0%)</w:t>
      </w:r>
      <w:r w:rsidRPr="00B1727F">
        <w:rPr>
          <w:sz w:val="24"/>
          <w:szCs w:val="24"/>
        </w:rPr>
        <w:t>.</w:t>
      </w:r>
      <w:r w:rsidRPr="00B1727F">
        <w:rPr>
          <w:color w:val="0000FF"/>
          <w:sz w:val="24"/>
          <w:szCs w:val="24"/>
        </w:rPr>
        <w:t xml:space="preserve"> </w:t>
      </w:r>
      <w:r w:rsidRPr="00B1727F">
        <w:rPr>
          <w:sz w:val="24"/>
          <w:szCs w:val="24"/>
        </w:rPr>
        <w:t xml:space="preserve">The most common speech </w:t>
      </w:r>
      <w:r w:rsidR="00F44053">
        <w:rPr>
          <w:sz w:val="24"/>
          <w:szCs w:val="24"/>
        </w:rPr>
        <w:t>effect</w:t>
      </w:r>
      <w:r w:rsidRPr="00B1727F">
        <w:rPr>
          <w:sz w:val="24"/>
          <w:szCs w:val="24"/>
        </w:rPr>
        <w:t xml:space="preserve"> of any grade </w:t>
      </w:r>
      <w:r w:rsidR="00F44053">
        <w:rPr>
          <w:sz w:val="24"/>
          <w:szCs w:val="24"/>
        </w:rPr>
        <w:t>was</w:t>
      </w:r>
      <w:r w:rsidRPr="00B1727F">
        <w:rPr>
          <w:sz w:val="24"/>
          <w:szCs w:val="24"/>
        </w:rPr>
        <w:t xml:space="preserve"> dysarthria (</w:t>
      </w:r>
      <w:r w:rsidR="00F44053">
        <w:rPr>
          <w:sz w:val="24"/>
          <w:szCs w:val="24"/>
        </w:rPr>
        <w:t>4.1</w:t>
      </w:r>
      <w:r w:rsidRPr="00B1727F">
        <w:rPr>
          <w:sz w:val="24"/>
          <w:szCs w:val="24"/>
        </w:rPr>
        <w:t>%)</w:t>
      </w:r>
      <w:r w:rsidR="00F44053">
        <w:rPr>
          <w:sz w:val="24"/>
          <w:szCs w:val="24"/>
        </w:rPr>
        <w:t>, and the most common Grade 3 or 4 reaction was</w:t>
      </w:r>
      <w:r w:rsidRPr="00B1727F">
        <w:rPr>
          <w:sz w:val="24"/>
          <w:szCs w:val="24"/>
        </w:rPr>
        <w:t xml:space="preserve"> slow speech (</w:t>
      </w:r>
      <w:r w:rsidR="00F44053">
        <w:rPr>
          <w:sz w:val="24"/>
          <w:szCs w:val="24"/>
        </w:rPr>
        <w:t>0.3</w:t>
      </w:r>
      <w:r w:rsidRPr="00B1727F">
        <w:rPr>
          <w:sz w:val="24"/>
          <w:szCs w:val="24"/>
        </w:rPr>
        <w:t xml:space="preserve">%). </w:t>
      </w:r>
      <w:r w:rsidR="00F44053" w:rsidRPr="00BC5BA1">
        <w:rPr>
          <w:sz w:val="24"/>
          <w:szCs w:val="24"/>
        </w:rPr>
        <w:t>Median time to onset for cognitive, mood</w:t>
      </w:r>
      <w:r w:rsidR="00F44053">
        <w:rPr>
          <w:sz w:val="24"/>
          <w:szCs w:val="24"/>
        </w:rPr>
        <w:t>,</w:t>
      </w:r>
      <w:r w:rsidR="00F44053" w:rsidRPr="00BC5BA1">
        <w:rPr>
          <w:sz w:val="24"/>
          <w:szCs w:val="24"/>
        </w:rPr>
        <w:t xml:space="preserve"> and speech </w:t>
      </w:r>
      <w:r w:rsidR="00F44053">
        <w:rPr>
          <w:sz w:val="24"/>
          <w:szCs w:val="24"/>
        </w:rPr>
        <w:t>effect</w:t>
      </w:r>
      <w:r w:rsidR="00F44053" w:rsidRPr="00BC5BA1">
        <w:rPr>
          <w:sz w:val="24"/>
          <w:szCs w:val="24"/>
        </w:rPr>
        <w:t>s was 92, 44</w:t>
      </w:r>
      <w:r w:rsidR="00F44053">
        <w:rPr>
          <w:sz w:val="24"/>
          <w:szCs w:val="24"/>
        </w:rPr>
        <w:t>,</w:t>
      </w:r>
      <w:r w:rsidR="00F44053" w:rsidRPr="00BC5BA1">
        <w:rPr>
          <w:sz w:val="24"/>
          <w:szCs w:val="24"/>
        </w:rPr>
        <w:t xml:space="preserve"> and 42 days, respectively. Median duration of cognitive, mood</w:t>
      </w:r>
      <w:r w:rsidR="00F44053">
        <w:rPr>
          <w:sz w:val="24"/>
          <w:szCs w:val="24"/>
        </w:rPr>
        <w:t>,</w:t>
      </w:r>
      <w:r w:rsidR="00F44053" w:rsidRPr="00BC5BA1">
        <w:rPr>
          <w:sz w:val="24"/>
          <w:szCs w:val="24"/>
        </w:rPr>
        <w:t xml:space="preserve"> and speech </w:t>
      </w:r>
      <w:r w:rsidR="00F44053">
        <w:rPr>
          <w:sz w:val="24"/>
          <w:szCs w:val="24"/>
        </w:rPr>
        <w:t>effect</w:t>
      </w:r>
      <w:r w:rsidR="00F44053" w:rsidRPr="00BC5BA1">
        <w:rPr>
          <w:sz w:val="24"/>
          <w:szCs w:val="24"/>
        </w:rPr>
        <w:t>s was 224, 83</w:t>
      </w:r>
      <w:r w:rsidR="00F44053">
        <w:rPr>
          <w:sz w:val="24"/>
          <w:szCs w:val="24"/>
        </w:rPr>
        <w:t>,</w:t>
      </w:r>
      <w:r w:rsidR="00F44053" w:rsidRPr="00BC5BA1">
        <w:rPr>
          <w:sz w:val="24"/>
          <w:szCs w:val="24"/>
        </w:rPr>
        <w:t xml:space="preserve"> and 106 days, respectively.</w:t>
      </w:r>
    </w:p>
    <w:p w14:paraId="0CB32A68" w14:textId="77777777" w:rsidR="00934E24" w:rsidRPr="00E20402" w:rsidRDefault="00934E24" w:rsidP="00417201">
      <w:pPr>
        <w:pStyle w:val="PIHeading2"/>
        <w:spacing w:line="240" w:lineRule="auto"/>
      </w:pPr>
      <w:r w:rsidRPr="00E20402">
        <w:t xml:space="preserve">Reporting of </w:t>
      </w:r>
      <w:r>
        <w:t>S</w:t>
      </w:r>
      <w:r w:rsidRPr="00E20402">
        <w:t xml:space="preserve">uspected </w:t>
      </w:r>
      <w:r>
        <w:t>A</w:t>
      </w:r>
      <w:r w:rsidRPr="00E20402">
        <w:t xml:space="preserve">dverse </w:t>
      </w:r>
      <w:r>
        <w:t>R</w:t>
      </w:r>
      <w:r w:rsidRPr="00E20402">
        <w:t>eactions</w:t>
      </w:r>
    </w:p>
    <w:p w14:paraId="506EA149" w14:textId="50F8B4D3" w:rsidR="00934E24" w:rsidRDefault="00934E24" w:rsidP="00934E24">
      <w:pPr>
        <w:pStyle w:val="Paragraph"/>
        <w:spacing w:after="0"/>
      </w:pPr>
      <w: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9" w:history="1">
        <w:r w:rsidRPr="00087235">
          <w:rPr>
            <w:rStyle w:val="Hyperlink"/>
          </w:rPr>
          <w:t>http://www.tga.gov.au/reporting-problems</w:t>
        </w:r>
      </w:hyperlink>
      <w:r>
        <w:t>.</w:t>
      </w:r>
    </w:p>
    <w:p w14:paraId="5C4F9EDA" w14:textId="77777777" w:rsidR="008D53CB" w:rsidRPr="00417201" w:rsidRDefault="008D53CB" w:rsidP="008D53CB">
      <w:pPr>
        <w:pStyle w:val="PIHeading2"/>
        <w:spacing w:before="360" w:after="240" w:line="240" w:lineRule="auto"/>
        <w:rPr>
          <w:sz w:val="28"/>
          <w:szCs w:val="28"/>
        </w:rPr>
      </w:pPr>
      <w:r w:rsidRPr="00417201">
        <w:rPr>
          <w:sz w:val="28"/>
          <w:szCs w:val="28"/>
        </w:rPr>
        <w:lastRenderedPageBreak/>
        <w:t>4.9</w:t>
      </w:r>
      <w:r w:rsidRPr="00417201">
        <w:rPr>
          <w:sz w:val="28"/>
          <w:szCs w:val="28"/>
        </w:rPr>
        <w:tab/>
        <w:t>Overdose</w:t>
      </w:r>
    </w:p>
    <w:p w14:paraId="758E00C3" w14:textId="2D2EFB7E" w:rsidR="008D53CB" w:rsidRPr="00B1727F" w:rsidRDefault="008D53CB" w:rsidP="008D53CB">
      <w:pPr>
        <w:pStyle w:val="Paragraph"/>
        <w:keepNext/>
        <w:spacing w:after="0"/>
      </w:pPr>
      <w:r w:rsidRPr="00F864DF">
        <w:t>Treatment of overdose with the medicinal product consists of general supportive measures. Given the dose</w:t>
      </w:r>
      <w:r>
        <w:noBreakHyphen/>
      </w:r>
      <w:r w:rsidRPr="00F864DF">
        <w:t xml:space="preserve">dependent effect on PR interval, ECG monitoring is recommended. </w:t>
      </w:r>
      <w:r w:rsidRPr="00B1727F">
        <w:t>There</w:t>
      </w:r>
      <w:r w:rsidR="00BC149B">
        <w:t xml:space="preserve"> is no antidote for lorlatinib.</w:t>
      </w:r>
    </w:p>
    <w:p w14:paraId="6E2B9F80" w14:textId="77777777" w:rsidR="00C47362" w:rsidRPr="00554B30" w:rsidRDefault="00C47362" w:rsidP="005A65B0">
      <w:pPr>
        <w:pStyle w:val="Heading1"/>
        <w:rPr>
          <w:szCs w:val="20"/>
        </w:rPr>
      </w:pPr>
      <w:r w:rsidRPr="00554B30">
        <w:t>PHARMACOLOGICAL PROPERTIES</w:t>
      </w:r>
    </w:p>
    <w:p w14:paraId="1A92E438" w14:textId="77777777" w:rsidR="00C47362" w:rsidRPr="005A65B0" w:rsidRDefault="00C47362" w:rsidP="005A65B0">
      <w:pPr>
        <w:pStyle w:val="PIHeading2"/>
        <w:spacing w:line="240" w:lineRule="auto"/>
        <w:rPr>
          <w:sz w:val="28"/>
          <w:szCs w:val="28"/>
        </w:rPr>
      </w:pPr>
      <w:r w:rsidRPr="005A65B0">
        <w:rPr>
          <w:sz w:val="28"/>
          <w:szCs w:val="28"/>
        </w:rPr>
        <w:t>5.1</w:t>
      </w:r>
      <w:r w:rsidRPr="005A65B0">
        <w:rPr>
          <w:sz w:val="28"/>
          <w:szCs w:val="28"/>
        </w:rPr>
        <w:tab/>
      </w:r>
      <w:r w:rsidR="005A65B0">
        <w:rPr>
          <w:sz w:val="28"/>
          <w:szCs w:val="28"/>
        </w:rPr>
        <w:t>P</w:t>
      </w:r>
      <w:r w:rsidR="005A65B0" w:rsidRPr="005A65B0">
        <w:rPr>
          <w:sz w:val="28"/>
          <w:szCs w:val="28"/>
        </w:rPr>
        <w:t>harmacodynamic properties</w:t>
      </w:r>
    </w:p>
    <w:p w14:paraId="1049EF6B" w14:textId="6C7AE71E" w:rsidR="00737ADC" w:rsidRDefault="00737ADC" w:rsidP="00BC149B">
      <w:pPr>
        <w:pStyle w:val="Paragraph"/>
        <w:keepNext/>
        <w:spacing w:after="180"/>
      </w:pPr>
      <w:r>
        <w:t xml:space="preserve">Lorlatinib is </w:t>
      </w:r>
      <w:r w:rsidR="006D4D0F">
        <w:t>an</w:t>
      </w:r>
      <w:r w:rsidRPr="0048435B">
        <w:t xml:space="preserve"> adenosine triphosphate (ATP)</w:t>
      </w:r>
      <w:r w:rsidRPr="0048435B">
        <w:noBreakHyphen/>
      </w:r>
      <w:r>
        <w:t xml:space="preserve">competitive, brain-penetrant, small molecule inhibitor of </w:t>
      </w:r>
      <w:r w:rsidRPr="00DE643F">
        <w:t xml:space="preserve">ALK </w:t>
      </w:r>
      <w:r w:rsidRPr="00814873">
        <w:rPr>
          <w:sz w:val="22"/>
          <w:szCs w:val="22"/>
          <w:lang w:val="en-GB"/>
        </w:rPr>
        <w:t>and ROS1 tyrosine kinases</w:t>
      </w:r>
      <w:r w:rsidRPr="00DE643F">
        <w:rPr>
          <w:lang w:val="en-GB"/>
        </w:rPr>
        <w:t xml:space="preserve"> </w:t>
      </w:r>
      <w:r>
        <w:t xml:space="preserve">that </w:t>
      </w:r>
      <w:r w:rsidRPr="00A868EA">
        <w:rPr>
          <w:sz w:val="22"/>
          <w:szCs w:val="22"/>
        </w:rPr>
        <w:t>addresses m</w:t>
      </w:r>
      <w:r>
        <w:t>echanisms of resistance following previous treatment with ALK inhibitor therapy.</w:t>
      </w:r>
    </w:p>
    <w:p w14:paraId="6BDA9982" w14:textId="1F4C584C" w:rsidR="00737ADC" w:rsidRDefault="00FA3D68" w:rsidP="00BC149B">
      <w:pPr>
        <w:pStyle w:val="Paragraph"/>
        <w:spacing w:after="180"/>
      </w:pPr>
      <w:r>
        <w:t>In nonclinical studies</w:t>
      </w:r>
      <w:r w:rsidR="00737ADC">
        <w:t>, lorlatinib inhibited catalytic activities of non</w:t>
      </w:r>
      <w:r w:rsidR="00737ADC">
        <w:noBreakHyphen/>
        <w:t xml:space="preserve">mutated ALK and a broad range of clinically relevant ALK mutant kinases in recombinant enzyme and cell-based assays. The ALK mutations </w:t>
      </w:r>
      <w:r w:rsidR="00737ADC" w:rsidRPr="00663D91">
        <w:rPr>
          <w:sz w:val="22"/>
          <w:szCs w:val="22"/>
        </w:rPr>
        <w:t xml:space="preserve">analyzed </w:t>
      </w:r>
      <w:r w:rsidR="00737ADC" w:rsidRPr="00663D91">
        <w:t xml:space="preserve">included </w:t>
      </w:r>
      <w:r w:rsidR="00737ADC">
        <w:t xml:space="preserve">those conferring resistance to </w:t>
      </w:r>
      <w:r>
        <w:t xml:space="preserve">other ALK inhibitors, including </w:t>
      </w:r>
      <w:r w:rsidR="00737ADC" w:rsidRPr="00663D91">
        <w:t>alectinib, brigatinib</w:t>
      </w:r>
      <w:r w:rsidR="00737ADC">
        <w:t xml:space="preserve">, </w:t>
      </w:r>
      <w:r w:rsidR="00737ADC" w:rsidRPr="00663D91">
        <w:t>ceritinib,</w:t>
      </w:r>
      <w:r w:rsidR="00737ADC">
        <w:t xml:space="preserve"> and </w:t>
      </w:r>
      <w:r w:rsidR="00737ADC" w:rsidRPr="00663D91">
        <w:t>crizotinib.</w:t>
      </w:r>
    </w:p>
    <w:p w14:paraId="7BFA94CC" w14:textId="5D466B32" w:rsidR="00737ADC" w:rsidRDefault="00FA3D68" w:rsidP="00737ADC">
      <w:pPr>
        <w:pStyle w:val="Paragraph"/>
        <w:spacing w:after="0"/>
      </w:pPr>
      <w:r>
        <w:t>L</w:t>
      </w:r>
      <w:r w:rsidR="00737ADC">
        <w:t>orlatinib demonstrated anti</w:t>
      </w:r>
      <w:r w:rsidR="00E5488D">
        <w:t>-</w:t>
      </w:r>
      <w:r w:rsidR="00737ADC">
        <w:t>tumo</w:t>
      </w:r>
      <w:r w:rsidR="00C83D54">
        <w:t>u</w:t>
      </w:r>
      <w:r w:rsidR="00737ADC">
        <w:t xml:space="preserve">r activity </w:t>
      </w:r>
      <w:r w:rsidR="00737ADC" w:rsidRPr="00663D91">
        <w:t xml:space="preserve">at </w:t>
      </w:r>
      <w:r w:rsidR="00737ADC">
        <w:t xml:space="preserve">nanomolar free plasma concentrations in mice bearing tumor xenografts that express </w:t>
      </w:r>
      <w:r w:rsidR="00737ADC">
        <w:rPr>
          <w:szCs w:val="16"/>
        </w:rPr>
        <w:t>echinoderm microtubule</w:t>
      </w:r>
      <w:r w:rsidR="00737ADC">
        <w:rPr>
          <w:szCs w:val="16"/>
        </w:rPr>
        <w:noBreakHyphen/>
        <w:t>associated protein</w:t>
      </w:r>
      <w:r w:rsidR="00737ADC">
        <w:rPr>
          <w:szCs w:val="16"/>
        </w:rPr>
        <w:noBreakHyphen/>
        <w:t>like 4 (</w:t>
      </w:r>
      <w:r w:rsidR="00737ADC">
        <w:t xml:space="preserve">EML4) fusions with ALK variant 1 (v1), including ALK mutations </w:t>
      </w:r>
      <w:r w:rsidR="00737ADC" w:rsidRPr="00B4456E">
        <w:t>L1196M</w:t>
      </w:r>
      <w:r w:rsidR="00737ADC">
        <w:t>,</w:t>
      </w:r>
      <w:r w:rsidR="00737ADC" w:rsidRPr="00B4456E">
        <w:t xml:space="preserve"> G1269A</w:t>
      </w:r>
      <w:r w:rsidR="00737ADC">
        <w:t>,</w:t>
      </w:r>
      <w:r w:rsidR="00737ADC" w:rsidRPr="00B4456E">
        <w:t xml:space="preserve"> G1202R</w:t>
      </w:r>
      <w:r w:rsidR="00737ADC">
        <w:t>,</w:t>
      </w:r>
      <w:r w:rsidR="00737ADC" w:rsidRPr="00B4456E">
        <w:t xml:space="preserve"> and I1171T</w:t>
      </w:r>
      <w:r w:rsidR="00737ADC">
        <w:t>.</w:t>
      </w:r>
      <w:r w:rsidR="00737ADC" w:rsidRPr="0048435B">
        <w:t xml:space="preserve"> Two</w:t>
      </w:r>
      <w:r w:rsidR="00737ADC">
        <w:t xml:space="preserve"> of these ALK mutants, G1202R and I1171T, are known to confer resistance to first and second generation ALK inhibitors. Lorlatinib </w:t>
      </w:r>
      <w:r>
        <w:t>is</w:t>
      </w:r>
      <w:r w:rsidR="00737ADC">
        <w:t xml:space="preserve"> also capable of penetrating the blood</w:t>
      </w:r>
      <w:r w:rsidR="00737ADC">
        <w:noBreakHyphen/>
        <w:t xml:space="preserve">brain barrier and achieved efficacious brain </w:t>
      </w:r>
      <w:r w:rsidR="00737ADC" w:rsidRPr="00663D91">
        <w:t>exposure in</w:t>
      </w:r>
      <w:r w:rsidR="00737ADC">
        <w:rPr>
          <w:sz w:val="22"/>
          <w:szCs w:val="22"/>
        </w:rPr>
        <w:t xml:space="preserve"> </w:t>
      </w:r>
      <w:r w:rsidR="00737ADC">
        <w:t>mice and rat. In mice bearing orthotopic EML4</w:t>
      </w:r>
      <w:r w:rsidR="00737ADC">
        <w:noBreakHyphen/>
        <w:t>ALK or EML4</w:t>
      </w:r>
      <w:r w:rsidR="00737ADC">
        <w:noBreakHyphen/>
        <w:t>ALK</w:t>
      </w:r>
      <w:r w:rsidR="00737ADC" w:rsidRPr="00184424">
        <w:rPr>
          <w:vertAlign w:val="superscript"/>
        </w:rPr>
        <w:t>L1196M</w:t>
      </w:r>
      <w:r w:rsidR="00737ADC">
        <w:t xml:space="preserve"> brain tumo</w:t>
      </w:r>
      <w:r w:rsidR="00C83D54">
        <w:t>u</w:t>
      </w:r>
      <w:r w:rsidR="00737ADC">
        <w:t>r implants, lorlatinib caused tumo</w:t>
      </w:r>
      <w:r w:rsidR="00C83D54">
        <w:t>u</w:t>
      </w:r>
      <w:r w:rsidR="00737ADC">
        <w:t>r shrinkage and prolonged survival. The overall anti</w:t>
      </w:r>
      <w:r w:rsidR="00554B30">
        <w:t>-</w:t>
      </w:r>
      <w:r w:rsidR="00737ADC">
        <w:t>tumo</w:t>
      </w:r>
      <w:r w:rsidR="00C83D54">
        <w:t>u</w:t>
      </w:r>
      <w:r w:rsidR="00737ADC">
        <w:t>r efficacy of lorlatinib was dose-dependent and strongly correlated with inhibition of ALK phosphorylation.</w:t>
      </w:r>
    </w:p>
    <w:p w14:paraId="572B53B0" w14:textId="718B36A0" w:rsidR="00804F8A" w:rsidRPr="005A65B0" w:rsidRDefault="00804F8A" w:rsidP="005A65B0">
      <w:pPr>
        <w:pStyle w:val="Paragraph"/>
        <w:keepNext/>
        <w:spacing w:before="240" w:after="120"/>
        <w:rPr>
          <w:b/>
        </w:rPr>
      </w:pPr>
      <w:r w:rsidRPr="005A65B0">
        <w:rPr>
          <w:b/>
        </w:rPr>
        <w:t xml:space="preserve">Clinical </w:t>
      </w:r>
      <w:r w:rsidR="00FA3D68">
        <w:rPr>
          <w:b/>
        </w:rPr>
        <w:t>s</w:t>
      </w:r>
      <w:r w:rsidRPr="005A65B0">
        <w:rPr>
          <w:b/>
        </w:rPr>
        <w:t>tudies</w:t>
      </w:r>
    </w:p>
    <w:p w14:paraId="34367143" w14:textId="0CA15718" w:rsidR="00804F8A" w:rsidRPr="00D63218" w:rsidRDefault="00804F8A" w:rsidP="00BC149B">
      <w:pPr>
        <w:pStyle w:val="CommentText"/>
        <w:spacing w:after="180"/>
        <w:rPr>
          <w:sz w:val="24"/>
          <w:szCs w:val="24"/>
        </w:rPr>
      </w:pPr>
      <w:r w:rsidRPr="00D63218">
        <w:rPr>
          <w:sz w:val="24"/>
          <w:szCs w:val="24"/>
        </w:rPr>
        <w:t xml:space="preserve">The use of </w:t>
      </w:r>
      <w:r w:rsidR="00FA3D68">
        <w:rPr>
          <w:sz w:val="24"/>
          <w:szCs w:val="24"/>
        </w:rPr>
        <w:t>LORVIQUA</w:t>
      </w:r>
      <w:r w:rsidRPr="00D63218">
        <w:rPr>
          <w:sz w:val="24"/>
          <w:szCs w:val="24"/>
        </w:rPr>
        <w:t xml:space="preserve"> in the treatment of ALK</w:t>
      </w:r>
      <w:r w:rsidRPr="00D63218">
        <w:rPr>
          <w:sz w:val="24"/>
          <w:szCs w:val="24"/>
        </w:rPr>
        <w:noBreakHyphen/>
        <w:t xml:space="preserve">positive </w:t>
      </w:r>
      <w:r w:rsidRPr="00B1727F">
        <w:rPr>
          <w:sz w:val="24"/>
          <w:szCs w:val="24"/>
        </w:rPr>
        <w:t>advanced NSCLC</w:t>
      </w:r>
      <w:r w:rsidRPr="00D63218">
        <w:rPr>
          <w:sz w:val="24"/>
          <w:szCs w:val="24"/>
        </w:rPr>
        <w:t xml:space="preserve"> previously treated with 1 or more ALK TKIs was investigated in Study </w:t>
      </w:r>
      <w:r w:rsidR="00E5488D">
        <w:rPr>
          <w:sz w:val="24"/>
          <w:szCs w:val="24"/>
        </w:rPr>
        <w:t>B</w:t>
      </w:r>
      <w:r w:rsidR="00FA3D68">
        <w:rPr>
          <w:sz w:val="24"/>
          <w:szCs w:val="24"/>
        </w:rPr>
        <w:t>7461001</w:t>
      </w:r>
      <w:r w:rsidRPr="00D63218">
        <w:rPr>
          <w:sz w:val="24"/>
          <w:szCs w:val="24"/>
        </w:rPr>
        <w:t>, a single</w:t>
      </w:r>
      <w:r w:rsidRPr="00D63218">
        <w:rPr>
          <w:sz w:val="24"/>
          <w:szCs w:val="24"/>
        </w:rPr>
        <w:noBreakHyphen/>
        <w:t>arm, multicenter Phase 1/2 study. A total of 197 patients with ALK</w:t>
      </w:r>
      <w:r w:rsidRPr="00D63218">
        <w:rPr>
          <w:sz w:val="24"/>
          <w:szCs w:val="24"/>
        </w:rPr>
        <w:noBreakHyphen/>
        <w:t xml:space="preserve">positive advanced NSCLC previously treated with 1 or more ALK TKIs were enrolled in the Phase 2 portion of the study. </w:t>
      </w:r>
      <w:bookmarkStart w:id="3" w:name="_Hlk22573696"/>
      <w:r w:rsidR="00F10CFD">
        <w:rPr>
          <w:sz w:val="24"/>
          <w:szCs w:val="24"/>
        </w:rPr>
        <w:t>Eligible patients had evidence of histologically or cytologically confirmed diagnosis of metastatic NSCLC that carried an ALK rearrangement, as determined by fluorescence in situ hybridization (FISH) assay or by Immunohistoche</w:t>
      </w:r>
      <w:r w:rsidR="002B2F9E">
        <w:rPr>
          <w:sz w:val="24"/>
          <w:szCs w:val="24"/>
        </w:rPr>
        <w:t>m</w:t>
      </w:r>
      <w:r w:rsidR="00F10CFD">
        <w:rPr>
          <w:sz w:val="24"/>
          <w:szCs w:val="24"/>
        </w:rPr>
        <w:t xml:space="preserve">istry (IHC). </w:t>
      </w:r>
      <w:bookmarkEnd w:id="3"/>
      <w:r w:rsidRPr="00D63218">
        <w:rPr>
          <w:sz w:val="24"/>
          <w:szCs w:val="24"/>
        </w:rPr>
        <w:t xml:space="preserve">Patients received </w:t>
      </w:r>
      <w:r w:rsidR="00FA3D68">
        <w:rPr>
          <w:sz w:val="24"/>
          <w:szCs w:val="24"/>
        </w:rPr>
        <w:t>LORVIQUA</w:t>
      </w:r>
      <w:r w:rsidRPr="00D63218">
        <w:rPr>
          <w:sz w:val="24"/>
          <w:szCs w:val="24"/>
        </w:rPr>
        <w:t xml:space="preserve"> orally at the recommended dose of 100 mg once daily, continuously.</w:t>
      </w:r>
    </w:p>
    <w:p w14:paraId="55F57411" w14:textId="77777777" w:rsidR="00804F8A" w:rsidRPr="00B1727F" w:rsidRDefault="00804F8A" w:rsidP="00BC149B">
      <w:pPr>
        <w:spacing w:after="180"/>
      </w:pPr>
      <w:r w:rsidRPr="00B1727F">
        <w:t>The primary efficacy endpoint in the Phase 2 portion of the study was objective response rate (ORR), including intracranial ORR,</w:t>
      </w:r>
      <w:r w:rsidRPr="00B1727F">
        <w:rPr>
          <w:color w:val="0000FF"/>
        </w:rPr>
        <w:t xml:space="preserve"> </w:t>
      </w:r>
      <w:r w:rsidRPr="00B1727F">
        <w:t>as per Independent Central Review (ICR) according to modified Response Evaluation Criteria in Solid Tumo</w:t>
      </w:r>
      <w:r w:rsidR="00C83D54">
        <w:t>u</w:t>
      </w:r>
      <w:r w:rsidRPr="00B1727F">
        <w:t>rs (modified RECIST version 1.1). Secondary endpoints included duration of response (DOR), intracranial DOR, time</w:t>
      </w:r>
      <w:r w:rsidRPr="00B1727F">
        <w:noBreakHyphen/>
        <w:t>to</w:t>
      </w:r>
      <w:r w:rsidRPr="00B1727F">
        <w:noBreakHyphen/>
        <w:t>tumo</w:t>
      </w:r>
      <w:r w:rsidR="00C83D54">
        <w:t>u</w:t>
      </w:r>
      <w:r w:rsidRPr="00B1727F">
        <w:t>r response (TTR), and progression</w:t>
      </w:r>
      <w:r w:rsidRPr="00B1727F">
        <w:noBreakHyphen/>
        <w:t>free survival (PFS).</w:t>
      </w:r>
    </w:p>
    <w:p w14:paraId="78427757" w14:textId="4B334637" w:rsidR="00804F8A" w:rsidRDefault="00804F8A" w:rsidP="00BC149B">
      <w:pPr>
        <w:spacing w:after="180"/>
        <w:rPr>
          <w:vertAlign w:val="superscript"/>
        </w:rPr>
      </w:pPr>
      <w:r w:rsidRPr="00B1727F">
        <w:t>Patient demographics of the 197 ALK</w:t>
      </w:r>
      <w:r w:rsidRPr="00B1727F">
        <w:noBreakHyphen/>
        <w:t xml:space="preserve">positive advanced NSCLC patients previously treated with 1 or more ALK TKIs, were 59% female, 49% Caucasian, 36% Asian and the mean age was </w:t>
      </w:r>
      <w:r w:rsidRPr="00B1727F">
        <w:lastRenderedPageBreak/>
        <w:t>53 years (range: 29 to 85 years) with 19% ≥ 65 years of age. The Eastern Cooperative Oncology Group (ECOG) performance status at baseline was 0 or 1 in 97% of patients and 2 in 4% of patients.</w:t>
      </w:r>
      <w:r w:rsidRPr="00B1727F">
        <w:rPr>
          <w:vertAlign w:val="superscript"/>
        </w:rPr>
        <w:t>70</w:t>
      </w:r>
      <w:r w:rsidRPr="00B1727F">
        <w:t xml:space="preserve"> Brain metastases were present at baseline in </w:t>
      </w:r>
      <w:r w:rsidR="00F10CFD" w:rsidRPr="00194054">
        <w:t>67</w:t>
      </w:r>
      <w:r w:rsidRPr="00B1727F">
        <w:t>% of patients. All 197 patients had received prior systemic therapy, 20% received 1, 28% received 2, 19% received 3 and 34% received 4 or more prior systemic therapies.</w:t>
      </w:r>
      <w:r w:rsidRPr="00B1727F">
        <w:rPr>
          <w:color w:val="0000FF"/>
        </w:rPr>
        <w:t xml:space="preserve"> </w:t>
      </w:r>
      <w:r w:rsidRPr="00B1727F">
        <w:t>Of the 197 patients, 44% received 1</w:t>
      </w:r>
      <w:r>
        <w:t> </w:t>
      </w:r>
      <w:r w:rsidRPr="00B1727F">
        <w:t>prior ALK TKI, 33% received 2 prior ALK TKIs, and 23% received 3 or more prior ALK TKIs.</w:t>
      </w:r>
    </w:p>
    <w:p w14:paraId="14FC4DD0" w14:textId="1E82240D" w:rsidR="00804F8A" w:rsidRDefault="00804F8A" w:rsidP="00BC149B">
      <w:pPr>
        <w:spacing w:after="180"/>
      </w:pPr>
      <w:r w:rsidRPr="006A1CD9">
        <w:t>The main efficacy results for Study </w:t>
      </w:r>
      <w:r w:rsidR="00FA3D68">
        <w:t>B7461001</w:t>
      </w:r>
      <w:r w:rsidRPr="006A1CD9">
        <w:t xml:space="preserve"> are included in Tables </w:t>
      </w:r>
      <w:r w:rsidR="00FA3D68">
        <w:t>3</w:t>
      </w:r>
      <w:r w:rsidRPr="006A1CD9">
        <w:t xml:space="preserve"> and </w:t>
      </w:r>
      <w:r w:rsidR="00FA3D68">
        <w:t>4</w:t>
      </w:r>
      <w:r w:rsidRPr="006A1CD9">
        <w:t>.</w:t>
      </w:r>
    </w:p>
    <w:p w14:paraId="3076D8E2" w14:textId="00402E8A" w:rsidR="00804F8A" w:rsidRPr="00AD531C" w:rsidRDefault="00804F8A" w:rsidP="00804F8A">
      <w:pPr>
        <w:keepNext/>
        <w:keepLines/>
        <w:tabs>
          <w:tab w:val="left" w:pos="1080"/>
        </w:tabs>
        <w:rPr>
          <w:b/>
        </w:rPr>
      </w:pPr>
      <w:r w:rsidRPr="00AD531C">
        <w:rPr>
          <w:b/>
        </w:rPr>
        <w:t>Table</w:t>
      </w:r>
      <w:r>
        <w:rPr>
          <w:b/>
        </w:rPr>
        <w:t> </w:t>
      </w:r>
      <w:r w:rsidR="00FA3D68">
        <w:rPr>
          <w:b/>
        </w:rPr>
        <w:t>3</w:t>
      </w:r>
      <w:r>
        <w:rPr>
          <w:b/>
        </w:rPr>
        <w:t>.</w:t>
      </w:r>
      <w:r>
        <w:rPr>
          <w:b/>
        </w:rPr>
        <w:tab/>
      </w:r>
      <w:r w:rsidRPr="00AD531C">
        <w:rPr>
          <w:b/>
        </w:rPr>
        <w:t xml:space="preserve">Efficacy </w:t>
      </w:r>
      <w:r>
        <w:rPr>
          <w:b/>
        </w:rPr>
        <w:t>R</w:t>
      </w:r>
      <w:r w:rsidRPr="00AD531C">
        <w:rPr>
          <w:b/>
        </w:rPr>
        <w:t>esults</w:t>
      </w:r>
      <w:r>
        <w:rPr>
          <w:b/>
        </w:rPr>
        <w:t xml:space="preserve"> in Study </w:t>
      </w:r>
      <w:r w:rsidR="00FA3D68">
        <w:rPr>
          <w:b/>
        </w:rPr>
        <w:t>B7461001</w:t>
      </w:r>
      <w:r>
        <w:rPr>
          <w:b/>
        </w:rPr>
        <w:t xml:space="preserve"> by Prior </w:t>
      </w:r>
      <w:r w:rsidR="00FA3D68">
        <w:rPr>
          <w:b/>
        </w:rPr>
        <w:t xml:space="preserve">ALK TKI </w:t>
      </w:r>
      <w:r>
        <w:rPr>
          <w:b/>
        </w:rPr>
        <w:t>Treatment</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190"/>
        <w:gridCol w:w="2190"/>
        <w:gridCol w:w="2190"/>
      </w:tblGrid>
      <w:tr w:rsidR="00F64C74" w14:paraId="71E8D3F4" w14:textId="77777777" w:rsidTr="00F64C74">
        <w:trPr>
          <w:trHeight w:val="955"/>
        </w:trPr>
        <w:tc>
          <w:tcPr>
            <w:tcW w:w="2520" w:type="dxa"/>
            <w:tcBorders>
              <w:right w:val="single" w:sz="4" w:space="0" w:color="auto"/>
            </w:tcBorders>
            <w:shd w:val="clear" w:color="auto" w:fill="auto"/>
            <w:vAlign w:val="bottom"/>
          </w:tcPr>
          <w:p w14:paraId="7B4C131C" w14:textId="77777777" w:rsidR="00F64C74" w:rsidRPr="00E11A7A" w:rsidRDefault="00F64C74" w:rsidP="00FA293E">
            <w:pPr>
              <w:keepNext/>
              <w:keepLines/>
              <w:rPr>
                <w:b/>
                <w:sz w:val="20"/>
              </w:rPr>
            </w:pPr>
          </w:p>
        </w:tc>
        <w:tc>
          <w:tcPr>
            <w:tcW w:w="2190" w:type="dxa"/>
            <w:tcBorders>
              <w:top w:val="single" w:sz="4" w:space="0" w:color="auto"/>
              <w:left w:val="single" w:sz="4" w:space="0" w:color="auto"/>
              <w:right w:val="single" w:sz="4" w:space="0" w:color="auto"/>
            </w:tcBorders>
            <w:vAlign w:val="bottom"/>
          </w:tcPr>
          <w:p w14:paraId="3CB85209" w14:textId="77777777" w:rsidR="00F64C74" w:rsidRPr="007D757A" w:rsidRDefault="00F64C74" w:rsidP="00FA293E">
            <w:pPr>
              <w:keepNext/>
              <w:keepLines/>
              <w:jc w:val="center"/>
              <w:rPr>
                <w:b/>
                <w:sz w:val="20"/>
              </w:rPr>
            </w:pPr>
            <w:r>
              <w:rPr>
                <w:b/>
                <w:sz w:val="20"/>
              </w:rPr>
              <w:t>1 ALK TKI,</w:t>
            </w:r>
            <w:r w:rsidRPr="00811597">
              <w:rPr>
                <w:sz w:val="20"/>
                <w:vertAlign w:val="superscript"/>
              </w:rPr>
              <w:t>a</w:t>
            </w:r>
            <w:r>
              <w:rPr>
                <w:sz w:val="20"/>
              </w:rPr>
              <w:t xml:space="preserve"> </w:t>
            </w:r>
            <w:r w:rsidRPr="007D757A">
              <w:rPr>
                <w:sz w:val="20"/>
              </w:rPr>
              <w:t>excluding crizotinib as the only TKI</w:t>
            </w:r>
          </w:p>
          <w:p w14:paraId="062FE9C8" w14:textId="327E4F3F" w:rsidR="00F64C74" w:rsidRPr="00D459B7" w:rsidRDefault="00F64C74" w:rsidP="00FA293E">
            <w:pPr>
              <w:keepNext/>
              <w:keepLines/>
              <w:jc w:val="center"/>
              <w:rPr>
                <w:b/>
                <w:sz w:val="20"/>
              </w:rPr>
            </w:pPr>
            <w:r>
              <w:rPr>
                <w:b/>
                <w:sz w:val="20"/>
              </w:rPr>
              <w:t>(</w:t>
            </w:r>
            <w:r w:rsidRPr="00423B03">
              <w:rPr>
                <w:b/>
                <w:sz w:val="20"/>
              </w:rPr>
              <w:t>N=27</w:t>
            </w:r>
            <w:r>
              <w:rPr>
                <w:b/>
                <w:sz w:val="20"/>
              </w:rPr>
              <w:t>)</w:t>
            </w:r>
          </w:p>
        </w:tc>
        <w:tc>
          <w:tcPr>
            <w:tcW w:w="2190" w:type="dxa"/>
            <w:tcBorders>
              <w:top w:val="single" w:sz="4" w:space="0" w:color="auto"/>
              <w:left w:val="single" w:sz="4" w:space="0" w:color="auto"/>
              <w:right w:val="single" w:sz="4" w:space="0" w:color="auto"/>
            </w:tcBorders>
            <w:vAlign w:val="bottom"/>
          </w:tcPr>
          <w:p w14:paraId="77284E35" w14:textId="77777777" w:rsidR="00F64C74" w:rsidRPr="00D459B7" w:rsidRDefault="00F64C74" w:rsidP="00FA293E">
            <w:pPr>
              <w:keepNext/>
              <w:keepLines/>
              <w:jc w:val="center"/>
              <w:rPr>
                <w:b/>
                <w:sz w:val="20"/>
              </w:rPr>
            </w:pPr>
            <w:r>
              <w:rPr>
                <w:b/>
                <w:sz w:val="20"/>
              </w:rPr>
              <w:t>2 or more ALK TKIs</w:t>
            </w:r>
          </w:p>
          <w:p w14:paraId="604D3C11" w14:textId="16FEE2C8" w:rsidR="00F64C74" w:rsidRPr="00D459B7" w:rsidRDefault="00F64C74" w:rsidP="00FA293E">
            <w:pPr>
              <w:keepNext/>
              <w:keepLines/>
              <w:jc w:val="center"/>
              <w:rPr>
                <w:b/>
                <w:sz w:val="20"/>
              </w:rPr>
            </w:pPr>
            <w:r>
              <w:rPr>
                <w:b/>
                <w:sz w:val="20"/>
              </w:rPr>
              <w:t>(</w:t>
            </w:r>
            <w:r w:rsidRPr="00423B03">
              <w:rPr>
                <w:b/>
                <w:sz w:val="20"/>
              </w:rPr>
              <w:t>N=111</w:t>
            </w:r>
            <w:r>
              <w:rPr>
                <w:b/>
                <w:sz w:val="20"/>
              </w:rPr>
              <w:t>)</w:t>
            </w:r>
          </w:p>
        </w:tc>
        <w:tc>
          <w:tcPr>
            <w:tcW w:w="2190" w:type="dxa"/>
            <w:tcBorders>
              <w:top w:val="single" w:sz="4" w:space="0" w:color="auto"/>
              <w:left w:val="single" w:sz="4" w:space="0" w:color="auto"/>
            </w:tcBorders>
            <w:vAlign w:val="bottom"/>
          </w:tcPr>
          <w:p w14:paraId="0E0638E9" w14:textId="77777777" w:rsidR="00F64C74" w:rsidRPr="00D459B7" w:rsidRDefault="00F64C74" w:rsidP="00FA293E">
            <w:pPr>
              <w:keepNext/>
              <w:keepLines/>
              <w:jc w:val="center"/>
              <w:rPr>
                <w:b/>
                <w:sz w:val="20"/>
              </w:rPr>
            </w:pPr>
            <w:r>
              <w:rPr>
                <w:b/>
                <w:sz w:val="20"/>
              </w:rPr>
              <w:t>1 or more ALK TKIs</w:t>
            </w:r>
          </w:p>
          <w:p w14:paraId="1FC2093B" w14:textId="2886D2DA" w:rsidR="00F64C74" w:rsidRPr="00D459B7" w:rsidRDefault="00F64C74" w:rsidP="00FA293E">
            <w:pPr>
              <w:keepNext/>
              <w:keepLines/>
              <w:jc w:val="center"/>
              <w:rPr>
                <w:b/>
                <w:sz w:val="20"/>
              </w:rPr>
            </w:pPr>
            <w:r>
              <w:rPr>
                <w:b/>
                <w:sz w:val="20"/>
              </w:rPr>
              <w:t>(</w:t>
            </w:r>
            <w:r w:rsidRPr="00423B03">
              <w:rPr>
                <w:b/>
                <w:sz w:val="20"/>
              </w:rPr>
              <w:t>N=197</w:t>
            </w:r>
            <w:r>
              <w:rPr>
                <w:b/>
                <w:sz w:val="20"/>
              </w:rPr>
              <w:t>)</w:t>
            </w:r>
          </w:p>
        </w:tc>
      </w:tr>
      <w:tr w:rsidR="00F64C74" w14:paraId="250EAE9C" w14:textId="77777777" w:rsidTr="00F64C74">
        <w:trPr>
          <w:trHeight w:val="845"/>
        </w:trPr>
        <w:tc>
          <w:tcPr>
            <w:tcW w:w="2520" w:type="dxa"/>
            <w:tcBorders>
              <w:right w:val="single" w:sz="4" w:space="0" w:color="auto"/>
            </w:tcBorders>
            <w:shd w:val="clear" w:color="auto" w:fill="auto"/>
          </w:tcPr>
          <w:p w14:paraId="0C182856" w14:textId="77777777" w:rsidR="00F64C74" w:rsidRPr="0044623A" w:rsidRDefault="00F64C74" w:rsidP="00FA293E">
            <w:pPr>
              <w:keepNext/>
              <w:keepLines/>
              <w:rPr>
                <w:sz w:val="20"/>
              </w:rPr>
            </w:pPr>
            <w:r w:rsidRPr="0044623A">
              <w:rPr>
                <w:sz w:val="20"/>
              </w:rPr>
              <w:t>Objective response rate</w:t>
            </w:r>
            <w:r w:rsidRPr="0044623A">
              <w:rPr>
                <w:sz w:val="20"/>
                <w:vertAlign w:val="superscript"/>
              </w:rPr>
              <w:t>b</w:t>
            </w:r>
            <w:r w:rsidRPr="0044623A">
              <w:rPr>
                <w:sz w:val="20"/>
              </w:rPr>
              <w:t xml:space="preserve"> (95% CI)</w:t>
            </w:r>
            <w:r w:rsidRPr="0044623A">
              <w:rPr>
                <w:sz w:val="20"/>
                <w:vertAlign w:val="superscript"/>
              </w:rPr>
              <w:t>c</w:t>
            </w:r>
          </w:p>
          <w:p w14:paraId="15D025EA" w14:textId="77777777" w:rsidR="00F64C74" w:rsidRPr="0044623A" w:rsidRDefault="00F64C74" w:rsidP="00FA293E">
            <w:pPr>
              <w:keepNext/>
              <w:keepLines/>
              <w:ind w:left="162"/>
              <w:rPr>
                <w:sz w:val="20"/>
              </w:rPr>
            </w:pPr>
            <w:r w:rsidRPr="0044623A">
              <w:rPr>
                <w:sz w:val="20"/>
              </w:rPr>
              <w:t xml:space="preserve">Complete response, n </w:t>
            </w:r>
          </w:p>
          <w:p w14:paraId="6D4B3E19" w14:textId="77777777" w:rsidR="00F64C74" w:rsidRPr="0044623A" w:rsidRDefault="00F64C74" w:rsidP="00FA293E">
            <w:pPr>
              <w:keepNext/>
              <w:keepLines/>
              <w:ind w:left="162"/>
              <w:rPr>
                <w:sz w:val="20"/>
              </w:rPr>
            </w:pPr>
            <w:r w:rsidRPr="0044623A">
              <w:rPr>
                <w:sz w:val="20"/>
              </w:rPr>
              <w:t xml:space="preserve">Partial response, n </w:t>
            </w:r>
          </w:p>
        </w:tc>
        <w:tc>
          <w:tcPr>
            <w:tcW w:w="2190" w:type="dxa"/>
            <w:tcBorders>
              <w:left w:val="single" w:sz="4" w:space="0" w:color="auto"/>
              <w:right w:val="single" w:sz="4" w:space="0" w:color="auto"/>
            </w:tcBorders>
          </w:tcPr>
          <w:p w14:paraId="150E5123" w14:textId="77777777" w:rsidR="00F64C74" w:rsidRPr="00423B03" w:rsidRDefault="00F64C74" w:rsidP="00FA293E">
            <w:pPr>
              <w:keepNext/>
              <w:keepLines/>
              <w:jc w:val="center"/>
              <w:rPr>
                <w:sz w:val="20"/>
              </w:rPr>
            </w:pPr>
            <w:r w:rsidRPr="00423B03">
              <w:rPr>
                <w:sz w:val="20"/>
              </w:rPr>
              <w:t>33.3</w:t>
            </w:r>
            <w:r>
              <w:rPr>
                <w:sz w:val="20"/>
              </w:rPr>
              <w:t>%</w:t>
            </w:r>
          </w:p>
          <w:p w14:paraId="614B7AB0" w14:textId="77777777" w:rsidR="00F64C74" w:rsidRPr="00423B03" w:rsidRDefault="00F64C74" w:rsidP="00FA293E">
            <w:pPr>
              <w:keepNext/>
              <w:keepLines/>
              <w:jc w:val="center"/>
              <w:rPr>
                <w:sz w:val="20"/>
              </w:rPr>
            </w:pPr>
            <w:r>
              <w:rPr>
                <w:sz w:val="20"/>
              </w:rPr>
              <w:t>(</w:t>
            </w:r>
            <w:r w:rsidRPr="00423B03">
              <w:rPr>
                <w:sz w:val="20"/>
              </w:rPr>
              <w:t>16.5, 54.0</w:t>
            </w:r>
            <w:r>
              <w:rPr>
                <w:sz w:val="20"/>
              </w:rPr>
              <w:t>)</w:t>
            </w:r>
          </w:p>
          <w:p w14:paraId="27AE9D03" w14:textId="77777777" w:rsidR="00F64C74" w:rsidRPr="00423B03" w:rsidRDefault="00F64C74" w:rsidP="00FA293E">
            <w:pPr>
              <w:keepNext/>
              <w:keepLines/>
              <w:jc w:val="center"/>
              <w:rPr>
                <w:sz w:val="20"/>
              </w:rPr>
            </w:pPr>
            <w:r>
              <w:rPr>
                <w:sz w:val="20"/>
              </w:rPr>
              <w:t>1</w:t>
            </w:r>
          </w:p>
          <w:p w14:paraId="70CA4538" w14:textId="77777777" w:rsidR="00F64C74" w:rsidRPr="00423B03" w:rsidRDefault="00F64C74" w:rsidP="00FA293E">
            <w:pPr>
              <w:pStyle w:val="TableTextCentered"/>
              <w:keepNext/>
              <w:keepLines/>
              <w:overflowPunct w:val="0"/>
              <w:autoSpaceDE w:val="0"/>
              <w:autoSpaceDN w:val="0"/>
              <w:adjustRightInd w:val="0"/>
              <w:textAlignment w:val="baseline"/>
            </w:pPr>
            <w:r>
              <w:t>8</w:t>
            </w:r>
          </w:p>
        </w:tc>
        <w:tc>
          <w:tcPr>
            <w:tcW w:w="2190" w:type="dxa"/>
            <w:tcBorders>
              <w:left w:val="single" w:sz="4" w:space="0" w:color="auto"/>
              <w:right w:val="single" w:sz="4" w:space="0" w:color="auto"/>
            </w:tcBorders>
          </w:tcPr>
          <w:p w14:paraId="1ACE59FA" w14:textId="77777777" w:rsidR="00F64C74" w:rsidRPr="00423B03" w:rsidRDefault="00F64C74" w:rsidP="00FA293E">
            <w:pPr>
              <w:keepNext/>
              <w:keepLines/>
              <w:jc w:val="center"/>
              <w:rPr>
                <w:sz w:val="20"/>
              </w:rPr>
            </w:pPr>
            <w:r w:rsidRPr="00423B03">
              <w:rPr>
                <w:sz w:val="20"/>
              </w:rPr>
              <w:t>38.7</w:t>
            </w:r>
            <w:r>
              <w:rPr>
                <w:sz w:val="20"/>
              </w:rPr>
              <w:t>%</w:t>
            </w:r>
          </w:p>
          <w:p w14:paraId="795E7D32" w14:textId="77777777" w:rsidR="00F64C74" w:rsidRPr="00423B03" w:rsidRDefault="00F64C74" w:rsidP="00FA293E">
            <w:pPr>
              <w:keepNext/>
              <w:keepLines/>
              <w:jc w:val="center"/>
              <w:rPr>
                <w:sz w:val="20"/>
              </w:rPr>
            </w:pPr>
            <w:r>
              <w:rPr>
                <w:sz w:val="20"/>
              </w:rPr>
              <w:t>(</w:t>
            </w:r>
            <w:r w:rsidRPr="00423B03">
              <w:rPr>
                <w:sz w:val="20"/>
              </w:rPr>
              <w:t>29.6, 48.5</w:t>
            </w:r>
            <w:r>
              <w:rPr>
                <w:sz w:val="20"/>
              </w:rPr>
              <w:t>)</w:t>
            </w:r>
          </w:p>
          <w:p w14:paraId="38F5DBE7" w14:textId="77777777" w:rsidR="00F64C74" w:rsidRPr="00423B03" w:rsidRDefault="00F64C74" w:rsidP="00FA293E">
            <w:pPr>
              <w:keepNext/>
              <w:keepLines/>
              <w:jc w:val="center"/>
              <w:rPr>
                <w:sz w:val="20"/>
              </w:rPr>
            </w:pPr>
            <w:r>
              <w:rPr>
                <w:sz w:val="20"/>
              </w:rPr>
              <w:t>2</w:t>
            </w:r>
          </w:p>
          <w:p w14:paraId="4B0206C2" w14:textId="77777777" w:rsidR="00F64C74" w:rsidRPr="00423B03" w:rsidRDefault="00F64C74" w:rsidP="00FA293E">
            <w:pPr>
              <w:pStyle w:val="TableTextCentered"/>
              <w:keepNext/>
              <w:keepLines/>
              <w:overflowPunct w:val="0"/>
              <w:autoSpaceDE w:val="0"/>
              <w:autoSpaceDN w:val="0"/>
              <w:adjustRightInd w:val="0"/>
              <w:textAlignment w:val="baseline"/>
            </w:pPr>
            <w:r>
              <w:t>41</w:t>
            </w:r>
          </w:p>
        </w:tc>
        <w:tc>
          <w:tcPr>
            <w:tcW w:w="2190" w:type="dxa"/>
            <w:tcBorders>
              <w:left w:val="single" w:sz="4" w:space="0" w:color="auto"/>
            </w:tcBorders>
          </w:tcPr>
          <w:p w14:paraId="27CA1226" w14:textId="77777777" w:rsidR="00F64C74" w:rsidRPr="00423B03" w:rsidRDefault="00F64C74" w:rsidP="00FA293E">
            <w:pPr>
              <w:keepNext/>
              <w:keepLines/>
              <w:jc w:val="center"/>
              <w:rPr>
                <w:sz w:val="20"/>
              </w:rPr>
            </w:pPr>
            <w:r w:rsidRPr="00423B03">
              <w:rPr>
                <w:sz w:val="20"/>
              </w:rPr>
              <w:t>47.2</w:t>
            </w:r>
            <w:r>
              <w:rPr>
                <w:sz w:val="20"/>
              </w:rPr>
              <w:t>%</w:t>
            </w:r>
          </w:p>
          <w:p w14:paraId="0E271533" w14:textId="0287364C" w:rsidR="00F64C74" w:rsidRPr="00423B03" w:rsidRDefault="00F64C74" w:rsidP="00FA293E">
            <w:pPr>
              <w:keepNext/>
              <w:keepLines/>
              <w:jc w:val="center"/>
              <w:rPr>
                <w:sz w:val="20"/>
              </w:rPr>
            </w:pPr>
            <w:r>
              <w:rPr>
                <w:sz w:val="20"/>
              </w:rPr>
              <w:t>(</w:t>
            </w:r>
            <w:r w:rsidRPr="00423B03">
              <w:rPr>
                <w:sz w:val="20"/>
              </w:rPr>
              <w:t>40.1, 54.4</w:t>
            </w:r>
            <w:r>
              <w:rPr>
                <w:sz w:val="20"/>
              </w:rPr>
              <w:t>)</w:t>
            </w:r>
          </w:p>
          <w:p w14:paraId="0C64ED65" w14:textId="77777777" w:rsidR="00F64C74" w:rsidRPr="00423B03" w:rsidRDefault="00F64C74" w:rsidP="00FA293E">
            <w:pPr>
              <w:keepNext/>
              <w:keepLines/>
              <w:jc w:val="center"/>
              <w:rPr>
                <w:sz w:val="20"/>
              </w:rPr>
            </w:pPr>
            <w:r>
              <w:rPr>
                <w:sz w:val="20"/>
              </w:rPr>
              <w:t>4</w:t>
            </w:r>
          </w:p>
          <w:p w14:paraId="16F3E115" w14:textId="77777777" w:rsidR="00F64C74" w:rsidRPr="00423B03" w:rsidRDefault="00F64C74" w:rsidP="00FA293E">
            <w:pPr>
              <w:pStyle w:val="TableTextCentered"/>
              <w:keepNext/>
              <w:keepLines/>
              <w:overflowPunct w:val="0"/>
              <w:autoSpaceDE w:val="0"/>
              <w:autoSpaceDN w:val="0"/>
              <w:adjustRightInd w:val="0"/>
              <w:textAlignment w:val="baseline"/>
            </w:pPr>
            <w:r>
              <w:t>89</w:t>
            </w:r>
          </w:p>
        </w:tc>
      </w:tr>
      <w:tr w:rsidR="00F64C74" w14:paraId="6E5E9386" w14:textId="77777777" w:rsidTr="00F64C74">
        <w:trPr>
          <w:trHeight w:val="290"/>
        </w:trPr>
        <w:tc>
          <w:tcPr>
            <w:tcW w:w="2520" w:type="dxa"/>
            <w:tcBorders>
              <w:right w:val="single" w:sz="4" w:space="0" w:color="auto"/>
            </w:tcBorders>
            <w:shd w:val="clear" w:color="auto" w:fill="auto"/>
          </w:tcPr>
          <w:p w14:paraId="3F4D5131" w14:textId="77777777" w:rsidR="00F64C74" w:rsidRPr="0044623A" w:rsidRDefault="00F64C74" w:rsidP="00FA293E">
            <w:pPr>
              <w:keepNext/>
              <w:keepLines/>
              <w:rPr>
                <w:sz w:val="20"/>
              </w:rPr>
            </w:pPr>
            <w:r w:rsidRPr="0044623A">
              <w:rPr>
                <w:sz w:val="20"/>
              </w:rPr>
              <w:t>Duration of response</w:t>
            </w:r>
          </w:p>
          <w:p w14:paraId="14309953" w14:textId="77777777" w:rsidR="00F64C74" w:rsidRDefault="00F64C74" w:rsidP="00FA293E">
            <w:pPr>
              <w:keepNext/>
              <w:keepLines/>
              <w:ind w:left="162"/>
              <w:rPr>
                <w:sz w:val="20"/>
              </w:rPr>
            </w:pPr>
            <w:r w:rsidRPr="0044623A">
              <w:rPr>
                <w:sz w:val="20"/>
              </w:rPr>
              <w:t xml:space="preserve">Median, </w:t>
            </w:r>
            <w:r>
              <w:rPr>
                <w:sz w:val="20"/>
              </w:rPr>
              <w:t>m</w:t>
            </w:r>
            <w:r w:rsidRPr="0044623A">
              <w:rPr>
                <w:sz w:val="20"/>
              </w:rPr>
              <w:t xml:space="preserve">onths </w:t>
            </w:r>
          </w:p>
          <w:p w14:paraId="2776B46F" w14:textId="77777777" w:rsidR="00F64C74" w:rsidRPr="0044623A" w:rsidRDefault="00F64C74" w:rsidP="00FA293E">
            <w:pPr>
              <w:keepNext/>
              <w:keepLines/>
              <w:ind w:left="162"/>
              <w:rPr>
                <w:sz w:val="20"/>
              </w:rPr>
            </w:pPr>
            <w:r w:rsidRPr="0044623A">
              <w:rPr>
                <w:sz w:val="20"/>
              </w:rPr>
              <w:t>(95% CI)</w:t>
            </w:r>
            <w:r w:rsidRPr="0044623A">
              <w:rPr>
                <w:sz w:val="20"/>
                <w:vertAlign w:val="superscript"/>
              </w:rPr>
              <w:t>d</w:t>
            </w:r>
          </w:p>
        </w:tc>
        <w:tc>
          <w:tcPr>
            <w:tcW w:w="2190" w:type="dxa"/>
            <w:tcBorders>
              <w:left w:val="single" w:sz="4" w:space="0" w:color="auto"/>
              <w:right w:val="single" w:sz="4" w:space="0" w:color="auto"/>
            </w:tcBorders>
          </w:tcPr>
          <w:p w14:paraId="25FAB47A" w14:textId="77777777" w:rsidR="00F64C74" w:rsidRDefault="00F64C74" w:rsidP="00FA293E">
            <w:pPr>
              <w:pStyle w:val="TableTextCentered"/>
              <w:keepNext/>
              <w:keepLines/>
            </w:pPr>
          </w:p>
          <w:p w14:paraId="1DEA7B4C" w14:textId="77777777" w:rsidR="00F64C74" w:rsidRPr="00423B03" w:rsidRDefault="00F64C74" w:rsidP="00FA293E">
            <w:pPr>
              <w:pStyle w:val="TableTextCentered"/>
              <w:keepNext/>
              <w:keepLines/>
            </w:pPr>
            <w:r w:rsidRPr="00423B03">
              <w:t>NR</w:t>
            </w:r>
          </w:p>
          <w:p w14:paraId="4788D752" w14:textId="77777777" w:rsidR="00F64C74" w:rsidRPr="00423B03" w:rsidRDefault="00F64C74" w:rsidP="00FA293E">
            <w:pPr>
              <w:pStyle w:val="TableTextCentered"/>
              <w:keepNext/>
              <w:keepLines/>
              <w:overflowPunct w:val="0"/>
              <w:autoSpaceDE w:val="0"/>
              <w:autoSpaceDN w:val="0"/>
              <w:adjustRightInd w:val="0"/>
              <w:textAlignment w:val="baseline"/>
            </w:pPr>
            <w:r>
              <w:t>(</w:t>
            </w:r>
            <w:r w:rsidRPr="00423B03">
              <w:t>4.1, NR</w:t>
            </w:r>
            <w:r>
              <w:t>)</w:t>
            </w:r>
          </w:p>
        </w:tc>
        <w:tc>
          <w:tcPr>
            <w:tcW w:w="2190" w:type="dxa"/>
            <w:tcBorders>
              <w:left w:val="single" w:sz="4" w:space="0" w:color="auto"/>
              <w:right w:val="single" w:sz="4" w:space="0" w:color="auto"/>
            </w:tcBorders>
          </w:tcPr>
          <w:p w14:paraId="67B92DEB" w14:textId="77777777" w:rsidR="00F64C74" w:rsidRDefault="00F64C74" w:rsidP="00FA293E">
            <w:pPr>
              <w:pStyle w:val="TableTextCentered"/>
              <w:keepNext/>
              <w:keepLines/>
              <w:overflowPunct w:val="0"/>
              <w:autoSpaceDE w:val="0"/>
              <w:autoSpaceDN w:val="0"/>
              <w:adjustRightInd w:val="0"/>
              <w:textAlignment w:val="baseline"/>
            </w:pPr>
          </w:p>
          <w:p w14:paraId="46237500" w14:textId="77777777" w:rsidR="00F64C74" w:rsidRPr="00423B03" w:rsidRDefault="00F64C74" w:rsidP="00FA293E">
            <w:pPr>
              <w:pStyle w:val="TableTextCentered"/>
              <w:keepNext/>
              <w:keepLines/>
              <w:overflowPunct w:val="0"/>
              <w:autoSpaceDE w:val="0"/>
              <w:autoSpaceDN w:val="0"/>
              <w:adjustRightInd w:val="0"/>
              <w:textAlignment w:val="baseline"/>
            </w:pPr>
            <w:r w:rsidRPr="00423B03">
              <w:t>NR</w:t>
            </w:r>
          </w:p>
          <w:p w14:paraId="594C58AA" w14:textId="77777777" w:rsidR="00F64C74" w:rsidRPr="00423B03" w:rsidRDefault="00F64C74" w:rsidP="00FA293E">
            <w:pPr>
              <w:pStyle w:val="TableTextCentered"/>
              <w:keepNext/>
              <w:keepLines/>
              <w:overflowPunct w:val="0"/>
              <w:autoSpaceDE w:val="0"/>
              <w:autoSpaceDN w:val="0"/>
              <w:adjustRightInd w:val="0"/>
              <w:textAlignment w:val="baseline"/>
            </w:pPr>
            <w:r>
              <w:t>(</w:t>
            </w:r>
            <w:r w:rsidRPr="00423B03">
              <w:t>5.5, NR</w:t>
            </w:r>
            <w:r>
              <w:t>)</w:t>
            </w:r>
          </w:p>
        </w:tc>
        <w:tc>
          <w:tcPr>
            <w:tcW w:w="2190" w:type="dxa"/>
            <w:tcBorders>
              <w:left w:val="single" w:sz="4" w:space="0" w:color="auto"/>
            </w:tcBorders>
          </w:tcPr>
          <w:p w14:paraId="60F25F87" w14:textId="77777777" w:rsidR="00F64C74" w:rsidRDefault="00F64C74" w:rsidP="00FA293E">
            <w:pPr>
              <w:keepNext/>
              <w:keepLines/>
              <w:jc w:val="center"/>
              <w:rPr>
                <w:sz w:val="20"/>
              </w:rPr>
            </w:pPr>
          </w:p>
          <w:p w14:paraId="4D479BDA" w14:textId="77777777" w:rsidR="00F64C74" w:rsidRPr="00423B03" w:rsidRDefault="00F64C74" w:rsidP="00FA293E">
            <w:pPr>
              <w:keepNext/>
              <w:keepLines/>
              <w:jc w:val="center"/>
              <w:rPr>
                <w:sz w:val="20"/>
              </w:rPr>
            </w:pPr>
            <w:r w:rsidRPr="00423B03">
              <w:rPr>
                <w:sz w:val="20"/>
              </w:rPr>
              <w:t>NR</w:t>
            </w:r>
          </w:p>
          <w:p w14:paraId="4F32E3EB" w14:textId="77777777" w:rsidR="00F64C74" w:rsidRPr="00423B03" w:rsidRDefault="00F64C74" w:rsidP="00FA293E">
            <w:pPr>
              <w:pStyle w:val="TableTextCentered"/>
              <w:keepNext/>
              <w:keepLines/>
              <w:overflowPunct w:val="0"/>
              <w:autoSpaceDE w:val="0"/>
              <w:autoSpaceDN w:val="0"/>
              <w:adjustRightInd w:val="0"/>
              <w:textAlignment w:val="baseline"/>
            </w:pPr>
            <w:r>
              <w:t>(</w:t>
            </w:r>
            <w:r w:rsidRPr="00423B03">
              <w:t>11.1, NR</w:t>
            </w:r>
            <w:r>
              <w:t>)</w:t>
            </w:r>
          </w:p>
        </w:tc>
      </w:tr>
      <w:tr w:rsidR="00F64C74" w:rsidRPr="00AD1CB3" w14:paraId="06172B7E" w14:textId="77777777" w:rsidTr="00F64C74">
        <w:trPr>
          <w:trHeight w:val="563"/>
        </w:trPr>
        <w:tc>
          <w:tcPr>
            <w:tcW w:w="2520" w:type="dxa"/>
            <w:tcBorders>
              <w:bottom w:val="single" w:sz="4" w:space="0" w:color="auto"/>
              <w:right w:val="single" w:sz="4" w:space="0" w:color="auto"/>
            </w:tcBorders>
            <w:shd w:val="clear" w:color="auto" w:fill="auto"/>
          </w:tcPr>
          <w:p w14:paraId="3D4E5DC3" w14:textId="77777777" w:rsidR="00F64C74" w:rsidRPr="0044623A" w:rsidRDefault="00F64C74" w:rsidP="00FA293E">
            <w:pPr>
              <w:keepNext/>
              <w:keepLines/>
              <w:rPr>
                <w:sz w:val="20"/>
              </w:rPr>
            </w:pPr>
            <w:r w:rsidRPr="0044623A">
              <w:rPr>
                <w:sz w:val="20"/>
              </w:rPr>
              <w:t>Progression-free survival</w:t>
            </w:r>
          </w:p>
          <w:p w14:paraId="026FD2D7" w14:textId="77777777" w:rsidR="00F64C74" w:rsidRDefault="00F64C74" w:rsidP="00FA293E">
            <w:pPr>
              <w:keepNext/>
              <w:keepLines/>
              <w:ind w:left="162"/>
              <w:rPr>
                <w:sz w:val="20"/>
              </w:rPr>
            </w:pPr>
            <w:r w:rsidRPr="0044623A">
              <w:rPr>
                <w:sz w:val="20"/>
              </w:rPr>
              <w:t xml:space="preserve">Median, </w:t>
            </w:r>
            <w:r>
              <w:rPr>
                <w:sz w:val="20"/>
              </w:rPr>
              <w:t>m</w:t>
            </w:r>
            <w:r w:rsidRPr="0044623A">
              <w:rPr>
                <w:sz w:val="20"/>
              </w:rPr>
              <w:t>onths</w:t>
            </w:r>
          </w:p>
          <w:p w14:paraId="16F84325" w14:textId="77777777" w:rsidR="00F64C74" w:rsidRPr="0044623A" w:rsidRDefault="00F64C74" w:rsidP="00FA293E">
            <w:pPr>
              <w:keepNext/>
              <w:keepLines/>
              <w:ind w:left="162"/>
              <w:rPr>
                <w:sz w:val="20"/>
              </w:rPr>
            </w:pPr>
            <w:r w:rsidRPr="0044623A">
              <w:rPr>
                <w:sz w:val="20"/>
              </w:rPr>
              <w:t>(95% CI)</w:t>
            </w:r>
            <w:r w:rsidRPr="0044623A">
              <w:rPr>
                <w:sz w:val="20"/>
                <w:vertAlign w:val="superscript"/>
              </w:rPr>
              <w:t>d</w:t>
            </w:r>
          </w:p>
        </w:tc>
        <w:tc>
          <w:tcPr>
            <w:tcW w:w="2190" w:type="dxa"/>
            <w:tcBorders>
              <w:left w:val="single" w:sz="4" w:space="0" w:color="auto"/>
              <w:bottom w:val="single" w:sz="4" w:space="0" w:color="auto"/>
              <w:right w:val="single" w:sz="4" w:space="0" w:color="auto"/>
            </w:tcBorders>
          </w:tcPr>
          <w:p w14:paraId="21D04291" w14:textId="77777777" w:rsidR="00F64C74" w:rsidRPr="00423B03" w:rsidRDefault="00F64C74" w:rsidP="00FA293E">
            <w:pPr>
              <w:pStyle w:val="TableTextCentered"/>
              <w:keepNext/>
              <w:keepLines/>
              <w:overflowPunct w:val="0"/>
              <w:autoSpaceDE w:val="0"/>
              <w:autoSpaceDN w:val="0"/>
              <w:adjustRightInd w:val="0"/>
              <w:textAlignment w:val="baseline"/>
            </w:pPr>
          </w:p>
          <w:p w14:paraId="4D967843" w14:textId="77777777" w:rsidR="00F64C74" w:rsidRPr="00423B03" w:rsidRDefault="00F64C74" w:rsidP="00FA293E">
            <w:pPr>
              <w:pStyle w:val="TableTextCentered"/>
              <w:keepNext/>
              <w:keepLines/>
              <w:overflowPunct w:val="0"/>
              <w:autoSpaceDE w:val="0"/>
              <w:autoSpaceDN w:val="0"/>
              <w:adjustRightInd w:val="0"/>
              <w:textAlignment w:val="baseline"/>
            </w:pPr>
            <w:r w:rsidRPr="00423B03">
              <w:t>5.5</w:t>
            </w:r>
          </w:p>
          <w:p w14:paraId="20907609" w14:textId="77777777" w:rsidR="00F64C74" w:rsidRPr="00423B03" w:rsidRDefault="00F64C74" w:rsidP="00FA293E">
            <w:pPr>
              <w:pStyle w:val="TableTextCentered"/>
              <w:keepNext/>
              <w:keepLines/>
              <w:overflowPunct w:val="0"/>
              <w:autoSpaceDE w:val="0"/>
              <w:autoSpaceDN w:val="0"/>
              <w:adjustRightInd w:val="0"/>
              <w:textAlignment w:val="baseline"/>
            </w:pPr>
            <w:r>
              <w:t>(</w:t>
            </w:r>
            <w:r w:rsidRPr="00423B03">
              <w:t>2.9, 9.0</w:t>
            </w:r>
            <w:r>
              <w:t>)</w:t>
            </w:r>
          </w:p>
        </w:tc>
        <w:tc>
          <w:tcPr>
            <w:tcW w:w="2190" w:type="dxa"/>
            <w:tcBorders>
              <w:left w:val="single" w:sz="4" w:space="0" w:color="auto"/>
              <w:bottom w:val="single" w:sz="4" w:space="0" w:color="auto"/>
              <w:right w:val="single" w:sz="4" w:space="0" w:color="auto"/>
            </w:tcBorders>
          </w:tcPr>
          <w:p w14:paraId="610D0CFC" w14:textId="77777777" w:rsidR="00F64C74" w:rsidRPr="00423B03" w:rsidRDefault="00F64C74" w:rsidP="00FA293E">
            <w:pPr>
              <w:pStyle w:val="TableTextCentered"/>
              <w:keepNext/>
              <w:keepLines/>
              <w:overflowPunct w:val="0"/>
              <w:autoSpaceDE w:val="0"/>
              <w:autoSpaceDN w:val="0"/>
              <w:adjustRightInd w:val="0"/>
              <w:textAlignment w:val="baseline"/>
            </w:pPr>
          </w:p>
          <w:p w14:paraId="4CB817F5" w14:textId="77777777" w:rsidR="00F64C74" w:rsidRPr="00423B03" w:rsidRDefault="00F64C74" w:rsidP="00FA293E">
            <w:pPr>
              <w:pStyle w:val="TableTextCentered"/>
              <w:keepNext/>
              <w:keepLines/>
              <w:overflowPunct w:val="0"/>
              <w:autoSpaceDE w:val="0"/>
              <w:autoSpaceDN w:val="0"/>
              <w:adjustRightInd w:val="0"/>
              <w:textAlignment w:val="baseline"/>
            </w:pPr>
            <w:r w:rsidRPr="00423B03">
              <w:t>6.9</w:t>
            </w:r>
          </w:p>
          <w:p w14:paraId="4D7BE7DF" w14:textId="77777777" w:rsidR="00F64C74" w:rsidRPr="00423B03" w:rsidRDefault="00F64C74" w:rsidP="00FA293E">
            <w:pPr>
              <w:pStyle w:val="TableTextCentered"/>
              <w:keepNext/>
              <w:keepLines/>
              <w:overflowPunct w:val="0"/>
              <w:autoSpaceDE w:val="0"/>
              <w:autoSpaceDN w:val="0"/>
              <w:adjustRightInd w:val="0"/>
              <w:textAlignment w:val="baseline"/>
            </w:pPr>
            <w:r>
              <w:t>(</w:t>
            </w:r>
            <w:r w:rsidRPr="00423B03">
              <w:t>5.4, 9.5</w:t>
            </w:r>
            <w:r>
              <w:t>)</w:t>
            </w:r>
          </w:p>
        </w:tc>
        <w:tc>
          <w:tcPr>
            <w:tcW w:w="2190" w:type="dxa"/>
            <w:tcBorders>
              <w:left w:val="single" w:sz="4" w:space="0" w:color="auto"/>
              <w:bottom w:val="single" w:sz="4" w:space="0" w:color="auto"/>
            </w:tcBorders>
          </w:tcPr>
          <w:p w14:paraId="257B35FF" w14:textId="77777777" w:rsidR="00F64C74" w:rsidRPr="00423B03" w:rsidRDefault="00F64C74" w:rsidP="00FA293E">
            <w:pPr>
              <w:keepNext/>
              <w:keepLines/>
              <w:jc w:val="center"/>
              <w:rPr>
                <w:sz w:val="20"/>
              </w:rPr>
            </w:pPr>
          </w:p>
          <w:p w14:paraId="02D34544" w14:textId="77777777" w:rsidR="00F64C74" w:rsidRPr="00423B03" w:rsidRDefault="00F64C74" w:rsidP="00FA293E">
            <w:pPr>
              <w:keepNext/>
              <w:keepLines/>
              <w:jc w:val="center"/>
              <w:rPr>
                <w:sz w:val="20"/>
              </w:rPr>
            </w:pPr>
            <w:r w:rsidRPr="00423B03">
              <w:rPr>
                <w:sz w:val="20"/>
              </w:rPr>
              <w:t>7.4</w:t>
            </w:r>
          </w:p>
          <w:p w14:paraId="7E14FC12" w14:textId="77777777" w:rsidR="00F64C74" w:rsidRPr="00423B03" w:rsidRDefault="00F64C74" w:rsidP="00FA293E">
            <w:pPr>
              <w:pStyle w:val="TableTextCentered"/>
              <w:keepNext/>
              <w:keepLines/>
              <w:overflowPunct w:val="0"/>
              <w:autoSpaceDE w:val="0"/>
              <w:autoSpaceDN w:val="0"/>
              <w:adjustRightInd w:val="0"/>
              <w:textAlignment w:val="baseline"/>
            </w:pPr>
            <w:r>
              <w:t>(</w:t>
            </w:r>
            <w:r w:rsidRPr="00423B03">
              <w:t>5.6, 11.0</w:t>
            </w:r>
            <w:r>
              <w:t>)</w:t>
            </w:r>
          </w:p>
        </w:tc>
      </w:tr>
      <w:tr w:rsidR="00804F8A" w:rsidRPr="00AD1CB3" w14:paraId="32FC204A" w14:textId="77777777" w:rsidTr="00F64C74">
        <w:trPr>
          <w:trHeight w:val="563"/>
        </w:trPr>
        <w:tc>
          <w:tcPr>
            <w:tcW w:w="9090" w:type="dxa"/>
            <w:gridSpan w:val="4"/>
            <w:tcBorders>
              <w:left w:val="nil"/>
              <w:bottom w:val="nil"/>
              <w:right w:val="nil"/>
            </w:tcBorders>
            <w:shd w:val="clear" w:color="auto" w:fill="auto"/>
            <w:vAlign w:val="bottom"/>
          </w:tcPr>
          <w:p w14:paraId="41EC2903" w14:textId="77777777" w:rsidR="00804F8A" w:rsidRDefault="00804F8A" w:rsidP="00FA293E">
            <w:pPr>
              <w:pStyle w:val="NoSpacing"/>
              <w:tabs>
                <w:tab w:val="left" w:pos="540"/>
              </w:tabs>
              <w:ind w:left="-18"/>
              <w:rPr>
                <w:rFonts w:ascii="Times New Roman" w:hAnsi="Times New Roman"/>
                <w:sz w:val="20"/>
                <w:szCs w:val="20"/>
              </w:rPr>
            </w:pPr>
            <w:r>
              <w:rPr>
                <w:rFonts w:ascii="Times New Roman" w:hAnsi="Times New Roman"/>
                <w:sz w:val="20"/>
                <w:szCs w:val="20"/>
              </w:rPr>
              <w:t>Abbreviations: ALK=</w:t>
            </w:r>
            <w:r w:rsidRPr="006F14B5">
              <w:rPr>
                <w:rFonts w:ascii="Times New Roman" w:hAnsi="Times New Roman"/>
                <w:sz w:val="20"/>
                <w:szCs w:val="20"/>
              </w:rPr>
              <w:t>anaplastic lymphoma kinase</w:t>
            </w:r>
            <w:r>
              <w:rPr>
                <w:rFonts w:ascii="Times New Roman" w:hAnsi="Times New Roman"/>
                <w:sz w:val="20"/>
                <w:szCs w:val="20"/>
              </w:rPr>
              <w:t xml:space="preserve">; CI=confidence interval; ICR=Independent Central Review; N/n=number of patients; </w:t>
            </w:r>
            <w:r w:rsidRPr="00D275EA">
              <w:rPr>
                <w:rFonts w:ascii="Times New Roman" w:hAnsi="Times New Roman"/>
                <w:sz w:val="20"/>
                <w:szCs w:val="20"/>
              </w:rPr>
              <w:t>NR</w:t>
            </w:r>
            <w:r>
              <w:rPr>
                <w:rFonts w:ascii="Times New Roman" w:hAnsi="Times New Roman"/>
                <w:sz w:val="20"/>
                <w:szCs w:val="20"/>
              </w:rPr>
              <w:t>=n</w:t>
            </w:r>
            <w:r w:rsidRPr="00D275EA">
              <w:rPr>
                <w:rFonts w:ascii="Times New Roman" w:hAnsi="Times New Roman"/>
                <w:sz w:val="20"/>
                <w:szCs w:val="20"/>
              </w:rPr>
              <w:t>ot reached</w:t>
            </w:r>
            <w:r>
              <w:rPr>
                <w:rFonts w:ascii="Times New Roman" w:hAnsi="Times New Roman"/>
                <w:sz w:val="20"/>
                <w:szCs w:val="20"/>
              </w:rPr>
              <w:t>; TKI=tyrosine kinase inhibitor.</w:t>
            </w:r>
          </w:p>
          <w:p w14:paraId="1BEE2053" w14:textId="77777777" w:rsidR="00804F8A" w:rsidRDefault="00804F8A" w:rsidP="00FA293E">
            <w:pPr>
              <w:pStyle w:val="NoSpacing"/>
              <w:tabs>
                <w:tab w:val="left" w:pos="187"/>
              </w:tabs>
              <w:ind w:left="-14"/>
              <w:rPr>
                <w:rFonts w:ascii="Times New Roman" w:hAnsi="Times New Roman"/>
                <w:sz w:val="20"/>
                <w:szCs w:val="20"/>
              </w:rPr>
            </w:pPr>
            <w:r>
              <w:rPr>
                <w:rFonts w:ascii="Times New Roman" w:hAnsi="Times New Roman"/>
                <w:sz w:val="20"/>
                <w:szCs w:val="20"/>
                <w:vertAlign w:val="superscript"/>
              </w:rPr>
              <w:t>a</w:t>
            </w:r>
            <w:r w:rsidRPr="00BA0560">
              <w:rPr>
                <w:rFonts w:ascii="Times New Roman" w:hAnsi="Times New Roman"/>
                <w:iCs/>
                <w:color w:val="000000"/>
                <w:sz w:val="20"/>
                <w:szCs w:val="20"/>
              </w:rPr>
              <w:tab/>
            </w:r>
            <w:r>
              <w:rPr>
                <w:rFonts w:ascii="Times New Roman" w:hAnsi="Times New Roman"/>
                <w:sz w:val="20"/>
                <w:szCs w:val="20"/>
              </w:rPr>
              <w:t>Alectinib, brigatinib, or ceritinib</w:t>
            </w:r>
            <w:r w:rsidR="0028739F">
              <w:rPr>
                <w:rFonts w:ascii="Times New Roman" w:hAnsi="Times New Roman"/>
                <w:sz w:val="20"/>
                <w:szCs w:val="20"/>
              </w:rPr>
              <w:t>.</w:t>
            </w:r>
          </w:p>
          <w:p w14:paraId="195AC787" w14:textId="77777777" w:rsidR="00804F8A" w:rsidRDefault="00804F8A" w:rsidP="00FA293E">
            <w:pPr>
              <w:pStyle w:val="NoSpacing"/>
              <w:tabs>
                <w:tab w:val="left" w:pos="187"/>
                <w:tab w:val="left" w:pos="540"/>
              </w:tabs>
              <w:ind w:left="-14"/>
              <w:rPr>
                <w:rFonts w:ascii="Times New Roman" w:hAnsi="Times New Roman"/>
                <w:sz w:val="20"/>
                <w:szCs w:val="20"/>
              </w:rPr>
            </w:pPr>
            <w:r w:rsidRPr="0086750A">
              <w:rPr>
                <w:rFonts w:ascii="Times New Roman" w:hAnsi="Times New Roman"/>
                <w:sz w:val="20"/>
                <w:szCs w:val="20"/>
                <w:vertAlign w:val="superscript"/>
              </w:rPr>
              <w:t>b</w:t>
            </w:r>
            <w:r w:rsidRPr="00BA0560">
              <w:rPr>
                <w:rFonts w:ascii="Times New Roman" w:hAnsi="Times New Roman"/>
                <w:iCs/>
                <w:color w:val="000000"/>
                <w:sz w:val="20"/>
                <w:szCs w:val="20"/>
              </w:rPr>
              <w:tab/>
            </w:r>
            <w:r>
              <w:rPr>
                <w:rFonts w:ascii="Times New Roman" w:hAnsi="Times New Roman"/>
                <w:sz w:val="20"/>
                <w:szCs w:val="20"/>
              </w:rPr>
              <w:t>Per ICR.</w:t>
            </w:r>
          </w:p>
          <w:p w14:paraId="4AA5426F" w14:textId="77777777" w:rsidR="00804F8A" w:rsidRDefault="00804F8A" w:rsidP="00FA293E">
            <w:pPr>
              <w:pStyle w:val="NoSpacing"/>
              <w:tabs>
                <w:tab w:val="left" w:pos="187"/>
                <w:tab w:val="left" w:pos="540"/>
              </w:tabs>
              <w:ind w:left="-14"/>
              <w:rPr>
                <w:rFonts w:ascii="Times New Roman" w:hAnsi="Times New Roman"/>
                <w:sz w:val="20"/>
                <w:szCs w:val="20"/>
              </w:rPr>
            </w:pPr>
            <w:r>
              <w:rPr>
                <w:rFonts w:ascii="Times New Roman" w:hAnsi="Times New Roman"/>
                <w:sz w:val="20"/>
                <w:szCs w:val="20"/>
                <w:vertAlign w:val="superscript"/>
              </w:rPr>
              <w:t>c</w:t>
            </w:r>
            <w:r w:rsidRPr="00BA0560">
              <w:rPr>
                <w:rFonts w:ascii="Times New Roman" w:hAnsi="Times New Roman"/>
                <w:iCs/>
                <w:color w:val="000000"/>
                <w:sz w:val="20"/>
                <w:szCs w:val="20"/>
              </w:rPr>
              <w:tab/>
            </w:r>
            <w:r w:rsidRPr="00D275EA">
              <w:rPr>
                <w:rFonts w:ascii="Times New Roman" w:hAnsi="Times New Roman"/>
                <w:sz w:val="20"/>
                <w:szCs w:val="20"/>
              </w:rPr>
              <w:t>Using exact method based on binomial distribution</w:t>
            </w:r>
            <w:r>
              <w:rPr>
                <w:rFonts w:ascii="Times New Roman" w:hAnsi="Times New Roman"/>
                <w:sz w:val="20"/>
                <w:szCs w:val="20"/>
              </w:rPr>
              <w:t>.</w:t>
            </w:r>
          </w:p>
          <w:p w14:paraId="40F28599" w14:textId="77777777" w:rsidR="00804F8A" w:rsidRPr="00DA1CCD" w:rsidRDefault="00804F8A" w:rsidP="00FA293E">
            <w:pPr>
              <w:tabs>
                <w:tab w:val="left" w:pos="187"/>
                <w:tab w:val="left" w:pos="1723"/>
              </w:tabs>
              <w:ind w:left="-14"/>
              <w:rPr>
                <w:sz w:val="20"/>
              </w:rPr>
            </w:pPr>
            <w:r>
              <w:rPr>
                <w:sz w:val="20"/>
                <w:vertAlign w:val="superscript"/>
              </w:rPr>
              <w:t>d</w:t>
            </w:r>
            <w:r w:rsidRPr="00BA0560">
              <w:rPr>
                <w:iCs/>
                <w:color w:val="000000"/>
                <w:sz w:val="20"/>
              </w:rPr>
              <w:tab/>
            </w:r>
            <w:r w:rsidRPr="00D275EA">
              <w:rPr>
                <w:sz w:val="20"/>
              </w:rPr>
              <w:t xml:space="preserve">Using </w:t>
            </w:r>
            <w:r>
              <w:rPr>
                <w:sz w:val="20"/>
              </w:rPr>
              <w:t xml:space="preserve">the </w:t>
            </w:r>
            <w:r w:rsidRPr="00D275EA">
              <w:rPr>
                <w:sz w:val="20"/>
              </w:rPr>
              <w:t>Brookmeyer Crowley method</w:t>
            </w:r>
            <w:r>
              <w:rPr>
                <w:sz w:val="20"/>
              </w:rPr>
              <w:t>.</w:t>
            </w:r>
          </w:p>
        </w:tc>
      </w:tr>
    </w:tbl>
    <w:p w14:paraId="0B40E432" w14:textId="3D015294" w:rsidR="00804F8A" w:rsidRDefault="00804F8A" w:rsidP="00BC149B">
      <w:pPr>
        <w:keepNext/>
        <w:keepLines/>
        <w:tabs>
          <w:tab w:val="left" w:pos="1080"/>
        </w:tabs>
        <w:spacing w:before="180"/>
        <w:ind w:right="272"/>
        <w:rPr>
          <w:b/>
        </w:rPr>
      </w:pPr>
      <w:r w:rsidRPr="00AD531C">
        <w:rPr>
          <w:b/>
        </w:rPr>
        <w:t>Table</w:t>
      </w:r>
      <w:r>
        <w:rPr>
          <w:b/>
        </w:rPr>
        <w:t> </w:t>
      </w:r>
      <w:r w:rsidR="0028739F">
        <w:rPr>
          <w:b/>
        </w:rPr>
        <w:t>4</w:t>
      </w:r>
      <w:r>
        <w:rPr>
          <w:b/>
        </w:rPr>
        <w:t>.</w:t>
      </w:r>
      <w:r>
        <w:rPr>
          <w:b/>
        </w:rPr>
        <w:tab/>
        <w:t>Intracranial E</w:t>
      </w:r>
      <w:r w:rsidRPr="00AD531C">
        <w:rPr>
          <w:b/>
        </w:rPr>
        <w:t xml:space="preserve">fficacy </w:t>
      </w:r>
      <w:r>
        <w:rPr>
          <w:b/>
        </w:rPr>
        <w:t>R</w:t>
      </w:r>
      <w:r w:rsidRPr="00AD531C">
        <w:rPr>
          <w:b/>
        </w:rPr>
        <w:t>esults</w:t>
      </w:r>
      <w:r>
        <w:rPr>
          <w:b/>
        </w:rPr>
        <w:t xml:space="preserve"> in Study </w:t>
      </w:r>
      <w:r w:rsidR="0028739F">
        <w:rPr>
          <w:b/>
        </w:rPr>
        <w:t>B7461001</w:t>
      </w:r>
      <w:r>
        <w:rPr>
          <w:b/>
        </w:rPr>
        <w:t xml:space="preserve"> by Prior Treatment</w:t>
      </w:r>
      <w:r w:rsidR="0028739F">
        <w:rPr>
          <w:b/>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253"/>
        <w:gridCol w:w="2254"/>
        <w:gridCol w:w="2243"/>
        <w:gridCol w:w="11"/>
      </w:tblGrid>
      <w:tr w:rsidR="00F64C74" w14:paraId="2B83DE2F" w14:textId="77777777" w:rsidTr="00F64C74">
        <w:trPr>
          <w:trHeight w:val="930"/>
        </w:trPr>
        <w:tc>
          <w:tcPr>
            <w:tcW w:w="2340" w:type="dxa"/>
            <w:tcBorders>
              <w:right w:val="single" w:sz="4" w:space="0" w:color="auto"/>
            </w:tcBorders>
            <w:shd w:val="clear" w:color="auto" w:fill="auto"/>
            <w:vAlign w:val="bottom"/>
          </w:tcPr>
          <w:p w14:paraId="60813F54" w14:textId="77777777" w:rsidR="00F64C74" w:rsidRPr="00E11A7A" w:rsidRDefault="00F64C74" w:rsidP="00FA293E">
            <w:pPr>
              <w:keepNext/>
              <w:keepLines/>
              <w:rPr>
                <w:b/>
                <w:sz w:val="20"/>
              </w:rPr>
            </w:pPr>
          </w:p>
        </w:tc>
        <w:tc>
          <w:tcPr>
            <w:tcW w:w="2253" w:type="dxa"/>
            <w:tcBorders>
              <w:top w:val="single" w:sz="4" w:space="0" w:color="auto"/>
              <w:left w:val="single" w:sz="4" w:space="0" w:color="auto"/>
              <w:right w:val="single" w:sz="4" w:space="0" w:color="auto"/>
            </w:tcBorders>
            <w:vAlign w:val="bottom"/>
          </w:tcPr>
          <w:p w14:paraId="779E0A3E" w14:textId="77777777" w:rsidR="00F64C74" w:rsidRPr="002A3AD8" w:rsidRDefault="00F64C74" w:rsidP="00FA293E">
            <w:pPr>
              <w:keepNext/>
              <w:keepLines/>
              <w:jc w:val="center"/>
              <w:rPr>
                <w:b/>
                <w:sz w:val="20"/>
              </w:rPr>
            </w:pPr>
            <w:r>
              <w:rPr>
                <w:b/>
                <w:sz w:val="20"/>
              </w:rPr>
              <w:t>One 2</w:t>
            </w:r>
            <w:r w:rsidRPr="00E11A7A">
              <w:rPr>
                <w:b/>
                <w:sz w:val="20"/>
                <w:vertAlign w:val="superscript"/>
              </w:rPr>
              <w:t>nd</w:t>
            </w:r>
            <w:r>
              <w:rPr>
                <w:b/>
                <w:sz w:val="20"/>
              </w:rPr>
              <w:t xml:space="preserve"> generation ALK </w:t>
            </w:r>
            <w:r w:rsidRPr="00A974A0">
              <w:rPr>
                <w:b/>
                <w:sz w:val="20"/>
              </w:rPr>
              <w:t>T</w:t>
            </w:r>
            <w:r w:rsidRPr="00B4456E">
              <w:rPr>
                <w:b/>
                <w:sz w:val="20"/>
              </w:rPr>
              <w:t>KI</w:t>
            </w:r>
            <w:r w:rsidRPr="00B4456E">
              <w:rPr>
                <w:b/>
                <w:sz w:val="20"/>
                <w:vertAlign w:val="superscript"/>
              </w:rPr>
              <w:t>a</w:t>
            </w:r>
          </w:p>
          <w:p w14:paraId="04FBE83C" w14:textId="6755A2EA" w:rsidR="00F64C74" w:rsidRPr="002A3AD8" w:rsidRDefault="00F64C74" w:rsidP="00FA293E">
            <w:pPr>
              <w:keepNext/>
              <w:keepLines/>
              <w:jc w:val="center"/>
              <w:rPr>
                <w:b/>
                <w:sz w:val="20"/>
              </w:rPr>
            </w:pPr>
            <w:r>
              <w:rPr>
                <w:b/>
                <w:sz w:val="20"/>
              </w:rPr>
              <w:t>(N=12)</w:t>
            </w:r>
          </w:p>
        </w:tc>
        <w:tc>
          <w:tcPr>
            <w:tcW w:w="2254" w:type="dxa"/>
            <w:tcBorders>
              <w:top w:val="single" w:sz="4" w:space="0" w:color="auto"/>
              <w:left w:val="single" w:sz="4" w:space="0" w:color="auto"/>
              <w:right w:val="single" w:sz="4" w:space="0" w:color="auto"/>
            </w:tcBorders>
            <w:vAlign w:val="bottom"/>
          </w:tcPr>
          <w:p w14:paraId="4F08F513" w14:textId="77777777" w:rsidR="00F64C74" w:rsidRPr="002A3AD8" w:rsidRDefault="00F64C74" w:rsidP="00FA293E">
            <w:pPr>
              <w:keepNext/>
              <w:keepLines/>
              <w:jc w:val="center"/>
              <w:rPr>
                <w:b/>
                <w:sz w:val="20"/>
              </w:rPr>
            </w:pPr>
            <w:r>
              <w:rPr>
                <w:b/>
                <w:sz w:val="20"/>
              </w:rPr>
              <w:t>2 or more ALK TKIs</w:t>
            </w:r>
          </w:p>
          <w:p w14:paraId="25AECB59" w14:textId="54E79F4F" w:rsidR="00F64C74" w:rsidRPr="002A3AD8" w:rsidRDefault="00F64C74" w:rsidP="00FA293E">
            <w:pPr>
              <w:keepNext/>
              <w:keepLines/>
              <w:jc w:val="center"/>
              <w:rPr>
                <w:b/>
                <w:sz w:val="20"/>
              </w:rPr>
            </w:pPr>
            <w:r>
              <w:rPr>
                <w:b/>
                <w:sz w:val="20"/>
              </w:rPr>
              <w:t>(N=83)</w:t>
            </w:r>
          </w:p>
        </w:tc>
        <w:tc>
          <w:tcPr>
            <w:tcW w:w="2254" w:type="dxa"/>
            <w:gridSpan w:val="2"/>
            <w:tcBorders>
              <w:top w:val="single" w:sz="4" w:space="0" w:color="auto"/>
              <w:left w:val="single" w:sz="4" w:space="0" w:color="auto"/>
            </w:tcBorders>
            <w:vAlign w:val="bottom"/>
          </w:tcPr>
          <w:p w14:paraId="3DBBC8F5" w14:textId="77777777" w:rsidR="00F64C74" w:rsidRPr="002A3AD8" w:rsidRDefault="00F64C74" w:rsidP="00FA293E">
            <w:pPr>
              <w:keepNext/>
              <w:keepLines/>
              <w:jc w:val="center"/>
              <w:rPr>
                <w:b/>
                <w:sz w:val="20"/>
              </w:rPr>
            </w:pPr>
            <w:r>
              <w:rPr>
                <w:b/>
                <w:sz w:val="20"/>
              </w:rPr>
              <w:t>1 or more ALK TKIs</w:t>
            </w:r>
          </w:p>
          <w:p w14:paraId="68193E9C" w14:textId="69193F8F" w:rsidR="00F64C74" w:rsidRPr="002A3AD8" w:rsidRDefault="00F64C74" w:rsidP="00FA293E">
            <w:pPr>
              <w:keepNext/>
              <w:keepLines/>
              <w:jc w:val="center"/>
              <w:rPr>
                <w:b/>
                <w:sz w:val="20"/>
              </w:rPr>
            </w:pPr>
            <w:r>
              <w:rPr>
                <w:b/>
                <w:sz w:val="20"/>
              </w:rPr>
              <w:t>(</w:t>
            </w:r>
            <w:r w:rsidRPr="00D459B7">
              <w:rPr>
                <w:b/>
                <w:sz w:val="20"/>
              </w:rPr>
              <w:t>N=132</w:t>
            </w:r>
            <w:r>
              <w:rPr>
                <w:b/>
                <w:sz w:val="20"/>
              </w:rPr>
              <w:t>)</w:t>
            </w:r>
          </w:p>
        </w:tc>
      </w:tr>
      <w:tr w:rsidR="00F64C74" w14:paraId="3B9059EA" w14:textId="77777777" w:rsidTr="00F64C74">
        <w:tc>
          <w:tcPr>
            <w:tcW w:w="2340" w:type="dxa"/>
            <w:tcBorders>
              <w:right w:val="single" w:sz="4" w:space="0" w:color="auto"/>
            </w:tcBorders>
            <w:shd w:val="clear" w:color="auto" w:fill="auto"/>
          </w:tcPr>
          <w:p w14:paraId="7CEF800C" w14:textId="1BDB2FAE" w:rsidR="00F64C74" w:rsidRDefault="00F64C74" w:rsidP="00FA293E">
            <w:pPr>
              <w:keepNext/>
              <w:keepLines/>
              <w:rPr>
                <w:sz w:val="20"/>
              </w:rPr>
            </w:pPr>
            <w:r w:rsidRPr="00366B87">
              <w:rPr>
                <w:sz w:val="20"/>
              </w:rPr>
              <w:t>Objective response rate</w:t>
            </w:r>
            <w:r w:rsidRPr="00366B87">
              <w:rPr>
                <w:sz w:val="20"/>
                <w:vertAlign w:val="superscript"/>
              </w:rPr>
              <w:t>b</w:t>
            </w:r>
            <w:r w:rsidRPr="00366B87">
              <w:rPr>
                <w:sz w:val="20"/>
              </w:rPr>
              <w:t xml:space="preserve"> (95% CI)</w:t>
            </w:r>
            <w:r w:rsidRPr="00366B87">
              <w:rPr>
                <w:sz w:val="20"/>
                <w:vertAlign w:val="superscript"/>
              </w:rPr>
              <w:t>c</w:t>
            </w:r>
          </w:p>
          <w:p w14:paraId="0B10376F" w14:textId="77777777" w:rsidR="00F64C74" w:rsidRPr="00366B87" w:rsidRDefault="00F64C74" w:rsidP="00FA293E">
            <w:pPr>
              <w:keepNext/>
              <w:keepLines/>
              <w:ind w:left="162"/>
              <w:rPr>
                <w:sz w:val="20"/>
              </w:rPr>
            </w:pPr>
            <w:r w:rsidRPr="00366B87">
              <w:rPr>
                <w:sz w:val="20"/>
              </w:rPr>
              <w:t xml:space="preserve">Complete response, n </w:t>
            </w:r>
          </w:p>
          <w:p w14:paraId="082B6688" w14:textId="77777777" w:rsidR="00F64C74" w:rsidRPr="00366B87" w:rsidRDefault="00F64C74" w:rsidP="00FA293E">
            <w:pPr>
              <w:keepNext/>
              <w:keepLines/>
              <w:ind w:left="162"/>
              <w:rPr>
                <w:sz w:val="20"/>
              </w:rPr>
            </w:pPr>
            <w:r w:rsidRPr="00366B87">
              <w:rPr>
                <w:sz w:val="20"/>
              </w:rPr>
              <w:t xml:space="preserve">Partial response, n </w:t>
            </w:r>
          </w:p>
        </w:tc>
        <w:tc>
          <w:tcPr>
            <w:tcW w:w="2253" w:type="dxa"/>
            <w:tcBorders>
              <w:left w:val="single" w:sz="4" w:space="0" w:color="auto"/>
              <w:right w:val="single" w:sz="4" w:space="0" w:color="auto"/>
            </w:tcBorders>
          </w:tcPr>
          <w:p w14:paraId="38FFD966" w14:textId="77777777" w:rsidR="00F64C74" w:rsidRPr="004422A1" w:rsidRDefault="00F64C74" w:rsidP="00FA293E">
            <w:pPr>
              <w:keepNext/>
              <w:keepLines/>
              <w:jc w:val="center"/>
              <w:rPr>
                <w:sz w:val="20"/>
              </w:rPr>
            </w:pPr>
            <w:r w:rsidRPr="004422A1">
              <w:rPr>
                <w:sz w:val="20"/>
              </w:rPr>
              <w:t>41.7</w:t>
            </w:r>
            <w:r>
              <w:rPr>
                <w:sz w:val="20"/>
              </w:rPr>
              <w:t>%</w:t>
            </w:r>
          </w:p>
          <w:p w14:paraId="4A43FCFD" w14:textId="77777777" w:rsidR="00F64C74" w:rsidRPr="004422A1" w:rsidRDefault="00F64C74" w:rsidP="00FA293E">
            <w:pPr>
              <w:keepNext/>
              <w:keepLines/>
              <w:jc w:val="center"/>
              <w:rPr>
                <w:sz w:val="20"/>
              </w:rPr>
            </w:pPr>
            <w:r>
              <w:rPr>
                <w:sz w:val="20"/>
              </w:rPr>
              <w:t>(</w:t>
            </w:r>
            <w:r w:rsidRPr="004422A1">
              <w:rPr>
                <w:sz w:val="20"/>
              </w:rPr>
              <w:t>15.2, 72.3</w:t>
            </w:r>
            <w:r>
              <w:rPr>
                <w:sz w:val="20"/>
              </w:rPr>
              <w:t>)</w:t>
            </w:r>
          </w:p>
          <w:p w14:paraId="2D4D5512" w14:textId="77777777" w:rsidR="00F64C74" w:rsidRDefault="00F64C74" w:rsidP="00FA293E">
            <w:pPr>
              <w:keepNext/>
              <w:keepLines/>
              <w:jc w:val="center"/>
              <w:rPr>
                <w:sz w:val="20"/>
              </w:rPr>
            </w:pPr>
            <w:r w:rsidRPr="004422A1">
              <w:rPr>
                <w:sz w:val="20"/>
              </w:rPr>
              <w:t xml:space="preserve">1 </w:t>
            </w:r>
          </w:p>
          <w:p w14:paraId="0AC5613E" w14:textId="77777777" w:rsidR="00F64C74" w:rsidRPr="004422A1" w:rsidRDefault="00F64C74" w:rsidP="00FA293E">
            <w:pPr>
              <w:keepNext/>
              <w:keepLines/>
              <w:jc w:val="center"/>
              <w:rPr>
                <w:sz w:val="20"/>
              </w:rPr>
            </w:pPr>
            <w:r w:rsidRPr="004422A1">
              <w:rPr>
                <w:sz w:val="20"/>
              </w:rPr>
              <w:t xml:space="preserve">4 </w:t>
            </w:r>
          </w:p>
        </w:tc>
        <w:tc>
          <w:tcPr>
            <w:tcW w:w="2254" w:type="dxa"/>
            <w:tcBorders>
              <w:left w:val="single" w:sz="4" w:space="0" w:color="auto"/>
              <w:right w:val="single" w:sz="4" w:space="0" w:color="auto"/>
            </w:tcBorders>
          </w:tcPr>
          <w:p w14:paraId="513048DC" w14:textId="77777777" w:rsidR="00F64C74" w:rsidRPr="004422A1" w:rsidRDefault="00F64C74" w:rsidP="00FA293E">
            <w:pPr>
              <w:keepNext/>
              <w:keepLines/>
              <w:jc w:val="center"/>
              <w:rPr>
                <w:sz w:val="20"/>
              </w:rPr>
            </w:pPr>
            <w:r w:rsidRPr="004422A1">
              <w:rPr>
                <w:sz w:val="20"/>
              </w:rPr>
              <w:t>48.2</w:t>
            </w:r>
            <w:r>
              <w:rPr>
                <w:sz w:val="20"/>
              </w:rPr>
              <w:t>%</w:t>
            </w:r>
          </w:p>
          <w:p w14:paraId="446808BF" w14:textId="77777777" w:rsidR="00F64C74" w:rsidRPr="004422A1" w:rsidRDefault="00F64C74" w:rsidP="00FA293E">
            <w:pPr>
              <w:keepNext/>
              <w:keepLines/>
              <w:jc w:val="center"/>
              <w:rPr>
                <w:sz w:val="20"/>
              </w:rPr>
            </w:pPr>
            <w:r>
              <w:rPr>
                <w:sz w:val="20"/>
              </w:rPr>
              <w:t>(</w:t>
            </w:r>
            <w:r w:rsidRPr="004422A1">
              <w:rPr>
                <w:sz w:val="20"/>
              </w:rPr>
              <w:t>37.1, 59.4</w:t>
            </w:r>
            <w:r>
              <w:rPr>
                <w:sz w:val="20"/>
              </w:rPr>
              <w:t>)</w:t>
            </w:r>
          </w:p>
          <w:p w14:paraId="662465A5" w14:textId="77777777" w:rsidR="00F64C74" w:rsidRPr="004422A1" w:rsidRDefault="00F64C74" w:rsidP="00FA293E">
            <w:pPr>
              <w:keepNext/>
              <w:keepLines/>
              <w:jc w:val="center"/>
              <w:rPr>
                <w:sz w:val="20"/>
              </w:rPr>
            </w:pPr>
            <w:r w:rsidRPr="004422A1">
              <w:rPr>
                <w:sz w:val="20"/>
              </w:rPr>
              <w:t xml:space="preserve">24 </w:t>
            </w:r>
          </w:p>
          <w:p w14:paraId="1D5C581D" w14:textId="77777777" w:rsidR="00F64C74" w:rsidRPr="004422A1" w:rsidRDefault="00F64C74" w:rsidP="00FA293E">
            <w:pPr>
              <w:keepNext/>
              <w:keepLines/>
              <w:jc w:val="center"/>
              <w:rPr>
                <w:sz w:val="20"/>
              </w:rPr>
            </w:pPr>
            <w:r w:rsidRPr="004422A1">
              <w:rPr>
                <w:sz w:val="20"/>
              </w:rPr>
              <w:t xml:space="preserve">16 </w:t>
            </w:r>
          </w:p>
        </w:tc>
        <w:tc>
          <w:tcPr>
            <w:tcW w:w="2254" w:type="dxa"/>
            <w:gridSpan w:val="2"/>
            <w:tcBorders>
              <w:left w:val="single" w:sz="4" w:space="0" w:color="auto"/>
            </w:tcBorders>
          </w:tcPr>
          <w:p w14:paraId="7AAD1CF5" w14:textId="77777777" w:rsidR="00F64C74" w:rsidRPr="004422A1" w:rsidRDefault="00F64C74" w:rsidP="00FA293E">
            <w:pPr>
              <w:keepNext/>
              <w:keepLines/>
              <w:jc w:val="center"/>
              <w:rPr>
                <w:sz w:val="20"/>
              </w:rPr>
            </w:pPr>
            <w:r w:rsidRPr="004422A1">
              <w:rPr>
                <w:sz w:val="20"/>
              </w:rPr>
              <w:t>53.0</w:t>
            </w:r>
            <w:r>
              <w:rPr>
                <w:sz w:val="20"/>
              </w:rPr>
              <w:t>%</w:t>
            </w:r>
          </w:p>
          <w:p w14:paraId="5E3CEDB2" w14:textId="77777777" w:rsidR="00F64C74" w:rsidRPr="004422A1" w:rsidRDefault="00F64C74" w:rsidP="00FA293E">
            <w:pPr>
              <w:keepNext/>
              <w:keepLines/>
              <w:jc w:val="center"/>
              <w:rPr>
                <w:sz w:val="20"/>
              </w:rPr>
            </w:pPr>
            <w:r>
              <w:rPr>
                <w:sz w:val="20"/>
              </w:rPr>
              <w:t>(</w:t>
            </w:r>
            <w:r w:rsidRPr="004422A1">
              <w:rPr>
                <w:sz w:val="20"/>
              </w:rPr>
              <w:t>44.2, 61.8</w:t>
            </w:r>
            <w:r>
              <w:rPr>
                <w:sz w:val="20"/>
              </w:rPr>
              <w:t>)</w:t>
            </w:r>
          </w:p>
          <w:p w14:paraId="6277A7E5" w14:textId="77777777" w:rsidR="00F64C74" w:rsidRPr="004422A1" w:rsidRDefault="00F64C74" w:rsidP="00FA293E">
            <w:pPr>
              <w:keepNext/>
              <w:keepLines/>
              <w:jc w:val="center"/>
              <w:rPr>
                <w:sz w:val="20"/>
              </w:rPr>
            </w:pPr>
            <w:r w:rsidRPr="004422A1">
              <w:rPr>
                <w:sz w:val="20"/>
              </w:rPr>
              <w:t xml:space="preserve">35 </w:t>
            </w:r>
          </w:p>
          <w:p w14:paraId="2370DB0D" w14:textId="77777777" w:rsidR="00F64C74" w:rsidRPr="004422A1" w:rsidRDefault="00F64C74" w:rsidP="00FA293E">
            <w:pPr>
              <w:keepNext/>
              <w:keepLines/>
              <w:jc w:val="center"/>
              <w:rPr>
                <w:sz w:val="20"/>
              </w:rPr>
            </w:pPr>
            <w:r w:rsidRPr="004422A1">
              <w:rPr>
                <w:sz w:val="20"/>
              </w:rPr>
              <w:t xml:space="preserve">35 </w:t>
            </w:r>
          </w:p>
        </w:tc>
      </w:tr>
      <w:tr w:rsidR="00F64C74" w14:paraId="6ABE1C63" w14:textId="77777777" w:rsidTr="00F64C74">
        <w:tc>
          <w:tcPr>
            <w:tcW w:w="2340" w:type="dxa"/>
            <w:tcBorders>
              <w:bottom w:val="single" w:sz="4" w:space="0" w:color="auto"/>
              <w:right w:val="single" w:sz="4" w:space="0" w:color="auto"/>
            </w:tcBorders>
            <w:shd w:val="clear" w:color="auto" w:fill="auto"/>
          </w:tcPr>
          <w:p w14:paraId="2BD637D5" w14:textId="77777777" w:rsidR="00F64C74" w:rsidRPr="00366B87" w:rsidRDefault="00F64C74" w:rsidP="00FA293E">
            <w:pPr>
              <w:keepNext/>
              <w:keepLines/>
              <w:rPr>
                <w:sz w:val="20"/>
              </w:rPr>
            </w:pPr>
            <w:r w:rsidRPr="00366B87">
              <w:rPr>
                <w:sz w:val="20"/>
              </w:rPr>
              <w:t xml:space="preserve">Duration of response </w:t>
            </w:r>
          </w:p>
          <w:p w14:paraId="5428A757" w14:textId="77777777" w:rsidR="00F64C74" w:rsidRDefault="00F64C74" w:rsidP="00FA293E">
            <w:pPr>
              <w:keepNext/>
              <w:keepLines/>
              <w:ind w:left="162"/>
              <w:rPr>
                <w:sz w:val="20"/>
              </w:rPr>
            </w:pPr>
            <w:r w:rsidRPr="00366B87">
              <w:rPr>
                <w:sz w:val="20"/>
              </w:rPr>
              <w:t xml:space="preserve">Median, Months </w:t>
            </w:r>
          </w:p>
          <w:p w14:paraId="36A8A0F4" w14:textId="77777777" w:rsidR="00F64C74" w:rsidRPr="00366B87" w:rsidRDefault="00F64C74" w:rsidP="00FA293E">
            <w:pPr>
              <w:keepNext/>
              <w:keepLines/>
              <w:ind w:left="162"/>
              <w:rPr>
                <w:sz w:val="20"/>
              </w:rPr>
            </w:pPr>
            <w:r w:rsidRPr="00366B87">
              <w:rPr>
                <w:sz w:val="20"/>
              </w:rPr>
              <w:t>(95% CI)</w:t>
            </w:r>
            <w:r w:rsidRPr="00366B87">
              <w:rPr>
                <w:sz w:val="20"/>
                <w:vertAlign w:val="superscript"/>
              </w:rPr>
              <w:t>d</w:t>
            </w:r>
          </w:p>
        </w:tc>
        <w:tc>
          <w:tcPr>
            <w:tcW w:w="2253" w:type="dxa"/>
            <w:tcBorders>
              <w:left w:val="single" w:sz="4" w:space="0" w:color="auto"/>
              <w:bottom w:val="single" w:sz="4" w:space="0" w:color="auto"/>
              <w:right w:val="single" w:sz="4" w:space="0" w:color="auto"/>
            </w:tcBorders>
          </w:tcPr>
          <w:p w14:paraId="2DB043E9" w14:textId="77777777" w:rsidR="00F64C74" w:rsidRDefault="00F64C74" w:rsidP="00FA293E">
            <w:pPr>
              <w:pStyle w:val="TableTextCentered"/>
              <w:keepNext/>
              <w:keepLines/>
              <w:overflowPunct w:val="0"/>
              <w:autoSpaceDE w:val="0"/>
              <w:autoSpaceDN w:val="0"/>
              <w:adjustRightInd w:val="0"/>
              <w:textAlignment w:val="baseline"/>
            </w:pPr>
          </w:p>
          <w:p w14:paraId="5E2A1A6F" w14:textId="77777777" w:rsidR="00F64C74" w:rsidRPr="004422A1" w:rsidRDefault="00F64C74" w:rsidP="00FA293E">
            <w:pPr>
              <w:pStyle w:val="TableTextCentered"/>
              <w:keepNext/>
              <w:keepLines/>
              <w:overflowPunct w:val="0"/>
              <w:autoSpaceDE w:val="0"/>
              <w:autoSpaceDN w:val="0"/>
              <w:adjustRightInd w:val="0"/>
              <w:textAlignment w:val="baseline"/>
            </w:pPr>
            <w:r w:rsidRPr="004422A1">
              <w:t>NR</w:t>
            </w:r>
          </w:p>
          <w:p w14:paraId="1044F788" w14:textId="77777777" w:rsidR="00F64C74" w:rsidRPr="004422A1" w:rsidRDefault="00F64C74" w:rsidP="00FA293E">
            <w:pPr>
              <w:pStyle w:val="TableTextCentered"/>
              <w:keepNext/>
              <w:keepLines/>
              <w:overflowPunct w:val="0"/>
              <w:autoSpaceDE w:val="0"/>
              <w:autoSpaceDN w:val="0"/>
              <w:adjustRightInd w:val="0"/>
              <w:textAlignment w:val="baseline"/>
            </w:pPr>
            <w:r>
              <w:t>(4.1</w:t>
            </w:r>
            <w:r w:rsidRPr="004422A1">
              <w:t>, NR</w:t>
            </w:r>
            <w:r>
              <w:t>)</w:t>
            </w:r>
          </w:p>
        </w:tc>
        <w:tc>
          <w:tcPr>
            <w:tcW w:w="2254" w:type="dxa"/>
            <w:tcBorders>
              <w:left w:val="single" w:sz="4" w:space="0" w:color="auto"/>
              <w:bottom w:val="single" w:sz="4" w:space="0" w:color="auto"/>
              <w:right w:val="single" w:sz="4" w:space="0" w:color="auto"/>
            </w:tcBorders>
          </w:tcPr>
          <w:p w14:paraId="40D8E2C4" w14:textId="77777777" w:rsidR="00F64C74" w:rsidRDefault="00F64C74" w:rsidP="00FA293E">
            <w:pPr>
              <w:pStyle w:val="TableTextCentered"/>
              <w:keepNext/>
              <w:keepLines/>
              <w:overflowPunct w:val="0"/>
              <w:autoSpaceDE w:val="0"/>
              <w:autoSpaceDN w:val="0"/>
              <w:adjustRightInd w:val="0"/>
              <w:textAlignment w:val="baseline"/>
            </w:pPr>
          </w:p>
          <w:p w14:paraId="5B80422F" w14:textId="77777777" w:rsidR="00F64C74" w:rsidRPr="004422A1" w:rsidRDefault="00F64C74" w:rsidP="00FA293E">
            <w:pPr>
              <w:pStyle w:val="TableTextCentered"/>
              <w:keepNext/>
              <w:keepLines/>
              <w:overflowPunct w:val="0"/>
              <w:autoSpaceDE w:val="0"/>
              <w:autoSpaceDN w:val="0"/>
              <w:adjustRightInd w:val="0"/>
              <w:textAlignment w:val="baseline"/>
            </w:pPr>
            <w:r w:rsidRPr="004422A1">
              <w:t>14.5</w:t>
            </w:r>
          </w:p>
          <w:p w14:paraId="6277DBC4" w14:textId="77777777" w:rsidR="00F64C74" w:rsidRPr="004422A1" w:rsidRDefault="00F64C74" w:rsidP="00FA293E">
            <w:pPr>
              <w:pStyle w:val="TableTextCentered"/>
              <w:keepNext/>
              <w:keepLines/>
              <w:overflowPunct w:val="0"/>
              <w:autoSpaceDE w:val="0"/>
              <w:autoSpaceDN w:val="0"/>
              <w:adjustRightInd w:val="0"/>
              <w:textAlignment w:val="baseline"/>
            </w:pPr>
            <w:r>
              <w:t>(</w:t>
            </w:r>
            <w:r w:rsidRPr="004422A1">
              <w:t>8.3, 14.5</w:t>
            </w:r>
            <w:r>
              <w:t>)</w:t>
            </w:r>
          </w:p>
        </w:tc>
        <w:tc>
          <w:tcPr>
            <w:tcW w:w="2254" w:type="dxa"/>
            <w:gridSpan w:val="2"/>
            <w:tcBorders>
              <w:left w:val="single" w:sz="4" w:space="0" w:color="auto"/>
              <w:bottom w:val="single" w:sz="4" w:space="0" w:color="auto"/>
            </w:tcBorders>
          </w:tcPr>
          <w:p w14:paraId="2B36CE1D" w14:textId="77777777" w:rsidR="00F64C74" w:rsidRDefault="00F64C74" w:rsidP="00FA293E">
            <w:pPr>
              <w:pStyle w:val="TableTextCentered"/>
              <w:keepNext/>
              <w:keepLines/>
              <w:overflowPunct w:val="0"/>
              <w:autoSpaceDE w:val="0"/>
              <w:autoSpaceDN w:val="0"/>
              <w:adjustRightInd w:val="0"/>
              <w:textAlignment w:val="baseline"/>
            </w:pPr>
          </w:p>
          <w:p w14:paraId="708DF531" w14:textId="77777777" w:rsidR="00F64C74" w:rsidRPr="004422A1" w:rsidRDefault="00F64C74" w:rsidP="00FA293E">
            <w:pPr>
              <w:pStyle w:val="TableTextCentered"/>
              <w:keepNext/>
              <w:keepLines/>
              <w:overflowPunct w:val="0"/>
              <w:autoSpaceDE w:val="0"/>
              <w:autoSpaceDN w:val="0"/>
              <w:adjustRightInd w:val="0"/>
              <w:textAlignment w:val="baseline"/>
            </w:pPr>
            <w:r w:rsidRPr="004422A1">
              <w:t xml:space="preserve">14.5 </w:t>
            </w:r>
          </w:p>
          <w:p w14:paraId="11043DA8" w14:textId="77777777" w:rsidR="00F64C74" w:rsidRPr="004422A1" w:rsidRDefault="00F64C74" w:rsidP="00FA293E">
            <w:pPr>
              <w:pStyle w:val="TableTextCentered"/>
              <w:keepNext/>
              <w:keepLines/>
              <w:overflowPunct w:val="0"/>
              <w:autoSpaceDE w:val="0"/>
              <w:autoSpaceDN w:val="0"/>
              <w:adjustRightInd w:val="0"/>
              <w:textAlignment w:val="baseline"/>
            </w:pPr>
            <w:r>
              <w:t>(</w:t>
            </w:r>
            <w:r w:rsidRPr="004422A1">
              <w:t>NR, NR</w:t>
            </w:r>
            <w:r>
              <w:t>)</w:t>
            </w:r>
          </w:p>
        </w:tc>
      </w:tr>
      <w:tr w:rsidR="00804F8A" w14:paraId="36E44BC5" w14:textId="77777777" w:rsidTr="00F64C74">
        <w:trPr>
          <w:gridAfter w:val="1"/>
          <w:wAfter w:w="11" w:type="dxa"/>
        </w:trPr>
        <w:tc>
          <w:tcPr>
            <w:tcW w:w="9090" w:type="dxa"/>
            <w:gridSpan w:val="4"/>
            <w:tcBorders>
              <w:left w:val="nil"/>
              <w:bottom w:val="nil"/>
              <w:right w:val="nil"/>
            </w:tcBorders>
            <w:shd w:val="clear" w:color="auto" w:fill="auto"/>
          </w:tcPr>
          <w:p w14:paraId="1A53F150" w14:textId="77777777" w:rsidR="0028739F" w:rsidRDefault="0028739F" w:rsidP="0028739F">
            <w:pPr>
              <w:pStyle w:val="TableTextCentered"/>
              <w:keepNext/>
              <w:keepLines/>
              <w:tabs>
                <w:tab w:val="left" w:pos="187"/>
              </w:tabs>
              <w:overflowPunct w:val="0"/>
              <w:autoSpaceDE w:val="0"/>
              <w:autoSpaceDN w:val="0"/>
              <w:adjustRightInd w:val="0"/>
              <w:jc w:val="left"/>
              <w:textAlignment w:val="baseline"/>
            </w:pPr>
            <w:r w:rsidRPr="003716CD">
              <w:t>*</w:t>
            </w:r>
            <w:r>
              <w:tab/>
            </w:r>
            <w:r w:rsidRPr="003716CD">
              <w:t>In patients with at least 1 measurable baseline brain metastasis.</w:t>
            </w:r>
          </w:p>
          <w:p w14:paraId="215D3A65" w14:textId="1BC210A0" w:rsidR="00804F8A" w:rsidRPr="00D275EA" w:rsidRDefault="00804F8A" w:rsidP="00FA293E">
            <w:pPr>
              <w:pStyle w:val="NoSpacing"/>
              <w:tabs>
                <w:tab w:val="left" w:pos="540"/>
              </w:tabs>
              <w:rPr>
                <w:rFonts w:ascii="Times New Roman" w:hAnsi="Times New Roman"/>
                <w:sz w:val="20"/>
                <w:szCs w:val="20"/>
              </w:rPr>
            </w:pPr>
            <w:r>
              <w:rPr>
                <w:rFonts w:ascii="Times New Roman" w:hAnsi="Times New Roman"/>
                <w:sz w:val="20"/>
                <w:szCs w:val="20"/>
              </w:rPr>
              <w:t>Abbreviations: ALK=</w:t>
            </w:r>
            <w:r w:rsidRPr="006F14B5">
              <w:rPr>
                <w:rFonts w:ascii="Times New Roman" w:hAnsi="Times New Roman"/>
                <w:sz w:val="20"/>
                <w:szCs w:val="20"/>
              </w:rPr>
              <w:t>anaplastic lymphoma kinase</w:t>
            </w:r>
            <w:r>
              <w:rPr>
                <w:rFonts w:ascii="Times New Roman" w:hAnsi="Times New Roman"/>
                <w:sz w:val="20"/>
                <w:szCs w:val="20"/>
              </w:rPr>
              <w:t>; CI=confidence interval; ICR=Independent Central Review; N/n=number of patients; NSCLC=non</w:t>
            </w:r>
            <w:r>
              <w:rPr>
                <w:rFonts w:ascii="Times New Roman" w:hAnsi="Times New Roman"/>
                <w:sz w:val="20"/>
                <w:szCs w:val="20"/>
              </w:rPr>
              <w:noBreakHyphen/>
              <w:t xml:space="preserve">small cell lung cancer; </w:t>
            </w:r>
            <w:r w:rsidRPr="00D275EA">
              <w:rPr>
                <w:rFonts w:ascii="Times New Roman" w:hAnsi="Times New Roman"/>
                <w:sz w:val="20"/>
                <w:szCs w:val="20"/>
              </w:rPr>
              <w:t>NR</w:t>
            </w:r>
            <w:r>
              <w:rPr>
                <w:rFonts w:ascii="Times New Roman" w:hAnsi="Times New Roman"/>
                <w:sz w:val="20"/>
                <w:szCs w:val="20"/>
              </w:rPr>
              <w:t>=n</w:t>
            </w:r>
            <w:r w:rsidRPr="00D275EA">
              <w:rPr>
                <w:rFonts w:ascii="Times New Roman" w:hAnsi="Times New Roman"/>
                <w:sz w:val="20"/>
                <w:szCs w:val="20"/>
              </w:rPr>
              <w:t>ot reached</w:t>
            </w:r>
            <w:r>
              <w:rPr>
                <w:rFonts w:ascii="Times New Roman" w:hAnsi="Times New Roman"/>
                <w:sz w:val="20"/>
                <w:szCs w:val="20"/>
              </w:rPr>
              <w:t>; ORR=objective response rate; PFS=progression</w:t>
            </w:r>
            <w:r>
              <w:rPr>
                <w:rFonts w:ascii="Times New Roman" w:hAnsi="Times New Roman"/>
                <w:sz w:val="20"/>
                <w:szCs w:val="20"/>
              </w:rPr>
              <w:noBreakHyphen/>
              <w:t>free survival; TKI=tyrosine kinase inhibitor.</w:t>
            </w:r>
          </w:p>
          <w:p w14:paraId="1095EE3D" w14:textId="77777777" w:rsidR="00804F8A" w:rsidRDefault="00804F8A" w:rsidP="00FA293E">
            <w:pPr>
              <w:pStyle w:val="TableTextCentered"/>
              <w:keepNext/>
              <w:keepLines/>
              <w:tabs>
                <w:tab w:val="left" w:pos="187"/>
              </w:tabs>
              <w:overflowPunct w:val="0"/>
              <w:autoSpaceDE w:val="0"/>
              <w:autoSpaceDN w:val="0"/>
              <w:adjustRightInd w:val="0"/>
              <w:jc w:val="left"/>
              <w:textAlignment w:val="baseline"/>
            </w:pPr>
            <w:r>
              <w:rPr>
                <w:vertAlign w:val="superscript"/>
              </w:rPr>
              <w:t>a</w:t>
            </w:r>
            <w:r w:rsidRPr="00BA0560">
              <w:rPr>
                <w:iCs/>
                <w:color w:val="000000"/>
              </w:rPr>
              <w:tab/>
            </w:r>
            <w:r>
              <w:t>Alectinib, brigatinib, or ceritinib.</w:t>
            </w:r>
          </w:p>
          <w:p w14:paraId="62E160D1" w14:textId="77777777" w:rsidR="00804F8A" w:rsidRDefault="00804F8A" w:rsidP="00FA293E">
            <w:pPr>
              <w:pStyle w:val="TableTextCentered"/>
              <w:keepNext/>
              <w:keepLines/>
              <w:tabs>
                <w:tab w:val="left" w:pos="187"/>
              </w:tabs>
              <w:overflowPunct w:val="0"/>
              <w:autoSpaceDE w:val="0"/>
              <w:autoSpaceDN w:val="0"/>
              <w:adjustRightInd w:val="0"/>
              <w:jc w:val="left"/>
              <w:textAlignment w:val="baseline"/>
            </w:pPr>
            <w:r>
              <w:rPr>
                <w:vertAlign w:val="superscript"/>
              </w:rPr>
              <w:t>b</w:t>
            </w:r>
            <w:r w:rsidRPr="00BA0560">
              <w:rPr>
                <w:iCs/>
                <w:color w:val="000000"/>
              </w:rPr>
              <w:tab/>
            </w:r>
            <w:r>
              <w:t>Per ICR.</w:t>
            </w:r>
          </w:p>
          <w:p w14:paraId="7B4C16C7" w14:textId="77777777" w:rsidR="00804F8A" w:rsidRDefault="00804F8A" w:rsidP="00FA293E">
            <w:pPr>
              <w:pStyle w:val="TableTextCentered"/>
              <w:keepNext/>
              <w:keepLines/>
              <w:tabs>
                <w:tab w:val="left" w:pos="187"/>
              </w:tabs>
              <w:overflowPunct w:val="0"/>
              <w:autoSpaceDE w:val="0"/>
              <w:autoSpaceDN w:val="0"/>
              <w:adjustRightInd w:val="0"/>
              <w:jc w:val="left"/>
              <w:textAlignment w:val="baseline"/>
            </w:pPr>
            <w:r>
              <w:rPr>
                <w:vertAlign w:val="superscript"/>
              </w:rPr>
              <w:t>c</w:t>
            </w:r>
            <w:r w:rsidRPr="00BA0560">
              <w:rPr>
                <w:iCs/>
                <w:color w:val="000000"/>
              </w:rPr>
              <w:tab/>
            </w:r>
            <w:r w:rsidRPr="00D275EA">
              <w:t>Using exact method based on binomial distribution</w:t>
            </w:r>
            <w:r>
              <w:t>.</w:t>
            </w:r>
          </w:p>
          <w:p w14:paraId="3112BCDE" w14:textId="77777777" w:rsidR="00804F8A" w:rsidRPr="004422A1" w:rsidRDefault="00804F8A" w:rsidP="00FA293E">
            <w:pPr>
              <w:pStyle w:val="TableTextCentered"/>
              <w:keepNext/>
              <w:keepLines/>
              <w:tabs>
                <w:tab w:val="left" w:pos="187"/>
              </w:tabs>
              <w:overflowPunct w:val="0"/>
              <w:autoSpaceDE w:val="0"/>
              <w:autoSpaceDN w:val="0"/>
              <w:adjustRightInd w:val="0"/>
              <w:jc w:val="left"/>
              <w:textAlignment w:val="baseline"/>
            </w:pPr>
            <w:r w:rsidRPr="003C7E22">
              <w:rPr>
                <w:vertAlign w:val="superscript"/>
              </w:rPr>
              <w:t>d</w:t>
            </w:r>
            <w:r w:rsidRPr="00BA0560">
              <w:rPr>
                <w:iCs/>
                <w:color w:val="000000"/>
              </w:rPr>
              <w:tab/>
            </w:r>
            <w:r w:rsidRPr="003C7E22">
              <w:t>Using the Brookmeyer Crowley method.</w:t>
            </w:r>
          </w:p>
        </w:tc>
      </w:tr>
    </w:tbl>
    <w:p w14:paraId="6F3B841A" w14:textId="77777777" w:rsidR="00804F8A" w:rsidRDefault="00804F8A" w:rsidP="00804F8A"/>
    <w:p w14:paraId="5947DAD8" w14:textId="60015268" w:rsidR="00804F8A" w:rsidRDefault="00804F8A" w:rsidP="00804F8A">
      <w:pPr>
        <w:rPr>
          <w:sz w:val="18"/>
          <w:szCs w:val="18"/>
        </w:rPr>
      </w:pPr>
      <w:r w:rsidRPr="003E07B4">
        <w:lastRenderedPageBreak/>
        <w:t>Among the 93</w:t>
      </w:r>
      <w:r>
        <w:t> </w:t>
      </w:r>
      <w:r w:rsidRPr="003E07B4">
        <w:t xml:space="preserve">patients </w:t>
      </w:r>
      <w:r w:rsidRPr="003E07B4">
        <w:rPr>
          <w:rFonts w:hint="eastAsia"/>
        </w:rPr>
        <w:t>with a</w:t>
      </w:r>
      <w:r w:rsidRPr="003E07B4">
        <w:t xml:space="preserve"> confirmed objective response by </w:t>
      </w:r>
      <w:r>
        <w:t>ICR</w:t>
      </w:r>
      <w:r w:rsidRPr="003E07B4">
        <w:t>, the median TTR was 1.4</w:t>
      </w:r>
      <w:r>
        <w:t> </w:t>
      </w:r>
      <w:r w:rsidRPr="003E07B4">
        <w:rPr>
          <w:rFonts w:hint="eastAsia"/>
        </w:rPr>
        <w:t>months</w:t>
      </w:r>
      <w:r w:rsidRPr="003E07B4">
        <w:t xml:space="preserve"> (range: 1.1 to 11.0</w:t>
      </w:r>
      <w:r>
        <w:t> </w:t>
      </w:r>
      <w:r w:rsidRPr="003E07B4">
        <w:rPr>
          <w:rFonts w:hint="eastAsia"/>
        </w:rPr>
        <w:t>months</w:t>
      </w:r>
      <w:r w:rsidRPr="003E07B4">
        <w:t>).</w:t>
      </w:r>
      <w:r>
        <w:t xml:space="preserve"> </w:t>
      </w:r>
      <w:r w:rsidRPr="003E07B4">
        <w:t xml:space="preserve">Among the </w:t>
      </w:r>
      <w:r>
        <w:t>70 </w:t>
      </w:r>
      <w:r w:rsidRPr="003E07B4">
        <w:t xml:space="preserve">patients </w:t>
      </w:r>
      <w:r w:rsidRPr="003E07B4">
        <w:rPr>
          <w:rFonts w:hint="eastAsia"/>
        </w:rPr>
        <w:t>with a</w:t>
      </w:r>
      <w:r w:rsidRPr="003E07B4">
        <w:t xml:space="preserve"> confirmed objective tumo</w:t>
      </w:r>
      <w:r>
        <w:t>u</w:t>
      </w:r>
      <w:r w:rsidRPr="003E07B4">
        <w:t xml:space="preserve">r response </w:t>
      </w:r>
      <w:r w:rsidRPr="003E07B4">
        <w:rPr>
          <w:rFonts w:hint="eastAsia"/>
        </w:rPr>
        <w:t xml:space="preserve">by </w:t>
      </w:r>
      <w:r>
        <w:t>ICR</w:t>
      </w:r>
      <w:r w:rsidRPr="003E07B4">
        <w:t xml:space="preserve">, the median </w:t>
      </w:r>
      <w:r>
        <w:t>intracranial</w:t>
      </w:r>
      <w:r>
        <w:noBreakHyphen/>
      </w:r>
      <w:r w:rsidRPr="003E07B4">
        <w:rPr>
          <w:rFonts w:hint="eastAsia"/>
        </w:rPr>
        <w:t>TTR</w:t>
      </w:r>
      <w:r w:rsidRPr="003E07B4">
        <w:t xml:space="preserve"> was 1.4 </w:t>
      </w:r>
      <w:r w:rsidRPr="003E07B4">
        <w:rPr>
          <w:rFonts w:hint="eastAsia"/>
        </w:rPr>
        <w:t>months</w:t>
      </w:r>
      <w:r w:rsidRPr="003E07B4">
        <w:t xml:space="preserve"> (range: 1.1 to </w:t>
      </w:r>
      <w:r>
        <w:t>6.2</w:t>
      </w:r>
      <w:r w:rsidRPr="003E07B4">
        <w:t> </w:t>
      </w:r>
      <w:r w:rsidRPr="003E07B4">
        <w:rPr>
          <w:rFonts w:hint="eastAsia"/>
        </w:rPr>
        <w:t>months</w:t>
      </w:r>
      <w:r w:rsidRPr="003E07B4">
        <w:t xml:space="preserve">). </w:t>
      </w:r>
    </w:p>
    <w:p w14:paraId="34A384FC" w14:textId="77777777" w:rsidR="00704F45" w:rsidRPr="005A65B0" w:rsidRDefault="00704F45" w:rsidP="005A65B0">
      <w:pPr>
        <w:pStyle w:val="PIHeading2"/>
        <w:spacing w:line="240" w:lineRule="auto"/>
        <w:rPr>
          <w:sz w:val="28"/>
          <w:szCs w:val="28"/>
        </w:rPr>
      </w:pPr>
      <w:r w:rsidRPr="005A65B0">
        <w:rPr>
          <w:sz w:val="28"/>
          <w:szCs w:val="28"/>
        </w:rPr>
        <w:t>5.2</w:t>
      </w:r>
      <w:r w:rsidRPr="005A65B0">
        <w:rPr>
          <w:sz w:val="28"/>
          <w:szCs w:val="28"/>
        </w:rPr>
        <w:tab/>
      </w:r>
      <w:r w:rsidR="005A65B0">
        <w:rPr>
          <w:sz w:val="28"/>
          <w:szCs w:val="28"/>
        </w:rPr>
        <w:t>P</w:t>
      </w:r>
      <w:r w:rsidR="005A65B0" w:rsidRPr="005A65B0">
        <w:rPr>
          <w:sz w:val="28"/>
          <w:szCs w:val="28"/>
        </w:rPr>
        <w:t>harmacokinetic properties</w:t>
      </w:r>
    </w:p>
    <w:p w14:paraId="00317C56" w14:textId="4F111CEE" w:rsidR="00804F8A" w:rsidRPr="005A65B0" w:rsidRDefault="00BC149B" w:rsidP="005A65B0">
      <w:pPr>
        <w:pStyle w:val="StyleHeading2Titre212H2GulliverGemenFetArial12pt"/>
        <w:rPr>
          <w:i w:val="0"/>
        </w:rPr>
      </w:pPr>
      <w:r>
        <w:rPr>
          <w:i w:val="0"/>
        </w:rPr>
        <w:t>Absorption</w:t>
      </w:r>
    </w:p>
    <w:p w14:paraId="057B98FB" w14:textId="4716180A" w:rsidR="00804F8A" w:rsidRDefault="00804F8A" w:rsidP="00BC149B">
      <w:pPr>
        <w:pStyle w:val="ListParagraph"/>
        <w:keepNext/>
        <w:spacing w:after="180"/>
        <w:ind w:left="6"/>
        <w:contextualSpacing w:val="0"/>
      </w:pPr>
      <w:r w:rsidRPr="00E305B9">
        <w:rPr>
          <w:lang w:val="en-GB"/>
        </w:rPr>
        <w:t>Peak lorlatinib concentrations in plasma are rapidly reached with the median T</w:t>
      </w:r>
      <w:r w:rsidRPr="00E305B9">
        <w:rPr>
          <w:vertAlign w:val="subscript"/>
          <w:lang w:val="en-GB"/>
        </w:rPr>
        <w:t>max</w:t>
      </w:r>
      <w:r w:rsidRPr="00E305B9">
        <w:rPr>
          <w:lang w:val="en-GB"/>
        </w:rPr>
        <w:t xml:space="preserve"> of 1.2 hours following a single 100</w:t>
      </w:r>
      <w:r>
        <w:rPr>
          <w:lang w:val="en-GB"/>
        </w:rPr>
        <w:t> </w:t>
      </w:r>
      <w:r w:rsidRPr="00E305B9">
        <w:rPr>
          <w:lang w:val="en-GB"/>
        </w:rPr>
        <w:t>mg dose and 2.0 hours following 100</w:t>
      </w:r>
      <w:r>
        <w:rPr>
          <w:lang w:val="en-GB"/>
        </w:rPr>
        <w:t> </w:t>
      </w:r>
      <w:r w:rsidRPr="00E305B9">
        <w:rPr>
          <w:lang w:val="en-GB"/>
        </w:rPr>
        <w:t>mg once daily multiple dosing.</w:t>
      </w:r>
    </w:p>
    <w:p w14:paraId="6A8F6FED" w14:textId="77777777" w:rsidR="00804F8A" w:rsidRDefault="00804F8A" w:rsidP="00BC149B">
      <w:pPr>
        <w:pStyle w:val="ListParagraph"/>
        <w:spacing w:after="180"/>
        <w:ind w:left="6"/>
        <w:contextualSpacing w:val="0"/>
      </w:pPr>
      <w:r w:rsidRPr="00E305B9">
        <w:t xml:space="preserve">After oral administration of </w:t>
      </w:r>
      <w:r w:rsidR="001678BA" w:rsidRPr="00605EA5">
        <w:t>LORVIQUA</w:t>
      </w:r>
      <w:r w:rsidRPr="00E305B9">
        <w:t>, the mean absolute bioavailability is 80.8% (90%</w:t>
      </w:r>
      <w:r>
        <w:t> </w:t>
      </w:r>
      <w:r w:rsidRPr="00E305B9">
        <w:t>CI: 75.7%, 86.2%) compared to intravenous administration.</w:t>
      </w:r>
    </w:p>
    <w:p w14:paraId="0E324A0C" w14:textId="77777777" w:rsidR="00804F8A" w:rsidRPr="00E305B9" w:rsidRDefault="00804F8A" w:rsidP="00BC149B">
      <w:pPr>
        <w:pStyle w:val="ListParagraph"/>
        <w:spacing w:after="180"/>
        <w:ind w:left="6"/>
        <w:contextualSpacing w:val="0"/>
      </w:pPr>
      <w:r w:rsidRPr="00E305B9">
        <w:t xml:space="preserve">Administration of </w:t>
      </w:r>
      <w:r w:rsidRPr="00E305B9">
        <w:rPr>
          <w:rFonts w:eastAsia="SimSun"/>
          <w:lang w:eastAsia="zh-CN"/>
        </w:rPr>
        <w:t>lorlatinib</w:t>
      </w:r>
      <w:r w:rsidRPr="00E305B9">
        <w:t xml:space="preserve"> with a high fat, high calorie meal resulted in 5% higher exposure compared to overnight fasting (</w:t>
      </w:r>
      <w:r w:rsidRPr="00E305B9">
        <w:rPr>
          <w:lang w:val="en-GB"/>
        </w:rPr>
        <w:t>AUC</w:t>
      </w:r>
      <w:r w:rsidRPr="00E305B9">
        <w:rPr>
          <w:vertAlign w:val="subscript"/>
          <w:lang w:val="en-GB"/>
        </w:rPr>
        <w:t>inf</w:t>
      </w:r>
      <w:r w:rsidRPr="00E305B9">
        <w:rPr>
          <w:lang w:val="en-GB"/>
        </w:rPr>
        <w:t xml:space="preserve"> ratio of 104.7%; 90% CI for the ratio</w:t>
      </w:r>
      <w:r>
        <w:rPr>
          <w:lang w:val="en-GB"/>
        </w:rPr>
        <w:t>:</w:t>
      </w:r>
      <w:r w:rsidRPr="00E305B9">
        <w:rPr>
          <w:lang w:val="en-GB"/>
        </w:rPr>
        <w:t xml:space="preserve"> 101.3%, 108.3%</w:t>
      </w:r>
      <w:r w:rsidRPr="00E305B9">
        <w:t>).</w:t>
      </w:r>
      <w:r w:rsidRPr="006A1CD9">
        <w:t xml:space="preserve"> </w:t>
      </w:r>
      <w:r w:rsidR="001678BA" w:rsidRPr="00605EA5">
        <w:t>LORVIQUA</w:t>
      </w:r>
      <w:r w:rsidRPr="00E305B9">
        <w:t xml:space="preserve"> may be administered with or without food. The proton</w:t>
      </w:r>
      <w:r w:rsidRPr="00E305B9">
        <w:noBreakHyphen/>
        <w:t>pump inhibitor rabeprazole had a minimal effect on lorlatinib plasma exposure (</w:t>
      </w:r>
      <w:r w:rsidRPr="00E305B9">
        <w:rPr>
          <w:lang w:val="en-GB"/>
        </w:rPr>
        <w:t>AUC</w:t>
      </w:r>
      <w:r w:rsidRPr="00E305B9">
        <w:rPr>
          <w:vertAlign w:val="subscript"/>
          <w:lang w:val="en-GB"/>
        </w:rPr>
        <w:t>inf</w:t>
      </w:r>
      <w:r w:rsidRPr="00E305B9">
        <w:rPr>
          <w:lang w:val="en-GB"/>
        </w:rPr>
        <w:t xml:space="preserve"> ratio of 100.9%; 90% CI for the ratio</w:t>
      </w:r>
      <w:r>
        <w:rPr>
          <w:lang w:val="en-GB"/>
        </w:rPr>
        <w:t>:</w:t>
      </w:r>
      <w:r w:rsidRPr="00E305B9">
        <w:rPr>
          <w:lang w:val="en-GB"/>
        </w:rPr>
        <w:t xml:space="preserve"> 97.6%, 104.3%</w:t>
      </w:r>
      <w:r w:rsidRPr="00E305B9">
        <w:t xml:space="preserve">). No dose </w:t>
      </w:r>
      <w:r w:rsidR="00554B30">
        <w:t xml:space="preserve">adjustment is recommended when </w:t>
      </w:r>
      <w:r w:rsidR="001678BA" w:rsidRPr="00605EA5">
        <w:t>LORVIQUA</w:t>
      </w:r>
      <w:r w:rsidRPr="00E305B9">
        <w:t xml:space="preserve"> is taken with proton</w:t>
      </w:r>
      <w:r w:rsidRPr="00E305B9">
        <w:noBreakHyphen/>
        <w:t>pump inhibitors, H</w:t>
      </w:r>
      <w:r w:rsidRPr="00E305B9">
        <w:rPr>
          <w:vertAlign w:val="subscript"/>
        </w:rPr>
        <w:t>2</w:t>
      </w:r>
      <w:r w:rsidRPr="00E305B9">
        <w:noBreakHyphen/>
        <w:t xml:space="preserve">receptor antagonists or locally acting antacids. </w:t>
      </w:r>
    </w:p>
    <w:p w14:paraId="12FE99B1" w14:textId="77777777" w:rsidR="00804F8A" w:rsidRDefault="00804F8A" w:rsidP="00804F8A">
      <w:pPr>
        <w:pStyle w:val="Paragraph"/>
        <w:spacing w:after="0"/>
      </w:pPr>
      <w:r w:rsidRPr="008E5E62">
        <w:rPr>
          <w:bCs/>
        </w:rPr>
        <w:t>The steady-state systemic exposure (C</w:t>
      </w:r>
      <w:r w:rsidRPr="00C353DD">
        <w:rPr>
          <w:bCs/>
          <w:vertAlign w:val="subscript"/>
        </w:rPr>
        <w:t>max</w:t>
      </w:r>
      <w:r w:rsidRPr="008E5E62">
        <w:rPr>
          <w:bCs/>
        </w:rPr>
        <w:t xml:space="preserve"> and AUC</w:t>
      </w:r>
      <w:r w:rsidRPr="00A93261">
        <w:rPr>
          <w:bCs/>
          <w:vertAlign w:val="subscript"/>
        </w:rPr>
        <w:t>24</w:t>
      </w:r>
      <w:r w:rsidRPr="008E5E62">
        <w:rPr>
          <w:bCs/>
        </w:rPr>
        <w:t xml:space="preserve">) increased </w:t>
      </w:r>
      <w:r>
        <w:rPr>
          <w:bCs/>
        </w:rPr>
        <w:t xml:space="preserve">less than </w:t>
      </w:r>
      <w:r w:rsidRPr="008E5E62">
        <w:rPr>
          <w:bCs/>
        </w:rPr>
        <w:t xml:space="preserve">proportionally over a </w:t>
      </w:r>
      <w:r w:rsidR="0026488E">
        <w:rPr>
          <w:bCs/>
        </w:rPr>
        <w:t xml:space="preserve">lorlatinib </w:t>
      </w:r>
      <w:r w:rsidRPr="008E5E62">
        <w:rPr>
          <w:bCs/>
        </w:rPr>
        <w:t>dosing r</w:t>
      </w:r>
      <w:r>
        <w:rPr>
          <w:bCs/>
        </w:rPr>
        <w:t>ange of 10 to 200 mg once daily</w:t>
      </w:r>
      <w:r w:rsidRPr="008E5E62">
        <w:rPr>
          <w:bCs/>
        </w:rPr>
        <w:t xml:space="preserve">. </w:t>
      </w:r>
      <w:r w:rsidRPr="00E305B9">
        <w:t>At the 100</w:t>
      </w:r>
      <w:r>
        <w:t> </w:t>
      </w:r>
      <w:r w:rsidRPr="00E305B9">
        <w:t xml:space="preserve">mg once daily lorlatinib dose, the geometric mean peak plasma concentration </w:t>
      </w:r>
      <w:r w:rsidRPr="00BB55BB">
        <w:t>was 577 ng/mL and the AUC</w:t>
      </w:r>
      <w:r w:rsidRPr="00CB2A7B">
        <w:rPr>
          <w:vertAlign w:val="subscript"/>
        </w:rPr>
        <w:t>24</w:t>
      </w:r>
      <w:r w:rsidRPr="00BB55BB">
        <w:t xml:space="preserve"> </w:t>
      </w:r>
      <w:r>
        <w:t>5</w:t>
      </w:r>
      <w:r w:rsidRPr="00BB55BB">
        <w:t>650</w:t>
      </w:r>
      <w:r w:rsidRPr="00E305B9">
        <w:t> ng·h/mL in patients with cancer. The geometric mean oral clearance was 17.7 L/h.</w:t>
      </w:r>
      <w:r w:rsidR="00B752F4">
        <w:t xml:space="preserve"> </w:t>
      </w:r>
      <w:r w:rsidR="00B752F4" w:rsidRPr="002A768D">
        <w:rPr>
          <w:bCs/>
        </w:rPr>
        <w:t>Lorlatinib oral clearance increased at steady-state compared to single dose, indicating autoinduction.</w:t>
      </w:r>
    </w:p>
    <w:p w14:paraId="4C5ADE36" w14:textId="77777777" w:rsidR="00804F8A" w:rsidRPr="005A65B0" w:rsidRDefault="00804F8A" w:rsidP="005A65B0">
      <w:pPr>
        <w:pStyle w:val="StyleHeading2Titre212H2GulliverGemenFetArial12pt"/>
        <w:rPr>
          <w:i w:val="0"/>
        </w:rPr>
      </w:pPr>
      <w:r w:rsidRPr="005A65B0">
        <w:rPr>
          <w:i w:val="0"/>
        </w:rPr>
        <w:t>Distribution</w:t>
      </w:r>
    </w:p>
    <w:p w14:paraId="550B9F53" w14:textId="5571DCF4" w:rsidR="00804F8A" w:rsidRPr="00BC149B" w:rsidRDefault="00804F8A" w:rsidP="00804F8A">
      <w:pPr>
        <w:pStyle w:val="Paragraph"/>
        <w:keepNext/>
        <w:spacing w:after="0"/>
        <w:rPr>
          <w:rStyle w:val="BlueText"/>
          <w:color w:val="auto"/>
        </w:rPr>
      </w:pPr>
      <w:r w:rsidRPr="00D8228F">
        <w:rPr>
          <w:i/>
        </w:rPr>
        <w:t>In vitro</w:t>
      </w:r>
      <w:r w:rsidRPr="009A2541">
        <w:t xml:space="preserve"> binding of </w:t>
      </w:r>
      <w:r>
        <w:t xml:space="preserve">lorlatinib </w:t>
      </w:r>
      <w:r w:rsidRPr="009A2541">
        <w:t xml:space="preserve">to human plasma proteins is </w:t>
      </w:r>
      <w:r>
        <w:t>66%</w:t>
      </w:r>
      <w:r w:rsidRPr="009A2541">
        <w:t xml:space="preserve"> with </w:t>
      </w:r>
      <w:r>
        <w:t xml:space="preserve">moderate </w:t>
      </w:r>
      <w:r w:rsidRPr="009A2541">
        <w:t xml:space="preserve">binding to albumin </w:t>
      </w:r>
      <w:r w:rsidR="006D4D0F">
        <w:t xml:space="preserve">and low binding </w:t>
      </w:r>
      <w:r w:rsidRPr="009A2541">
        <w:t>to α</w:t>
      </w:r>
      <w:r w:rsidRPr="00A74BD9">
        <w:rPr>
          <w:vertAlign w:val="subscript"/>
        </w:rPr>
        <w:t>1</w:t>
      </w:r>
      <w:r w:rsidRPr="009A2541">
        <w:t>-acid glycoprotein</w:t>
      </w:r>
      <w:r w:rsidRPr="00BB55BB">
        <w:t>.</w:t>
      </w:r>
    </w:p>
    <w:p w14:paraId="39EC0799" w14:textId="77777777" w:rsidR="00804F8A" w:rsidRPr="005A65B0" w:rsidRDefault="00804F8A" w:rsidP="005A65B0">
      <w:pPr>
        <w:pStyle w:val="StyleHeading2Titre212H2GulliverGemenFetArial12pt"/>
        <w:rPr>
          <w:i w:val="0"/>
        </w:rPr>
      </w:pPr>
      <w:r w:rsidRPr="005A65B0">
        <w:rPr>
          <w:i w:val="0"/>
        </w:rPr>
        <w:t>Metabolism</w:t>
      </w:r>
    </w:p>
    <w:p w14:paraId="2EEC4742" w14:textId="77777777" w:rsidR="00804F8A" w:rsidRDefault="00804F8A" w:rsidP="00BC149B">
      <w:pPr>
        <w:pStyle w:val="Paragraph"/>
        <w:spacing w:after="180"/>
        <w:rPr>
          <w:rStyle w:val="BlueText"/>
          <w:color w:val="000000"/>
        </w:rPr>
      </w:pPr>
      <w:r w:rsidRPr="00E305B9">
        <w:rPr>
          <w:iCs/>
        </w:rPr>
        <w:t>In humans, lorlatinib undergoes oxidation and glucuronidation as the primary metabolic pathways</w:t>
      </w:r>
      <w:r w:rsidRPr="00E305B9">
        <w:rPr>
          <w:i/>
          <w:iCs/>
        </w:rPr>
        <w:t xml:space="preserve">. </w:t>
      </w:r>
      <w:r w:rsidRPr="00D8228F">
        <w:rPr>
          <w:i/>
          <w:iCs/>
        </w:rPr>
        <w:t>In vitro</w:t>
      </w:r>
      <w:r w:rsidRPr="00E305B9">
        <w:t xml:space="preserve"> data indicate that lorlatinib is metaboli</w:t>
      </w:r>
      <w:r>
        <w:t>z</w:t>
      </w:r>
      <w:r w:rsidRPr="00E305B9">
        <w:t>ed primarily by CYP3A4 and UGT1A4, with minor contribution from CYP2C8, CYP2C19, CYP3A5, and UGT1A3.</w:t>
      </w:r>
      <w:r w:rsidRPr="00E305B9">
        <w:rPr>
          <w:rStyle w:val="BlueText"/>
          <w:color w:val="000000"/>
        </w:rPr>
        <w:t xml:space="preserve"> </w:t>
      </w:r>
    </w:p>
    <w:p w14:paraId="11D35DF7" w14:textId="155A1655" w:rsidR="00804F8A" w:rsidRPr="00E305B9" w:rsidRDefault="00804F8A" w:rsidP="00804F8A">
      <w:pPr>
        <w:pStyle w:val="Paragraph"/>
        <w:spacing w:after="0"/>
      </w:pPr>
      <w:r w:rsidRPr="00E305B9">
        <w:t xml:space="preserve">In plasma, a benzoic acid metabolite </w:t>
      </w:r>
      <w:r w:rsidR="006D4D0F">
        <w:t xml:space="preserve">(M8) </w:t>
      </w:r>
      <w:r w:rsidRPr="00E305B9">
        <w:t>of lorlatinib resulting from the oxidative cleavage of the amide and aromatic ether bonds of lorlatinib was observed as a major metabolite, accounting for 21% of the circulating radioactivity.</w:t>
      </w:r>
      <w:r>
        <w:t xml:space="preserve"> </w:t>
      </w:r>
      <w:r w:rsidRPr="00E305B9">
        <w:t xml:space="preserve">The oxidative cleavage metabolite </w:t>
      </w:r>
      <w:r>
        <w:t>is pharmacologically inactive.</w:t>
      </w:r>
    </w:p>
    <w:p w14:paraId="74C8897F" w14:textId="77777777" w:rsidR="00804F8A" w:rsidRPr="005A65B0" w:rsidRDefault="00804F8A" w:rsidP="005A65B0">
      <w:pPr>
        <w:pStyle w:val="Paragraph"/>
        <w:spacing w:before="240" w:after="120"/>
        <w:rPr>
          <w:b/>
        </w:rPr>
      </w:pPr>
      <w:r w:rsidRPr="005A65B0">
        <w:rPr>
          <w:b/>
        </w:rPr>
        <w:t>Elimination</w:t>
      </w:r>
    </w:p>
    <w:p w14:paraId="4C4FB2E4" w14:textId="0C5B7900" w:rsidR="00804F8A" w:rsidRPr="006A1CD9" w:rsidRDefault="00804F8A" w:rsidP="00804F8A">
      <w:pPr>
        <w:pStyle w:val="Paragraph"/>
        <w:spacing w:after="0"/>
      </w:pPr>
      <w:r w:rsidRPr="00E652E6">
        <w:t>The plasma half</w:t>
      </w:r>
      <w:r w:rsidRPr="00E652E6">
        <w:noBreakHyphen/>
        <w:t xml:space="preserve">life of </w:t>
      </w:r>
      <w:r w:rsidRPr="006C1617">
        <w:rPr>
          <w:rFonts w:eastAsia="SimSun"/>
          <w:lang w:eastAsia="zh-CN"/>
        </w:rPr>
        <w:t>lorlatinib</w:t>
      </w:r>
      <w:r w:rsidRPr="00921FF2">
        <w:t xml:space="preserve"> after a single </w:t>
      </w:r>
      <w:r w:rsidRPr="00EC12FC">
        <w:rPr>
          <w:lang w:val="en-GB"/>
        </w:rPr>
        <w:t>100 mg dose was 23.6 hours.</w:t>
      </w:r>
      <w:r w:rsidRPr="006A1CD9">
        <w:rPr>
          <w:color w:val="0000FF"/>
        </w:rPr>
        <w:t xml:space="preserve"> </w:t>
      </w:r>
      <w:r w:rsidRPr="00921FF2">
        <w:t>Following oral administration of a 100</w:t>
      </w:r>
      <w:r w:rsidRPr="00675BE9">
        <w:t xml:space="preserve"> mg radiolabeled dose of lorlatinib, a mean 47.7% of the radioactivity was recovered in </w:t>
      </w:r>
      <w:r w:rsidRPr="006A1CD9">
        <w:t>urine and 40.9% of the radioactivity was recovered in f</w:t>
      </w:r>
      <w:r w:rsidR="00CD38E1">
        <w:t>a</w:t>
      </w:r>
      <w:r w:rsidRPr="006A1CD9">
        <w:t>eces, with overall mean total recovery of 88.6%.</w:t>
      </w:r>
    </w:p>
    <w:p w14:paraId="02ECBD86" w14:textId="77777777" w:rsidR="00804F8A" w:rsidRPr="006A1CD9" w:rsidRDefault="00804F8A" w:rsidP="00804F8A">
      <w:pPr>
        <w:pStyle w:val="Paragraph"/>
        <w:spacing w:after="0"/>
      </w:pPr>
      <w:r w:rsidRPr="006A1CD9">
        <w:lastRenderedPageBreak/>
        <w:t>Unchanged lorlatinib was the major component of human plasma and f</w:t>
      </w:r>
      <w:r w:rsidR="00CD38E1">
        <w:t>a</w:t>
      </w:r>
      <w:r w:rsidRPr="006A1CD9">
        <w:t>eces, accounting for 44% and 9.1% of total radioactivity in plasma and f</w:t>
      </w:r>
      <w:r w:rsidR="00CD38E1">
        <w:t>a</w:t>
      </w:r>
      <w:r w:rsidRPr="006A1CD9">
        <w:t>eces, respectively. Less than 1% of unchanged lorlatinib was detected in urine.</w:t>
      </w:r>
    </w:p>
    <w:p w14:paraId="4F2F7281" w14:textId="32B8429A" w:rsidR="00804F8A" w:rsidRDefault="00804F8A" w:rsidP="005A65B0">
      <w:pPr>
        <w:pStyle w:val="Paragraph"/>
        <w:keepNext/>
        <w:spacing w:before="240" w:after="120"/>
        <w:rPr>
          <w:b/>
        </w:rPr>
      </w:pPr>
      <w:r w:rsidRPr="005A65B0">
        <w:rPr>
          <w:b/>
          <w:lang w:val="en-GB"/>
        </w:rPr>
        <w:t>Cardiac electrophysiology</w:t>
      </w:r>
    </w:p>
    <w:p w14:paraId="6A489AE0" w14:textId="41AAF61A" w:rsidR="00B752F4" w:rsidRPr="00F106E4" w:rsidRDefault="00B752F4" w:rsidP="00BC149B">
      <w:pPr>
        <w:pStyle w:val="Paragraph"/>
        <w:keepNext/>
        <w:spacing w:after="180"/>
      </w:pPr>
      <w:r w:rsidRPr="0036229A">
        <w:rPr>
          <w:i/>
        </w:rPr>
        <w:t>QT</w:t>
      </w:r>
      <w:r w:rsidRPr="003716CD">
        <w:rPr>
          <w:i/>
        </w:rPr>
        <w:t xml:space="preserve"> </w:t>
      </w:r>
      <w:r w:rsidRPr="00F106E4">
        <w:rPr>
          <w:i/>
        </w:rPr>
        <w:t>interval</w:t>
      </w:r>
    </w:p>
    <w:p w14:paraId="5549CD54" w14:textId="2C3DA841" w:rsidR="00804F8A" w:rsidRPr="006A1CD9" w:rsidRDefault="00804F8A" w:rsidP="00BC149B">
      <w:pPr>
        <w:pStyle w:val="Paragraph"/>
        <w:keepNext/>
        <w:spacing w:after="180"/>
      </w:pPr>
      <w:r w:rsidRPr="006A1CD9">
        <w:t>In Study </w:t>
      </w:r>
      <w:r w:rsidR="00B752F4">
        <w:t>B7461001</w:t>
      </w:r>
      <w:r w:rsidRPr="006A1CD9">
        <w:t xml:space="preserve">, 2 patients (0.7%) had absolute </w:t>
      </w:r>
      <w:r w:rsidRPr="006A1CD9">
        <w:rPr>
          <w:rStyle w:val="paragraph-h1"/>
          <w:color w:val="000000"/>
        </w:rPr>
        <w:t xml:space="preserve">Fridericia’s correction </w:t>
      </w:r>
      <w:r w:rsidRPr="006A1CD9">
        <w:t>QTc (QTcF) values &gt;500 msec, and 5 patients (1.8%) had a change in QTcF from baseline &gt;60 msec.</w:t>
      </w:r>
    </w:p>
    <w:p w14:paraId="2048D979" w14:textId="77777777" w:rsidR="00804F8A" w:rsidRDefault="00804F8A" w:rsidP="00BC149B">
      <w:pPr>
        <w:pStyle w:val="Paragraph"/>
        <w:spacing w:after="180"/>
      </w:pPr>
      <w:r w:rsidRPr="006A1CD9">
        <w:t>In addition, the effect of a single oral dose of lorlatinib (50 mg, 75 mg, and 100 mg) with and without 200 mg once daily itraconazole was evaluated in a 2</w:t>
      </w:r>
      <w:r w:rsidRPr="006A1CD9">
        <w:noBreakHyphen/>
        <w:t>way crossover study in 16 healthy volunteers. No increases in the mean QTc interval were observed at the mean observed lorlatinib concentrations in this study.</w:t>
      </w:r>
    </w:p>
    <w:p w14:paraId="15C882C9" w14:textId="77777777" w:rsidR="00B752F4" w:rsidRDefault="00B752F4" w:rsidP="00BC149B">
      <w:pPr>
        <w:pStyle w:val="Paragraph"/>
        <w:spacing w:after="180"/>
      </w:pPr>
      <w:r w:rsidRPr="00F106E4">
        <w:t>In 295 patients who received lorlatinib at the recommended dose of 100</w:t>
      </w:r>
      <w:r>
        <w:t> </w:t>
      </w:r>
      <w:r w:rsidRPr="00F106E4">
        <w:t>mg once daily in Study B7461001, no large mean increases from baseline in the QTcF interval (i.e. &gt;20</w:t>
      </w:r>
      <w:r>
        <w:t> </w:t>
      </w:r>
      <w:r w:rsidRPr="00F106E4">
        <w:t>ms) were detected.</w:t>
      </w:r>
    </w:p>
    <w:p w14:paraId="77D7580F" w14:textId="77777777" w:rsidR="00B752F4" w:rsidRPr="003716CD" w:rsidRDefault="00B752F4" w:rsidP="00BC149B">
      <w:pPr>
        <w:pStyle w:val="Paragraph"/>
        <w:spacing w:after="180"/>
        <w:rPr>
          <w:i/>
        </w:rPr>
      </w:pPr>
      <w:r w:rsidRPr="0036229A">
        <w:rPr>
          <w:i/>
        </w:rPr>
        <w:t>PR interval</w:t>
      </w:r>
    </w:p>
    <w:p w14:paraId="70B3C0CA" w14:textId="31A7CD47" w:rsidR="00B752F4" w:rsidRPr="00F106E4" w:rsidRDefault="00B752F4" w:rsidP="00BC149B">
      <w:pPr>
        <w:pStyle w:val="Paragraph"/>
        <w:spacing w:after="180"/>
      </w:pPr>
      <w:r w:rsidRPr="00F106E4">
        <w:t>In 295 patients who received lorlatinib at the recommended dose of 100 mg once daily and had a ECG measurement in Study B7461001,</w:t>
      </w:r>
      <w:r>
        <w:t xml:space="preserve"> </w:t>
      </w:r>
      <w:r w:rsidRPr="00F106E4">
        <w:t>the maximum mean change from baseline for PR</w:t>
      </w:r>
      <w:r>
        <w:t> </w:t>
      </w:r>
      <w:r w:rsidRPr="00F106E4">
        <w:t>interval was 16.4 ms (2</w:t>
      </w:r>
      <w:r>
        <w:noBreakHyphen/>
      </w:r>
      <w:r w:rsidRPr="00F106E4">
        <w:t>sided 90% upper CI</w:t>
      </w:r>
      <w:r>
        <w:t>:</w:t>
      </w:r>
      <w:r w:rsidRPr="00F106E4">
        <w:t xml:space="preserve"> 19.4 ms). Among the 284 patients with PR interval &lt;200 ms, 14% had PR interval prolongation ≥200 ms after starting lorlatinib. The prolongation of PR interval occurred in a concentration</w:t>
      </w:r>
      <w:r w:rsidRPr="00F106E4">
        <w:noBreakHyphen/>
        <w:t>dependent manner. Atrioventricular block occurred in 1.0% of patient</w:t>
      </w:r>
      <w:r w:rsidR="00BC149B">
        <w:t>s.</w:t>
      </w:r>
    </w:p>
    <w:p w14:paraId="5643511A" w14:textId="77777777" w:rsidR="00B752F4" w:rsidRPr="00F106E4" w:rsidRDefault="00B752F4" w:rsidP="00BC149B">
      <w:pPr>
        <w:pStyle w:val="Paragraph"/>
        <w:spacing w:after="180"/>
        <w:rPr>
          <w:lang w:val="en-GB"/>
        </w:rPr>
      </w:pPr>
      <w:r w:rsidRPr="00F106E4">
        <w:rPr>
          <w:color w:val="000000"/>
          <w:kern w:val="32"/>
        </w:rPr>
        <w:t>For those patients who develop PR prolongation, dose modification may be required</w:t>
      </w:r>
      <w:r>
        <w:rPr>
          <w:color w:val="000000"/>
          <w:kern w:val="32"/>
        </w:rPr>
        <w:t xml:space="preserve"> (see Section 4.2)</w:t>
      </w:r>
      <w:r w:rsidRPr="00F106E4">
        <w:t>.</w:t>
      </w:r>
    </w:p>
    <w:p w14:paraId="6F8B241D" w14:textId="77777777" w:rsidR="00804F8A" w:rsidRPr="005A65B0" w:rsidRDefault="00804F8A" w:rsidP="005A65B0">
      <w:pPr>
        <w:numPr>
          <w:ilvl w:val="12"/>
          <w:numId w:val="0"/>
        </w:numPr>
        <w:spacing w:before="240" w:after="120"/>
        <w:rPr>
          <w:b/>
        </w:rPr>
      </w:pPr>
      <w:r w:rsidRPr="005A65B0">
        <w:rPr>
          <w:b/>
        </w:rPr>
        <w:t>Special populations</w:t>
      </w:r>
    </w:p>
    <w:p w14:paraId="47F56C4A" w14:textId="77777777" w:rsidR="00804F8A" w:rsidRPr="005A65B0" w:rsidRDefault="00804F8A" w:rsidP="005A65B0">
      <w:pPr>
        <w:pStyle w:val="Paragraph"/>
        <w:spacing w:before="120" w:after="120"/>
        <w:rPr>
          <w:b/>
        </w:rPr>
      </w:pPr>
      <w:r w:rsidRPr="005A65B0">
        <w:rPr>
          <w:b/>
          <w:i/>
        </w:rPr>
        <w:t>Hepatic impairment</w:t>
      </w:r>
    </w:p>
    <w:p w14:paraId="2D48212F" w14:textId="77777777" w:rsidR="00111B0A" w:rsidRDefault="00804F8A" w:rsidP="00111B0A">
      <w:pPr>
        <w:pStyle w:val="Paragraph"/>
        <w:spacing w:after="0"/>
      </w:pPr>
      <w:r>
        <w:t xml:space="preserve">As lorlatinib is metabolized in the liver, hepatic impairment is likely to increase lorlatinib plasma concentrations. </w:t>
      </w:r>
      <w:r w:rsidRPr="00BB55BB">
        <w:rPr>
          <w:color w:val="000000"/>
        </w:rPr>
        <w:t>Clinical</w:t>
      </w:r>
      <w:r w:rsidRPr="00BB55BB">
        <w:rPr>
          <w:color w:val="000000"/>
          <w:sz w:val="22"/>
          <w:szCs w:val="22"/>
        </w:rPr>
        <w:t xml:space="preserve"> s</w:t>
      </w:r>
      <w:r w:rsidRPr="00BB55BB">
        <w:t>tudies that were conducted excluded patients with AST or ALT</w:t>
      </w:r>
      <w:r>
        <w:t> </w:t>
      </w:r>
      <w:r w:rsidRPr="00BB55BB">
        <w:t>&gt;2.5</w:t>
      </w:r>
      <w:r>
        <w:t> </w:t>
      </w:r>
      <w:r w:rsidRPr="00BB55BB">
        <w:t>×</w:t>
      </w:r>
      <w:r>
        <w:t> </w:t>
      </w:r>
      <w:r w:rsidRPr="00BB55BB">
        <w:t>ULN, or if due to underlying malignancy, &gt;5.0 × ULN or with total bilirubin &gt;1.5</w:t>
      </w:r>
      <w:r>
        <w:t> </w:t>
      </w:r>
      <w:r w:rsidRPr="00BB55BB">
        <w:t>×</w:t>
      </w:r>
      <w:r>
        <w:t> </w:t>
      </w:r>
      <w:r w:rsidRPr="00BB55BB">
        <w:t>ULN. Population pharmacokinetic analyses have shown that lorlatinib exposure was not clinically meaningfully altered in patients with mild hepatic impairment (n=50). No dose adjustments are recommended for patients with mild hepatic impairment</w:t>
      </w:r>
      <w:r>
        <w:t xml:space="preserve"> (see Section 4.2)</w:t>
      </w:r>
      <w:r w:rsidRPr="00BB55BB">
        <w:t>. Lorlatinib has not been studied in patients with moderate or severe hepatic impairment</w:t>
      </w:r>
      <w:r>
        <w:t>.</w:t>
      </w:r>
    </w:p>
    <w:p w14:paraId="432DDACC" w14:textId="77777777" w:rsidR="00111B0A" w:rsidRPr="005A65B0" w:rsidRDefault="00111B0A" w:rsidP="005A65B0">
      <w:pPr>
        <w:pStyle w:val="Paragraph"/>
        <w:keepNext/>
        <w:spacing w:before="120" w:after="120"/>
        <w:rPr>
          <w:b/>
        </w:rPr>
      </w:pPr>
      <w:r w:rsidRPr="005A65B0">
        <w:rPr>
          <w:b/>
          <w:i/>
        </w:rPr>
        <w:t>Renal impairment</w:t>
      </w:r>
    </w:p>
    <w:p w14:paraId="512F8BF7" w14:textId="4619AE89" w:rsidR="00111B0A" w:rsidRPr="00331173" w:rsidRDefault="00111B0A" w:rsidP="00111B0A">
      <w:pPr>
        <w:pStyle w:val="Paragraph"/>
        <w:keepNext/>
        <w:spacing w:after="0"/>
        <w:rPr>
          <w:rStyle w:val="BlueText"/>
          <w:color w:val="auto"/>
        </w:rPr>
      </w:pPr>
      <w:r>
        <w:t>Less than 1% of the administered dose is detected as unchanged lorlatinib in urine</w:t>
      </w:r>
      <w:r w:rsidRPr="00BB55BB">
        <w:t>.</w:t>
      </w:r>
      <w:r w:rsidRPr="00BB55BB">
        <w:rPr>
          <w:color w:val="000000"/>
        </w:rPr>
        <w:t xml:space="preserve"> Clinical studies excluded patients with serum creatinine &gt;1.5 </w:t>
      </w:r>
      <w:r w:rsidRPr="00BB55BB">
        <w:t>×</w:t>
      </w:r>
      <w:r w:rsidRPr="00BB55BB">
        <w:rPr>
          <w:color w:val="000000"/>
        </w:rPr>
        <w:t xml:space="preserve"> ULN or estimated </w:t>
      </w:r>
      <w:r>
        <w:rPr>
          <w:color w:val="000000"/>
        </w:rPr>
        <w:t>CL</w:t>
      </w:r>
      <w:r w:rsidRPr="00D60EFA">
        <w:rPr>
          <w:color w:val="000000"/>
          <w:vertAlign w:val="subscript"/>
        </w:rPr>
        <w:t>cr</w:t>
      </w:r>
      <w:r w:rsidRPr="00BB55BB">
        <w:rPr>
          <w:color w:val="000000"/>
        </w:rPr>
        <w:t xml:space="preserve"> &lt;60 mL/min</w:t>
      </w:r>
      <w:r w:rsidRPr="00D60EFA">
        <w:t>.</w:t>
      </w:r>
      <w:r w:rsidRPr="00D60EFA">
        <w:rPr>
          <w:szCs w:val="16"/>
        </w:rPr>
        <w:t xml:space="preserve"> </w:t>
      </w:r>
      <w:r w:rsidRPr="00D60EFA">
        <w:t xml:space="preserve">Population pharmacokinetic analyses have shown that lorlatinib exposure was not clinically meaningfully altered in patients with mild (n=103) or moderate (n=41) renal impairment </w:t>
      </w:r>
      <w:r w:rsidRPr="00D60EFA">
        <w:lastRenderedPageBreak/>
        <w:t>(C</w:t>
      </w:r>
      <w:r>
        <w:t>L</w:t>
      </w:r>
      <w:r w:rsidRPr="00D60EFA">
        <w:rPr>
          <w:vertAlign w:val="subscript"/>
        </w:rPr>
        <w:t>cr</w:t>
      </w:r>
      <w:r w:rsidRPr="00A74BD9">
        <w:t> </w:t>
      </w:r>
      <w:r w:rsidR="00331173">
        <w:sym w:font="Symbol" w:char="F0B3"/>
      </w:r>
      <w:r w:rsidRPr="00D60EFA">
        <w:t>30 mL/min). No dose adjustments are recommended for patients with mild or moderate renal impairment</w:t>
      </w:r>
      <w:r>
        <w:t xml:space="preserve"> (see Section 4.2)</w:t>
      </w:r>
      <w:r w:rsidRPr="00D60EFA">
        <w:t>.</w:t>
      </w:r>
      <w:r>
        <w:t xml:space="preserve"> </w:t>
      </w:r>
      <w:r w:rsidRPr="00D60EFA">
        <w:t>Information for lorlatinib use in patients with severe renal</w:t>
      </w:r>
    </w:p>
    <w:p w14:paraId="281963FD" w14:textId="77777777" w:rsidR="00111B0A" w:rsidRDefault="00111B0A" w:rsidP="00804F8A">
      <w:pPr>
        <w:pStyle w:val="Paragraph"/>
        <w:spacing w:after="0"/>
      </w:pPr>
      <w:r w:rsidRPr="00D60EFA">
        <w:t>impairment (C</w:t>
      </w:r>
      <w:r>
        <w:t>L</w:t>
      </w:r>
      <w:r w:rsidRPr="00D60EFA">
        <w:rPr>
          <w:vertAlign w:val="subscript"/>
        </w:rPr>
        <w:t>cr</w:t>
      </w:r>
      <w:r>
        <w:t> </w:t>
      </w:r>
      <w:r w:rsidRPr="00D60EFA">
        <w:t>&lt;30 mL/min) is limited (n=1).</w:t>
      </w:r>
    </w:p>
    <w:p w14:paraId="711DB1E8" w14:textId="34B12B9B" w:rsidR="00804F8A" w:rsidRPr="005A65B0" w:rsidRDefault="00804F8A" w:rsidP="005A65B0">
      <w:pPr>
        <w:pStyle w:val="Paragraph"/>
        <w:spacing w:before="120" w:after="120"/>
        <w:rPr>
          <w:b/>
          <w:sz w:val="22"/>
        </w:rPr>
      </w:pPr>
      <w:r w:rsidRPr="005A65B0">
        <w:rPr>
          <w:b/>
          <w:i/>
          <w:sz w:val="22"/>
        </w:rPr>
        <w:t>Elderly (</w:t>
      </w:r>
      <w:r w:rsidR="00331173">
        <w:rPr>
          <w:b/>
          <w:i/>
          <w:sz w:val="22"/>
        </w:rPr>
        <w:sym w:font="Symbol" w:char="F0B3"/>
      </w:r>
      <w:r w:rsidRPr="005A65B0">
        <w:rPr>
          <w:b/>
          <w:i/>
          <w:sz w:val="22"/>
        </w:rPr>
        <w:t>65 years)</w:t>
      </w:r>
    </w:p>
    <w:p w14:paraId="1B3EF8AF" w14:textId="69A9E55F" w:rsidR="00804F8A" w:rsidRPr="00A74BD9" w:rsidRDefault="00804F8A" w:rsidP="00804F8A">
      <w:pPr>
        <w:pStyle w:val="Paragraph"/>
        <w:spacing w:after="0"/>
      </w:pPr>
      <w:r w:rsidRPr="00A74BD9">
        <w:t xml:space="preserve">Of the 295 patients in safety population in Study </w:t>
      </w:r>
      <w:r w:rsidR="00184971">
        <w:t>B7461001</w:t>
      </w:r>
      <w:r w:rsidRPr="00A74BD9">
        <w:t xml:space="preserve">, 18.3% of patients were aged 65 years or older. Of the 215 patients in the efficacy population in Study </w:t>
      </w:r>
      <w:r w:rsidR="00184971">
        <w:t>B7461001</w:t>
      </w:r>
      <w:r w:rsidRPr="00A74BD9">
        <w:t>, 17.7% of patients were aged 65 years or older.</w:t>
      </w:r>
      <w:r w:rsidRPr="00A74BD9">
        <w:rPr>
          <w:color w:val="0000FF"/>
        </w:rPr>
        <w:t xml:space="preserve"> </w:t>
      </w:r>
      <w:r w:rsidRPr="00A74BD9">
        <w:t>Although data are limited, no clinically relevant differences in safety or efficacy were observed between patients aged greater than or equal to 65 years and younger patients</w:t>
      </w:r>
      <w:r w:rsidR="00184971">
        <w:t>; no dose a</w:t>
      </w:r>
      <w:r w:rsidR="00CA41F7">
        <w:t>d</w:t>
      </w:r>
      <w:r w:rsidR="00184971">
        <w:t>justments are recommended in elderly patients</w:t>
      </w:r>
      <w:r w:rsidRPr="00A74BD9">
        <w:t xml:space="preserve"> (see Section 4.2).</w:t>
      </w:r>
    </w:p>
    <w:p w14:paraId="59D71E86" w14:textId="77777777" w:rsidR="00804F8A" w:rsidRPr="005A65B0" w:rsidRDefault="00804F8A" w:rsidP="005A65B0">
      <w:pPr>
        <w:pStyle w:val="StyleHeading2Titre212H2GulliverGemenFetArial12pt"/>
        <w:spacing w:before="120"/>
      </w:pPr>
      <w:r w:rsidRPr="005A65B0">
        <w:t>Gender, race, body weight, and phenotype</w:t>
      </w:r>
    </w:p>
    <w:p w14:paraId="2CBAE96D" w14:textId="77777777" w:rsidR="00804F8A" w:rsidRDefault="00804F8A" w:rsidP="00804F8A">
      <w:pPr>
        <w:pStyle w:val="Paragraph"/>
        <w:spacing w:after="0"/>
      </w:pPr>
      <w:r w:rsidRPr="009A2541">
        <w:t xml:space="preserve">Population pharmacokinetic analyses </w:t>
      </w:r>
      <w:r>
        <w:t>in</w:t>
      </w:r>
      <w:r w:rsidRPr="009A2541">
        <w:t xml:space="preserve"> patients with </w:t>
      </w:r>
      <w:r>
        <w:t>advanced NSCLC</w:t>
      </w:r>
      <w:r w:rsidRPr="009A2541">
        <w:t xml:space="preserve"> and healthy volunteers indicate that there are no clinically relevant effects of </w:t>
      </w:r>
      <w:r w:rsidRPr="00BB55BB">
        <w:t xml:space="preserve">age, gender, </w:t>
      </w:r>
      <w:r>
        <w:t xml:space="preserve">race, </w:t>
      </w:r>
      <w:r w:rsidRPr="00BB55BB">
        <w:t xml:space="preserve">body weight, </w:t>
      </w:r>
      <w:r>
        <w:t>or</w:t>
      </w:r>
      <w:r w:rsidRPr="00BB55BB">
        <w:t xml:space="preserve"> phenotypes for CYP3A5 and CYP2C19.</w:t>
      </w:r>
      <w:r w:rsidRPr="00A74BD9">
        <w:rPr>
          <w:bCs/>
          <w:color w:val="0000FF"/>
        </w:rPr>
        <w:t xml:space="preserve"> </w:t>
      </w:r>
    </w:p>
    <w:p w14:paraId="3A6401CC" w14:textId="77777777" w:rsidR="00704F45" w:rsidRPr="005A65B0" w:rsidRDefault="00704F45" w:rsidP="005A65B0">
      <w:pPr>
        <w:pStyle w:val="PIHeading2"/>
        <w:spacing w:line="240" w:lineRule="auto"/>
        <w:rPr>
          <w:sz w:val="28"/>
          <w:szCs w:val="28"/>
        </w:rPr>
      </w:pPr>
      <w:r w:rsidRPr="005A65B0">
        <w:rPr>
          <w:sz w:val="28"/>
          <w:szCs w:val="28"/>
        </w:rPr>
        <w:t>5.3</w:t>
      </w:r>
      <w:r w:rsidRPr="005A65B0">
        <w:rPr>
          <w:sz w:val="28"/>
          <w:szCs w:val="28"/>
        </w:rPr>
        <w:tab/>
      </w:r>
      <w:r w:rsidR="005A65B0">
        <w:rPr>
          <w:sz w:val="28"/>
          <w:szCs w:val="28"/>
        </w:rPr>
        <w:t>P</w:t>
      </w:r>
      <w:r w:rsidR="005A65B0" w:rsidRPr="005A65B0">
        <w:rPr>
          <w:sz w:val="28"/>
          <w:szCs w:val="28"/>
        </w:rPr>
        <w:t xml:space="preserve">reclinical safety data </w:t>
      </w:r>
    </w:p>
    <w:p w14:paraId="29A5B2C5" w14:textId="35D16A31" w:rsidR="00035029" w:rsidRPr="005A65B0" w:rsidRDefault="00035029" w:rsidP="005A65B0">
      <w:pPr>
        <w:pStyle w:val="Paragraph"/>
        <w:keepNext/>
        <w:spacing w:before="240" w:after="120"/>
        <w:rPr>
          <w:b/>
        </w:rPr>
      </w:pPr>
      <w:r w:rsidRPr="005A65B0">
        <w:rPr>
          <w:b/>
        </w:rPr>
        <w:t>Repeat</w:t>
      </w:r>
      <w:r w:rsidRPr="005A65B0">
        <w:rPr>
          <w:b/>
        </w:rPr>
        <w:noBreakHyphen/>
        <w:t xml:space="preserve">dose </w:t>
      </w:r>
      <w:r w:rsidR="00184971">
        <w:rPr>
          <w:b/>
        </w:rPr>
        <w:t>t</w:t>
      </w:r>
      <w:r w:rsidRPr="005A65B0">
        <w:rPr>
          <w:b/>
        </w:rPr>
        <w:t>oxicity</w:t>
      </w:r>
    </w:p>
    <w:p w14:paraId="54C80A3B" w14:textId="59DF50FE" w:rsidR="00035029" w:rsidRDefault="00035029" w:rsidP="00035029">
      <w:pPr>
        <w:pStyle w:val="Paragraph"/>
        <w:keepNext/>
        <w:spacing w:after="0"/>
      </w:pPr>
      <w:r w:rsidRPr="00D275EA">
        <w:t xml:space="preserve">The main toxicities observed were inflammation across multiple tissues (with increases in white blood cells), and changes in the pancreas (with increases in amylase and lipase), hepatobiliary system (with increases in liver enzymes), male reproductive system, cardiovascular system, kidneys and gastrointestinal tract, </w:t>
      </w:r>
      <w:r w:rsidR="00184971">
        <w:t xml:space="preserve">and </w:t>
      </w:r>
      <w:r w:rsidRPr="00D275EA">
        <w:t>peripheral nerves and the central nervous system (potential for cognitive functional impairment) (</w:t>
      </w:r>
      <w:r w:rsidR="006D4D0F">
        <w:t xml:space="preserve">observed </w:t>
      </w:r>
      <w:r w:rsidR="001E781A">
        <w:t xml:space="preserve">at </w:t>
      </w:r>
      <w:r w:rsidR="006D4D0F">
        <w:t>as low</w:t>
      </w:r>
      <w:r w:rsidR="00DE4131">
        <w:t xml:space="preserve"> as</w:t>
      </w:r>
      <w:r w:rsidRPr="00D275EA">
        <w:t xml:space="preserve"> the human clinical exposure at 100 mg based on AUC for all </w:t>
      </w:r>
      <w:r w:rsidRPr="006A1CD9">
        <w:t>toxicities).</w:t>
      </w:r>
      <w:r>
        <w:rPr>
          <w:vertAlign w:val="superscript"/>
        </w:rPr>
        <w:t xml:space="preserve"> </w:t>
      </w:r>
      <w:r w:rsidRPr="006A1CD9">
        <w:t>Changes</w:t>
      </w:r>
      <w:r w:rsidRPr="00D275EA">
        <w:t xml:space="preserve"> in blood pressure and heart rate, and QRS and PR interval prolongation were also observed in animals after acute dosing (approximately </w:t>
      </w:r>
      <w:r>
        <w:t>2.6</w:t>
      </w:r>
      <w:r w:rsidRPr="00D275EA">
        <w:t xml:space="preserve"> times the human clinical exposure at 100 mg after a single dose based on C</w:t>
      </w:r>
      <w:r w:rsidRPr="00D275EA">
        <w:rPr>
          <w:vertAlign w:val="subscript"/>
        </w:rPr>
        <w:t>max</w:t>
      </w:r>
      <w:r w:rsidRPr="00D275EA">
        <w:t xml:space="preserve">). All target organ findings with the exception of the </w:t>
      </w:r>
      <w:r>
        <w:t>hepatic bile duct hyperplasia</w:t>
      </w:r>
      <w:r w:rsidRPr="00D275EA">
        <w:t xml:space="preserve"> were partially to fully reversible.</w:t>
      </w:r>
    </w:p>
    <w:p w14:paraId="193D4B08" w14:textId="77777777" w:rsidR="00035029" w:rsidRPr="005A65B0" w:rsidRDefault="00035029" w:rsidP="005A65B0">
      <w:pPr>
        <w:pStyle w:val="Paragraph"/>
        <w:spacing w:before="240" w:after="120"/>
        <w:rPr>
          <w:b/>
        </w:rPr>
      </w:pPr>
      <w:r w:rsidRPr="005A65B0">
        <w:rPr>
          <w:b/>
        </w:rPr>
        <w:t>Genotoxicity</w:t>
      </w:r>
    </w:p>
    <w:p w14:paraId="5F744453" w14:textId="296F9AAC" w:rsidR="00035029" w:rsidRPr="00331173" w:rsidRDefault="00035029" w:rsidP="00035029">
      <w:pPr>
        <w:pStyle w:val="Paragraph"/>
        <w:spacing w:after="0"/>
      </w:pPr>
      <w:r w:rsidRPr="00D275EA">
        <w:t>Lorlatinib was not mutagenic in a bacterial reverse mutation (Ames) assay. Lorlatin</w:t>
      </w:r>
      <w:r>
        <w:t>i</w:t>
      </w:r>
      <w:r w:rsidRPr="00D275EA">
        <w:t xml:space="preserve">b induced micronuclei via an aneugenic mechanism in human </w:t>
      </w:r>
      <w:r w:rsidR="00184971">
        <w:t>lymphoblastoid TK6 cells</w:t>
      </w:r>
      <w:r w:rsidRPr="00D275EA">
        <w:t xml:space="preserve"> </w:t>
      </w:r>
      <w:r w:rsidRPr="00D8228F">
        <w:rPr>
          <w:i/>
        </w:rPr>
        <w:t>in vitro</w:t>
      </w:r>
      <w:r w:rsidRPr="00D275EA">
        <w:t xml:space="preserve"> and in the bone marrow of rats.</w:t>
      </w:r>
    </w:p>
    <w:p w14:paraId="0A6E1CDE" w14:textId="77777777" w:rsidR="00035029" w:rsidRPr="005A65B0" w:rsidRDefault="00035029" w:rsidP="005A65B0">
      <w:pPr>
        <w:pStyle w:val="Paragraph"/>
        <w:spacing w:before="240" w:after="120"/>
        <w:rPr>
          <w:b/>
        </w:rPr>
      </w:pPr>
      <w:r w:rsidRPr="005A65B0">
        <w:rPr>
          <w:b/>
        </w:rPr>
        <w:t>Carcinogenicity</w:t>
      </w:r>
    </w:p>
    <w:p w14:paraId="3D5615AA" w14:textId="77777777" w:rsidR="00035029" w:rsidRDefault="00035029" w:rsidP="00035029">
      <w:pPr>
        <w:pStyle w:val="Paragraph"/>
        <w:spacing w:after="0"/>
      </w:pPr>
      <w:r w:rsidRPr="00D275EA">
        <w:t>Carcinogenic</w:t>
      </w:r>
      <w:r>
        <w:t>i</w:t>
      </w:r>
      <w:r w:rsidRPr="00D275EA">
        <w:t>ty studies have not been conducted with lorlatinib.</w:t>
      </w:r>
    </w:p>
    <w:p w14:paraId="014A75B1" w14:textId="548CEF51" w:rsidR="00A05A86" w:rsidRDefault="00A05A86" w:rsidP="005A65B0">
      <w:pPr>
        <w:pStyle w:val="Heading1"/>
      </w:pPr>
      <w:r>
        <w:lastRenderedPageBreak/>
        <w:t>PHARMACEUTICAL PARTICULARS</w:t>
      </w:r>
    </w:p>
    <w:p w14:paraId="2091B1A3" w14:textId="77777777" w:rsidR="00A05A86" w:rsidRPr="005A65B0" w:rsidRDefault="00A05A86" w:rsidP="005A65B0">
      <w:pPr>
        <w:pStyle w:val="PIHeading2"/>
        <w:spacing w:line="240" w:lineRule="auto"/>
        <w:rPr>
          <w:sz w:val="28"/>
          <w:szCs w:val="28"/>
        </w:rPr>
      </w:pPr>
      <w:r w:rsidRPr="005A65B0">
        <w:rPr>
          <w:sz w:val="28"/>
          <w:szCs w:val="28"/>
        </w:rPr>
        <w:t>6.1</w:t>
      </w:r>
      <w:r w:rsidRPr="005A65B0">
        <w:rPr>
          <w:sz w:val="28"/>
          <w:szCs w:val="28"/>
        </w:rPr>
        <w:tab/>
      </w:r>
      <w:r w:rsidR="005A65B0">
        <w:rPr>
          <w:sz w:val="28"/>
          <w:szCs w:val="28"/>
        </w:rPr>
        <w:t>L</w:t>
      </w:r>
      <w:r w:rsidR="005A65B0" w:rsidRPr="005A65B0">
        <w:rPr>
          <w:sz w:val="28"/>
          <w:szCs w:val="28"/>
        </w:rPr>
        <w:t>ist of excipients</w:t>
      </w:r>
    </w:p>
    <w:p w14:paraId="105885BF" w14:textId="77777777" w:rsidR="00035029" w:rsidRPr="00035029" w:rsidRDefault="00035029" w:rsidP="00035029">
      <w:pPr>
        <w:pStyle w:val="Paragraph"/>
        <w:keepNext/>
        <w:spacing w:after="0"/>
        <w:rPr>
          <w:rStyle w:val="Instructions"/>
          <w:i w:val="0"/>
          <w:color w:val="auto"/>
          <w:u w:val="single"/>
        </w:rPr>
      </w:pPr>
      <w:r w:rsidRPr="00035029">
        <w:rPr>
          <w:rStyle w:val="Instructions"/>
          <w:i w:val="0"/>
          <w:color w:val="auto"/>
          <w:u w:val="single"/>
        </w:rPr>
        <w:t>Tablet core contains</w:t>
      </w:r>
      <w:r w:rsidRPr="00035029">
        <w:rPr>
          <w:rStyle w:val="Instructions"/>
          <w:i w:val="0"/>
          <w:color w:val="auto"/>
        </w:rPr>
        <w:t>:</w:t>
      </w:r>
    </w:p>
    <w:p w14:paraId="2F0FB2F6" w14:textId="77777777" w:rsidR="00035029" w:rsidRPr="00035029" w:rsidRDefault="00035029" w:rsidP="00035029">
      <w:pPr>
        <w:pStyle w:val="Paragraph"/>
        <w:keepNext/>
        <w:spacing w:after="0"/>
        <w:rPr>
          <w:rStyle w:val="Instructions"/>
          <w:i w:val="0"/>
          <w:color w:val="auto"/>
        </w:rPr>
      </w:pPr>
      <w:r w:rsidRPr="00035029">
        <w:rPr>
          <w:rStyle w:val="Instructions"/>
          <w:i w:val="0"/>
          <w:color w:val="auto"/>
        </w:rPr>
        <w:t>Microcrystalline cellulose</w:t>
      </w:r>
    </w:p>
    <w:p w14:paraId="08515CE7" w14:textId="680A5B6D" w:rsidR="00035029" w:rsidRPr="00035029" w:rsidRDefault="00184971" w:rsidP="00035029">
      <w:pPr>
        <w:pStyle w:val="Paragraph"/>
        <w:keepNext/>
        <w:spacing w:after="0"/>
        <w:rPr>
          <w:rStyle w:val="Instructions"/>
          <w:i w:val="0"/>
          <w:color w:val="auto"/>
        </w:rPr>
      </w:pPr>
      <w:r>
        <w:rPr>
          <w:rStyle w:val="Instructions"/>
          <w:i w:val="0"/>
          <w:color w:val="auto"/>
        </w:rPr>
        <w:t>Calcium hydrogen phosphate</w:t>
      </w:r>
    </w:p>
    <w:p w14:paraId="3465B75D" w14:textId="04E61612" w:rsidR="00035029" w:rsidRPr="00035029" w:rsidRDefault="00035029" w:rsidP="00035029">
      <w:pPr>
        <w:pStyle w:val="Paragraph"/>
        <w:keepNext/>
        <w:spacing w:after="0"/>
        <w:rPr>
          <w:rStyle w:val="Instructions"/>
          <w:i w:val="0"/>
          <w:color w:val="auto"/>
        </w:rPr>
      </w:pPr>
      <w:r w:rsidRPr="00035029">
        <w:rPr>
          <w:rStyle w:val="Instructions"/>
          <w:i w:val="0"/>
          <w:color w:val="auto"/>
        </w:rPr>
        <w:t>Sodium starch glyco</w:t>
      </w:r>
      <w:r w:rsidR="00E616C0">
        <w:rPr>
          <w:rStyle w:val="Instructions"/>
          <w:i w:val="0"/>
          <w:color w:val="auto"/>
        </w:rPr>
        <w:t>l</w:t>
      </w:r>
      <w:r w:rsidRPr="00035029">
        <w:rPr>
          <w:rStyle w:val="Instructions"/>
          <w:i w:val="0"/>
          <w:color w:val="auto"/>
        </w:rPr>
        <w:t xml:space="preserve">late </w:t>
      </w:r>
    </w:p>
    <w:p w14:paraId="3D3837C6" w14:textId="77777777" w:rsidR="00035029" w:rsidRPr="00035029" w:rsidRDefault="00035029" w:rsidP="00331173">
      <w:pPr>
        <w:pStyle w:val="Paragraph"/>
        <w:keepNext/>
        <w:spacing w:after="180"/>
        <w:rPr>
          <w:rStyle w:val="Instructions"/>
          <w:i w:val="0"/>
          <w:color w:val="auto"/>
        </w:rPr>
      </w:pPr>
      <w:r w:rsidRPr="00035029">
        <w:rPr>
          <w:rStyle w:val="Instructions"/>
          <w:i w:val="0"/>
          <w:color w:val="auto"/>
        </w:rPr>
        <w:t xml:space="preserve">Magnesium stearate </w:t>
      </w:r>
    </w:p>
    <w:p w14:paraId="64E09E49" w14:textId="77777777" w:rsidR="00035029" w:rsidRPr="00035029" w:rsidRDefault="00035029" w:rsidP="00035029">
      <w:pPr>
        <w:pStyle w:val="Paragraph"/>
        <w:spacing w:after="0"/>
        <w:rPr>
          <w:rStyle w:val="Instructions"/>
          <w:i w:val="0"/>
          <w:color w:val="auto"/>
        </w:rPr>
      </w:pPr>
      <w:r w:rsidRPr="00035029">
        <w:rPr>
          <w:rStyle w:val="Instructions"/>
          <w:i w:val="0"/>
          <w:color w:val="auto"/>
          <w:u w:val="single"/>
        </w:rPr>
        <w:t>Film-coating contains</w:t>
      </w:r>
      <w:r w:rsidRPr="00035029">
        <w:rPr>
          <w:rStyle w:val="Instructions"/>
          <w:i w:val="0"/>
          <w:color w:val="auto"/>
        </w:rPr>
        <w:t>:</w:t>
      </w:r>
    </w:p>
    <w:p w14:paraId="182547E4" w14:textId="77777777" w:rsidR="00035029" w:rsidRPr="00035029" w:rsidRDefault="00EE6DC6" w:rsidP="00035029">
      <w:pPr>
        <w:pStyle w:val="Paragraph"/>
        <w:spacing w:after="0"/>
        <w:rPr>
          <w:rStyle w:val="Instructions"/>
          <w:i w:val="0"/>
          <w:color w:val="auto"/>
        </w:rPr>
      </w:pPr>
      <w:r>
        <w:rPr>
          <w:rStyle w:val="Instructions"/>
          <w:i w:val="0"/>
          <w:color w:val="auto"/>
        </w:rPr>
        <w:t>H</w:t>
      </w:r>
      <w:r w:rsidR="00893EBD">
        <w:rPr>
          <w:rStyle w:val="Instructions"/>
          <w:i w:val="0"/>
          <w:color w:val="auto"/>
        </w:rPr>
        <w:t>ypromellose</w:t>
      </w:r>
      <w:r w:rsidR="0026488E">
        <w:rPr>
          <w:rStyle w:val="Instructions"/>
          <w:i w:val="0"/>
          <w:color w:val="auto"/>
        </w:rPr>
        <w:t xml:space="preserve"> (E464)</w:t>
      </w:r>
    </w:p>
    <w:p w14:paraId="6943A27C" w14:textId="77777777" w:rsidR="00035029" w:rsidRPr="00035029" w:rsidRDefault="00035029" w:rsidP="00035029">
      <w:pPr>
        <w:pStyle w:val="Paragraph"/>
        <w:spacing w:after="0"/>
        <w:rPr>
          <w:rStyle w:val="Instructions"/>
          <w:i w:val="0"/>
          <w:color w:val="auto"/>
        </w:rPr>
      </w:pPr>
      <w:r w:rsidRPr="00035029">
        <w:rPr>
          <w:rStyle w:val="Instructions"/>
          <w:i w:val="0"/>
          <w:color w:val="auto"/>
        </w:rPr>
        <w:t>Lactose monohydrate</w:t>
      </w:r>
    </w:p>
    <w:p w14:paraId="62BD52C6" w14:textId="77777777" w:rsidR="00035029" w:rsidRPr="00035029" w:rsidRDefault="00035029" w:rsidP="00035029">
      <w:pPr>
        <w:pStyle w:val="Paragraph"/>
        <w:spacing w:after="0"/>
        <w:rPr>
          <w:rStyle w:val="Instructions"/>
          <w:i w:val="0"/>
          <w:color w:val="auto"/>
        </w:rPr>
      </w:pPr>
      <w:r w:rsidRPr="00035029">
        <w:rPr>
          <w:rStyle w:val="Instructions"/>
          <w:i w:val="0"/>
          <w:color w:val="auto"/>
        </w:rPr>
        <w:t>Macrogol</w:t>
      </w:r>
      <w:r w:rsidR="001058FA">
        <w:rPr>
          <w:rStyle w:val="Instructions"/>
          <w:i w:val="0"/>
          <w:color w:val="auto"/>
        </w:rPr>
        <w:t xml:space="preserve"> </w:t>
      </w:r>
      <w:r w:rsidR="00893EBD">
        <w:rPr>
          <w:rStyle w:val="Instructions"/>
          <w:i w:val="0"/>
          <w:color w:val="auto"/>
        </w:rPr>
        <w:t>3350</w:t>
      </w:r>
    </w:p>
    <w:p w14:paraId="141D6D12" w14:textId="706251EA" w:rsidR="00035029" w:rsidRPr="00035029" w:rsidRDefault="00893EBD" w:rsidP="00035029">
      <w:pPr>
        <w:pStyle w:val="Paragraph"/>
        <w:spacing w:after="0"/>
        <w:rPr>
          <w:rStyle w:val="Instructions"/>
          <w:i w:val="0"/>
          <w:color w:val="auto"/>
        </w:rPr>
      </w:pPr>
      <w:r>
        <w:rPr>
          <w:rStyle w:val="Instructions"/>
          <w:i w:val="0"/>
          <w:color w:val="auto"/>
        </w:rPr>
        <w:t>Triacetin</w:t>
      </w:r>
      <w:r w:rsidR="0026488E">
        <w:rPr>
          <w:rStyle w:val="Instructions"/>
          <w:i w:val="0"/>
          <w:color w:val="auto"/>
        </w:rPr>
        <w:t xml:space="preserve"> </w:t>
      </w:r>
    </w:p>
    <w:p w14:paraId="47EDF7AC" w14:textId="463F4C55" w:rsidR="00035029" w:rsidRPr="00035029" w:rsidRDefault="00035029" w:rsidP="00035029">
      <w:pPr>
        <w:pStyle w:val="Paragraph"/>
        <w:spacing w:after="0"/>
        <w:rPr>
          <w:rStyle w:val="Instructions"/>
          <w:i w:val="0"/>
          <w:color w:val="auto"/>
        </w:rPr>
      </w:pPr>
      <w:r w:rsidRPr="00035029">
        <w:rPr>
          <w:rStyle w:val="Instructions"/>
          <w:i w:val="0"/>
          <w:color w:val="auto"/>
        </w:rPr>
        <w:t>Titanium dioxide</w:t>
      </w:r>
      <w:r w:rsidR="0026488E">
        <w:rPr>
          <w:rStyle w:val="Instructions"/>
          <w:i w:val="0"/>
          <w:color w:val="auto"/>
        </w:rPr>
        <w:t xml:space="preserve"> </w:t>
      </w:r>
      <w:r w:rsidR="00C64C53">
        <w:rPr>
          <w:rStyle w:val="Instructions"/>
          <w:i w:val="0"/>
          <w:color w:val="auto"/>
        </w:rPr>
        <w:t>(</w:t>
      </w:r>
      <w:r w:rsidR="0026488E">
        <w:rPr>
          <w:rStyle w:val="Instructions"/>
          <w:i w:val="0"/>
          <w:color w:val="auto"/>
        </w:rPr>
        <w:t>E171)</w:t>
      </w:r>
    </w:p>
    <w:p w14:paraId="0F435ACD" w14:textId="77777777" w:rsidR="00035029" w:rsidRPr="00035029" w:rsidRDefault="00EE6DC6" w:rsidP="00035029">
      <w:pPr>
        <w:pStyle w:val="Paragraph"/>
        <w:spacing w:after="0"/>
        <w:rPr>
          <w:rStyle w:val="Instructions"/>
          <w:i w:val="0"/>
          <w:color w:val="auto"/>
        </w:rPr>
      </w:pPr>
      <w:r>
        <w:rPr>
          <w:rStyle w:val="Instructions"/>
          <w:i w:val="0"/>
          <w:color w:val="auto"/>
        </w:rPr>
        <w:t xml:space="preserve">Iron </w:t>
      </w:r>
      <w:r w:rsidR="00893EBD">
        <w:rPr>
          <w:rStyle w:val="Instructions"/>
          <w:i w:val="0"/>
          <w:color w:val="auto"/>
        </w:rPr>
        <w:t>oxide</w:t>
      </w:r>
      <w:r>
        <w:rPr>
          <w:rStyle w:val="Instructions"/>
          <w:i w:val="0"/>
          <w:color w:val="auto"/>
        </w:rPr>
        <w:t xml:space="preserve"> </w:t>
      </w:r>
      <w:r w:rsidR="00893EBD">
        <w:rPr>
          <w:rStyle w:val="Instructions"/>
          <w:i w:val="0"/>
          <w:color w:val="auto"/>
        </w:rPr>
        <w:t>black</w:t>
      </w:r>
      <w:r w:rsidR="0026488E">
        <w:rPr>
          <w:rStyle w:val="Instructions"/>
          <w:i w:val="0"/>
          <w:color w:val="auto"/>
        </w:rPr>
        <w:t xml:space="preserve"> (E172)</w:t>
      </w:r>
    </w:p>
    <w:p w14:paraId="25FF31BB" w14:textId="05603D10" w:rsidR="00035029" w:rsidRPr="00035029" w:rsidRDefault="00035029" w:rsidP="00035029">
      <w:pPr>
        <w:pStyle w:val="Paragraph"/>
        <w:spacing w:after="0"/>
      </w:pPr>
      <w:r w:rsidRPr="00035029">
        <w:rPr>
          <w:rStyle w:val="Instructions"/>
          <w:i w:val="0"/>
          <w:color w:val="auto"/>
        </w:rPr>
        <w:t>Iron oxide red</w:t>
      </w:r>
      <w:r w:rsidR="0026488E">
        <w:rPr>
          <w:rStyle w:val="Instructions"/>
          <w:i w:val="0"/>
          <w:color w:val="auto"/>
        </w:rPr>
        <w:t xml:space="preserve"> </w:t>
      </w:r>
      <w:r w:rsidR="00C64C53">
        <w:rPr>
          <w:rStyle w:val="Instructions"/>
          <w:i w:val="0"/>
          <w:color w:val="auto"/>
        </w:rPr>
        <w:t>(</w:t>
      </w:r>
      <w:r w:rsidR="0026488E">
        <w:rPr>
          <w:rStyle w:val="Instructions"/>
          <w:i w:val="0"/>
          <w:color w:val="auto"/>
        </w:rPr>
        <w:t>E172)</w:t>
      </w:r>
    </w:p>
    <w:p w14:paraId="4A23A2CF" w14:textId="77777777" w:rsidR="00A05A86" w:rsidRPr="005A65B0" w:rsidRDefault="00A05A86" w:rsidP="005A65B0">
      <w:pPr>
        <w:pStyle w:val="PIHeading2"/>
        <w:spacing w:line="240" w:lineRule="auto"/>
        <w:rPr>
          <w:sz w:val="28"/>
          <w:szCs w:val="28"/>
        </w:rPr>
      </w:pPr>
      <w:r w:rsidRPr="005A65B0">
        <w:rPr>
          <w:sz w:val="28"/>
          <w:szCs w:val="28"/>
        </w:rPr>
        <w:t>6.2</w:t>
      </w:r>
      <w:r w:rsidRPr="005A65B0">
        <w:rPr>
          <w:sz w:val="28"/>
          <w:szCs w:val="28"/>
        </w:rPr>
        <w:tab/>
      </w:r>
      <w:r w:rsidR="005A65B0">
        <w:rPr>
          <w:sz w:val="28"/>
          <w:szCs w:val="28"/>
        </w:rPr>
        <w:t>I</w:t>
      </w:r>
      <w:r w:rsidR="005A65B0" w:rsidRPr="005A65B0">
        <w:rPr>
          <w:sz w:val="28"/>
          <w:szCs w:val="28"/>
        </w:rPr>
        <w:t>ncompat</w:t>
      </w:r>
      <w:r w:rsidR="00CA41F7">
        <w:rPr>
          <w:sz w:val="28"/>
          <w:szCs w:val="28"/>
        </w:rPr>
        <w:t>i</w:t>
      </w:r>
      <w:r w:rsidR="005A65B0" w:rsidRPr="005A65B0">
        <w:rPr>
          <w:sz w:val="28"/>
          <w:szCs w:val="28"/>
        </w:rPr>
        <w:t>bilities</w:t>
      </w:r>
    </w:p>
    <w:p w14:paraId="5429AACD" w14:textId="77777777" w:rsidR="00A05A86" w:rsidRPr="00A05A86" w:rsidRDefault="00035029" w:rsidP="00A05A86">
      <w:pPr>
        <w:pStyle w:val="PINormal"/>
        <w:jc w:val="left"/>
        <w:rPr>
          <w:lang w:val="en-GB"/>
        </w:rPr>
      </w:pPr>
      <w:r>
        <w:rPr>
          <w:lang w:val="en-GB"/>
        </w:rPr>
        <w:t>Not applicable</w:t>
      </w:r>
      <w:r w:rsidR="00A05A86" w:rsidRPr="00A439EC">
        <w:rPr>
          <w:lang w:val="en-GB"/>
        </w:rPr>
        <w:t>.</w:t>
      </w:r>
    </w:p>
    <w:p w14:paraId="5D8A5EE0" w14:textId="77777777" w:rsidR="00A05A86" w:rsidRPr="005A65B0" w:rsidRDefault="00A05A86" w:rsidP="005A65B0">
      <w:pPr>
        <w:pStyle w:val="PIHeading2"/>
        <w:spacing w:line="240" w:lineRule="auto"/>
        <w:rPr>
          <w:sz w:val="28"/>
          <w:szCs w:val="28"/>
        </w:rPr>
      </w:pPr>
      <w:r w:rsidRPr="005A65B0">
        <w:rPr>
          <w:sz w:val="28"/>
          <w:szCs w:val="28"/>
        </w:rPr>
        <w:t>6.3</w:t>
      </w:r>
      <w:r w:rsidRPr="005A65B0">
        <w:rPr>
          <w:sz w:val="28"/>
          <w:szCs w:val="28"/>
        </w:rPr>
        <w:tab/>
      </w:r>
      <w:r w:rsidR="005A65B0">
        <w:rPr>
          <w:sz w:val="28"/>
          <w:szCs w:val="28"/>
        </w:rPr>
        <w:t>S</w:t>
      </w:r>
      <w:r w:rsidR="005A65B0" w:rsidRPr="005A65B0">
        <w:rPr>
          <w:sz w:val="28"/>
          <w:szCs w:val="28"/>
        </w:rPr>
        <w:t>helf life</w:t>
      </w:r>
    </w:p>
    <w:p w14:paraId="2066A080" w14:textId="77777777" w:rsidR="00A05A86" w:rsidRPr="001E10E3" w:rsidRDefault="001E10E3" w:rsidP="00A05A86">
      <w:pPr>
        <w:pStyle w:val="PINormal"/>
        <w:jc w:val="left"/>
        <w:rPr>
          <w:lang w:val="en-GB"/>
        </w:rPr>
      </w:pPr>
      <w:r w:rsidRPr="001E10E3">
        <w:rPr>
          <w:iCs/>
        </w:rPr>
        <w:t>In Australia, information on the shelf life can be found on the public summary of the ARTG. The expiry date can be found on the packaging.</w:t>
      </w:r>
    </w:p>
    <w:p w14:paraId="1C282246" w14:textId="77777777" w:rsidR="00A05A86" w:rsidRPr="005A65B0" w:rsidRDefault="00A05A86" w:rsidP="005A65B0">
      <w:pPr>
        <w:pStyle w:val="PIHeading2"/>
        <w:spacing w:line="240" w:lineRule="auto"/>
        <w:rPr>
          <w:sz w:val="28"/>
          <w:szCs w:val="28"/>
        </w:rPr>
      </w:pPr>
      <w:r w:rsidRPr="005A65B0">
        <w:rPr>
          <w:sz w:val="28"/>
          <w:szCs w:val="28"/>
        </w:rPr>
        <w:t>6.4</w:t>
      </w:r>
      <w:r w:rsidRPr="005A65B0">
        <w:rPr>
          <w:sz w:val="28"/>
          <w:szCs w:val="28"/>
        </w:rPr>
        <w:tab/>
      </w:r>
      <w:r w:rsidR="005A65B0">
        <w:rPr>
          <w:sz w:val="28"/>
          <w:szCs w:val="28"/>
        </w:rPr>
        <w:t>S</w:t>
      </w:r>
      <w:r w:rsidR="005A65B0" w:rsidRPr="005A65B0">
        <w:rPr>
          <w:sz w:val="28"/>
          <w:szCs w:val="28"/>
        </w:rPr>
        <w:t>pecial precautions for storage</w:t>
      </w:r>
    </w:p>
    <w:p w14:paraId="4AB78DC1" w14:textId="58C1CE86" w:rsidR="00A05A86" w:rsidRPr="00A05A86" w:rsidRDefault="0000378D" w:rsidP="00A05A86">
      <w:pPr>
        <w:pStyle w:val="PINormal"/>
        <w:jc w:val="left"/>
        <w:rPr>
          <w:lang w:val="en-GB"/>
        </w:rPr>
      </w:pPr>
      <w:r>
        <w:rPr>
          <w:lang w:val="en-GB"/>
        </w:rPr>
        <w:t>Store below 30</w:t>
      </w:r>
      <w:bookmarkStart w:id="4" w:name="_Hlk22574514"/>
      <w:r>
        <w:rPr>
          <w:vertAlign w:val="superscript"/>
          <w:lang w:val="en-GB"/>
        </w:rPr>
        <w:t>o</w:t>
      </w:r>
      <w:r>
        <w:rPr>
          <w:lang w:val="en-GB"/>
        </w:rPr>
        <w:t>C</w:t>
      </w:r>
      <w:bookmarkEnd w:id="4"/>
      <w:r w:rsidR="00331173">
        <w:rPr>
          <w:lang w:val="en-GB"/>
        </w:rPr>
        <w:t>.</w:t>
      </w:r>
    </w:p>
    <w:p w14:paraId="7EC5F309" w14:textId="77777777" w:rsidR="00A05A86" w:rsidRPr="005A65B0" w:rsidRDefault="00A05A86" w:rsidP="005A65B0">
      <w:pPr>
        <w:pStyle w:val="PIHeading2"/>
        <w:spacing w:line="240" w:lineRule="auto"/>
        <w:rPr>
          <w:sz w:val="28"/>
          <w:szCs w:val="28"/>
        </w:rPr>
      </w:pPr>
      <w:r w:rsidRPr="005A65B0">
        <w:rPr>
          <w:sz w:val="28"/>
          <w:szCs w:val="28"/>
        </w:rPr>
        <w:t>6.5</w:t>
      </w:r>
      <w:r w:rsidRPr="005A65B0">
        <w:rPr>
          <w:sz w:val="28"/>
          <w:szCs w:val="28"/>
        </w:rPr>
        <w:tab/>
      </w:r>
      <w:r w:rsidR="005A65B0" w:rsidRPr="005A65B0">
        <w:rPr>
          <w:sz w:val="28"/>
          <w:szCs w:val="28"/>
        </w:rPr>
        <w:t>Nature and contents of container</w:t>
      </w:r>
    </w:p>
    <w:p w14:paraId="0B099CE1" w14:textId="77777777" w:rsidR="0063097F" w:rsidRDefault="00035029" w:rsidP="002A6FF7">
      <w:pPr>
        <w:rPr>
          <w:szCs w:val="22"/>
        </w:rPr>
      </w:pPr>
      <w:r w:rsidRPr="004D3966">
        <w:rPr>
          <w:szCs w:val="22"/>
        </w:rPr>
        <w:t>Aluminium foil blisters with aluminium foil backing containing 10 film</w:t>
      </w:r>
      <w:r>
        <w:rPr>
          <w:szCs w:val="22"/>
        </w:rPr>
        <w:noBreakHyphen/>
      </w:r>
      <w:r w:rsidRPr="004D3966">
        <w:rPr>
          <w:szCs w:val="22"/>
        </w:rPr>
        <w:t>coated tablets</w:t>
      </w:r>
      <w:r w:rsidR="002A6FF7">
        <w:rPr>
          <w:szCs w:val="22"/>
        </w:rPr>
        <w:t xml:space="preserve">. </w:t>
      </w:r>
    </w:p>
    <w:p w14:paraId="0AD419EA" w14:textId="77777777" w:rsidR="00035029" w:rsidRPr="004D3966" w:rsidRDefault="00035029" w:rsidP="00035029">
      <w:pPr>
        <w:rPr>
          <w:szCs w:val="22"/>
        </w:rPr>
      </w:pPr>
      <w:r w:rsidRPr="004D3966">
        <w:rPr>
          <w:szCs w:val="22"/>
        </w:rPr>
        <w:t>Pack sizes:</w:t>
      </w:r>
    </w:p>
    <w:p w14:paraId="05F2E600" w14:textId="77777777" w:rsidR="00184971" w:rsidRDefault="00035029" w:rsidP="00035029">
      <w:pPr>
        <w:rPr>
          <w:szCs w:val="22"/>
        </w:rPr>
      </w:pPr>
      <w:r w:rsidRPr="00A24571">
        <w:rPr>
          <w:szCs w:val="22"/>
        </w:rPr>
        <w:t xml:space="preserve">25 mg: </w:t>
      </w:r>
      <w:r w:rsidR="00C51FF0">
        <w:rPr>
          <w:szCs w:val="22"/>
        </w:rPr>
        <w:t xml:space="preserve"> </w:t>
      </w:r>
      <w:r w:rsidR="00184971">
        <w:rPr>
          <w:szCs w:val="22"/>
        </w:rPr>
        <w:t>9 blister strips (90 tablets) per carton</w:t>
      </w:r>
      <w:r w:rsidR="00C51FF0">
        <w:rPr>
          <w:szCs w:val="22"/>
        </w:rPr>
        <w:t>.</w:t>
      </w:r>
    </w:p>
    <w:p w14:paraId="526E461F" w14:textId="77777777" w:rsidR="00035029" w:rsidRPr="00A24571" w:rsidRDefault="00184971" w:rsidP="00035029">
      <w:pPr>
        <w:rPr>
          <w:szCs w:val="22"/>
        </w:rPr>
      </w:pPr>
      <w:r>
        <w:rPr>
          <w:szCs w:val="22"/>
        </w:rPr>
        <w:tab/>
      </w:r>
      <w:r w:rsidR="00035029" w:rsidRPr="00A24571">
        <w:rPr>
          <w:szCs w:val="22"/>
        </w:rPr>
        <w:t>12 blister strips</w:t>
      </w:r>
      <w:r w:rsidR="002A6FF7">
        <w:rPr>
          <w:szCs w:val="22"/>
        </w:rPr>
        <w:t xml:space="preserve"> (</w:t>
      </w:r>
      <w:r w:rsidR="002A6FF7" w:rsidRPr="002A6FF7">
        <w:rPr>
          <w:szCs w:val="22"/>
        </w:rPr>
        <w:t>120 tablets) per carton</w:t>
      </w:r>
      <w:r w:rsidR="002C3210">
        <w:rPr>
          <w:szCs w:val="22"/>
        </w:rPr>
        <w:t>.</w:t>
      </w:r>
    </w:p>
    <w:p w14:paraId="6B84EEF9" w14:textId="77777777" w:rsidR="00035029" w:rsidRDefault="00035029" w:rsidP="00331173">
      <w:pPr>
        <w:spacing w:after="180"/>
        <w:rPr>
          <w:szCs w:val="22"/>
        </w:rPr>
      </w:pPr>
      <w:r w:rsidRPr="00A24571">
        <w:rPr>
          <w:szCs w:val="22"/>
        </w:rPr>
        <w:t>100 mg: 3 blister strips</w:t>
      </w:r>
      <w:r w:rsidR="002A6FF7">
        <w:rPr>
          <w:szCs w:val="22"/>
        </w:rPr>
        <w:t xml:space="preserve"> (30 tablets) per carton</w:t>
      </w:r>
      <w:r w:rsidR="00C26410">
        <w:rPr>
          <w:szCs w:val="22"/>
        </w:rPr>
        <w:t>.</w:t>
      </w:r>
    </w:p>
    <w:p w14:paraId="11853FA2" w14:textId="5CDFB83E" w:rsidR="002C3210" w:rsidRPr="00A24571" w:rsidRDefault="002A6FF7" w:rsidP="00331173">
      <w:pPr>
        <w:spacing w:after="180"/>
        <w:rPr>
          <w:szCs w:val="22"/>
        </w:rPr>
      </w:pPr>
      <w:r>
        <w:rPr>
          <w:szCs w:val="22"/>
        </w:rPr>
        <w:t xml:space="preserve">HDPE </w:t>
      </w:r>
      <w:r w:rsidR="00460A68">
        <w:rPr>
          <w:szCs w:val="22"/>
        </w:rPr>
        <w:t>bottles</w:t>
      </w:r>
      <w:r w:rsidR="00D7297E">
        <w:rPr>
          <w:szCs w:val="22"/>
        </w:rPr>
        <w:t xml:space="preserve"> </w:t>
      </w:r>
      <w:bookmarkStart w:id="5" w:name="_Hlk22574549"/>
      <w:r w:rsidR="0000378D">
        <w:rPr>
          <w:szCs w:val="22"/>
        </w:rPr>
        <w:t xml:space="preserve">with a polypropylene child resistant closure and desiccant canister. Each bottle </w:t>
      </w:r>
      <w:bookmarkEnd w:id="5"/>
      <w:r w:rsidR="00D7297E">
        <w:rPr>
          <w:szCs w:val="22"/>
        </w:rPr>
        <w:t>contain</w:t>
      </w:r>
      <w:r w:rsidR="0000378D">
        <w:rPr>
          <w:szCs w:val="22"/>
        </w:rPr>
        <w:t>s</w:t>
      </w:r>
      <w:r w:rsidR="00D7297E">
        <w:rPr>
          <w:szCs w:val="22"/>
        </w:rPr>
        <w:t xml:space="preserve"> </w:t>
      </w:r>
      <w:r w:rsidR="002C3210">
        <w:rPr>
          <w:szCs w:val="22"/>
        </w:rPr>
        <w:t>30</w:t>
      </w:r>
      <w:r w:rsidR="002C3210" w:rsidRPr="002A6FF7">
        <w:rPr>
          <w:szCs w:val="22"/>
        </w:rPr>
        <w:t xml:space="preserve"> tablets</w:t>
      </w:r>
      <w:r w:rsidR="002C3210">
        <w:rPr>
          <w:szCs w:val="22"/>
        </w:rPr>
        <w:t>.</w:t>
      </w:r>
    </w:p>
    <w:p w14:paraId="177AC90B" w14:textId="77777777" w:rsidR="0063097F" w:rsidRPr="00A24571" w:rsidRDefault="0063097F" w:rsidP="0063097F">
      <w:pPr>
        <w:rPr>
          <w:szCs w:val="22"/>
        </w:rPr>
      </w:pPr>
      <w:r w:rsidRPr="00A24571">
        <w:rPr>
          <w:szCs w:val="22"/>
        </w:rPr>
        <w:t xml:space="preserve">Not all </w:t>
      </w:r>
      <w:r>
        <w:rPr>
          <w:szCs w:val="22"/>
        </w:rPr>
        <w:t xml:space="preserve">presentations </w:t>
      </w:r>
      <w:r w:rsidRPr="00A24571">
        <w:rPr>
          <w:szCs w:val="22"/>
        </w:rPr>
        <w:t>may be marketed.</w:t>
      </w:r>
    </w:p>
    <w:p w14:paraId="5C7F66F0" w14:textId="77777777" w:rsidR="00A05A86" w:rsidRPr="005A65B0" w:rsidRDefault="00A05A86" w:rsidP="005A65B0">
      <w:pPr>
        <w:pStyle w:val="PIHeading2"/>
        <w:spacing w:line="240" w:lineRule="auto"/>
        <w:rPr>
          <w:sz w:val="28"/>
          <w:szCs w:val="28"/>
        </w:rPr>
      </w:pPr>
      <w:r w:rsidRPr="005A65B0">
        <w:rPr>
          <w:sz w:val="28"/>
          <w:szCs w:val="28"/>
        </w:rPr>
        <w:t>6.6</w:t>
      </w:r>
      <w:r w:rsidRPr="005A65B0">
        <w:rPr>
          <w:sz w:val="28"/>
          <w:szCs w:val="28"/>
        </w:rPr>
        <w:tab/>
      </w:r>
      <w:r w:rsidR="005A65B0">
        <w:rPr>
          <w:sz w:val="28"/>
          <w:szCs w:val="28"/>
        </w:rPr>
        <w:t>S</w:t>
      </w:r>
      <w:r w:rsidR="005A65B0" w:rsidRPr="005A65B0">
        <w:rPr>
          <w:sz w:val="28"/>
          <w:szCs w:val="28"/>
        </w:rPr>
        <w:t>pecial precautions for disposal</w:t>
      </w:r>
    </w:p>
    <w:p w14:paraId="1E9CEB04" w14:textId="77777777" w:rsidR="00035029" w:rsidRDefault="00035029" w:rsidP="00035029">
      <w:pPr>
        <w:pStyle w:val="Paragraph"/>
        <w:spacing w:after="0"/>
        <w:rPr>
          <w:rStyle w:val="Instructions"/>
          <w:i w:val="0"/>
          <w:color w:val="auto"/>
        </w:rPr>
      </w:pPr>
      <w:r w:rsidRPr="00035029">
        <w:rPr>
          <w:rStyle w:val="Instructions"/>
          <w:i w:val="0"/>
          <w:color w:val="auto"/>
        </w:rPr>
        <w:t>Any unused medicinal product or waste material should be disposed of in accordance with local requirements.</w:t>
      </w:r>
    </w:p>
    <w:p w14:paraId="24E302E1" w14:textId="77777777" w:rsidR="00C92DF8" w:rsidRPr="005A65B0" w:rsidRDefault="00C92DF8" w:rsidP="005A65B0">
      <w:pPr>
        <w:pStyle w:val="PIHeading2"/>
        <w:spacing w:line="240" w:lineRule="auto"/>
        <w:rPr>
          <w:sz w:val="28"/>
          <w:szCs w:val="28"/>
        </w:rPr>
      </w:pPr>
      <w:r w:rsidRPr="005A65B0">
        <w:rPr>
          <w:sz w:val="28"/>
          <w:szCs w:val="28"/>
        </w:rPr>
        <w:lastRenderedPageBreak/>
        <w:t>6.7</w:t>
      </w:r>
      <w:r w:rsidRPr="005A65B0">
        <w:rPr>
          <w:sz w:val="28"/>
          <w:szCs w:val="28"/>
        </w:rPr>
        <w:tab/>
      </w:r>
      <w:r w:rsidR="005A65B0">
        <w:rPr>
          <w:sz w:val="28"/>
          <w:szCs w:val="28"/>
        </w:rPr>
        <w:t>P</w:t>
      </w:r>
      <w:r w:rsidR="005A65B0" w:rsidRPr="005A65B0">
        <w:rPr>
          <w:sz w:val="28"/>
          <w:szCs w:val="28"/>
        </w:rPr>
        <w:t>hysicochemical properties</w:t>
      </w:r>
    </w:p>
    <w:p w14:paraId="33F22F2E" w14:textId="77777777" w:rsidR="00C92DF8" w:rsidRPr="005A65B0" w:rsidRDefault="00C92DF8" w:rsidP="005A65B0">
      <w:pPr>
        <w:pStyle w:val="DSNormal"/>
        <w:spacing w:before="240" w:after="120"/>
        <w:rPr>
          <w:b/>
        </w:rPr>
      </w:pPr>
      <w:r w:rsidRPr="005A65B0">
        <w:rPr>
          <w:b/>
        </w:rPr>
        <w:t xml:space="preserve">Chemical </w:t>
      </w:r>
      <w:r w:rsidR="00F76550" w:rsidRPr="005A65B0">
        <w:rPr>
          <w:b/>
        </w:rPr>
        <w:t>s</w:t>
      </w:r>
      <w:r w:rsidRPr="005A65B0">
        <w:rPr>
          <w:b/>
        </w:rPr>
        <w:t>tructure</w:t>
      </w:r>
    </w:p>
    <w:p w14:paraId="6D08CF73" w14:textId="77777777" w:rsidR="00C92DF8" w:rsidRDefault="00FA0663" w:rsidP="00035029">
      <w:pPr>
        <w:pStyle w:val="Paragraph"/>
        <w:spacing w:after="0"/>
      </w:pPr>
      <w:r>
        <w:object w:dxaOrig="2709" w:dyaOrig="2061" w14:anchorId="1D0C35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35pt;height:104.35pt" o:ole="">
            <v:imagedata r:id="rId10" o:title=""/>
          </v:shape>
          <o:OLEObject Type="Embed" ProgID="ChemDraw.Document.6.0" ShapeID="_x0000_i1025" DrawAspect="Content" ObjectID="_1645011998" r:id="rId11"/>
        </w:object>
      </w:r>
    </w:p>
    <w:p w14:paraId="7DF598CA" w14:textId="0DAC1039" w:rsidR="00F76550" w:rsidRDefault="00FA0663" w:rsidP="00F64C74">
      <w:pPr>
        <w:pStyle w:val="Paragraph"/>
        <w:spacing w:before="240" w:after="120"/>
        <w:rPr>
          <w:rStyle w:val="Instructions"/>
          <w:i w:val="0"/>
          <w:color w:val="auto"/>
          <w:szCs w:val="20"/>
          <w:lang w:val="en-AU"/>
        </w:rPr>
      </w:pPr>
      <w:r w:rsidRPr="005A65B0">
        <w:rPr>
          <w:b/>
        </w:rPr>
        <w:t>CAS number</w:t>
      </w:r>
      <w:r w:rsidR="00400F07">
        <w:rPr>
          <w:b/>
        </w:rPr>
        <w:t xml:space="preserve">: </w:t>
      </w:r>
      <w:r w:rsidR="00894734" w:rsidRPr="00894734">
        <w:rPr>
          <w:rStyle w:val="Instructions"/>
          <w:i w:val="0"/>
          <w:color w:val="auto"/>
        </w:rPr>
        <w:t>1454846-35-5</w:t>
      </w:r>
    </w:p>
    <w:p w14:paraId="0920270D" w14:textId="660FADC7" w:rsidR="0000378D" w:rsidRDefault="0000378D" w:rsidP="00894734">
      <w:pPr>
        <w:pStyle w:val="Paragraph"/>
        <w:spacing w:after="0"/>
        <w:rPr>
          <w:rStyle w:val="Instructions"/>
          <w:i w:val="0"/>
          <w:color w:val="auto"/>
        </w:rPr>
      </w:pPr>
      <w:bookmarkStart w:id="6" w:name="_Hlk22574648"/>
      <w:r>
        <w:rPr>
          <w:rStyle w:val="Instructions"/>
          <w:i w:val="0"/>
          <w:color w:val="auto"/>
        </w:rPr>
        <w:t>Molecular weight: 406.4</w:t>
      </w:r>
    </w:p>
    <w:p w14:paraId="028AAAAD" w14:textId="275152AF" w:rsidR="0000378D" w:rsidRPr="00894734" w:rsidRDefault="0000378D" w:rsidP="00894734">
      <w:pPr>
        <w:pStyle w:val="Paragraph"/>
        <w:spacing w:after="0"/>
        <w:rPr>
          <w:rStyle w:val="Instructions"/>
          <w:i w:val="0"/>
          <w:color w:val="auto"/>
        </w:rPr>
      </w:pPr>
      <w:r>
        <w:rPr>
          <w:rStyle w:val="Instructions"/>
          <w:i w:val="0"/>
          <w:color w:val="auto"/>
        </w:rPr>
        <w:t xml:space="preserve">Aqueous solubility: </w:t>
      </w:r>
      <w:r w:rsidR="00400F07">
        <w:rPr>
          <w:rStyle w:val="Instructions"/>
          <w:i w:val="0"/>
          <w:color w:val="auto"/>
        </w:rPr>
        <w:t xml:space="preserve">decreases over the range pH 2.55 to pH 8.02 </w:t>
      </w:r>
      <w:r w:rsidR="00331173">
        <w:rPr>
          <w:rStyle w:val="Instructions"/>
          <w:i w:val="0"/>
          <w:color w:val="auto"/>
        </w:rPr>
        <w:t>from 32.38 mg/mL to 0.17 mg/mL.</w:t>
      </w:r>
    </w:p>
    <w:bookmarkEnd w:id="6"/>
    <w:p w14:paraId="51F3756B" w14:textId="77777777" w:rsidR="00A05A86" w:rsidRDefault="00A05A86" w:rsidP="005A65B0">
      <w:pPr>
        <w:pStyle w:val="Heading1"/>
      </w:pPr>
      <w:r>
        <w:t>MEDICINE SCHEDULE</w:t>
      </w:r>
      <w:r w:rsidR="00422678">
        <w:t xml:space="preserve"> (POISONS STANDARD)</w:t>
      </w:r>
    </w:p>
    <w:p w14:paraId="03EC636A" w14:textId="77777777" w:rsidR="00A05A86" w:rsidRDefault="00A05A86" w:rsidP="00A05A86">
      <w:pPr>
        <w:pStyle w:val="DSNormal"/>
      </w:pPr>
      <w:r>
        <w:t xml:space="preserve">Prescription Only Medicine </w:t>
      </w:r>
      <w:r w:rsidRPr="00EE573B">
        <w:rPr>
          <w:lang w:val="en-GB"/>
        </w:rPr>
        <w:t>(S4)</w:t>
      </w:r>
      <w:r>
        <w:t>.</w:t>
      </w:r>
    </w:p>
    <w:p w14:paraId="1EAE8F4F" w14:textId="77777777" w:rsidR="00E028D1" w:rsidRPr="00A439EC" w:rsidRDefault="0008537D" w:rsidP="005A65B0">
      <w:pPr>
        <w:pStyle w:val="Heading1"/>
      </w:pPr>
      <w:r w:rsidRPr="008F036C">
        <w:t>sponsor</w:t>
      </w:r>
    </w:p>
    <w:p w14:paraId="29BC8D36" w14:textId="77777777" w:rsidR="00E028D1" w:rsidRPr="009D06C7" w:rsidRDefault="008B6AB3">
      <w:pPr>
        <w:pStyle w:val="PITableTextListText"/>
        <w:rPr>
          <w:color w:val="auto"/>
        </w:rPr>
      </w:pPr>
      <w:r w:rsidRPr="009D06C7">
        <w:rPr>
          <w:color w:val="auto"/>
        </w:rPr>
        <w:t xml:space="preserve">Pfizer Australia Pty Ltd </w:t>
      </w:r>
    </w:p>
    <w:p w14:paraId="7288E0DE" w14:textId="3074D630" w:rsidR="00C00B4C" w:rsidRDefault="00C00B4C">
      <w:pPr>
        <w:pStyle w:val="PITableTextListText"/>
        <w:rPr>
          <w:color w:val="auto"/>
        </w:rPr>
      </w:pPr>
      <w:r>
        <w:rPr>
          <w:color w:val="auto"/>
        </w:rPr>
        <w:t>L</w:t>
      </w:r>
      <w:r w:rsidR="004A2F29">
        <w:rPr>
          <w:color w:val="auto"/>
        </w:rPr>
        <w:t xml:space="preserve">evel </w:t>
      </w:r>
      <w:r>
        <w:rPr>
          <w:color w:val="auto"/>
        </w:rPr>
        <w:t>17, 151 Clarence Street</w:t>
      </w:r>
    </w:p>
    <w:p w14:paraId="0827A468" w14:textId="65EACAD9" w:rsidR="00C00B4C" w:rsidRDefault="00C00B4C">
      <w:pPr>
        <w:pStyle w:val="PITableTextListText"/>
        <w:rPr>
          <w:color w:val="auto"/>
        </w:rPr>
      </w:pPr>
      <w:r>
        <w:rPr>
          <w:color w:val="auto"/>
        </w:rPr>
        <w:t>Sydney NSW 2</w:t>
      </w:r>
      <w:r w:rsidR="009832FA">
        <w:rPr>
          <w:color w:val="auto"/>
        </w:rPr>
        <w:t>00</w:t>
      </w:r>
      <w:r>
        <w:rPr>
          <w:color w:val="auto"/>
        </w:rPr>
        <w:t>0</w:t>
      </w:r>
    </w:p>
    <w:p w14:paraId="73DAD1B7" w14:textId="77777777" w:rsidR="002A6FF7" w:rsidRPr="002A6FF7" w:rsidRDefault="002A6FF7" w:rsidP="002A6FF7">
      <w:pPr>
        <w:pStyle w:val="PITableTextListText"/>
        <w:rPr>
          <w:lang w:val="en-AU"/>
        </w:rPr>
      </w:pPr>
      <w:r w:rsidRPr="002A6FF7">
        <w:rPr>
          <w:lang w:val="en-AU"/>
        </w:rPr>
        <w:t>Toll Free number: 1800 675 229</w:t>
      </w:r>
    </w:p>
    <w:p w14:paraId="2CAC5291" w14:textId="7600B861" w:rsidR="002A6FF7" w:rsidRPr="002A6FF7" w:rsidRDefault="00A44C1D" w:rsidP="002A6FF7">
      <w:pPr>
        <w:pStyle w:val="PITableTextListText"/>
        <w:rPr>
          <w:lang w:val="en-AU"/>
        </w:rPr>
      </w:pPr>
      <w:hyperlink r:id="rId12" w:history="1">
        <w:r w:rsidR="002A6FF7" w:rsidRPr="002A6FF7">
          <w:rPr>
            <w:rStyle w:val="Hyperlink"/>
            <w:lang w:val="en-AU"/>
          </w:rPr>
          <w:t>www.pfizer.com.au</w:t>
        </w:r>
      </w:hyperlink>
    </w:p>
    <w:p w14:paraId="69E84C88" w14:textId="63DB0C36" w:rsidR="00E028D1" w:rsidRDefault="00F71C6F" w:rsidP="005A65B0">
      <w:pPr>
        <w:pStyle w:val="Heading1"/>
      </w:pPr>
      <w:r w:rsidRPr="005B430B">
        <w:t xml:space="preserve">Date of first </w:t>
      </w:r>
      <w:r w:rsidR="00457A65">
        <w:t>APPROVAL</w:t>
      </w:r>
    </w:p>
    <w:p w14:paraId="657056BF" w14:textId="3B0E850D" w:rsidR="000B06B5" w:rsidRPr="000B06B5" w:rsidRDefault="000B06B5" w:rsidP="000B06B5">
      <w:r>
        <w:t>19 November 2019</w:t>
      </w:r>
    </w:p>
    <w:p w14:paraId="0FCCDEAB" w14:textId="77777777" w:rsidR="00E028D1" w:rsidRPr="007B7A44" w:rsidRDefault="00F71C6F" w:rsidP="005A65B0">
      <w:pPr>
        <w:pStyle w:val="Heading1"/>
      </w:pPr>
      <w:r w:rsidRPr="007B041F">
        <w:t xml:space="preserve">DATE OF </w:t>
      </w:r>
      <w:r w:rsidR="00457A65">
        <w:t>REVISION</w:t>
      </w:r>
    </w:p>
    <w:p w14:paraId="4186F0C1" w14:textId="06710A55" w:rsidR="00035029" w:rsidRDefault="00331173" w:rsidP="00331173">
      <w:pPr>
        <w:spacing w:after="180"/>
        <w:rPr>
          <w:lang w:val="en-GB"/>
        </w:rPr>
      </w:pPr>
      <w:r>
        <w:rPr>
          <w:lang w:val="en-GB"/>
        </w:rPr>
        <w:t>Not applicable</w:t>
      </w:r>
    </w:p>
    <w:p w14:paraId="50C6ABE7" w14:textId="23E5E9D5" w:rsidR="00457A65" w:rsidRDefault="00DB6E1F" w:rsidP="00C87284">
      <w:pPr>
        <w:rPr>
          <w:highlight w:val="magenta"/>
        </w:rPr>
      </w:pPr>
      <w:r>
        <w:t>®</w:t>
      </w:r>
      <w:r w:rsidR="00C92DF8">
        <w:t xml:space="preserve"> = </w:t>
      </w:r>
      <w:r>
        <w:t xml:space="preserve">Registered </w:t>
      </w:r>
      <w:r w:rsidR="00331173">
        <w:t>Trademark</w:t>
      </w:r>
    </w:p>
    <w:sectPr w:rsidR="00457A65" w:rsidSect="00C47362">
      <w:headerReference w:type="even" r:id="rId13"/>
      <w:headerReference w:type="default" r:id="rId14"/>
      <w:footerReference w:type="even" r:id="rId15"/>
      <w:footerReference w:type="default" r:id="rId16"/>
      <w:headerReference w:type="first" r:id="rId17"/>
      <w:footerReference w:type="first" r:id="rId18"/>
      <w:pgSz w:w="11907" w:h="16840" w:code="9"/>
      <w:pgMar w:top="1247" w:right="1247" w:bottom="1134" w:left="1247" w:header="873"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BF683" w14:textId="77777777" w:rsidR="003D182C" w:rsidRDefault="003D182C">
      <w:r>
        <w:separator/>
      </w:r>
    </w:p>
  </w:endnote>
  <w:endnote w:type="continuationSeparator" w:id="0">
    <w:p w14:paraId="676C8823" w14:textId="77777777" w:rsidR="003D182C" w:rsidRDefault="003D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A64D6" w14:textId="77777777" w:rsidR="00A44C1D" w:rsidRDefault="00A44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2174A" w14:textId="77777777" w:rsidR="003D182C" w:rsidRDefault="003D182C">
    <w:pPr>
      <w:pStyle w:val="Footer"/>
      <w:tabs>
        <w:tab w:val="clear" w:pos="8306"/>
        <w:tab w:val="right" w:pos="9072"/>
      </w:tabs>
      <w:rPr>
        <w:rFonts w:ascii="Arial" w:hAnsi="Arial" w:cs="Arial"/>
        <w:sz w:val="16"/>
        <w:szCs w:val="16"/>
      </w:rPr>
    </w:pPr>
  </w:p>
  <w:p w14:paraId="4D4448F3" w14:textId="525E67E4" w:rsidR="003D182C" w:rsidRDefault="003D182C">
    <w:pPr>
      <w:pStyle w:val="Footer"/>
      <w:tabs>
        <w:tab w:val="clear" w:pos="4153"/>
        <w:tab w:val="clear" w:pos="8306"/>
        <w:tab w:val="right" w:pos="9214"/>
      </w:tabs>
      <w:rPr>
        <w:rFonts w:ascii="Arial" w:hAnsi="Arial" w:cs="Arial"/>
        <w:sz w:val="18"/>
        <w:szCs w:val="18"/>
      </w:rPr>
    </w:pPr>
    <w:r>
      <w:rPr>
        <w:rFonts w:ascii="Arial" w:hAnsi="Arial" w:cs="Arial"/>
        <w:sz w:val="18"/>
        <w:szCs w:val="18"/>
      </w:rPr>
      <w:t xml:space="preserve">Version: </w:t>
    </w:r>
    <w:r w:rsidRPr="009F1ADE">
      <w:rPr>
        <w:rFonts w:ascii="Arial" w:hAnsi="Arial" w:cs="Arial"/>
        <w:caps/>
        <w:noProof/>
        <w:sz w:val="16"/>
        <w:szCs w:val="16"/>
        <w:lang w:val="en-AU" w:eastAsia="en-AU"/>
      </w:rPr>
      <mc:AlternateContent>
        <mc:Choice Requires="wps">
          <w:drawing>
            <wp:anchor distT="0" distB="0" distL="114300" distR="114300" simplePos="0" relativeHeight="251657216" behindDoc="0" locked="0" layoutInCell="1" allowOverlap="1" wp14:anchorId="65EE6F14" wp14:editId="07283FBD">
              <wp:simplePos x="0" y="0"/>
              <wp:positionH relativeFrom="column">
                <wp:posOffset>59690</wp:posOffset>
              </wp:positionH>
              <wp:positionV relativeFrom="paragraph">
                <wp:posOffset>-46355</wp:posOffset>
              </wp:positionV>
              <wp:extent cx="5760720" cy="0"/>
              <wp:effectExtent l="13335" t="13970" r="7620" b="508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9A42802"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3.65pt" to="458.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uO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dPs/RpAqLRwZeQYkg01vlPXHcoGCWWwDkCk9PW+UCEFENIuEfpjZAy&#10;ii0V6ku8mE6mMcFpKVhwhjBnD/tKWnQiYVziF6sCz2OY1UfFIljLCVvfbE+EvNpwuVQBD0oBOjfr&#10;Og8/FuliPV/P81E+ma1HeVrXo4+bKh/NNtnTtP5QV1Wd/QzUsrxoBWNcBXbDbGb532l/eyXXqbpP&#10;570NyVv02C8gO/wj6ahlkO86CHvNLjs7aAzjGINvTyfM++Me7McHvvoFAAD//wMAUEsDBBQABgAI&#10;AAAAIQAvaG2D2wAAAAcBAAAPAAAAZHJzL2Rvd25yZXYueG1sTI7NTsMwEITvSLyDtUhcqtZpiwIN&#10;2VQIyI1LC4jrNl6SiHidxm4beHqMOMBxfjTz5evRdurIg2+dIMxnCSiWyplWaoSX53J6A8oHEkOd&#10;E0b4ZA/r4vwsp8y4k2z4uA21iiPiM0JoQugzrX3VsCU/cz1LzN7dYClEOdTaDHSK47bTiyRJtaVW&#10;4kNDPd83XH1sDxbBl6+8L78m1SR5W9aOF/uHp0dCvLwY725BBR7DXxl+8CM6FJFp5w5ivOoQVlex&#10;iDC9XoKK8WqepqB2v4Yucv2fv/gGAAD//wMAUEsBAi0AFAAGAAgAAAAhALaDOJL+AAAA4QEAABMA&#10;AAAAAAAAAAAAAAAAAAAAAFtDb250ZW50X1R5cGVzXS54bWxQSwECLQAUAAYACAAAACEAOP0h/9YA&#10;AACUAQAACwAAAAAAAAAAAAAAAAAvAQAAX3JlbHMvLnJlbHNQSwECLQAUAAYACAAAACEAvEf7jhEC&#10;AAAoBAAADgAAAAAAAAAAAAAAAAAuAgAAZHJzL2Uyb0RvYy54bWxQSwECLQAUAAYACAAAACEAL2ht&#10;g9sAAAAHAQAADwAAAAAAAAAAAAAAAABrBAAAZHJzL2Rvd25yZXYueG1sUEsFBgAAAAAEAAQA8wAA&#10;AHMFAAAAAA==&#10;"/>
          </w:pict>
        </mc:Fallback>
      </mc:AlternateContent>
    </w:r>
    <w:r>
      <w:rPr>
        <w:rFonts w:ascii="Arial" w:hAnsi="Arial" w:cs="Arial"/>
        <w:sz w:val="18"/>
        <w:szCs w:val="18"/>
      </w:rPr>
      <w:t>pfplorvt11119</w:t>
    </w:r>
    <w:r>
      <w:rPr>
        <w:rFonts w:ascii="Arial" w:hAnsi="Arial" w:cs="Arial"/>
        <w:sz w:val="16"/>
        <w:szCs w:val="16"/>
      </w:rPr>
      <w:tab/>
    </w:r>
    <w:r>
      <w:rPr>
        <w:rFonts w:ascii="Arial" w:hAnsi="Arial" w:cs="Arial"/>
        <w:sz w:val="18"/>
        <w:szCs w:val="18"/>
      </w:rPr>
      <w:t>S</w:t>
    </w:r>
    <w:r w:rsidRPr="00F71C6F">
      <w:rPr>
        <w:rFonts w:ascii="Arial" w:hAnsi="Arial" w:cs="Arial"/>
        <w:sz w:val="18"/>
        <w:szCs w:val="18"/>
      </w:rPr>
      <w:t xml:space="preserve">upersedes: </w:t>
    </w:r>
    <w:r w:rsidRPr="009337D1">
      <w:rPr>
        <w:rFonts w:ascii="Arial" w:hAnsi="Arial" w:cs="Arial"/>
        <w:sz w:val="18"/>
        <w:szCs w:val="18"/>
      </w:rPr>
      <w:t xml:space="preserve"> </w:t>
    </w:r>
    <w:r>
      <w:rPr>
        <w:rFonts w:ascii="Arial" w:hAnsi="Arial" w:cs="Arial"/>
        <w:sz w:val="18"/>
        <w:szCs w:val="18"/>
      </w:rPr>
      <w:t>n/a</w:t>
    </w:r>
  </w:p>
  <w:p w14:paraId="4FAF6EAA" w14:textId="7FE6D53E" w:rsidR="003D182C" w:rsidRDefault="003D182C">
    <w:pPr>
      <w:pStyle w:val="Footer"/>
      <w:tabs>
        <w:tab w:val="clear" w:pos="4153"/>
        <w:tab w:val="clear" w:pos="8306"/>
        <w:tab w:val="right" w:pos="9214"/>
      </w:tabs>
      <w:rPr>
        <w:rFonts w:ascii="Arial" w:hAnsi="Arial" w:cs="Arial"/>
        <w:sz w:val="16"/>
        <w:szCs w:val="16"/>
      </w:rPr>
    </w:pPr>
    <w:r>
      <w:rPr>
        <w:rFonts w:ascii="Arial" w:hAnsi="Arial" w:cs="Arial"/>
        <w:sz w:val="18"/>
        <w:szCs w:val="18"/>
      </w:rPr>
      <w:tab/>
    </w:r>
    <w:r>
      <w:rPr>
        <w:lang w:val="en-US"/>
      </w:rPr>
      <w:t xml:space="preserve">Page </w:t>
    </w:r>
    <w:r>
      <w:rPr>
        <w:lang w:val="en-US"/>
      </w:rPr>
      <w:fldChar w:fldCharType="begin"/>
    </w:r>
    <w:r>
      <w:rPr>
        <w:lang w:val="en-US"/>
      </w:rPr>
      <w:instrText xml:space="preserve"> PAGE </w:instrText>
    </w:r>
    <w:r>
      <w:rPr>
        <w:lang w:val="en-US"/>
      </w:rPr>
      <w:fldChar w:fldCharType="separate"/>
    </w:r>
    <w:r w:rsidR="00A44C1D">
      <w:rPr>
        <w:noProof/>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A44C1D">
      <w:rPr>
        <w:noProof/>
        <w:lang w:val="en-US"/>
      </w:rPr>
      <w:t>20</w:t>
    </w:r>
    <w:r>
      <w:rPr>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1E66A" w14:textId="77777777" w:rsidR="00A44C1D" w:rsidRDefault="00A44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AC0AA" w14:textId="77777777" w:rsidR="003D182C" w:rsidRDefault="003D182C">
      <w:r>
        <w:separator/>
      </w:r>
    </w:p>
  </w:footnote>
  <w:footnote w:type="continuationSeparator" w:id="0">
    <w:p w14:paraId="4F2198B1" w14:textId="77777777" w:rsidR="003D182C" w:rsidRDefault="003D1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313EC" w14:textId="77777777" w:rsidR="00A44C1D" w:rsidRDefault="00A44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shd w:val="clear" w:color="auto" w:fill="E4F2E0"/>
      <w:tblLook w:val="04A0" w:firstRow="1" w:lastRow="0" w:firstColumn="1" w:lastColumn="0" w:noHBand="0" w:noVBand="1"/>
    </w:tblPr>
    <w:tblGrid>
      <w:gridCol w:w="8720"/>
    </w:tblGrid>
    <w:tr w:rsidR="003D182C" w:rsidRPr="003D182C" w14:paraId="280A6C81" w14:textId="77777777" w:rsidTr="003D182C">
      <w:tc>
        <w:tcPr>
          <w:tcW w:w="8720" w:type="dxa"/>
          <w:shd w:val="clear" w:color="auto" w:fill="E4F2E0"/>
        </w:tcPr>
        <w:p w14:paraId="6F519693" w14:textId="708F10D7" w:rsidR="003D182C" w:rsidRPr="003D182C" w:rsidRDefault="003D182C" w:rsidP="003D182C">
          <w:pPr>
            <w:spacing w:before="180" w:after="180" w:line="240" w:lineRule="atLeast"/>
            <w:rPr>
              <w:sz w:val="22"/>
            </w:rPr>
          </w:pPr>
          <w:r w:rsidRPr="003D182C">
            <w:rPr>
              <w:sz w:val="20"/>
            </w:rPr>
            <w:t>Attachment 1: Product information for AusPAR - LORVIQUA - Lorlatinib - Pfizer Australia Pty Ltd - PM-2018-04291-1-4</w:t>
          </w:r>
          <w:r>
            <w:rPr>
              <w:sz w:val="20"/>
            </w:rPr>
            <w:t xml:space="preserve"> </w:t>
          </w:r>
          <w:r w:rsidRPr="003D182C">
            <w:rPr>
              <w:sz w:val="20"/>
            </w:rPr>
            <w:t xml:space="preserve">FINAL 21 February2020. </w:t>
          </w:r>
          <w:r w:rsidRPr="003D182C">
            <w:rPr>
              <w:sz w:val="18"/>
              <w:szCs w:val="18"/>
            </w:rPr>
            <w:t>This is the Product Information that was approved with the submission described in this AusPAR. It may have been superseded. For the most recent PI, please refer to the TGA website at &lt;</w:t>
          </w:r>
          <w:hyperlink r:id="rId1" w:history="1">
            <w:r w:rsidRPr="003D182C">
              <w:rPr>
                <w:color w:val="0000FF"/>
                <w:sz w:val="18"/>
                <w:szCs w:val="18"/>
                <w:u w:val="single"/>
              </w:rPr>
              <w:t>https://www.tga.gov.au/product-information-pi</w:t>
            </w:r>
          </w:hyperlink>
          <w:r w:rsidRPr="00A44C1D">
            <w:rPr>
              <w:sz w:val="18"/>
              <w:szCs w:val="18"/>
            </w:rPr>
            <w:t>&gt;</w:t>
          </w:r>
        </w:p>
      </w:tc>
    </w:tr>
  </w:tbl>
  <w:p w14:paraId="44C9E24D" w14:textId="77777777" w:rsidR="003D182C" w:rsidRDefault="003D182C">
    <w:pPr>
      <w:pStyle w:val="Header"/>
    </w:pPr>
    <w:bookmarkStart w:id="7" w:name="_GoBack"/>
    <w:bookmarkEnd w:id="7"/>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E3144" w14:textId="77777777" w:rsidR="00A44C1D" w:rsidRDefault="00A44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DF127734"/>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97EE5"/>
    <w:multiLevelType w:val="hybridMultilevel"/>
    <w:tmpl w:val="FD6A70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77617"/>
    <w:multiLevelType w:val="hybridMultilevel"/>
    <w:tmpl w:val="B7F61154"/>
    <w:lvl w:ilvl="0" w:tplc="1D768B20">
      <w:start w:val="1"/>
      <w:numFmt w:val="decimal"/>
      <w:lvlText w:val="%1."/>
      <w:lvlJc w:val="left"/>
      <w:pPr>
        <w:ind w:left="637" w:hanging="360"/>
      </w:pPr>
      <w:rPr>
        <w:rFonts w:hint="default"/>
      </w:rPr>
    </w:lvl>
    <w:lvl w:ilvl="1" w:tplc="08130019" w:tentative="1">
      <w:start w:val="1"/>
      <w:numFmt w:val="lowerLetter"/>
      <w:lvlText w:val="%2."/>
      <w:lvlJc w:val="left"/>
      <w:pPr>
        <w:ind w:left="1357" w:hanging="360"/>
      </w:pPr>
    </w:lvl>
    <w:lvl w:ilvl="2" w:tplc="0813001B" w:tentative="1">
      <w:start w:val="1"/>
      <w:numFmt w:val="lowerRoman"/>
      <w:lvlText w:val="%3."/>
      <w:lvlJc w:val="right"/>
      <w:pPr>
        <w:ind w:left="2077" w:hanging="180"/>
      </w:pPr>
    </w:lvl>
    <w:lvl w:ilvl="3" w:tplc="0813000F" w:tentative="1">
      <w:start w:val="1"/>
      <w:numFmt w:val="decimal"/>
      <w:lvlText w:val="%4."/>
      <w:lvlJc w:val="left"/>
      <w:pPr>
        <w:ind w:left="2797" w:hanging="360"/>
      </w:pPr>
    </w:lvl>
    <w:lvl w:ilvl="4" w:tplc="08130019" w:tentative="1">
      <w:start w:val="1"/>
      <w:numFmt w:val="lowerLetter"/>
      <w:lvlText w:val="%5."/>
      <w:lvlJc w:val="left"/>
      <w:pPr>
        <w:ind w:left="3517" w:hanging="360"/>
      </w:pPr>
    </w:lvl>
    <w:lvl w:ilvl="5" w:tplc="0813001B" w:tentative="1">
      <w:start w:val="1"/>
      <w:numFmt w:val="lowerRoman"/>
      <w:lvlText w:val="%6."/>
      <w:lvlJc w:val="right"/>
      <w:pPr>
        <w:ind w:left="4237" w:hanging="180"/>
      </w:pPr>
    </w:lvl>
    <w:lvl w:ilvl="6" w:tplc="0813000F" w:tentative="1">
      <w:start w:val="1"/>
      <w:numFmt w:val="decimal"/>
      <w:lvlText w:val="%7."/>
      <w:lvlJc w:val="left"/>
      <w:pPr>
        <w:ind w:left="4957" w:hanging="360"/>
      </w:pPr>
    </w:lvl>
    <w:lvl w:ilvl="7" w:tplc="08130019" w:tentative="1">
      <w:start w:val="1"/>
      <w:numFmt w:val="lowerLetter"/>
      <w:lvlText w:val="%8."/>
      <w:lvlJc w:val="left"/>
      <w:pPr>
        <w:ind w:left="5677" w:hanging="360"/>
      </w:pPr>
    </w:lvl>
    <w:lvl w:ilvl="8" w:tplc="0813001B" w:tentative="1">
      <w:start w:val="1"/>
      <w:numFmt w:val="lowerRoman"/>
      <w:lvlText w:val="%9."/>
      <w:lvlJc w:val="right"/>
      <w:pPr>
        <w:ind w:left="6397" w:hanging="180"/>
      </w:pPr>
    </w:lvl>
  </w:abstractNum>
  <w:abstractNum w:abstractNumId="4" w15:restartNumberingAfterBreak="0">
    <w:nsid w:val="1A735EF2"/>
    <w:multiLevelType w:val="singleLevel"/>
    <w:tmpl w:val="4EFEC0B6"/>
    <w:lvl w:ilvl="0">
      <w:start w:val="12"/>
      <w:numFmt w:val="decimal"/>
      <w:lvlText w:val="%1."/>
      <w:legacy w:legacy="1" w:legacySpace="0" w:legacyIndent="720"/>
      <w:lvlJc w:val="left"/>
      <w:pPr>
        <w:ind w:left="720" w:hanging="720"/>
      </w:pPr>
    </w:lvl>
  </w:abstractNum>
  <w:abstractNum w:abstractNumId="5" w15:restartNumberingAfterBreak="0">
    <w:nsid w:val="228639F3"/>
    <w:multiLevelType w:val="hybridMultilevel"/>
    <w:tmpl w:val="B5C6EC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D61B07"/>
    <w:multiLevelType w:val="hybridMultilevel"/>
    <w:tmpl w:val="B956B57E"/>
    <w:lvl w:ilvl="0" w:tplc="62EECDFC">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AC791E"/>
    <w:multiLevelType w:val="hybridMultilevel"/>
    <w:tmpl w:val="DC4E304E"/>
    <w:lvl w:ilvl="0" w:tplc="AA6208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4874AF"/>
    <w:multiLevelType w:val="multilevel"/>
    <w:tmpl w:val="0C94E00E"/>
    <w:lvl w:ilvl="0">
      <w:start w:val="1"/>
      <w:numFmt w:val="decimal"/>
      <w:pStyle w:val="Heading1"/>
      <w:lvlText w:val="%1."/>
      <w:lvlJc w:val="left"/>
      <w:pPr>
        <w:ind w:left="786" w:hanging="360"/>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45EE03CE"/>
    <w:multiLevelType w:val="hybridMultilevel"/>
    <w:tmpl w:val="2DE063E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A96943"/>
    <w:multiLevelType w:val="hybridMultilevel"/>
    <w:tmpl w:val="46B4D7E0"/>
    <w:lvl w:ilvl="0" w:tplc="79B21BF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9B479E"/>
    <w:multiLevelType w:val="hybridMultilevel"/>
    <w:tmpl w:val="670CC66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0F2E1D"/>
    <w:multiLevelType w:val="hybridMultilevel"/>
    <w:tmpl w:val="85E2B9B8"/>
    <w:lvl w:ilvl="0" w:tplc="0813000F">
      <w:start w:val="1"/>
      <w:numFmt w:val="decimal"/>
      <w:lvlText w:val="%1."/>
      <w:lvlJc w:val="left"/>
      <w:pPr>
        <w:ind w:left="997" w:hanging="360"/>
      </w:pPr>
    </w:lvl>
    <w:lvl w:ilvl="1" w:tplc="08130019" w:tentative="1">
      <w:start w:val="1"/>
      <w:numFmt w:val="lowerLetter"/>
      <w:lvlText w:val="%2."/>
      <w:lvlJc w:val="left"/>
      <w:pPr>
        <w:ind w:left="1717" w:hanging="360"/>
      </w:pPr>
    </w:lvl>
    <w:lvl w:ilvl="2" w:tplc="0813001B" w:tentative="1">
      <w:start w:val="1"/>
      <w:numFmt w:val="lowerRoman"/>
      <w:lvlText w:val="%3."/>
      <w:lvlJc w:val="right"/>
      <w:pPr>
        <w:ind w:left="2437" w:hanging="180"/>
      </w:pPr>
    </w:lvl>
    <w:lvl w:ilvl="3" w:tplc="0813000F" w:tentative="1">
      <w:start w:val="1"/>
      <w:numFmt w:val="decimal"/>
      <w:lvlText w:val="%4."/>
      <w:lvlJc w:val="left"/>
      <w:pPr>
        <w:ind w:left="3157" w:hanging="360"/>
      </w:pPr>
    </w:lvl>
    <w:lvl w:ilvl="4" w:tplc="08130019" w:tentative="1">
      <w:start w:val="1"/>
      <w:numFmt w:val="lowerLetter"/>
      <w:lvlText w:val="%5."/>
      <w:lvlJc w:val="left"/>
      <w:pPr>
        <w:ind w:left="3877" w:hanging="360"/>
      </w:pPr>
    </w:lvl>
    <w:lvl w:ilvl="5" w:tplc="0813001B" w:tentative="1">
      <w:start w:val="1"/>
      <w:numFmt w:val="lowerRoman"/>
      <w:lvlText w:val="%6."/>
      <w:lvlJc w:val="right"/>
      <w:pPr>
        <w:ind w:left="4597" w:hanging="180"/>
      </w:pPr>
    </w:lvl>
    <w:lvl w:ilvl="6" w:tplc="0813000F" w:tentative="1">
      <w:start w:val="1"/>
      <w:numFmt w:val="decimal"/>
      <w:lvlText w:val="%7."/>
      <w:lvlJc w:val="left"/>
      <w:pPr>
        <w:ind w:left="5317" w:hanging="360"/>
      </w:pPr>
    </w:lvl>
    <w:lvl w:ilvl="7" w:tplc="08130019" w:tentative="1">
      <w:start w:val="1"/>
      <w:numFmt w:val="lowerLetter"/>
      <w:lvlText w:val="%8."/>
      <w:lvlJc w:val="left"/>
      <w:pPr>
        <w:ind w:left="6037" w:hanging="360"/>
      </w:pPr>
    </w:lvl>
    <w:lvl w:ilvl="8" w:tplc="0813001B" w:tentative="1">
      <w:start w:val="1"/>
      <w:numFmt w:val="lowerRoman"/>
      <w:lvlText w:val="%9."/>
      <w:lvlJc w:val="right"/>
      <w:pPr>
        <w:ind w:left="6757" w:hanging="180"/>
      </w:pPr>
    </w:lvl>
  </w:abstractNum>
  <w:abstractNum w:abstractNumId="13" w15:restartNumberingAfterBreak="0">
    <w:nsid w:val="4F703229"/>
    <w:multiLevelType w:val="hybridMultilevel"/>
    <w:tmpl w:val="08146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0D0415"/>
    <w:multiLevelType w:val="hybridMultilevel"/>
    <w:tmpl w:val="B9CE9F6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56FF464E"/>
    <w:multiLevelType w:val="hybridMultilevel"/>
    <w:tmpl w:val="63BEC5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D466F5D"/>
    <w:multiLevelType w:val="hybridMultilevel"/>
    <w:tmpl w:val="49AA4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ED04D6"/>
    <w:multiLevelType w:val="singleLevel"/>
    <w:tmpl w:val="5E124F6A"/>
    <w:lvl w:ilvl="0">
      <w:start w:val="1"/>
      <w:numFmt w:val="bullet"/>
      <w:lvlRestart w:val="0"/>
      <w:pStyle w:val="ListBullet2"/>
      <w:lvlText w:val=""/>
      <w:lvlJc w:val="left"/>
      <w:pPr>
        <w:tabs>
          <w:tab w:val="num" w:pos="720"/>
        </w:tabs>
        <w:ind w:left="720" w:hanging="360"/>
      </w:pPr>
      <w:rPr>
        <w:rFonts w:ascii="Symbol" w:hAnsi="Symbol" w:hint="default"/>
        <w:caps w:val="0"/>
        <w:u w:val="none"/>
      </w:rPr>
    </w:lvl>
  </w:abstractNum>
  <w:abstractNum w:abstractNumId="18" w15:restartNumberingAfterBreak="0">
    <w:nsid w:val="78ED5B83"/>
    <w:multiLevelType w:val="hybridMultilevel"/>
    <w:tmpl w:val="B2E44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1"/>
  </w:num>
  <w:num w:numId="4">
    <w:abstractNumId w:val="6"/>
  </w:num>
  <w:num w:numId="5">
    <w:abstractNumId w:val="5"/>
  </w:num>
  <w:num w:numId="6">
    <w:abstractNumId w:val="16"/>
  </w:num>
  <w:num w:numId="7">
    <w:abstractNumId w:val="13"/>
  </w:num>
  <w:num w:numId="8">
    <w:abstractNumId w:val="18"/>
  </w:num>
  <w:num w:numId="9">
    <w:abstractNumId w:val="10"/>
  </w:num>
  <w:num w:numId="10">
    <w:abstractNumId w:val="2"/>
  </w:num>
  <w:num w:numId="11">
    <w:abstractNumId w:val="12"/>
  </w:num>
  <w:num w:numId="12">
    <w:abstractNumId w:val="3"/>
  </w:num>
  <w:num w:numId="13">
    <w:abstractNumId w:val="7"/>
  </w:num>
  <w:num w:numId="14">
    <w:abstractNumId w:val="7"/>
  </w:num>
  <w:num w:numId="15">
    <w:abstractNumId w:val="15"/>
  </w:num>
  <w:num w:numId="16">
    <w:abstractNumId w:val="7"/>
  </w:num>
  <w:num w:numId="17">
    <w:abstractNumId w:val="7"/>
  </w:num>
  <w:num w:numId="18">
    <w:abstractNumId w:val="7"/>
    <w:lvlOverride w:ilvl="0">
      <w:startOverride w:val="1"/>
    </w:lvlOverride>
  </w:num>
  <w:num w:numId="19">
    <w:abstractNumId w:val="7"/>
    <w:lvlOverride w:ilvl="0">
      <w:startOverride w:val="1"/>
    </w:lvlOverride>
  </w:num>
  <w:num w:numId="20">
    <w:abstractNumId w:val="7"/>
    <w:lvlOverride w:ilvl="0">
      <w:startOverride w:val="1"/>
    </w:lvlOverride>
  </w:num>
  <w:num w:numId="21">
    <w:abstractNumId w:val="7"/>
  </w:num>
  <w:num w:numId="22">
    <w:abstractNumId w:val="7"/>
    <w:lvlOverride w:ilvl="0">
      <w:startOverride w:val="7"/>
    </w:lvlOverride>
  </w:num>
  <w:num w:numId="23">
    <w:abstractNumId w:val="8"/>
  </w:num>
  <w:num w:numId="24">
    <w:abstractNumId w:val="8"/>
  </w:num>
  <w:num w:numId="25">
    <w:abstractNumId w:val="8"/>
    <w:lvlOverride w:ilvl="0">
      <w:startOverride w:val="7"/>
    </w:lvlOverride>
  </w:num>
  <w:num w:numId="26">
    <w:abstractNumId w:val="8"/>
  </w:num>
  <w:num w:numId="27">
    <w:abstractNumId w:val="8"/>
  </w:num>
  <w:num w:numId="28">
    <w:abstractNumId w:val="8"/>
  </w:num>
  <w:num w:numId="29">
    <w:abstractNumId w:val="8"/>
  </w:num>
  <w:num w:numId="30">
    <w:abstractNumId w:val="8"/>
  </w:num>
  <w:num w:numId="31">
    <w:abstractNumId w:val="8"/>
  </w:num>
  <w:num w:numId="32">
    <w:abstractNumId w:val="9"/>
  </w:num>
  <w:num w:numId="33">
    <w:abstractNumId w:val="17"/>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56A"/>
    <w:rsid w:val="00002C42"/>
    <w:rsid w:val="0000378D"/>
    <w:rsid w:val="00007176"/>
    <w:rsid w:val="00010B9C"/>
    <w:rsid w:val="000122FB"/>
    <w:rsid w:val="00012DEB"/>
    <w:rsid w:val="00013C94"/>
    <w:rsid w:val="0001447D"/>
    <w:rsid w:val="00014960"/>
    <w:rsid w:val="00015236"/>
    <w:rsid w:val="0001560A"/>
    <w:rsid w:val="00020FBC"/>
    <w:rsid w:val="00021969"/>
    <w:rsid w:val="00022537"/>
    <w:rsid w:val="00027B05"/>
    <w:rsid w:val="00030826"/>
    <w:rsid w:val="00031FF7"/>
    <w:rsid w:val="00034D83"/>
    <w:rsid w:val="00035029"/>
    <w:rsid w:val="000360BA"/>
    <w:rsid w:val="00037E87"/>
    <w:rsid w:val="0004029F"/>
    <w:rsid w:val="00040474"/>
    <w:rsid w:val="00041664"/>
    <w:rsid w:val="00042E0E"/>
    <w:rsid w:val="00043B0F"/>
    <w:rsid w:val="00045243"/>
    <w:rsid w:val="00045306"/>
    <w:rsid w:val="00047AB7"/>
    <w:rsid w:val="00047F6C"/>
    <w:rsid w:val="00051080"/>
    <w:rsid w:val="00051A35"/>
    <w:rsid w:val="00065D37"/>
    <w:rsid w:val="000715D2"/>
    <w:rsid w:val="00072D8E"/>
    <w:rsid w:val="00075F1F"/>
    <w:rsid w:val="00077D91"/>
    <w:rsid w:val="00077EBE"/>
    <w:rsid w:val="00080108"/>
    <w:rsid w:val="00081069"/>
    <w:rsid w:val="00081D2D"/>
    <w:rsid w:val="00083621"/>
    <w:rsid w:val="000837C1"/>
    <w:rsid w:val="0008425A"/>
    <w:rsid w:val="000843E6"/>
    <w:rsid w:val="00084DBD"/>
    <w:rsid w:val="0008537D"/>
    <w:rsid w:val="00086932"/>
    <w:rsid w:val="00087799"/>
    <w:rsid w:val="000877DF"/>
    <w:rsid w:val="0009326A"/>
    <w:rsid w:val="00093B44"/>
    <w:rsid w:val="00096B2C"/>
    <w:rsid w:val="00096C96"/>
    <w:rsid w:val="00097CE3"/>
    <w:rsid w:val="000A04A4"/>
    <w:rsid w:val="000A1F41"/>
    <w:rsid w:val="000A3AB7"/>
    <w:rsid w:val="000A7FF8"/>
    <w:rsid w:val="000B02B3"/>
    <w:rsid w:val="000B06B5"/>
    <w:rsid w:val="000B530C"/>
    <w:rsid w:val="000B5376"/>
    <w:rsid w:val="000B5C04"/>
    <w:rsid w:val="000C435A"/>
    <w:rsid w:val="000C44FC"/>
    <w:rsid w:val="000C4792"/>
    <w:rsid w:val="000C758C"/>
    <w:rsid w:val="000D00B2"/>
    <w:rsid w:val="000D22FD"/>
    <w:rsid w:val="000D630E"/>
    <w:rsid w:val="000D63B9"/>
    <w:rsid w:val="000E3B4F"/>
    <w:rsid w:val="000E72B0"/>
    <w:rsid w:val="000E72C6"/>
    <w:rsid w:val="000F2F06"/>
    <w:rsid w:val="000F316F"/>
    <w:rsid w:val="000F3900"/>
    <w:rsid w:val="000F610A"/>
    <w:rsid w:val="00100F28"/>
    <w:rsid w:val="001026E3"/>
    <w:rsid w:val="001058FA"/>
    <w:rsid w:val="001064AA"/>
    <w:rsid w:val="0010733E"/>
    <w:rsid w:val="0011021E"/>
    <w:rsid w:val="00111B0A"/>
    <w:rsid w:val="00125669"/>
    <w:rsid w:val="00126277"/>
    <w:rsid w:val="00133065"/>
    <w:rsid w:val="00133683"/>
    <w:rsid w:val="00134FDB"/>
    <w:rsid w:val="0013716F"/>
    <w:rsid w:val="00140C85"/>
    <w:rsid w:val="00141B0B"/>
    <w:rsid w:val="001469E1"/>
    <w:rsid w:val="0015106D"/>
    <w:rsid w:val="00163394"/>
    <w:rsid w:val="0016347E"/>
    <w:rsid w:val="00164D91"/>
    <w:rsid w:val="00166AB2"/>
    <w:rsid w:val="001678BA"/>
    <w:rsid w:val="0017022C"/>
    <w:rsid w:val="00173A20"/>
    <w:rsid w:val="001744C7"/>
    <w:rsid w:val="00176078"/>
    <w:rsid w:val="0017703B"/>
    <w:rsid w:val="00177987"/>
    <w:rsid w:val="001821B3"/>
    <w:rsid w:val="00183ED7"/>
    <w:rsid w:val="00184971"/>
    <w:rsid w:val="00185BEB"/>
    <w:rsid w:val="00187C77"/>
    <w:rsid w:val="00187FDC"/>
    <w:rsid w:val="001918FF"/>
    <w:rsid w:val="00194054"/>
    <w:rsid w:val="00194B89"/>
    <w:rsid w:val="00196978"/>
    <w:rsid w:val="001A402B"/>
    <w:rsid w:val="001B00EE"/>
    <w:rsid w:val="001B0D17"/>
    <w:rsid w:val="001B284D"/>
    <w:rsid w:val="001B5CE5"/>
    <w:rsid w:val="001B6769"/>
    <w:rsid w:val="001B6E25"/>
    <w:rsid w:val="001C0555"/>
    <w:rsid w:val="001C3193"/>
    <w:rsid w:val="001C4915"/>
    <w:rsid w:val="001C5ADE"/>
    <w:rsid w:val="001D169A"/>
    <w:rsid w:val="001D2C5B"/>
    <w:rsid w:val="001D2FC0"/>
    <w:rsid w:val="001D3339"/>
    <w:rsid w:val="001D418D"/>
    <w:rsid w:val="001D7DB8"/>
    <w:rsid w:val="001E0A64"/>
    <w:rsid w:val="001E10E3"/>
    <w:rsid w:val="001E18B9"/>
    <w:rsid w:val="001E18F9"/>
    <w:rsid w:val="001E21E0"/>
    <w:rsid w:val="001E2FDC"/>
    <w:rsid w:val="001E313A"/>
    <w:rsid w:val="001E4B65"/>
    <w:rsid w:val="001E6296"/>
    <w:rsid w:val="001E781A"/>
    <w:rsid w:val="001F0699"/>
    <w:rsid w:val="001F2DC3"/>
    <w:rsid w:val="001F3DBA"/>
    <w:rsid w:val="001F49CA"/>
    <w:rsid w:val="001F7505"/>
    <w:rsid w:val="001F7859"/>
    <w:rsid w:val="0020055D"/>
    <w:rsid w:val="0020303B"/>
    <w:rsid w:val="00204EFD"/>
    <w:rsid w:val="00205CC5"/>
    <w:rsid w:val="0020769C"/>
    <w:rsid w:val="00210B45"/>
    <w:rsid w:val="002138B1"/>
    <w:rsid w:val="00222FD1"/>
    <w:rsid w:val="00230DE1"/>
    <w:rsid w:val="00230EC3"/>
    <w:rsid w:val="00233338"/>
    <w:rsid w:val="00233418"/>
    <w:rsid w:val="002343D2"/>
    <w:rsid w:val="00243A26"/>
    <w:rsid w:val="00243D52"/>
    <w:rsid w:val="0025128B"/>
    <w:rsid w:val="00251F22"/>
    <w:rsid w:val="00251F53"/>
    <w:rsid w:val="00252FE1"/>
    <w:rsid w:val="00253F10"/>
    <w:rsid w:val="002578E7"/>
    <w:rsid w:val="002643F1"/>
    <w:rsid w:val="0026488E"/>
    <w:rsid w:val="00267266"/>
    <w:rsid w:val="00267ECB"/>
    <w:rsid w:val="002715DF"/>
    <w:rsid w:val="00272800"/>
    <w:rsid w:val="002729CA"/>
    <w:rsid w:val="00272E79"/>
    <w:rsid w:val="002746D8"/>
    <w:rsid w:val="002752DC"/>
    <w:rsid w:val="0027725E"/>
    <w:rsid w:val="00283A01"/>
    <w:rsid w:val="00284ADD"/>
    <w:rsid w:val="00286785"/>
    <w:rsid w:val="00286CE3"/>
    <w:rsid w:val="0028739F"/>
    <w:rsid w:val="002874D0"/>
    <w:rsid w:val="002874F1"/>
    <w:rsid w:val="00287990"/>
    <w:rsid w:val="002879CC"/>
    <w:rsid w:val="0029004F"/>
    <w:rsid w:val="002905BA"/>
    <w:rsid w:val="0029091C"/>
    <w:rsid w:val="00291E8B"/>
    <w:rsid w:val="002A3958"/>
    <w:rsid w:val="002A44DF"/>
    <w:rsid w:val="002A576A"/>
    <w:rsid w:val="002A6FF7"/>
    <w:rsid w:val="002B03B8"/>
    <w:rsid w:val="002B2F9E"/>
    <w:rsid w:val="002B609F"/>
    <w:rsid w:val="002B783C"/>
    <w:rsid w:val="002B7BE4"/>
    <w:rsid w:val="002C0940"/>
    <w:rsid w:val="002C3210"/>
    <w:rsid w:val="002C769D"/>
    <w:rsid w:val="002D186A"/>
    <w:rsid w:val="002D1D5A"/>
    <w:rsid w:val="002D26C6"/>
    <w:rsid w:val="002D7F69"/>
    <w:rsid w:val="002E0CE9"/>
    <w:rsid w:val="002E127A"/>
    <w:rsid w:val="002E6288"/>
    <w:rsid w:val="002E787E"/>
    <w:rsid w:val="002F1DB0"/>
    <w:rsid w:val="002F3BB2"/>
    <w:rsid w:val="00300C63"/>
    <w:rsid w:val="00302F2F"/>
    <w:rsid w:val="00302FC4"/>
    <w:rsid w:val="0030567B"/>
    <w:rsid w:val="00305D13"/>
    <w:rsid w:val="00306300"/>
    <w:rsid w:val="00306C83"/>
    <w:rsid w:val="00312E4D"/>
    <w:rsid w:val="003139C4"/>
    <w:rsid w:val="00314D34"/>
    <w:rsid w:val="003176D7"/>
    <w:rsid w:val="00321AD5"/>
    <w:rsid w:val="00322432"/>
    <w:rsid w:val="00325C6E"/>
    <w:rsid w:val="00330693"/>
    <w:rsid w:val="00331173"/>
    <w:rsid w:val="00335935"/>
    <w:rsid w:val="00336E5E"/>
    <w:rsid w:val="00336EAE"/>
    <w:rsid w:val="00336F25"/>
    <w:rsid w:val="003373B6"/>
    <w:rsid w:val="0034345A"/>
    <w:rsid w:val="00343EDD"/>
    <w:rsid w:val="00345474"/>
    <w:rsid w:val="00346954"/>
    <w:rsid w:val="00347D4A"/>
    <w:rsid w:val="00352CDA"/>
    <w:rsid w:val="003539BC"/>
    <w:rsid w:val="003541EF"/>
    <w:rsid w:val="003546A5"/>
    <w:rsid w:val="00354CDE"/>
    <w:rsid w:val="0035679C"/>
    <w:rsid w:val="00360106"/>
    <w:rsid w:val="00360232"/>
    <w:rsid w:val="003609CA"/>
    <w:rsid w:val="00361208"/>
    <w:rsid w:val="00362AE3"/>
    <w:rsid w:val="00362D93"/>
    <w:rsid w:val="0036469D"/>
    <w:rsid w:val="00364AA3"/>
    <w:rsid w:val="003661C2"/>
    <w:rsid w:val="00371773"/>
    <w:rsid w:val="00376434"/>
    <w:rsid w:val="003825AC"/>
    <w:rsid w:val="00385C84"/>
    <w:rsid w:val="00394E4B"/>
    <w:rsid w:val="00396AB9"/>
    <w:rsid w:val="003A7E3B"/>
    <w:rsid w:val="003B0E1E"/>
    <w:rsid w:val="003B14D0"/>
    <w:rsid w:val="003B6F68"/>
    <w:rsid w:val="003C0AD5"/>
    <w:rsid w:val="003C24F0"/>
    <w:rsid w:val="003C640E"/>
    <w:rsid w:val="003D13DC"/>
    <w:rsid w:val="003D182C"/>
    <w:rsid w:val="003D1920"/>
    <w:rsid w:val="003D3470"/>
    <w:rsid w:val="003D3547"/>
    <w:rsid w:val="003D3FA0"/>
    <w:rsid w:val="003D4174"/>
    <w:rsid w:val="003D429A"/>
    <w:rsid w:val="003D6596"/>
    <w:rsid w:val="003D6AD1"/>
    <w:rsid w:val="003E6BBA"/>
    <w:rsid w:val="003F433A"/>
    <w:rsid w:val="00400F07"/>
    <w:rsid w:val="0040751F"/>
    <w:rsid w:val="004075FC"/>
    <w:rsid w:val="004101AF"/>
    <w:rsid w:val="00410413"/>
    <w:rsid w:val="004109DC"/>
    <w:rsid w:val="00411746"/>
    <w:rsid w:val="00414E8A"/>
    <w:rsid w:val="00414F5C"/>
    <w:rsid w:val="00415A19"/>
    <w:rsid w:val="00416766"/>
    <w:rsid w:val="00417201"/>
    <w:rsid w:val="00420006"/>
    <w:rsid w:val="00420036"/>
    <w:rsid w:val="00420E9B"/>
    <w:rsid w:val="0042136D"/>
    <w:rsid w:val="00422678"/>
    <w:rsid w:val="004274D5"/>
    <w:rsid w:val="00430439"/>
    <w:rsid w:val="0043068E"/>
    <w:rsid w:val="00431237"/>
    <w:rsid w:val="004332A2"/>
    <w:rsid w:val="00434393"/>
    <w:rsid w:val="00435FB0"/>
    <w:rsid w:val="004365C2"/>
    <w:rsid w:val="0044090C"/>
    <w:rsid w:val="0044272D"/>
    <w:rsid w:val="00443902"/>
    <w:rsid w:val="00445210"/>
    <w:rsid w:val="0044627B"/>
    <w:rsid w:val="00447CCA"/>
    <w:rsid w:val="00451337"/>
    <w:rsid w:val="00452075"/>
    <w:rsid w:val="00454D54"/>
    <w:rsid w:val="00455E18"/>
    <w:rsid w:val="00457A65"/>
    <w:rsid w:val="00460A68"/>
    <w:rsid w:val="00461650"/>
    <w:rsid w:val="004620E3"/>
    <w:rsid w:val="00463D4A"/>
    <w:rsid w:val="004661EB"/>
    <w:rsid w:val="004679F2"/>
    <w:rsid w:val="00467B10"/>
    <w:rsid w:val="00467E72"/>
    <w:rsid w:val="004717B0"/>
    <w:rsid w:val="0047263C"/>
    <w:rsid w:val="00475CCE"/>
    <w:rsid w:val="00475F69"/>
    <w:rsid w:val="00481A66"/>
    <w:rsid w:val="00481F38"/>
    <w:rsid w:val="00484113"/>
    <w:rsid w:val="00484621"/>
    <w:rsid w:val="00484D83"/>
    <w:rsid w:val="0048522A"/>
    <w:rsid w:val="0049101A"/>
    <w:rsid w:val="00491C60"/>
    <w:rsid w:val="0049660B"/>
    <w:rsid w:val="00497899"/>
    <w:rsid w:val="004A0C7A"/>
    <w:rsid w:val="004A2F29"/>
    <w:rsid w:val="004A4EB7"/>
    <w:rsid w:val="004A7014"/>
    <w:rsid w:val="004A7D38"/>
    <w:rsid w:val="004B07D5"/>
    <w:rsid w:val="004B406C"/>
    <w:rsid w:val="004B5F75"/>
    <w:rsid w:val="004C0799"/>
    <w:rsid w:val="004C0AD3"/>
    <w:rsid w:val="004C3C2F"/>
    <w:rsid w:val="004D5D7B"/>
    <w:rsid w:val="004D6256"/>
    <w:rsid w:val="004E1888"/>
    <w:rsid w:val="004E2661"/>
    <w:rsid w:val="004E2816"/>
    <w:rsid w:val="004E282B"/>
    <w:rsid w:val="004E503E"/>
    <w:rsid w:val="004F2A31"/>
    <w:rsid w:val="004F3556"/>
    <w:rsid w:val="00504E25"/>
    <w:rsid w:val="00507E8A"/>
    <w:rsid w:val="0051104B"/>
    <w:rsid w:val="00511203"/>
    <w:rsid w:val="00511500"/>
    <w:rsid w:val="00511712"/>
    <w:rsid w:val="005119CD"/>
    <w:rsid w:val="00512F78"/>
    <w:rsid w:val="005130FD"/>
    <w:rsid w:val="00513DA9"/>
    <w:rsid w:val="00513DF7"/>
    <w:rsid w:val="005142E5"/>
    <w:rsid w:val="00514427"/>
    <w:rsid w:val="00515B11"/>
    <w:rsid w:val="0051650C"/>
    <w:rsid w:val="005243F9"/>
    <w:rsid w:val="0053099A"/>
    <w:rsid w:val="00533A56"/>
    <w:rsid w:val="005346AE"/>
    <w:rsid w:val="0053512F"/>
    <w:rsid w:val="00536D04"/>
    <w:rsid w:val="00536ECD"/>
    <w:rsid w:val="00537268"/>
    <w:rsid w:val="00543980"/>
    <w:rsid w:val="00543A78"/>
    <w:rsid w:val="00546317"/>
    <w:rsid w:val="00551DCD"/>
    <w:rsid w:val="005526C8"/>
    <w:rsid w:val="00552794"/>
    <w:rsid w:val="00553AC7"/>
    <w:rsid w:val="00554B30"/>
    <w:rsid w:val="005555D5"/>
    <w:rsid w:val="005564DF"/>
    <w:rsid w:val="005567D4"/>
    <w:rsid w:val="00560AA9"/>
    <w:rsid w:val="00563558"/>
    <w:rsid w:val="005652D6"/>
    <w:rsid w:val="00565C85"/>
    <w:rsid w:val="005673D7"/>
    <w:rsid w:val="005701F3"/>
    <w:rsid w:val="00570498"/>
    <w:rsid w:val="005735CD"/>
    <w:rsid w:val="00576E7C"/>
    <w:rsid w:val="00576EEB"/>
    <w:rsid w:val="00576F51"/>
    <w:rsid w:val="005801D8"/>
    <w:rsid w:val="0058569E"/>
    <w:rsid w:val="00587625"/>
    <w:rsid w:val="00590815"/>
    <w:rsid w:val="00592919"/>
    <w:rsid w:val="005944A9"/>
    <w:rsid w:val="00596A6E"/>
    <w:rsid w:val="0059789D"/>
    <w:rsid w:val="005A02DB"/>
    <w:rsid w:val="005A09CD"/>
    <w:rsid w:val="005A0C2B"/>
    <w:rsid w:val="005A1A07"/>
    <w:rsid w:val="005A24DE"/>
    <w:rsid w:val="005A58EC"/>
    <w:rsid w:val="005A5A0E"/>
    <w:rsid w:val="005A65B0"/>
    <w:rsid w:val="005A69E3"/>
    <w:rsid w:val="005A6AA0"/>
    <w:rsid w:val="005B29A3"/>
    <w:rsid w:val="005B29F2"/>
    <w:rsid w:val="005B4246"/>
    <w:rsid w:val="005B430B"/>
    <w:rsid w:val="005B6176"/>
    <w:rsid w:val="005B6695"/>
    <w:rsid w:val="005B68E7"/>
    <w:rsid w:val="005C0248"/>
    <w:rsid w:val="005C06BA"/>
    <w:rsid w:val="005C4A5B"/>
    <w:rsid w:val="005C5F06"/>
    <w:rsid w:val="005D0D19"/>
    <w:rsid w:val="005D0FE4"/>
    <w:rsid w:val="005D5916"/>
    <w:rsid w:val="005E0A85"/>
    <w:rsid w:val="005E23DC"/>
    <w:rsid w:val="005E34AF"/>
    <w:rsid w:val="005E4390"/>
    <w:rsid w:val="005E5936"/>
    <w:rsid w:val="005E5FE0"/>
    <w:rsid w:val="005E6791"/>
    <w:rsid w:val="005E7A96"/>
    <w:rsid w:val="005F37A5"/>
    <w:rsid w:val="005F412B"/>
    <w:rsid w:val="005F4B7F"/>
    <w:rsid w:val="005F5913"/>
    <w:rsid w:val="005F7A96"/>
    <w:rsid w:val="00600D67"/>
    <w:rsid w:val="00601043"/>
    <w:rsid w:val="0060230E"/>
    <w:rsid w:val="006023DB"/>
    <w:rsid w:val="00604A25"/>
    <w:rsid w:val="00605EA5"/>
    <w:rsid w:val="00606F1C"/>
    <w:rsid w:val="00607F5F"/>
    <w:rsid w:val="006101B4"/>
    <w:rsid w:val="00610692"/>
    <w:rsid w:val="00610A18"/>
    <w:rsid w:val="00612800"/>
    <w:rsid w:val="006137FE"/>
    <w:rsid w:val="00614726"/>
    <w:rsid w:val="00615CA6"/>
    <w:rsid w:val="006170C8"/>
    <w:rsid w:val="00617882"/>
    <w:rsid w:val="00621299"/>
    <w:rsid w:val="0062177C"/>
    <w:rsid w:val="00621781"/>
    <w:rsid w:val="00621FD6"/>
    <w:rsid w:val="00622891"/>
    <w:rsid w:val="00626902"/>
    <w:rsid w:val="0063097F"/>
    <w:rsid w:val="00631441"/>
    <w:rsid w:val="00644451"/>
    <w:rsid w:val="0064507A"/>
    <w:rsid w:val="00647A77"/>
    <w:rsid w:val="00652FD4"/>
    <w:rsid w:val="00653859"/>
    <w:rsid w:val="00654518"/>
    <w:rsid w:val="00654F8F"/>
    <w:rsid w:val="00656255"/>
    <w:rsid w:val="00660589"/>
    <w:rsid w:val="00665754"/>
    <w:rsid w:val="006664FF"/>
    <w:rsid w:val="006676E8"/>
    <w:rsid w:val="00670A33"/>
    <w:rsid w:val="0067457F"/>
    <w:rsid w:val="006749E8"/>
    <w:rsid w:val="006750EE"/>
    <w:rsid w:val="00677CB9"/>
    <w:rsid w:val="00681389"/>
    <w:rsid w:val="0068193B"/>
    <w:rsid w:val="00682E43"/>
    <w:rsid w:val="006831A6"/>
    <w:rsid w:val="00683CD1"/>
    <w:rsid w:val="00684EDC"/>
    <w:rsid w:val="00693C04"/>
    <w:rsid w:val="0069419E"/>
    <w:rsid w:val="006A0078"/>
    <w:rsid w:val="006A11E4"/>
    <w:rsid w:val="006A2731"/>
    <w:rsid w:val="006A27B6"/>
    <w:rsid w:val="006A2F7B"/>
    <w:rsid w:val="006A4300"/>
    <w:rsid w:val="006A4D5B"/>
    <w:rsid w:val="006A53E0"/>
    <w:rsid w:val="006A5AE6"/>
    <w:rsid w:val="006A6893"/>
    <w:rsid w:val="006B577B"/>
    <w:rsid w:val="006C3968"/>
    <w:rsid w:val="006C4D0C"/>
    <w:rsid w:val="006C4F1D"/>
    <w:rsid w:val="006D006D"/>
    <w:rsid w:val="006D015D"/>
    <w:rsid w:val="006D0430"/>
    <w:rsid w:val="006D0B46"/>
    <w:rsid w:val="006D4D0F"/>
    <w:rsid w:val="006D5027"/>
    <w:rsid w:val="006D50DA"/>
    <w:rsid w:val="006E043A"/>
    <w:rsid w:val="006E1DCC"/>
    <w:rsid w:val="006E2573"/>
    <w:rsid w:val="006E2857"/>
    <w:rsid w:val="006E386B"/>
    <w:rsid w:val="006E684F"/>
    <w:rsid w:val="006F18AE"/>
    <w:rsid w:val="006F5271"/>
    <w:rsid w:val="006F5954"/>
    <w:rsid w:val="006F79AA"/>
    <w:rsid w:val="00701BAF"/>
    <w:rsid w:val="007033EB"/>
    <w:rsid w:val="00704F45"/>
    <w:rsid w:val="00705F79"/>
    <w:rsid w:val="00710AC5"/>
    <w:rsid w:val="00711CA7"/>
    <w:rsid w:val="00712869"/>
    <w:rsid w:val="00712FAB"/>
    <w:rsid w:val="00714462"/>
    <w:rsid w:val="00715EC4"/>
    <w:rsid w:val="0071788F"/>
    <w:rsid w:val="007211C6"/>
    <w:rsid w:val="0072161D"/>
    <w:rsid w:val="00723D0B"/>
    <w:rsid w:val="00726515"/>
    <w:rsid w:val="007301EA"/>
    <w:rsid w:val="0073348C"/>
    <w:rsid w:val="00733FC5"/>
    <w:rsid w:val="00734CCE"/>
    <w:rsid w:val="00735CE2"/>
    <w:rsid w:val="007361CA"/>
    <w:rsid w:val="007374D1"/>
    <w:rsid w:val="00737ADC"/>
    <w:rsid w:val="00742722"/>
    <w:rsid w:val="00742E32"/>
    <w:rsid w:val="00747089"/>
    <w:rsid w:val="00747381"/>
    <w:rsid w:val="007515B0"/>
    <w:rsid w:val="00753815"/>
    <w:rsid w:val="00753B85"/>
    <w:rsid w:val="00754F9E"/>
    <w:rsid w:val="0075619B"/>
    <w:rsid w:val="0075650D"/>
    <w:rsid w:val="00756EF7"/>
    <w:rsid w:val="007609A9"/>
    <w:rsid w:val="007653E7"/>
    <w:rsid w:val="00766FB9"/>
    <w:rsid w:val="00767C93"/>
    <w:rsid w:val="00771D91"/>
    <w:rsid w:val="00777E7A"/>
    <w:rsid w:val="007830EE"/>
    <w:rsid w:val="00787572"/>
    <w:rsid w:val="007876D3"/>
    <w:rsid w:val="00787F07"/>
    <w:rsid w:val="00791ADB"/>
    <w:rsid w:val="007930F5"/>
    <w:rsid w:val="00797538"/>
    <w:rsid w:val="007A4984"/>
    <w:rsid w:val="007A4CD8"/>
    <w:rsid w:val="007A4D83"/>
    <w:rsid w:val="007A5520"/>
    <w:rsid w:val="007A69FF"/>
    <w:rsid w:val="007B041F"/>
    <w:rsid w:val="007B0495"/>
    <w:rsid w:val="007B0FDD"/>
    <w:rsid w:val="007B26A6"/>
    <w:rsid w:val="007B466D"/>
    <w:rsid w:val="007B4E38"/>
    <w:rsid w:val="007B7A44"/>
    <w:rsid w:val="007B7CC6"/>
    <w:rsid w:val="007C00F2"/>
    <w:rsid w:val="007C0666"/>
    <w:rsid w:val="007C396A"/>
    <w:rsid w:val="007C405E"/>
    <w:rsid w:val="007C7CD5"/>
    <w:rsid w:val="007D56A1"/>
    <w:rsid w:val="007E2C4C"/>
    <w:rsid w:val="007E3575"/>
    <w:rsid w:val="007E46F1"/>
    <w:rsid w:val="007E6ED6"/>
    <w:rsid w:val="007E7246"/>
    <w:rsid w:val="007F04D5"/>
    <w:rsid w:val="007F06CC"/>
    <w:rsid w:val="007F3DF1"/>
    <w:rsid w:val="007F4F45"/>
    <w:rsid w:val="007F63E4"/>
    <w:rsid w:val="0080060B"/>
    <w:rsid w:val="00801077"/>
    <w:rsid w:val="0080252D"/>
    <w:rsid w:val="00804E35"/>
    <w:rsid w:val="00804F8A"/>
    <w:rsid w:val="00806AC2"/>
    <w:rsid w:val="00811241"/>
    <w:rsid w:val="008116E5"/>
    <w:rsid w:val="00812AA0"/>
    <w:rsid w:val="00812ED2"/>
    <w:rsid w:val="00814B80"/>
    <w:rsid w:val="00815854"/>
    <w:rsid w:val="00815C60"/>
    <w:rsid w:val="00817B88"/>
    <w:rsid w:val="00822682"/>
    <w:rsid w:val="00822F87"/>
    <w:rsid w:val="008243EA"/>
    <w:rsid w:val="008267E3"/>
    <w:rsid w:val="00826DDF"/>
    <w:rsid w:val="00827669"/>
    <w:rsid w:val="00832D3C"/>
    <w:rsid w:val="008334C2"/>
    <w:rsid w:val="008349D3"/>
    <w:rsid w:val="00834AAE"/>
    <w:rsid w:val="00835D2B"/>
    <w:rsid w:val="00837407"/>
    <w:rsid w:val="00841AB2"/>
    <w:rsid w:val="00841CF0"/>
    <w:rsid w:val="00843980"/>
    <w:rsid w:val="008451A1"/>
    <w:rsid w:val="008458CA"/>
    <w:rsid w:val="008470F1"/>
    <w:rsid w:val="00850956"/>
    <w:rsid w:val="00851A68"/>
    <w:rsid w:val="00856813"/>
    <w:rsid w:val="00860B1A"/>
    <w:rsid w:val="00861BD3"/>
    <w:rsid w:val="008631CF"/>
    <w:rsid w:val="008647DC"/>
    <w:rsid w:val="00865022"/>
    <w:rsid w:val="00867833"/>
    <w:rsid w:val="008708D1"/>
    <w:rsid w:val="00870DEA"/>
    <w:rsid w:val="00872310"/>
    <w:rsid w:val="00873AA1"/>
    <w:rsid w:val="00874844"/>
    <w:rsid w:val="00875F1A"/>
    <w:rsid w:val="00876880"/>
    <w:rsid w:val="008823DE"/>
    <w:rsid w:val="00882BF8"/>
    <w:rsid w:val="008838CA"/>
    <w:rsid w:val="008842A3"/>
    <w:rsid w:val="00884BAA"/>
    <w:rsid w:val="008852F9"/>
    <w:rsid w:val="00887381"/>
    <w:rsid w:val="00893EBD"/>
    <w:rsid w:val="00894734"/>
    <w:rsid w:val="00895354"/>
    <w:rsid w:val="00895BC0"/>
    <w:rsid w:val="00895DC1"/>
    <w:rsid w:val="008A150B"/>
    <w:rsid w:val="008A2526"/>
    <w:rsid w:val="008A5C44"/>
    <w:rsid w:val="008A69DE"/>
    <w:rsid w:val="008B0562"/>
    <w:rsid w:val="008B29D6"/>
    <w:rsid w:val="008B3264"/>
    <w:rsid w:val="008B6AB3"/>
    <w:rsid w:val="008C1632"/>
    <w:rsid w:val="008C736C"/>
    <w:rsid w:val="008D136E"/>
    <w:rsid w:val="008D1E9B"/>
    <w:rsid w:val="008D239F"/>
    <w:rsid w:val="008D53CB"/>
    <w:rsid w:val="008D5E6D"/>
    <w:rsid w:val="008D6F3A"/>
    <w:rsid w:val="008D7830"/>
    <w:rsid w:val="008E171E"/>
    <w:rsid w:val="008E3C16"/>
    <w:rsid w:val="008E586B"/>
    <w:rsid w:val="008E6BAA"/>
    <w:rsid w:val="008F036C"/>
    <w:rsid w:val="008F0895"/>
    <w:rsid w:val="008F190B"/>
    <w:rsid w:val="008F2D6E"/>
    <w:rsid w:val="008F2D98"/>
    <w:rsid w:val="008F631B"/>
    <w:rsid w:val="00901ED3"/>
    <w:rsid w:val="00902CF3"/>
    <w:rsid w:val="00905526"/>
    <w:rsid w:val="0090640B"/>
    <w:rsid w:val="00906B5D"/>
    <w:rsid w:val="0090720D"/>
    <w:rsid w:val="009077B3"/>
    <w:rsid w:val="00910EE7"/>
    <w:rsid w:val="009116AA"/>
    <w:rsid w:val="00911F43"/>
    <w:rsid w:val="00912EBA"/>
    <w:rsid w:val="0092196C"/>
    <w:rsid w:val="00923F7B"/>
    <w:rsid w:val="0092760A"/>
    <w:rsid w:val="00931232"/>
    <w:rsid w:val="0093239A"/>
    <w:rsid w:val="00933596"/>
    <w:rsid w:val="009337D1"/>
    <w:rsid w:val="00934489"/>
    <w:rsid w:val="00934E24"/>
    <w:rsid w:val="0094265E"/>
    <w:rsid w:val="0094276E"/>
    <w:rsid w:val="00942F2C"/>
    <w:rsid w:val="00944522"/>
    <w:rsid w:val="00945302"/>
    <w:rsid w:val="00950F66"/>
    <w:rsid w:val="00952220"/>
    <w:rsid w:val="00952C6A"/>
    <w:rsid w:val="00953FC8"/>
    <w:rsid w:val="009546CD"/>
    <w:rsid w:val="009556AD"/>
    <w:rsid w:val="00955B8B"/>
    <w:rsid w:val="00960D37"/>
    <w:rsid w:val="00962529"/>
    <w:rsid w:val="009638A7"/>
    <w:rsid w:val="009657C9"/>
    <w:rsid w:val="00970C92"/>
    <w:rsid w:val="00970CE1"/>
    <w:rsid w:val="00972C0B"/>
    <w:rsid w:val="00976021"/>
    <w:rsid w:val="00980E7F"/>
    <w:rsid w:val="009821A9"/>
    <w:rsid w:val="009832FA"/>
    <w:rsid w:val="009855FC"/>
    <w:rsid w:val="00987609"/>
    <w:rsid w:val="00991DA1"/>
    <w:rsid w:val="00991FA2"/>
    <w:rsid w:val="00993755"/>
    <w:rsid w:val="00993F50"/>
    <w:rsid w:val="00993F83"/>
    <w:rsid w:val="00994EC6"/>
    <w:rsid w:val="00995B52"/>
    <w:rsid w:val="009A00C5"/>
    <w:rsid w:val="009A0517"/>
    <w:rsid w:val="009A1AA2"/>
    <w:rsid w:val="009A236A"/>
    <w:rsid w:val="009A2C54"/>
    <w:rsid w:val="009A321A"/>
    <w:rsid w:val="009B0E88"/>
    <w:rsid w:val="009B11BE"/>
    <w:rsid w:val="009B2A9B"/>
    <w:rsid w:val="009B6781"/>
    <w:rsid w:val="009B77E7"/>
    <w:rsid w:val="009C17B1"/>
    <w:rsid w:val="009C1B6A"/>
    <w:rsid w:val="009C1DA2"/>
    <w:rsid w:val="009C2214"/>
    <w:rsid w:val="009C39E2"/>
    <w:rsid w:val="009C3E91"/>
    <w:rsid w:val="009C4246"/>
    <w:rsid w:val="009C5493"/>
    <w:rsid w:val="009D06C7"/>
    <w:rsid w:val="009D668C"/>
    <w:rsid w:val="009D7156"/>
    <w:rsid w:val="009E0838"/>
    <w:rsid w:val="009E0AAE"/>
    <w:rsid w:val="009E4D82"/>
    <w:rsid w:val="009F1ADE"/>
    <w:rsid w:val="009F1FF1"/>
    <w:rsid w:val="00A00DAB"/>
    <w:rsid w:val="00A02A1F"/>
    <w:rsid w:val="00A03975"/>
    <w:rsid w:val="00A044BC"/>
    <w:rsid w:val="00A05A86"/>
    <w:rsid w:val="00A106EC"/>
    <w:rsid w:val="00A109C4"/>
    <w:rsid w:val="00A128F2"/>
    <w:rsid w:val="00A1368B"/>
    <w:rsid w:val="00A13AC1"/>
    <w:rsid w:val="00A171E0"/>
    <w:rsid w:val="00A21C6E"/>
    <w:rsid w:val="00A2453B"/>
    <w:rsid w:val="00A265BC"/>
    <w:rsid w:val="00A31D9E"/>
    <w:rsid w:val="00A357B6"/>
    <w:rsid w:val="00A437B1"/>
    <w:rsid w:val="00A439EC"/>
    <w:rsid w:val="00A44AC6"/>
    <w:rsid w:val="00A44BD5"/>
    <w:rsid w:val="00A44C1D"/>
    <w:rsid w:val="00A46DF8"/>
    <w:rsid w:val="00A47CAA"/>
    <w:rsid w:val="00A52B17"/>
    <w:rsid w:val="00A54DB8"/>
    <w:rsid w:val="00A55F2F"/>
    <w:rsid w:val="00A5666D"/>
    <w:rsid w:val="00A56A50"/>
    <w:rsid w:val="00A64FFF"/>
    <w:rsid w:val="00A67F8D"/>
    <w:rsid w:val="00A724E5"/>
    <w:rsid w:val="00A72A98"/>
    <w:rsid w:val="00A80BE3"/>
    <w:rsid w:val="00A814F8"/>
    <w:rsid w:val="00A8732E"/>
    <w:rsid w:val="00A87E20"/>
    <w:rsid w:val="00A95600"/>
    <w:rsid w:val="00A97CF7"/>
    <w:rsid w:val="00AA357A"/>
    <w:rsid w:val="00AA7339"/>
    <w:rsid w:val="00AB6AE6"/>
    <w:rsid w:val="00AB7407"/>
    <w:rsid w:val="00AC0722"/>
    <w:rsid w:val="00AC0819"/>
    <w:rsid w:val="00AC1202"/>
    <w:rsid w:val="00AC442F"/>
    <w:rsid w:val="00AC5A68"/>
    <w:rsid w:val="00AC6A97"/>
    <w:rsid w:val="00AC7326"/>
    <w:rsid w:val="00AC7C21"/>
    <w:rsid w:val="00AD11A9"/>
    <w:rsid w:val="00AD61F8"/>
    <w:rsid w:val="00AD6741"/>
    <w:rsid w:val="00AD6D5E"/>
    <w:rsid w:val="00AD74C3"/>
    <w:rsid w:val="00AE0FB0"/>
    <w:rsid w:val="00AE213F"/>
    <w:rsid w:val="00AE37DB"/>
    <w:rsid w:val="00AE41D1"/>
    <w:rsid w:val="00AE463E"/>
    <w:rsid w:val="00AE6897"/>
    <w:rsid w:val="00AF5306"/>
    <w:rsid w:val="00AF5E7F"/>
    <w:rsid w:val="00AF7027"/>
    <w:rsid w:val="00B0027E"/>
    <w:rsid w:val="00B02DAE"/>
    <w:rsid w:val="00B058E9"/>
    <w:rsid w:val="00B11277"/>
    <w:rsid w:val="00B1779E"/>
    <w:rsid w:val="00B206A5"/>
    <w:rsid w:val="00B21250"/>
    <w:rsid w:val="00B24A15"/>
    <w:rsid w:val="00B26338"/>
    <w:rsid w:val="00B26CAC"/>
    <w:rsid w:val="00B27950"/>
    <w:rsid w:val="00B35D00"/>
    <w:rsid w:val="00B44F7D"/>
    <w:rsid w:val="00B472A7"/>
    <w:rsid w:val="00B474DA"/>
    <w:rsid w:val="00B47781"/>
    <w:rsid w:val="00B5108F"/>
    <w:rsid w:val="00B531D6"/>
    <w:rsid w:val="00B532FF"/>
    <w:rsid w:val="00B5414F"/>
    <w:rsid w:val="00B54BDF"/>
    <w:rsid w:val="00B61068"/>
    <w:rsid w:val="00B625D8"/>
    <w:rsid w:val="00B65268"/>
    <w:rsid w:val="00B66210"/>
    <w:rsid w:val="00B67E72"/>
    <w:rsid w:val="00B70085"/>
    <w:rsid w:val="00B71B5E"/>
    <w:rsid w:val="00B72364"/>
    <w:rsid w:val="00B752F4"/>
    <w:rsid w:val="00B75566"/>
    <w:rsid w:val="00B7556A"/>
    <w:rsid w:val="00B760F5"/>
    <w:rsid w:val="00B76311"/>
    <w:rsid w:val="00B779EB"/>
    <w:rsid w:val="00B835D3"/>
    <w:rsid w:val="00B847B6"/>
    <w:rsid w:val="00B850CC"/>
    <w:rsid w:val="00BA1786"/>
    <w:rsid w:val="00BA1F16"/>
    <w:rsid w:val="00BA305A"/>
    <w:rsid w:val="00BA3ECB"/>
    <w:rsid w:val="00BA4EE7"/>
    <w:rsid w:val="00BA5083"/>
    <w:rsid w:val="00BB0BFB"/>
    <w:rsid w:val="00BB16FA"/>
    <w:rsid w:val="00BB291F"/>
    <w:rsid w:val="00BB3102"/>
    <w:rsid w:val="00BB3910"/>
    <w:rsid w:val="00BB53A6"/>
    <w:rsid w:val="00BB767F"/>
    <w:rsid w:val="00BC149B"/>
    <w:rsid w:val="00BC5021"/>
    <w:rsid w:val="00BC5079"/>
    <w:rsid w:val="00BD0037"/>
    <w:rsid w:val="00BD11B3"/>
    <w:rsid w:val="00BD6820"/>
    <w:rsid w:val="00BD7E76"/>
    <w:rsid w:val="00BE482A"/>
    <w:rsid w:val="00BE4D45"/>
    <w:rsid w:val="00BE6EC3"/>
    <w:rsid w:val="00BE7E34"/>
    <w:rsid w:val="00BF1232"/>
    <w:rsid w:val="00BF2681"/>
    <w:rsid w:val="00BF50AE"/>
    <w:rsid w:val="00BF6BCA"/>
    <w:rsid w:val="00C00194"/>
    <w:rsid w:val="00C00B4C"/>
    <w:rsid w:val="00C01BB2"/>
    <w:rsid w:val="00C02AC2"/>
    <w:rsid w:val="00C02DD3"/>
    <w:rsid w:val="00C0782D"/>
    <w:rsid w:val="00C135ED"/>
    <w:rsid w:val="00C13E23"/>
    <w:rsid w:val="00C14421"/>
    <w:rsid w:val="00C16456"/>
    <w:rsid w:val="00C17F0B"/>
    <w:rsid w:val="00C2184D"/>
    <w:rsid w:val="00C21CE8"/>
    <w:rsid w:val="00C25795"/>
    <w:rsid w:val="00C26410"/>
    <w:rsid w:val="00C26B9B"/>
    <w:rsid w:val="00C412B0"/>
    <w:rsid w:val="00C417CF"/>
    <w:rsid w:val="00C47362"/>
    <w:rsid w:val="00C51FF0"/>
    <w:rsid w:val="00C534C7"/>
    <w:rsid w:val="00C55A35"/>
    <w:rsid w:val="00C56329"/>
    <w:rsid w:val="00C605DD"/>
    <w:rsid w:val="00C61542"/>
    <w:rsid w:val="00C64C53"/>
    <w:rsid w:val="00C67192"/>
    <w:rsid w:val="00C70015"/>
    <w:rsid w:val="00C718BA"/>
    <w:rsid w:val="00C72BB4"/>
    <w:rsid w:val="00C72F4B"/>
    <w:rsid w:val="00C77B1B"/>
    <w:rsid w:val="00C82101"/>
    <w:rsid w:val="00C83846"/>
    <w:rsid w:val="00C83970"/>
    <w:rsid w:val="00C83B7D"/>
    <w:rsid w:val="00C83D54"/>
    <w:rsid w:val="00C846C4"/>
    <w:rsid w:val="00C8595D"/>
    <w:rsid w:val="00C866C9"/>
    <w:rsid w:val="00C86F45"/>
    <w:rsid w:val="00C87284"/>
    <w:rsid w:val="00C92DF8"/>
    <w:rsid w:val="00C9525E"/>
    <w:rsid w:val="00C95A25"/>
    <w:rsid w:val="00CA0794"/>
    <w:rsid w:val="00CA0DA1"/>
    <w:rsid w:val="00CA41F7"/>
    <w:rsid w:val="00CA4F34"/>
    <w:rsid w:val="00CA7916"/>
    <w:rsid w:val="00CB6315"/>
    <w:rsid w:val="00CC01BB"/>
    <w:rsid w:val="00CC0CA6"/>
    <w:rsid w:val="00CC11C9"/>
    <w:rsid w:val="00CC4229"/>
    <w:rsid w:val="00CC4BFE"/>
    <w:rsid w:val="00CC7AA5"/>
    <w:rsid w:val="00CD0135"/>
    <w:rsid w:val="00CD2D2F"/>
    <w:rsid w:val="00CD38E1"/>
    <w:rsid w:val="00CD3D6A"/>
    <w:rsid w:val="00CD481A"/>
    <w:rsid w:val="00CE0399"/>
    <w:rsid w:val="00CE0627"/>
    <w:rsid w:val="00CE26F7"/>
    <w:rsid w:val="00CE4D82"/>
    <w:rsid w:val="00CF034D"/>
    <w:rsid w:val="00CF0655"/>
    <w:rsid w:val="00CF144B"/>
    <w:rsid w:val="00CF4F77"/>
    <w:rsid w:val="00CF66EC"/>
    <w:rsid w:val="00CF77EA"/>
    <w:rsid w:val="00D02853"/>
    <w:rsid w:val="00D03108"/>
    <w:rsid w:val="00D047C7"/>
    <w:rsid w:val="00D06A4C"/>
    <w:rsid w:val="00D06CF3"/>
    <w:rsid w:val="00D10AE8"/>
    <w:rsid w:val="00D11142"/>
    <w:rsid w:val="00D1315F"/>
    <w:rsid w:val="00D14CD7"/>
    <w:rsid w:val="00D235DD"/>
    <w:rsid w:val="00D26150"/>
    <w:rsid w:val="00D2781F"/>
    <w:rsid w:val="00D325E6"/>
    <w:rsid w:val="00D34044"/>
    <w:rsid w:val="00D35AA8"/>
    <w:rsid w:val="00D409BD"/>
    <w:rsid w:val="00D40EC0"/>
    <w:rsid w:val="00D4377C"/>
    <w:rsid w:val="00D45036"/>
    <w:rsid w:val="00D45128"/>
    <w:rsid w:val="00D467F1"/>
    <w:rsid w:val="00D53ECC"/>
    <w:rsid w:val="00D54298"/>
    <w:rsid w:val="00D54B8B"/>
    <w:rsid w:val="00D54BDD"/>
    <w:rsid w:val="00D56C51"/>
    <w:rsid w:val="00D57098"/>
    <w:rsid w:val="00D65E0B"/>
    <w:rsid w:val="00D67798"/>
    <w:rsid w:val="00D67D27"/>
    <w:rsid w:val="00D70E82"/>
    <w:rsid w:val="00D7183C"/>
    <w:rsid w:val="00D71855"/>
    <w:rsid w:val="00D72445"/>
    <w:rsid w:val="00D7297E"/>
    <w:rsid w:val="00D73727"/>
    <w:rsid w:val="00D738BE"/>
    <w:rsid w:val="00D86835"/>
    <w:rsid w:val="00D93982"/>
    <w:rsid w:val="00D9652E"/>
    <w:rsid w:val="00D968DB"/>
    <w:rsid w:val="00DA25EB"/>
    <w:rsid w:val="00DA2D2B"/>
    <w:rsid w:val="00DA3D15"/>
    <w:rsid w:val="00DA53AD"/>
    <w:rsid w:val="00DA540D"/>
    <w:rsid w:val="00DA640C"/>
    <w:rsid w:val="00DB50A8"/>
    <w:rsid w:val="00DB6E1F"/>
    <w:rsid w:val="00DB7D74"/>
    <w:rsid w:val="00DC0E3C"/>
    <w:rsid w:val="00DC6084"/>
    <w:rsid w:val="00DC6998"/>
    <w:rsid w:val="00DC7415"/>
    <w:rsid w:val="00DD119E"/>
    <w:rsid w:val="00DD14AA"/>
    <w:rsid w:val="00DD321A"/>
    <w:rsid w:val="00DD5F73"/>
    <w:rsid w:val="00DD62A8"/>
    <w:rsid w:val="00DD6550"/>
    <w:rsid w:val="00DD6CB8"/>
    <w:rsid w:val="00DD7220"/>
    <w:rsid w:val="00DE3F22"/>
    <w:rsid w:val="00DE4131"/>
    <w:rsid w:val="00DE7EC4"/>
    <w:rsid w:val="00DF2667"/>
    <w:rsid w:val="00DF46DC"/>
    <w:rsid w:val="00DF7524"/>
    <w:rsid w:val="00DF7568"/>
    <w:rsid w:val="00DF75ED"/>
    <w:rsid w:val="00DF7648"/>
    <w:rsid w:val="00E01B77"/>
    <w:rsid w:val="00E0265E"/>
    <w:rsid w:val="00E028D1"/>
    <w:rsid w:val="00E02E5D"/>
    <w:rsid w:val="00E040DC"/>
    <w:rsid w:val="00E10708"/>
    <w:rsid w:val="00E12E8D"/>
    <w:rsid w:val="00E1674D"/>
    <w:rsid w:val="00E178D7"/>
    <w:rsid w:val="00E208C4"/>
    <w:rsid w:val="00E21A8E"/>
    <w:rsid w:val="00E23A7E"/>
    <w:rsid w:val="00E24060"/>
    <w:rsid w:val="00E24C2F"/>
    <w:rsid w:val="00E25158"/>
    <w:rsid w:val="00E27E98"/>
    <w:rsid w:val="00E30CC1"/>
    <w:rsid w:val="00E33500"/>
    <w:rsid w:val="00E3411F"/>
    <w:rsid w:val="00E35D19"/>
    <w:rsid w:val="00E35EE4"/>
    <w:rsid w:val="00E4060E"/>
    <w:rsid w:val="00E4131E"/>
    <w:rsid w:val="00E42575"/>
    <w:rsid w:val="00E433AA"/>
    <w:rsid w:val="00E446E1"/>
    <w:rsid w:val="00E44B25"/>
    <w:rsid w:val="00E452B7"/>
    <w:rsid w:val="00E45D76"/>
    <w:rsid w:val="00E5002F"/>
    <w:rsid w:val="00E54676"/>
    <w:rsid w:val="00E5488D"/>
    <w:rsid w:val="00E55148"/>
    <w:rsid w:val="00E616C0"/>
    <w:rsid w:val="00E632F4"/>
    <w:rsid w:val="00E64090"/>
    <w:rsid w:val="00E64A3D"/>
    <w:rsid w:val="00E66EA4"/>
    <w:rsid w:val="00E702EE"/>
    <w:rsid w:val="00E708AB"/>
    <w:rsid w:val="00E71BCB"/>
    <w:rsid w:val="00E71C7F"/>
    <w:rsid w:val="00E72FD5"/>
    <w:rsid w:val="00E77AA3"/>
    <w:rsid w:val="00E80279"/>
    <w:rsid w:val="00E80594"/>
    <w:rsid w:val="00E810F3"/>
    <w:rsid w:val="00E8209B"/>
    <w:rsid w:val="00E8243F"/>
    <w:rsid w:val="00E82E11"/>
    <w:rsid w:val="00E838B2"/>
    <w:rsid w:val="00E83C94"/>
    <w:rsid w:val="00E8526E"/>
    <w:rsid w:val="00E864FC"/>
    <w:rsid w:val="00E8660F"/>
    <w:rsid w:val="00E86696"/>
    <w:rsid w:val="00E86942"/>
    <w:rsid w:val="00E878C5"/>
    <w:rsid w:val="00E91775"/>
    <w:rsid w:val="00E93510"/>
    <w:rsid w:val="00E94185"/>
    <w:rsid w:val="00E94998"/>
    <w:rsid w:val="00E97F1C"/>
    <w:rsid w:val="00EA040D"/>
    <w:rsid w:val="00EA06D9"/>
    <w:rsid w:val="00EA2CCE"/>
    <w:rsid w:val="00EA4EEF"/>
    <w:rsid w:val="00EB0F1C"/>
    <w:rsid w:val="00EB4E70"/>
    <w:rsid w:val="00EB67E3"/>
    <w:rsid w:val="00EC2514"/>
    <w:rsid w:val="00EC2A02"/>
    <w:rsid w:val="00EC2AE6"/>
    <w:rsid w:val="00EC4DF3"/>
    <w:rsid w:val="00EC556A"/>
    <w:rsid w:val="00EC571A"/>
    <w:rsid w:val="00EC786E"/>
    <w:rsid w:val="00ED2833"/>
    <w:rsid w:val="00ED4034"/>
    <w:rsid w:val="00ED4633"/>
    <w:rsid w:val="00ED49B7"/>
    <w:rsid w:val="00ED5705"/>
    <w:rsid w:val="00EE0768"/>
    <w:rsid w:val="00EE28AA"/>
    <w:rsid w:val="00EE4937"/>
    <w:rsid w:val="00EE4D0F"/>
    <w:rsid w:val="00EE5277"/>
    <w:rsid w:val="00EE573B"/>
    <w:rsid w:val="00EE5E70"/>
    <w:rsid w:val="00EE6DC6"/>
    <w:rsid w:val="00EE74D5"/>
    <w:rsid w:val="00EF12F8"/>
    <w:rsid w:val="00EF3730"/>
    <w:rsid w:val="00EF3C97"/>
    <w:rsid w:val="00EF4969"/>
    <w:rsid w:val="00EF66CA"/>
    <w:rsid w:val="00EF78DB"/>
    <w:rsid w:val="00F00433"/>
    <w:rsid w:val="00F02067"/>
    <w:rsid w:val="00F05F1F"/>
    <w:rsid w:val="00F10CFD"/>
    <w:rsid w:val="00F1662D"/>
    <w:rsid w:val="00F1672F"/>
    <w:rsid w:val="00F20308"/>
    <w:rsid w:val="00F2296B"/>
    <w:rsid w:val="00F229AD"/>
    <w:rsid w:val="00F23C9C"/>
    <w:rsid w:val="00F27FE0"/>
    <w:rsid w:val="00F3246A"/>
    <w:rsid w:val="00F341F7"/>
    <w:rsid w:val="00F36EDA"/>
    <w:rsid w:val="00F3796D"/>
    <w:rsid w:val="00F41CE4"/>
    <w:rsid w:val="00F43046"/>
    <w:rsid w:val="00F43E10"/>
    <w:rsid w:val="00F44053"/>
    <w:rsid w:val="00F44A29"/>
    <w:rsid w:val="00F44EF9"/>
    <w:rsid w:val="00F46566"/>
    <w:rsid w:val="00F50793"/>
    <w:rsid w:val="00F54FF6"/>
    <w:rsid w:val="00F61DC2"/>
    <w:rsid w:val="00F6257A"/>
    <w:rsid w:val="00F63BAB"/>
    <w:rsid w:val="00F63D10"/>
    <w:rsid w:val="00F64C3A"/>
    <w:rsid w:val="00F64C74"/>
    <w:rsid w:val="00F654EE"/>
    <w:rsid w:val="00F67D0B"/>
    <w:rsid w:val="00F71C6F"/>
    <w:rsid w:val="00F73EE3"/>
    <w:rsid w:val="00F76550"/>
    <w:rsid w:val="00F76B19"/>
    <w:rsid w:val="00F77346"/>
    <w:rsid w:val="00F817B2"/>
    <w:rsid w:val="00F84043"/>
    <w:rsid w:val="00F8569A"/>
    <w:rsid w:val="00F90520"/>
    <w:rsid w:val="00F94941"/>
    <w:rsid w:val="00F95564"/>
    <w:rsid w:val="00F96E48"/>
    <w:rsid w:val="00F97A55"/>
    <w:rsid w:val="00F97CE7"/>
    <w:rsid w:val="00FA038C"/>
    <w:rsid w:val="00FA0663"/>
    <w:rsid w:val="00FA1D88"/>
    <w:rsid w:val="00FA293E"/>
    <w:rsid w:val="00FA3D68"/>
    <w:rsid w:val="00FA3ED6"/>
    <w:rsid w:val="00FA3F22"/>
    <w:rsid w:val="00FA77AF"/>
    <w:rsid w:val="00FB0788"/>
    <w:rsid w:val="00FB79EF"/>
    <w:rsid w:val="00FC16F4"/>
    <w:rsid w:val="00FC1D5E"/>
    <w:rsid w:val="00FC2913"/>
    <w:rsid w:val="00FC361D"/>
    <w:rsid w:val="00FC421E"/>
    <w:rsid w:val="00FC4593"/>
    <w:rsid w:val="00FC658E"/>
    <w:rsid w:val="00FC6C76"/>
    <w:rsid w:val="00FC79D1"/>
    <w:rsid w:val="00FD07A7"/>
    <w:rsid w:val="00FD7FF2"/>
    <w:rsid w:val="00FE3BAD"/>
    <w:rsid w:val="00FE4651"/>
    <w:rsid w:val="00FE4886"/>
    <w:rsid w:val="00FE546C"/>
    <w:rsid w:val="00FF18E4"/>
    <w:rsid w:val="00FF6511"/>
    <w:rsid w:val="00FF7977"/>
    <w:rsid w:val="00FF7D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8631A8D"/>
  <w15:chartTrackingRefBased/>
  <w15:docId w15:val="{8EBF4BCC-B0E6-42D6-9A3B-E926E7E3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036"/>
    <w:rPr>
      <w:sz w:val="24"/>
      <w:lang w:eastAsia="en-US"/>
    </w:rPr>
  </w:style>
  <w:style w:type="paragraph" w:styleId="Heading1">
    <w:name w:val="heading 1"/>
    <w:basedOn w:val="Normal"/>
    <w:next w:val="Normal"/>
    <w:autoRedefine/>
    <w:qFormat/>
    <w:rsid w:val="005A65B0"/>
    <w:pPr>
      <w:keepNext/>
      <w:numPr>
        <w:numId w:val="23"/>
      </w:numPr>
      <w:spacing w:before="360" w:after="240"/>
      <w:ind w:left="567" w:hanging="567"/>
      <w:outlineLvl w:val="0"/>
    </w:pPr>
    <w:rPr>
      <w:rFonts w:cs="Arial"/>
      <w:b/>
      <w:bCs/>
      <w:caps/>
      <w:kern w:val="32"/>
      <w:sz w:val="28"/>
      <w:szCs w:val="28"/>
    </w:rPr>
  </w:style>
  <w:style w:type="paragraph" w:styleId="Heading2">
    <w:name w:val="heading 2"/>
    <w:basedOn w:val="Normal"/>
    <w:next w:val="Normal"/>
    <w:autoRedefine/>
    <w:qFormat/>
    <w:rsid w:val="0048522A"/>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420036"/>
    <w:pPr>
      <w:keepNext/>
      <w:jc w:val="both"/>
      <w:outlineLvl w:val="2"/>
    </w:pPr>
    <w:rPr>
      <w:b/>
      <w:lang w:val="en-GB"/>
    </w:rPr>
  </w:style>
  <w:style w:type="paragraph" w:styleId="Heading4">
    <w:name w:val="heading 4"/>
    <w:basedOn w:val="Normal"/>
    <w:next w:val="Normal"/>
    <w:qFormat/>
    <w:rsid w:val="00420036"/>
    <w:pPr>
      <w:keepNext/>
      <w:jc w:val="center"/>
      <w:outlineLvl w:val="3"/>
    </w:pPr>
    <w:rPr>
      <w:b/>
      <w:sz w:val="32"/>
    </w:rPr>
  </w:style>
  <w:style w:type="paragraph" w:styleId="Heading5">
    <w:name w:val="heading 5"/>
    <w:basedOn w:val="Normal"/>
    <w:next w:val="Normal"/>
    <w:qFormat/>
    <w:rsid w:val="00420036"/>
    <w:pPr>
      <w:keepNext/>
      <w:jc w:val="center"/>
      <w:outlineLvl w:val="4"/>
    </w:pPr>
    <w:rPr>
      <w:b/>
      <w:sz w:val="28"/>
    </w:rPr>
  </w:style>
  <w:style w:type="paragraph" w:styleId="Heading6">
    <w:name w:val="heading 6"/>
    <w:basedOn w:val="Normal"/>
    <w:next w:val="Normal"/>
    <w:qFormat/>
    <w:rsid w:val="00420036"/>
    <w:pPr>
      <w:keepNext/>
      <w:jc w:val="center"/>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0036"/>
    <w:pPr>
      <w:jc w:val="both"/>
    </w:pPr>
    <w:rPr>
      <w:lang w:val="en-GB"/>
    </w:rPr>
  </w:style>
  <w:style w:type="character" w:styleId="PageNumber">
    <w:name w:val="page number"/>
    <w:basedOn w:val="DefaultParagraphFont"/>
    <w:rsid w:val="00420036"/>
  </w:style>
  <w:style w:type="paragraph" w:styleId="Footer">
    <w:name w:val="footer"/>
    <w:basedOn w:val="Normal"/>
    <w:rsid w:val="00420036"/>
    <w:pPr>
      <w:tabs>
        <w:tab w:val="center" w:pos="4153"/>
        <w:tab w:val="right" w:pos="8306"/>
      </w:tabs>
    </w:pPr>
    <w:rPr>
      <w:sz w:val="20"/>
      <w:lang w:val="en-GB"/>
    </w:rPr>
  </w:style>
  <w:style w:type="paragraph" w:styleId="Header">
    <w:name w:val="header"/>
    <w:basedOn w:val="Normal"/>
    <w:rsid w:val="00420036"/>
    <w:pPr>
      <w:tabs>
        <w:tab w:val="center" w:pos="4153"/>
        <w:tab w:val="right" w:pos="8306"/>
      </w:tabs>
    </w:pPr>
  </w:style>
  <w:style w:type="paragraph" w:styleId="Title">
    <w:name w:val="Title"/>
    <w:basedOn w:val="Normal"/>
    <w:qFormat/>
    <w:rsid w:val="00420036"/>
    <w:pPr>
      <w:jc w:val="center"/>
    </w:pPr>
    <w:rPr>
      <w:b/>
      <w:sz w:val="32"/>
    </w:rPr>
  </w:style>
  <w:style w:type="paragraph" w:styleId="List">
    <w:name w:val="List"/>
    <w:basedOn w:val="Normal"/>
    <w:rsid w:val="00420036"/>
    <w:pPr>
      <w:tabs>
        <w:tab w:val="left" w:pos="1440"/>
      </w:tabs>
    </w:pPr>
    <w:rPr>
      <w:sz w:val="22"/>
      <w:lang w:val="en-US"/>
    </w:rPr>
  </w:style>
  <w:style w:type="character" w:customStyle="1" w:styleId="Heading5Char">
    <w:name w:val="Heading 5 Char"/>
    <w:rsid w:val="00420036"/>
    <w:rPr>
      <w:i/>
      <w:sz w:val="22"/>
      <w:u w:val="single"/>
      <w:lang w:val="en-US" w:eastAsia="en-US" w:bidi="ar-SA"/>
    </w:rPr>
  </w:style>
  <w:style w:type="character" w:customStyle="1" w:styleId="italics1">
    <w:name w:val="italics1"/>
    <w:rsid w:val="00420036"/>
    <w:rPr>
      <w:i/>
      <w:iCs/>
    </w:rPr>
  </w:style>
  <w:style w:type="character" w:styleId="Hyperlink">
    <w:name w:val="Hyperlink"/>
    <w:rsid w:val="00420036"/>
    <w:rPr>
      <w:color w:val="0000FF"/>
      <w:u w:val="none"/>
    </w:rPr>
  </w:style>
  <w:style w:type="paragraph" w:customStyle="1" w:styleId="first">
    <w:name w:val="first"/>
    <w:basedOn w:val="Normal"/>
    <w:rsid w:val="00420036"/>
    <w:pPr>
      <w:spacing w:after="240"/>
    </w:pPr>
    <w:rPr>
      <w:szCs w:val="24"/>
      <w:lang w:val="en-US"/>
    </w:rPr>
  </w:style>
  <w:style w:type="character" w:styleId="EndnoteReference">
    <w:name w:val="endnote reference"/>
    <w:uiPriority w:val="99"/>
    <w:rsid w:val="00420036"/>
    <w:rPr>
      <w:rFonts w:ascii="Times New Roman" w:hAnsi="Times New Roman"/>
      <w:color w:val="auto"/>
      <w:position w:val="0"/>
      <w:sz w:val="24"/>
      <w:vertAlign w:val="superscript"/>
    </w:rPr>
  </w:style>
  <w:style w:type="paragraph" w:styleId="EndnoteText">
    <w:name w:val="endnote text"/>
    <w:basedOn w:val="Normal"/>
    <w:link w:val="EndnoteTextChar"/>
    <w:uiPriority w:val="99"/>
    <w:rsid w:val="00420036"/>
    <w:pPr>
      <w:keepLines/>
      <w:tabs>
        <w:tab w:val="left" w:pos="360"/>
        <w:tab w:val="left" w:pos="720"/>
      </w:tabs>
      <w:spacing w:after="200"/>
      <w:ind w:left="360" w:hanging="360"/>
    </w:pPr>
    <w:rPr>
      <w:lang w:val="en-US"/>
    </w:rPr>
  </w:style>
  <w:style w:type="paragraph" w:styleId="BalloonText">
    <w:name w:val="Balloon Text"/>
    <w:basedOn w:val="Normal"/>
    <w:semiHidden/>
    <w:rsid w:val="00420036"/>
    <w:rPr>
      <w:rFonts w:ascii="Tahoma" w:hAnsi="Tahoma" w:cs="Tahoma"/>
      <w:sz w:val="16"/>
      <w:szCs w:val="16"/>
    </w:rPr>
  </w:style>
  <w:style w:type="character" w:styleId="Strong">
    <w:name w:val="Strong"/>
    <w:qFormat/>
    <w:rsid w:val="00420036"/>
    <w:rPr>
      <w:b/>
      <w:bCs/>
    </w:rPr>
  </w:style>
  <w:style w:type="character" w:styleId="LineNumber">
    <w:name w:val="line number"/>
    <w:basedOn w:val="DefaultParagraphFont"/>
    <w:rsid w:val="001B0D17"/>
  </w:style>
  <w:style w:type="character" w:styleId="Emphasis">
    <w:name w:val="Emphasis"/>
    <w:qFormat/>
    <w:rsid w:val="00420036"/>
    <w:rPr>
      <w:i/>
      <w:iCs/>
    </w:rPr>
  </w:style>
  <w:style w:type="paragraph" w:customStyle="1" w:styleId="PIEXPLAIN">
    <w:name w:val="PI EXPLAIN"/>
    <w:basedOn w:val="Normal"/>
    <w:rsid w:val="00420036"/>
    <w:pPr>
      <w:tabs>
        <w:tab w:val="left" w:pos="-720"/>
      </w:tabs>
      <w:suppressAutoHyphens/>
      <w:spacing w:before="20" w:after="80"/>
    </w:pPr>
    <w:rPr>
      <w:spacing w:val="-2"/>
      <w:sz w:val="20"/>
      <w:lang w:val="en-GB"/>
    </w:rPr>
  </w:style>
  <w:style w:type="paragraph" w:customStyle="1" w:styleId="TableAnnotationText">
    <w:name w:val="Table Annotation Text"/>
    <w:basedOn w:val="Normal"/>
    <w:rsid w:val="00420036"/>
    <w:pPr>
      <w:keepLines/>
      <w:tabs>
        <w:tab w:val="left" w:pos="360"/>
      </w:tabs>
      <w:ind w:left="360" w:hanging="360"/>
    </w:pPr>
    <w:rPr>
      <w:sz w:val="20"/>
      <w:lang w:val="en-US"/>
    </w:rPr>
  </w:style>
  <w:style w:type="character" w:customStyle="1" w:styleId="TableAnnotationTextChar">
    <w:name w:val="Table Annotation Text Char"/>
    <w:rsid w:val="00420036"/>
    <w:rPr>
      <w:lang w:val="en-US" w:eastAsia="en-US" w:bidi="ar-SA"/>
    </w:rPr>
  </w:style>
  <w:style w:type="paragraph" w:customStyle="1" w:styleId="StyleHeading3NotItalic">
    <w:name w:val="Style Heading 3 + Not Italic"/>
    <w:basedOn w:val="Heading3"/>
    <w:link w:val="StyleHeading3NotItalicCharChar"/>
    <w:rsid w:val="00AE0FB0"/>
    <w:pPr>
      <w:jc w:val="left"/>
    </w:pPr>
    <w:rPr>
      <w:b w:val="0"/>
      <w:i/>
      <w:sz w:val="22"/>
      <w:u w:val="single"/>
      <w:lang w:val="en-US"/>
    </w:rPr>
  </w:style>
  <w:style w:type="character" w:customStyle="1" w:styleId="StyleHeading3NotItalicCharChar">
    <w:name w:val="Style Heading 3 + Not Italic Char Char"/>
    <w:link w:val="StyleHeading3NotItalic"/>
    <w:rsid w:val="00AE0FB0"/>
    <w:rPr>
      <w:i/>
      <w:sz w:val="22"/>
      <w:u w:val="single"/>
      <w:lang w:val="en-US" w:eastAsia="en-US"/>
    </w:rPr>
  </w:style>
  <w:style w:type="character" w:customStyle="1" w:styleId="StyleEmphasisTimesNewRomanBoldBoldNotItalicBlack">
    <w:name w:val="Style Emphasis + Times New Roman Bold Bold Not Italic Black"/>
    <w:rsid w:val="00AE0FB0"/>
    <w:rPr>
      <w:rFonts w:ascii="Times New Roman" w:hAnsi="Times New Roman"/>
      <w:bCs/>
      <w:i/>
      <w:iCs/>
      <w:color w:val="000000"/>
      <w:sz w:val="22"/>
    </w:rPr>
  </w:style>
  <w:style w:type="character" w:customStyle="1" w:styleId="styleemphasistimesnewromanboldboldnotitalicblack0">
    <w:name w:val="styleemphasistimesnewromanboldboldnotitalicblack"/>
    <w:rsid w:val="00AF5E7F"/>
    <w:rPr>
      <w:rFonts w:ascii="Times New Roman" w:hAnsi="Times New Roman" w:cs="Times New Roman" w:hint="default"/>
      <w:i/>
      <w:iCs/>
      <w:color w:val="000000"/>
    </w:rPr>
  </w:style>
  <w:style w:type="paragraph" w:customStyle="1" w:styleId="CDSOptionalconcepts">
    <w:name w:val="CDS Optional concepts"/>
    <w:link w:val="CDSOptionalconceptsChar"/>
    <w:uiPriority w:val="99"/>
    <w:rsid w:val="00AF5E7F"/>
    <w:pPr>
      <w:widowControl w:val="0"/>
    </w:pPr>
    <w:rPr>
      <w:sz w:val="22"/>
      <w:lang w:val="en-US" w:eastAsia="en-US"/>
    </w:rPr>
  </w:style>
  <w:style w:type="character" w:customStyle="1" w:styleId="CDSOptionalconceptsChar">
    <w:name w:val="CDS Optional concepts Char"/>
    <w:link w:val="CDSOptionalconcepts"/>
    <w:uiPriority w:val="99"/>
    <w:rsid w:val="00AF5E7F"/>
    <w:rPr>
      <w:sz w:val="22"/>
      <w:lang w:val="en-US" w:eastAsia="en-US" w:bidi="ar-SA"/>
    </w:rPr>
  </w:style>
  <w:style w:type="character" w:customStyle="1" w:styleId="StyleBoldUnderline">
    <w:name w:val="Style Bold Underline"/>
    <w:rsid w:val="00AF5E7F"/>
    <w:rPr>
      <w:bCs/>
      <w:sz w:val="22"/>
      <w:u w:val="single"/>
    </w:rPr>
  </w:style>
  <w:style w:type="table" w:styleId="TableGrid">
    <w:name w:val="Table Grid"/>
    <w:basedOn w:val="TableNormal"/>
    <w:uiPriority w:val="59"/>
    <w:rsid w:val="00E27E9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D45128"/>
    <w:rPr>
      <w:szCs w:val="24"/>
      <w:lang w:val="en-US"/>
    </w:rPr>
  </w:style>
  <w:style w:type="character" w:customStyle="1" w:styleId="cdsoptionalconceptschar0">
    <w:name w:val="cdsoptionalconceptschar"/>
    <w:basedOn w:val="DefaultParagraphFont"/>
    <w:rsid w:val="00D45128"/>
  </w:style>
  <w:style w:type="paragraph" w:customStyle="1" w:styleId="cdsheading2level">
    <w:name w:val="cdsheading2level"/>
    <w:basedOn w:val="Normal"/>
    <w:rsid w:val="00D45128"/>
    <w:pPr>
      <w:keepNext/>
      <w:spacing w:after="240"/>
    </w:pPr>
    <w:rPr>
      <w:rFonts w:ascii="Arial" w:eastAsia="MS Mincho" w:hAnsi="Arial" w:cs="Arial"/>
      <w:b/>
      <w:bCs/>
      <w:i/>
      <w:iCs/>
      <w:sz w:val="22"/>
      <w:szCs w:val="22"/>
      <w:lang w:val="en-GB" w:eastAsia="ja-JP"/>
    </w:rPr>
  </w:style>
  <w:style w:type="paragraph" w:styleId="CommentText">
    <w:name w:val="annotation text"/>
    <w:basedOn w:val="Normal"/>
    <w:link w:val="CommentTextChar"/>
    <w:rsid w:val="00D45128"/>
    <w:rPr>
      <w:sz w:val="20"/>
      <w:lang w:val="en-US"/>
    </w:rPr>
  </w:style>
  <w:style w:type="character" w:customStyle="1" w:styleId="CommentTextChar">
    <w:name w:val="Comment Text Char"/>
    <w:link w:val="CommentText"/>
    <w:rsid w:val="00D45128"/>
    <w:rPr>
      <w:lang w:val="en-US" w:eastAsia="en-US"/>
    </w:rPr>
  </w:style>
  <w:style w:type="character" w:customStyle="1" w:styleId="EndnoteTextChar">
    <w:name w:val="Endnote Text Char"/>
    <w:link w:val="EndnoteText"/>
    <w:uiPriority w:val="99"/>
    <w:locked/>
    <w:rsid w:val="00ED2833"/>
    <w:rPr>
      <w:sz w:val="24"/>
      <w:lang w:val="en-US" w:eastAsia="en-US"/>
    </w:rPr>
  </w:style>
  <w:style w:type="paragraph" w:customStyle="1" w:styleId="CDSHeading2level0">
    <w:name w:val="CDS Heading 2 level"/>
    <w:basedOn w:val="Normal"/>
    <w:link w:val="CDSHeading2levelChar"/>
    <w:rsid w:val="00621781"/>
    <w:pPr>
      <w:keepNext/>
      <w:widowControl w:val="0"/>
      <w:spacing w:after="240"/>
      <w:outlineLvl w:val="1"/>
    </w:pPr>
    <w:rPr>
      <w:rFonts w:ascii="Arial" w:hAnsi="Arial"/>
      <w:b/>
      <w:bCs/>
      <w:i/>
      <w:iCs/>
      <w:sz w:val="22"/>
      <w:lang w:val="en-US"/>
    </w:rPr>
  </w:style>
  <w:style w:type="character" w:customStyle="1" w:styleId="CDSHeading2levelChar">
    <w:name w:val="CDS Heading 2 level Char"/>
    <w:link w:val="CDSHeading2level0"/>
    <w:rsid w:val="00621781"/>
    <w:rPr>
      <w:rFonts w:ascii="Arial" w:hAnsi="Arial"/>
      <w:b/>
      <w:bCs/>
      <w:i/>
      <w:iCs/>
      <w:sz w:val="22"/>
      <w:lang w:val="en-US" w:eastAsia="en-US"/>
    </w:rPr>
  </w:style>
  <w:style w:type="paragraph" w:customStyle="1" w:styleId="StyleHeading311ptBoldItalicAfter12pt">
    <w:name w:val="Style Heading 3 + 11 pt Bold Italic After:  12 pt"/>
    <w:basedOn w:val="Heading3"/>
    <w:rsid w:val="00621781"/>
    <w:pPr>
      <w:spacing w:before="240" w:after="240"/>
      <w:jc w:val="left"/>
    </w:pPr>
    <w:rPr>
      <w:rFonts w:ascii="Arial" w:hAnsi="Arial"/>
      <w:bCs/>
      <w:i/>
      <w:iCs/>
      <w:sz w:val="22"/>
      <w:lang w:val="en-US"/>
    </w:rPr>
  </w:style>
  <w:style w:type="paragraph" w:customStyle="1" w:styleId="CDSDescriptiveinformation">
    <w:name w:val="CDS Descriptive information"/>
    <w:link w:val="CDSDescriptiveinformationChar"/>
    <w:rsid w:val="00874844"/>
    <w:rPr>
      <w:rFonts w:ascii="Arial" w:hAnsi="Arial"/>
      <w:i/>
      <w:sz w:val="22"/>
      <w:lang w:val="en-US" w:eastAsia="en-US"/>
    </w:rPr>
  </w:style>
  <w:style w:type="character" w:customStyle="1" w:styleId="CDSDescriptiveinformationChar">
    <w:name w:val="CDS Descriptive information Char"/>
    <w:link w:val="CDSDescriptiveinformation"/>
    <w:rsid w:val="00874844"/>
    <w:rPr>
      <w:rFonts w:ascii="Arial" w:hAnsi="Arial"/>
      <w:i/>
      <w:sz w:val="22"/>
      <w:lang w:val="en-US" w:eastAsia="en-US" w:bidi="ar-SA"/>
    </w:rPr>
  </w:style>
  <w:style w:type="character" w:customStyle="1" w:styleId="SPCHeading4">
    <w:name w:val="SPC Heading 4"/>
    <w:rsid w:val="00596A6E"/>
    <w:rPr>
      <w:rFonts w:ascii="Times New Roman" w:hAnsi="Times New Roman"/>
      <w:bCs/>
      <w:i/>
      <w:iCs/>
      <w:color w:val="000000"/>
      <w:sz w:val="22"/>
      <w:u w:val="none"/>
    </w:rPr>
  </w:style>
  <w:style w:type="character" w:customStyle="1" w:styleId="CDSSectionheadingChar">
    <w:name w:val="CDS Section heading Char"/>
    <w:link w:val="CDSSectionheading"/>
    <w:locked/>
    <w:rsid w:val="006C3968"/>
    <w:rPr>
      <w:rFonts w:ascii="Arial" w:hAnsi="Arial" w:cs="Arial"/>
      <w:b/>
      <w:bCs/>
      <w:i/>
      <w:iCs/>
    </w:rPr>
  </w:style>
  <w:style w:type="paragraph" w:customStyle="1" w:styleId="CDSSectionheading">
    <w:name w:val="CDS Section heading"/>
    <w:basedOn w:val="Normal"/>
    <w:link w:val="CDSSectionheadingChar"/>
    <w:rsid w:val="006C3968"/>
    <w:pPr>
      <w:keepNext/>
      <w:spacing w:after="240"/>
    </w:pPr>
    <w:rPr>
      <w:rFonts w:ascii="Arial" w:hAnsi="Arial" w:cs="Arial"/>
      <w:b/>
      <w:bCs/>
      <w:i/>
      <w:iCs/>
      <w:sz w:val="20"/>
      <w:lang w:eastAsia="en-AU"/>
    </w:rPr>
  </w:style>
  <w:style w:type="character" w:customStyle="1" w:styleId="EndnotetextChar0">
    <w:name w:val="Endnote text Char"/>
    <w:link w:val="EndnoteText1"/>
    <w:locked/>
    <w:rsid w:val="006C3968"/>
    <w:rPr>
      <w:rFonts w:ascii="Calibri" w:eastAsia="Calibri" w:hAnsi="Calibri"/>
      <w:sz w:val="22"/>
      <w:szCs w:val="22"/>
    </w:rPr>
  </w:style>
  <w:style w:type="paragraph" w:customStyle="1" w:styleId="EndnoteText1">
    <w:name w:val="Endnote Text1"/>
    <w:basedOn w:val="Normal"/>
    <w:link w:val="EndnotetextChar0"/>
    <w:rsid w:val="006C3968"/>
    <w:rPr>
      <w:rFonts w:ascii="Calibri" w:eastAsia="Calibri" w:hAnsi="Calibri"/>
      <w:sz w:val="22"/>
      <w:szCs w:val="22"/>
      <w:lang w:eastAsia="en-AU"/>
    </w:rPr>
  </w:style>
  <w:style w:type="paragraph" w:customStyle="1" w:styleId="PITableText">
    <w:name w:val="PI Table Text"/>
    <w:basedOn w:val="Normal"/>
    <w:uiPriority w:val="7"/>
    <w:qFormat/>
    <w:rsid w:val="008B6AB3"/>
    <w:rPr>
      <w:snapToGrid w:val="0"/>
      <w:color w:val="000000"/>
      <w:szCs w:val="24"/>
    </w:rPr>
  </w:style>
  <w:style w:type="paragraph" w:customStyle="1" w:styleId="Paragraph">
    <w:name w:val="Paragraph"/>
    <w:link w:val="ParagraphChar"/>
    <w:qFormat/>
    <w:rsid w:val="00B54BDF"/>
    <w:pPr>
      <w:spacing w:after="240"/>
    </w:pPr>
    <w:rPr>
      <w:sz w:val="24"/>
      <w:szCs w:val="24"/>
      <w:lang w:val="en-US" w:eastAsia="en-US"/>
    </w:rPr>
  </w:style>
  <w:style w:type="character" w:customStyle="1" w:styleId="ParagraphChar">
    <w:name w:val="Paragraph Char"/>
    <w:link w:val="Paragraph"/>
    <w:rsid w:val="00B54BDF"/>
    <w:rPr>
      <w:sz w:val="24"/>
      <w:szCs w:val="24"/>
      <w:lang w:val="en-US" w:eastAsia="en-US" w:bidi="ar-SA"/>
    </w:rPr>
  </w:style>
  <w:style w:type="paragraph" w:customStyle="1" w:styleId="StyleStyleHeading3NotItalicNotItalic">
    <w:name w:val="Style Style Heading 3 + Not Italic + Not Italic"/>
    <w:basedOn w:val="StyleHeading3NotItalic"/>
    <w:link w:val="StyleStyleHeading3NotItalicNotItalicChar"/>
    <w:rsid w:val="00511712"/>
    <w:rPr>
      <w:i w:val="0"/>
    </w:rPr>
  </w:style>
  <w:style w:type="character" w:customStyle="1" w:styleId="StyleStyleHeading3NotItalicNotItalicChar">
    <w:name w:val="Style Style Heading 3 + Not Italic + Not Italic Char"/>
    <w:basedOn w:val="StyleHeading3NotItalicCharChar"/>
    <w:link w:val="StyleStyleHeading3NotItalicNotItalic"/>
    <w:rsid w:val="00511712"/>
    <w:rPr>
      <w:i/>
      <w:sz w:val="22"/>
      <w:u w:val="single"/>
      <w:lang w:val="en-US" w:eastAsia="en-US"/>
    </w:rPr>
  </w:style>
  <w:style w:type="paragraph" w:customStyle="1" w:styleId="PINormal">
    <w:name w:val="PI Normal"/>
    <w:basedOn w:val="Normal"/>
    <w:uiPriority w:val="6"/>
    <w:qFormat/>
    <w:rsid w:val="00F71C6F"/>
    <w:pPr>
      <w:spacing w:after="240"/>
      <w:jc w:val="both"/>
    </w:pPr>
  </w:style>
  <w:style w:type="character" w:styleId="CommentReference">
    <w:name w:val="annotation reference"/>
    <w:rsid w:val="00EC4DF3"/>
    <w:rPr>
      <w:sz w:val="16"/>
      <w:szCs w:val="16"/>
    </w:rPr>
  </w:style>
  <w:style w:type="paragraph" w:styleId="CommentSubject">
    <w:name w:val="annotation subject"/>
    <w:basedOn w:val="CommentText"/>
    <w:next w:val="CommentText"/>
    <w:link w:val="CommentSubjectChar"/>
    <w:rsid w:val="00EC4DF3"/>
    <w:rPr>
      <w:b/>
      <w:bCs/>
      <w:lang w:val="en-AU"/>
    </w:rPr>
  </w:style>
  <w:style w:type="character" w:customStyle="1" w:styleId="CommentSubjectChar">
    <w:name w:val="Comment Subject Char"/>
    <w:link w:val="CommentSubject"/>
    <w:rsid w:val="00EC4DF3"/>
    <w:rPr>
      <w:b/>
      <w:bCs/>
      <w:lang w:val="en-US" w:eastAsia="en-US"/>
    </w:rPr>
  </w:style>
  <w:style w:type="character" w:customStyle="1" w:styleId="Heading3Char">
    <w:name w:val="Heading 3 Char"/>
    <w:link w:val="Heading3"/>
    <w:rsid w:val="00B65268"/>
    <w:rPr>
      <w:b/>
      <w:sz w:val="24"/>
      <w:lang w:val="en-GB" w:eastAsia="en-US"/>
    </w:rPr>
  </w:style>
  <w:style w:type="paragraph" w:customStyle="1" w:styleId="Default">
    <w:name w:val="Default"/>
    <w:link w:val="DefaultZchn"/>
    <w:rsid w:val="00AC5A68"/>
    <w:pPr>
      <w:autoSpaceDE w:val="0"/>
      <w:autoSpaceDN w:val="0"/>
      <w:adjustRightInd w:val="0"/>
    </w:pPr>
    <w:rPr>
      <w:rFonts w:ascii="Cambria" w:eastAsia="Calibri" w:hAnsi="Cambria" w:cs="Cambria"/>
      <w:color w:val="000000"/>
      <w:sz w:val="24"/>
      <w:szCs w:val="24"/>
      <w:lang w:eastAsia="en-US"/>
    </w:rPr>
  </w:style>
  <w:style w:type="paragraph" w:customStyle="1" w:styleId="PITITLE">
    <w:name w:val="PI TITLE"/>
    <w:basedOn w:val="Title"/>
    <w:qFormat/>
    <w:rsid w:val="00DD7220"/>
    <w:pPr>
      <w:spacing w:before="240" w:after="60"/>
      <w:jc w:val="both"/>
      <w:outlineLvl w:val="0"/>
    </w:pPr>
    <w:rPr>
      <w:kern w:val="28"/>
      <w:sz w:val="40"/>
      <w:lang w:val="en-GB"/>
    </w:rPr>
  </w:style>
  <w:style w:type="paragraph" w:customStyle="1" w:styleId="PISubtitle">
    <w:name w:val="PI Subtitle"/>
    <w:basedOn w:val="Subtitle"/>
    <w:uiPriority w:val="1"/>
    <w:qFormat/>
    <w:rsid w:val="00DD7220"/>
    <w:pPr>
      <w:numPr>
        <w:ilvl w:val="0"/>
      </w:numPr>
      <w:spacing w:after="60"/>
      <w:jc w:val="both"/>
      <w:outlineLvl w:val="1"/>
    </w:pPr>
    <w:rPr>
      <w:rFonts w:ascii="Times New Roman" w:hAnsi="Times New Roman"/>
      <w:b/>
      <w:i w:val="0"/>
      <w:iCs w:val="0"/>
      <w:color w:val="auto"/>
      <w:spacing w:val="0"/>
      <w:sz w:val="28"/>
      <w:szCs w:val="20"/>
      <w:lang w:val="en-GB"/>
    </w:rPr>
  </w:style>
  <w:style w:type="paragraph" w:styleId="Subtitle">
    <w:name w:val="Subtitle"/>
    <w:basedOn w:val="Normal"/>
    <w:next w:val="Normal"/>
    <w:link w:val="SubtitleChar"/>
    <w:qFormat/>
    <w:rsid w:val="00DD7220"/>
    <w:pPr>
      <w:numPr>
        <w:ilvl w:val="1"/>
      </w:numPr>
    </w:pPr>
    <w:rPr>
      <w:rFonts w:ascii="Cambria" w:hAnsi="Cambria"/>
      <w:i/>
      <w:iCs/>
      <w:color w:val="4F81BD"/>
      <w:spacing w:val="15"/>
      <w:szCs w:val="24"/>
    </w:rPr>
  </w:style>
  <w:style w:type="character" w:customStyle="1" w:styleId="SubtitleChar">
    <w:name w:val="Subtitle Char"/>
    <w:link w:val="Subtitle"/>
    <w:rsid w:val="00DD7220"/>
    <w:rPr>
      <w:rFonts w:ascii="Cambria" w:eastAsia="Times New Roman" w:hAnsi="Cambria" w:cs="Times New Roman"/>
      <w:i/>
      <w:iCs/>
      <w:color w:val="4F81BD"/>
      <w:spacing w:val="15"/>
      <w:sz w:val="24"/>
      <w:szCs w:val="24"/>
      <w:lang w:eastAsia="en-US"/>
    </w:rPr>
  </w:style>
  <w:style w:type="character" w:customStyle="1" w:styleId="PITradename">
    <w:name w:val="PI Tradename"/>
    <w:rsid w:val="00DD7220"/>
    <w:rPr>
      <w:rFonts w:ascii="Cambria" w:eastAsia="Times New Roman" w:hAnsi="Cambria" w:cs="Times New Roman"/>
      <w:b/>
      <w:i/>
      <w:iCs/>
      <w:color w:val="4F81BD"/>
      <w:spacing w:val="15"/>
      <w:sz w:val="32"/>
      <w:szCs w:val="24"/>
      <w:lang w:eastAsia="en-US"/>
    </w:rPr>
  </w:style>
  <w:style w:type="paragraph" w:customStyle="1" w:styleId="PIHeading1">
    <w:name w:val="PI Heading 1"/>
    <w:basedOn w:val="Heading1"/>
    <w:uiPriority w:val="2"/>
    <w:qFormat/>
    <w:rsid w:val="00DD7220"/>
    <w:pPr>
      <w:spacing w:line="280" w:lineRule="exact"/>
      <w:jc w:val="both"/>
    </w:pPr>
    <w:rPr>
      <w:rFonts w:cs="Times New Roman"/>
      <w:bCs w:val="0"/>
      <w:kern w:val="28"/>
      <w:szCs w:val="20"/>
      <w:lang w:val="en-GB"/>
    </w:rPr>
  </w:style>
  <w:style w:type="paragraph" w:customStyle="1" w:styleId="PIHeading3">
    <w:name w:val="PI Heading 3"/>
    <w:basedOn w:val="Heading3"/>
    <w:uiPriority w:val="4"/>
    <w:qFormat/>
    <w:rsid w:val="00DD7220"/>
    <w:pPr>
      <w:spacing w:before="120" w:after="120"/>
    </w:pPr>
    <w:rPr>
      <w:i/>
      <w:iCs/>
    </w:rPr>
  </w:style>
  <w:style w:type="paragraph" w:customStyle="1" w:styleId="PIHeading2">
    <w:name w:val="PI Heading 2"/>
    <w:basedOn w:val="Heading2"/>
    <w:uiPriority w:val="3"/>
    <w:qFormat/>
    <w:rsid w:val="00133065"/>
    <w:pPr>
      <w:spacing w:after="120" w:line="280" w:lineRule="exact"/>
      <w:jc w:val="both"/>
    </w:pPr>
    <w:rPr>
      <w:rFonts w:ascii="Times New Roman" w:hAnsi="Times New Roman" w:cs="Times New Roman"/>
      <w:bCs w:val="0"/>
      <w:i w:val="0"/>
      <w:iCs w:val="0"/>
      <w:szCs w:val="20"/>
      <w:lang w:val="en-GB"/>
    </w:rPr>
  </w:style>
  <w:style w:type="paragraph" w:customStyle="1" w:styleId="PITableFootnote">
    <w:name w:val="PI Table Footnote"/>
    <w:basedOn w:val="Normal"/>
    <w:uiPriority w:val="7"/>
    <w:qFormat/>
    <w:rsid w:val="00100F28"/>
    <w:pPr>
      <w:spacing w:before="40"/>
    </w:pPr>
    <w:rPr>
      <w:color w:val="000000"/>
      <w:sz w:val="20"/>
      <w:szCs w:val="24"/>
      <w:lang w:val="en-GB"/>
    </w:rPr>
  </w:style>
  <w:style w:type="paragraph" w:customStyle="1" w:styleId="PIFooter">
    <w:name w:val="PI Footer"/>
    <w:basedOn w:val="Footer"/>
    <w:uiPriority w:val="7"/>
    <w:qFormat/>
    <w:rsid w:val="00AC6A97"/>
    <w:pPr>
      <w:pBdr>
        <w:top w:val="single" w:sz="6" w:space="1" w:color="auto"/>
      </w:pBdr>
      <w:tabs>
        <w:tab w:val="clear" w:pos="4153"/>
        <w:tab w:val="clear" w:pos="8306"/>
        <w:tab w:val="right" w:pos="8800"/>
      </w:tabs>
    </w:pPr>
  </w:style>
  <w:style w:type="paragraph" w:customStyle="1" w:styleId="PITableTextListText">
    <w:name w:val="PI Table Text/List Text"/>
    <w:basedOn w:val="Normal"/>
    <w:uiPriority w:val="7"/>
    <w:qFormat/>
    <w:rsid w:val="00815854"/>
    <w:pPr>
      <w:spacing w:before="20" w:after="20"/>
    </w:pPr>
    <w:rPr>
      <w:snapToGrid w:val="0"/>
      <w:color w:val="000000"/>
      <w:szCs w:val="24"/>
      <w:lang w:val="en-GB"/>
    </w:rPr>
  </w:style>
  <w:style w:type="character" w:customStyle="1" w:styleId="BodyTextChar">
    <w:name w:val="Body Text Char"/>
    <w:link w:val="BodyText"/>
    <w:rsid w:val="005D5916"/>
    <w:rPr>
      <w:sz w:val="24"/>
      <w:lang w:val="en-GB"/>
    </w:rPr>
  </w:style>
  <w:style w:type="paragraph" w:styleId="Caption">
    <w:name w:val="caption"/>
    <w:next w:val="Paragraph"/>
    <w:link w:val="CaptionChar"/>
    <w:qFormat/>
    <w:rsid w:val="004A7D38"/>
    <w:pPr>
      <w:keepNext/>
      <w:tabs>
        <w:tab w:val="left" w:pos="1152"/>
      </w:tabs>
      <w:spacing w:after="240"/>
      <w:ind w:left="1152" w:hanging="1152"/>
    </w:pPr>
    <w:rPr>
      <w:rFonts w:ascii="Times New Roman Bold" w:hAnsi="Times New Roman Bold" w:cs="Arial"/>
      <w:b/>
      <w:bCs/>
      <w:sz w:val="24"/>
      <w:szCs w:val="24"/>
      <w:lang w:val="en-US" w:eastAsia="en-US"/>
    </w:rPr>
  </w:style>
  <w:style w:type="paragraph" w:customStyle="1" w:styleId="Heading3Unnumbered">
    <w:name w:val="Heading 3 Unnumbered"/>
    <w:next w:val="Paragraph"/>
    <w:rsid w:val="004A7D38"/>
    <w:pPr>
      <w:keepNext/>
      <w:spacing w:after="240"/>
      <w:outlineLvl w:val="2"/>
    </w:pPr>
    <w:rPr>
      <w:rFonts w:ascii="Times New Roman Bold" w:hAnsi="Times New Roman Bold"/>
      <w:b/>
      <w:sz w:val="24"/>
      <w:lang w:val="en-US" w:eastAsia="en-US"/>
    </w:rPr>
  </w:style>
  <w:style w:type="character" w:customStyle="1" w:styleId="CaptionChar">
    <w:name w:val="Caption Char"/>
    <w:link w:val="Caption"/>
    <w:rsid w:val="004A7D38"/>
    <w:rPr>
      <w:rFonts w:ascii="Times New Roman Bold" w:hAnsi="Times New Roman Bold" w:cs="Arial"/>
      <w:b/>
      <w:bCs/>
      <w:sz w:val="24"/>
      <w:szCs w:val="24"/>
    </w:rPr>
  </w:style>
  <w:style w:type="character" w:styleId="FollowedHyperlink">
    <w:name w:val="FollowedHyperlink"/>
    <w:rsid w:val="00364AA3"/>
    <w:rPr>
      <w:color w:val="800080"/>
      <w:u w:val="single"/>
    </w:rPr>
  </w:style>
  <w:style w:type="paragraph" w:styleId="ListParagraph">
    <w:name w:val="List Paragraph"/>
    <w:basedOn w:val="Normal"/>
    <w:uiPriority w:val="34"/>
    <w:qFormat/>
    <w:rsid w:val="001D418D"/>
    <w:pPr>
      <w:ind w:left="720"/>
      <w:contextualSpacing/>
    </w:pPr>
  </w:style>
  <w:style w:type="character" w:customStyle="1" w:styleId="DefaultZchn">
    <w:name w:val="Default Zchn"/>
    <w:link w:val="Default"/>
    <w:rsid w:val="001D418D"/>
    <w:rPr>
      <w:rFonts w:ascii="Cambria" w:eastAsia="Calibri" w:hAnsi="Cambria" w:cs="Cambria"/>
      <w:color w:val="000000"/>
      <w:sz w:val="24"/>
      <w:szCs w:val="24"/>
      <w:lang w:val="en-AU" w:eastAsia="en-US"/>
    </w:rPr>
  </w:style>
  <w:style w:type="paragraph" w:customStyle="1" w:styleId="EndNoteBibliography">
    <w:name w:val="EndNote Bibliography"/>
    <w:basedOn w:val="Normal"/>
    <w:link w:val="EndNoteBibliographyZchn"/>
    <w:rsid w:val="00621299"/>
    <w:pPr>
      <w:jc w:val="both"/>
    </w:pPr>
    <w:rPr>
      <w:noProof/>
      <w:lang w:val="en-US"/>
    </w:rPr>
  </w:style>
  <w:style w:type="character" w:customStyle="1" w:styleId="EndNoteBibliographyZchn">
    <w:name w:val="EndNote Bibliography Zchn"/>
    <w:link w:val="EndNoteBibliography"/>
    <w:rsid w:val="00621299"/>
    <w:rPr>
      <w:noProof/>
      <w:sz w:val="24"/>
      <w:lang w:val="en-US" w:eastAsia="en-US"/>
    </w:rPr>
  </w:style>
  <w:style w:type="paragraph" w:styleId="Revision">
    <w:name w:val="Revision"/>
    <w:hidden/>
    <w:uiPriority w:val="99"/>
    <w:semiHidden/>
    <w:rsid w:val="009116AA"/>
    <w:rPr>
      <w:sz w:val="24"/>
      <w:lang w:eastAsia="en-US"/>
    </w:rPr>
  </w:style>
  <w:style w:type="paragraph" w:customStyle="1" w:styleId="DSNormal">
    <w:name w:val="DS Normal"/>
    <w:basedOn w:val="Normal"/>
    <w:qFormat/>
    <w:rsid w:val="000F2F06"/>
    <w:pPr>
      <w:spacing w:after="240"/>
      <w:jc w:val="both"/>
    </w:pPr>
  </w:style>
  <w:style w:type="paragraph" w:customStyle="1" w:styleId="DSHeading2">
    <w:name w:val="DS Heading 2"/>
    <w:basedOn w:val="Heading2"/>
    <w:qFormat/>
    <w:rsid w:val="002643F1"/>
    <w:pPr>
      <w:spacing w:after="120" w:line="280" w:lineRule="exact"/>
      <w:jc w:val="both"/>
    </w:pPr>
    <w:rPr>
      <w:rFonts w:ascii="Times New Roman" w:hAnsi="Times New Roman" w:cs="Times New Roman"/>
      <w:bCs w:val="0"/>
      <w:i w:val="0"/>
      <w:iCs w:val="0"/>
      <w:sz w:val="28"/>
      <w:szCs w:val="20"/>
    </w:rPr>
  </w:style>
  <w:style w:type="character" w:customStyle="1" w:styleId="MPINormal">
    <w:name w:val="MPI Normal"/>
    <w:rsid w:val="00422678"/>
    <w:rPr>
      <w:szCs w:val="24"/>
    </w:rPr>
  </w:style>
  <w:style w:type="character" w:customStyle="1" w:styleId="BlueText">
    <w:name w:val="Blue Text"/>
    <w:rsid w:val="00876880"/>
    <w:rPr>
      <w:color w:val="0000FF"/>
    </w:rPr>
  </w:style>
  <w:style w:type="paragraph" w:customStyle="1" w:styleId="superscript">
    <w:name w:val="superscript"/>
    <w:basedOn w:val="Paragraph"/>
    <w:link w:val="superscriptChar"/>
    <w:autoRedefine/>
    <w:rsid w:val="00876880"/>
    <w:pPr>
      <w:spacing w:after="120"/>
    </w:pPr>
    <w:rPr>
      <w:rFonts w:eastAsia="MS Mincho"/>
      <w:color w:val="000000"/>
      <w:vertAlign w:val="superscript"/>
      <w:lang w:eastAsia="ja-JP" w:bidi="ml-IN"/>
    </w:rPr>
  </w:style>
  <w:style w:type="character" w:customStyle="1" w:styleId="superscriptChar">
    <w:name w:val="superscript Char"/>
    <w:link w:val="superscript"/>
    <w:rsid w:val="00876880"/>
    <w:rPr>
      <w:rFonts w:eastAsia="MS Mincho"/>
      <w:color w:val="000000"/>
      <w:sz w:val="24"/>
      <w:szCs w:val="24"/>
      <w:vertAlign w:val="superscript"/>
      <w:lang w:eastAsia="ja-JP" w:bidi="ml-IN"/>
    </w:rPr>
  </w:style>
  <w:style w:type="paragraph" w:customStyle="1" w:styleId="StyleHeading2Titre212H2GulliverGemenFetArial12pt">
    <w:name w:val="Style Heading 2Titre 212H2Gulliver Gemen. Fet + Arial 12 pt"/>
    <w:basedOn w:val="Heading2"/>
    <w:rsid w:val="00876880"/>
    <w:pPr>
      <w:spacing w:after="120"/>
    </w:pPr>
    <w:rPr>
      <w:rFonts w:ascii="Times New Roman" w:eastAsia="Calibri" w:hAnsi="Times New Roman" w:cs="Times New Roman"/>
      <w:iCs w:val="0"/>
      <w:szCs w:val="20"/>
      <w:lang w:val="en-US"/>
    </w:rPr>
  </w:style>
  <w:style w:type="paragraph" w:styleId="ListBullet2">
    <w:name w:val="List Bullet 2"/>
    <w:rsid w:val="00737ADC"/>
    <w:pPr>
      <w:numPr>
        <w:numId w:val="33"/>
      </w:numPr>
      <w:spacing w:after="240"/>
    </w:pPr>
    <w:rPr>
      <w:sz w:val="24"/>
      <w:szCs w:val="24"/>
      <w:lang w:val="en-US" w:eastAsia="en-US"/>
    </w:rPr>
  </w:style>
  <w:style w:type="character" w:customStyle="1" w:styleId="Instructions">
    <w:name w:val="Instructions"/>
    <w:rsid w:val="00737ADC"/>
    <w:rPr>
      <w:i/>
      <w:iCs/>
      <w:color w:val="008000"/>
    </w:rPr>
  </w:style>
  <w:style w:type="paragraph" w:customStyle="1" w:styleId="TableTextCentered">
    <w:name w:val="TableText Centered"/>
    <w:rsid w:val="00804F8A"/>
    <w:pPr>
      <w:jc w:val="center"/>
    </w:pPr>
    <w:rPr>
      <w:lang w:val="en-US" w:eastAsia="en-US"/>
    </w:rPr>
  </w:style>
  <w:style w:type="paragraph" w:styleId="NoSpacing">
    <w:name w:val="No Spacing"/>
    <w:uiPriority w:val="1"/>
    <w:qFormat/>
    <w:rsid w:val="00804F8A"/>
    <w:rPr>
      <w:rFonts w:ascii="Calibri" w:eastAsia="Calibri" w:hAnsi="Calibri"/>
      <w:sz w:val="22"/>
      <w:szCs w:val="22"/>
      <w:lang w:val="en-US" w:eastAsia="en-US"/>
    </w:rPr>
  </w:style>
  <w:style w:type="character" w:customStyle="1" w:styleId="paragraph-h1">
    <w:name w:val="paragraph-h1"/>
    <w:rsid w:val="00804F8A"/>
    <w:rPr>
      <w:rFonts w:ascii="Times New Roman" w:hAnsi="Times New Roman" w:cs="Times New Roman" w:hint="default"/>
      <w:sz w:val="24"/>
      <w:szCs w:val="24"/>
    </w:rPr>
  </w:style>
  <w:style w:type="paragraph" w:styleId="ListBullet3">
    <w:name w:val="List Bullet 3"/>
    <w:basedOn w:val="Normal"/>
    <w:rsid w:val="00035029"/>
    <w:pPr>
      <w:numPr>
        <w:numId w:val="35"/>
      </w:numPr>
      <w:contextualSpacing/>
    </w:pPr>
  </w:style>
  <w:style w:type="paragraph" w:customStyle="1" w:styleId="expl">
    <w:name w:val="expl"/>
    <w:basedOn w:val="Normal"/>
    <w:link w:val="explChar1"/>
    <w:rsid w:val="00C92DF8"/>
    <w:pPr>
      <w:spacing w:before="20" w:after="80" w:line="260" w:lineRule="exact"/>
    </w:pPr>
    <w:rPr>
      <w:sz w:val="20"/>
      <w:lang w:eastAsia="en-AU"/>
    </w:rPr>
  </w:style>
  <w:style w:type="character" w:customStyle="1" w:styleId="explChar1">
    <w:name w:val="expl Char1"/>
    <w:link w:val="expl"/>
    <w:rsid w:val="00C92DF8"/>
    <w:rPr>
      <w:lang w:val="en-AU" w:eastAsia="en-AU"/>
    </w:rPr>
  </w:style>
  <w:style w:type="paragraph" w:customStyle="1" w:styleId="CLDNormal">
    <w:name w:val="CLD Normal"/>
    <w:basedOn w:val="Normal"/>
    <w:uiPriority w:val="6"/>
    <w:qFormat/>
    <w:rsid w:val="007830EE"/>
    <w:pPr>
      <w:spacing w:after="240"/>
      <w:jc w:val="both"/>
    </w:pPr>
    <w:rPr>
      <w:lang w:val="en-GB"/>
    </w:rPr>
  </w:style>
  <w:style w:type="character" w:customStyle="1" w:styleId="UnresolvedMention">
    <w:name w:val="Unresolved Mention"/>
    <w:basedOn w:val="DefaultParagraphFont"/>
    <w:uiPriority w:val="99"/>
    <w:semiHidden/>
    <w:unhideWhenUsed/>
    <w:rsid w:val="00652FD4"/>
    <w:rPr>
      <w:color w:val="808080"/>
      <w:shd w:val="clear" w:color="auto" w:fill="E6E6E6"/>
    </w:rPr>
  </w:style>
  <w:style w:type="table" w:customStyle="1" w:styleId="TableGrid1">
    <w:name w:val="Table Grid1"/>
    <w:basedOn w:val="TableNormal"/>
    <w:next w:val="TableGrid"/>
    <w:uiPriority w:val="59"/>
    <w:rsid w:val="003D182C"/>
    <w:rPr>
      <w:rFonts w:ascii="Cambria" w:eastAsia="Cambria" w:hAnsi="Cambria"/>
      <w:sz w:val="22"/>
      <w:szCs w:val="22"/>
      <w:lang w:eastAsia="en-US"/>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502605">
      <w:bodyDiv w:val="1"/>
      <w:marLeft w:val="0"/>
      <w:marRight w:val="0"/>
      <w:marTop w:val="0"/>
      <w:marBottom w:val="0"/>
      <w:divBdr>
        <w:top w:val="none" w:sz="0" w:space="0" w:color="auto"/>
        <w:left w:val="none" w:sz="0" w:space="0" w:color="auto"/>
        <w:bottom w:val="none" w:sz="0" w:space="0" w:color="auto"/>
        <w:right w:val="none" w:sz="0" w:space="0" w:color="auto"/>
      </w:divBdr>
    </w:div>
    <w:div w:id="290330274">
      <w:bodyDiv w:val="1"/>
      <w:marLeft w:val="0"/>
      <w:marRight w:val="0"/>
      <w:marTop w:val="0"/>
      <w:marBottom w:val="0"/>
      <w:divBdr>
        <w:top w:val="none" w:sz="0" w:space="0" w:color="auto"/>
        <w:left w:val="none" w:sz="0" w:space="0" w:color="auto"/>
        <w:bottom w:val="none" w:sz="0" w:space="0" w:color="auto"/>
        <w:right w:val="none" w:sz="0" w:space="0" w:color="auto"/>
      </w:divBdr>
    </w:div>
    <w:div w:id="481893942">
      <w:bodyDiv w:val="1"/>
      <w:marLeft w:val="0"/>
      <w:marRight w:val="0"/>
      <w:marTop w:val="0"/>
      <w:marBottom w:val="0"/>
      <w:divBdr>
        <w:top w:val="none" w:sz="0" w:space="0" w:color="auto"/>
        <w:left w:val="none" w:sz="0" w:space="0" w:color="auto"/>
        <w:bottom w:val="none" w:sz="0" w:space="0" w:color="auto"/>
        <w:right w:val="none" w:sz="0" w:space="0" w:color="auto"/>
      </w:divBdr>
    </w:div>
    <w:div w:id="515852908">
      <w:bodyDiv w:val="1"/>
      <w:marLeft w:val="0"/>
      <w:marRight w:val="0"/>
      <w:marTop w:val="0"/>
      <w:marBottom w:val="0"/>
      <w:divBdr>
        <w:top w:val="none" w:sz="0" w:space="0" w:color="auto"/>
        <w:left w:val="none" w:sz="0" w:space="0" w:color="auto"/>
        <w:bottom w:val="none" w:sz="0" w:space="0" w:color="auto"/>
        <w:right w:val="none" w:sz="0" w:space="0" w:color="auto"/>
      </w:divBdr>
    </w:div>
    <w:div w:id="769397295">
      <w:bodyDiv w:val="1"/>
      <w:marLeft w:val="0"/>
      <w:marRight w:val="0"/>
      <w:marTop w:val="0"/>
      <w:marBottom w:val="0"/>
      <w:divBdr>
        <w:top w:val="none" w:sz="0" w:space="0" w:color="auto"/>
        <w:left w:val="none" w:sz="0" w:space="0" w:color="auto"/>
        <w:bottom w:val="none" w:sz="0" w:space="0" w:color="auto"/>
        <w:right w:val="none" w:sz="0" w:space="0" w:color="auto"/>
      </w:divBdr>
    </w:div>
    <w:div w:id="786776866">
      <w:bodyDiv w:val="1"/>
      <w:marLeft w:val="0"/>
      <w:marRight w:val="0"/>
      <w:marTop w:val="0"/>
      <w:marBottom w:val="0"/>
      <w:divBdr>
        <w:top w:val="none" w:sz="0" w:space="0" w:color="auto"/>
        <w:left w:val="none" w:sz="0" w:space="0" w:color="auto"/>
        <w:bottom w:val="none" w:sz="0" w:space="0" w:color="auto"/>
        <w:right w:val="none" w:sz="0" w:space="0" w:color="auto"/>
      </w:divBdr>
    </w:div>
    <w:div w:id="857308946">
      <w:bodyDiv w:val="1"/>
      <w:marLeft w:val="0"/>
      <w:marRight w:val="0"/>
      <w:marTop w:val="0"/>
      <w:marBottom w:val="0"/>
      <w:divBdr>
        <w:top w:val="none" w:sz="0" w:space="0" w:color="auto"/>
        <w:left w:val="none" w:sz="0" w:space="0" w:color="auto"/>
        <w:bottom w:val="none" w:sz="0" w:space="0" w:color="auto"/>
        <w:right w:val="none" w:sz="0" w:space="0" w:color="auto"/>
      </w:divBdr>
    </w:div>
    <w:div w:id="864827474">
      <w:bodyDiv w:val="1"/>
      <w:marLeft w:val="0"/>
      <w:marRight w:val="0"/>
      <w:marTop w:val="0"/>
      <w:marBottom w:val="0"/>
      <w:divBdr>
        <w:top w:val="none" w:sz="0" w:space="0" w:color="auto"/>
        <w:left w:val="none" w:sz="0" w:space="0" w:color="auto"/>
        <w:bottom w:val="none" w:sz="0" w:space="0" w:color="auto"/>
        <w:right w:val="none" w:sz="0" w:space="0" w:color="auto"/>
      </w:divBdr>
    </w:div>
    <w:div w:id="209612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fizer.com.a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2FA4B-5A4F-4FBA-AF58-F9B0EEF89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Pages>20</Pages>
  <Words>6577</Words>
  <Characters>39427</Characters>
  <Application>Microsoft Office Word</Application>
  <DocSecurity>0</DocSecurity>
  <Lines>328</Lines>
  <Paragraphs>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AusPAR Attachment 1: Product Information for Lorlatinib</vt:lpstr>
      <vt:lpstr>DRAFT PRODUCT INFORMATION</vt:lpstr>
    </vt:vector>
  </TitlesOfParts>
  <Company>Wyeth Australia Pty Ltd</Company>
  <LinksUpToDate>false</LinksUpToDate>
  <CharactersWithSpaces>45913</CharactersWithSpaces>
  <SharedDoc>false</SharedDoc>
  <HLinks>
    <vt:vector size="18" baseType="variant">
      <vt:variant>
        <vt:i4>5046353</vt:i4>
      </vt:variant>
      <vt:variant>
        <vt:i4>12</vt:i4>
      </vt:variant>
      <vt:variant>
        <vt:i4>0</vt:i4>
      </vt:variant>
      <vt:variant>
        <vt:i4>5</vt:i4>
      </vt:variant>
      <vt:variant>
        <vt:lpwstr>http://www.pfizer.com.au/</vt:lpwstr>
      </vt:variant>
      <vt:variant>
        <vt:lpwstr/>
      </vt:variant>
      <vt:variant>
        <vt:i4>5898317</vt:i4>
      </vt:variant>
      <vt:variant>
        <vt:i4>6</vt:i4>
      </vt:variant>
      <vt:variant>
        <vt:i4>0</vt:i4>
      </vt:variant>
      <vt:variant>
        <vt:i4>5</vt:i4>
      </vt:variant>
      <vt:variant>
        <vt:lpwstr>http://www.tga.gov.au/reporting-problems</vt:lpwstr>
      </vt:variant>
      <vt:variant>
        <vt:lpwstr/>
      </vt:variant>
      <vt:variant>
        <vt:i4>5898317</vt:i4>
      </vt:variant>
      <vt:variant>
        <vt:i4>3</vt:i4>
      </vt:variant>
      <vt:variant>
        <vt:i4>0</vt:i4>
      </vt:variant>
      <vt:variant>
        <vt:i4>5</vt:i4>
      </vt:variant>
      <vt:variant>
        <vt:lpwstr>http://www.tga.gov.au/reporting-problems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Lorlatinib</dc:title>
  <dc:subject>prescription medicines</dc:subject>
  <dc:creator>Wyeth Australia Pty Ltd</dc:creator>
  <cp:keywords>AusPARs</cp:keywords>
  <cp:lastModifiedBy>SHEPPARD, Fran</cp:lastModifiedBy>
  <cp:revision>2</cp:revision>
  <cp:lastPrinted>2019-05-17T03:50:00Z</cp:lastPrinted>
  <dcterms:created xsi:type="dcterms:W3CDTF">2020-02-06T03:15:00Z</dcterms:created>
  <dcterms:modified xsi:type="dcterms:W3CDTF">2020-03-06T04:00:00Z</dcterms:modified>
</cp:coreProperties>
</file>