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3E0" w:rsidRDefault="001713E0" w:rsidP="001713E0">
      <w:pPr>
        <w:pStyle w:val="Heading1"/>
        <w:pageBreakBefore w:val="0"/>
        <w:numPr>
          <w:ilvl w:val="0"/>
          <w:numId w:val="0"/>
        </w:numPr>
        <w:jc w:val="center"/>
      </w:pPr>
      <w:bookmarkStart w:id="0" w:name="_Toc310954927"/>
      <w:r>
        <w:t>PRODUCT INFORMATION</w:t>
      </w:r>
      <w:bookmarkEnd w:id="0"/>
    </w:p>
    <w:p w:rsidR="001713E0" w:rsidRPr="001713E0" w:rsidRDefault="001713E0" w:rsidP="002C6632">
      <w:pPr>
        <w:pStyle w:val="Heading1"/>
        <w:pageBreakBefore w:val="0"/>
        <w:numPr>
          <w:ilvl w:val="0"/>
          <w:numId w:val="0"/>
        </w:numPr>
        <w:jc w:val="center"/>
      </w:pPr>
      <w:bookmarkStart w:id="1" w:name="_Toc310954928"/>
      <w:r w:rsidRPr="001713E0">
        <w:t>LYXUMIA Injection, Solution</w:t>
      </w:r>
      <w:bookmarkEnd w:id="1"/>
    </w:p>
    <w:p w:rsidR="000E1B95" w:rsidRDefault="00BC52A5" w:rsidP="00BC52A5">
      <w:pPr>
        <w:pStyle w:val="Heading1"/>
        <w:pageBreakBefore w:val="0"/>
        <w:numPr>
          <w:ilvl w:val="0"/>
          <w:numId w:val="0"/>
        </w:numPr>
      </w:pPr>
      <w:bookmarkStart w:id="2" w:name="_Toc310954929"/>
      <w:r>
        <w:t>Name of medicine</w:t>
      </w:r>
      <w:bookmarkEnd w:id="2"/>
    </w:p>
    <w:p w:rsidR="00BC52A5" w:rsidRDefault="00BC52A5" w:rsidP="00BC52A5">
      <w:pPr>
        <w:pStyle w:val="Heading2"/>
        <w:numPr>
          <w:ilvl w:val="0"/>
          <w:numId w:val="0"/>
        </w:numPr>
      </w:pPr>
      <w:bookmarkStart w:id="3" w:name="_Toc310954930"/>
      <w:r>
        <w:t>AUSTRALIAN APP</w:t>
      </w:r>
      <w:r w:rsidR="002E3B8B">
        <w:t>R</w:t>
      </w:r>
      <w:r>
        <w:t>OVED NAME</w:t>
      </w:r>
      <w:bookmarkEnd w:id="3"/>
    </w:p>
    <w:p w:rsidR="00BC52A5" w:rsidRPr="00BC52A5" w:rsidRDefault="001713E0" w:rsidP="00BC52A5">
      <w:proofErr w:type="spellStart"/>
      <w:r>
        <w:t>L</w:t>
      </w:r>
      <w:r w:rsidR="00CF55E5">
        <w:t>ixisenatide</w:t>
      </w:r>
      <w:proofErr w:type="spellEnd"/>
    </w:p>
    <w:p w:rsidR="00BC52A5" w:rsidRDefault="00BC52A5" w:rsidP="00BC52A5">
      <w:pPr>
        <w:pStyle w:val="Heading2"/>
        <w:numPr>
          <w:ilvl w:val="0"/>
          <w:numId w:val="0"/>
        </w:numPr>
      </w:pPr>
      <w:bookmarkStart w:id="4" w:name="_Toc310954931"/>
      <w:r>
        <w:t>CHEMICAL STRUCTURE</w:t>
      </w:r>
      <w:bookmarkEnd w:id="4"/>
    </w:p>
    <w:p w:rsidR="00EA786E" w:rsidRPr="00EA786E" w:rsidRDefault="00D228F1" w:rsidP="00EA786E">
      <w:r>
        <w:t xml:space="preserve">The structure of </w:t>
      </w:r>
      <w:proofErr w:type="spellStart"/>
      <w:r>
        <w:t>lixisenatide</w:t>
      </w:r>
      <w:proofErr w:type="spellEnd"/>
      <w:r w:rsidR="00EA786E" w:rsidRPr="00EA786E">
        <w:t xml:space="preserve"> is a peptide containing 44 amino acids, which is </w:t>
      </w:r>
      <w:proofErr w:type="spellStart"/>
      <w:r w:rsidR="00EA786E" w:rsidRPr="00EA786E">
        <w:t>amidated</w:t>
      </w:r>
      <w:proofErr w:type="spellEnd"/>
      <w:r w:rsidR="00EA786E" w:rsidRPr="00EA786E">
        <w:t xml:space="preserve"> at the C-terminal amino acid (position 44). The order of the amino acids is given in the figure below. Its molecular weight is 4858.5, and the empirical formula is C</w:t>
      </w:r>
      <w:r w:rsidR="00EA786E" w:rsidRPr="00B500E3">
        <w:rPr>
          <w:vertAlign w:val="subscript"/>
        </w:rPr>
        <w:t>215</w:t>
      </w:r>
      <w:r w:rsidR="00EA786E" w:rsidRPr="00EA786E">
        <w:t>H</w:t>
      </w:r>
      <w:r w:rsidR="00EA786E" w:rsidRPr="00B500E3">
        <w:rPr>
          <w:vertAlign w:val="subscript"/>
        </w:rPr>
        <w:t>347</w:t>
      </w:r>
      <w:r w:rsidR="00EA786E" w:rsidRPr="00EA786E">
        <w:t>N</w:t>
      </w:r>
      <w:r w:rsidR="00EA786E" w:rsidRPr="00B500E3">
        <w:rPr>
          <w:vertAlign w:val="subscript"/>
        </w:rPr>
        <w:t>61</w:t>
      </w:r>
      <w:r w:rsidR="00EA786E" w:rsidRPr="00EA786E">
        <w:t>O</w:t>
      </w:r>
      <w:r w:rsidR="00EA786E" w:rsidRPr="00B500E3">
        <w:rPr>
          <w:vertAlign w:val="subscript"/>
        </w:rPr>
        <w:t>65</w:t>
      </w:r>
      <w:r w:rsidR="00EA786E" w:rsidRPr="00EA786E">
        <w:t>S with the following chemical structure:</w:t>
      </w:r>
    </w:p>
    <w:p w:rsidR="00EA786E" w:rsidRDefault="00C86C80" w:rsidP="00EA786E">
      <w:pPr>
        <w:spacing w:before="0"/>
        <w:jc w:val="center"/>
        <w:rPr>
          <w:color w:val="800000"/>
        </w:rPr>
      </w:pPr>
      <w:bookmarkStart w:id="5" w:name="OLE_LINK6"/>
      <w:bookmarkStart w:id="6" w:name="OLE_LINK7"/>
      <w:r w:rsidRPr="00D70C28">
        <w:rPr>
          <w:color w:val="8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mical structure of lixisenatide" style="width:293pt;height:198.4pt">
            <v:imagedata r:id="rId7" o:title=""/>
          </v:shape>
        </w:pict>
      </w:r>
      <w:bookmarkEnd w:id="5"/>
      <w:bookmarkEnd w:id="6"/>
    </w:p>
    <w:p w:rsidR="00E37C63" w:rsidRDefault="00E37C63" w:rsidP="00E37C63">
      <w:pPr>
        <w:pStyle w:val="Heading2"/>
        <w:numPr>
          <w:ilvl w:val="0"/>
          <w:numId w:val="0"/>
        </w:numPr>
      </w:pPr>
      <w:bookmarkStart w:id="7" w:name="_Toc310954932"/>
      <w:r>
        <w:t>Molecular Weight</w:t>
      </w:r>
      <w:bookmarkEnd w:id="7"/>
    </w:p>
    <w:p w:rsidR="00E37C63" w:rsidRPr="00E37C63" w:rsidRDefault="00E37C63" w:rsidP="00E37C63">
      <w:r>
        <w:t>4858.5</w:t>
      </w:r>
    </w:p>
    <w:p w:rsidR="00BC52A5" w:rsidRDefault="001D6D51" w:rsidP="001D6D51">
      <w:pPr>
        <w:pStyle w:val="Heading2"/>
        <w:numPr>
          <w:ilvl w:val="0"/>
          <w:numId w:val="0"/>
        </w:numPr>
      </w:pPr>
      <w:bookmarkStart w:id="8" w:name="_Toc310954933"/>
      <w:r>
        <w:t>Cas registry number</w:t>
      </w:r>
      <w:bookmarkEnd w:id="8"/>
    </w:p>
    <w:p w:rsidR="001D6D51" w:rsidRPr="001D6D51" w:rsidRDefault="001D6D51" w:rsidP="001D6D51">
      <w:r>
        <w:t>320367-13-3</w:t>
      </w:r>
    </w:p>
    <w:p w:rsidR="00BC52A5" w:rsidRDefault="00BC52A5" w:rsidP="00BC52A5">
      <w:pPr>
        <w:pStyle w:val="Heading1"/>
        <w:pageBreakBefore w:val="0"/>
        <w:numPr>
          <w:ilvl w:val="0"/>
          <w:numId w:val="0"/>
        </w:numPr>
      </w:pPr>
      <w:bookmarkStart w:id="9" w:name="_Toc310954934"/>
      <w:r>
        <w:lastRenderedPageBreak/>
        <w:t>description</w:t>
      </w:r>
      <w:bookmarkEnd w:id="9"/>
    </w:p>
    <w:p w:rsidR="00BC52A5" w:rsidRDefault="00B500E3" w:rsidP="00BC52A5">
      <w:proofErr w:type="spellStart"/>
      <w:r w:rsidRPr="00B500E3">
        <w:t>Lixisenatide</w:t>
      </w:r>
      <w:proofErr w:type="spellEnd"/>
      <w:r w:rsidRPr="00B500E3">
        <w:t xml:space="preserve"> is a</w:t>
      </w:r>
      <w:r w:rsidR="009A239D">
        <w:t>n</w:t>
      </w:r>
      <w:r w:rsidRPr="00B500E3">
        <w:t xml:space="preserve"> amorphous, hygroscopic, white to off-white powder. </w:t>
      </w:r>
    </w:p>
    <w:p w:rsidR="00B500E3" w:rsidRDefault="00B500E3" w:rsidP="00BC52A5">
      <w:proofErr w:type="spellStart"/>
      <w:r>
        <w:t>Lyxumia</w:t>
      </w:r>
      <w:proofErr w:type="spellEnd"/>
      <w:r>
        <w:t xml:space="preserve"> solution is a c</w:t>
      </w:r>
      <w:r w:rsidRPr="00B500E3">
        <w:t xml:space="preserve">lear, </w:t>
      </w:r>
      <w:proofErr w:type="spellStart"/>
      <w:r w:rsidRPr="00B500E3">
        <w:t>colourless</w:t>
      </w:r>
      <w:proofErr w:type="spellEnd"/>
      <w:r w:rsidRPr="00B500E3">
        <w:t xml:space="preserve"> solution.  </w:t>
      </w:r>
    </w:p>
    <w:p w:rsidR="00AD721F" w:rsidRDefault="00AD721F" w:rsidP="00BC52A5">
      <w:proofErr w:type="spellStart"/>
      <w:r>
        <w:t>Lyxumia</w:t>
      </w:r>
      <w:proofErr w:type="spellEnd"/>
      <w:r>
        <w:t xml:space="preserve"> is supplied as a sterile solution for subcutaneous injection in a 3mL glass cartridge that has been </w:t>
      </w:r>
      <w:r w:rsidR="00832FAB">
        <w:t>permanently</w:t>
      </w:r>
      <w:r w:rsidR="00A56D58">
        <w:t xml:space="preserve"> </w:t>
      </w:r>
      <w:r>
        <w:t>integrated into a pre-filled injector pen.</w:t>
      </w:r>
    </w:p>
    <w:p w:rsidR="00B500E3" w:rsidRDefault="00AD721F" w:rsidP="00BC52A5">
      <w:proofErr w:type="spellStart"/>
      <w:r>
        <w:t>Lyxumia</w:t>
      </w:r>
      <w:proofErr w:type="spellEnd"/>
      <w:r>
        <w:t xml:space="preserve"> is available as 2 </w:t>
      </w:r>
      <w:r w:rsidR="002E3B8B">
        <w:t>different pens which deliver</w:t>
      </w:r>
      <w:r w:rsidR="0088439D">
        <w:t xml:space="preserve"> e</w:t>
      </w:r>
      <w:r>
        <w:t xml:space="preserve">ither a 10μg or 20μg dose of </w:t>
      </w:r>
      <w:proofErr w:type="spellStart"/>
      <w:r>
        <w:t>lixisenatide</w:t>
      </w:r>
      <w:proofErr w:type="spellEnd"/>
      <w:r>
        <w:t xml:space="preserve">. Each dose also contains glycerol (85%), sodium acetate, </w:t>
      </w:r>
      <w:proofErr w:type="spellStart"/>
      <w:r>
        <w:t>methionine</w:t>
      </w:r>
      <w:proofErr w:type="spellEnd"/>
      <w:r>
        <w:t>,</w:t>
      </w:r>
      <w:r w:rsidR="0088439D">
        <w:t xml:space="preserve"> meta</w:t>
      </w:r>
      <w:r w:rsidR="00B17FDD" w:rsidRPr="00E4315B">
        <w:t>-</w:t>
      </w:r>
      <w:r w:rsidR="0088439D">
        <w:t>cresol, hydrochloric acid/</w:t>
      </w:r>
      <w:r>
        <w:t>sodium hydroxide</w:t>
      </w:r>
      <w:r w:rsidR="0088439D">
        <w:t xml:space="preserve"> for pH adjustment,</w:t>
      </w:r>
      <w:r>
        <w:t xml:space="preserve"> and water for injections.</w:t>
      </w:r>
    </w:p>
    <w:p w:rsidR="00BC52A5" w:rsidRDefault="00BC52A5" w:rsidP="00BC52A5">
      <w:pPr>
        <w:pStyle w:val="Heading1"/>
        <w:pageBreakBefore w:val="0"/>
        <w:numPr>
          <w:ilvl w:val="0"/>
          <w:numId w:val="0"/>
        </w:numPr>
      </w:pPr>
      <w:bookmarkStart w:id="10" w:name="_Toc310954935"/>
      <w:r>
        <w:t>pharmacology</w:t>
      </w:r>
      <w:bookmarkEnd w:id="10"/>
    </w:p>
    <w:p w:rsidR="00BC52A5" w:rsidRDefault="00BC52A5" w:rsidP="00BC52A5">
      <w:pPr>
        <w:pStyle w:val="Heading2"/>
        <w:numPr>
          <w:ilvl w:val="0"/>
          <w:numId w:val="0"/>
        </w:numPr>
      </w:pPr>
      <w:bookmarkStart w:id="11" w:name="_Toc310954936"/>
      <w:r>
        <w:t>PHARMACODYNAMICS</w:t>
      </w:r>
      <w:bookmarkEnd w:id="11"/>
    </w:p>
    <w:p w:rsidR="00BC52A5" w:rsidRDefault="00BC52A5" w:rsidP="00BC52A5">
      <w:pPr>
        <w:pStyle w:val="Heading3"/>
        <w:numPr>
          <w:ilvl w:val="0"/>
          <w:numId w:val="0"/>
        </w:numPr>
      </w:pPr>
      <w:bookmarkStart w:id="12" w:name="_Toc310954937"/>
      <w:r>
        <w:t>Mechanism of Action</w:t>
      </w:r>
      <w:bookmarkEnd w:id="12"/>
    </w:p>
    <w:p w:rsidR="00D732D7" w:rsidRDefault="00D732D7" w:rsidP="00D732D7">
      <w:bookmarkStart w:id="13" w:name="OLE_LINK1"/>
      <w:proofErr w:type="spellStart"/>
      <w:r>
        <w:t>Lixisenatide</w:t>
      </w:r>
      <w:proofErr w:type="spellEnd"/>
      <w:r>
        <w:t xml:space="preserve"> is a potent and selective GLP-1 receptor agonist</w:t>
      </w:r>
      <w:r w:rsidR="00A45E68">
        <w:t xml:space="preserve"> </w:t>
      </w:r>
      <w:r w:rsidR="00A45E68" w:rsidRPr="008A6A7C">
        <w:t>(</w:t>
      </w:r>
      <w:proofErr w:type="spellStart"/>
      <w:r w:rsidR="00A45E68" w:rsidRPr="008A6A7C">
        <w:t>Ki</w:t>
      </w:r>
      <w:proofErr w:type="spellEnd"/>
      <w:r w:rsidR="00A45E68" w:rsidRPr="008A6A7C">
        <w:t xml:space="preserve"> = 1.33nM in </w:t>
      </w:r>
      <w:proofErr w:type="spellStart"/>
      <w:r w:rsidR="00A45E68" w:rsidRPr="008A6A7C">
        <w:t>radioligand</w:t>
      </w:r>
      <w:proofErr w:type="spellEnd"/>
      <w:r w:rsidR="00A45E68" w:rsidRPr="008A6A7C">
        <w:t xml:space="preserve"> binding experiments)</w:t>
      </w:r>
      <w:r w:rsidRPr="008A6A7C">
        <w:t>.</w:t>
      </w:r>
      <w:r>
        <w:t xml:space="preserve"> The GLP-1 receptor is the target for native GLP-1, an endogenous </w:t>
      </w:r>
      <w:proofErr w:type="spellStart"/>
      <w:r>
        <w:t>incretin</w:t>
      </w:r>
      <w:proofErr w:type="spellEnd"/>
      <w:r>
        <w:t xml:space="preserve"> hormone that potentiates glucose-dependent insulin secretion from the pancreatic beta cells.</w:t>
      </w:r>
    </w:p>
    <w:p w:rsidR="00B1230F" w:rsidRDefault="00D732D7" w:rsidP="00D732D7">
      <w:proofErr w:type="spellStart"/>
      <w:r>
        <w:t>Lixisenatide</w:t>
      </w:r>
      <w:proofErr w:type="spellEnd"/>
      <w:r>
        <w:t xml:space="preserve"> action is mediated via a specific interaction with GLP-1 receptors, leading to an increase in intracellular cyclic adenosine </w:t>
      </w:r>
      <w:proofErr w:type="spellStart"/>
      <w:r>
        <w:t>monophosphate</w:t>
      </w:r>
      <w:proofErr w:type="spellEnd"/>
      <w:r>
        <w:t xml:space="preserve"> (</w:t>
      </w:r>
      <w:proofErr w:type="spellStart"/>
      <w:r>
        <w:t>cAMP</w:t>
      </w:r>
      <w:proofErr w:type="spellEnd"/>
      <w:r>
        <w:t xml:space="preserve">). </w:t>
      </w:r>
      <w:proofErr w:type="spellStart"/>
      <w:r>
        <w:t>Lixisenatide</w:t>
      </w:r>
      <w:proofErr w:type="spellEnd"/>
      <w:r>
        <w:t xml:space="preserve"> stimulates insulin secretion when blood glucose is increased but not at </w:t>
      </w:r>
      <w:proofErr w:type="spellStart"/>
      <w:r>
        <w:t>normoglycaemia</w:t>
      </w:r>
      <w:proofErr w:type="spellEnd"/>
      <w:r>
        <w:t>. In parallel, glucagon secretion is suppressed</w:t>
      </w:r>
      <w:r w:rsidRPr="007A409E">
        <w:rPr>
          <w:color w:val="auto"/>
        </w:rPr>
        <w:t>.</w:t>
      </w:r>
      <w:r w:rsidRPr="00121289">
        <w:t xml:space="preserve"> In case of </w:t>
      </w:r>
      <w:proofErr w:type="spellStart"/>
      <w:r w:rsidRPr="00121289">
        <w:t>hypoglycaemia</w:t>
      </w:r>
      <w:proofErr w:type="spellEnd"/>
      <w:r w:rsidRPr="00121289">
        <w:t xml:space="preserve">, the rescue mechanism of glucagon secretion is preserved. </w:t>
      </w:r>
      <w:proofErr w:type="spellStart"/>
      <w:r w:rsidRPr="00121289">
        <w:t>Lixisenatide</w:t>
      </w:r>
      <w:proofErr w:type="spellEnd"/>
      <w:r>
        <w:t xml:space="preserve"> further showed a trend towards </w:t>
      </w:r>
      <w:proofErr w:type="spellStart"/>
      <w:r>
        <w:t>insulinotropic</w:t>
      </w:r>
      <w:proofErr w:type="spellEnd"/>
      <w:r>
        <w:t xml:space="preserve"> activity, including enhancement of insulin biosynthesis and stimulation of beta-cell proliferation in animals. </w:t>
      </w:r>
    </w:p>
    <w:p w:rsidR="00B1230F" w:rsidRPr="00993A20" w:rsidRDefault="00D732D7" w:rsidP="00B1230F">
      <w:proofErr w:type="spellStart"/>
      <w:r>
        <w:t>Lixisenatide</w:t>
      </w:r>
      <w:proofErr w:type="spellEnd"/>
      <w:r>
        <w:t xml:space="preserve"> slows gastric emptying thereby reducing the rate at which meal-derived glucose appears in the circulation. The effect on gastric emptying might also contribute to body weight reduction.</w:t>
      </w:r>
    </w:p>
    <w:p w:rsidR="00E37C63" w:rsidRDefault="00E37C63" w:rsidP="00E37C63">
      <w:pPr>
        <w:pStyle w:val="Heading3"/>
        <w:numPr>
          <w:ilvl w:val="0"/>
          <w:numId w:val="0"/>
        </w:numPr>
      </w:pPr>
      <w:bookmarkStart w:id="14" w:name="_Toc310954938"/>
      <w:bookmarkEnd w:id="13"/>
      <w:proofErr w:type="spellStart"/>
      <w:r>
        <w:t>Pharmacodynamic</w:t>
      </w:r>
      <w:proofErr w:type="spellEnd"/>
      <w:r>
        <w:t xml:space="preserve"> Properties</w:t>
      </w:r>
      <w:bookmarkEnd w:id="14"/>
    </w:p>
    <w:p w:rsidR="00D732D7" w:rsidRDefault="00D732D7" w:rsidP="00D732D7">
      <w:r>
        <w:t xml:space="preserve">When administered once daily, </w:t>
      </w:r>
      <w:proofErr w:type="spellStart"/>
      <w:r>
        <w:t>lixisenatide</w:t>
      </w:r>
      <w:proofErr w:type="spellEnd"/>
      <w:r>
        <w:t xml:space="preserve"> improves </w:t>
      </w:r>
      <w:proofErr w:type="spellStart"/>
      <w:r>
        <w:t>glycaemic</w:t>
      </w:r>
      <w:proofErr w:type="spellEnd"/>
      <w:r>
        <w:t xml:space="preserve"> control through the immediate and sustained effects of lowering both postprandial and fasting glucose concentrations in patients with type 2 diabetes.</w:t>
      </w:r>
      <w:r w:rsidR="008F4E04">
        <w:t xml:space="preserve"> </w:t>
      </w:r>
      <w:r>
        <w:t>This effect on post-</w:t>
      </w:r>
      <w:proofErr w:type="spellStart"/>
      <w:r>
        <w:t>prandial</w:t>
      </w:r>
      <w:proofErr w:type="spellEnd"/>
      <w:r>
        <w:t xml:space="preserve"> glucose was confirmed in a 4-week study versus </w:t>
      </w:r>
      <w:proofErr w:type="spellStart"/>
      <w:r>
        <w:t>liraglutide</w:t>
      </w:r>
      <w:proofErr w:type="spellEnd"/>
      <w:r>
        <w:t xml:space="preserve"> 1.8 mg once a day. </w:t>
      </w:r>
      <w:proofErr w:type="spellStart"/>
      <w:r>
        <w:t>Lixisenatide</w:t>
      </w:r>
      <w:proofErr w:type="spellEnd"/>
      <w:r>
        <w:t xml:space="preserve"> 20 µg once a day demonstrated superior reduction compared to </w:t>
      </w:r>
      <w:proofErr w:type="spellStart"/>
      <w:r>
        <w:t>liraglutide</w:t>
      </w:r>
      <w:proofErr w:type="spellEnd"/>
      <w:r>
        <w:t xml:space="preserve"> in area under the curve of post-</w:t>
      </w:r>
      <w:proofErr w:type="spellStart"/>
      <w:r>
        <w:t>prandial</w:t>
      </w:r>
      <w:proofErr w:type="spellEnd"/>
      <w:r>
        <w:t xml:space="preserve"> plasma gluco</w:t>
      </w:r>
      <w:r w:rsidR="00D228F1">
        <w:t xml:space="preserve">se after a test-meal. (see </w:t>
      </w:r>
      <w:fldSimple w:instr=" REF _Ref310894299 \h  \* MERGEFORMAT ">
        <w:r w:rsidR="00E2762E" w:rsidRPr="00E2762E">
          <w:rPr>
            <w:color w:val="auto"/>
          </w:rPr>
          <w:t>Figure 1</w:t>
        </w:r>
      </w:fldSimple>
      <w:r w:rsidRPr="00371E80">
        <w:rPr>
          <w:color w:val="auto"/>
        </w:rPr>
        <w:t>)</w:t>
      </w:r>
    </w:p>
    <w:p w:rsidR="00D732D7" w:rsidRPr="003E5835" w:rsidRDefault="00D70C28" w:rsidP="00D732D7">
      <w:pPr>
        <w:pStyle w:val="Caption"/>
        <w:rPr>
          <w:rFonts w:ascii="Arial Bold" w:hAnsi="Arial Bold" w:hint="eastAsia"/>
          <w:strike/>
          <w:color w:val="FF00FF"/>
        </w:rPr>
      </w:pPr>
      <w:bookmarkStart w:id="15" w:name="_Toc310955012"/>
      <w:r w:rsidRPr="00D70C28">
        <w:rPr>
          <w:rFonts w:hint="eastAsia"/>
          <w:noProof/>
        </w:rPr>
        <w:lastRenderedPageBreak/>
        <w:pict>
          <v:shape id="_x0000_s13017" type="#_x0000_t75" alt="Figure 1" style="position:absolute;left:0;text-align:left;margin-left:12pt;margin-top:27.8pt;width:438pt;height:283.6pt;z-index:-251658752" wrapcoords="-46 0 -46 21529 21600 21529 21600 0 -46 0">
            <v:imagedata r:id="rId8" o:title="Pages from lixisenatide CCDSV1"/>
            <w10:wrap type="tight"/>
          </v:shape>
        </w:pict>
      </w:r>
      <w:r w:rsidR="00D732D7">
        <w:t xml:space="preserve"> </w:t>
      </w:r>
      <w:bookmarkStart w:id="16" w:name="_Ref310894299"/>
      <w:r w:rsidR="00D732D7">
        <w:t>Figure </w:t>
      </w:r>
      <w:fldSimple w:instr=" SEQ Figure \* ARABIC ">
        <w:r w:rsidR="00E2762E">
          <w:rPr>
            <w:noProof/>
          </w:rPr>
          <w:t>1</w:t>
        </w:r>
      </w:fldSimple>
      <w:bookmarkEnd w:id="16"/>
      <w:r w:rsidR="00D732D7">
        <w:t xml:space="preserve"> ­  </w:t>
      </w:r>
      <w:r w:rsidR="00D732D7" w:rsidRPr="00D732D7">
        <w:t xml:space="preserve">Mean (± SEM) </w:t>
      </w:r>
      <w:r w:rsidR="003E5835" w:rsidRPr="00993A20">
        <w:t>concentration of</w:t>
      </w:r>
      <w:r w:rsidR="003E5835">
        <w:t xml:space="preserve"> </w:t>
      </w:r>
      <w:r w:rsidR="00D732D7" w:rsidRPr="00D732D7">
        <w:t>post-</w:t>
      </w:r>
      <w:proofErr w:type="spellStart"/>
      <w:r w:rsidR="00D732D7" w:rsidRPr="00D732D7">
        <w:t>prandial</w:t>
      </w:r>
      <w:proofErr w:type="spellEnd"/>
      <w:r w:rsidR="00D732D7" w:rsidRPr="00D732D7">
        <w:t xml:space="preserve"> plasma glucose </w:t>
      </w:r>
      <w:r w:rsidR="003E5835" w:rsidRPr="00993A20">
        <w:t>change from pre-meal values</w:t>
      </w:r>
      <w:r w:rsidR="003E5835">
        <w:t xml:space="preserve"> </w:t>
      </w:r>
      <w:r w:rsidR="00D732D7" w:rsidRPr="00D732D7">
        <w:t>profile on Day -1 and Day 28</w:t>
      </w:r>
      <w:bookmarkEnd w:id="15"/>
    </w:p>
    <w:p w:rsidR="00DD3052" w:rsidRDefault="00DD3052" w:rsidP="00B1230F">
      <w:pPr>
        <w:spacing w:before="0"/>
        <w:jc w:val="center"/>
      </w:pPr>
    </w:p>
    <w:p w:rsidR="00BC52A5" w:rsidRDefault="00BC52A5" w:rsidP="00BC52A5">
      <w:pPr>
        <w:pStyle w:val="Heading2"/>
        <w:numPr>
          <w:ilvl w:val="0"/>
          <w:numId w:val="0"/>
        </w:numPr>
      </w:pPr>
      <w:bookmarkStart w:id="17" w:name="_Toc310954939"/>
      <w:r>
        <w:t>pharmacokinetics</w:t>
      </w:r>
      <w:bookmarkEnd w:id="17"/>
    </w:p>
    <w:p w:rsidR="00BC52A5" w:rsidRDefault="00BC52A5" w:rsidP="00BC52A5">
      <w:pPr>
        <w:pStyle w:val="Heading3"/>
        <w:numPr>
          <w:ilvl w:val="0"/>
          <w:numId w:val="0"/>
        </w:numPr>
      </w:pPr>
      <w:bookmarkStart w:id="18" w:name="_Toc310954940"/>
      <w:r>
        <w:t>Absorption</w:t>
      </w:r>
      <w:bookmarkEnd w:id="18"/>
    </w:p>
    <w:p w:rsidR="00EF53EE" w:rsidRDefault="00D732D7" w:rsidP="00F856E1">
      <w:pPr>
        <w:pStyle w:val="CommentText"/>
        <w:rPr>
          <w:sz w:val="24"/>
          <w:szCs w:val="24"/>
        </w:rPr>
      </w:pPr>
      <w:r w:rsidRPr="00FE2A0B">
        <w:rPr>
          <w:sz w:val="24"/>
          <w:szCs w:val="24"/>
        </w:rPr>
        <w:t xml:space="preserve">Following subcutaneous administration to patients with type 2 diabetes, the rate of </w:t>
      </w:r>
      <w:proofErr w:type="spellStart"/>
      <w:r w:rsidRPr="00FE2A0B">
        <w:rPr>
          <w:sz w:val="24"/>
          <w:szCs w:val="24"/>
        </w:rPr>
        <w:t>lixisenatide</w:t>
      </w:r>
      <w:proofErr w:type="spellEnd"/>
      <w:r w:rsidRPr="00FE2A0B">
        <w:rPr>
          <w:sz w:val="24"/>
          <w:szCs w:val="24"/>
        </w:rPr>
        <w:t xml:space="preserve"> absorption is rapid and not influenced by the dose administered.  Irrespective of the dose and whether </w:t>
      </w:r>
      <w:proofErr w:type="spellStart"/>
      <w:r w:rsidRPr="00FE2A0B">
        <w:rPr>
          <w:sz w:val="24"/>
          <w:szCs w:val="24"/>
        </w:rPr>
        <w:t>lixisenatide</w:t>
      </w:r>
      <w:proofErr w:type="spellEnd"/>
      <w:r w:rsidRPr="00FE2A0B">
        <w:rPr>
          <w:sz w:val="24"/>
          <w:szCs w:val="24"/>
        </w:rPr>
        <w:t xml:space="preserve"> was administered as single or multiple doses, the median </w:t>
      </w:r>
      <w:proofErr w:type="spellStart"/>
      <w:r w:rsidRPr="00FE2A0B">
        <w:rPr>
          <w:sz w:val="24"/>
          <w:szCs w:val="24"/>
        </w:rPr>
        <w:t>t</w:t>
      </w:r>
      <w:r w:rsidRPr="00FE2A0B">
        <w:rPr>
          <w:sz w:val="24"/>
          <w:szCs w:val="24"/>
          <w:vertAlign w:val="subscript"/>
        </w:rPr>
        <w:t>max</w:t>
      </w:r>
      <w:proofErr w:type="spellEnd"/>
      <w:r w:rsidRPr="00FE2A0B">
        <w:rPr>
          <w:sz w:val="24"/>
          <w:szCs w:val="24"/>
        </w:rPr>
        <w:t xml:space="preserve"> is 1 to 3.5 hours in patients with type 2 diabetes. There are no clinically relevant differences in the</w:t>
      </w:r>
      <w:r w:rsidR="008A6A7C" w:rsidRPr="008A6A7C">
        <w:rPr>
          <w:sz w:val="24"/>
          <w:szCs w:val="24"/>
        </w:rPr>
        <w:t xml:space="preserve"> </w:t>
      </w:r>
      <w:r w:rsidR="00527A91" w:rsidRPr="008A6A7C">
        <w:rPr>
          <w:sz w:val="24"/>
          <w:szCs w:val="24"/>
        </w:rPr>
        <w:t>extent</w:t>
      </w:r>
      <w:r w:rsidR="008A6A7C">
        <w:rPr>
          <w:sz w:val="24"/>
          <w:szCs w:val="24"/>
        </w:rPr>
        <w:t xml:space="preserve"> </w:t>
      </w:r>
      <w:r w:rsidRPr="00FE2A0B">
        <w:rPr>
          <w:sz w:val="24"/>
          <w:szCs w:val="24"/>
        </w:rPr>
        <w:t xml:space="preserve">of absorption when </w:t>
      </w:r>
      <w:proofErr w:type="spellStart"/>
      <w:r w:rsidRPr="00FE2A0B">
        <w:rPr>
          <w:sz w:val="24"/>
          <w:szCs w:val="24"/>
        </w:rPr>
        <w:t>lixisenatide</w:t>
      </w:r>
      <w:proofErr w:type="spellEnd"/>
      <w:r w:rsidRPr="00FE2A0B">
        <w:rPr>
          <w:sz w:val="24"/>
          <w:szCs w:val="24"/>
        </w:rPr>
        <w:t xml:space="preserve"> is administered subcutaneously in the abdomen, thigh, or arm</w:t>
      </w:r>
      <w:r w:rsidR="00527A91" w:rsidRPr="00FE2A0B">
        <w:rPr>
          <w:sz w:val="24"/>
          <w:szCs w:val="24"/>
        </w:rPr>
        <w:t xml:space="preserve">, </w:t>
      </w:r>
      <w:r w:rsidR="00527A91" w:rsidRPr="008A6A7C">
        <w:rPr>
          <w:sz w:val="24"/>
          <w:szCs w:val="24"/>
        </w:rPr>
        <w:t>while the rate of absorption when injecting in the thigh</w:t>
      </w:r>
      <w:r w:rsidR="00527A91" w:rsidRPr="00993A20">
        <w:rPr>
          <w:sz w:val="24"/>
          <w:szCs w:val="24"/>
        </w:rPr>
        <w:t xml:space="preserve"> </w:t>
      </w:r>
      <w:r w:rsidR="001C156A" w:rsidRPr="00993A20">
        <w:rPr>
          <w:sz w:val="24"/>
          <w:szCs w:val="24"/>
        </w:rPr>
        <w:t>was</w:t>
      </w:r>
      <w:r w:rsidR="001C156A">
        <w:rPr>
          <w:sz w:val="24"/>
          <w:szCs w:val="24"/>
        </w:rPr>
        <w:t xml:space="preserve"> </w:t>
      </w:r>
      <w:r w:rsidR="00527A91" w:rsidRPr="008A6A7C">
        <w:rPr>
          <w:sz w:val="24"/>
          <w:szCs w:val="24"/>
        </w:rPr>
        <w:t>slightly lower (</w:t>
      </w:r>
      <w:proofErr w:type="spellStart"/>
      <w:r w:rsidR="003E5835">
        <w:rPr>
          <w:sz w:val="24"/>
          <w:szCs w:val="24"/>
        </w:rPr>
        <w:t>t</w:t>
      </w:r>
      <w:r w:rsidR="003E5835" w:rsidRPr="00993A20">
        <w:rPr>
          <w:sz w:val="24"/>
          <w:szCs w:val="24"/>
          <w:vertAlign w:val="subscript"/>
        </w:rPr>
        <w:t>max</w:t>
      </w:r>
      <w:proofErr w:type="spellEnd"/>
      <w:r w:rsidR="00527A91" w:rsidRPr="00993A20">
        <w:rPr>
          <w:sz w:val="24"/>
          <w:szCs w:val="24"/>
          <w:vertAlign w:val="subscript"/>
        </w:rPr>
        <w:t xml:space="preserve"> </w:t>
      </w:r>
      <w:r w:rsidR="00527A91" w:rsidRPr="008A6A7C">
        <w:rPr>
          <w:sz w:val="24"/>
          <w:szCs w:val="24"/>
        </w:rPr>
        <w:t>of 2.5 hours instead of 2.0 hours) compared to injecting in the arm or abdomen</w:t>
      </w:r>
      <w:r w:rsidR="00F856E1">
        <w:rPr>
          <w:sz w:val="24"/>
          <w:szCs w:val="24"/>
        </w:rPr>
        <w:t xml:space="preserve"> </w:t>
      </w:r>
      <w:r w:rsidR="00F856E1" w:rsidRPr="00993A20">
        <w:rPr>
          <w:sz w:val="24"/>
          <w:szCs w:val="24"/>
        </w:rPr>
        <w:t>in a study conducted in healthy volunteers</w:t>
      </w:r>
      <w:r w:rsidR="002E697C" w:rsidRPr="00993A20">
        <w:rPr>
          <w:sz w:val="24"/>
          <w:szCs w:val="24"/>
        </w:rPr>
        <w:t>.</w:t>
      </w:r>
      <w:r w:rsidR="00F856E1" w:rsidRPr="00993A20">
        <w:rPr>
          <w:sz w:val="24"/>
          <w:szCs w:val="24"/>
        </w:rPr>
        <w:t xml:space="preserve"> Following subcutaneous administration of a single 10µg dose of </w:t>
      </w:r>
      <w:proofErr w:type="spellStart"/>
      <w:r w:rsidR="00F856E1" w:rsidRPr="00993A20">
        <w:rPr>
          <w:sz w:val="24"/>
          <w:szCs w:val="24"/>
        </w:rPr>
        <w:t>lixisenatide</w:t>
      </w:r>
      <w:proofErr w:type="spellEnd"/>
      <w:r w:rsidR="00F856E1" w:rsidRPr="00993A20">
        <w:rPr>
          <w:sz w:val="24"/>
          <w:szCs w:val="24"/>
        </w:rPr>
        <w:t xml:space="preserve"> in the abdomen, thigh and arm, mean </w:t>
      </w:r>
      <w:proofErr w:type="spellStart"/>
      <w:r w:rsidR="00F856E1" w:rsidRPr="00993A20">
        <w:rPr>
          <w:sz w:val="24"/>
          <w:szCs w:val="24"/>
        </w:rPr>
        <w:t>C</w:t>
      </w:r>
      <w:r w:rsidR="00F856E1" w:rsidRPr="00993A20">
        <w:rPr>
          <w:sz w:val="24"/>
          <w:szCs w:val="24"/>
          <w:vertAlign w:val="subscript"/>
        </w:rPr>
        <w:t>max</w:t>
      </w:r>
      <w:proofErr w:type="spellEnd"/>
      <w:r w:rsidR="00F856E1" w:rsidRPr="00993A20">
        <w:rPr>
          <w:sz w:val="24"/>
          <w:szCs w:val="24"/>
          <w:vertAlign w:val="subscript"/>
        </w:rPr>
        <w:t xml:space="preserve"> </w:t>
      </w:r>
      <w:r w:rsidR="00F856E1" w:rsidRPr="00993A20">
        <w:rPr>
          <w:sz w:val="24"/>
          <w:szCs w:val="24"/>
        </w:rPr>
        <w:t>was 56.7 pg/</w:t>
      </w:r>
      <w:proofErr w:type="spellStart"/>
      <w:r w:rsidR="00F856E1" w:rsidRPr="00993A20">
        <w:rPr>
          <w:sz w:val="24"/>
          <w:szCs w:val="24"/>
        </w:rPr>
        <w:t>mL</w:t>
      </w:r>
      <w:proofErr w:type="spellEnd"/>
      <w:r w:rsidR="00F856E1" w:rsidRPr="00993A20">
        <w:rPr>
          <w:sz w:val="24"/>
          <w:szCs w:val="24"/>
        </w:rPr>
        <w:t>, 48.6 pg/</w:t>
      </w:r>
      <w:proofErr w:type="spellStart"/>
      <w:r w:rsidR="00F856E1" w:rsidRPr="00993A20">
        <w:rPr>
          <w:sz w:val="24"/>
          <w:szCs w:val="24"/>
        </w:rPr>
        <w:t>mL</w:t>
      </w:r>
      <w:proofErr w:type="spellEnd"/>
      <w:r w:rsidR="00F856E1" w:rsidRPr="00993A20">
        <w:rPr>
          <w:sz w:val="24"/>
          <w:szCs w:val="24"/>
        </w:rPr>
        <w:t xml:space="preserve"> (ratio thigh versus abdomen: 0.86; CI: 0.79-0.94) and 56.9 pg/</w:t>
      </w:r>
      <w:proofErr w:type="spellStart"/>
      <w:r w:rsidR="00F856E1" w:rsidRPr="00993A20">
        <w:rPr>
          <w:sz w:val="24"/>
          <w:szCs w:val="24"/>
        </w:rPr>
        <w:t>mL</w:t>
      </w:r>
      <w:proofErr w:type="spellEnd"/>
      <w:r w:rsidR="00F856E1" w:rsidRPr="00993A20">
        <w:rPr>
          <w:sz w:val="24"/>
          <w:szCs w:val="24"/>
        </w:rPr>
        <w:t xml:space="preserve"> [ratio arm versus abdomen: 1.00; CI: 0.92-1.09], respectively.</w:t>
      </w:r>
    </w:p>
    <w:p w:rsidR="00BC52A5" w:rsidRDefault="00BC52A5" w:rsidP="00BC52A5">
      <w:pPr>
        <w:pStyle w:val="Heading3"/>
        <w:numPr>
          <w:ilvl w:val="0"/>
          <w:numId w:val="0"/>
        </w:numPr>
      </w:pPr>
      <w:bookmarkStart w:id="19" w:name="_Toc310954941"/>
      <w:r>
        <w:t>Distribution</w:t>
      </w:r>
      <w:bookmarkEnd w:id="19"/>
    </w:p>
    <w:p w:rsidR="00D732D7" w:rsidRDefault="00D732D7" w:rsidP="00D732D7">
      <w:proofErr w:type="spellStart"/>
      <w:r>
        <w:t>Lixisenatide</w:t>
      </w:r>
      <w:proofErr w:type="spellEnd"/>
      <w:r>
        <w:t xml:space="preserve"> has a moderate level of binding (55%) to human proteins.</w:t>
      </w:r>
    </w:p>
    <w:p w:rsidR="00BC52A5" w:rsidRPr="00BC52A5" w:rsidRDefault="00D732D7" w:rsidP="00BC52A5">
      <w:r>
        <w:lastRenderedPageBreak/>
        <w:t>The</w:t>
      </w:r>
      <w:r w:rsidR="00527A91">
        <w:t xml:space="preserve"> </w:t>
      </w:r>
      <w:r w:rsidR="00527A91" w:rsidRPr="008A6A7C">
        <w:t>apparent</w:t>
      </w:r>
      <w:r w:rsidRPr="008A6A7C">
        <w:t xml:space="preserve"> </w:t>
      </w:r>
      <w:r>
        <w:t xml:space="preserve">volume of distribution after subcutaneous administration of </w:t>
      </w:r>
      <w:proofErr w:type="spellStart"/>
      <w:r>
        <w:t>lixisenatide</w:t>
      </w:r>
      <w:proofErr w:type="spellEnd"/>
      <w:r>
        <w:t xml:space="preserve"> in patients with type 2 diabetes ranged between 90 and 140 L after single </w:t>
      </w:r>
      <w:r w:rsidR="008D45EF">
        <w:t>administration</w:t>
      </w:r>
      <w:r>
        <w:t xml:space="preserve"> and between 90 and 120 L at steady state irrespective of the dose administered.</w:t>
      </w:r>
    </w:p>
    <w:p w:rsidR="008671EC" w:rsidRPr="008671EC" w:rsidRDefault="008671EC" w:rsidP="008671EC">
      <w:pPr>
        <w:pStyle w:val="Heading3"/>
        <w:numPr>
          <w:ilvl w:val="0"/>
          <w:numId w:val="0"/>
        </w:numPr>
      </w:pPr>
      <w:bookmarkStart w:id="20" w:name="_Toc310954942"/>
      <w:r>
        <w:t>Metabolism</w:t>
      </w:r>
      <w:bookmarkEnd w:id="20"/>
    </w:p>
    <w:p w:rsidR="009258A1" w:rsidRDefault="007E37A0" w:rsidP="00BC52A5">
      <w:proofErr w:type="spellStart"/>
      <w:r w:rsidRPr="008A6A7C">
        <w:t>Lixisenatide</w:t>
      </w:r>
      <w:proofErr w:type="spellEnd"/>
      <w:r w:rsidRPr="008A6A7C">
        <w:t xml:space="preserve"> was found to be extensively metabolized by human kidney and liver S9 fractions in vitro. </w:t>
      </w:r>
      <w:r w:rsidR="00D732D7" w:rsidRPr="00D732D7">
        <w:t xml:space="preserve">As a peptide, </w:t>
      </w:r>
      <w:proofErr w:type="spellStart"/>
      <w:r w:rsidR="00D732D7" w:rsidRPr="00D732D7">
        <w:t>lixisenatide</w:t>
      </w:r>
      <w:proofErr w:type="spellEnd"/>
      <w:r w:rsidR="00D732D7" w:rsidRPr="00D732D7">
        <w:t xml:space="preserve"> is </w:t>
      </w:r>
      <w:r w:rsidRPr="008A6A7C">
        <w:t>presumed to be</w:t>
      </w:r>
      <w:r>
        <w:t xml:space="preserve"> </w:t>
      </w:r>
      <w:r w:rsidR="00D732D7" w:rsidRPr="00D732D7">
        <w:t xml:space="preserve">eliminated through </w:t>
      </w:r>
      <w:proofErr w:type="spellStart"/>
      <w:r w:rsidR="00D732D7" w:rsidRPr="00D732D7">
        <w:t>glomerular</w:t>
      </w:r>
      <w:proofErr w:type="spellEnd"/>
      <w:r w:rsidR="00D732D7" w:rsidRPr="00D732D7">
        <w:t xml:space="preserve"> filtration, followed by tubular </w:t>
      </w:r>
      <w:proofErr w:type="spellStart"/>
      <w:r w:rsidR="00D732D7" w:rsidRPr="00D732D7">
        <w:t>reabsorption</w:t>
      </w:r>
      <w:proofErr w:type="spellEnd"/>
      <w:r w:rsidR="00D732D7" w:rsidRPr="00D732D7">
        <w:t xml:space="preserve"> and subsequent metabolic degradation, resulting in smaller peptides and amino acids, which are reintroduced in the protein metabolism.</w:t>
      </w:r>
    </w:p>
    <w:p w:rsidR="009258A1" w:rsidRDefault="009258A1" w:rsidP="009258A1">
      <w:pPr>
        <w:pStyle w:val="Heading3"/>
        <w:numPr>
          <w:ilvl w:val="0"/>
          <w:numId w:val="0"/>
        </w:numPr>
      </w:pPr>
      <w:bookmarkStart w:id="21" w:name="_Toc310954943"/>
      <w:r>
        <w:t>Excretion</w:t>
      </w:r>
      <w:bookmarkEnd w:id="21"/>
    </w:p>
    <w:p w:rsidR="00BC52A5" w:rsidRPr="00D732D7" w:rsidRDefault="00D732D7" w:rsidP="00BC52A5">
      <w:r w:rsidRPr="00D732D7">
        <w:t>After multiple dose administration in patients with type 2 diabetes, mean apparent</w:t>
      </w:r>
      <w:r w:rsidR="001959BE" w:rsidRPr="001959BE">
        <w:t xml:space="preserve"> </w:t>
      </w:r>
      <w:r w:rsidRPr="00D732D7">
        <w:t>half-life generally ranged from 1.5 to 4.5 hours and the mean apparent clearance ranged from 20 to 67 L/h at steady state</w:t>
      </w:r>
    </w:p>
    <w:p w:rsidR="008671EC" w:rsidRDefault="008671EC" w:rsidP="008671EC">
      <w:pPr>
        <w:pStyle w:val="Heading3"/>
        <w:numPr>
          <w:ilvl w:val="0"/>
          <w:numId w:val="0"/>
        </w:numPr>
      </w:pPr>
      <w:bookmarkStart w:id="22" w:name="_Toc310954944"/>
      <w:r>
        <w:t>Special populations</w:t>
      </w:r>
      <w:bookmarkEnd w:id="22"/>
    </w:p>
    <w:p w:rsidR="00BC52A5" w:rsidRPr="00BC52A5" w:rsidRDefault="008671EC" w:rsidP="008671EC">
      <w:pPr>
        <w:pStyle w:val="Heading4"/>
        <w:numPr>
          <w:ilvl w:val="0"/>
          <w:numId w:val="0"/>
        </w:numPr>
      </w:pPr>
      <w:bookmarkStart w:id="23" w:name="_Toc310954945"/>
      <w:r>
        <w:t>Gender</w:t>
      </w:r>
      <w:bookmarkEnd w:id="23"/>
      <w:r w:rsidR="00BC52A5">
        <w:t xml:space="preserve"> </w:t>
      </w:r>
    </w:p>
    <w:p w:rsidR="00BA72CA" w:rsidRPr="00993A20" w:rsidRDefault="00BA72CA" w:rsidP="0072729D">
      <w:pPr>
        <w:pStyle w:val="CommentText"/>
        <w:rPr>
          <w:sz w:val="24"/>
          <w:szCs w:val="24"/>
        </w:rPr>
      </w:pPr>
      <w:r w:rsidRPr="00993A20">
        <w:rPr>
          <w:sz w:val="24"/>
          <w:szCs w:val="24"/>
        </w:rPr>
        <w:t xml:space="preserve">No dosage adjustment is required based on gender. Gender had no clinically meaningful effect on the </w:t>
      </w:r>
      <w:proofErr w:type="spellStart"/>
      <w:r w:rsidRPr="00993A20">
        <w:rPr>
          <w:sz w:val="24"/>
          <w:szCs w:val="24"/>
        </w:rPr>
        <w:t>pharmakinetics</w:t>
      </w:r>
      <w:proofErr w:type="spellEnd"/>
      <w:r w:rsidRPr="00993A20">
        <w:rPr>
          <w:sz w:val="24"/>
          <w:szCs w:val="24"/>
        </w:rPr>
        <w:t xml:space="preserve"> of </w:t>
      </w:r>
      <w:proofErr w:type="spellStart"/>
      <w:r w:rsidR="00B7591A" w:rsidRPr="00993A20">
        <w:rPr>
          <w:sz w:val="24"/>
          <w:szCs w:val="24"/>
        </w:rPr>
        <w:t>l</w:t>
      </w:r>
      <w:r w:rsidRPr="00993A20">
        <w:rPr>
          <w:sz w:val="24"/>
          <w:szCs w:val="24"/>
        </w:rPr>
        <w:t>ixisenatide</w:t>
      </w:r>
      <w:proofErr w:type="spellEnd"/>
      <w:r w:rsidRPr="00993A20">
        <w:rPr>
          <w:sz w:val="24"/>
          <w:szCs w:val="24"/>
        </w:rPr>
        <w:t xml:space="preserve"> based on the results of population pharma</w:t>
      </w:r>
      <w:r w:rsidR="003149F7" w:rsidRPr="00993A20">
        <w:rPr>
          <w:sz w:val="24"/>
          <w:szCs w:val="24"/>
        </w:rPr>
        <w:t>co</w:t>
      </w:r>
      <w:r w:rsidRPr="00993A20">
        <w:rPr>
          <w:sz w:val="24"/>
          <w:szCs w:val="24"/>
        </w:rPr>
        <w:t>kinetic data analysis of male and female subjects and pharmacokinetic study in healthy subjects</w:t>
      </w:r>
    </w:p>
    <w:p w:rsidR="00201CAC" w:rsidRDefault="00A16F0C" w:rsidP="00A16F0C">
      <w:pPr>
        <w:pStyle w:val="Heading4"/>
        <w:numPr>
          <w:ilvl w:val="0"/>
          <w:numId w:val="0"/>
        </w:numPr>
      </w:pPr>
      <w:proofErr w:type="spellStart"/>
      <w:r>
        <w:t>P</w:t>
      </w:r>
      <w:r w:rsidR="00201CAC">
        <w:t>aediatric</w:t>
      </w:r>
      <w:proofErr w:type="spellEnd"/>
      <w:r w:rsidR="00201CAC">
        <w:t xml:space="preserve"> use</w:t>
      </w:r>
    </w:p>
    <w:p w:rsidR="00201CAC" w:rsidRPr="00D31AEC" w:rsidRDefault="00201CAC" w:rsidP="00201CAC">
      <w:r w:rsidRPr="00D31AEC">
        <w:t xml:space="preserve">The </w:t>
      </w:r>
      <w:r>
        <w:t xml:space="preserve">safety and effectiveness of </w:t>
      </w:r>
      <w:proofErr w:type="spellStart"/>
      <w:r>
        <w:t>Lyxumia</w:t>
      </w:r>
      <w:proofErr w:type="spellEnd"/>
      <w:r w:rsidRPr="00D31AEC">
        <w:t xml:space="preserve"> in </w:t>
      </w:r>
      <w:proofErr w:type="spellStart"/>
      <w:r w:rsidRPr="00D31AEC">
        <w:t>p</w:t>
      </w:r>
      <w:r>
        <w:t>a</w:t>
      </w:r>
      <w:r w:rsidRPr="00D31AEC">
        <w:t>ediatric</w:t>
      </w:r>
      <w:proofErr w:type="spellEnd"/>
      <w:r w:rsidRPr="00D31AEC">
        <w:t xml:space="preserve"> patients below the age of 18 years have not yet been established</w:t>
      </w:r>
      <w:r>
        <w:t>.</w:t>
      </w:r>
    </w:p>
    <w:p w:rsidR="008671EC" w:rsidRDefault="008671EC" w:rsidP="008671EC">
      <w:pPr>
        <w:pStyle w:val="Heading4"/>
        <w:numPr>
          <w:ilvl w:val="0"/>
          <w:numId w:val="0"/>
        </w:numPr>
      </w:pPr>
      <w:bookmarkStart w:id="24" w:name="_Toc310954946"/>
      <w:r>
        <w:t>Elderly patients</w:t>
      </w:r>
      <w:bookmarkEnd w:id="24"/>
    </w:p>
    <w:p w:rsidR="00331F80" w:rsidRPr="008D45EF" w:rsidRDefault="00331F80" w:rsidP="00331F80">
      <w:pPr>
        <w:pStyle w:val="CommentText"/>
        <w:rPr>
          <w:sz w:val="24"/>
          <w:szCs w:val="24"/>
        </w:rPr>
      </w:pPr>
      <w:r w:rsidRPr="00201CAC">
        <w:rPr>
          <w:sz w:val="24"/>
          <w:szCs w:val="24"/>
        </w:rPr>
        <w:t>In</w:t>
      </w:r>
      <w:r w:rsidRPr="008D45EF">
        <w:rPr>
          <w:sz w:val="24"/>
          <w:szCs w:val="24"/>
        </w:rPr>
        <w:t xml:space="preserve"> a pharmacokinetic study in elderly non diabetic subjects, administration of </w:t>
      </w:r>
      <w:proofErr w:type="spellStart"/>
      <w:r w:rsidRPr="008D45EF">
        <w:rPr>
          <w:sz w:val="24"/>
          <w:szCs w:val="24"/>
        </w:rPr>
        <w:t>lixisenatide</w:t>
      </w:r>
      <w:proofErr w:type="spellEnd"/>
      <w:r w:rsidRPr="008D45EF">
        <w:rPr>
          <w:sz w:val="24"/>
          <w:szCs w:val="24"/>
        </w:rPr>
        <w:t xml:space="preserve"> 20 </w:t>
      </w:r>
      <w:proofErr w:type="spellStart"/>
      <w:r w:rsidRPr="008D45EF">
        <w:rPr>
          <w:sz w:val="24"/>
          <w:szCs w:val="24"/>
        </w:rPr>
        <w:t>μg</w:t>
      </w:r>
      <w:proofErr w:type="spellEnd"/>
      <w:r w:rsidRPr="008D45EF">
        <w:rPr>
          <w:sz w:val="24"/>
          <w:szCs w:val="24"/>
        </w:rPr>
        <w:t xml:space="preserve"> resulted in a mean increase of </w:t>
      </w:r>
      <w:proofErr w:type="spellStart"/>
      <w:r w:rsidRPr="008D45EF">
        <w:rPr>
          <w:sz w:val="24"/>
          <w:szCs w:val="24"/>
        </w:rPr>
        <w:t>lixisenatide</w:t>
      </w:r>
      <w:proofErr w:type="spellEnd"/>
      <w:r w:rsidRPr="008D45EF">
        <w:rPr>
          <w:sz w:val="24"/>
          <w:szCs w:val="24"/>
        </w:rPr>
        <w:t xml:space="preserve"> AUC by 29 % in the elderly population (11 subjects between 65 and 74 years and 7 subjects aged ≥75 years) compared to 18 subjects aged 18 to 45 years, likely related to reduced renal function in the older age group.</w:t>
      </w:r>
    </w:p>
    <w:p w:rsidR="008671EC" w:rsidRPr="009B3E33" w:rsidRDefault="00331F80" w:rsidP="009B3E33">
      <w:pPr>
        <w:pStyle w:val="CommentText"/>
        <w:rPr>
          <w:sz w:val="24"/>
          <w:szCs w:val="24"/>
        </w:rPr>
      </w:pPr>
      <w:r w:rsidRPr="009B3E33">
        <w:rPr>
          <w:sz w:val="24"/>
          <w:szCs w:val="24"/>
        </w:rPr>
        <w:t xml:space="preserve">Age had no clinically relevant effect on the pharmacokinetics of </w:t>
      </w:r>
      <w:proofErr w:type="spellStart"/>
      <w:r w:rsidRPr="009B3E33">
        <w:rPr>
          <w:sz w:val="24"/>
          <w:szCs w:val="24"/>
        </w:rPr>
        <w:t>lixisenatide</w:t>
      </w:r>
      <w:proofErr w:type="spellEnd"/>
      <w:r w:rsidRPr="009B3E33">
        <w:rPr>
          <w:sz w:val="24"/>
          <w:szCs w:val="24"/>
        </w:rPr>
        <w:t xml:space="preserve"> based on a population pharmacokinetic data analysis in patients with type 2 diabetes.</w:t>
      </w:r>
    </w:p>
    <w:p w:rsidR="007F290D" w:rsidRDefault="007F290D" w:rsidP="007F290D">
      <w:pPr>
        <w:pStyle w:val="Heading4"/>
        <w:numPr>
          <w:ilvl w:val="0"/>
          <w:numId w:val="0"/>
        </w:numPr>
      </w:pPr>
      <w:bookmarkStart w:id="25" w:name="_Toc310954948"/>
      <w:r>
        <w:t>Race</w:t>
      </w:r>
      <w:bookmarkEnd w:id="25"/>
    </w:p>
    <w:p w:rsidR="007F290D" w:rsidRPr="00D228F1" w:rsidRDefault="007F290D" w:rsidP="007F290D">
      <w:pPr>
        <w:rPr>
          <w:strike/>
        </w:rPr>
      </w:pPr>
      <w:r w:rsidRPr="007F290D">
        <w:t xml:space="preserve">Ethnic origin had no clinically relevant effect on the pharmacokinetics of </w:t>
      </w:r>
      <w:proofErr w:type="spellStart"/>
      <w:r w:rsidRPr="007F290D">
        <w:t>lixisenatide</w:t>
      </w:r>
      <w:proofErr w:type="spellEnd"/>
      <w:r w:rsidRPr="007F290D">
        <w:t xml:space="preserve"> based on the results of pharmacokinetic studies in Caucasian, Japanese and Chinese subjects</w:t>
      </w:r>
      <w:r w:rsidR="00D228F1">
        <w:t>.</w:t>
      </w:r>
      <w:r w:rsidRPr="007F290D">
        <w:t xml:space="preserve"> </w:t>
      </w:r>
      <w:r w:rsidR="009C1282">
        <w:rPr>
          <w:strike/>
        </w:rPr>
        <w:t xml:space="preserve"> </w:t>
      </w:r>
    </w:p>
    <w:p w:rsidR="00BC52A5" w:rsidRDefault="00BC52A5" w:rsidP="00BC52A5">
      <w:pPr>
        <w:pStyle w:val="Heading4"/>
        <w:numPr>
          <w:ilvl w:val="0"/>
          <w:numId w:val="0"/>
        </w:numPr>
      </w:pPr>
      <w:bookmarkStart w:id="26" w:name="_Toc310954949"/>
      <w:r>
        <w:lastRenderedPageBreak/>
        <w:t>Hepatic Impairment</w:t>
      </w:r>
      <w:bookmarkEnd w:id="26"/>
    </w:p>
    <w:p w:rsidR="00BC52A5" w:rsidRPr="00BC037D" w:rsidRDefault="0088439D" w:rsidP="00BC52A5">
      <w:pPr>
        <w:rPr>
          <w:color w:val="FF00FF"/>
        </w:rPr>
      </w:pPr>
      <w:r w:rsidRPr="0088439D">
        <w:t xml:space="preserve">As </w:t>
      </w:r>
      <w:proofErr w:type="spellStart"/>
      <w:r w:rsidRPr="0088439D">
        <w:t>lixisenatide</w:t>
      </w:r>
      <w:proofErr w:type="spellEnd"/>
      <w:r w:rsidRPr="0088439D">
        <w:t xml:space="preserve"> is cleared primarily by the kidney, no pharmacokinetic study has been performed in patients with acute or chronic hepatic impairment. </w:t>
      </w:r>
      <w:r w:rsidRPr="0072729D">
        <w:t xml:space="preserve">Hepatic dysfunction is not expected to affect the pharmacokinetics of </w:t>
      </w:r>
      <w:proofErr w:type="spellStart"/>
      <w:r w:rsidRPr="0072729D">
        <w:t>lixisenatide</w:t>
      </w:r>
      <w:proofErr w:type="spellEnd"/>
      <w:r w:rsidRPr="0072729D">
        <w:t>.</w:t>
      </w:r>
      <w:r w:rsidRPr="00BC037D">
        <w:rPr>
          <w:color w:val="FF00FF"/>
        </w:rPr>
        <w:t xml:space="preserve">  </w:t>
      </w:r>
    </w:p>
    <w:p w:rsidR="00BC52A5" w:rsidRPr="003F44C6" w:rsidRDefault="006C1E8E" w:rsidP="00BC52A5">
      <w:pPr>
        <w:pStyle w:val="Heading4"/>
        <w:numPr>
          <w:ilvl w:val="0"/>
          <w:numId w:val="0"/>
        </w:numPr>
      </w:pPr>
      <w:bookmarkStart w:id="27" w:name="_Toc310954950"/>
      <w:r w:rsidRPr="003F44C6">
        <w:t>R</w:t>
      </w:r>
      <w:r w:rsidR="00BC52A5" w:rsidRPr="003F44C6">
        <w:t>enal Impairment</w:t>
      </w:r>
      <w:bookmarkEnd w:id="27"/>
    </w:p>
    <w:p w:rsidR="001E728E" w:rsidRPr="00D9641F" w:rsidRDefault="00A85FC0" w:rsidP="00BC52A5">
      <w:r w:rsidRPr="00D9641F">
        <w:t>A</w:t>
      </w:r>
      <w:r w:rsidR="00DA2976" w:rsidRPr="00D9641F">
        <w:t xml:space="preserve"> Phase I study </w:t>
      </w:r>
      <w:r w:rsidRPr="00D9641F">
        <w:t xml:space="preserve">was </w:t>
      </w:r>
      <w:r w:rsidR="00DA2976" w:rsidRPr="00D9641F">
        <w:t xml:space="preserve">conducted in </w:t>
      </w:r>
      <w:proofErr w:type="spellStart"/>
      <w:r w:rsidR="00DA2976" w:rsidRPr="00D9641F">
        <w:t>renally</w:t>
      </w:r>
      <w:proofErr w:type="spellEnd"/>
      <w:r w:rsidR="00DA2976" w:rsidRPr="00D9641F">
        <w:t xml:space="preserve"> impaired, but otherwise healthy</w:t>
      </w:r>
      <w:r w:rsidR="00C02580">
        <w:t xml:space="preserve"> </w:t>
      </w:r>
      <w:r w:rsidR="00DA2976" w:rsidRPr="00D9641F">
        <w:t>patients</w:t>
      </w:r>
      <w:r w:rsidR="00C02580">
        <w:t>,</w:t>
      </w:r>
      <w:r w:rsidR="00DA2976" w:rsidRPr="00D9641F">
        <w:t xml:space="preserve"> </w:t>
      </w:r>
      <w:r w:rsidRPr="00D9641F">
        <w:t xml:space="preserve">to assess </w:t>
      </w:r>
      <w:r w:rsidR="001E728E" w:rsidRPr="00D9641F">
        <w:t>the influence</w:t>
      </w:r>
      <w:r w:rsidRPr="00D9641F">
        <w:t xml:space="preserve"> of renal impairment </w:t>
      </w:r>
      <w:r w:rsidR="001E728E" w:rsidRPr="00D9641F">
        <w:t>(</w:t>
      </w:r>
      <w:proofErr w:type="spellStart"/>
      <w:r w:rsidR="001E728E" w:rsidRPr="00D9641F">
        <w:t>Creatinine</w:t>
      </w:r>
      <w:proofErr w:type="spellEnd"/>
      <w:r w:rsidR="001E728E" w:rsidRPr="00D9641F">
        <w:t xml:space="preserve"> Clearance calculated by the Cockcroft-</w:t>
      </w:r>
      <w:proofErr w:type="spellStart"/>
      <w:r w:rsidR="001E728E" w:rsidRPr="00D9641F">
        <w:t>Gault</w:t>
      </w:r>
      <w:proofErr w:type="spellEnd"/>
      <w:r w:rsidR="001E728E" w:rsidRPr="00D9641F">
        <w:t xml:space="preserve"> formula) </w:t>
      </w:r>
      <w:r w:rsidRPr="00D9641F">
        <w:t>on ph</w:t>
      </w:r>
      <w:r w:rsidR="001E728E" w:rsidRPr="00D9641F">
        <w:t xml:space="preserve">armacokinetics of </w:t>
      </w:r>
      <w:proofErr w:type="spellStart"/>
      <w:r w:rsidR="001E728E" w:rsidRPr="00D9641F">
        <w:t>lixisenatide</w:t>
      </w:r>
      <w:proofErr w:type="spellEnd"/>
      <w:r w:rsidR="001E728E" w:rsidRPr="00D9641F">
        <w:t>.</w:t>
      </w:r>
    </w:p>
    <w:p w:rsidR="00A85FC0" w:rsidRPr="007B0E04" w:rsidRDefault="001E728E" w:rsidP="00BC52A5">
      <w:pPr>
        <w:rPr>
          <w:color w:val="0000FF"/>
          <w:u w:val="double"/>
        </w:rPr>
      </w:pPr>
      <w:r w:rsidRPr="007B0E04">
        <w:t>T</w:t>
      </w:r>
      <w:r w:rsidR="00DA2976" w:rsidRPr="007B0E04">
        <w:t xml:space="preserve">here were no relevant differences in mean </w:t>
      </w:r>
      <w:proofErr w:type="spellStart"/>
      <w:r w:rsidR="00DA2976" w:rsidRPr="007B0E04">
        <w:t>Cmax</w:t>
      </w:r>
      <w:proofErr w:type="spellEnd"/>
      <w:r w:rsidR="00DA2976" w:rsidRPr="007B0E04">
        <w:t xml:space="preserve"> and AUC</w:t>
      </w:r>
      <w:r w:rsidR="00BE51F9" w:rsidRPr="007B0E04">
        <w:t xml:space="preserve"> </w:t>
      </w:r>
      <w:r w:rsidR="00DA2976" w:rsidRPr="007B0E04">
        <w:t xml:space="preserve">of </w:t>
      </w:r>
      <w:proofErr w:type="spellStart"/>
      <w:r w:rsidR="00DA2976" w:rsidRPr="007B0E04">
        <w:t>lixisenatide</w:t>
      </w:r>
      <w:proofErr w:type="spellEnd"/>
      <w:r w:rsidR="00DA2976" w:rsidRPr="007B0E04">
        <w:t xml:space="preserve"> </w:t>
      </w:r>
      <w:r w:rsidRPr="007B0E04">
        <w:t xml:space="preserve">(98% and 105% respectively) </w:t>
      </w:r>
      <w:r w:rsidR="00DA2976" w:rsidRPr="007B0E04">
        <w:t>between subjects with normal renal function and subjects with mild renal</w:t>
      </w:r>
      <w:r w:rsidR="00B02FE1" w:rsidRPr="007B0E04">
        <w:t xml:space="preserve"> impairment</w:t>
      </w:r>
      <w:r w:rsidR="007B0E04" w:rsidRPr="007B0E04">
        <w:t xml:space="preserve"> (</w:t>
      </w:r>
      <w:proofErr w:type="spellStart"/>
      <w:r w:rsidR="007B0E04" w:rsidRPr="007B0E04">
        <w:t>Creatinine</w:t>
      </w:r>
      <w:proofErr w:type="spellEnd"/>
      <w:r w:rsidR="007B0E04" w:rsidRPr="007B0E04">
        <w:t xml:space="preserve"> Clearance 50-80 </w:t>
      </w:r>
      <w:proofErr w:type="spellStart"/>
      <w:r w:rsidR="007B0E04" w:rsidRPr="007B0E04">
        <w:t>mL</w:t>
      </w:r>
      <w:proofErr w:type="spellEnd"/>
      <w:r w:rsidR="007B0E04" w:rsidRPr="007B0E04">
        <w:t>/min)</w:t>
      </w:r>
      <w:r w:rsidR="00DA2976" w:rsidRPr="007B0E04">
        <w:t>.</w:t>
      </w:r>
      <w:r w:rsidR="00DA2976" w:rsidRPr="007B0E04">
        <w:rPr>
          <w:color w:val="0000FF"/>
          <w:u w:val="double"/>
        </w:rPr>
        <w:t xml:space="preserve"> </w:t>
      </w:r>
    </w:p>
    <w:p w:rsidR="00A85FC0" w:rsidRDefault="00B02FE1" w:rsidP="00BC52A5">
      <w:r>
        <w:t>I</w:t>
      </w:r>
      <w:r w:rsidR="00DA2976" w:rsidRPr="003F44C6">
        <w:t>n subjects with moderate renal impairment (</w:t>
      </w:r>
      <w:proofErr w:type="spellStart"/>
      <w:r w:rsidR="00DA2976" w:rsidRPr="003F44C6">
        <w:t>creatinine</w:t>
      </w:r>
      <w:proofErr w:type="spellEnd"/>
      <w:r w:rsidR="00DA2976" w:rsidRPr="003F44C6">
        <w:t xml:space="preserve"> clearance 30-&lt;50 ml/min) AUC was increased by 24%</w:t>
      </w:r>
      <w:r w:rsidR="00A85FC0">
        <w:t>.</w:t>
      </w:r>
    </w:p>
    <w:p w:rsidR="006F407C" w:rsidRDefault="00A85FC0" w:rsidP="00A72DC3">
      <w:r>
        <w:t>I</w:t>
      </w:r>
      <w:r w:rsidR="00DA2976" w:rsidRPr="003F44C6">
        <w:t>n subjects with severe renal impairment (</w:t>
      </w:r>
      <w:proofErr w:type="spellStart"/>
      <w:r w:rsidR="00DA2976" w:rsidRPr="003F44C6">
        <w:t>creatinine</w:t>
      </w:r>
      <w:proofErr w:type="spellEnd"/>
      <w:r w:rsidR="00DA2976" w:rsidRPr="003F44C6">
        <w:t xml:space="preserve"> clearance 15-&lt;30 ml/min) AUC was increased by 46%. </w:t>
      </w:r>
      <w:r w:rsidR="00942DFB" w:rsidRPr="003F44C6">
        <w:t>(</w:t>
      </w:r>
      <w:r w:rsidR="00441180" w:rsidRPr="003F44C6">
        <w:t>See</w:t>
      </w:r>
      <w:r w:rsidR="008A6A7C" w:rsidRPr="003F44C6">
        <w:t xml:space="preserve"> PRECAUTION</w:t>
      </w:r>
      <w:r w:rsidR="005427B1" w:rsidRPr="003F44C6">
        <w:t>S</w:t>
      </w:r>
      <w:r w:rsidR="008A6A7C" w:rsidRPr="003F44C6">
        <w:t xml:space="preserve"> AND </w:t>
      </w:r>
      <w:r w:rsidR="00942DFB" w:rsidRPr="003F44C6">
        <w:t>DOSAGE AND ADMINISTRATION).</w:t>
      </w:r>
      <w:bookmarkStart w:id="28" w:name="_Toc310954951"/>
    </w:p>
    <w:p w:rsidR="00BC52A5" w:rsidRDefault="00BC52A5" w:rsidP="00BC52A5">
      <w:pPr>
        <w:pStyle w:val="Heading1"/>
        <w:pageBreakBefore w:val="0"/>
        <w:numPr>
          <w:ilvl w:val="0"/>
          <w:numId w:val="0"/>
        </w:numPr>
      </w:pPr>
      <w:r>
        <w:t>clinical trials</w:t>
      </w:r>
      <w:bookmarkEnd w:id="28"/>
    </w:p>
    <w:p w:rsidR="0088439D" w:rsidRDefault="0088439D" w:rsidP="0088439D">
      <w:r>
        <w:t xml:space="preserve">The effects of </w:t>
      </w:r>
      <w:proofErr w:type="spellStart"/>
      <w:r>
        <w:t>Lyxumia</w:t>
      </w:r>
      <w:proofErr w:type="spellEnd"/>
      <w:r>
        <w:t xml:space="preserve"> on </w:t>
      </w:r>
      <w:proofErr w:type="spellStart"/>
      <w:r>
        <w:t>glycaemic</w:t>
      </w:r>
      <w:proofErr w:type="spellEnd"/>
      <w:r>
        <w:t xml:space="preserve"> control were mainly evaluated in six </w:t>
      </w:r>
      <w:proofErr w:type="spellStart"/>
      <w:r>
        <w:t>randomised</w:t>
      </w:r>
      <w:proofErr w:type="spellEnd"/>
      <w:r>
        <w:t xml:space="preserve"> double-blind, placebo-controlled clinical studies and one </w:t>
      </w:r>
      <w:proofErr w:type="spellStart"/>
      <w:r>
        <w:t>randomised</w:t>
      </w:r>
      <w:proofErr w:type="spellEnd"/>
      <w:r>
        <w:t xml:space="preserve">, open-label, active-controlled study versus </w:t>
      </w:r>
      <w:proofErr w:type="spellStart"/>
      <w:r>
        <w:t>exenatide</w:t>
      </w:r>
      <w:proofErr w:type="spellEnd"/>
      <w:r>
        <w:t xml:space="preserve">. </w:t>
      </w:r>
    </w:p>
    <w:p w:rsidR="0088439D" w:rsidRDefault="0088439D" w:rsidP="00022D32">
      <w:r>
        <w:t xml:space="preserve">These studies included 3825 patients with type 2 diabetes (2445 patients </w:t>
      </w:r>
      <w:proofErr w:type="spellStart"/>
      <w:r>
        <w:t>randomised</w:t>
      </w:r>
      <w:proofErr w:type="spellEnd"/>
      <w:r>
        <w:t xml:space="preserve"> to </w:t>
      </w:r>
      <w:proofErr w:type="spellStart"/>
      <w:r>
        <w:t>lixisenatide</w:t>
      </w:r>
      <w:proofErr w:type="spellEnd"/>
      <w:r>
        <w:t>), 48.2 % men and 51.8% women.</w:t>
      </w:r>
      <w:r w:rsidR="00022D32">
        <w:t xml:space="preserve"> </w:t>
      </w:r>
      <w:r>
        <w:t xml:space="preserve">768 subjects (447 </w:t>
      </w:r>
      <w:proofErr w:type="spellStart"/>
      <w:r>
        <w:t>randomised</w:t>
      </w:r>
      <w:proofErr w:type="spellEnd"/>
      <w:r>
        <w:t xml:space="preserve"> to </w:t>
      </w:r>
      <w:proofErr w:type="spellStart"/>
      <w:r>
        <w:t>lixisenatide</w:t>
      </w:r>
      <w:proofErr w:type="spellEnd"/>
      <w:r>
        <w:t xml:space="preserve">) were ≥65 years of age and 103 subjects (57 </w:t>
      </w:r>
      <w:proofErr w:type="spellStart"/>
      <w:r>
        <w:t>randomised</w:t>
      </w:r>
      <w:proofErr w:type="spellEnd"/>
      <w:r>
        <w:t xml:space="preserve"> to </w:t>
      </w:r>
      <w:proofErr w:type="spellStart"/>
      <w:r>
        <w:t>lixisenatide</w:t>
      </w:r>
      <w:proofErr w:type="spellEnd"/>
      <w:r>
        <w:t>) were ≥75 years of age.</w:t>
      </w:r>
    </w:p>
    <w:p w:rsidR="0088439D" w:rsidRDefault="0088439D" w:rsidP="0088439D">
      <w:r>
        <w:t>In the completed Phase III studies, it was observed that more than 90% of the patient population was able to remain on the once dail</w:t>
      </w:r>
      <w:r w:rsidR="00022D32">
        <w:t xml:space="preserve">y maintenance dose of 20 </w:t>
      </w:r>
      <w:proofErr w:type="spellStart"/>
      <w:r w:rsidR="00022D32">
        <w:t>μg</w:t>
      </w:r>
      <w:proofErr w:type="spellEnd"/>
      <w:r w:rsidR="00022D32">
        <w:t xml:space="preserve"> </w:t>
      </w:r>
      <w:proofErr w:type="spellStart"/>
      <w:r w:rsidR="00022D32">
        <w:t>Lyxumia</w:t>
      </w:r>
      <w:proofErr w:type="spellEnd"/>
      <w:r>
        <w:t xml:space="preserve"> at the end of the 24-week treatment period.</w:t>
      </w:r>
    </w:p>
    <w:p w:rsidR="00BC52A5" w:rsidRDefault="00022D32" w:rsidP="00022D32">
      <w:pPr>
        <w:pStyle w:val="Heading2"/>
        <w:numPr>
          <w:ilvl w:val="0"/>
          <w:numId w:val="0"/>
        </w:numPr>
      </w:pPr>
      <w:bookmarkStart w:id="29" w:name="_Toc310954952"/>
      <w:r>
        <w:t>Glycaemic Control</w:t>
      </w:r>
      <w:bookmarkEnd w:id="29"/>
    </w:p>
    <w:p w:rsidR="00022D32" w:rsidRDefault="00BA1B9C" w:rsidP="00022D32">
      <w:proofErr w:type="spellStart"/>
      <w:r>
        <w:t>Lyxumia</w:t>
      </w:r>
      <w:proofErr w:type="spellEnd"/>
      <w:r w:rsidR="00022D32">
        <w:t xml:space="preserve"> demonstrated superior effect compared to placebo in reducing </w:t>
      </w:r>
      <w:proofErr w:type="spellStart"/>
      <w:r w:rsidR="00022D32">
        <w:t>glycosylated</w:t>
      </w:r>
      <w:proofErr w:type="spellEnd"/>
      <w:r w:rsidR="00022D32">
        <w:t xml:space="preserve"> </w:t>
      </w:r>
      <w:proofErr w:type="spellStart"/>
      <w:r w:rsidR="00022D32">
        <w:t>haemoglobin</w:t>
      </w:r>
      <w:proofErr w:type="spellEnd"/>
      <w:r w:rsidR="00022D32">
        <w:t xml:space="preserve"> (HbA1c) regardless of the background treatment and </w:t>
      </w:r>
      <w:proofErr w:type="spellStart"/>
      <w:r w:rsidR="00022D32">
        <w:t>Lyxumia</w:t>
      </w:r>
      <w:proofErr w:type="spellEnd"/>
      <w:r w:rsidR="00022D32">
        <w:t xml:space="preserve"> once daily showed a non inferior HbA1c reduction compared to </w:t>
      </w:r>
      <w:proofErr w:type="spellStart"/>
      <w:r w:rsidR="00022D32">
        <w:t>exenatide</w:t>
      </w:r>
      <w:proofErr w:type="spellEnd"/>
      <w:r w:rsidR="00022D32">
        <w:t xml:space="preserve"> twice daily.  This effect on HbA1c was sus</w:t>
      </w:r>
      <w:r w:rsidR="00490F67">
        <w:t xml:space="preserve">tained in long term studies for </w:t>
      </w:r>
      <w:r w:rsidR="00490F67" w:rsidRPr="008A6A7C">
        <w:t>at least 76 weeks</w:t>
      </w:r>
      <w:r w:rsidR="001B623D" w:rsidRPr="008A6A7C">
        <w:t>.</w:t>
      </w:r>
    </w:p>
    <w:p w:rsidR="00456A66" w:rsidRPr="00993A20" w:rsidRDefault="00022D32" w:rsidP="00993A20">
      <w:r>
        <w:t>The HbA1c reduction was significant with either a once daily morning or evening administration.</w:t>
      </w:r>
      <w:bookmarkStart w:id="30" w:name="_Toc310954953"/>
    </w:p>
    <w:p w:rsidR="00022D32" w:rsidRDefault="00022D32" w:rsidP="00022D32">
      <w:pPr>
        <w:pStyle w:val="Heading3"/>
        <w:numPr>
          <w:ilvl w:val="0"/>
          <w:numId w:val="0"/>
        </w:numPr>
      </w:pPr>
      <w:r w:rsidRPr="00022D32">
        <w:lastRenderedPageBreak/>
        <w:t xml:space="preserve">Add-on combination therapy with oral </w:t>
      </w:r>
      <w:proofErr w:type="spellStart"/>
      <w:r w:rsidRPr="00022D32">
        <w:t>antidiabetics</w:t>
      </w:r>
      <w:bookmarkEnd w:id="30"/>
      <w:proofErr w:type="spellEnd"/>
    </w:p>
    <w:p w:rsidR="00BA1B9C" w:rsidRDefault="00022D32" w:rsidP="00BA1B9C">
      <w:proofErr w:type="spellStart"/>
      <w:r>
        <w:t>Lyxumia</w:t>
      </w:r>
      <w:proofErr w:type="spellEnd"/>
      <w:r w:rsidRPr="00022D32">
        <w:t xml:space="preserve"> in combination with </w:t>
      </w:r>
      <w:proofErr w:type="spellStart"/>
      <w:r w:rsidRPr="00022D32">
        <w:t>metformin</w:t>
      </w:r>
      <w:proofErr w:type="spellEnd"/>
      <w:r w:rsidRPr="00022D32">
        <w:t xml:space="preserve">, a </w:t>
      </w:r>
      <w:proofErr w:type="spellStart"/>
      <w:r w:rsidRPr="00022D32">
        <w:t>sulphonylurea</w:t>
      </w:r>
      <w:proofErr w:type="spellEnd"/>
      <w:r w:rsidRPr="00022D32">
        <w:t xml:space="preserve"> or a combination of these agents showed clinically and statistically significant reductions in HbA1c, in fasting plasma glucose and in 2-hour post-</w:t>
      </w:r>
      <w:proofErr w:type="spellStart"/>
      <w:r w:rsidRPr="00022D32">
        <w:t>prandial</w:t>
      </w:r>
      <w:proofErr w:type="spellEnd"/>
      <w:r w:rsidRPr="00022D32">
        <w:t xml:space="preserve"> glucose after a test-meal compared to placebo at the end of the main 24-week treatment period. (</w:t>
      </w:r>
      <w:fldSimple w:instr=" REF _Ref310894403 \h  \* MERGEFORMAT ">
        <w:r w:rsidR="00E2762E" w:rsidRPr="00E2762E">
          <w:rPr>
            <w:color w:val="auto"/>
          </w:rPr>
          <w:t>Table 1</w:t>
        </w:r>
      </w:fldSimple>
      <w:r w:rsidR="00167FEA" w:rsidRPr="00371E80">
        <w:rPr>
          <w:color w:val="auto"/>
        </w:rPr>
        <w:t xml:space="preserve"> and </w:t>
      </w:r>
      <w:fldSimple w:instr=" REF _Ref310894493 \h  \* MERGEFORMAT ">
        <w:r w:rsidR="00E2762E" w:rsidRPr="00E2762E">
          <w:rPr>
            <w:color w:val="auto"/>
          </w:rPr>
          <w:t>Table 3</w:t>
        </w:r>
      </w:fldSimple>
      <w:r w:rsidRPr="00371E80">
        <w:rPr>
          <w:color w:val="auto"/>
        </w:rPr>
        <w:t>).</w:t>
      </w:r>
    </w:p>
    <w:p w:rsidR="00EE5868" w:rsidRDefault="00C029F1" w:rsidP="00993A20">
      <w:pPr>
        <w:pStyle w:val="Heading4"/>
        <w:numPr>
          <w:ilvl w:val="0"/>
          <w:numId w:val="0"/>
        </w:numPr>
      </w:pPr>
      <w:bookmarkStart w:id="31" w:name="_Toc310954954"/>
      <w:r>
        <w:t>Add-</w:t>
      </w:r>
      <w:r w:rsidR="00EE5868">
        <w:t xml:space="preserve">on treatment to </w:t>
      </w:r>
      <w:proofErr w:type="spellStart"/>
      <w:r w:rsidR="00EE5868">
        <w:t>Metformin</w:t>
      </w:r>
      <w:proofErr w:type="spellEnd"/>
      <w:r w:rsidR="00EE5868">
        <w:t xml:space="preserve"> alone</w:t>
      </w:r>
      <w:bookmarkEnd w:id="31"/>
    </w:p>
    <w:p w:rsidR="00A13781" w:rsidRPr="006D3121" w:rsidRDefault="00A13781" w:rsidP="00A13781">
      <w:r w:rsidRPr="006D3121">
        <w:t xml:space="preserve">In two separate </w:t>
      </w:r>
      <w:r w:rsidR="00B27483" w:rsidRPr="006D3121">
        <w:t xml:space="preserve">placebo–controlled </w:t>
      </w:r>
      <w:r w:rsidRPr="006D3121">
        <w:t xml:space="preserve">studies when </w:t>
      </w:r>
      <w:proofErr w:type="spellStart"/>
      <w:r w:rsidRPr="006D3121">
        <w:t>lixisenatide</w:t>
      </w:r>
      <w:proofErr w:type="spellEnd"/>
      <w:r w:rsidRPr="006D3121">
        <w:t xml:space="preserve"> was used in combination with </w:t>
      </w:r>
      <w:proofErr w:type="spellStart"/>
      <w:r w:rsidRPr="006D3121">
        <w:t>metformin</w:t>
      </w:r>
      <w:proofErr w:type="spellEnd"/>
      <w:r w:rsidRPr="006D3121">
        <w:t xml:space="preserve">, significant improvements in glucose control were observed </w:t>
      </w:r>
      <w:r w:rsidR="00961724" w:rsidRPr="006D3121">
        <w:t>compared to placebo (see Table 2</w:t>
      </w:r>
      <w:r w:rsidRPr="006D3121">
        <w:t>).</w:t>
      </w:r>
    </w:p>
    <w:p w:rsidR="00EE5868" w:rsidRDefault="00EE5868" w:rsidP="00C74FCB">
      <w:pPr>
        <w:pStyle w:val="Caption"/>
      </w:pPr>
      <w:r>
        <w:t xml:space="preserve"> </w:t>
      </w:r>
      <w:bookmarkStart w:id="32" w:name="_Ref310894403"/>
      <w:bookmarkStart w:id="33" w:name="_Toc310955008"/>
      <w:r>
        <w:t>Table </w:t>
      </w:r>
      <w:fldSimple w:instr=" SEQ Table \* ARABIC ">
        <w:r w:rsidR="00E2762E">
          <w:rPr>
            <w:noProof/>
          </w:rPr>
          <w:t>1</w:t>
        </w:r>
      </w:fldSimple>
      <w:bookmarkEnd w:id="32"/>
      <w:r>
        <w:t xml:space="preserve"> ­ </w:t>
      </w:r>
      <w:r w:rsidRPr="00EE5868">
        <w:t xml:space="preserve">Placebo-controlled studies in combination with </w:t>
      </w:r>
      <w:proofErr w:type="spellStart"/>
      <w:r w:rsidRPr="00EE5868">
        <w:t>metformin</w:t>
      </w:r>
      <w:proofErr w:type="spellEnd"/>
      <w:r w:rsidRPr="00EE5868">
        <w:t xml:space="preserve"> (24-week results).</w:t>
      </w:r>
      <w:bookmarkEnd w:id="33"/>
    </w:p>
    <w:tbl>
      <w:tblPr>
        <w:tblW w:w="0" w:type="auto"/>
        <w:jc w:val="center"/>
        <w:tblBorders>
          <w:top w:val="single" w:sz="2" w:space="0" w:color="000000"/>
        </w:tblBorders>
        <w:tblLook w:val="01E0"/>
      </w:tblPr>
      <w:tblGrid>
        <w:gridCol w:w="1694"/>
        <w:gridCol w:w="1362"/>
        <w:gridCol w:w="1382"/>
        <w:gridCol w:w="1293"/>
        <w:gridCol w:w="1327"/>
        <w:gridCol w:w="1327"/>
        <w:gridCol w:w="1300"/>
      </w:tblGrid>
      <w:tr w:rsidR="00EE5868" w:rsidRPr="00F70E6A" w:rsidTr="00261586">
        <w:trPr>
          <w:cantSplit/>
          <w:tblHeader/>
          <w:jc w:val="center"/>
        </w:trPr>
        <w:tc>
          <w:tcPr>
            <w:tcW w:w="1830" w:type="dxa"/>
            <w:tcBorders>
              <w:top w:val="single" w:sz="4" w:space="0" w:color="000000"/>
              <w:bottom w:val="single" w:sz="4" w:space="0" w:color="000000"/>
            </w:tcBorders>
            <w:shd w:val="clear" w:color="auto" w:fill="auto"/>
          </w:tcPr>
          <w:p w:rsidR="00EE5868" w:rsidRPr="00F70E6A" w:rsidRDefault="00EE5868" w:rsidP="00C74FCB">
            <w:pPr>
              <w:pStyle w:val="TblHeadingCenter"/>
              <w:rPr>
                <w:lang w:val="en-US"/>
              </w:rPr>
            </w:pPr>
          </w:p>
        </w:tc>
        <w:tc>
          <w:tcPr>
            <w:tcW w:w="7855" w:type="dxa"/>
            <w:gridSpan w:val="6"/>
            <w:tcBorders>
              <w:top w:val="single" w:sz="4" w:space="0" w:color="000000"/>
              <w:bottom w:val="single" w:sz="4" w:space="0" w:color="000000"/>
            </w:tcBorders>
            <w:shd w:val="clear" w:color="auto" w:fill="auto"/>
          </w:tcPr>
          <w:p w:rsidR="00EE5868" w:rsidRPr="001B623D" w:rsidRDefault="00EE5868" w:rsidP="00C74FCB">
            <w:pPr>
              <w:pStyle w:val="TblHeadingCenter"/>
              <w:rPr>
                <w:lang w:val="en-GB"/>
              </w:rPr>
            </w:pPr>
            <w:r w:rsidRPr="001B623D">
              <w:rPr>
                <w:lang w:val="en-GB"/>
              </w:rPr>
              <w:t>Metformin as background therapy</w:t>
            </w:r>
          </w:p>
        </w:tc>
      </w:tr>
      <w:tr w:rsidR="00261586" w:rsidRPr="00F70E6A" w:rsidTr="00261586">
        <w:trPr>
          <w:cantSplit/>
          <w:tblHeader/>
          <w:jc w:val="center"/>
        </w:trPr>
        <w:tc>
          <w:tcPr>
            <w:tcW w:w="1830" w:type="dxa"/>
            <w:tcBorders>
              <w:top w:val="single" w:sz="4" w:space="0" w:color="000000"/>
              <w:bottom w:val="single" w:sz="4" w:space="0" w:color="000000"/>
            </w:tcBorders>
            <w:shd w:val="clear" w:color="auto" w:fill="auto"/>
          </w:tcPr>
          <w:p w:rsidR="00261586" w:rsidRPr="00F70E6A" w:rsidRDefault="00261586" w:rsidP="00C74FCB">
            <w:pPr>
              <w:pStyle w:val="TblHeadingCenter"/>
              <w:rPr>
                <w:lang w:val="en-US"/>
              </w:rPr>
            </w:pPr>
          </w:p>
        </w:tc>
        <w:tc>
          <w:tcPr>
            <w:tcW w:w="3991" w:type="dxa"/>
            <w:gridSpan w:val="3"/>
            <w:tcBorders>
              <w:top w:val="single" w:sz="4" w:space="0" w:color="000000"/>
              <w:bottom w:val="single" w:sz="4" w:space="0" w:color="000000"/>
            </w:tcBorders>
            <w:shd w:val="clear" w:color="auto" w:fill="auto"/>
          </w:tcPr>
          <w:p w:rsidR="00261586" w:rsidRPr="006D3121" w:rsidRDefault="00B316C8" w:rsidP="00C74FCB">
            <w:pPr>
              <w:pStyle w:val="TblHeadingCenter"/>
              <w:rPr>
                <w:lang w:val="en-GB"/>
              </w:rPr>
            </w:pPr>
            <w:r w:rsidRPr="006D3121">
              <w:rPr>
                <w:lang w:val="en-GB"/>
              </w:rPr>
              <w:t xml:space="preserve">Two step versus one step </w:t>
            </w:r>
            <w:r w:rsidR="001B623D" w:rsidRPr="006D3121">
              <w:rPr>
                <w:lang w:val="en-GB"/>
              </w:rPr>
              <w:t xml:space="preserve">dose </w:t>
            </w:r>
            <w:r w:rsidRPr="006D3121">
              <w:rPr>
                <w:lang w:val="en-GB"/>
              </w:rPr>
              <w:t>regime</w:t>
            </w:r>
            <w:r w:rsidR="001B623D" w:rsidRPr="006D3121">
              <w:rPr>
                <w:lang w:val="en-GB"/>
              </w:rPr>
              <w:t>n</w:t>
            </w:r>
          </w:p>
        </w:tc>
        <w:tc>
          <w:tcPr>
            <w:tcW w:w="3864" w:type="dxa"/>
            <w:gridSpan w:val="3"/>
            <w:tcBorders>
              <w:top w:val="single" w:sz="4" w:space="0" w:color="000000"/>
              <w:bottom w:val="single" w:sz="4" w:space="0" w:color="000000"/>
            </w:tcBorders>
            <w:shd w:val="clear" w:color="auto" w:fill="auto"/>
          </w:tcPr>
          <w:p w:rsidR="00261586" w:rsidRPr="006D3121" w:rsidRDefault="00B316C8" w:rsidP="00C74FCB">
            <w:pPr>
              <w:pStyle w:val="TblHeadingCenter"/>
              <w:rPr>
                <w:lang w:val="en-GB"/>
              </w:rPr>
            </w:pPr>
            <w:r w:rsidRPr="006D3121">
              <w:rPr>
                <w:lang w:val="en-GB"/>
              </w:rPr>
              <w:t>Morning versus evening</w:t>
            </w:r>
            <w:r w:rsidR="001B623D" w:rsidRPr="006D3121">
              <w:rPr>
                <w:lang w:val="en-GB"/>
              </w:rPr>
              <w:t xml:space="preserve"> dose</w:t>
            </w:r>
            <w:r w:rsidRPr="006D3121">
              <w:rPr>
                <w:lang w:val="en-GB"/>
              </w:rPr>
              <w:t xml:space="preserve"> regime</w:t>
            </w:r>
            <w:r w:rsidR="001B623D" w:rsidRPr="006D3121">
              <w:rPr>
                <w:lang w:val="en-GB"/>
              </w:rPr>
              <w:t>n</w:t>
            </w:r>
          </w:p>
        </w:tc>
      </w:tr>
      <w:tr w:rsidR="00167FEA" w:rsidRPr="00F70E6A" w:rsidTr="00261586">
        <w:trPr>
          <w:cantSplit/>
          <w:jc w:val="center"/>
        </w:trPr>
        <w:tc>
          <w:tcPr>
            <w:tcW w:w="1830" w:type="dxa"/>
            <w:tcBorders>
              <w:top w:val="single" w:sz="4" w:space="0" w:color="000000"/>
            </w:tcBorders>
            <w:shd w:val="clear" w:color="auto" w:fill="auto"/>
          </w:tcPr>
          <w:p w:rsidR="00EE5868" w:rsidRPr="00C74FCB" w:rsidRDefault="00EE5868" w:rsidP="00C74FCB">
            <w:pPr>
              <w:pStyle w:val="TblTextCenter"/>
            </w:pPr>
          </w:p>
        </w:tc>
        <w:tc>
          <w:tcPr>
            <w:tcW w:w="2747" w:type="dxa"/>
            <w:gridSpan w:val="2"/>
            <w:tcBorders>
              <w:top w:val="single" w:sz="4" w:space="0" w:color="000000"/>
            </w:tcBorders>
            <w:shd w:val="clear" w:color="auto" w:fill="auto"/>
          </w:tcPr>
          <w:p w:rsidR="00EE5868" w:rsidRPr="00C74FCB" w:rsidRDefault="00EE5868" w:rsidP="00C74FCB">
            <w:pPr>
              <w:pStyle w:val="TblTextCenter"/>
            </w:pPr>
            <w:proofErr w:type="spellStart"/>
            <w:r w:rsidRPr="00C74FCB">
              <w:t>Lixisenatide</w:t>
            </w:r>
            <w:proofErr w:type="spellEnd"/>
            <w:r w:rsidRPr="00C74FCB">
              <w:t xml:space="preserve"> 20 µg</w:t>
            </w:r>
          </w:p>
        </w:tc>
        <w:tc>
          <w:tcPr>
            <w:tcW w:w="1244" w:type="dxa"/>
            <w:tcBorders>
              <w:top w:val="single" w:sz="4" w:space="0" w:color="000000"/>
            </w:tcBorders>
            <w:shd w:val="clear" w:color="auto" w:fill="auto"/>
          </w:tcPr>
          <w:p w:rsidR="00EE5868" w:rsidRPr="00C74FCB" w:rsidRDefault="00EE5868" w:rsidP="00C74FCB">
            <w:pPr>
              <w:pStyle w:val="TblTextCenter"/>
            </w:pPr>
            <w:r w:rsidRPr="00C74FCB">
              <w:t xml:space="preserve">Placebo </w:t>
            </w:r>
          </w:p>
          <w:p w:rsidR="00EE5868" w:rsidRPr="00C74FCB" w:rsidRDefault="00EE5868" w:rsidP="00C74FCB">
            <w:pPr>
              <w:pStyle w:val="TblTextCenter"/>
            </w:pPr>
            <w:r w:rsidRPr="00C74FCB">
              <w:t>(N= 159)</w:t>
            </w:r>
          </w:p>
        </w:tc>
        <w:tc>
          <w:tcPr>
            <w:tcW w:w="2608" w:type="dxa"/>
            <w:gridSpan w:val="2"/>
            <w:tcBorders>
              <w:top w:val="single" w:sz="4" w:space="0" w:color="000000"/>
            </w:tcBorders>
            <w:shd w:val="clear" w:color="auto" w:fill="auto"/>
          </w:tcPr>
          <w:p w:rsidR="00EE5868" w:rsidRPr="00C74FCB" w:rsidRDefault="00EE5868" w:rsidP="00C74FCB">
            <w:pPr>
              <w:pStyle w:val="TblTextCenter"/>
            </w:pPr>
            <w:proofErr w:type="spellStart"/>
            <w:r w:rsidRPr="00C74FCB">
              <w:t>Lixisenatide</w:t>
            </w:r>
            <w:proofErr w:type="spellEnd"/>
            <w:r w:rsidRPr="00C74FCB">
              <w:t xml:space="preserve"> 20 µg</w:t>
            </w:r>
          </w:p>
          <w:p w:rsidR="00EE5868" w:rsidRPr="00C74FCB" w:rsidRDefault="00EE5868" w:rsidP="00C74FCB">
            <w:pPr>
              <w:pStyle w:val="TblTextCenter"/>
            </w:pPr>
          </w:p>
        </w:tc>
        <w:tc>
          <w:tcPr>
            <w:tcW w:w="1256" w:type="dxa"/>
            <w:tcBorders>
              <w:top w:val="single" w:sz="4" w:space="0" w:color="000000"/>
            </w:tcBorders>
            <w:shd w:val="clear" w:color="auto" w:fill="auto"/>
          </w:tcPr>
          <w:p w:rsidR="00EE5868" w:rsidRPr="00C74FCB" w:rsidRDefault="00EE5868" w:rsidP="00C74FCB">
            <w:pPr>
              <w:pStyle w:val="TblTextCenter"/>
            </w:pPr>
            <w:r w:rsidRPr="00C74FCB">
              <w:t xml:space="preserve">Placebo </w:t>
            </w:r>
          </w:p>
          <w:p w:rsidR="00EE5868" w:rsidRPr="00C74FCB" w:rsidRDefault="00EE5868" w:rsidP="00C74FCB">
            <w:pPr>
              <w:pStyle w:val="TblTextCenter"/>
            </w:pPr>
            <w:r w:rsidRPr="00C74FCB">
              <w:t>(N= 170)</w:t>
            </w:r>
          </w:p>
        </w:tc>
      </w:tr>
      <w:tr w:rsidR="00167FEA" w:rsidRPr="00F70E6A" w:rsidTr="00261586">
        <w:trPr>
          <w:cantSplit/>
          <w:jc w:val="center"/>
        </w:trPr>
        <w:tc>
          <w:tcPr>
            <w:tcW w:w="1830" w:type="dxa"/>
            <w:shd w:val="clear" w:color="auto" w:fill="auto"/>
          </w:tcPr>
          <w:p w:rsidR="00EE5868" w:rsidRPr="00C74FCB" w:rsidRDefault="00EE5868" w:rsidP="00C74FCB">
            <w:pPr>
              <w:pStyle w:val="TblTextCenter"/>
            </w:pPr>
          </w:p>
        </w:tc>
        <w:tc>
          <w:tcPr>
            <w:tcW w:w="1355" w:type="dxa"/>
            <w:shd w:val="clear" w:color="auto" w:fill="auto"/>
          </w:tcPr>
          <w:p w:rsidR="00EE5868" w:rsidRPr="00C74FCB" w:rsidRDefault="00EE5868" w:rsidP="00C74FCB">
            <w:pPr>
              <w:pStyle w:val="TblTextCenter"/>
            </w:pPr>
            <w:r w:rsidRPr="00C74FCB">
              <w:t>Two-step dose initiation *</w:t>
            </w:r>
          </w:p>
          <w:p w:rsidR="00EE5868" w:rsidRPr="00C74FCB" w:rsidRDefault="00EE5868" w:rsidP="00C74FCB">
            <w:pPr>
              <w:pStyle w:val="TblTextCenter"/>
            </w:pPr>
            <w:r w:rsidRPr="00C74FCB">
              <w:t>(N= 160)</w:t>
            </w:r>
          </w:p>
        </w:tc>
        <w:tc>
          <w:tcPr>
            <w:tcW w:w="1392" w:type="dxa"/>
            <w:shd w:val="clear" w:color="auto" w:fill="auto"/>
          </w:tcPr>
          <w:p w:rsidR="00EE5868" w:rsidRPr="00C74FCB" w:rsidRDefault="00EE5868" w:rsidP="00167FEA">
            <w:pPr>
              <w:pStyle w:val="TblTextCenter"/>
            </w:pPr>
            <w:r w:rsidRPr="00C74FCB">
              <w:t>One-step</w:t>
            </w:r>
            <w:r w:rsidR="00167FEA">
              <w:br/>
            </w:r>
            <w:r w:rsidRPr="00C74FCB">
              <w:t xml:space="preserve">dose  initiation *                                      </w:t>
            </w:r>
          </w:p>
          <w:p w:rsidR="00EE5868" w:rsidRPr="00C74FCB" w:rsidRDefault="00EE5868" w:rsidP="00C74FCB">
            <w:pPr>
              <w:pStyle w:val="TblTextCenter"/>
            </w:pPr>
            <w:r w:rsidRPr="00C74FCB">
              <w:t>(N= 160)</w:t>
            </w:r>
          </w:p>
        </w:tc>
        <w:tc>
          <w:tcPr>
            <w:tcW w:w="1244" w:type="dxa"/>
            <w:shd w:val="clear" w:color="auto" w:fill="auto"/>
          </w:tcPr>
          <w:p w:rsidR="00EE5868" w:rsidRPr="00C74FCB" w:rsidRDefault="00EE5868" w:rsidP="00C74FCB">
            <w:pPr>
              <w:pStyle w:val="TblTextCenter"/>
            </w:pPr>
          </w:p>
        </w:tc>
        <w:tc>
          <w:tcPr>
            <w:tcW w:w="1304" w:type="dxa"/>
            <w:shd w:val="clear" w:color="auto" w:fill="auto"/>
          </w:tcPr>
          <w:p w:rsidR="00EE5868" w:rsidRPr="00C74FCB" w:rsidRDefault="00EE5868" w:rsidP="00C74FCB">
            <w:pPr>
              <w:pStyle w:val="TblTextCenter"/>
            </w:pPr>
            <w:r w:rsidRPr="00C74FCB">
              <w:t>Morning</w:t>
            </w:r>
          </w:p>
          <w:p w:rsidR="00EE5868" w:rsidRPr="00C74FCB" w:rsidRDefault="00EE5868" w:rsidP="00C74FCB">
            <w:pPr>
              <w:pStyle w:val="TblTextCenter"/>
            </w:pPr>
            <w:r w:rsidRPr="00C74FCB">
              <w:t>(N= 255)</w:t>
            </w:r>
          </w:p>
        </w:tc>
        <w:tc>
          <w:tcPr>
            <w:tcW w:w="1304" w:type="dxa"/>
            <w:shd w:val="clear" w:color="auto" w:fill="auto"/>
          </w:tcPr>
          <w:p w:rsidR="00EE5868" w:rsidRPr="00C74FCB" w:rsidRDefault="00EE5868" w:rsidP="00C74FCB">
            <w:pPr>
              <w:pStyle w:val="TblTextCenter"/>
            </w:pPr>
            <w:r w:rsidRPr="00C74FCB">
              <w:t>Evening</w:t>
            </w:r>
          </w:p>
          <w:p w:rsidR="00EE5868" w:rsidRPr="00C74FCB" w:rsidRDefault="00EE5868" w:rsidP="00C74FCB">
            <w:pPr>
              <w:pStyle w:val="TblTextCenter"/>
            </w:pPr>
            <w:r w:rsidRPr="00C74FCB">
              <w:t>(N= 255)</w:t>
            </w:r>
          </w:p>
        </w:tc>
        <w:tc>
          <w:tcPr>
            <w:tcW w:w="1256" w:type="dxa"/>
            <w:shd w:val="clear" w:color="auto" w:fill="auto"/>
          </w:tcPr>
          <w:p w:rsidR="00EE5868" w:rsidRPr="00C74FCB" w:rsidRDefault="00EE5868" w:rsidP="00C74FCB">
            <w:pPr>
              <w:pStyle w:val="TblTextCenter"/>
            </w:pPr>
          </w:p>
        </w:tc>
      </w:tr>
      <w:tr w:rsidR="00167FEA" w:rsidRPr="00F70E6A" w:rsidTr="00261586">
        <w:trPr>
          <w:cantSplit/>
          <w:jc w:val="center"/>
        </w:trPr>
        <w:tc>
          <w:tcPr>
            <w:tcW w:w="1830" w:type="dxa"/>
            <w:shd w:val="clear" w:color="auto" w:fill="auto"/>
          </w:tcPr>
          <w:p w:rsidR="00EE5868" w:rsidRPr="00C74FCB" w:rsidRDefault="00EE5868" w:rsidP="00167FEA">
            <w:pPr>
              <w:pStyle w:val="TblTextCenter"/>
            </w:pPr>
            <w:r w:rsidRPr="00C74FCB">
              <w:t>Mean HbA1c (%)</w:t>
            </w:r>
            <w:bookmarkStart w:id="34" w:name="OLE_LINK3"/>
            <w:bookmarkStart w:id="35" w:name="OLE_LINK4"/>
            <w:r w:rsidR="00167FEA">
              <w:br/>
            </w:r>
            <w:r w:rsidRPr="00C74FCB">
              <w:t>Baseline</w:t>
            </w:r>
          </w:p>
          <w:p w:rsidR="00EE5868" w:rsidRPr="00C74FCB" w:rsidRDefault="00EE5868" w:rsidP="00C74FCB">
            <w:pPr>
              <w:pStyle w:val="TblTextCenter"/>
            </w:pPr>
            <w:r w:rsidRPr="00C74FCB">
              <w:t>LS mean change from baseline</w:t>
            </w:r>
            <w:bookmarkEnd w:id="34"/>
            <w:bookmarkEnd w:id="35"/>
          </w:p>
        </w:tc>
        <w:tc>
          <w:tcPr>
            <w:tcW w:w="1355" w:type="dxa"/>
            <w:shd w:val="clear" w:color="auto" w:fill="auto"/>
          </w:tcPr>
          <w:p w:rsidR="00EE5868" w:rsidRPr="00C74FCB" w:rsidRDefault="00EE5868" w:rsidP="00C74FCB">
            <w:pPr>
              <w:pStyle w:val="TblTextCenter"/>
            </w:pPr>
          </w:p>
          <w:p w:rsidR="00EE5868" w:rsidRPr="00C74FCB" w:rsidRDefault="00EE5868" w:rsidP="00C74FCB">
            <w:pPr>
              <w:pStyle w:val="TblTextCenter"/>
            </w:pPr>
            <w:r w:rsidRPr="00C74FCB">
              <w:t>8.12</w:t>
            </w:r>
          </w:p>
          <w:p w:rsidR="00EE5868" w:rsidRPr="00C74FCB" w:rsidRDefault="00EE5868" w:rsidP="00C74FCB">
            <w:pPr>
              <w:pStyle w:val="TblTextCenter"/>
            </w:pPr>
            <w:r w:rsidRPr="00C74FCB">
              <w:t>-0.83</w:t>
            </w:r>
          </w:p>
        </w:tc>
        <w:tc>
          <w:tcPr>
            <w:tcW w:w="1392" w:type="dxa"/>
            <w:shd w:val="clear" w:color="auto" w:fill="auto"/>
          </w:tcPr>
          <w:p w:rsidR="00EE5868" w:rsidRPr="00C74FCB" w:rsidRDefault="00EE5868" w:rsidP="00C74FCB">
            <w:pPr>
              <w:pStyle w:val="TblTextCenter"/>
            </w:pPr>
          </w:p>
          <w:p w:rsidR="00EE5868" w:rsidRPr="00C74FCB" w:rsidRDefault="00EE5868" w:rsidP="00C74FCB">
            <w:pPr>
              <w:pStyle w:val="TblTextCenter"/>
            </w:pPr>
            <w:r w:rsidRPr="00C74FCB">
              <w:t>7.99</w:t>
            </w:r>
          </w:p>
          <w:p w:rsidR="00EE5868" w:rsidRPr="00C74FCB" w:rsidRDefault="00EE5868" w:rsidP="00C74FCB">
            <w:pPr>
              <w:pStyle w:val="TblTextCenter"/>
            </w:pPr>
            <w:r w:rsidRPr="00C74FCB">
              <w:t>-0.92</w:t>
            </w:r>
          </w:p>
        </w:tc>
        <w:tc>
          <w:tcPr>
            <w:tcW w:w="1244" w:type="dxa"/>
            <w:shd w:val="clear" w:color="auto" w:fill="auto"/>
          </w:tcPr>
          <w:p w:rsidR="00EE5868" w:rsidRPr="00C74FCB" w:rsidRDefault="00EE5868" w:rsidP="00C74FCB">
            <w:pPr>
              <w:pStyle w:val="TblTextCenter"/>
            </w:pPr>
          </w:p>
          <w:p w:rsidR="00EE5868" w:rsidRPr="00C74FCB" w:rsidRDefault="00EE5868" w:rsidP="00C74FCB">
            <w:pPr>
              <w:pStyle w:val="TblTextCenter"/>
            </w:pPr>
            <w:r w:rsidRPr="00C74FCB">
              <w:t>8.03</w:t>
            </w:r>
          </w:p>
          <w:p w:rsidR="00EE5868" w:rsidRPr="00C74FCB" w:rsidRDefault="00EE5868" w:rsidP="00C74FCB">
            <w:pPr>
              <w:pStyle w:val="TblTextCenter"/>
            </w:pPr>
            <w:r w:rsidRPr="00C74FCB">
              <w:t>-0.42</w:t>
            </w:r>
          </w:p>
        </w:tc>
        <w:tc>
          <w:tcPr>
            <w:tcW w:w="1304" w:type="dxa"/>
            <w:shd w:val="clear" w:color="auto" w:fill="auto"/>
          </w:tcPr>
          <w:p w:rsidR="00EE5868" w:rsidRPr="00C74FCB" w:rsidRDefault="00EE5868" w:rsidP="00C74FCB">
            <w:pPr>
              <w:pStyle w:val="TblTextCenter"/>
            </w:pPr>
          </w:p>
          <w:p w:rsidR="00EE5868" w:rsidRPr="00C74FCB" w:rsidRDefault="00EE5868" w:rsidP="00C74FCB">
            <w:pPr>
              <w:pStyle w:val="TblTextCenter"/>
            </w:pPr>
            <w:r w:rsidRPr="00C74FCB">
              <w:t>8.07</w:t>
            </w:r>
          </w:p>
          <w:p w:rsidR="00EE5868" w:rsidRPr="00C74FCB" w:rsidRDefault="00EE5868" w:rsidP="00C74FCB">
            <w:pPr>
              <w:pStyle w:val="TblTextCenter"/>
            </w:pPr>
            <w:r w:rsidRPr="00C74FCB">
              <w:t>-0.87</w:t>
            </w:r>
          </w:p>
        </w:tc>
        <w:tc>
          <w:tcPr>
            <w:tcW w:w="1304" w:type="dxa"/>
            <w:shd w:val="clear" w:color="auto" w:fill="auto"/>
          </w:tcPr>
          <w:p w:rsidR="00EE5868" w:rsidRPr="00C74FCB" w:rsidRDefault="00EE5868" w:rsidP="00C74FCB">
            <w:pPr>
              <w:pStyle w:val="TblTextCenter"/>
            </w:pPr>
          </w:p>
          <w:p w:rsidR="00EE5868" w:rsidRPr="00C74FCB" w:rsidRDefault="00EE5868" w:rsidP="00C74FCB">
            <w:pPr>
              <w:pStyle w:val="TblTextCenter"/>
            </w:pPr>
            <w:r w:rsidRPr="00C74FCB">
              <w:t>8.07</w:t>
            </w:r>
          </w:p>
          <w:p w:rsidR="00EE5868" w:rsidRPr="00C74FCB" w:rsidRDefault="00EE5868" w:rsidP="00C74FCB">
            <w:pPr>
              <w:pStyle w:val="TblTextCenter"/>
            </w:pPr>
            <w:r w:rsidRPr="00C74FCB">
              <w:t>-0.75</w:t>
            </w:r>
          </w:p>
        </w:tc>
        <w:tc>
          <w:tcPr>
            <w:tcW w:w="1256" w:type="dxa"/>
            <w:shd w:val="clear" w:color="auto" w:fill="auto"/>
          </w:tcPr>
          <w:p w:rsidR="00EE5868" w:rsidRPr="00C74FCB" w:rsidRDefault="00EE5868" w:rsidP="00C74FCB">
            <w:pPr>
              <w:pStyle w:val="TblTextCenter"/>
            </w:pPr>
          </w:p>
          <w:p w:rsidR="00EE5868" w:rsidRPr="00C74FCB" w:rsidRDefault="00EE5868" w:rsidP="00C74FCB">
            <w:pPr>
              <w:pStyle w:val="TblTextCenter"/>
            </w:pPr>
            <w:r w:rsidRPr="00C74FCB">
              <w:t>8.02</w:t>
            </w:r>
          </w:p>
          <w:p w:rsidR="00EE5868" w:rsidRPr="00C74FCB" w:rsidRDefault="00EE5868" w:rsidP="00C74FCB">
            <w:pPr>
              <w:pStyle w:val="TblTextCenter"/>
            </w:pPr>
            <w:r w:rsidRPr="00C74FCB">
              <w:t>-0.38</w:t>
            </w:r>
          </w:p>
        </w:tc>
      </w:tr>
      <w:tr w:rsidR="00167FEA" w:rsidRPr="00F70E6A" w:rsidTr="00261586">
        <w:trPr>
          <w:cantSplit/>
          <w:jc w:val="center"/>
        </w:trPr>
        <w:tc>
          <w:tcPr>
            <w:tcW w:w="1830" w:type="dxa"/>
            <w:shd w:val="clear" w:color="auto" w:fill="auto"/>
          </w:tcPr>
          <w:p w:rsidR="00EE5868" w:rsidRPr="00C74FCB" w:rsidRDefault="00EE5868" w:rsidP="00C74FCB">
            <w:pPr>
              <w:pStyle w:val="TblTextCenter"/>
            </w:pPr>
            <w:r w:rsidRPr="00C74FCB">
              <w:t>Patients (%) achieving HbA1c &lt; 7.0%</w:t>
            </w:r>
          </w:p>
        </w:tc>
        <w:tc>
          <w:tcPr>
            <w:tcW w:w="1355" w:type="dxa"/>
            <w:shd w:val="clear" w:color="auto" w:fill="auto"/>
          </w:tcPr>
          <w:p w:rsidR="00EE5868" w:rsidRPr="00C74FCB" w:rsidRDefault="00EE5868" w:rsidP="00C74FCB">
            <w:pPr>
              <w:pStyle w:val="TblTextCenter"/>
            </w:pPr>
            <w:r w:rsidRPr="00C74FCB">
              <w:t>42.1</w:t>
            </w:r>
          </w:p>
        </w:tc>
        <w:tc>
          <w:tcPr>
            <w:tcW w:w="1392" w:type="dxa"/>
            <w:shd w:val="clear" w:color="auto" w:fill="auto"/>
          </w:tcPr>
          <w:p w:rsidR="00EE5868" w:rsidRPr="00C74FCB" w:rsidRDefault="00EE5868" w:rsidP="00C74FCB">
            <w:pPr>
              <w:pStyle w:val="TblTextCenter"/>
            </w:pPr>
            <w:r w:rsidRPr="00C74FCB">
              <w:t>47.4</w:t>
            </w:r>
          </w:p>
        </w:tc>
        <w:tc>
          <w:tcPr>
            <w:tcW w:w="1244" w:type="dxa"/>
            <w:shd w:val="clear" w:color="auto" w:fill="auto"/>
          </w:tcPr>
          <w:p w:rsidR="00EE5868" w:rsidRPr="00C74FCB" w:rsidRDefault="00EE5868" w:rsidP="00C74FCB">
            <w:pPr>
              <w:pStyle w:val="TblTextCenter"/>
            </w:pPr>
            <w:r w:rsidRPr="00C74FCB">
              <w:t>24.1</w:t>
            </w:r>
          </w:p>
        </w:tc>
        <w:tc>
          <w:tcPr>
            <w:tcW w:w="1304" w:type="dxa"/>
            <w:shd w:val="clear" w:color="auto" w:fill="auto"/>
          </w:tcPr>
          <w:p w:rsidR="00EE5868" w:rsidRPr="00C74FCB" w:rsidRDefault="00EE5868" w:rsidP="00C74FCB">
            <w:pPr>
              <w:pStyle w:val="TblTextCenter"/>
            </w:pPr>
            <w:r w:rsidRPr="00C74FCB">
              <w:t>43.0</w:t>
            </w:r>
          </w:p>
        </w:tc>
        <w:tc>
          <w:tcPr>
            <w:tcW w:w="1304" w:type="dxa"/>
            <w:shd w:val="clear" w:color="auto" w:fill="auto"/>
          </w:tcPr>
          <w:p w:rsidR="00EE5868" w:rsidRPr="00C74FCB" w:rsidRDefault="00EE5868" w:rsidP="00C74FCB">
            <w:pPr>
              <w:pStyle w:val="TblTextCenter"/>
            </w:pPr>
            <w:r w:rsidRPr="00C74FCB">
              <w:t>40.6</w:t>
            </w:r>
          </w:p>
        </w:tc>
        <w:tc>
          <w:tcPr>
            <w:tcW w:w="1256" w:type="dxa"/>
            <w:shd w:val="clear" w:color="auto" w:fill="auto"/>
          </w:tcPr>
          <w:p w:rsidR="00EE5868" w:rsidRPr="00C74FCB" w:rsidRDefault="00EE5868" w:rsidP="00C74FCB">
            <w:pPr>
              <w:pStyle w:val="TblTextCenter"/>
            </w:pPr>
            <w:r w:rsidRPr="00C74FCB">
              <w:t>22.0</w:t>
            </w:r>
          </w:p>
        </w:tc>
      </w:tr>
      <w:tr w:rsidR="00167FEA" w:rsidRPr="00F70E6A" w:rsidTr="00261586">
        <w:trPr>
          <w:cantSplit/>
          <w:jc w:val="center"/>
        </w:trPr>
        <w:tc>
          <w:tcPr>
            <w:tcW w:w="1830" w:type="dxa"/>
            <w:tcBorders>
              <w:bottom w:val="single" w:sz="12" w:space="0" w:color="auto"/>
            </w:tcBorders>
            <w:shd w:val="clear" w:color="auto" w:fill="auto"/>
          </w:tcPr>
          <w:p w:rsidR="00EE5868" w:rsidRPr="007C35E7" w:rsidRDefault="00EE5868" w:rsidP="00167FEA">
            <w:pPr>
              <w:pStyle w:val="TblTextCenter"/>
            </w:pPr>
            <w:r w:rsidRPr="007C35E7">
              <w:t>Mean body weight (kg)</w:t>
            </w:r>
            <w:r w:rsidR="00167FEA" w:rsidRPr="007C35E7">
              <w:t xml:space="preserve"> </w:t>
            </w:r>
            <w:r w:rsidRPr="007C35E7">
              <w:t>Baseline</w:t>
            </w:r>
          </w:p>
          <w:p w:rsidR="00EE5868" w:rsidRPr="007C35E7" w:rsidRDefault="00EE5868" w:rsidP="00C74FCB">
            <w:pPr>
              <w:pStyle w:val="TblTextCenter"/>
            </w:pPr>
            <w:r w:rsidRPr="007C35E7">
              <w:t>LS mean change from baseline</w:t>
            </w:r>
          </w:p>
        </w:tc>
        <w:tc>
          <w:tcPr>
            <w:tcW w:w="1355" w:type="dxa"/>
            <w:tcBorders>
              <w:bottom w:val="single" w:sz="12" w:space="0" w:color="auto"/>
            </w:tcBorders>
            <w:shd w:val="clear" w:color="auto" w:fill="auto"/>
          </w:tcPr>
          <w:p w:rsidR="00EE5868" w:rsidRPr="007C35E7" w:rsidRDefault="00EE5868" w:rsidP="00C74FCB">
            <w:pPr>
              <w:pStyle w:val="TblTextCenter"/>
            </w:pPr>
          </w:p>
          <w:p w:rsidR="00EE5868" w:rsidRPr="007C35E7" w:rsidRDefault="00EE5868" w:rsidP="00C74FCB">
            <w:pPr>
              <w:pStyle w:val="TblTextCenter"/>
            </w:pPr>
            <w:r w:rsidRPr="007C35E7">
              <w:t>88.08</w:t>
            </w:r>
          </w:p>
          <w:p w:rsidR="00EE5868" w:rsidRPr="007C35E7" w:rsidRDefault="00EE5868" w:rsidP="00C74FCB">
            <w:pPr>
              <w:pStyle w:val="TblTextCenter"/>
            </w:pPr>
            <w:r w:rsidRPr="007C35E7">
              <w:t>-2.68</w:t>
            </w:r>
          </w:p>
        </w:tc>
        <w:tc>
          <w:tcPr>
            <w:tcW w:w="1392" w:type="dxa"/>
            <w:tcBorders>
              <w:bottom w:val="single" w:sz="12" w:space="0" w:color="auto"/>
            </w:tcBorders>
            <w:shd w:val="clear" w:color="auto" w:fill="auto"/>
          </w:tcPr>
          <w:p w:rsidR="00EE5868" w:rsidRPr="007C35E7" w:rsidRDefault="00EE5868" w:rsidP="00C74FCB">
            <w:pPr>
              <w:pStyle w:val="TblTextCenter"/>
            </w:pPr>
          </w:p>
          <w:p w:rsidR="00EE5868" w:rsidRPr="007C35E7" w:rsidRDefault="00EE5868" w:rsidP="00C74FCB">
            <w:pPr>
              <w:pStyle w:val="TblTextCenter"/>
            </w:pPr>
            <w:r w:rsidRPr="007C35E7">
              <w:t>90.30</w:t>
            </w:r>
          </w:p>
          <w:p w:rsidR="00EE5868" w:rsidRPr="007C35E7" w:rsidRDefault="00EE5868" w:rsidP="00C74FCB">
            <w:pPr>
              <w:pStyle w:val="TblTextCenter"/>
            </w:pPr>
            <w:r w:rsidRPr="007C35E7">
              <w:t>-2.63</w:t>
            </w:r>
          </w:p>
        </w:tc>
        <w:tc>
          <w:tcPr>
            <w:tcW w:w="1244" w:type="dxa"/>
            <w:tcBorders>
              <w:bottom w:val="single" w:sz="12" w:space="0" w:color="auto"/>
            </w:tcBorders>
            <w:shd w:val="clear" w:color="auto" w:fill="auto"/>
          </w:tcPr>
          <w:p w:rsidR="00EE5868" w:rsidRPr="007C35E7" w:rsidRDefault="00EE5868" w:rsidP="00C74FCB">
            <w:pPr>
              <w:pStyle w:val="TblTextCenter"/>
            </w:pPr>
          </w:p>
          <w:p w:rsidR="00EE5868" w:rsidRPr="007C35E7" w:rsidRDefault="00EE5868" w:rsidP="00C74FCB">
            <w:pPr>
              <w:pStyle w:val="TblTextCenter"/>
            </w:pPr>
            <w:r w:rsidRPr="007C35E7">
              <w:t>87.86</w:t>
            </w:r>
          </w:p>
          <w:p w:rsidR="00EE5868" w:rsidRPr="007C35E7" w:rsidRDefault="00EE5868" w:rsidP="00C74FCB">
            <w:pPr>
              <w:pStyle w:val="TblTextCenter"/>
            </w:pPr>
            <w:r w:rsidRPr="007C35E7">
              <w:t>-1.63</w:t>
            </w:r>
          </w:p>
        </w:tc>
        <w:tc>
          <w:tcPr>
            <w:tcW w:w="1304" w:type="dxa"/>
            <w:tcBorders>
              <w:bottom w:val="single" w:sz="12" w:space="0" w:color="auto"/>
            </w:tcBorders>
            <w:shd w:val="clear" w:color="auto" w:fill="auto"/>
          </w:tcPr>
          <w:p w:rsidR="00EE5868" w:rsidRPr="007C35E7" w:rsidRDefault="00EE5868" w:rsidP="00C74FCB">
            <w:pPr>
              <w:pStyle w:val="TblTextCenter"/>
            </w:pPr>
          </w:p>
          <w:p w:rsidR="00EE5868" w:rsidRPr="007C35E7" w:rsidRDefault="00EE5868" w:rsidP="00C74FCB">
            <w:pPr>
              <w:pStyle w:val="TblTextCenter"/>
            </w:pPr>
            <w:r w:rsidRPr="007C35E7">
              <w:t>90.14</w:t>
            </w:r>
          </w:p>
          <w:p w:rsidR="00EE5868" w:rsidRPr="007C35E7" w:rsidRDefault="00EE5868" w:rsidP="00C74FCB">
            <w:pPr>
              <w:pStyle w:val="TblTextCenter"/>
            </w:pPr>
            <w:r w:rsidRPr="007C35E7">
              <w:t>-2.01</w:t>
            </w:r>
          </w:p>
        </w:tc>
        <w:tc>
          <w:tcPr>
            <w:tcW w:w="1304" w:type="dxa"/>
            <w:tcBorders>
              <w:bottom w:val="single" w:sz="12" w:space="0" w:color="auto"/>
            </w:tcBorders>
            <w:shd w:val="clear" w:color="auto" w:fill="auto"/>
          </w:tcPr>
          <w:p w:rsidR="00EE5868" w:rsidRPr="007C35E7" w:rsidRDefault="00EE5868" w:rsidP="00C74FCB">
            <w:pPr>
              <w:pStyle w:val="TblTextCenter"/>
            </w:pPr>
          </w:p>
          <w:p w:rsidR="00EE5868" w:rsidRPr="007C35E7" w:rsidRDefault="00EE5868" w:rsidP="00C74FCB">
            <w:pPr>
              <w:pStyle w:val="TblTextCenter"/>
            </w:pPr>
            <w:r w:rsidRPr="007C35E7">
              <w:t>89.01</w:t>
            </w:r>
          </w:p>
          <w:p w:rsidR="00EE5868" w:rsidRPr="007C35E7" w:rsidRDefault="00EE5868" w:rsidP="00C74FCB">
            <w:pPr>
              <w:pStyle w:val="TblTextCenter"/>
            </w:pPr>
            <w:r w:rsidRPr="007C35E7">
              <w:t>-2.02</w:t>
            </w:r>
          </w:p>
        </w:tc>
        <w:tc>
          <w:tcPr>
            <w:tcW w:w="1256" w:type="dxa"/>
            <w:tcBorders>
              <w:bottom w:val="single" w:sz="12" w:space="0" w:color="auto"/>
            </w:tcBorders>
            <w:shd w:val="clear" w:color="auto" w:fill="auto"/>
          </w:tcPr>
          <w:p w:rsidR="00EE5868" w:rsidRPr="007C35E7" w:rsidRDefault="00EE5868" w:rsidP="00C74FCB">
            <w:pPr>
              <w:pStyle w:val="TblTextCenter"/>
            </w:pPr>
          </w:p>
          <w:p w:rsidR="00EE5868" w:rsidRPr="007C35E7" w:rsidRDefault="00EE5868" w:rsidP="00C74FCB">
            <w:pPr>
              <w:pStyle w:val="TblTextCenter"/>
            </w:pPr>
            <w:r w:rsidRPr="007C35E7">
              <w:t>90.40</w:t>
            </w:r>
          </w:p>
          <w:p w:rsidR="00EE5868" w:rsidRPr="007C35E7" w:rsidRDefault="00EE5868" w:rsidP="00C74FCB">
            <w:pPr>
              <w:pStyle w:val="TblTextCenter"/>
            </w:pPr>
            <w:r w:rsidRPr="007C35E7">
              <w:t>-1.64</w:t>
            </w:r>
          </w:p>
        </w:tc>
      </w:tr>
      <w:tr w:rsidR="00C74FCB" w:rsidRPr="00F70E6A" w:rsidTr="00F70E6A">
        <w:trPr>
          <w:cantSplit/>
          <w:jc w:val="center"/>
        </w:trPr>
        <w:tc>
          <w:tcPr>
            <w:tcW w:w="0" w:type="auto"/>
            <w:gridSpan w:val="7"/>
            <w:tcBorders>
              <w:top w:val="single" w:sz="12" w:space="0" w:color="auto"/>
            </w:tcBorders>
            <w:shd w:val="clear" w:color="auto" w:fill="auto"/>
          </w:tcPr>
          <w:p w:rsidR="00167FEA" w:rsidRPr="00900C21" w:rsidRDefault="00167FEA" w:rsidP="00167FEA">
            <w:pPr>
              <w:pStyle w:val="FootnoteText"/>
            </w:pPr>
            <w:r w:rsidRPr="00F70E6A">
              <w:rPr>
                <w:sz w:val="18"/>
              </w:rPr>
              <w:t xml:space="preserve">*Two dose initiation regimens of 2-week duration were evaluated in this study; they both were followed by a maintenance period with </w:t>
            </w:r>
            <w:proofErr w:type="spellStart"/>
            <w:r w:rsidRPr="00F70E6A">
              <w:rPr>
                <w:sz w:val="18"/>
              </w:rPr>
              <w:t>lixisenatide</w:t>
            </w:r>
            <w:proofErr w:type="spellEnd"/>
            <w:r w:rsidRPr="00F70E6A">
              <w:rPr>
                <w:sz w:val="18"/>
              </w:rPr>
              <w:t xml:space="preserve"> 20 µg once daily. The one-step initiation (10 µg for two weeks) followed by 20 µg for maintenance is the regimen recommended for use</w:t>
            </w:r>
            <w:r w:rsidRPr="00900C21">
              <w:t>.</w:t>
            </w:r>
          </w:p>
          <w:p w:rsidR="00C74FCB" w:rsidRPr="005A2785" w:rsidRDefault="00C74FCB" w:rsidP="00C74FCB">
            <w:pPr>
              <w:pStyle w:val="TblFigFootnote"/>
            </w:pPr>
          </w:p>
        </w:tc>
      </w:tr>
    </w:tbl>
    <w:p w:rsidR="006B5C4C" w:rsidRDefault="00EE5868" w:rsidP="006B5C4C">
      <w:pPr>
        <w:outlineLvl w:val="0"/>
      </w:pPr>
      <w:r w:rsidRPr="008D4A3D">
        <w:t>In an active-controlled study</w:t>
      </w:r>
      <w:r w:rsidR="00A13781" w:rsidRPr="008D4A3D">
        <w:t xml:space="preserve"> in combination with </w:t>
      </w:r>
      <w:proofErr w:type="spellStart"/>
      <w:r w:rsidR="00A13781" w:rsidRPr="008D4A3D">
        <w:t>metformin</w:t>
      </w:r>
      <w:proofErr w:type="spellEnd"/>
      <w:r w:rsidRPr="008D4A3D">
        <w:t xml:space="preserve">, </w:t>
      </w:r>
      <w:proofErr w:type="spellStart"/>
      <w:r w:rsidRPr="008D4A3D">
        <w:t>lixisenatide</w:t>
      </w:r>
      <w:proofErr w:type="spellEnd"/>
      <w:r w:rsidRPr="008D4A3D">
        <w:t xml:space="preserve"> once daily showed a non inferior HbA1c reduction compared to </w:t>
      </w:r>
      <w:proofErr w:type="spellStart"/>
      <w:r w:rsidRPr="008D4A3D">
        <w:t>exenatide</w:t>
      </w:r>
      <w:proofErr w:type="spellEnd"/>
      <w:r w:rsidRPr="000B694E">
        <w:t xml:space="preserve"> twice daily at the end of the main 24-week treatment period (respectively - 0.79 % and -0.96%</w:t>
      </w:r>
      <w:r w:rsidR="000B694E">
        <w:t xml:space="preserve">, </w:t>
      </w:r>
      <w:r w:rsidR="000B694E" w:rsidRPr="00993A20">
        <w:t>with a mean treatment difference of 0.17% [95% CI: 0.033, 0.297</w:t>
      </w:r>
      <w:r w:rsidRPr="00993A20">
        <w:t>)</w:t>
      </w:r>
      <w:r w:rsidR="001378D3" w:rsidRPr="001378D3">
        <w:t>.</w:t>
      </w:r>
      <w:r w:rsidR="006B5C4C" w:rsidRPr="00993A20">
        <w:t xml:space="preserve"> </w:t>
      </w:r>
    </w:p>
    <w:p w:rsidR="00D70B5F" w:rsidRPr="00A72DC3" w:rsidRDefault="00E44C9B" w:rsidP="00E44C9B">
      <w:pPr>
        <w:pStyle w:val="Caption"/>
        <w:ind w:firstLine="720"/>
        <w:jc w:val="left"/>
        <w:rPr>
          <w:b w:val="0"/>
          <w:bCs w:val="0"/>
          <w:color w:val="000000"/>
        </w:rPr>
      </w:pPr>
      <w:r w:rsidRPr="00A72DC3">
        <w:rPr>
          <w:color w:val="000000"/>
        </w:rPr>
        <w:lastRenderedPageBreak/>
        <w:t>Table </w:t>
      </w:r>
      <w:r w:rsidR="00D70C28" w:rsidRPr="00A72DC3">
        <w:rPr>
          <w:color w:val="000000"/>
        </w:rPr>
        <w:fldChar w:fldCharType="begin"/>
      </w:r>
      <w:r w:rsidRPr="00A72DC3">
        <w:rPr>
          <w:color w:val="000000"/>
        </w:rPr>
        <w:instrText xml:space="preserve"> SEQ Table \* ARABIC </w:instrText>
      </w:r>
      <w:r w:rsidR="00D70C28" w:rsidRPr="00A72DC3">
        <w:rPr>
          <w:color w:val="000000"/>
        </w:rPr>
        <w:fldChar w:fldCharType="separate"/>
      </w:r>
      <w:r w:rsidR="00E2762E">
        <w:rPr>
          <w:noProof/>
          <w:color w:val="000000"/>
        </w:rPr>
        <w:t>2</w:t>
      </w:r>
      <w:r w:rsidR="00D70C28" w:rsidRPr="00A72DC3">
        <w:rPr>
          <w:color w:val="000000"/>
        </w:rPr>
        <w:fldChar w:fldCharType="end"/>
      </w:r>
      <w:r w:rsidRPr="00A72DC3">
        <w:rPr>
          <w:color w:val="000000"/>
        </w:rPr>
        <w:t xml:space="preserve"> ­ </w:t>
      </w:r>
      <w:r w:rsidRPr="00A72DC3">
        <w:rPr>
          <w:bCs w:val="0"/>
          <w:color w:val="000000"/>
        </w:rPr>
        <w:t xml:space="preserve">Active –controlled study in combination with </w:t>
      </w:r>
      <w:proofErr w:type="spellStart"/>
      <w:r w:rsidRPr="00A72DC3">
        <w:rPr>
          <w:bCs w:val="0"/>
          <w:color w:val="000000"/>
        </w:rPr>
        <w:t>metformin</w:t>
      </w:r>
      <w:proofErr w:type="spellEnd"/>
      <w:r w:rsidRPr="00A72DC3">
        <w:rPr>
          <w:bCs w:val="0"/>
          <w:color w:val="000000"/>
        </w:rPr>
        <w:t xml:space="preserve"> (24-week results)</w:t>
      </w:r>
    </w:p>
    <w:tbl>
      <w:tblPr>
        <w:tblW w:w="0" w:type="auto"/>
        <w:jc w:val="center"/>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5"/>
        <w:gridCol w:w="2040"/>
        <w:gridCol w:w="1833"/>
      </w:tblGrid>
      <w:tr w:rsidR="00D70B5F" w:rsidRPr="00A72DC3" w:rsidTr="00696FC5">
        <w:trPr>
          <w:jc w:val="center"/>
        </w:trPr>
        <w:tc>
          <w:tcPr>
            <w:tcW w:w="3045" w:type="dxa"/>
            <w:tcBorders>
              <w:top w:val="single" w:sz="8" w:space="0" w:color="auto"/>
              <w:left w:val="nil"/>
              <w:bottom w:val="single" w:sz="8" w:space="0" w:color="auto"/>
              <w:right w:val="nil"/>
            </w:tcBorders>
          </w:tcPr>
          <w:p w:rsidR="00D70B5F" w:rsidRPr="00A72DC3" w:rsidRDefault="00D70B5F" w:rsidP="00696FC5">
            <w:pPr>
              <w:autoSpaceDE w:val="0"/>
              <w:autoSpaceDN w:val="0"/>
              <w:adjustRightInd w:val="0"/>
              <w:jc w:val="center"/>
            </w:pPr>
          </w:p>
        </w:tc>
        <w:tc>
          <w:tcPr>
            <w:tcW w:w="3873" w:type="dxa"/>
            <w:gridSpan w:val="2"/>
            <w:tcBorders>
              <w:top w:val="single" w:sz="8" w:space="0" w:color="auto"/>
              <w:left w:val="nil"/>
              <w:bottom w:val="single" w:sz="8" w:space="0" w:color="auto"/>
              <w:right w:val="nil"/>
            </w:tcBorders>
          </w:tcPr>
          <w:p w:rsidR="00D70B5F" w:rsidRPr="00A72DC3" w:rsidRDefault="00D70B5F" w:rsidP="00D70B5F">
            <w:pPr>
              <w:pStyle w:val="TblHeadingCenter"/>
              <w:rPr>
                <w:color w:val="000000"/>
                <w:lang w:val="en-US"/>
              </w:rPr>
            </w:pPr>
            <w:r w:rsidRPr="00A72DC3">
              <w:rPr>
                <w:color w:val="000000"/>
                <w:lang w:val="en-US"/>
              </w:rPr>
              <w:t>Metformin as background therapy</w:t>
            </w:r>
          </w:p>
        </w:tc>
      </w:tr>
      <w:tr w:rsidR="00D70B5F" w:rsidRPr="00A72DC3" w:rsidTr="00696FC5">
        <w:trPr>
          <w:jc w:val="center"/>
        </w:trPr>
        <w:tc>
          <w:tcPr>
            <w:tcW w:w="3045" w:type="dxa"/>
            <w:tcBorders>
              <w:top w:val="single" w:sz="8" w:space="0" w:color="auto"/>
              <w:left w:val="nil"/>
              <w:bottom w:val="nil"/>
              <w:right w:val="nil"/>
            </w:tcBorders>
          </w:tcPr>
          <w:p w:rsidR="00D70B5F" w:rsidRPr="00A72DC3" w:rsidRDefault="00D70B5F" w:rsidP="00696FC5">
            <w:pPr>
              <w:autoSpaceDE w:val="0"/>
              <w:autoSpaceDN w:val="0"/>
              <w:adjustRightInd w:val="0"/>
              <w:jc w:val="center"/>
            </w:pPr>
          </w:p>
        </w:tc>
        <w:tc>
          <w:tcPr>
            <w:tcW w:w="2040" w:type="dxa"/>
            <w:tcBorders>
              <w:top w:val="single" w:sz="8" w:space="0" w:color="auto"/>
              <w:left w:val="nil"/>
              <w:bottom w:val="nil"/>
              <w:right w:val="nil"/>
            </w:tcBorders>
          </w:tcPr>
          <w:p w:rsidR="00D70B5F" w:rsidRPr="00A72DC3" w:rsidRDefault="00D70B5F" w:rsidP="00696FC5">
            <w:pPr>
              <w:keepNext/>
              <w:autoSpaceDE w:val="0"/>
              <w:autoSpaceDN w:val="0"/>
              <w:adjustRightInd w:val="0"/>
              <w:jc w:val="center"/>
              <w:rPr>
                <w:rFonts w:ascii="Arial Narrow" w:eastAsia="MS Gothic" w:hAnsi="Arial Narrow"/>
                <w:sz w:val="20"/>
                <w:szCs w:val="20"/>
              </w:rPr>
            </w:pPr>
            <w:proofErr w:type="spellStart"/>
            <w:r w:rsidRPr="00A72DC3">
              <w:rPr>
                <w:rFonts w:ascii="Arial Narrow" w:eastAsia="MS Gothic" w:hAnsi="Arial Narrow"/>
                <w:sz w:val="20"/>
                <w:szCs w:val="20"/>
              </w:rPr>
              <w:t>Lixisenatide</w:t>
            </w:r>
            <w:proofErr w:type="spellEnd"/>
            <w:r w:rsidRPr="00A72DC3">
              <w:rPr>
                <w:rFonts w:ascii="Arial Narrow" w:eastAsia="MS Gothic" w:hAnsi="Arial Narrow"/>
                <w:sz w:val="20"/>
                <w:szCs w:val="20"/>
              </w:rPr>
              <w:t xml:space="preserve"> 20mcg once daily</w:t>
            </w:r>
          </w:p>
          <w:p w:rsidR="00D70B5F" w:rsidRPr="00A72DC3" w:rsidRDefault="00D70B5F" w:rsidP="00696FC5">
            <w:pPr>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(N= 31</w:t>
            </w:r>
            <w:r w:rsidR="001622D0" w:rsidRPr="00A72DC3">
              <w:rPr>
                <w:rFonts w:ascii="Arial Narrow" w:eastAsia="MS Gothic" w:hAnsi="Arial Narrow"/>
                <w:sz w:val="20"/>
                <w:szCs w:val="20"/>
              </w:rPr>
              <w:t>5</w:t>
            </w:r>
            <w:r w:rsidRPr="00A72DC3">
              <w:rPr>
                <w:rFonts w:ascii="Arial Narrow" w:eastAsia="MS Gothic" w:hAnsi="Arial Narrow"/>
                <w:sz w:val="20"/>
                <w:szCs w:val="20"/>
              </w:rPr>
              <w:t>)</w:t>
            </w:r>
          </w:p>
        </w:tc>
        <w:tc>
          <w:tcPr>
            <w:tcW w:w="1833" w:type="dxa"/>
            <w:tcBorders>
              <w:top w:val="single" w:sz="8" w:space="0" w:color="auto"/>
              <w:left w:val="nil"/>
              <w:bottom w:val="nil"/>
              <w:right w:val="nil"/>
            </w:tcBorders>
          </w:tcPr>
          <w:p w:rsidR="00D70B5F" w:rsidRPr="00A72DC3" w:rsidRDefault="00D70B5F" w:rsidP="00696FC5">
            <w:pPr>
              <w:keepNext/>
              <w:autoSpaceDE w:val="0"/>
              <w:autoSpaceDN w:val="0"/>
              <w:adjustRightInd w:val="0"/>
              <w:jc w:val="center"/>
              <w:rPr>
                <w:rFonts w:ascii="Arial Narrow" w:eastAsia="MS Gothic" w:hAnsi="Arial Narrow"/>
                <w:sz w:val="20"/>
                <w:szCs w:val="20"/>
              </w:rPr>
            </w:pPr>
            <w:proofErr w:type="spellStart"/>
            <w:r w:rsidRPr="00A72DC3">
              <w:rPr>
                <w:rFonts w:ascii="Arial Narrow" w:eastAsia="MS Gothic" w:hAnsi="Arial Narrow"/>
                <w:sz w:val="20"/>
                <w:szCs w:val="20"/>
              </w:rPr>
              <w:t>Exenatide</w:t>
            </w:r>
            <w:proofErr w:type="spellEnd"/>
            <w:r w:rsidRPr="00A72DC3">
              <w:rPr>
                <w:rFonts w:ascii="Arial Narrow" w:eastAsia="MS Gothic" w:hAnsi="Arial Narrow"/>
                <w:sz w:val="20"/>
                <w:szCs w:val="20"/>
              </w:rPr>
              <w:t xml:space="preserve"> 10 mcg twice daily </w:t>
            </w:r>
          </w:p>
          <w:p w:rsidR="00D70B5F" w:rsidRPr="00A72DC3" w:rsidRDefault="00D70B5F" w:rsidP="00696FC5">
            <w:pPr>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(N= 3</w:t>
            </w:r>
            <w:r w:rsidR="001622D0" w:rsidRPr="00A72DC3">
              <w:rPr>
                <w:rFonts w:ascii="Arial Narrow" w:eastAsia="MS Gothic" w:hAnsi="Arial Narrow"/>
                <w:sz w:val="20"/>
                <w:szCs w:val="20"/>
              </w:rPr>
              <w:t>1</w:t>
            </w:r>
            <w:r w:rsidRPr="00A72DC3">
              <w:rPr>
                <w:rFonts w:ascii="Arial Narrow" w:eastAsia="MS Gothic" w:hAnsi="Arial Narrow"/>
                <w:sz w:val="20"/>
                <w:szCs w:val="20"/>
              </w:rPr>
              <w:t>5)</w:t>
            </w:r>
          </w:p>
        </w:tc>
      </w:tr>
      <w:tr w:rsidR="00D70B5F" w:rsidRPr="00A72DC3" w:rsidTr="00696FC5">
        <w:trPr>
          <w:jc w:val="center"/>
        </w:trPr>
        <w:tc>
          <w:tcPr>
            <w:tcW w:w="3045" w:type="dxa"/>
            <w:tcBorders>
              <w:top w:val="nil"/>
              <w:left w:val="nil"/>
              <w:bottom w:val="nil"/>
              <w:right w:val="nil"/>
            </w:tcBorders>
          </w:tcPr>
          <w:p w:rsidR="00D70B5F" w:rsidRPr="00A72DC3" w:rsidRDefault="00D70B5F" w:rsidP="00696FC5">
            <w:pPr>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Mean HbA1c (%)</w:t>
            </w:r>
          </w:p>
          <w:p w:rsidR="00D70B5F" w:rsidRPr="00A72DC3" w:rsidRDefault="00D70B5F" w:rsidP="00696FC5">
            <w:pPr>
              <w:autoSpaceDE w:val="0"/>
              <w:autoSpaceDN w:val="0"/>
              <w:adjustRightInd w:val="0"/>
              <w:spacing w:before="0"/>
              <w:jc w:val="center"/>
              <w:rPr>
                <w:rFonts w:ascii="Arial Narrow" w:eastAsia="MS Gothic" w:hAnsi="Arial Narrow"/>
                <w:sz w:val="20"/>
                <w:szCs w:val="20"/>
              </w:rPr>
            </w:pPr>
            <w:r w:rsidRPr="00A72DC3">
              <w:rPr>
                <w:rFonts w:ascii="Arial Narrow" w:eastAsia="MS Gothic" w:hAnsi="Arial Narrow"/>
                <w:sz w:val="20"/>
                <w:szCs w:val="20"/>
              </w:rPr>
              <w:t>Baseline</w:t>
            </w:r>
          </w:p>
          <w:p w:rsidR="00D70B5F" w:rsidRPr="00A72DC3" w:rsidRDefault="00D70B5F" w:rsidP="00696FC5">
            <w:pPr>
              <w:autoSpaceDE w:val="0"/>
              <w:autoSpaceDN w:val="0"/>
              <w:adjustRightInd w:val="0"/>
              <w:ind w:left="240"/>
              <w:jc w:val="center"/>
              <w:rPr>
                <w:rFonts w:ascii="Arial Narrow" w:eastAsia="MS Gothic" w:hAnsi="Arial Narrow"/>
                <w:sz w:val="20"/>
                <w:szCs w:val="20"/>
              </w:rPr>
            </w:pPr>
            <w:r w:rsidRPr="00A72DC3">
              <w:rPr>
                <w:rFonts w:ascii="Arial Narrow" w:eastAsia="MS Gothic" w:hAnsi="Arial Narrow"/>
                <w:sz w:val="20"/>
                <w:szCs w:val="20"/>
              </w:rPr>
              <w:t>LS mean change from baseline</w:t>
            </w:r>
          </w:p>
        </w:tc>
        <w:tc>
          <w:tcPr>
            <w:tcW w:w="2040" w:type="dxa"/>
            <w:tcBorders>
              <w:top w:val="nil"/>
              <w:left w:val="nil"/>
              <w:bottom w:val="nil"/>
              <w:right w:val="nil"/>
            </w:tcBorders>
          </w:tcPr>
          <w:p w:rsidR="00D70B5F" w:rsidRPr="00A72DC3" w:rsidRDefault="00D70B5F" w:rsidP="00696FC5">
            <w:pPr>
              <w:keepNext/>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7.97</w:t>
            </w:r>
          </w:p>
          <w:p w:rsidR="00D70B5F" w:rsidRPr="00A72DC3" w:rsidRDefault="00D70B5F" w:rsidP="00696FC5">
            <w:pPr>
              <w:keepNext/>
              <w:autoSpaceDE w:val="0"/>
              <w:autoSpaceDN w:val="0"/>
              <w:adjustRightInd w:val="0"/>
              <w:spacing w:before="0"/>
              <w:jc w:val="center"/>
              <w:rPr>
                <w:rFonts w:ascii="Arial Narrow" w:eastAsia="MS Gothic" w:hAnsi="Arial Narrow"/>
                <w:sz w:val="20"/>
                <w:szCs w:val="20"/>
              </w:rPr>
            </w:pPr>
          </w:p>
          <w:p w:rsidR="00D70B5F" w:rsidRPr="00A72DC3" w:rsidRDefault="00D70B5F" w:rsidP="00696FC5">
            <w:pPr>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-0.79</w:t>
            </w:r>
          </w:p>
        </w:tc>
        <w:tc>
          <w:tcPr>
            <w:tcW w:w="1833" w:type="dxa"/>
            <w:tcBorders>
              <w:top w:val="nil"/>
              <w:left w:val="nil"/>
              <w:bottom w:val="nil"/>
              <w:right w:val="nil"/>
            </w:tcBorders>
          </w:tcPr>
          <w:p w:rsidR="00D70B5F" w:rsidRPr="00A72DC3" w:rsidRDefault="00D70B5F" w:rsidP="00696FC5">
            <w:pPr>
              <w:keepNext/>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7.96</w:t>
            </w:r>
          </w:p>
          <w:p w:rsidR="00D70B5F" w:rsidRPr="00A72DC3" w:rsidRDefault="00D70B5F" w:rsidP="00696FC5">
            <w:pPr>
              <w:keepNext/>
              <w:autoSpaceDE w:val="0"/>
              <w:autoSpaceDN w:val="0"/>
              <w:adjustRightInd w:val="0"/>
              <w:spacing w:before="0"/>
              <w:jc w:val="center"/>
              <w:rPr>
                <w:rFonts w:ascii="Arial Narrow" w:eastAsia="MS Gothic" w:hAnsi="Arial Narrow"/>
                <w:sz w:val="20"/>
                <w:szCs w:val="20"/>
              </w:rPr>
            </w:pPr>
          </w:p>
          <w:p w:rsidR="00D70B5F" w:rsidRPr="00A72DC3" w:rsidRDefault="00D70B5F" w:rsidP="00696FC5">
            <w:pPr>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-0.96</w:t>
            </w:r>
          </w:p>
        </w:tc>
      </w:tr>
      <w:tr w:rsidR="00D70B5F" w:rsidRPr="00A72DC3" w:rsidTr="00696FC5">
        <w:trPr>
          <w:jc w:val="center"/>
        </w:trPr>
        <w:tc>
          <w:tcPr>
            <w:tcW w:w="3045" w:type="dxa"/>
            <w:tcBorders>
              <w:top w:val="nil"/>
              <w:left w:val="nil"/>
              <w:bottom w:val="nil"/>
              <w:right w:val="nil"/>
            </w:tcBorders>
          </w:tcPr>
          <w:p w:rsidR="00D70B5F" w:rsidRPr="00A72DC3" w:rsidRDefault="00D70B5F" w:rsidP="00696FC5">
            <w:pPr>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Patients ( %) achieving HbA1c &lt; 7.0%</w:t>
            </w:r>
          </w:p>
        </w:tc>
        <w:tc>
          <w:tcPr>
            <w:tcW w:w="2040" w:type="dxa"/>
            <w:tcBorders>
              <w:top w:val="nil"/>
              <w:left w:val="nil"/>
              <w:bottom w:val="nil"/>
              <w:right w:val="nil"/>
            </w:tcBorders>
          </w:tcPr>
          <w:p w:rsidR="00D70B5F" w:rsidRPr="00A72DC3" w:rsidRDefault="00D70B5F" w:rsidP="00696FC5">
            <w:pPr>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48.5</w:t>
            </w:r>
          </w:p>
        </w:tc>
        <w:tc>
          <w:tcPr>
            <w:tcW w:w="1833" w:type="dxa"/>
            <w:tcBorders>
              <w:top w:val="nil"/>
              <w:left w:val="nil"/>
              <w:bottom w:val="nil"/>
              <w:right w:val="nil"/>
            </w:tcBorders>
          </w:tcPr>
          <w:p w:rsidR="00D70B5F" w:rsidRPr="00A72DC3" w:rsidRDefault="00D70B5F" w:rsidP="00696FC5">
            <w:pPr>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49.8%</w:t>
            </w:r>
          </w:p>
        </w:tc>
      </w:tr>
      <w:tr w:rsidR="00D70B5F" w:rsidRPr="00A72DC3" w:rsidTr="00696FC5">
        <w:trPr>
          <w:jc w:val="center"/>
        </w:trPr>
        <w:tc>
          <w:tcPr>
            <w:tcW w:w="3045" w:type="dxa"/>
            <w:tcBorders>
              <w:top w:val="nil"/>
              <w:left w:val="nil"/>
              <w:bottom w:val="single" w:sz="4" w:space="0" w:color="auto"/>
              <w:right w:val="nil"/>
            </w:tcBorders>
          </w:tcPr>
          <w:p w:rsidR="00D70B5F" w:rsidRPr="00A72DC3" w:rsidRDefault="00D70B5F" w:rsidP="00696FC5">
            <w:pPr>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Mean body weight (kg)</w:t>
            </w:r>
          </w:p>
          <w:p w:rsidR="00D70B5F" w:rsidRPr="00A72DC3" w:rsidRDefault="00D70B5F" w:rsidP="00696FC5">
            <w:pPr>
              <w:autoSpaceDE w:val="0"/>
              <w:autoSpaceDN w:val="0"/>
              <w:adjustRightInd w:val="0"/>
              <w:spacing w:before="0"/>
              <w:ind w:left="238"/>
              <w:jc w:val="center"/>
              <w:rPr>
                <w:rFonts w:ascii="Arial Narrow" w:eastAsia="MS Gothic" w:hAnsi="Arial Narrow"/>
                <w:sz w:val="20"/>
                <w:szCs w:val="20"/>
              </w:rPr>
            </w:pPr>
            <w:r w:rsidRPr="00A72DC3">
              <w:rPr>
                <w:rFonts w:ascii="Arial Narrow" w:eastAsia="MS Gothic" w:hAnsi="Arial Narrow"/>
                <w:sz w:val="20"/>
                <w:szCs w:val="20"/>
              </w:rPr>
              <w:t>Baseline</w:t>
            </w:r>
          </w:p>
          <w:p w:rsidR="00D70B5F" w:rsidRPr="00A72DC3" w:rsidRDefault="00D70B5F" w:rsidP="00696FC5">
            <w:pPr>
              <w:autoSpaceDE w:val="0"/>
              <w:autoSpaceDN w:val="0"/>
              <w:adjustRightInd w:val="0"/>
              <w:ind w:left="240"/>
              <w:jc w:val="center"/>
              <w:rPr>
                <w:rFonts w:ascii="Arial Narrow" w:eastAsia="MS Gothic" w:hAnsi="Arial Narrow"/>
                <w:sz w:val="20"/>
                <w:szCs w:val="20"/>
              </w:rPr>
            </w:pPr>
            <w:r w:rsidRPr="00A72DC3">
              <w:rPr>
                <w:rFonts w:ascii="Arial Narrow" w:eastAsia="MS Gothic" w:hAnsi="Arial Narrow"/>
                <w:sz w:val="20"/>
                <w:szCs w:val="20"/>
              </w:rPr>
              <w:t>LS mean change from baseline</w:t>
            </w:r>
          </w:p>
        </w:tc>
        <w:tc>
          <w:tcPr>
            <w:tcW w:w="2040" w:type="dxa"/>
            <w:tcBorders>
              <w:top w:val="nil"/>
              <w:left w:val="nil"/>
              <w:bottom w:val="single" w:sz="4" w:space="0" w:color="auto"/>
              <w:right w:val="nil"/>
            </w:tcBorders>
          </w:tcPr>
          <w:p w:rsidR="00D70B5F" w:rsidRPr="00A72DC3" w:rsidRDefault="00D70B5F" w:rsidP="00696FC5">
            <w:pPr>
              <w:keepNext/>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94.51</w:t>
            </w:r>
          </w:p>
          <w:p w:rsidR="00D70B5F" w:rsidRPr="00A72DC3" w:rsidRDefault="00D70B5F" w:rsidP="00696FC5">
            <w:pPr>
              <w:keepNext/>
              <w:autoSpaceDE w:val="0"/>
              <w:autoSpaceDN w:val="0"/>
              <w:adjustRightInd w:val="0"/>
              <w:spacing w:before="0"/>
              <w:jc w:val="center"/>
              <w:rPr>
                <w:rFonts w:ascii="Arial Narrow" w:eastAsia="MS Gothic" w:hAnsi="Arial Narrow"/>
                <w:sz w:val="20"/>
                <w:szCs w:val="20"/>
              </w:rPr>
            </w:pPr>
          </w:p>
          <w:p w:rsidR="00D70B5F" w:rsidRPr="00A72DC3" w:rsidRDefault="00D70B5F" w:rsidP="00696FC5">
            <w:pPr>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-2.96</w:t>
            </w:r>
          </w:p>
        </w:tc>
        <w:tc>
          <w:tcPr>
            <w:tcW w:w="1833" w:type="dxa"/>
            <w:tcBorders>
              <w:top w:val="nil"/>
              <w:left w:val="nil"/>
              <w:bottom w:val="single" w:sz="4" w:space="0" w:color="auto"/>
              <w:right w:val="nil"/>
            </w:tcBorders>
          </w:tcPr>
          <w:p w:rsidR="00D70B5F" w:rsidRPr="00A72DC3" w:rsidRDefault="00D70B5F" w:rsidP="00696FC5">
            <w:pPr>
              <w:keepNext/>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96.69</w:t>
            </w:r>
          </w:p>
          <w:p w:rsidR="00D70B5F" w:rsidRPr="00A72DC3" w:rsidRDefault="00D70B5F" w:rsidP="00696FC5">
            <w:pPr>
              <w:keepNext/>
              <w:autoSpaceDE w:val="0"/>
              <w:autoSpaceDN w:val="0"/>
              <w:adjustRightInd w:val="0"/>
              <w:spacing w:before="0"/>
              <w:jc w:val="center"/>
              <w:rPr>
                <w:rFonts w:ascii="Arial Narrow" w:eastAsia="MS Gothic" w:hAnsi="Arial Narrow"/>
                <w:sz w:val="20"/>
                <w:szCs w:val="20"/>
              </w:rPr>
            </w:pPr>
          </w:p>
          <w:p w:rsidR="00D70B5F" w:rsidRPr="00A72DC3" w:rsidRDefault="00D70B5F" w:rsidP="00696FC5">
            <w:pPr>
              <w:autoSpaceDE w:val="0"/>
              <w:autoSpaceDN w:val="0"/>
              <w:adjustRightInd w:val="0"/>
              <w:jc w:val="center"/>
              <w:rPr>
                <w:rFonts w:ascii="Arial Narrow" w:eastAsia="MS Gothic" w:hAnsi="Arial Narrow"/>
                <w:sz w:val="20"/>
                <w:szCs w:val="20"/>
              </w:rPr>
            </w:pPr>
            <w:r w:rsidRPr="00A72DC3">
              <w:rPr>
                <w:rFonts w:ascii="Arial Narrow" w:eastAsia="MS Gothic" w:hAnsi="Arial Narrow"/>
                <w:sz w:val="20"/>
                <w:szCs w:val="20"/>
              </w:rPr>
              <w:t>-3.98</w:t>
            </w:r>
          </w:p>
        </w:tc>
      </w:tr>
      <w:tr w:rsidR="00D70B5F" w:rsidRPr="00A72DC3" w:rsidTr="00696FC5">
        <w:trPr>
          <w:jc w:val="center"/>
        </w:trPr>
        <w:tc>
          <w:tcPr>
            <w:tcW w:w="3045" w:type="dxa"/>
            <w:tcBorders>
              <w:top w:val="single" w:sz="4" w:space="0" w:color="auto"/>
              <w:left w:val="nil"/>
              <w:bottom w:val="nil"/>
              <w:right w:val="nil"/>
            </w:tcBorders>
          </w:tcPr>
          <w:p w:rsidR="00D70B5F" w:rsidRPr="00A72DC3" w:rsidRDefault="00D70B5F" w:rsidP="00696FC5">
            <w:pPr>
              <w:autoSpaceDE w:val="0"/>
              <w:autoSpaceDN w:val="0"/>
              <w:adjustRightInd w:val="0"/>
              <w:rPr>
                <w:rFonts w:ascii="Arial Narrow" w:eastAsia="MS Gothic" w:hAnsi="Arial Narrow"/>
                <w:sz w:val="20"/>
                <w:szCs w:val="20"/>
              </w:rPr>
            </w:pPr>
          </w:p>
        </w:tc>
        <w:tc>
          <w:tcPr>
            <w:tcW w:w="2040" w:type="dxa"/>
            <w:tcBorders>
              <w:top w:val="single" w:sz="4" w:space="0" w:color="auto"/>
              <w:left w:val="nil"/>
              <w:bottom w:val="nil"/>
              <w:right w:val="nil"/>
            </w:tcBorders>
          </w:tcPr>
          <w:p w:rsidR="00D70B5F" w:rsidRPr="00A72DC3" w:rsidRDefault="00D70B5F" w:rsidP="00696FC5">
            <w:pPr>
              <w:keepNext/>
              <w:autoSpaceDE w:val="0"/>
              <w:autoSpaceDN w:val="0"/>
              <w:adjustRightInd w:val="0"/>
              <w:rPr>
                <w:rFonts w:ascii="Arial Narrow" w:eastAsia="MS Gothic" w:hAnsi="Arial Narrow"/>
                <w:sz w:val="20"/>
                <w:szCs w:val="20"/>
              </w:rPr>
            </w:pPr>
          </w:p>
        </w:tc>
        <w:tc>
          <w:tcPr>
            <w:tcW w:w="1833" w:type="dxa"/>
            <w:tcBorders>
              <w:top w:val="single" w:sz="4" w:space="0" w:color="auto"/>
              <w:left w:val="nil"/>
              <w:bottom w:val="nil"/>
              <w:right w:val="nil"/>
            </w:tcBorders>
          </w:tcPr>
          <w:p w:rsidR="00D70B5F" w:rsidRPr="00A72DC3" w:rsidRDefault="00D70B5F" w:rsidP="00696FC5">
            <w:pPr>
              <w:keepNext/>
              <w:autoSpaceDE w:val="0"/>
              <w:autoSpaceDN w:val="0"/>
              <w:adjustRightInd w:val="0"/>
              <w:rPr>
                <w:rFonts w:ascii="Arial Narrow" w:eastAsia="MS Gothic" w:hAnsi="Arial Narrow"/>
                <w:sz w:val="20"/>
                <w:szCs w:val="20"/>
              </w:rPr>
            </w:pPr>
          </w:p>
        </w:tc>
      </w:tr>
    </w:tbl>
    <w:p w:rsidR="00EE5868" w:rsidRDefault="000D15D4" w:rsidP="00EE5868">
      <w:pPr>
        <w:pStyle w:val="Heading4"/>
        <w:numPr>
          <w:ilvl w:val="0"/>
          <w:numId w:val="0"/>
        </w:numPr>
      </w:pPr>
      <w:bookmarkStart w:id="36" w:name="_Toc310954955"/>
      <w:r>
        <w:t>Add-on treatment</w:t>
      </w:r>
      <w:bookmarkEnd w:id="36"/>
      <w:r w:rsidR="009E2476">
        <w:t xml:space="preserve"> </w:t>
      </w:r>
      <w:r w:rsidR="00184AE5">
        <w:t xml:space="preserve">with </w:t>
      </w:r>
      <w:proofErr w:type="spellStart"/>
      <w:r w:rsidR="007B0E04">
        <w:t>metformin</w:t>
      </w:r>
      <w:proofErr w:type="spellEnd"/>
      <w:r w:rsidR="007B0E04">
        <w:t xml:space="preserve"> and a </w:t>
      </w:r>
      <w:proofErr w:type="spellStart"/>
      <w:r w:rsidR="007B0E04">
        <w:t>sulphonylurea</w:t>
      </w:r>
      <w:proofErr w:type="spellEnd"/>
    </w:p>
    <w:p w:rsidR="00EE5868" w:rsidRDefault="00EE5868" w:rsidP="00EE5868">
      <w:pPr>
        <w:pStyle w:val="Caption"/>
      </w:pPr>
      <w:r>
        <w:t xml:space="preserve"> </w:t>
      </w:r>
      <w:bookmarkStart w:id="37" w:name="_Ref310894493"/>
      <w:bookmarkStart w:id="38" w:name="_Toc310955009"/>
      <w:r>
        <w:t>Table </w:t>
      </w:r>
      <w:fldSimple w:instr=" SEQ Table \* ARABIC ">
        <w:r w:rsidR="00E2762E">
          <w:rPr>
            <w:noProof/>
          </w:rPr>
          <w:t>3</w:t>
        </w:r>
      </w:fldSimple>
      <w:bookmarkEnd w:id="37"/>
      <w:r>
        <w:t xml:space="preserve"> ­  </w:t>
      </w:r>
      <w:r w:rsidRPr="00EE5868">
        <w:t xml:space="preserve">Placebo –controlled study in combination with a </w:t>
      </w:r>
      <w:proofErr w:type="spellStart"/>
      <w:r w:rsidRPr="00EE5868">
        <w:t>sulphonylurea</w:t>
      </w:r>
      <w:proofErr w:type="spellEnd"/>
      <w:r w:rsidRPr="00EE5868">
        <w:t xml:space="preserve"> (24-week results)</w:t>
      </w:r>
      <w:bookmarkEnd w:id="38"/>
    </w:p>
    <w:tbl>
      <w:tblPr>
        <w:tblW w:w="0" w:type="auto"/>
        <w:jc w:val="center"/>
        <w:tblBorders>
          <w:top w:val="single" w:sz="2" w:space="0" w:color="000000"/>
        </w:tblBorders>
        <w:tblLook w:val="01E0"/>
      </w:tblPr>
      <w:tblGrid>
        <w:gridCol w:w="2992"/>
        <w:gridCol w:w="1809"/>
        <w:gridCol w:w="995"/>
      </w:tblGrid>
      <w:tr w:rsidR="00EE5868" w:rsidRPr="00F70E6A" w:rsidTr="00F70E6A">
        <w:trPr>
          <w:cantSplit/>
          <w:trHeight w:val="561"/>
          <w:tblHeader/>
          <w:jc w:val="center"/>
        </w:trPr>
        <w:tc>
          <w:tcPr>
            <w:tcW w:w="0" w:type="auto"/>
            <w:tcBorders>
              <w:top w:val="single" w:sz="4" w:space="0" w:color="000000"/>
              <w:bottom w:val="single" w:sz="4" w:space="0" w:color="000000"/>
            </w:tcBorders>
            <w:shd w:val="clear" w:color="auto" w:fill="auto"/>
          </w:tcPr>
          <w:p w:rsidR="00EE5868" w:rsidRPr="00F70E6A" w:rsidRDefault="00EE5868" w:rsidP="00C74FCB">
            <w:pPr>
              <w:pStyle w:val="TblHeadingCenter"/>
              <w:rPr>
                <w:lang w:val="en-US"/>
              </w:rPr>
            </w:pPr>
          </w:p>
          <w:p w:rsidR="00EE5868" w:rsidRPr="00F70E6A" w:rsidRDefault="00EE5868" w:rsidP="00C74FCB">
            <w:pPr>
              <w:pStyle w:val="TblHeadingCenter"/>
              <w:rPr>
                <w:lang w:val="en-US"/>
              </w:rPr>
            </w:pPr>
          </w:p>
        </w:tc>
        <w:tc>
          <w:tcPr>
            <w:tcW w:w="0" w:type="auto"/>
            <w:gridSpan w:val="2"/>
            <w:tcBorders>
              <w:top w:val="single" w:sz="4" w:space="0" w:color="000000"/>
              <w:bottom w:val="single" w:sz="4" w:space="0" w:color="000000"/>
            </w:tcBorders>
            <w:shd w:val="clear" w:color="auto" w:fill="auto"/>
          </w:tcPr>
          <w:p w:rsidR="00EE5868" w:rsidRPr="00F70E6A" w:rsidRDefault="00EE5868" w:rsidP="00C74FCB">
            <w:pPr>
              <w:pStyle w:val="TblHeadingCenter"/>
              <w:rPr>
                <w:lang w:val="en-US"/>
              </w:rPr>
            </w:pPr>
            <w:r w:rsidRPr="007B0E04">
              <w:rPr>
                <w:lang w:val="en-US"/>
              </w:rPr>
              <w:t xml:space="preserve">Sulphonylurea </w:t>
            </w:r>
            <w:r w:rsidR="00532C14" w:rsidRPr="005600B2">
              <w:rPr>
                <w:lang w:val="en-US"/>
              </w:rPr>
              <w:t>± metformin</w:t>
            </w:r>
          </w:p>
        </w:tc>
      </w:tr>
      <w:tr w:rsidR="00EE5868" w:rsidRPr="00F70E6A" w:rsidTr="00F70E6A">
        <w:trPr>
          <w:cantSplit/>
          <w:trHeight w:val="126"/>
          <w:jc w:val="center"/>
        </w:trPr>
        <w:tc>
          <w:tcPr>
            <w:tcW w:w="0" w:type="auto"/>
            <w:tcBorders>
              <w:top w:val="single" w:sz="4" w:space="0" w:color="000000"/>
            </w:tcBorders>
            <w:shd w:val="clear" w:color="auto" w:fill="auto"/>
          </w:tcPr>
          <w:p w:rsidR="00EE5868" w:rsidRPr="00C74FCB" w:rsidRDefault="00EE5868" w:rsidP="00C74FCB">
            <w:pPr>
              <w:pStyle w:val="TblTextCenter"/>
            </w:pPr>
          </w:p>
        </w:tc>
        <w:tc>
          <w:tcPr>
            <w:tcW w:w="0" w:type="auto"/>
            <w:tcBorders>
              <w:top w:val="single" w:sz="4" w:space="0" w:color="000000"/>
            </w:tcBorders>
            <w:shd w:val="clear" w:color="auto" w:fill="auto"/>
          </w:tcPr>
          <w:p w:rsidR="00EE5868" w:rsidRPr="00C74FCB" w:rsidRDefault="00EE5868" w:rsidP="00C74FCB">
            <w:pPr>
              <w:pStyle w:val="TblTextCenter"/>
            </w:pPr>
            <w:proofErr w:type="spellStart"/>
            <w:r w:rsidRPr="00C74FCB">
              <w:t>Lixisenatide</w:t>
            </w:r>
            <w:proofErr w:type="spellEnd"/>
            <w:r w:rsidRPr="00C74FCB">
              <w:t xml:space="preserve"> 20 µg</w:t>
            </w:r>
          </w:p>
          <w:p w:rsidR="00EE5868" w:rsidRPr="00C74FCB" w:rsidRDefault="00EE5868" w:rsidP="00C74FCB">
            <w:pPr>
              <w:pStyle w:val="TblTextCenter"/>
            </w:pPr>
            <w:r w:rsidRPr="00C74FCB">
              <w:t>(N= 570)</w:t>
            </w:r>
          </w:p>
        </w:tc>
        <w:tc>
          <w:tcPr>
            <w:tcW w:w="0" w:type="auto"/>
            <w:tcBorders>
              <w:top w:val="single" w:sz="4" w:space="0" w:color="000000"/>
            </w:tcBorders>
            <w:shd w:val="clear" w:color="auto" w:fill="auto"/>
          </w:tcPr>
          <w:p w:rsidR="00EE5868" w:rsidRPr="00C74FCB" w:rsidRDefault="00EE5868" w:rsidP="00C74FCB">
            <w:pPr>
              <w:pStyle w:val="TblTextCenter"/>
            </w:pPr>
            <w:r w:rsidRPr="00C74FCB">
              <w:t>Placebo</w:t>
            </w:r>
          </w:p>
          <w:p w:rsidR="00EE5868" w:rsidRPr="00C74FCB" w:rsidRDefault="00EE5868" w:rsidP="00C74FCB">
            <w:pPr>
              <w:pStyle w:val="TblTextCenter"/>
            </w:pPr>
            <w:r w:rsidRPr="00C74FCB">
              <w:t>(N= 286)</w:t>
            </w:r>
          </w:p>
        </w:tc>
      </w:tr>
      <w:tr w:rsidR="00EE5868" w:rsidRPr="00F70E6A" w:rsidTr="00F70E6A">
        <w:trPr>
          <w:cantSplit/>
          <w:jc w:val="center"/>
        </w:trPr>
        <w:tc>
          <w:tcPr>
            <w:tcW w:w="0" w:type="auto"/>
            <w:shd w:val="clear" w:color="auto" w:fill="auto"/>
          </w:tcPr>
          <w:p w:rsidR="00EE5868" w:rsidRPr="00C74FCB" w:rsidRDefault="00EE5868" w:rsidP="006246E4">
            <w:pPr>
              <w:pStyle w:val="TblTextCenter"/>
            </w:pPr>
            <w:r w:rsidRPr="00C74FCB">
              <w:t>Mean HbA1c (%)</w:t>
            </w:r>
            <w:r w:rsidR="006246E4">
              <w:br/>
            </w:r>
            <w:r w:rsidRPr="00C74FCB">
              <w:t>Baseline</w:t>
            </w:r>
          </w:p>
          <w:p w:rsidR="00EE5868" w:rsidRPr="00C74FCB" w:rsidRDefault="00EE5868" w:rsidP="00C74FCB">
            <w:pPr>
              <w:pStyle w:val="TblTextCenter"/>
            </w:pPr>
            <w:r w:rsidRPr="00C74FCB">
              <w:t>LS mean change from baseline</w:t>
            </w:r>
          </w:p>
        </w:tc>
        <w:tc>
          <w:tcPr>
            <w:tcW w:w="0" w:type="auto"/>
            <w:shd w:val="clear" w:color="auto" w:fill="auto"/>
          </w:tcPr>
          <w:p w:rsidR="006246E4" w:rsidRDefault="006246E4" w:rsidP="00C74FCB">
            <w:pPr>
              <w:pStyle w:val="TblTextCenter"/>
            </w:pPr>
          </w:p>
          <w:p w:rsidR="00EE5868" w:rsidRPr="00C74FCB" w:rsidRDefault="00EE5868" w:rsidP="00C74FCB">
            <w:pPr>
              <w:pStyle w:val="TblTextCenter"/>
            </w:pPr>
            <w:r w:rsidRPr="00C74FCB">
              <w:t>8.28</w:t>
            </w:r>
          </w:p>
          <w:p w:rsidR="00EE5868" w:rsidRPr="00C74FCB" w:rsidRDefault="00EE5868" w:rsidP="00C74FCB">
            <w:pPr>
              <w:pStyle w:val="TblTextCenter"/>
            </w:pPr>
            <w:r w:rsidRPr="00C74FCB">
              <w:t>-0.85</w:t>
            </w:r>
          </w:p>
        </w:tc>
        <w:tc>
          <w:tcPr>
            <w:tcW w:w="0" w:type="auto"/>
            <w:shd w:val="clear" w:color="auto" w:fill="auto"/>
          </w:tcPr>
          <w:p w:rsidR="00EE5868" w:rsidRPr="00C74FCB" w:rsidRDefault="00EE5868" w:rsidP="00C74FCB">
            <w:pPr>
              <w:pStyle w:val="TblTextCenter"/>
            </w:pPr>
          </w:p>
          <w:p w:rsidR="00EE5868" w:rsidRPr="00C74FCB" w:rsidRDefault="00EE5868" w:rsidP="00C74FCB">
            <w:pPr>
              <w:pStyle w:val="TblTextCenter"/>
            </w:pPr>
            <w:r w:rsidRPr="00C74FCB">
              <w:t>8.22</w:t>
            </w:r>
          </w:p>
          <w:p w:rsidR="00EE5868" w:rsidRPr="00C74FCB" w:rsidRDefault="00EE5868" w:rsidP="00C74FCB">
            <w:pPr>
              <w:pStyle w:val="TblTextCenter"/>
            </w:pPr>
            <w:r w:rsidRPr="00C74FCB">
              <w:t>-0.10</w:t>
            </w:r>
          </w:p>
        </w:tc>
      </w:tr>
      <w:tr w:rsidR="00EE5868" w:rsidRPr="00F70E6A" w:rsidTr="00F70E6A">
        <w:trPr>
          <w:cantSplit/>
          <w:jc w:val="center"/>
        </w:trPr>
        <w:tc>
          <w:tcPr>
            <w:tcW w:w="0" w:type="auto"/>
            <w:shd w:val="clear" w:color="auto" w:fill="auto"/>
          </w:tcPr>
          <w:p w:rsidR="00EE5868" w:rsidRPr="00C74FCB" w:rsidRDefault="00EE5868" w:rsidP="00C74FCB">
            <w:pPr>
              <w:pStyle w:val="TblTextCenter"/>
            </w:pPr>
            <w:r w:rsidRPr="00C74FCB">
              <w:t>Patients (%) achieving HbA1c &lt; 7.0 %</w:t>
            </w:r>
          </w:p>
        </w:tc>
        <w:tc>
          <w:tcPr>
            <w:tcW w:w="0" w:type="auto"/>
            <w:shd w:val="clear" w:color="auto" w:fill="auto"/>
          </w:tcPr>
          <w:p w:rsidR="00EE5868" w:rsidRPr="00C74FCB" w:rsidRDefault="00EE5868" w:rsidP="00C74FCB">
            <w:pPr>
              <w:pStyle w:val="TblTextCenter"/>
            </w:pPr>
            <w:r w:rsidRPr="00C74FCB">
              <w:t>36.4</w:t>
            </w:r>
          </w:p>
        </w:tc>
        <w:tc>
          <w:tcPr>
            <w:tcW w:w="0" w:type="auto"/>
            <w:shd w:val="clear" w:color="auto" w:fill="auto"/>
          </w:tcPr>
          <w:p w:rsidR="00EE5868" w:rsidRPr="00C74FCB" w:rsidRDefault="00EE5868" w:rsidP="00C74FCB">
            <w:pPr>
              <w:pStyle w:val="TblTextCenter"/>
            </w:pPr>
            <w:r w:rsidRPr="00C74FCB">
              <w:t>13.5</w:t>
            </w:r>
          </w:p>
        </w:tc>
      </w:tr>
      <w:tr w:rsidR="00EE5868" w:rsidRPr="00F70E6A" w:rsidTr="00F70E6A">
        <w:trPr>
          <w:cantSplit/>
          <w:jc w:val="center"/>
        </w:trPr>
        <w:tc>
          <w:tcPr>
            <w:tcW w:w="0" w:type="auto"/>
            <w:tcBorders>
              <w:bottom w:val="single" w:sz="12" w:space="0" w:color="auto"/>
            </w:tcBorders>
            <w:shd w:val="clear" w:color="auto" w:fill="auto"/>
          </w:tcPr>
          <w:p w:rsidR="00EE5868" w:rsidRPr="007C35E7" w:rsidRDefault="00EE5868" w:rsidP="006246E4">
            <w:pPr>
              <w:pStyle w:val="TblTextCenter"/>
            </w:pPr>
            <w:r w:rsidRPr="007C35E7">
              <w:t>Mean body weight (kg)</w:t>
            </w:r>
            <w:r w:rsidR="006246E4" w:rsidRPr="007C35E7">
              <w:br/>
            </w:r>
            <w:r w:rsidRPr="007C35E7">
              <w:t>Baseline</w:t>
            </w:r>
          </w:p>
          <w:p w:rsidR="00EE5868" w:rsidRPr="007C35E7" w:rsidRDefault="00EE5868" w:rsidP="00C74FCB">
            <w:pPr>
              <w:pStyle w:val="TblTextCenter"/>
            </w:pPr>
            <w:r w:rsidRPr="007C35E7">
              <w:t>LS mean change from baseline</w:t>
            </w:r>
          </w:p>
        </w:tc>
        <w:tc>
          <w:tcPr>
            <w:tcW w:w="0" w:type="auto"/>
            <w:tcBorders>
              <w:bottom w:val="single" w:sz="12" w:space="0" w:color="auto"/>
            </w:tcBorders>
            <w:shd w:val="clear" w:color="auto" w:fill="auto"/>
          </w:tcPr>
          <w:p w:rsidR="00EE5868" w:rsidRPr="007C35E7" w:rsidRDefault="00EE5868" w:rsidP="00C74FCB">
            <w:pPr>
              <w:pStyle w:val="TblTextCenter"/>
            </w:pPr>
          </w:p>
          <w:p w:rsidR="00EE5868" w:rsidRPr="007C35E7" w:rsidRDefault="00EE5868" w:rsidP="00C74FCB">
            <w:pPr>
              <w:pStyle w:val="TblTextCenter"/>
            </w:pPr>
            <w:r w:rsidRPr="007C35E7">
              <w:t>82.58</w:t>
            </w:r>
          </w:p>
          <w:p w:rsidR="00EE5868" w:rsidRPr="007C35E7" w:rsidRDefault="00EE5868" w:rsidP="00C74FCB">
            <w:pPr>
              <w:pStyle w:val="TblTextCenter"/>
            </w:pPr>
            <w:r w:rsidRPr="007C35E7">
              <w:t>-1.76</w:t>
            </w:r>
          </w:p>
        </w:tc>
        <w:tc>
          <w:tcPr>
            <w:tcW w:w="0" w:type="auto"/>
            <w:tcBorders>
              <w:bottom w:val="single" w:sz="12" w:space="0" w:color="auto"/>
            </w:tcBorders>
            <w:shd w:val="clear" w:color="auto" w:fill="auto"/>
          </w:tcPr>
          <w:p w:rsidR="00EE5868" w:rsidRPr="007C35E7" w:rsidRDefault="00EE5868" w:rsidP="00C74FCB">
            <w:pPr>
              <w:pStyle w:val="TblTextCenter"/>
            </w:pPr>
          </w:p>
          <w:p w:rsidR="00EE5868" w:rsidRPr="007C35E7" w:rsidRDefault="00EE5868" w:rsidP="00C74FCB">
            <w:pPr>
              <w:pStyle w:val="TblTextCenter"/>
            </w:pPr>
            <w:r w:rsidRPr="007C35E7">
              <w:t>84.52</w:t>
            </w:r>
          </w:p>
          <w:p w:rsidR="00EE5868" w:rsidRPr="007C35E7" w:rsidRDefault="00EE5868" w:rsidP="00C74FCB">
            <w:pPr>
              <w:pStyle w:val="TblTextCenter"/>
            </w:pPr>
            <w:r w:rsidRPr="007C35E7">
              <w:t>-0.93</w:t>
            </w:r>
          </w:p>
        </w:tc>
      </w:tr>
      <w:tr w:rsidR="00C74FCB" w:rsidRPr="00F70E6A" w:rsidTr="00F70E6A">
        <w:trPr>
          <w:cantSplit/>
          <w:jc w:val="center"/>
        </w:trPr>
        <w:tc>
          <w:tcPr>
            <w:tcW w:w="0" w:type="auto"/>
            <w:gridSpan w:val="3"/>
            <w:tcBorders>
              <w:top w:val="single" w:sz="12" w:space="0" w:color="auto"/>
            </w:tcBorders>
            <w:shd w:val="clear" w:color="auto" w:fill="auto"/>
          </w:tcPr>
          <w:p w:rsidR="00C74FCB" w:rsidRPr="005A2785" w:rsidRDefault="00C74FCB" w:rsidP="00C74FCB">
            <w:pPr>
              <w:pStyle w:val="TblFigFootnote"/>
            </w:pPr>
          </w:p>
        </w:tc>
      </w:tr>
    </w:tbl>
    <w:p w:rsidR="00EE5868" w:rsidRDefault="00C029F1" w:rsidP="00C029F1">
      <w:pPr>
        <w:pStyle w:val="Heading4"/>
        <w:numPr>
          <w:ilvl w:val="0"/>
          <w:numId w:val="0"/>
        </w:numPr>
      </w:pPr>
      <w:bookmarkStart w:id="39" w:name="_Toc310954956"/>
      <w:r w:rsidRPr="00C029F1">
        <w:t>Add-on combination therapy with a basal insulin</w:t>
      </w:r>
      <w:bookmarkEnd w:id="39"/>
    </w:p>
    <w:p w:rsidR="00C86C80" w:rsidRDefault="00C029F1" w:rsidP="00710D9E">
      <w:proofErr w:type="spellStart"/>
      <w:r w:rsidRPr="006D3121">
        <w:t>Lixisenatide</w:t>
      </w:r>
      <w:proofErr w:type="spellEnd"/>
      <w:r w:rsidRPr="006D3121">
        <w:t xml:space="preserve"> given </w:t>
      </w:r>
      <w:r w:rsidR="00E00B02" w:rsidRPr="006D3121">
        <w:t xml:space="preserve">in one study </w:t>
      </w:r>
      <w:r w:rsidRPr="006D3121">
        <w:t>with a basal insulin alone</w:t>
      </w:r>
      <w:r w:rsidR="00E00B02" w:rsidRPr="006D3121">
        <w:t xml:space="preserve"> or in combination with </w:t>
      </w:r>
      <w:proofErr w:type="spellStart"/>
      <w:r w:rsidR="00E00B02" w:rsidRPr="006D3121">
        <w:t>metformin</w:t>
      </w:r>
      <w:proofErr w:type="spellEnd"/>
      <w:r w:rsidRPr="006D3121">
        <w:t xml:space="preserve">, or </w:t>
      </w:r>
      <w:r w:rsidR="00E00B02" w:rsidRPr="006D3121">
        <w:t>given in a</w:t>
      </w:r>
      <w:r w:rsidR="00931C2D" w:rsidRPr="006D3121">
        <w:t>nother</w:t>
      </w:r>
      <w:r w:rsidR="00E00B02" w:rsidRPr="006D3121">
        <w:t xml:space="preserve"> study </w:t>
      </w:r>
      <w:r w:rsidRPr="006D3121">
        <w:t xml:space="preserve">with </w:t>
      </w:r>
      <w:r w:rsidR="00E00B02" w:rsidRPr="006D3121">
        <w:t>a basal insulin alone</w:t>
      </w:r>
      <w:r w:rsidR="0007157A" w:rsidRPr="0007157A">
        <w:rPr>
          <w:color w:val="0000FF"/>
        </w:rPr>
        <w:t xml:space="preserve"> </w:t>
      </w:r>
      <w:r w:rsidR="00E00B02" w:rsidRPr="006D3121">
        <w:t xml:space="preserve">or </w:t>
      </w:r>
      <w:r w:rsidR="00E00B02" w:rsidRPr="008D4A3D">
        <w:t>in</w:t>
      </w:r>
      <w:r w:rsidRPr="008D4A3D">
        <w:t xml:space="preserve"> combination </w:t>
      </w:r>
      <w:r w:rsidR="00E00B02" w:rsidRPr="008D4A3D">
        <w:t>with</w:t>
      </w:r>
      <w:r w:rsidRPr="008D4A3D">
        <w:t xml:space="preserve"> a </w:t>
      </w:r>
      <w:proofErr w:type="spellStart"/>
      <w:r w:rsidRPr="008D4A3D">
        <w:t>sulphonylurea</w:t>
      </w:r>
      <w:proofErr w:type="spellEnd"/>
      <w:r w:rsidRPr="008D4A3D">
        <w:t xml:space="preserve"> </w:t>
      </w:r>
      <w:r w:rsidR="00162E3C">
        <w:t xml:space="preserve">( see </w:t>
      </w:r>
      <w:r w:rsidR="00C86C80">
        <w:br/>
      </w:r>
    </w:p>
    <w:p w:rsidR="00710D9E" w:rsidRDefault="00C86C80" w:rsidP="00710D9E">
      <w:r>
        <w:br w:type="page"/>
      </w:r>
      <w:r w:rsidR="00162E3C">
        <w:lastRenderedPageBreak/>
        <w:t xml:space="preserve">INDICATION) </w:t>
      </w:r>
      <w:r w:rsidR="00C029F1" w:rsidRPr="008D4A3D">
        <w:t>resulted in statistically significant reductions in HbA1c and in 2-hour post-</w:t>
      </w:r>
      <w:proofErr w:type="spellStart"/>
      <w:r w:rsidR="00C029F1" w:rsidRPr="008D4A3D">
        <w:t>prandial</w:t>
      </w:r>
      <w:proofErr w:type="spellEnd"/>
      <w:r w:rsidR="00C029F1" w:rsidRPr="008D4A3D">
        <w:t xml:space="preserve"> glucose after a test- meal compared to placebo. </w:t>
      </w:r>
      <w:r w:rsidR="00710D9E" w:rsidRPr="008D4A3D">
        <w:t xml:space="preserve">At the end of the main 24-week treatment period, the insulin daily dose was significantly reduced in the </w:t>
      </w:r>
      <w:proofErr w:type="spellStart"/>
      <w:r w:rsidR="00710D9E" w:rsidRPr="008D4A3D">
        <w:t>lixisenatide</w:t>
      </w:r>
      <w:proofErr w:type="spellEnd"/>
      <w:r w:rsidR="00710D9E" w:rsidRPr="008D4A3D">
        <w:t xml:space="preserve"> group as compared to the placebo group in the two separate studies conducted and reported i</w:t>
      </w:r>
      <w:r w:rsidR="00CF2598" w:rsidRPr="008D4A3D">
        <w:t>n</w:t>
      </w:r>
      <w:r w:rsidR="00710D9E" w:rsidRPr="008D4A3D">
        <w:t xml:space="preserve"> </w:t>
      </w:r>
      <w:fldSimple w:instr=" REF _Ref310895587 \h  \* MERGEFORMAT ">
        <w:r w:rsidR="00E2762E">
          <w:t>Table 4</w:t>
        </w:r>
      </w:fldSimple>
    </w:p>
    <w:p w:rsidR="00C029F1" w:rsidRDefault="00C029F1" w:rsidP="00C029F1">
      <w:pPr>
        <w:pStyle w:val="Caption"/>
      </w:pPr>
      <w:bookmarkStart w:id="40" w:name="_Ref310895587"/>
      <w:bookmarkStart w:id="41" w:name="_Toc310955010"/>
      <w:r>
        <w:t>Table </w:t>
      </w:r>
      <w:fldSimple w:instr=" SEQ Table \* ARABIC ">
        <w:r w:rsidR="00E2762E">
          <w:rPr>
            <w:noProof/>
          </w:rPr>
          <w:t>4</w:t>
        </w:r>
      </w:fldSimple>
      <w:bookmarkEnd w:id="40"/>
      <w:r>
        <w:t xml:space="preserve"> ­ </w:t>
      </w:r>
      <w:r w:rsidRPr="00C029F1">
        <w:t>Placebo –controlled stud</w:t>
      </w:r>
      <w:r w:rsidR="006D3121" w:rsidRPr="006D3121">
        <w:t>i</w:t>
      </w:r>
      <w:r w:rsidR="00CE640C" w:rsidRPr="006D3121">
        <w:t>es</w:t>
      </w:r>
      <w:r w:rsidRPr="00C029F1">
        <w:t xml:space="preserve"> in combination with </w:t>
      </w:r>
      <w:r w:rsidR="00427E80" w:rsidRPr="00C029F1">
        <w:t>basal</w:t>
      </w:r>
      <w:r w:rsidRPr="00C029F1">
        <w:t xml:space="preserve"> insulin (24-week results)</w:t>
      </w:r>
      <w:bookmarkEnd w:id="41"/>
    </w:p>
    <w:tbl>
      <w:tblPr>
        <w:tblW w:w="9948" w:type="dxa"/>
        <w:jc w:val="center"/>
        <w:tblBorders>
          <w:top w:val="single" w:sz="2" w:space="0" w:color="000000"/>
        </w:tblBorders>
        <w:tblLook w:val="01E0"/>
      </w:tblPr>
      <w:tblGrid>
        <w:gridCol w:w="2236"/>
        <w:gridCol w:w="1798"/>
        <w:gridCol w:w="1100"/>
        <w:gridCol w:w="2936"/>
        <w:gridCol w:w="1878"/>
      </w:tblGrid>
      <w:tr w:rsidR="00C029F1" w:rsidRPr="00F70E6A" w:rsidTr="007C35E7">
        <w:trPr>
          <w:cantSplit/>
          <w:trHeight w:val="597"/>
          <w:tblHeader/>
          <w:jc w:val="center"/>
        </w:trPr>
        <w:tc>
          <w:tcPr>
            <w:tcW w:w="0" w:type="auto"/>
            <w:tcBorders>
              <w:top w:val="single" w:sz="4" w:space="0" w:color="000000"/>
              <w:bottom w:val="single" w:sz="4" w:space="0" w:color="000000"/>
            </w:tcBorders>
            <w:shd w:val="clear" w:color="auto" w:fill="auto"/>
          </w:tcPr>
          <w:p w:rsidR="00C029F1" w:rsidRPr="009331CC" w:rsidRDefault="00C029F1" w:rsidP="007C35E7">
            <w:pPr>
              <w:pStyle w:val="TblHeadingCenter"/>
              <w:rPr>
                <w:lang w:val="en-GB"/>
              </w:rPr>
            </w:pPr>
          </w:p>
          <w:p w:rsidR="00C029F1" w:rsidRPr="009331CC" w:rsidRDefault="00C029F1" w:rsidP="007C35E7">
            <w:pPr>
              <w:pStyle w:val="TblHeadingCenter"/>
              <w:rPr>
                <w:lang w:val="en-GB"/>
              </w:rPr>
            </w:pPr>
          </w:p>
        </w:tc>
        <w:tc>
          <w:tcPr>
            <w:tcW w:w="0" w:type="auto"/>
            <w:gridSpan w:val="2"/>
            <w:tcBorders>
              <w:top w:val="single" w:sz="4" w:space="0" w:color="000000"/>
              <w:bottom w:val="single" w:sz="4" w:space="0" w:color="000000"/>
            </w:tcBorders>
            <w:shd w:val="clear" w:color="auto" w:fill="auto"/>
          </w:tcPr>
          <w:p w:rsidR="00C029F1" w:rsidRPr="00B02FE1" w:rsidRDefault="00C029F1" w:rsidP="007C35E7">
            <w:pPr>
              <w:pStyle w:val="TblHeadingCenter"/>
              <w:rPr>
                <w:lang w:val="en-US"/>
              </w:rPr>
            </w:pPr>
            <w:r w:rsidRPr="00B02FE1">
              <w:rPr>
                <w:lang w:val="en-US"/>
              </w:rPr>
              <w:t>Basal insulin as background therapy</w:t>
            </w:r>
          </w:p>
          <w:p w:rsidR="00C029F1" w:rsidRPr="00B02FE1" w:rsidRDefault="00C029F1" w:rsidP="007C35E7">
            <w:pPr>
              <w:pStyle w:val="TblHeadingCenter"/>
              <w:rPr>
                <w:lang w:val="en-US"/>
              </w:rPr>
            </w:pPr>
            <w:r w:rsidRPr="00B02FE1">
              <w:rPr>
                <w:lang w:val="en-US"/>
              </w:rPr>
              <w:t>Alone or in combination with metformin</w:t>
            </w:r>
          </w:p>
        </w:tc>
        <w:tc>
          <w:tcPr>
            <w:tcW w:w="4814" w:type="dxa"/>
            <w:gridSpan w:val="2"/>
            <w:tcBorders>
              <w:top w:val="single" w:sz="4" w:space="0" w:color="000000"/>
              <w:bottom w:val="single" w:sz="4" w:space="0" w:color="000000"/>
            </w:tcBorders>
            <w:shd w:val="clear" w:color="auto" w:fill="auto"/>
          </w:tcPr>
          <w:p w:rsidR="00C029F1" w:rsidRPr="00B02FE1" w:rsidRDefault="00C029F1" w:rsidP="007C35E7">
            <w:pPr>
              <w:pStyle w:val="TblHeadingCenter"/>
              <w:rPr>
                <w:lang w:val="en-US"/>
              </w:rPr>
            </w:pPr>
            <w:r w:rsidRPr="00B02FE1">
              <w:rPr>
                <w:lang w:val="en-US"/>
              </w:rPr>
              <w:t>Basal insulin as background therapy</w:t>
            </w:r>
          </w:p>
          <w:p w:rsidR="00C029F1" w:rsidRPr="009A10D8" w:rsidRDefault="00C029F1" w:rsidP="007C35E7">
            <w:pPr>
              <w:pStyle w:val="TblHeadingCenter"/>
              <w:rPr>
                <w:lang w:val="en-US"/>
              </w:rPr>
            </w:pPr>
            <w:bookmarkStart w:id="42" w:name="OLE_LINK2"/>
            <w:bookmarkStart w:id="43" w:name="OLE_LINK5"/>
            <w:r w:rsidRPr="008D4A3D">
              <w:rPr>
                <w:lang w:val="en-US"/>
              </w:rPr>
              <w:t xml:space="preserve">Alone or in combination </w:t>
            </w:r>
            <w:bookmarkEnd w:id="42"/>
            <w:bookmarkEnd w:id="43"/>
            <w:r w:rsidRPr="008D4A3D">
              <w:rPr>
                <w:lang w:val="en-US"/>
              </w:rPr>
              <w:t>with a sulphonylurea</w:t>
            </w:r>
            <w:r w:rsidRPr="00A418CB">
              <w:rPr>
                <w:rFonts w:ascii="Arial Bold" w:hAnsi="Arial Bold"/>
                <w:lang w:val="en-US"/>
              </w:rPr>
              <w:t xml:space="preserve"> </w:t>
            </w:r>
            <w:r w:rsidR="007A75ED" w:rsidRPr="00A418CB">
              <w:rPr>
                <w:rFonts w:ascii="Arial Bold" w:hAnsi="Arial Bold"/>
                <w:lang w:val="en-US"/>
              </w:rPr>
              <w:t>*</w:t>
            </w:r>
          </w:p>
        </w:tc>
      </w:tr>
      <w:tr w:rsidR="00C029F1" w:rsidRPr="00F70E6A" w:rsidTr="007C35E7">
        <w:trPr>
          <w:cantSplit/>
          <w:trHeight w:val="642"/>
          <w:jc w:val="center"/>
        </w:trPr>
        <w:tc>
          <w:tcPr>
            <w:tcW w:w="0" w:type="auto"/>
            <w:tcBorders>
              <w:top w:val="single" w:sz="4" w:space="0" w:color="000000"/>
            </w:tcBorders>
            <w:shd w:val="clear" w:color="auto" w:fill="auto"/>
          </w:tcPr>
          <w:p w:rsidR="00C029F1" w:rsidRPr="007C35E7" w:rsidRDefault="00C029F1" w:rsidP="007C35E7">
            <w:pPr>
              <w:pStyle w:val="TblTextCenter"/>
            </w:pPr>
          </w:p>
        </w:tc>
        <w:tc>
          <w:tcPr>
            <w:tcW w:w="0" w:type="auto"/>
            <w:tcBorders>
              <w:top w:val="single" w:sz="4" w:space="0" w:color="000000"/>
            </w:tcBorders>
            <w:shd w:val="clear" w:color="auto" w:fill="auto"/>
          </w:tcPr>
          <w:p w:rsidR="00C029F1" w:rsidRPr="007C35E7" w:rsidRDefault="00C029F1" w:rsidP="007C35E7">
            <w:pPr>
              <w:pStyle w:val="TblTextCenter"/>
            </w:pPr>
            <w:proofErr w:type="spellStart"/>
            <w:r w:rsidRPr="007C35E7">
              <w:t>Lixisenatide</w:t>
            </w:r>
            <w:proofErr w:type="spellEnd"/>
            <w:r w:rsidRPr="007C35E7">
              <w:t xml:space="preserve"> 20 µg</w:t>
            </w:r>
          </w:p>
          <w:p w:rsidR="00C029F1" w:rsidRPr="007C35E7" w:rsidRDefault="00C029F1" w:rsidP="007C35E7">
            <w:pPr>
              <w:pStyle w:val="TblTextCenter"/>
            </w:pPr>
            <w:r w:rsidRPr="007C35E7">
              <w:t>(N= 327)</w:t>
            </w:r>
          </w:p>
        </w:tc>
        <w:tc>
          <w:tcPr>
            <w:tcW w:w="0" w:type="auto"/>
            <w:tcBorders>
              <w:top w:val="single" w:sz="4" w:space="0" w:color="000000"/>
            </w:tcBorders>
            <w:shd w:val="clear" w:color="auto" w:fill="auto"/>
          </w:tcPr>
          <w:p w:rsidR="00C029F1" w:rsidRPr="007C35E7" w:rsidRDefault="00C029F1" w:rsidP="007C35E7">
            <w:pPr>
              <w:pStyle w:val="TblTextCenter"/>
            </w:pPr>
            <w:r w:rsidRPr="007C35E7">
              <w:t xml:space="preserve">Placebo </w:t>
            </w:r>
          </w:p>
          <w:p w:rsidR="00C029F1" w:rsidRPr="007C35E7" w:rsidRDefault="00C029F1" w:rsidP="007C35E7">
            <w:pPr>
              <w:pStyle w:val="TblTextCenter"/>
            </w:pPr>
            <w:r w:rsidRPr="007C35E7">
              <w:t>(N= 166)</w:t>
            </w:r>
          </w:p>
        </w:tc>
        <w:tc>
          <w:tcPr>
            <w:tcW w:w="2936" w:type="dxa"/>
            <w:tcBorders>
              <w:top w:val="single" w:sz="4" w:space="0" w:color="000000"/>
            </w:tcBorders>
            <w:shd w:val="clear" w:color="auto" w:fill="auto"/>
          </w:tcPr>
          <w:p w:rsidR="00C029F1" w:rsidRPr="007C35E7" w:rsidRDefault="00C029F1" w:rsidP="007C35E7">
            <w:pPr>
              <w:pStyle w:val="TblTextCenter"/>
            </w:pPr>
            <w:proofErr w:type="spellStart"/>
            <w:r w:rsidRPr="007C35E7">
              <w:t>Lixisenatide</w:t>
            </w:r>
            <w:proofErr w:type="spellEnd"/>
            <w:r w:rsidRPr="007C35E7">
              <w:t xml:space="preserve"> 20 µg</w:t>
            </w:r>
          </w:p>
          <w:p w:rsidR="00C029F1" w:rsidRPr="007C35E7" w:rsidRDefault="00C029F1" w:rsidP="007C35E7">
            <w:pPr>
              <w:pStyle w:val="TblTextCenter"/>
            </w:pPr>
            <w:r w:rsidRPr="007C35E7">
              <w:t>(N= 154)</w:t>
            </w:r>
          </w:p>
        </w:tc>
        <w:tc>
          <w:tcPr>
            <w:tcW w:w="1878" w:type="dxa"/>
            <w:tcBorders>
              <w:top w:val="single" w:sz="4" w:space="0" w:color="000000"/>
            </w:tcBorders>
            <w:shd w:val="clear" w:color="auto" w:fill="auto"/>
          </w:tcPr>
          <w:p w:rsidR="00C029F1" w:rsidRPr="007C35E7" w:rsidRDefault="00C029F1" w:rsidP="007C35E7">
            <w:pPr>
              <w:pStyle w:val="TblTextCenter"/>
            </w:pPr>
            <w:r w:rsidRPr="007C35E7">
              <w:t xml:space="preserve">Placebo </w:t>
            </w:r>
          </w:p>
          <w:p w:rsidR="00C029F1" w:rsidRPr="007C35E7" w:rsidRDefault="00C029F1" w:rsidP="007C35E7">
            <w:pPr>
              <w:pStyle w:val="TblTextCenter"/>
            </w:pPr>
            <w:r w:rsidRPr="007C35E7">
              <w:t>(N= 157)</w:t>
            </w:r>
          </w:p>
        </w:tc>
      </w:tr>
      <w:tr w:rsidR="00C029F1" w:rsidRPr="00F70E6A" w:rsidTr="007C35E7">
        <w:trPr>
          <w:cantSplit/>
          <w:jc w:val="center"/>
        </w:trPr>
        <w:tc>
          <w:tcPr>
            <w:tcW w:w="0" w:type="auto"/>
            <w:shd w:val="clear" w:color="auto" w:fill="auto"/>
          </w:tcPr>
          <w:p w:rsidR="00C029F1" w:rsidRPr="007C35E7" w:rsidRDefault="00C029F1" w:rsidP="007C35E7">
            <w:pPr>
              <w:pStyle w:val="TblTextCenter"/>
            </w:pPr>
            <w:r w:rsidRPr="007C35E7">
              <w:t>Mean HbA1c (%)</w:t>
            </w:r>
            <w:r w:rsidR="006246E4" w:rsidRPr="007C35E7">
              <w:br/>
            </w:r>
            <w:r w:rsidRPr="007C35E7">
              <w:t>Baseline</w:t>
            </w:r>
          </w:p>
          <w:p w:rsidR="00C029F1" w:rsidRPr="007C35E7" w:rsidRDefault="00C029F1" w:rsidP="007C35E7">
            <w:pPr>
              <w:pStyle w:val="TblTextCenter"/>
            </w:pPr>
            <w:r w:rsidRPr="007C35E7">
              <w:t>LS mean change from baseline</w:t>
            </w:r>
          </w:p>
        </w:tc>
        <w:tc>
          <w:tcPr>
            <w:tcW w:w="0" w:type="auto"/>
            <w:shd w:val="clear" w:color="auto" w:fill="auto"/>
          </w:tcPr>
          <w:p w:rsidR="00C029F1" w:rsidRPr="007C35E7" w:rsidRDefault="00C029F1" w:rsidP="007C35E7">
            <w:pPr>
              <w:pStyle w:val="TblTextCenter"/>
            </w:pPr>
          </w:p>
          <w:p w:rsidR="00C029F1" w:rsidRPr="007C35E7" w:rsidRDefault="00C029F1" w:rsidP="007C35E7">
            <w:pPr>
              <w:pStyle w:val="TblTextCenter"/>
            </w:pPr>
            <w:r w:rsidRPr="007C35E7">
              <w:t>8.39</w:t>
            </w:r>
          </w:p>
          <w:p w:rsidR="00C029F1" w:rsidRPr="007C35E7" w:rsidRDefault="00C029F1" w:rsidP="007C35E7">
            <w:pPr>
              <w:pStyle w:val="TblTextCenter"/>
            </w:pPr>
            <w:r w:rsidRPr="007C35E7">
              <w:t>-0.74</w:t>
            </w:r>
          </w:p>
        </w:tc>
        <w:tc>
          <w:tcPr>
            <w:tcW w:w="0" w:type="auto"/>
            <w:shd w:val="clear" w:color="auto" w:fill="auto"/>
          </w:tcPr>
          <w:p w:rsidR="00C029F1" w:rsidRPr="007C35E7" w:rsidRDefault="00C029F1" w:rsidP="007C35E7">
            <w:pPr>
              <w:pStyle w:val="TblTextCenter"/>
            </w:pPr>
          </w:p>
          <w:p w:rsidR="00C029F1" w:rsidRPr="007C35E7" w:rsidRDefault="00C029F1" w:rsidP="007C35E7">
            <w:pPr>
              <w:pStyle w:val="TblTextCenter"/>
            </w:pPr>
            <w:r w:rsidRPr="007C35E7">
              <w:t>8.38</w:t>
            </w:r>
          </w:p>
          <w:p w:rsidR="00C029F1" w:rsidRPr="007C35E7" w:rsidRDefault="00C029F1" w:rsidP="007C35E7">
            <w:pPr>
              <w:pStyle w:val="TblTextCenter"/>
            </w:pPr>
            <w:r w:rsidRPr="007C35E7">
              <w:t>-0.38</w:t>
            </w:r>
          </w:p>
        </w:tc>
        <w:tc>
          <w:tcPr>
            <w:tcW w:w="2936" w:type="dxa"/>
            <w:shd w:val="clear" w:color="auto" w:fill="auto"/>
          </w:tcPr>
          <w:p w:rsidR="00C029F1" w:rsidRPr="007C35E7" w:rsidRDefault="00C029F1" w:rsidP="007C35E7">
            <w:pPr>
              <w:pStyle w:val="TblTextCenter"/>
            </w:pPr>
          </w:p>
          <w:p w:rsidR="00C029F1" w:rsidRPr="007C35E7" w:rsidRDefault="00C029F1" w:rsidP="007C35E7">
            <w:pPr>
              <w:pStyle w:val="TblTextCenter"/>
            </w:pPr>
            <w:r w:rsidRPr="007C35E7">
              <w:t>8.53</w:t>
            </w:r>
          </w:p>
          <w:p w:rsidR="00C029F1" w:rsidRPr="007C35E7" w:rsidRDefault="00C029F1" w:rsidP="007C35E7">
            <w:pPr>
              <w:pStyle w:val="TblTextCenter"/>
            </w:pPr>
            <w:r w:rsidRPr="007C35E7">
              <w:t>-0.77</w:t>
            </w:r>
          </w:p>
        </w:tc>
        <w:tc>
          <w:tcPr>
            <w:tcW w:w="1878" w:type="dxa"/>
            <w:shd w:val="clear" w:color="auto" w:fill="auto"/>
          </w:tcPr>
          <w:p w:rsidR="00C029F1" w:rsidRPr="007C35E7" w:rsidRDefault="00C029F1" w:rsidP="007C35E7">
            <w:pPr>
              <w:pStyle w:val="TblTextCenter"/>
            </w:pPr>
          </w:p>
          <w:p w:rsidR="00C029F1" w:rsidRPr="007C35E7" w:rsidRDefault="00C029F1" w:rsidP="007C35E7">
            <w:pPr>
              <w:pStyle w:val="TblTextCenter"/>
            </w:pPr>
            <w:r w:rsidRPr="007C35E7">
              <w:t>8.53</w:t>
            </w:r>
          </w:p>
          <w:p w:rsidR="00C029F1" w:rsidRPr="007C35E7" w:rsidRDefault="00C029F1" w:rsidP="007C35E7">
            <w:pPr>
              <w:pStyle w:val="TblTextCenter"/>
            </w:pPr>
            <w:r w:rsidRPr="007C35E7">
              <w:t>0.11</w:t>
            </w:r>
          </w:p>
        </w:tc>
      </w:tr>
      <w:tr w:rsidR="00C029F1" w:rsidRPr="00F70E6A" w:rsidTr="007C35E7">
        <w:trPr>
          <w:cantSplit/>
          <w:jc w:val="center"/>
        </w:trPr>
        <w:tc>
          <w:tcPr>
            <w:tcW w:w="0" w:type="auto"/>
            <w:shd w:val="clear" w:color="auto" w:fill="auto"/>
          </w:tcPr>
          <w:p w:rsidR="00C029F1" w:rsidRPr="007C35E7" w:rsidRDefault="00C029F1" w:rsidP="007C35E7">
            <w:pPr>
              <w:pStyle w:val="TblTextCenter"/>
            </w:pPr>
            <w:r w:rsidRPr="007C35E7">
              <w:t>Patients (%) achieving HbA1c</w:t>
            </w:r>
            <w:r w:rsidRPr="007C35E7" w:rsidDel="00623475">
              <w:t xml:space="preserve"> </w:t>
            </w:r>
            <w:r w:rsidRPr="007C35E7">
              <w:t xml:space="preserve"> &lt;  7.0%</w:t>
            </w:r>
          </w:p>
        </w:tc>
        <w:tc>
          <w:tcPr>
            <w:tcW w:w="0" w:type="auto"/>
            <w:shd w:val="clear" w:color="auto" w:fill="auto"/>
          </w:tcPr>
          <w:p w:rsidR="00C029F1" w:rsidRPr="007C35E7" w:rsidRDefault="00C029F1" w:rsidP="007C35E7">
            <w:pPr>
              <w:pStyle w:val="TblTextCenter"/>
            </w:pPr>
            <w:r w:rsidRPr="007C35E7">
              <w:t>28.3</w:t>
            </w:r>
          </w:p>
        </w:tc>
        <w:tc>
          <w:tcPr>
            <w:tcW w:w="0" w:type="auto"/>
            <w:shd w:val="clear" w:color="auto" w:fill="auto"/>
          </w:tcPr>
          <w:p w:rsidR="00C029F1" w:rsidRPr="007C35E7" w:rsidRDefault="00C029F1" w:rsidP="007C35E7">
            <w:pPr>
              <w:pStyle w:val="TblTextCenter"/>
            </w:pPr>
            <w:r w:rsidRPr="007C35E7">
              <w:t>12.0</w:t>
            </w:r>
          </w:p>
        </w:tc>
        <w:tc>
          <w:tcPr>
            <w:tcW w:w="2936" w:type="dxa"/>
            <w:shd w:val="clear" w:color="auto" w:fill="auto"/>
          </w:tcPr>
          <w:p w:rsidR="00C029F1" w:rsidRPr="007C35E7" w:rsidRDefault="00C029F1" w:rsidP="007C35E7">
            <w:pPr>
              <w:pStyle w:val="TblTextCenter"/>
            </w:pPr>
            <w:r w:rsidRPr="007C35E7">
              <w:t>35.6</w:t>
            </w:r>
          </w:p>
        </w:tc>
        <w:tc>
          <w:tcPr>
            <w:tcW w:w="1878" w:type="dxa"/>
            <w:shd w:val="clear" w:color="auto" w:fill="auto"/>
          </w:tcPr>
          <w:p w:rsidR="00C029F1" w:rsidRPr="007C35E7" w:rsidRDefault="00C029F1" w:rsidP="007C35E7">
            <w:pPr>
              <w:pStyle w:val="TblTextCenter"/>
            </w:pPr>
            <w:r w:rsidRPr="007C35E7">
              <w:t>5.2</w:t>
            </w:r>
          </w:p>
        </w:tc>
      </w:tr>
      <w:tr w:rsidR="00C029F1" w:rsidRPr="00F70E6A" w:rsidTr="007C35E7">
        <w:trPr>
          <w:cantSplit/>
          <w:jc w:val="center"/>
        </w:trPr>
        <w:tc>
          <w:tcPr>
            <w:tcW w:w="0" w:type="auto"/>
            <w:shd w:val="clear" w:color="auto" w:fill="auto"/>
          </w:tcPr>
          <w:p w:rsidR="00C029F1" w:rsidRPr="007C35E7" w:rsidRDefault="00C029F1" w:rsidP="007C35E7">
            <w:pPr>
              <w:pStyle w:val="TblTextCenter"/>
            </w:pPr>
            <w:r w:rsidRPr="007C35E7">
              <w:t>Mean change in basal insulin dose (U)</w:t>
            </w:r>
            <w:r w:rsidR="006246E4" w:rsidRPr="007C35E7">
              <w:t xml:space="preserve"> </w:t>
            </w:r>
            <w:r w:rsidRPr="007C35E7">
              <w:t>Baseline</w:t>
            </w:r>
          </w:p>
          <w:p w:rsidR="00C029F1" w:rsidRPr="007C35E7" w:rsidRDefault="00C029F1" w:rsidP="007C35E7">
            <w:pPr>
              <w:pStyle w:val="TblTextCenter"/>
            </w:pPr>
            <w:r w:rsidRPr="007C35E7">
              <w:t>LS mean change from baseline</w:t>
            </w:r>
          </w:p>
        </w:tc>
        <w:tc>
          <w:tcPr>
            <w:tcW w:w="0" w:type="auto"/>
            <w:shd w:val="clear" w:color="auto" w:fill="auto"/>
          </w:tcPr>
          <w:p w:rsidR="00C029F1" w:rsidRPr="007C35E7" w:rsidRDefault="006246E4" w:rsidP="007C35E7">
            <w:pPr>
              <w:pStyle w:val="TblTextCenter"/>
            </w:pPr>
            <w:r w:rsidRPr="007C35E7">
              <w:br/>
            </w:r>
            <w:r w:rsidR="00C029F1" w:rsidRPr="007C35E7">
              <w:t>53.62</w:t>
            </w:r>
          </w:p>
          <w:p w:rsidR="00C029F1" w:rsidRPr="007C35E7" w:rsidRDefault="00C029F1" w:rsidP="007C35E7">
            <w:pPr>
              <w:pStyle w:val="TblTextCenter"/>
            </w:pPr>
            <w:r w:rsidRPr="007C35E7">
              <w:t>-5.62</w:t>
            </w:r>
          </w:p>
        </w:tc>
        <w:tc>
          <w:tcPr>
            <w:tcW w:w="0" w:type="auto"/>
            <w:shd w:val="clear" w:color="auto" w:fill="auto"/>
          </w:tcPr>
          <w:p w:rsidR="00C029F1" w:rsidRPr="007C35E7" w:rsidRDefault="006246E4" w:rsidP="007C35E7">
            <w:pPr>
              <w:pStyle w:val="TblTextCenter"/>
            </w:pPr>
            <w:r w:rsidRPr="007C35E7">
              <w:br/>
            </w:r>
            <w:r w:rsidR="00C029F1" w:rsidRPr="007C35E7">
              <w:t>57.65</w:t>
            </w:r>
          </w:p>
          <w:p w:rsidR="00C029F1" w:rsidRPr="007C35E7" w:rsidRDefault="00C029F1" w:rsidP="007C35E7">
            <w:pPr>
              <w:pStyle w:val="TblTextCenter"/>
            </w:pPr>
            <w:r w:rsidRPr="007C35E7">
              <w:t>-1.93</w:t>
            </w:r>
          </w:p>
        </w:tc>
        <w:tc>
          <w:tcPr>
            <w:tcW w:w="2936" w:type="dxa"/>
            <w:shd w:val="clear" w:color="auto" w:fill="auto"/>
          </w:tcPr>
          <w:p w:rsidR="00C029F1" w:rsidRPr="007C35E7" w:rsidRDefault="006246E4" w:rsidP="007C35E7">
            <w:pPr>
              <w:pStyle w:val="TblTextCenter"/>
            </w:pPr>
            <w:r w:rsidRPr="007C35E7">
              <w:br/>
            </w:r>
            <w:r w:rsidR="00C029F1" w:rsidRPr="007C35E7">
              <w:t>24.87</w:t>
            </w:r>
          </w:p>
          <w:p w:rsidR="00C029F1" w:rsidRPr="007C35E7" w:rsidRDefault="00C029F1" w:rsidP="007C35E7">
            <w:pPr>
              <w:pStyle w:val="TblTextCenter"/>
            </w:pPr>
            <w:r w:rsidRPr="007C35E7">
              <w:t>-1.39</w:t>
            </w:r>
          </w:p>
        </w:tc>
        <w:tc>
          <w:tcPr>
            <w:tcW w:w="1878" w:type="dxa"/>
            <w:shd w:val="clear" w:color="auto" w:fill="auto"/>
          </w:tcPr>
          <w:p w:rsidR="00C029F1" w:rsidRPr="007C35E7" w:rsidRDefault="006246E4" w:rsidP="007C35E7">
            <w:pPr>
              <w:pStyle w:val="TblTextCenter"/>
            </w:pPr>
            <w:r w:rsidRPr="007C35E7">
              <w:br/>
              <w:t xml:space="preserve">           </w:t>
            </w:r>
            <w:r w:rsidR="00C029F1" w:rsidRPr="007C35E7">
              <w:t>24.11</w:t>
            </w:r>
          </w:p>
          <w:p w:rsidR="00C029F1" w:rsidRPr="007C35E7" w:rsidRDefault="00C029F1" w:rsidP="007C35E7">
            <w:pPr>
              <w:pStyle w:val="TblTextCenter"/>
            </w:pPr>
            <w:r w:rsidRPr="007C35E7">
              <w:t>-0.11</w:t>
            </w:r>
          </w:p>
        </w:tc>
      </w:tr>
      <w:tr w:rsidR="00C029F1" w:rsidRPr="00E45505" w:rsidTr="007C35E7">
        <w:trPr>
          <w:cantSplit/>
          <w:jc w:val="center"/>
        </w:trPr>
        <w:tc>
          <w:tcPr>
            <w:tcW w:w="0" w:type="auto"/>
            <w:tcBorders>
              <w:bottom w:val="single" w:sz="12" w:space="0" w:color="auto"/>
            </w:tcBorders>
            <w:shd w:val="clear" w:color="auto" w:fill="auto"/>
          </w:tcPr>
          <w:p w:rsidR="00C029F1" w:rsidRPr="007C35E7" w:rsidRDefault="00C029F1" w:rsidP="007C35E7">
            <w:pPr>
              <w:pStyle w:val="TblTextCenter"/>
            </w:pPr>
            <w:r w:rsidRPr="007C35E7">
              <w:t>Mean body weight (kg)</w:t>
            </w:r>
            <w:r w:rsidR="006246E4" w:rsidRPr="007C35E7">
              <w:br/>
            </w:r>
            <w:r w:rsidRPr="007C35E7">
              <w:t>Baseline</w:t>
            </w:r>
          </w:p>
          <w:p w:rsidR="00C029F1" w:rsidRPr="007C35E7" w:rsidRDefault="00C029F1" w:rsidP="007C35E7">
            <w:pPr>
              <w:pStyle w:val="TblTextCenter"/>
            </w:pPr>
            <w:r w:rsidRPr="007C35E7">
              <w:t>LS mean change from baseline</w:t>
            </w:r>
          </w:p>
        </w:tc>
        <w:tc>
          <w:tcPr>
            <w:tcW w:w="0" w:type="auto"/>
            <w:tcBorders>
              <w:bottom w:val="single" w:sz="12" w:space="0" w:color="auto"/>
            </w:tcBorders>
            <w:shd w:val="clear" w:color="auto" w:fill="auto"/>
          </w:tcPr>
          <w:p w:rsidR="00C029F1" w:rsidRPr="007C35E7" w:rsidRDefault="00C029F1" w:rsidP="007C35E7">
            <w:pPr>
              <w:pStyle w:val="TblTextCenter"/>
            </w:pPr>
          </w:p>
          <w:p w:rsidR="00C029F1" w:rsidRPr="007C35E7" w:rsidRDefault="00C029F1" w:rsidP="007C35E7">
            <w:pPr>
              <w:pStyle w:val="TblTextCenter"/>
            </w:pPr>
            <w:r w:rsidRPr="007C35E7">
              <w:t>87.39</w:t>
            </w:r>
          </w:p>
          <w:p w:rsidR="00C029F1" w:rsidRPr="007C35E7" w:rsidRDefault="00C029F1" w:rsidP="007C35E7">
            <w:pPr>
              <w:pStyle w:val="TblTextCenter"/>
            </w:pPr>
            <w:r w:rsidRPr="007C35E7">
              <w:t>-1.80</w:t>
            </w:r>
          </w:p>
        </w:tc>
        <w:tc>
          <w:tcPr>
            <w:tcW w:w="0" w:type="auto"/>
            <w:tcBorders>
              <w:bottom w:val="single" w:sz="12" w:space="0" w:color="auto"/>
            </w:tcBorders>
            <w:shd w:val="clear" w:color="auto" w:fill="auto"/>
          </w:tcPr>
          <w:p w:rsidR="00C029F1" w:rsidRPr="007C35E7" w:rsidRDefault="00C029F1" w:rsidP="007C35E7">
            <w:pPr>
              <w:pStyle w:val="TblTextCenter"/>
            </w:pPr>
          </w:p>
          <w:p w:rsidR="00C029F1" w:rsidRPr="007C35E7" w:rsidRDefault="00C029F1" w:rsidP="007C35E7">
            <w:pPr>
              <w:pStyle w:val="TblTextCenter"/>
            </w:pPr>
            <w:r w:rsidRPr="007C35E7">
              <w:t>89.11</w:t>
            </w:r>
          </w:p>
          <w:p w:rsidR="00C029F1" w:rsidRPr="007C35E7" w:rsidRDefault="00C029F1" w:rsidP="007C35E7">
            <w:pPr>
              <w:pStyle w:val="TblTextCenter"/>
            </w:pPr>
            <w:r w:rsidRPr="007C35E7">
              <w:t>-0.52</w:t>
            </w:r>
          </w:p>
        </w:tc>
        <w:tc>
          <w:tcPr>
            <w:tcW w:w="2936" w:type="dxa"/>
            <w:tcBorders>
              <w:bottom w:val="single" w:sz="12" w:space="0" w:color="auto"/>
            </w:tcBorders>
            <w:shd w:val="clear" w:color="auto" w:fill="auto"/>
          </w:tcPr>
          <w:p w:rsidR="00C029F1" w:rsidRPr="007C35E7" w:rsidRDefault="00C029F1" w:rsidP="007C35E7">
            <w:pPr>
              <w:pStyle w:val="TblTextCenter"/>
            </w:pPr>
          </w:p>
          <w:p w:rsidR="00C029F1" w:rsidRPr="007C35E7" w:rsidRDefault="00C029F1" w:rsidP="007C35E7">
            <w:pPr>
              <w:pStyle w:val="TblTextCenter"/>
            </w:pPr>
            <w:r w:rsidRPr="007C35E7">
              <w:t>65.99</w:t>
            </w:r>
          </w:p>
          <w:p w:rsidR="00C029F1" w:rsidRPr="007C35E7" w:rsidRDefault="00C029F1" w:rsidP="007C35E7">
            <w:pPr>
              <w:pStyle w:val="TblTextCenter"/>
            </w:pPr>
            <w:r w:rsidRPr="007C35E7">
              <w:t>-0.38</w:t>
            </w:r>
          </w:p>
        </w:tc>
        <w:tc>
          <w:tcPr>
            <w:tcW w:w="1878" w:type="dxa"/>
            <w:tcBorders>
              <w:bottom w:val="single" w:sz="12" w:space="0" w:color="auto"/>
            </w:tcBorders>
            <w:shd w:val="clear" w:color="auto" w:fill="auto"/>
          </w:tcPr>
          <w:p w:rsidR="00C029F1" w:rsidRPr="007C35E7" w:rsidRDefault="00C029F1" w:rsidP="007C35E7">
            <w:pPr>
              <w:pStyle w:val="TblTextCenter"/>
            </w:pPr>
          </w:p>
          <w:p w:rsidR="00C029F1" w:rsidRPr="007C35E7" w:rsidRDefault="00C029F1" w:rsidP="007C35E7">
            <w:pPr>
              <w:pStyle w:val="TblTextCenter"/>
            </w:pPr>
            <w:r w:rsidRPr="007C35E7">
              <w:t>65.60</w:t>
            </w:r>
          </w:p>
          <w:p w:rsidR="00C029F1" w:rsidRPr="007C35E7" w:rsidRDefault="00C029F1" w:rsidP="007C35E7">
            <w:pPr>
              <w:pStyle w:val="TblTextCenter"/>
            </w:pPr>
            <w:r w:rsidRPr="007C35E7">
              <w:t>0.06</w:t>
            </w:r>
          </w:p>
        </w:tc>
      </w:tr>
      <w:tr w:rsidR="00C74FCB" w:rsidRPr="00F70E6A" w:rsidTr="007C35E7">
        <w:trPr>
          <w:cantSplit/>
          <w:jc w:val="center"/>
        </w:trPr>
        <w:tc>
          <w:tcPr>
            <w:tcW w:w="9948" w:type="dxa"/>
            <w:gridSpan w:val="5"/>
            <w:tcBorders>
              <w:top w:val="single" w:sz="12" w:space="0" w:color="auto"/>
            </w:tcBorders>
            <w:shd w:val="clear" w:color="auto" w:fill="auto"/>
          </w:tcPr>
          <w:p w:rsidR="008D4A3D" w:rsidRPr="00543BAB" w:rsidRDefault="00162E3C" w:rsidP="00C74FCB">
            <w:pPr>
              <w:pStyle w:val="TblFigFootnote"/>
            </w:pPr>
            <w:r w:rsidRPr="00A418CB">
              <w:t>*</w:t>
            </w:r>
            <w:r w:rsidR="007C35E7" w:rsidRPr="00A418CB">
              <w:t>Performed</w:t>
            </w:r>
            <w:r w:rsidR="007C35E7" w:rsidRPr="00993A20">
              <w:t xml:space="preserve"> in Asian population</w:t>
            </w:r>
          </w:p>
        </w:tc>
      </w:tr>
    </w:tbl>
    <w:p w:rsidR="00C029F1" w:rsidRPr="00492B96" w:rsidRDefault="00C029F1" w:rsidP="00C029F1">
      <w:pPr>
        <w:pStyle w:val="Heading2"/>
        <w:numPr>
          <w:ilvl w:val="0"/>
          <w:numId w:val="0"/>
        </w:numPr>
        <w:rPr>
          <w:lang w:val="pt-BR"/>
        </w:rPr>
      </w:pPr>
      <w:bookmarkStart w:id="44" w:name="_Toc310954957"/>
      <w:r w:rsidRPr="00492B96">
        <w:rPr>
          <w:lang w:val="pt-BR"/>
        </w:rPr>
        <w:t>Fasting plasma glucose</w:t>
      </w:r>
      <w:bookmarkEnd w:id="44"/>
    </w:p>
    <w:p w:rsidR="00C029F1" w:rsidRDefault="00C029F1" w:rsidP="00C029F1">
      <w:r w:rsidRPr="00C029F1">
        <w:t>The mean decrease in fasting pl</w:t>
      </w:r>
      <w:r>
        <w:t xml:space="preserve">asma glucose obtained with </w:t>
      </w:r>
      <w:proofErr w:type="spellStart"/>
      <w:r>
        <w:t>lixisenatide</w:t>
      </w:r>
      <w:proofErr w:type="spellEnd"/>
      <w:r>
        <w:t xml:space="preserve"> </w:t>
      </w:r>
      <w:r w:rsidRPr="00C029F1">
        <w:t xml:space="preserve">treatment ranged from 0.42 </w:t>
      </w:r>
      <w:proofErr w:type="spellStart"/>
      <w:r w:rsidRPr="00C029F1">
        <w:t>mmol</w:t>
      </w:r>
      <w:proofErr w:type="spellEnd"/>
      <w:r w:rsidRPr="00C029F1">
        <w:t xml:space="preserve">/L to 1.19 </w:t>
      </w:r>
      <w:proofErr w:type="spellStart"/>
      <w:r w:rsidRPr="00C029F1">
        <w:t>mmol</w:t>
      </w:r>
      <w:proofErr w:type="spellEnd"/>
      <w:r w:rsidRPr="00C029F1">
        <w:t>/L at the end of the main 24-week treatment period in placebo-controlled studies.</w:t>
      </w:r>
    </w:p>
    <w:p w:rsidR="00C029F1" w:rsidRDefault="00C029F1" w:rsidP="00C029F1">
      <w:pPr>
        <w:pStyle w:val="Heading2"/>
        <w:numPr>
          <w:ilvl w:val="0"/>
          <w:numId w:val="0"/>
        </w:numPr>
      </w:pPr>
      <w:bookmarkStart w:id="45" w:name="_Toc310954958"/>
      <w:r>
        <w:t>Post-prandial glucose</w:t>
      </w:r>
      <w:bookmarkEnd w:id="45"/>
    </w:p>
    <w:p w:rsidR="00447A04" w:rsidRPr="00447A04" w:rsidRDefault="00C029F1" w:rsidP="00447A04">
      <w:r>
        <w:t xml:space="preserve">Treatment with </w:t>
      </w:r>
      <w:proofErr w:type="spellStart"/>
      <w:r>
        <w:t>lixisenatide</w:t>
      </w:r>
      <w:proofErr w:type="spellEnd"/>
      <w:r w:rsidRPr="00C029F1">
        <w:t xml:space="preserve"> resulted in reductions in 2-hour post-</w:t>
      </w:r>
      <w:proofErr w:type="spellStart"/>
      <w:r w:rsidRPr="00C029F1">
        <w:t>prandial</w:t>
      </w:r>
      <w:proofErr w:type="spellEnd"/>
      <w:r w:rsidRPr="00C029F1">
        <w:t xml:space="preserve"> glucose after a test-meal statistically superior to placebo</w:t>
      </w:r>
      <w:r w:rsidR="000E0F75">
        <w:t>,</w:t>
      </w:r>
      <w:r w:rsidRPr="00C029F1">
        <w:t xml:space="preserve"> </w:t>
      </w:r>
      <w:r w:rsidR="00330D80" w:rsidRPr="00D9641F">
        <w:t>in placebo controlled studies</w:t>
      </w:r>
      <w:r w:rsidRPr="00C029F1">
        <w:t>.</w:t>
      </w:r>
      <w:r w:rsidR="00447A04">
        <w:t xml:space="preserve"> </w:t>
      </w:r>
      <w:r w:rsidR="00447A04" w:rsidRPr="00447A04">
        <w:t xml:space="preserve">These reductions ranged from 4.51 to 7.96 </w:t>
      </w:r>
      <w:proofErr w:type="spellStart"/>
      <w:r w:rsidR="00447A04" w:rsidRPr="00447A04">
        <w:t>mmol</w:t>
      </w:r>
      <w:proofErr w:type="spellEnd"/>
      <w:r w:rsidR="00447A04" w:rsidRPr="00447A04">
        <w:t>/L from baseline at the end of the main 24-week treatment period across all studies in which post-</w:t>
      </w:r>
      <w:proofErr w:type="spellStart"/>
      <w:r w:rsidR="00447A04" w:rsidRPr="00447A04">
        <w:t>prandial</w:t>
      </w:r>
      <w:proofErr w:type="spellEnd"/>
      <w:r w:rsidR="00447A04" w:rsidRPr="00447A04">
        <w:t xml:space="preserve"> glucose was measured; 26.2% to 46.8% of patients had a 2-hour post-</w:t>
      </w:r>
      <w:proofErr w:type="spellStart"/>
      <w:r w:rsidR="00447A04" w:rsidRPr="00447A04">
        <w:t>prandial</w:t>
      </w:r>
      <w:proofErr w:type="spellEnd"/>
      <w:r w:rsidR="00447A04" w:rsidRPr="00447A04">
        <w:t xml:space="preserve"> glucose value below 7.8 </w:t>
      </w:r>
      <w:proofErr w:type="spellStart"/>
      <w:r w:rsidR="00447A04" w:rsidRPr="00447A04">
        <w:t>mmol</w:t>
      </w:r>
      <w:proofErr w:type="spellEnd"/>
      <w:r w:rsidR="00447A04" w:rsidRPr="00447A04">
        <w:t>/L.</w:t>
      </w:r>
    </w:p>
    <w:p w:rsidR="00CA187B" w:rsidRDefault="00447A04" w:rsidP="00F04014">
      <w:pPr>
        <w:pStyle w:val="Heading2"/>
        <w:numPr>
          <w:ilvl w:val="0"/>
          <w:numId w:val="0"/>
        </w:numPr>
      </w:pPr>
      <w:bookmarkStart w:id="46" w:name="_Toc310954959"/>
      <w:r>
        <w:lastRenderedPageBreak/>
        <w:t>Body Weight</w:t>
      </w:r>
      <w:bookmarkEnd w:id="46"/>
    </w:p>
    <w:p w:rsidR="00D9641F" w:rsidRPr="005600B2" w:rsidRDefault="00D9641F" w:rsidP="00532C14">
      <w:pPr>
        <w:rPr>
          <w:color w:val="auto"/>
        </w:rPr>
      </w:pPr>
      <w:r w:rsidRPr="00532C14">
        <w:t xml:space="preserve">Treatment with </w:t>
      </w:r>
      <w:proofErr w:type="spellStart"/>
      <w:r w:rsidRPr="00532C14">
        <w:t>Lyxumia</w:t>
      </w:r>
      <w:proofErr w:type="spellEnd"/>
      <w:r w:rsidRPr="00532C14">
        <w:t xml:space="preserve"> in combination with </w:t>
      </w:r>
      <w:proofErr w:type="spellStart"/>
      <w:r w:rsidRPr="00532C14">
        <w:t>metformin</w:t>
      </w:r>
      <w:proofErr w:type="spellEnd"/>
      <w:r w:rsidRPr="00532C14">
        <w:t xml:space="preserve"> and/or a </w:t>
      </w:r>
      <w:proofErr w:type="spellStart"/>
      <w:r w:rsidRPr="00532C14">
        <w:t>sulphonylurea</w:t>
      </w:r>
      <w:proofErr w:type="spellEnd"/>
      <w:r w:rsidRPr="00532C14">
        <w:t xml:space="preserve"> resulted in a sustained body weight change from baseline in all controlled studies in a range from -1.76 kg to</w:t>
      </w:r>
      <w:r w:rsidRPr="00532C14">
        <w:br/>
        <w:t>-2.96 kg at the end of the main 24-week treatment period</w:t>
      </w:r>
      <w:r w:rsidRPr="00532C14">
        <w:rPr>
          <w:color w:val="0000FF"/>
        </w:rPr>
        <w:t xml:space="preserve">. </w:t>
      </w:r>
      <w:r w:rsidR="00532C14" w:rsidRPr="005600B2">
        <w:rPr>
          <w:color w:val="auto"/>
        </w:rPr>
        <w:t xml:space="preserve">Body weight reduction was sustained in long term studies up to 76 weeks. </w:t>
      </w:r>
    </w:p>
    <w:p w:rsidR="00D9641F" w:rsidRPr="007B0E04" w:rsidRDefault="00D9641F" w:rsidP="00D9641F">
      <w:pPr>
        <w:autoSpaceDE w:val="0"/>
        <w:autoSpaceDN w:val="0"/>
        <w:adjustRightInd w:val="0"/>
      </w:pPr>
      <w:r w:rsidRPr="007B0E04">
        <w:t xml:space="preserve">Body weight change from baseline in a range from -0.38 kg to -1.80 kg was also observed in </w:t>
      </w:r>
      <w:proofErr w:type="spellStart"/>
      <w:r w:rsidRPr="007B0E04">
        <w:t>lixisenatide</w:t>
      </w:r>
      <w:proofErr w:type="spellEnd"/>
      <w:r w:rsidRPr="007B0E04">
        <w:t xml:space="preserve"> patients receiving stable basal insulin dose, alone or in combination with </w:t>
      </w:r>
      <w:proofErr w:type="spellStart"/>
      <w:r w:rsidRPr="007B0E04">
        <w:t>metformin</w:t>
      </w:r>
      <w:proofErr w:type="spellEnd"/>
      <w:r w:rsidRPr="007B0E04">
        <w:t xml:space="preserve"> or a </w:t>
      </w:r>
      <w:proofErr w:type="spellStart"/>
      <w:r w:rsidRPr="007B0E04">
        <w:t>sulphonylurea</w:t>
      </w:r>
      <w:proofErr w:type="spellEnd"/>
      <w:r w:rsidRPr="007B0E04">
        <w:t xml:space="preserve">. </w:t>
      </w:r>
    </w:p>
    <w:p w:rsidR="00A404F5" w:rsidRDefault="00A404F5" w:rsidP="00A404F5">
      <w:pPr>
        <w:pStyle w:val="Heading2"/>
        <w:numPr>
          <w:ilvl w:val="0"/>
          <w:numId w:val="0"/>
        </w:numPr>
      </w:pPr>
      <w:bookmarkStart w:id="47" w:name="_Toc310954960"/>
      <w:r>
        <w:t>Beta cell function</w:t>
      </w:r>
      <w:bookmarkEnd w:id="47"/>
    </w:p>
    <w:p w:rsidR="00A404F5" w:rsidRDefault="00A404F5" w:rsidP="00A404F5">
      <w:r>
        <w:t xml:space="preserve">In clinical studies, </w:t>
      </w:r>
      <w:proofErr w:type="spellStart"/>
      <w:r>
        <w:t>lixisenatide</w:t>
      </w:r>
      <w:proofErr w:type="spellEnd"/>
      <w:r>
        <w:t xml:space="preserve"> improved the beta-cell function as measured by the homeostasis model assessment for beta-cell function (HOMA-β). </w:t>
      </w:r>
    </w:p>
    <w:p w:rsidR="00A404F5" w:rsidRDefault="00A404F5" w:rsidP="00A404F5">
      <w:r>
        <w:t xml:space="preserve">Restoration of first phase insulin secretion and improved second phase insulin secretion in response to an intravenous bolus of glucose was demonstrated in patients with type 2 diabetes (n=20) after a single dose of </w:t>
      </w:r>
      <w:proofErr w:type="spellStart"/>
      <w:r>
        <w:t>lixisenatide</w:t>
      </w:r>
      <w:proofErr w:type="spellEnd"/>
      <w:r>
        <w:t>.</w:t>
      </w:r>
    </w:p>
    <w:p w:rsidR="00A404F5" w:rsidRDefault="00A404F5" w:rsidP="00A404F5">
      <w:pPr>
        <w:pStyle w:val="Heading2"/>
        <w:numPr>
          <w:ilvl w:val="0"/>
          <w:numId w:val="0"/>
        </w:numPr>
      </w:pPr>
      <w:bookmarkStart w:id="48" w:name="_Toc310954961"/>
      <w:r>
        <w:t>Heart rate</w:t>
      </w:r>
      <w:bookmarkEnd w:id="48"/>
    </w:p>
    <w:p w:rsidR="00A404F5" w:rsidRDefault="00A404F5" w:rsidP="00A404F5">
      <w:r>
        <w:t xml:space="preserve">No increase in heart rate was seen in all controlled phase III </w:t>
      </w:r>
      <w:r w:rsidRPr="00DE078E">
        <w:t>studies</w:t>
      </w:r>
      <w:r w:rsidR="002C0E8A" w:rsidRPr="00DE078E">
        <w:rPr>
          <w:rFonts w:eastAsia="MS Gothic"/>
          <w:noProof/>
          <w:color w:val="0000FF"/>
        </w:rPr>
        <w:t>.</w:t>
      </w:r>
    </w:p>
    <w:p w:rsidR="00A404F5" w:rsidRDefault="00A404F5" w:rsidP="00A404F5">
      <w:r>
        <w:t xml:space="preserve">In a 4-week study versus </w:t>
      </w:r>
      <w:proofErr w:type="spellStart"/>
      <w:r>
        <w:t>liraglutide</w:t>
      </w:r>
      <w:proofErr w:type="spellEnd"/>
      <w:r>
        <w:t xml:space="preserve">, mean heart rate decreased by 3.6 </w:t>
      </w:r>
      <w:proofErr w:type="spellStart"/>
      <w:r>
        <w:t>bpm</w:t>
      </w:r>
      <w:proofErr w:type="spellEnd"/>
      <w:r>
        <w:t xml:space="preserve"> in the </w:t>
      </w:r>
      <w:proofErr w:type="spellStart"/>
      <w:r>
        <w:t>lixisenatide</w:t>
      </w:r>
      <w:proofErr w:type="spellEnd"/>
      <w:r>
        <w:t xml:space="preserve"> group (20 µg once a day) while it increased by 5.3 </w:t>
      </w:r>
      <w:proofErr w:type="spellStart"/>
      <w:r>
        <w:t>bpm</w:t>
      </w:r>
      <w:proofErr w:type="spellEnd"/>
      <w:r>
        <w:t xml:space="preserve"> in the </w:t>
      </w:r>
      <w:proofErr w:type="spellStart"/>
      <w:r>
        <w:t>liraglutide</w:t>
      </w:r>
      <w:proofErr w:type="spellEnd"/>
      <w:r>
        <w:t xml:space="preserve"> (1.8 mg once a day) group.</w:t>
      </w:r>
    </w:p>
    <w:p w:rsidR="00A404F5" w:rsidRDefault="00A404F5" w:rsidP="00A404F5">
      <w:pPr>
        <w:pStyle w:val="Heading2"/>
        <w:numPr>
          <w:ilvl w:val="0"/>
          <w:numId w:val="0"/>
        </w:numPr>
      </w:pPr>
      <w:bookmarkStart w:id="49" w:name="_Toc310954962"/>
      <w:r>
        <w:t>Blood Pressure</w:t>
      </w:r>
      <w:bookmarkEnd w:id="49"/>
    </w:p>
    <w:p w:rsidR="00447A04" w:rsidRPr="00447A04" w:rsidRDefault="00A404F5" w:rsidP="00A404F5">
      <w:r w:rsidRPr="00A404F5">
        <w:t>Systolic and diastolic blood pressure reductions up to 2.1mmHg and up to 1.5 mmHg respectively were observed in phase III placebo-controlled studies.</w:t>
      </w:r>
    </w:p>
    <w:p w:rsidR="00BC52A5" w:rsidRDefault="00BC52A5" w:rsidP="00BC52A5">
      <w:pPr>
        <w:pStyle w:val="Heading1"/>
        <w:pageBreakBefore w:val="0"/>
        <w:numPr>
          <w:ilvl w:val="0"/>
          <w:numId w:val="0"/>
        </w:numPr>
      </w:pPr>
      <w:bookmarkStart w:id="50" w:name="_Toc310954963"/>
      <w:r>
        <w:t>indications</w:t>
      </w:r>
      <w:bookmarkEnd w:id="50"/>
    </w:p>
    <w:p w:rsidR="00A12822" w:rsidRDefault="00A12822" w:rsidP="00A12822">
      <w:bookmarkStart w:id="51" w:name="_Toc310954964"/>
      <w:proofErr w:type="spellStart"/>
      <w:r w:rsidRPr="00CA187B">
        <w:t>Lyxumia</w:t>
      </w:r>
      <w:proofErr w:type="spellEnd"/>
      <w:r w:rsidRPr="00CA187B">
        <w:t xml:space="preserve"> is indicated for the treatment of adults with type 2 diabetes mellitus to achieve </w:t>
      </w:r>
      <w:proofErr w:type="spellStart"/>
      <w:r w:rsidRPr="00CA187B">
        <w:t>glycaemic</w:t>
      </w:r>
      <w:proofErr w:type="spellEnd"/>
      <w:r w:rsidRPr="00CA187B">
        <w:t xml:space="preserve"> control in combination with </w:t>
      </w:r>
      <w:proofErr w:type="spellStart"/>
      <w:r w:rsidRPr="00CA187B">
        <w:t>metformin</w:t>
      </w:r>
      <w:proofErr w:type="spellEnd"/>
      <w:r w:rsidRPr="00CA187B">
        <w:t xml:space="preserve">, </w:t>
      </w:r>
      <w:proofErr w:type="spellStart"/>
      <w:r w:rsidRPr="00CA187B">
        <w:t>metformin</w:t>
      </w:r>
      <w:proofErr w:type="spellEnd"/>
      <w:r w:rsidRPr="00CA187B">
        <w:t xml:space="preserve"> and </w:t>
      </w:r>
      <w:proofErr w:type="spellStart"/>
      <w:r w:rsidRPr="00CA187B">
        <w:t>sulphonylurea</w:t>
      </w:r>
      <w:proofErr w:type="spellEnd"/>
      <w:r w:rsidRPr="00CA187B">
        <w:t xml:space="preserve">, basal insulin and </w:t>
      </w:r>
      <w:proofErr w:type="spellStart"/>
      <w:r w:rsidRPr="00CA187B">
        <w:t>metformin</w:t>
      </w:r>
      <w:proofErr w:type="spellEnd"/>
      <w:r w:rsidRPr="00CA187B">
        <w:t xml:space="preserve">, basal insulin and </w:t>
      </w:r>
      <w:proofErr w:type="spellStart"/>
      <w:r w:rsidRPr="00CA187B">
        <w:t>sulphonylurea</w:t>
      </w:r>
      <w:proofErr w:type="spellEnd"/>
      <w:r w:rsidRPr="00CA187B">
        <w:t xml:space="preserve"> when these, together with diet and exercise, do not provide adequate </w:t>
      </w:r>
      <w:proofErr w:type="spellStart"/>
      <w:r w:rsidRPr="00CA187B">
        <w:t>glycaemic</w:t>
      </w:r>
      <w:proofErr w:type="spellEnd"/>
      <w:r w:rsidRPr="00CA187B">
        <w:t xml:space="preserve"> control (see sections CLINICAL TRIALS and PRECAUTIONS (Risk of Hypoglycemia)</w:t>
      </w:r>
      <w:r w:rsidR="007111B9" w:rsidRPr="00CA187B">
        <w:t>)</w:t>
      </w:r>
      <w:r w:rsidRPr="00CA187B">
        <w:t xml:space="preserve"> for available data on the different combinations.</w:t>
      </w:r>
    </w:p>
    <w:p w:rsidR="00BC52A5" w:rsidRDefault="00BC52A5" w:rsidP="00BC52A5">
      <w:pPr>
        <w:pStyle w:val="Heading1"/>
        <w:pageBreakBefore w:val="0"/>
        <w:numPr>
          <w:ilvl w:val="0"/>
          <w:numId w:val="0"/>
        </w:numPr>
      </w:pPr>
      <w:r>
        <w:lastRenderedPageBreak/>
        <w:t>contraindications</w:t>
      </w:r>
      <w:bookmarkEnd w:id="51"/>
    </w:p>
    <w:p w:rsidR="00CD38F7" w:rsidRDefault="00A56D58" w:rsidP="00CD38F7">
      <w:proofErr w:type="spellStart"/>
      <w:r>
        <w:t>Lyxumia</w:t>
      </w:r>
      <w:proofErr w:type="spellEnd"/>
      <w:r w:rsidR="00CD38F7" w:rsidRPr="00CD38F7">
        <w:t xml:space="preserve"> is contraindicated in patients with</w:t>
      </w:r>
      <w:r w:rsidR="00C4211E">
        <w:t xml:space="preserve"> </w:t>
      </w:r>
      <w:r w:rsidR="00CD38F7" w:rsidRPr="00CD38F7">
        <w:t xml:space="preserve">known hypersensitivity to </w:t>
      </w:r>
      <w:proofErr w:type="spellStart"/>
      <w:r w:rsidR="00CD38F7" w:rsidRPr="00CD38F7">
        <w:t>lixisenatide</w:t>
      </w:r>
      <w:proofErr w:type="spellEnd"/>
      <w:r w:rsidR="00CD38F7" w:rsidRPr="00CD38F7">
        <w:t xml:space="preserve"> or to any of the inactive ingredients in the formulation. </w:t>
      </w:r>
    </w:p>
    <w:p w:rsidR="00BC52A5" w:rsidRDefault="00BC52A5" w:rsidP="00BC52A5">
      <w:pPr>
        <w:pStyle w:val="Heading1"/>
        <w:pageBreakBefore w:val="0"/>
        <w:numPr>
          <w:ilvl w:val="0"/>
          <w:numId w:val="0"/>
        </w:numPr>
      </w:pPr>
      <w:bookmarkStart w:id="52" w:name="_Toc310954965"/>
      <w:r>
        <w:t>precautions</w:t>
      </w:r>
      <w:bookmarkEnd w:id="52"/>
    </w:p>
    <w:p w:rsidR="00CD38F7" w:rsidRDefault="00CD38F7" w:rsidP="00CD38F7">
      <w:pPr>
        <w:pStyle w:val="Heading2"/>
        <w:numPr>
          <w:ilvl w:val="0"/>
          <w:numId w:val="0"/>
        </w:numPr>
      </w:pPr>
      <w:bookmarkStart w:id="53" w:name="_Toc310954966"/>
      <w:r>
        <w:t>USE in type 1 diabetes</w:t>
      </w:r>
      <w:bookmarkEnd w:id="53"/>
    </w:p>
    <w:p w:rsidR="00CD38F7" w:rsidRDefault="00CD38F7" w:rsidP="00CD38F7">
      <w:r w:rsidRPr="00CD38F7">
        <w:t xml:space="preserve">There is </w:t>
      </w:r>
      <w:r w:rsidR="00A56D58">
        <w:t xml:space="preserve">no therapeutic experience with </w:t>
      </w:r>
      <w:proofErr w:type="spellStart"/>
      <w:r w:rsidR="00A56D58">
        <w:t>Lyxumia</w:t>
      </w:r>
      <w:proofErr w:type="spellEnd"/>
      <w:r w:rsidRPr="00CD38F7">
        <w:t xml:space="preserve"> in patients with</w:t>
      </w:r>
      <w:r w:rsidR="00942DFB">
        <w:t xml:space="preserve"> type 1 diabetes mellitus and </w:t>
      </w:r>
      <w:r w:rsidR="005427B1">
        <w:t xml:space="preserve">it </w:t>
      </w:r>
      <w:r w:rsidR="00942DFB">
        <w:t>is</w:t>
      </w:r>
      <w:r w:rsidRPr="00CD38F7">
        <w:t xml:space="preserve"> </w:t>
      </w:r>
      <w:r w:rsidR="00942DFB">
        <w:t xml:space="preserve">not recommended for </w:t>
      </w:r>
      <w:r w:rsidRPr="00CD38F7">
        <w:t xml:space="preserve">these patients. </w:t>
      </w:r>
    </w:p>
    <w:p w:rsidR="00CD38F7" w:rsidRDefault="00A56D58" w:rsidP="00CD38F7">
      <w:proofErr w:type="spellStart"/>
      <w:r>
        <w:t>Lyxumia</w:t>
      </w:r>
      <w:proofErr w:type="spellEnd"/>
      <w:r w:rsidR="00CD38F7" w:rsidRPr="00CD38F7">
        <w:t xml:space="preserve"> should not be used for treatment of diabetic </w:t>
      </w:r>
      <w:proofErr w:type="spellStart"/>
      <w:r w:rsidR="00CD38F7" w:rsidRPr="00CD38F7">
        <w:t>ketoacidosis</w:t>
      </w:r>
      <w:proofErr w:type="spellEnd"/>
    </w:p>
    <w:p w:rsidR="002B48C6" w:rsidRPr="003F2CD3" w:rsidRDefault="002B48C6" w:rsidP="002B48C6">
      <w:pPr>
        <w:pStyle w:val="Heading2"/>
        <w:numPr>
          <w:ilvl w:val="0"/>
          <w:numId w:val="0"/>
        </w:numPr>
        <w:rPr>
          <w:rFonts w:ascii="Arial Bold" w:hAnsi="Arial Bold" w:hint="eastAsia"/>
        </w:rPr>
      </w:pPr>
      <w:r w:rsidRPr="003F2CD3">
        <w:rPr>
          <w:rFonts w:ascii="Arial Bold" w:hAnsi="Arial Bold"/>
        </w:rPr>
        <w:t>Populations not studied</w:t>
      </w:r>
    </w:p>
    <w:p w:rsidR="003E6D49" w:rsidRPr="003F2CD3" w:rsidRDefault="002B48C6" w:rsidP="00CD38F7">
      <w:pPr>
        <w:rPr>
          <w:noProof/>
          <w:color w:val="auto"/>
          <w:szCs w:val="22"/>
        </w:rPr>
      </w:pPr>
      <w:r w:rsidRPr="003F2CD3">
        <w:rPr>
          <w:noProof/>
          <w:color w:val="auto"/>
          <w:szCs w:val="22"/>
        </w:rPr>
        <w:t>Lixisenatide has not been studied in combination with dipeptidyl peptidase 4 (DPP-4) inhibitors.</w:t>
      </w:r>
      <w:r w:rsidRPr="003F2CD3">
        <w:rPr>
          <w:color w:val="auto"/>
        </w:rPr>
        <w:t xml:space="preserve"> </w:t>
      </w:r>
      <w:r w:rsidRPr="003F2CD3">
        <w:rPr>
          <w:noProof/>
          <w:color w:val="auto"/>
          <w:szCs w:val="22"/>
        </w:rPr>
        <w:t xml:space="preserve">There is limited experience in patients with congestive heart failure. </w:t>
      </w:r>
    </w:p>
    <w:p w:rsidR="00CD38F7" w:rsidRDefault="00CD38F7" w:rsidP="00CD38F7">
      <w:pPr>
        <w:pStyle w:val="Heading2"/>
        <w:numPr>
          <w:ilvl w:val="0"/>
          <w:numId w:val="0"/>
        </w:numPr>
      </w:pPr>
      <w:bookmarkStart w:id="54" w:name="_Toc310954967"/>
      <w:r>
        <w:t>risk of pancreatitis</w:t>
      </w:r>
      <w:bookmarkEnd w:id="54"/>
    </w:p>
    <w:p w:rsidR="00CD38F7" w:rsidRDefault="00CD38F7" w:rsidP="00CD38F7">
      <w:r>
        <w:t xml:space="preserve">Use of glucagon-like peptide-1 (GLP-1) receptor agonists has been associated with a risk of developing acute pancreatitis. Patients should be informed of the characteristic symptoms of acute pancreatitis: persistent, severe abdominal pain. If pancreatitis is suspected, </w:t>
      </w:r>
      <w:proofErr w:type="spellStart"/>
      <w:r>
        <w:t>Lyxumia</w:t>
      </w:r>
      <w:proofErr w:type="spellEnd"/>
      <w:r>
        <w:t xml:space="preserve"> should be discontinued ; if acute pancreatitis is confirmed, </w:t>
      </w:r>
      <w:proofErr w:type="spellStart"/>
      <w:r>
        <w:t>Lyxumia</w:t>
      </w:r>
      <w:proofErr w:type="spellEnd"/>
      <w:r>
        <w:t xml:space="preserve"> should not be restarted. Use with caution in patients with a history of pancreatitis.</w:t>
      </w:r>
    </w:p>
    <w:p w:rsidR="00CD38F7" w:rsidRPr="00993A20" w:rsidRDefault="00CD38F7" w:rsidP="00CD38F7">
      <w:pPr>
        <w:pStyle w:val="Heading2"/>
        <w:numPr>
          <w:ilvl w:val="0"/>
          <w:numId w:val="0"/>
        </w:numPr>
      </w:pPr>
      <w:bookmarkStart w:id="55" w:name="_Toc310954968"/>
      <w:r>
        <w:t xml:space="preserve">use in patients with severe </w:t>
      </w:r>
      <w:bookmarkEnd w:id="55"/>
      <w:r w:rsidR="00EC6004" w:rsidRPr="00993A20">
        <w:t>GASTROINTESTINAL DISEASE</w:t>
      </w:r>
    </w:p>
    <w:p w:rsidR="00CD38F7" w:rsidRDefault="00CD38F7" w:rsidP="00CD38F7">
      <w:r w:rsidRPr="00CD38F7">
        <w:t xml:space="preserve">Use of GLP-1 receptor agonists may be associated with gastrointestinal adverse reactions. </w:t>
      </w:r>
      <w:proofErr w:type="spellStart"/>
      <w:r>
        <w:t>Lyxumia</w:t>
      </w:r>
      <w:proofErr w:type="spellEnd"/>
      <w:r>
        <w:t xml:space="preserve"> </w:t>
      </w:r>
      <w:r w:rsidRPr="00CD38F7">
        <w:t xml:space="preserve">has not been studied in patients with severe gastrointestinal disease, including severe </w:t>
      </w:r>
      <w:proofErr w:type="spellStart"/>
      <w:r w:rsidRPr="00CD38F7">
        <w:t>gastroparesi</w:t>
      </w:r>
      <w:r>
        <w:t>s</w:t>
      </w:r>
      <w:proofErr w:type="spellEnd"/>
      <w:r w:rsidR="005427B1">
        <w:t>,</w:t>
      </w:r>
      <w:r>
        <w:t xml:space="preserve"> and therefore, the use of </w:t>
      </w:r>
      <w:proofErr w:type="spellStart"/>
      <w:r>
        <w:t>Lyxumia</w:t>
      </w:r>
      <w:proofErr w:type="spellEnd"/>
      <w:r w:rsidRPr="00CD38F7">
        <w:t xml:space="preserve"> is not recommended in these patients.  </w:t>
      </w:r>
    </w:p>
    <w:p w:rsidR="00CE62EC" w:rsidRPr="00966CC5" w:rsidRDefault="003C5B1C" w:rsidP="00CE62EC">
      <w:pPr>
        <w:pStyle w:val="Heading2"/>
        <w:numPr>
          <w:ilvl w:val="0"/>
          <w:numId w:val="0"/>
        </w:numPr>
      </w:pPr>
      <w:r w:rsidRPr="00966CC5">
        <w:t xml:space="preserve">Use in patients with renal </w:t>
      </w:r>
      <w:r w:rsidR="00974C96" w:rsidRPr="00966CC5">
        <w:t>impair</w:t>
      </w:r>
      <w:r w:rsidRPr="00966CC5">
        <w:t>ment</w:t>
      </w:r>
    </w:p>
    <w:p w:rsidR="008D4A3D" w:rsidRPr="003F2CD3" w:rsidRDefault="008D4A3D" w:rsidP="00CD38F7">
      <w:pPr>
        <w:rPr>
          <w:color w:val="auto"/>
        </w:rPr>
      </w:pPr>
      <w:r w:rsidRPr="003F2CD3">
        <w:rPr>
          <w:color w:val="auto"/>
        </w:rPr>
        <w:t>Moderate renal impairment</w:t>
      </w:r>
    </w:p>
    <w:p w:rsidR="008D4A3D" w:rsidRPr="003F2CD3" w:rsidRDefault="008D4A3D" w:rsidP="00CD38F7">
      <w:pPr>
        <w:rPr>
          <w:color w:val="auto"/>
        </w:rPr>
      </w:pPr>
      <w:r w:rsidRPr="003F2CD3">
        <w:rPr>
          <w:color w:val="auto"/>
        </w:rPr>
        <w:t>There is limited therapeutic experience in patients with moderate renal impairment (</w:t>
      </w:r>
      <w:proofErr w:type="spellStart"/>
      <w:r w:rsidRPr="003F2CD3">
        <w:rPr>
          <w:color w:val="auto"/>
        </w:rPr>
        <w:t>creatinine</w:t>
      </w:r>
      <w:proofErr w:type="spellEnd"/>
      <w:r w:rsidRPr="003F2CD3">
        <w:rPr>
          <w:color w:val="auto"/>
        </w:rPr>
        <w:t xml:space="preserve"> clearance: 30-&lt;50 ml/min) and </w:t>
      </w:r>
      <w:proofErr w:type="spellStart"/>
      <w:r w:rsidRPr="003F2CD3">
        <w:rPr>
          <w:color w:val="auto"/>
        </w:rPr>
        <w:t>Lyxumia</w:t>
      </w:r>
      <w:proofErr w:type="spellEnd"/>
      <w:r w:rsidRPr="003F2CD3">
        <w:rPr>
          <w:color w:val="auto"/>
        </w:rPr>
        <w:t xml:space="preserve"> should be used with caution in this population.</w:t>
      </w:r>
    </w:p>
    <w:p w:rsidR="007A75ED" w:rsidRPr="00371E80" w:rsidRDefault="007A75ED" w:rsidP="007952F1">
      <w:pPr>
        <w:pageBreakBefore/>
        <w:rPr>
          <w:color w:val="auto"/>
        </w:rPr>
      </w:pPr>
      <w:r w:rsidRPr="00371E80">
        <w:rPr>
          <w:color w:val="auto"/>
        </w:rPr>
        <w:lastRenderedPageBreak/>
        <w:t>Severe renal impairment</w:t>
      </w:r>
    </w:p>
    <w:p w:rsidR="007A75ED" w:rsidRPr="00371E80" w:rsidRDefault="007A75ED" w:rsidP="007A75ED">
      <w:r w:rsidRPr="00371E80">
        <w:t>There is no therapeutic experience in patients with severe renal impairment (</w:t>
      </w:r>
      <w:proofErr w:type="spellStart"/>
      <w:r w:rsidRPr="00371E80">
        <w:t>creatinine</w:t>
      </w:r>
      <w:proofErr w:type="spellEnd"/>
      <w:r w:rsidRPr="00371E80">
        <w:t xml:space="preserve"> clearance &lt; 30 </w:t>
      </w:r>
      <w:proofErr w:type="spellStart"/>
      <w:r w:rsidRPr="00371E80">
        <w:t>mL</w:t>
      </w:r>
      <w:proofErr w:type="spellEnd"/>
      <w:r w:rsidRPr="00371E80">
        <w:t xml:space="preserve">/min) or end stage renal disease, and therefore it is not recommended to use </w:t>
      </w:r>
      <w:proofErr w:type="spellStart"/>
      <w:r w:rsidRPr="00371E80">
        <w:t>Lyxumia</w:t>
      </w:r>
      <w:proofErr w:type="spellEnd"/>
      <w:r w:rsidRPr="00371E80">
        <w:t xml:space="preserve"> in these populations. </w:t>
      </w:r>
    </w:p>
    <w:p w:rsidR="00CD38F7" w:rsidRDefault="00CD38F7" w:rsidP="00CD38F7">
      <w:pPr>
        <w:pStyle w:val="Heading2"/>
        <w:numPr>
          <w:ilvl w:val="0"/>
          <w:numId w:val="0"/>
        </w:numPr>
      </w:pPr>
      <w:bookmarkStart w:id="56" w:name="_Toc310954970"/>
      <w:r>
        <w:t>risk of hypoglycaemia</w:t>
      </w:r>
      <w:bookmarkEnd w:id="56"/>
    </w:p>
    <w:p w:rsidR="00942DFB" w:rsidRPr="00942DFB" w:rsidRDefault="00CD38F7" w:rsidP="00CD38F7">
      <w:r>
        <w:t xml:space="preserve">Patients receiving </w:t>
      </w:r>
      <w:proofErr w:type="spellStart"/>
      <w:r>
        <w:t>Lyxumia</w:t>
      </w:r>
      <w:proofErr w:type="spellEnd"/>
      <w:r w:rsidRPr="00CD38F7">
        <w:t xml:space="preserve"> with a </w:t>
      </w:r>
      <w:proofErr w:type="spellStart"/>
      <w:r w:rsidRPr="00CD38F7">
        <w:t>sulphonylurea</w:t>
      </w:r>
      <w:proofErr w:type="spellEnd"/>
      <w:r w:rsidRPr="00CD38F7">
        <w:t xml:space="preserve"> or with a combination of a basal insulin and a </w:t>
      </w:r>
      <w:proofErr w:type="spellStart"/>
      <w:r w:rsidRPr="00CD38F7">
        <w:t>sulphonylurea</w:t>
      </w:r>
      <w:proofErr w:type="spellEnd"/>
      <w:r w:rsidRPr="00CD38F7">
        <w:t xml:space="preserve"> may have an increased risk of </w:t>
      </w:r>
      <w:proofErr w:type="spellStart"/>
      <w:r w:rsidRPr="00CD38F7">
        <w:t>hypoglycaemia</w:t>
      </w:r>
      <w:proofErr w:type="spellEnd"/>
      <w:r w:rsidRPr="00CD38F7">
        <w:t xml:space="preserve">. </w:t>
      </w:r>
      <w:r w:rsidR="00CE62EC" w:rsidRPr="00CE62EC">
        <w:t xml:space="preserve">Reduction of the dose of the </w:t>
      </w:r>
      <w:proofErr w:type="spellStart"/>
      <w:r w:rsidR="00CE62EC" w:rsidRPr="00CE62EC">
        <w:t>sulphonylurea</w:t>
      </w:r>
      <w:proofErr w:type="spellEnd"/>
      <w:r w:rsidR="00CE62EC" w:rsidRPr="00CE62EC">
        <w:t xml:space="preserve"> or the basal insulin may be considered to reduce the risk of </w:t>
      </w:r>
      <w:proofErr w:type="spellStart"/>
      <w:r w:rsidR="00CE62EC" w:rsidRPr="00CE62EC">
        <w:t>hypoglycaemia</w:t>
      </w:r>
      <w:proofErr w:type="spellEnd"/>
      <w:r w:rsidR="00CE62EC" w:rsidRPr="00CE62EC">
        <w:t>.</w:t>
      </w:r>
      <w:r w:rsidR="00942DFB">
        <w:t xml:space="preserve"> W</w:t>
      </w:r>
      <w:r w:rsidR="00942DFB" w:rsidRPr="00942DFB">
        <w:t xml:space="preserve">hen used in combination with a </w:t>
      </w:r>
      <w:proofErr w:type="spellStart"/>
      <w:r w:rsidR="00942DFB" w:rsidRPr="00942DFB">
        <w:t>sulphonylurea</w:t>
      </w:r>
      <w:proofErr w:type="spellEnd"/>
      <w:r w:rsidR="00942DFB" w:rsidRPr="00942DFB">
        <w:t xml:space="preserve"> or a basal insulin, blood glucose monitoring may become necessary to adjust the doses of the </w:t>
      </w:r>
      <w:proofErr w:type="spellStart"/>
      <w:r w:rsidR="00942DFB" w:rsidRPr="00942DFB">
        <w:t>sulph</w:t>
      </w:r>
      <w:r w:rsidR="00CE62EC">
        <w:t>onylurea</w:t>
      </w:r>
      <w:proofErr w:type="spellEnd"/>
      <w:r w:rsidR="00CE62EC">
        <w:t xml:space="preserve"> or the basal insulin. (see ADVERSE EVENTS)</w:t>
      </w:r>
    </w:p>
    <w:p w:rsidR="00BC52A5" w:rsidRDefault="00BC52A5" w:rsidP="00BC52A5">
      <w:pPr>
        <w:pStyle w:val="Heading2"/>
        <w:numPr>
          <w:ilvl w:val="0"/>
          <w:numId w:val="0"/>
        </w:numPr>
      </w:pPr>
      <w:bookmarkStart w:id="57" w:name="_Toc310954971"/>
      <w:r>
        <w:t>Effects on Fertility</w:t>
      </w:r>
      <w:bookmarkEnd w:id="57"/>
    </w:p>
    <w:p w:rsidR="00B1230F" w:rsidRPr="00993A20" w:rsidRDefault="00080390" w:rsidP="00993A20">
      <w:proofErr w:type="spellStart"/>
      <w:r w:rsidRPr="00993A20">
        <w:t>Hypospermatogenesis</w:t>
      </w:r>
      <w:proofErr w:type="spellEnd"/>
      <w:r w:rsidRPr="00993A20">
        <w:t xml:space="preserve"> and focal sperm stasis were observed in do</w:t>
      </w:r>
      <w:r w:rsidR="0081107E" w:rsidRPr="00993A20">
        <w:t xml:space="preserve">gs treated subcutaneously with </w:t>
      </w:r>
      <w:proofErr w:type="spellStart"/>
      <w:r w:rsidR="0081107E" w:rsidRPr="00993A20">
        <w:t>l</w:t>
      </w:r>
      <w:r w:rsidRPr="00993A20">
        <w:t>ixisenatide</w:t>
      </w:r>
      <w:proofErr w:type="spellEnd"/>
      <w:r w:rsidRPr="00993A20">
        <w:t>. However, this occurred only at high doses (yielding ≥64 times the plasma AUC in patients at the maximum recommended human dose) and dogs were seen to be more</w:t>
      </w:r>
      <w:r w:rsidR="0081107E" w:rsidRPr="00993A20">
        <w:t xml:space="preserve"> sensitive to such toxicity by </w:t>
      </w:r>
      <w:proofErr w:type="spellStart"/>
      <w:r w:rsidR="0081107E" w:rsidRPr="00993A20">
        <w:t>l</w:t>
      </w:r>
      <w:r w:rsidRPr="00993A20">
        <w:t>ixisenatide</w:t>
      </w:r>
      <w:proofErr w:type="spellEnd"/>
      <w:r w:rsidRPr="00993A20">
        <w:t xml:space="preserve"> compared with other species. </w:t>
      </w:r>
      <w:r w:rsidR="00A06EA2" w:rsidRPr="00993A20">
        <w:t xml:space="preserve">No related effect on spermatogenesis was seen in healthy men. </w:t>
      </w:r>
    </w:p>
    <w:p w:rsidR="00BC52A5" w:rsidRDefault="00D31AEC" w:rsidP="00C86C80">
      <w:pPr>
        <w:pStyle w:val="Heading2"/>
        <w:numPr>
          <w:ilvl w:val="0"/>
          <w:numId w:val="0"/>
        </w:numPr>
        <w:spacing w:before="360"/>
      </w:pPr>
      <w:bookmarkStart w:id="58" w:name="_Toc310954972"/>
      <w:r>
        <w:t>use in pregnancy (Category B3</w:t>
      </w:r>
      <w:r w:rsidR="00BC52A5">
        <w:t>)</w:t>
      </w:r>
      <w:bookmarkEnd w:id="58"/>
    </w:p>
    <w:p w:rsidR="00D31AEC" w:rsidRDefault="00D31AEC" w:rsidP="003020BF">
      <w:r w:rsidRPr="00D31AEC">
        <w:t>There are no ad</w:t>
      </w:r>
      <w:r>
        <w:t xml:space="preserve">equate data from the use of </w:t>
      </w:r>
      <w:proofErr w:type="spellStart"/>
      <w:r>
        <w:t>Lyxumia</w:t>
      </w:r>
      <w:proofErr w:type="spellEnd"/>
      <w:r w:rsidRPr="00D31AEC">
        <w:t xml:space="preserve"> in pregnant women. Studies in animals have shown reproduct</w:t>
      </w:r>
      <w:r>
        <w:t>ive toxicity.</w:t>
      </w:r>
      <w:r w:rsidRPr="00D31AEC">
        <w:t xml:space="preserve"> The potential </w:t>
      </w:r>
      <w:r>
        <w:t xml:space="preserve">risk for humans is unknown. </w:t>
      </w:r>
      <w:proofErr w:type="spellStart"/>
      <w:r>
        <w:t>Lyxumia</w:t>
      </w:r>
      <w:proofErr w:type="spellEnd"/>
      <w:r w:rsidRPr="00D31AEC">
        <w:t xml:space="preserve"> should not be used during pregnancy and the use of insulin is recommended instead. </w:t>
      </w:r>
    </w:p>
    <w:p w:rsidR="003020BF" w:rsidRDefault="00D31AEC" w:rsidP="003020BF">
      <w:r w:rsidRPr="00D31AEC">
        <w:t>If a patient wishes to become pregnant, or pregn</w:t>
      </w:r>
      <w:r>
        <w:t xml:space="preserve">ancy occurs, treatment with </w:t>
      </w:r>
      <w:proofErr w:type="spellStart"/>
      <w:r>
        <w:t>Lyxumia</w:t>
      </w:r>
      <w:proofErr w:type="spellEnd"/>
      <w:r w:rsidRPr="00D31AEC">
        <w:t xml:space="preserve"> should be discontinued.</w:t>
      </w:r>
    </w:p>
    <w:p w:rsidR="00D31AEC" w:rsidRDefault="00D31AEC" w:rsidP="00615911">
      <w:proofErr w:type="spellStart"/>
      <w:r>
        <w:t>F</w:t>
      </w:r>
      <w:r w:rsidR="002C6632">
        <w:t>o</w:t>
      </w:r>
      <w:r>
        <w:t>etal</w:t>
      </w:r>
      <w:proofErr w:type="spellEnd"/>
      <w:r>
        <w:t xml:space="preserve"> growth retardation, </w:t>
      </w:r>
      <w:r w:rsidRPr="00FB7C3F">
        <w:t xml:space="preserve">skeletal </w:t>
      </w:r>
      <w:r w:rsidR="00225ED7" w:rsidRPr="00993A20">
        <w:t>abnormalities and</w:t>
      </w:r>
      <w:r>
        <w:t xml:space="preserve"> delayed ossification occurred in rats</w:t>
      </w:r>
      <w:r w:rsidR="00126E39">
        <w:t xml:space="preserve"> </w:t>
      </w:r>
      <w:r w:rsidR="00126E39" w:rsidRPr="00993A20">
        <w:t>treated during gestation</w:t>
      </w:r>
      <w:r>
        <w:t xml:space="preserve"> </w:t>
      </w:r>
      <w:r w:rsidR="00A06EA2">
        <w:t xml:space="preserve">to </w:t>
      </w:r>
      <w:r>
        <w:t xml:space="preserve">maternally toxic doses resulting in </w:t>
      </w:r>
      <w:r w:rsidRPr="00FB7C3F">
        <w:t xml:space="preserve">exposures </w:t>
      </w:r>
      <w:r w:rsidR="00126E39" w:rsidRPr="00993A20">
        <w:t>≥0.5-fold</w:t>
      </w:r>
      <w:r w:rsidR="00126E39">
        <w:t xml:space="preserve"> </w:t>
      </w:r>
      <w:r>
        <w:t xml:space="preserve">the mean exposure at the </w:t>
      </w:r>
      <w:r w:rsidR="0028733D" w:rsidRPr="0028733D">
        <w:t>maximum recommended human dose</w:t>
      </w:r>
      <w:r w:rsidR="0028733D">
        <w:t xml:space="preserve"> (</w:t>
      </w:r>
      <w:r>
        <w:t>MRHD</w:t>
      </w:r>
      <w:r w:rsidR="0028733D">
        <w:t>)</w:t>
      </w:r>
      <w:r>
        <w:t>. In rabbits,</w:t>
      </w:r>
      <w:r w:rsidR="00126E39">
        <w:t xml:space="preserve"> </w:t>
      </w:r>
      <w:r w:rsidR="00126E39" w:rsidRPr="00993A20">
        <w:t>impaired ossification and</w:t>
      </w:r>
      <w:r w:rsidR="00E91AF3">
        <w:t xml:space="preserve"> </w:t>
      </w:r>
      <w:r>
        <w:t xml:space="preserve">increased incidences of </w:t>
      </w:r>
      <w:proofErr w:type="spellStart"/>
      <w:r>
        <w:t>sternebrae</w:t>
      </w:r>
      <w:proofErr w:type="spellEnd"/>
      <w:r w:rsidR="00126E39" w:rsidRPr="00993A20">
        <w:t xml:space="preserve"> abnormalities</w:t>
      </w:r>
      <w:r>
        <w:t xml:space="preserve"> and rib variations were observed at </w:t>
      </w:r>
      <w:r w:rsidRPr="00FB7C3F">
        <w:t>maternally toxic doses</w:t>
      </w:r>
      <w:r w:rsidR="00126E39">
        <w:t xml:space="preserve"> </w:t>
      </w:r>
      <w:r w:rsidR="00126E39" w:rsidRPr="00993A20">
        <w:t xml:space="preserve">(≥50μg/kg/day </w:t>
      </w:r>
      <w:proofErr w:type="spellStart"/>
      <w:r w:rsidR="00126E39" w:rsidRPr="00993A20">
        <w:t>subsutaneously</w:t>
      </w:r>
      <w:proofErr w:type="spellEnd"/>
      <w:r w:rsidR="00126E39" w:rsidRPr="00993A20">
        <w:t>)</w:t>
      </w:r>
      <w:r w:rsidR="00FB7C3F" w:rsidRPr="00D16E90">
        <w:t xml:space="preserve"> </w:t>
      </w:r>
      <w:r w:rsidR="00126E39" w:rsidRPr="00993A20">
        <w:t xml:space="preserve">yielding </w:t>
      </w:r>
      <w:r w:rsidRPr="00FB7C3F">
        <w:t xml:space="preserve">exposures </w:t>
      </w:r>
      <w:r w:rsidR="00126E39" w:rsidRPr="00993A20">
        <w:t>≥40-fold</w:t>
      </w:r>
      <w:r w:rsidRPr="00FB7C3F">
        <w:t xml:space="preserve"> the</w:t>
      </w:r>
      <w:r>
        <w:t xml:space="preserve"> mean exposure at the MRHD.  </w:t>
      </w:r>
    </w:p>
    <w:p w:rsidR="00B1230F" w:rsidRPr="00993A20" w:rsidRDefault="00D31AEC" w:rsidP="00B1230F">
      <w:r>
        <w:t>In the pre-</w:t>
      </w:r>
      <w:r w:rsidR="00B30D3F" w:rsidRPr="00D16E90">
        <w:t>/</w:t>
      </w:r>
      <w:r>
        <w:t>postnatal toxicity study in rats</w:t>
      </w:r>
      <w:r w:rsidR="0045225E">
        <w:t xml:space="preserve"> </w:t>
      </w:r>
      <w:r w:rsidR="0045225E" w:rsidRPr="00993A20">
        <w:t>subcutaneous treatment</w:t>
      </w:r>
      <w:r w:rsidR="0045225E">
        <w:t xml:space="preserve"> with</w:t>
      </w:r>
      <w:r>
        <w:t xml:space="preserve"> </w:t>
      </w:r>
      <w:proofErr w:type="spellStart"/>
      <w:r>
        <w:t>lixisenatide</w:t>
      </w:r>
      <w:proofErr w:type="spellEnd"/>
      <w:r>
        <w:t xml:space="preserve"> </w:t>
      </w:r>
      <w:r w:rsidR="0045225E">
        <w:t xml:space="preserve">during </w:t>
      </w:r>
      <w:r w:rsidR="0045225E" w:rsidRPr="00993A20">
        <w:t>gestation and lactation</w:t>
      </w:r>
      <w:r w:rsidR="0045225E">
        <w:t xml:space="preserve"> </w:t>
      </w:r>
      <w:r>
        <w:t>caused slightly increased pup mortality</w:t>
      </w:r>
      <w:r w:rsidR="00FD1C42">
        <w:t xml:space="preserve"> at 200µg/kg BID and</w:t>
      </w:r>
      <w:r>
        <w:t xml:space="preserve"> </w:t>
      </w:r>
      <w:r w:rsidRPr="00FB7C3F">
        <w:t>decreased</w:t>
      </w:r>
      <w:r>
        <w:t xml:space="preserve"> growth in male pups, </w:t>
      </w:r>
      <w:r w:rsidR="005427B1">
        <w:t xml:space="preserve">and </w:t>
      </w:r>
      <w:r>
        <w:t>slightly decreased suckling and minor developmental delay in fur growth at 20 and 200 µg/kg BID</w:t>
      </w:r>
      <w:r w:rsidR="0045225E">
        <w:t xml:space="preserve"> </w:t>
      </w:r>
      <w:r w:rsidR="0045225E" w:rsidRPr="00993A20">
        <w:t>(occurring in conjunction with maternal toxicity)</w:t>
      </w:r>
      <w:r w:rsidRPr="00993A20">
        <w:t>.</w:t>
      </w:r>
      <w:r>
        <w:t xml:space="preserve"> </w:t>
      </w:r>
      <w:r w:rsidRPr="00FB7C3F">
        <w:t xml:space="preserve">No functional or </w:t>
      </w:r>
      <w:proofErr w:type="spellStart"/>
      <w:r w:rsidRPr="00FB7C3F">
        <w:t>behavioural</w:t>
      </w:r>
      <w:proofErr w:type="spellEnd"/>
      <w:r w:rsidRPr="00FB7C3F">
        <w:t xml:space="preserve"> toxicity was observed in </w:t>
      </w:r>
      <w:r w:rsidR="0045225E" w:rsidRPr="00993A20">
        <w:t xml:space="preserve">the </w:t>
      </w:r>
      <w:r w:rsidRPr="00FB7C3F">
        <w:t xml:space="preserve">offspring of rats administered </w:t>
      </w:r>
      <w:proofErr w:type="spellStart"/>
      <w:r w:rsidRPr="00FB7C3F">
        <w:t>lixisenatide</w:t>
      </w:r>
      <w:proofErr w:type="spellEnd"/>
      <w:r w:rsidRPr="00FB7C3F">
        <w:t xml:space="preserve"> at </w:t>
      </w:r>
      <w:r w:rsidR="0045225E" w:rsidRPr="00993A20">
        <w:t>doses up to 200μg/kg BID.</w:t>
      </w:r>
    </w:p>
    <w:p w:rsidR="00D31AEC" w:rsidRDefault="00D31AEC" w:rsidP="00D31AEC">
      <w:pPr>
        <w:pStyle w:val="Heading2"/>
        <w:numPr>
          <w:ilvl w:val="0"/>
          <w:numId w:val="0"/>
        </w:numPr>
      </w:pPr>
      <w:bookmarkStart w:id="59" w:name="_Toc310954973"/>
      <w:r>
        <w:lastRenderedPageBreak/>
        <w:t>use in lactation</w:t>
      </w:r>
      <w:bookmarkEnd w:id="59"/>
    </w:p>
    <w:p w:rsidR="00D31AEC" w:rsidRPr="00D31AEC" w:rsidRDefault="00D31AEC" w:rsidP="009B3244">
      <w:r>
        <w:t>It is unknown if</w:t>
      </w:r>
      <w:r w:rsidR="00780FC3" w:rsidRPr="00780FC3">
        <w:t xml:space="preserve"> </w:t>
      </w:r>
      <w:proofErr w:type="spellStart"/>
      <w:r w:rsidR="009B3244" w:rsidRPr="00780FC3">
        <w:t>lixisenatide</w:t>
      </w:r>
      <w:proofErr w:type="spellEnd"/>
      <w:r w:rsidR="006E7B16" w:rsidRPr="009B3244">
        <w:t xml:space="preserve"> is excreted </w:t>
      </w:r>
      <w:r w:rsidR="006E7B16">
        <w:t xml:space="preserve">in human milk. </w:t>
      </w:r>
      <w:r w:rsidR="009B3244" w:rsidRPr="00780FC3">
        <w:t xml:space="preserve">A study in lactating rats showed </w:t>
      </w:r>
      <w:r w:rsidR="00152741" w:rsidRPr="00780FC3">
        <w:t xml:space="preserve">very </w:t>
      </w:r>
      <w:r w:rsidR="009B3244" w:rsidRPr="00780FC3">
        <w:t xml:space="preserve">low transfer of </w:t>
      </w:r>
      <w:proofErr w:type="spellStart"/>
      <w:r w:rsidR="00152741" w:rsidRPr="00780FC3">
        <w:t>l</w:t>
      </w:r>
      <w:r w:rsidR="009B3244" w:rsidRPr="00780FC3">
        <w:t>ixisenatide</w:t>
      </w:r>
      <w:proofErr w:type="spellEnd"/>
      <w:r w:rsidR="009B3244" w:rsidRPr="00780FC3">
        <w:t xml:space="preserve"> and its </w:t>
      </w:r>
      <w:r w:rsidR="002D6BB1" w:rsidRPr="00780FC3">
        <w:t>metabolites</w:t>
      </w:r>
      <w:r w:rsidR="00823282" w:rsidRPr="00780FC3">
        <w:t xml:space="preserve"> into milk</w:t>
      </w:r>
      <w:r w:rsidR="009B3244" w:rsidRPr="00780FC3">
        <w:t xml:space="preserve">. </w:t>
      </w:r>
      <w:r w:rsidR="006E7B16">
        <w:t>Due</w:t>
      </w:r>
      <w:r>
        <w:t xml:space="preserve"> </w:t>
      </w:r>
      <w:r w:rsidR="00CE62EC">
        <w:t xml:space="preserve">to </w:t>
      </w:r>
      <w:r>
        <w:t xml:space="preserve">lack of experience, </w:t>
      </w:r>
      <w:proofErr w:type="spellStart"/>
      <w:r>
        <w:t>Lyxumia</w:t>
      </w:r>
      <w:proofErr w:type="spellEnd"/>
      <w:r w:rsidRPr="00D31AEC">
        <w:t xml:space="preserve"> should not be used during breastfeeding.</w:t>
      </w:r>
    </w:p>
    <w:p w:rsidR="003020BF" w:rsidRDefault="003020BF" w:rsidP="003020BF">
      <w:pPr>
        <w:pStyle w:val="Heading2"/>
        <w:numPr>
          <w:ilvl w:val="0"/>
          <w:numId w:val="0"/>
        </w:numPr>
      </w:pPr>
      <w:bookmarkStart w:id="60" w:name="_Toc310954974"/>
      <w:r>
        <w:t>paediatric use</w:t>
      </w:r>
      <w:bookmarkEnd w:id="60"/>
    </w:p>
    <w:p w:rsidR="003020BF" w:rsidRPr="00D31AEC" w:rsidRDefault="00D31AEC" w:rsidP="003020BF">
      <w:r w:rsidRPr="00D31AEC">
        <w:t xml:space="preserve">The </w:t>
      </w:r>
      <w:r>
        <w:t xml:space="preserve">safety and effectiveness of </w:t>
      </w:r>
      <w:proofErr w:type="spellStart"/>
      <w:r>
        <w:t>Lyxumia</w:t>
      </w:r>
      <w:proofErr w:type="spellEnd"/>
      <w:r w:rsidRPr="00D31AEC">
        <w:t xml:space="preserve"> in </w:t>
      </w:r>
      <w:proofErr w:type="spellStart"/>
      <w:r w:rsidRPr="00D31AEC">
        <w:t>p</w:t>
      </w:r>
      <w:r w:rsidR="002C6632">
        <w:t>a</w:t>
      </w:r>
      <w:r w:rsidRPr="00D31AEC">
        <w:t>ediatric</w:t>
      </w:r>
      <w:proofErr w:type="spellEnd"/>
      <w:r w:rsidRPr="00D31AEC">
        <w:t xml:space="preserve"> patients below the age of 18 years have not yet been established</w:t>
      </w:r>
      <w:r>
        <w:t>.</w:t>
      </w:r>
    </w:p>
    <w:p w:rsidR="003020BF" w:rsidRDefault="003020BF" w:rsidP="003020BF">
      <w:pPr>
        <w:pStyle w:val="Heading2"/>
        <w:numPr>
          <w:ilvl w:val="0"/>
          <w:numId w:val="0"/>
        </w:numPr>
      </w:pPr>
      <w:bookmarkStart w:id="61" w:name="_Toc310954975"/>
      <w:r>
        <w:t>use in the elderly</w:t>
      </w:r>
      <w:bookmarkEnd w:id="61"/>
    </w:p>
    <w:p w:rsidR="003C5B1C" w:rsidRPr="008E11BD" w:rsidRDefault="00D31AEC" w:rsidP="003020BF">
      <w:r w:rsidRPr="00D31AEC">
        <w:t>No dose adjustment is required based on age.</w:t>
      </w:r>
      <w:r w:rsidR="003C5B1C" w:rsidRPr="008E11BD">
        <w:t xml:space="preserve"> The clinical experience in patients ≥ 75 years is limited.</w:t>
      </w:r>
    </w:p>
    <w:p w:rsidR="003020BF" w:rsidRPr="008E11BD" w:rsidRDefault="003C5B1C" w:rsidP="003020BF">
      <w:r w:rsidRPr="008E11BD">
        <w:t xml:space="preserve">A total of 447 subjects aged 65 years or older received </w:t>
      </w:r>
      <w:proofErr w:type="spellStart"/>
      <w:r w:rsidRPr="008E11BD">
        <w:t>lixisenatide</w:t>
      </w:r>
      <w:proofErr w:type="spellEnd"/>
      <w:r w:rsidRPr="008E11BD">
        <w:t xml:space="preserve"> in these studies. There were no age-related differences in the change in HbA1c values from baseline to endpoint for subjects treated with </w:t>
      </w:r>
      <w:proofErr w:type="spellStart"/>
      <w:r w:rsidRPr="008E11BD">
        <w:t>lixisenatide</w:t>
      </w:r>
      <w:proofErr w:type="spellEnd"/>
      <w:r w:rsidR="00A13781" w:rsidRPr="008E11BD">
        <w:t>.</w:t>
      </w:r>
    </w:p>
    <w:p w:rsidR="00D31AEC" w:rsidRDefault="003020BF" w:rsidP="00D31AEC">
      <w:pPr>
        <w:pStyle w:val="Heading2"/>
        <w:numPr>
          <w:ilvl w:val="0"/>
          <w:numId w:val="0"/>
        </w:numPr>
      </w:pPr>
      <w:bookmarkStart w:id="62" w:name="_Toc310954976"/>
      <w:r>
        <w:t>genotoxicity</w:t>
      </w:r>
      <w:bookmarkEnd w:id="62"/>
    </w:p>
    <w:p w:rsidR="00DD2BA1" w:rsidRPr="00993A20" w:rsidRDefault="00D31AEC" w:rsidP="00993A20">
      <w:proofErr w:type="spellStart"/>
      <w:r w:rsidRPr="00DD2BA1">
        <w:t>Lixisenatide</w:t>
      </w:r>
      <w:proofErr w:type="spellEnd"/>
      <w:r w:rsidRPr="00DD2BA1">
        <w:t xml:space="preserve"> had no </w:t>
      </w:r>
      <w:proofErr w:type="spellStart"/>
      <w:r w:rsidRPr="00DD2BA1">
        <w:t>genotoxic</w:t>
      </w:r>
      <w:proofErr w:type="spellEnd"/>
      <w:r w:rsidRPr="00DD2BA1">
        <w:t xml:space="preserve"> effects, based on one in vivo micronucleus test in mice </w:t>
      </w:r>
      <w:r w:rsidR="00232A3E" w:rsidRPr="00DD2BA1">
        <w:t>(</w:t>
      </w:r>
      <w:r w:rsidR="001B28BD" w:rsidRPr="00DD2BA1">
        <w:t>involving IV</w:t>
      </w:r>
      <w:r w:rsidR="00232A3E" w:rsidRPr="00DD2BA1">
        <w:t xml:space="preserve"> administration up to 5000 </w:t>
      </w:r>
      <w:proofErr w:type="spellStart"/>
      <w:r w:rsidR="00232A3E" w:rsidRPr="00DD2BA1">
        <w:t>μg</w:t>
      </w:r>
      <w:proofErr w:type="spellEnd"/>
      <w:r w:rsidR="00232A3E" w:rsidRPr="00DD2BA1">
        <w:t xml:space="preserve">/kg) </w:t>
      </w:r>
      <w:r w:rsidRPr="00DD2BA1">
        <w:t>and in vitro tests: the modified Ames test with or without metabolic activation, and in vitro mammalian chromosome aberration test in cultured human lymphocytes.</w:t>
      </w:r>
    </w:p>
    <w:p w:rsidR="003020BF" w:rsidRPr="0036069F" w:rsidRDefault="003020BF" w:rsidP="003020BF">
      <w:pPr>
        <w:pStyle w:val="Heading2"/>
        <w:numPr>
          <w:ilvl w:val="0"/>
          <w:numId w:val="0"/>
        </w:numPr>
        <w:rPr>
          <w:color w:val="000000"/>
        </w:rPr>
      </w:pPr>
      <w:bookmarkStart w:id="63" w:name="_Toc310954977"/>
      <w:r w:rsidRPr="0036069F">
        <w:rPr>
          <w:color w:val="000000"/>
        </w:rPr>
        <w:t>carcinogenicity</w:t>
      </w:r>
      <w:bookmarkEnd w:id="63"/>
    </w:p>
    <w:p w:rsidR="00DD2BA1" w:rsidRPr="00993A20" w:rsidRDefault="00DD2BA1" w:rsidP="00DD2BA1">
      <w:proofErr w:type="spellStart"/>
      <w:r w:rsidRPr="00993A20">
        <w:t>Lixisenatide</w:t>
      </w:r>
      <w:proofErr w:type="spellEnd"/>
      <w:r w:rsidRPr="00993A20">
        <w:t xml:space="preserve"> caused thyroid C-cell </w:t>
      </w:r>
      <w:proofErr w:type="spellStart"/>
      <w:r w:rsidRPr="00993A20">
        <w:t>tumours</w:t>
      </w:r>
      <w:proofErr w:type="spellEnd"/>
      <w:r w:rsidRPr="00993A20">
        <w:t xml:space="preserve"> in 2-year subcutaneous carcinogenicity studies in rodents. In mice, thyroid C-cell adenoma (together with focal C-cell hyperplasia) was increased at ≥400 </w:t>
      </w:r>
      <w:proofErr w:type="spellStart"/>
      <w:r w:rsidRPr="00993A20">
        <w:t>μg</w:t>
      </w:r>
      <w:proofErr w:type="spellEnd"/>
      <w:r w:rsidRPr="00993A20">
        <w:t xml:space="preserve">/kg/day, yielding systemic exposure levels ≥29-fold greater than in humans at the maximum recommended human dose.  No treatment-related increase in </w:t>
      </w:r>
      <w:proofErr w:type="spellStart"/>
      <w:r w:rsidRPr="00993A20">
        <w:t>tumour</w:t>
      </w:r>
      <w:proofErr w:type="spellEnd"/>
      <w:r w:rsidRPr="00993A20">
        <w:t xml:space="preserve"> incidence was seen in mice at 80 </w:t>
      </w:r>
      <w:proofErr w:type="spellStart"/>
      <w:r w:rsidRPr="00993A20">
        <w:t>μg</w:t>
      </w:r>
      <w:proofErr w:type="spellEnd"/>
      <w:r w:rsidRPr="00993A20">
        <w:t xml:space="preserve">/kg/day (relative exposure, 7). In rats, focal C-cell hyperplasia and C-cell adenoma were increased at all dose levels tested (≥80 </w:t>
      </w:r>
      <w:proofErr w:type="spellStart"/>
      <w:r w:rsidRPr="00993A20">
        <w:t>μg</w:t>
      </w:r>
      <w:proofErr w:type="spellEnd"/>
      <w:r w:rsidRPr="00993A20">
        <w:t xml:space="preserve">/kg/day: yielding exposure ratios ≥9), and C-cell carcinoma was observed at ≥400 </w:t>
      </w:r>
      <w:proofErr w:type="spellStart"/>
      <w:r w:rsidRPr="00993A20">
        <w:t>μg</w:t>
      </w:r>
      <w:proofErr w:type="spellEnd"/>
      <w:r w:rsidRPr="00993A20">
        <w:t>/kg/day (yielding ≥35-times the human</w:t>
      </w:r>
    </w:p>
    <w:p w:rsidR="00B1230F" w:rsidRPr="00993A20" w:rsidRDefault="00DD2BA1" w:rsidP="00993A20">
      <w:pPr>
        <w:autoSpaceDE w:val="0"/>
        <w:autoSpaceDN w:val="0"/>
        <w:adjustRightInd w:val="0"/>
        <w:spacing w:before="0"/>
      </w:pPr>
      <w:r w:rsidRPr="00993A20">
        <w:t>exposure). These findings are considered to be caused by a GLP-l receptor-mediated mechanism to which rodents are particularly sensitive.  Human relevance cannot presently be completely excluded.</w:t>
      </w:r>
    </w:p>
    <w:p w:rsidR="003020BF" w:rsidRDefault="003020BF" w:rsidP="003020BF">
      <w:pPr>
        <w:pStyle w:val="Heading2"/>
        <w:numPr>
          <w:ilvl w:val="0"/>
          <w:numId w:val="0"/>
        </w:numPr>
      </w:pPr>
      <w:bookmarkStart w:id="64" w:name="_Toc310954978"/>
      <w:r>
        <w:t>effect on laboratory tests</w:t>
      </w:r>
      <w:bookmarkEnd w:id="64"/>
    </w:p>
    <w:p w:rsidR="00D31AEC" w:rsidRDefault="00CE62EC" w:rsidP="00D31AEC">
      <w:r>
        <w:t xml:space="preserve">No studies on the effects of </w:t>
      </w:r>
      <w:proofErr w:type="spellStart"/>
      <w:r>
        <w:t>Lyxumia</w:t>
      </w:r>
      <w:proofErr w:type="spellEnd"/>
      <w:r>
        <w:t xml:space="preserve"> on laboratory tests have been performed.</w:t>
      </w:r>
    </w:p>
    <w:p w:rsidR="0019652D" w:rsidRPr="00993A20" w:rsidRDefault="0019652D" w:rsidP="00993A20">
      <w:pPr>
        <w:pStyle w:val="Heading2"/>
        <w:numPr>
          <w:ilvl w:val="0"/>
          <w:numId w:val="0"/>
        </w:numPr>
        <w:rPr>
          <w:color w:val="000000"/>
        </w:rPr>
      </w:pPr>
      <w:r w:rsidRPr="00993A20">
        <w:rPr>
          <w:color w:val="000000"/>
        </w:rPr>
        <w:lastRenderedPageBreak/>
        <w:t>EFFECTS ON ABILITY TO DRIVE AND USE MACHINES</w:t>
      </w:r>
    </w:p>
    <w:p w:rsidR="00477ECE" w:rsidRDefault="00477ECE" w:rsidP="00477ECE">
      <w:r>
        <w:t xml:space="preserve">No studies on the effects on the ability to drive and use machines have been performed. When used in combination with a </w:t>
      </w:r>
      <w:proofErr w:type="spellStart"/>
      <w:r>
        <w:t>sulphonylurea</w:t>
      </w:r>
      <w:proofErr w:type="spellEnd"/>
      <w:r>
        <w:t xml:space="preserve"> or a basal insulin, patients should be advised to take precautions to avoid </w:t>
      </w:r>
      <w:proofErr w:type="spellStart"/>
      <w:r>
        <w:t>hypoglycaemia</w:t>
      </w:r>
      <w:proofErr w:type="spellEnd"/>
      <w:r>
        <w:t xml:space="preserve"> while driving and using machines.</w:t>
      </w:r>
    </w:p>
    <w:p w:rsidR="003020BF" w:rsidRDefault="003020BF" w:rsidP="003020BF">
      <w:pPr>
        <w:pStyle w:val="Heading1"/>
        <w:pageBreakBefore w:val="0"/>
        <w:numPr>
          <w:ilvl w:val="0"/>
          <w:numId w:val="0"/>
        </w:numPr>
      </w:pPr>
      <w:bookmarkStart w:id="65" w:name="_Toc310954980"/>
      <w:r>
        <w:t>interactions with other medicines</w:t>
      </w:r>
      <w:bookmarkEnd w:id="65"/>
    </w:p>
    <w:p w:rsidR="00596BE6" w:rsidRPr="00AB43B8" w:rsidRDefault="00596BE6" w:rsidP="00AB43B8">
      <w:pPr>
        <w:rPr>
          <w:color w:val="008000"/>
          <w:u w:val="double"/>
        </w:rPr>
      </w:pPr>
      <w:proofErr w:type="spellStart"/>
      <w:r>
        <w:t>Lixisenatide</w:t>
      </w:r>
      <w:proofErr w:type="spellEnd"/>
      <w:r>
        <w:t xml:space="preserve"> is a peptide and is not </w:t>
      </w:r>
      <w:proofErr w:type="spellStart"/>
      <w:r>
        <w:t>metabolised</w:t>
      </w:r>
      <w:proofErr w:type="spellEnd"/>
      <w:r>
        <w:t xml:space="preserve"> by </w:t>
      </w:r>
      <w:proofErr w:type="spellStart"/>
      <w:r>
        <w:t>cytochrome</w:t>
      </w:r>
      <w:proofErr w:type="spellEnd"/>
      <w:r>
        <w:t xml:space="preserve"> P450. In </w:t>
      </w:r>
      <w:proofErr w:type="spellStart"/>
      <w:r>
        <w:t>in</w:t>
      </w:r>
      <w:proofErr w:type="spellEnd"/>
      <w:r>
        <w:t xml:space="preserve"> vitro studies, </w:t>
      </w:r>
      <w:proofErr w:type="spellStart"/>
      <w:r>
        <w:t>lixisenatide</w:t>
      </w:r>
      <w:proofErr w:type="spellEnd"/>
      <w:r>
        <w:t xml:space="preserve"> did not affect the activity of </w:t>
      </w:r>
      <w:proofErr w:type="spellStart"/>
      <w:r>
        <w:t>cytochrome</w:t>
      </w:r>
      <w:proofErr w:type="spellEnd"/>
      <w:r>
        <w:t xml:space="preserve"> P450 </w:t>
      </w:r>
      <w:proofErr w:type="spellStart"/>
      <w:r>
        <w:t>isozymes</w:t>
      </w:r>
      <w:proofErr w:type="spellEnd"/>
      <w:r>
        <w:t xml:space="preserve"> or human transporters </w:t>
      </w:r>
      <w:r w:rsidRPr="00AB43B8">
        <w:t>tested</w:t>
      </w:r>
      <w:r w:rsidR="008751CE" w:rsidRPr="00AB43B8">
        <w:t xml:space="preserve"> </w:t>
      </w:r>
      <w:r w:rsidR="008751CE" w:rsidRPr="00032C22">
        <w:t>at therapeutically relevant concentrations</w:t>
      </w:r>
      <w:r w:rsidRPr="00032C22">
        <w:t>.</w:t>
      </w:r>
    </w:p>
    <w:p w:rsidR="003020BF" w:rsidRDefault="00596BE6" w:rsidP="00596BE6">
      <w:r>
        <w:t xml:space="preserve">The delay of gastric emptying with </w:t>
      </w:r>
      <w:proofErr w:type="spellStart"/>
      <w:r>
        <w:t>lixisenatide</w:t>
      </w:r>
      <w:proofErr w:type="spellEnd"/>
      <w:r>
        <w:t xml:space="preserve"> may influence absorption of orally</w:t>
      </w:r>
      <w:r w:rsidR="0009464D">
        <w:t xml:space="preserve"> administered medicines</w:t>
      </w:r>
      <w:r>
        <w:t>. For oral medicinal products that are particularly dependent on threshold concentrations for efficacy</w:t>
      </w:r>
      <w:bookmarkStart w:id="66" w:name="OLE_LINK8"/>
      <w:bookmarkStart w:id="67" w:name="OLE_LINK9"/>
      <w:r w:rsidR="008751CE">
        <w:t>, patients</w:t>
      </w:r>
      <w:r>
        <w:t xml:space="preserve"> should be advised to take those medicinal products at least 1 hour before or 11 hours after </w:t>
      </w:r>
      <w:proofErr w:type="spellStart"/>
      <w:r>
        <w:t>lixisenatide</w:t>
      </w:r>
      <w:proofErr w:type="spellEnd"/>
      <w:r>
        <w:t xml:space="preserve"> injection</w:t>
      </w:r>
      <w:bookmarkEnd w:id="66"/>
      <w:bookmarkEnd w:id="67"/>
      <w:r>
        <w:t>.</w:t>
      </w:r>
    </w:p>
    <w:p w:rsidR="00596BE6" w:rsidRDefault="00596BE6" w:rsidP="00596BE6">
      <w:pPr>
        <w:pStyle w:val="Heading2"/>
        <w:numPr>
          <w:ilvl w:val="0"/>
          <w:numId w:val="0"/>
        </w:numPr>
      </w:pPr>
      <w:bookmarkStart w:id="68" w:name="_Toc310954981"/>
      <w:r>
        <w:t>Paracetamol</w:t>
      </w:r>
      <w:bookmarkEnd w:id="68"/>
    </w:p>
    <w:p w:rsidR="00596BE6" w:rsidRDefault="00596BE6" w:rsidP="00596BE6">
      <w:r>
        <w:t xml:space="preserve">Following administration of a single dose of </w:t>
      </w:r>
      <w:proofErr w:type="spellStart"/>
      <w:r>
        <w:t>paracetamol</w:t>
      </w:r>
      <w:proofErr w:type="spellEnd"/>
      <w:r>
        <w:t xml:space="preserve"> 1000 mg, </w:t>
      </w:r>
      <w:proofErr w:type="spellStart"/>
      <w:r>
        <w:t>paracetamol</w:t>
      </w:r>
      <w:proofErr w:type="spellEnd"/>
      <w:r>
        <w:t xml:space="preserve"> AUC and t </w:t>
      </w:r>
      <w:r w:rsidRPr="00596BE6">
        <w:rPr>
          <w:vertAlign w:val="subscript"/>
        </w:rPr>
        <w:t>1/2</w:t>
      </w:r>
      <w:r>
        <w:t xml:space="preserve"> were unchanged whatever the timing of its administration (before or after the </w:t>
      </w:r>
      <w:proofErr w:type="spellStart"/>
      <w:r>
        <w:t>lixisenatide</w:t>
      </w:r>
      <w:proofErr w:type="spellEnd"/>
      <w:r>
        <w:t xml:space="preserve"> injection). When administered 1 or 4 hours after the </w:t>
      </w:r>
      <w:proofErr w:type="spellStart"/>
      <w:r>
        <w:t>lixisenatide</w:t>
      </w:r>
      <w:proofErr w:type="spellEnd"/>
      <w:r>
        <w:t xml:space="preserve"> injection, </w:t>
      </w:r>
      <w:proofErr w:type="spellStart"/>
      <w:r>
        <w:t>C</w:t>
      </w:r>
      <w:r w:rsidRPr="00596BE6">
        <w:rPr>
          <w:vertAlign w:val="subscript"/>
        </w:rPr>
        <w:t>max</w:t>
      </w:r>
      <w:proofErr w:type="spellEnd"/>
      <w:r>
        <w:t xml:space="preserve"> of </w:t>
      </w:r>
      <w:proofErr w:type="spellStart"/>
      <w:r>
        <w:t>paracetamol</w:t>
      </w:r>
      <w:proofErr w:type="spellEnd"/>
      <w:r>
        <w:t xml:space="preserve"> was decreased by 29 % and 31 % respectively, and median </w:t>
      </w:r>
      <w:proofErr w:type="spellStart"/>
      <w:r>
        <w:t>t</w:t>
      </w:r>
      <w:r w:rsidRPr="00596BE6">
        <w:rPr>
          <w:vertAlign w:val="subscript"/>
        </w:rPr>
        <w:t>max</w:t>
      </w:r>
      <w:proofErr w:type="spellEnd"/>
      <w:r>
        <w:t xml:space="preserve"> was delayed by </w:t>
      </w:r>
      <w:r w:rsidR="009F2DE0">
        <w:t>2 and 1.75</w:t>
      </w:r>
      <w:r>
        <w:t xml:space="preserve"> hours respectively. </w:t>
      </w:r>
    </w:p>
    <w:p w:rsidR="00596BE6" w:rsidRDefault="00596BE6" w:rsidP="00596BE6">
      <w:r>
        <w:t xml:space="preserve">Based on these results, no dose adjustment for </w:t>
      </w:r>
      <w:proofErr w:type="spellStart"/>
      <w:r>
        <w:t>paracetamol</w:t>
      </w:r>
      <w:proofErr w:type="spellEnd"/>
      <w:r>
        <w:t xml:space="preserve"> is required.</w:t>
      </w:r>
    </w:p>
    <w:p w:rsidR="00596BE6" w:rsidRDefault="00596BE6" w:rsidP="00596BE6">
      <w:pPr>
        <w:pStyle w:val="Heading2"/>
        <w:numPr>
          <w:ilvl w:val="0"/>
          <w:numId w:val="0"/>
        </w:numPr>
      </w:pPr>
      <w:bookmarkStart w:id="69" w:name="_Toc310954982"/>
      <w:r>
        <w:t>oral contraceptives</w:t>
      </w:r>
      <w:bookmarkEnd w:id="69"/>
    </w:p>
    <w:p w:rsidR="00596BE6" w:rsidRDefault="00596BE6" w:rsidP="00596BE6">
      <w:r>
        <w:t>Following administration of a single dose of an oral contraceptive medicinal product (</w:t>
      </w:r>
      <w:proofErr w:type="spellStart"/>
      <w:r>
        <w:t>ethinylestradiol</w:t>
      </w:r>
      <w:proofErr w:type="spellEnd"/>
      <w:r>
        <w:t xml:space="preserve"> 0.03 mg /</w:t>
      </w:r>
      <w:proofErr w:type="spellStart"/>
      <w:r>
        <w:t>levonorgestrel</w:t>
      </w:r>
      <w:proofErr w:type="spellEnd"/>
      <w:r>
        <w:t xml:space="preserve"> 0.15 mg) 1 hour before or 11 hours after subcutaneous injection of </w:t>
      </w:r>
      <w:proofErr w:type="spellStart"/>
      <w:r>
        <w:t>lixisenatide</w:t>
      </w:r>
      <w:proofErr w:type="spellEnd"/>
      <w:r>
        <w:t xml:space="preserve">, </w:t>
      </w:r>
      <w:proofErr w:type="spellStart"/>
      <w:r>
        <w:t>C</w:t>
      </w:r>
      <w:r w:rsidRPr="0041102E">
        <w:rPr>
          <w:vertAlign w:val="subscript"/>
        </w:rPr>
        <w:t>ma</w:t>
      </w:r>
      <w:r w:rsidRPr="00A52A57">
        <w:rPr>
          <w:vertAlign w:val="subscript"/>
        </w:rPr>
        <w:t>x</w:t>
      </w:r>
      <w:proofErr w:type="spellEnd"/>
      <w:r>
        <w:t>, AUC, t</w:t>
      </w:r>
      <w:r w:rsidRPr="0041102E">
        <w:rPr>
          <w:vertAlign w:val="subscript"/>
        </w:rPr>
        <w:t xml:space="preserve">1/2 </w:t>
      </w:r>
      <w:r>
        <w:t xml:space="preserve">and </w:t>
      </w:r>
      <w:proofErr w:type="spellStart"/>
      <w:r w:rsidR="003E5835">
        <w:t>t</w:t>
      </w:r>
      <w:r w:rsidR="003E5835" w:rsidRPr="003E5835">
        <w:rPr>
          <w:vertAlign w:val="subscript"/>
        </w:rPr>
        <w:t>max</w:t>
      </w:r>
      <w:proofErr w:type="spellEnd"/>
      <w:r>
        <w:t xml:space="preserve"> of </w:t>
      </w:r>
      <w:proofErr w:type="spellStart"/>
      <w:r>
        <w:t>ethinylestradiol</w:t>
      </w:r>
      <w:proofErr w:type="spellEnd"/>
      <w:r>
        <w:t xml:space="preserve"> and </w:t>
      </w:r>
      <w:proofErr w:type="spellStart"/>
      <w:r>
        <w:t>levonorgestrel</w:t>
      </w:r>
      <w:proofErr w:type="spellEnd"/>
      <w:r>
        <w:t xml:space="preserve"> were unchanged. </w:t>
      </w:r>
    </w:p>
    <w:p w:rsidR="00596BE6" w:rsidRDefault="00596BE6" w:rsidP="00596BE6">
      <w:r>
        <w:t xml:space="preserve">The administration of </w:t>
      </w:r>
      <w:proofErr w:type="spellStart"/>
      <w:r>
        <w:t>ethinylestradiol</w:t>
      </w:r>
      <w:proofErr w:type="spellEnd"/>
      <w:r>
        <w:t xml:space="preserve"> and </w:t>
      </w:r>
      <w:proofErr w:type="spellStart"/>
      <w:r>
        <w:t>levonorgestrel</w:t>
      </w:r>
      <w:proofErr w:type="spellEnd"/>
      <w:r>
        <w:t xml:space="preserve"> 1 hour or 4 hours after the subcutaneous </w:t>
      </w:r>
      <w:proofErr w:type="spellStart"/>
      <w:r>
        <w:t>lixisenatide</w:t>
      </w:r>
      <w:proofErr w:type="spellEnd"/>
      <w:r>
        <w:t xml:space="preserve"> injection did not affect AUC and t</w:t>
      </w:r>
      <w:r w:rsidRPr="00596BE6">
        <w:rPr>
          <w:vertAlign w:val="subscript"/>
        </w:rPr>
        <w:t xml:space="preserve">1/2  </w:t>
      </w:r>
      <w:r>
        <w:t xml:space="preserve">whereas </w:t>
      </w:r>
      <w:proofErr w:type="spellStart"/>
      <w:r>
        <w:t>C</w:t>
      </w:r>
      <w:r w:rsidRPr="00596BE6">
        <w:rPr>
          <w:vertAlign w:val="subscript"/>
        </w:rPr>
        <w:t>max</w:t>
      </w:r>
      <w:proofErr w:type="spellEnd"/>
      <w:r w:rsidRPr="00596BE6">
        <w:rPr>
          <w:vertAlign w:val="subscript"/>
        </w:rPr>
        <w:t xml:space="preserve"> </w:t>
      </w:r>
      <w:r>
        <w:t xml:space="preserve">of </w:t>
      </w:r>
      <w:proofErr w:type="spellStart"/>
      <w:r>
        <w:t>ethinylestradiol</w:t>
      </w:r>
      <w:proofErr w:type="spellEnd"/>
      <w:r>
        <w:t xml:space="preserve"> was decreased by 52 % and 39% respectively and </w:t>
      </w:r>
      <w:proofErr w:type="spellStart"/>
      <w:r>
        <w:t>C</w:t>
      </w:r>
      <w:r w:rsidRPr="00596BE6">
        <w:rPr>
          <w:vertAlign w:val="subscript"/>
        </w:rPr>
        <w:t>max</w:t>
      </w:r>
      <w:proofErr w:type="spellEnd"/>
      <w:r>
        <w:t xml:space="preserve"> of </w:t>
      </w:r>
      <w:proofErr w:type="spellStart"/>
      <w:r>
        <w:t>levonorgestrel</w:t>
      </w:r>
      <w:proofErr w:type="spellEnd"/>
      <w:r>
        <w:t xml:space="preserve"> was decreased by </w:t>
      </w:r>
      <w:r w:rsidRPr="00492B96">
        <w:t>46</w:t>
      </w:r>
      <w:r w:rsidR="00C12CF4" w:rsidRPr="00492B96">
        <w:t>%</w:t>
      </w:r>
      <w:r w:rsidRPr="00492B96">
        <w:t xml:space="preserve"> and</w:t>
      </w:r>
      <w:r>
        <w:t xml:space="preserve"> 20% respectively and median </w:t>
      </w:r>
      <w:proofErr w:type="spellStart"/>
      <w:r>
        <w:t>t</w:t>
      </w:r>
      <w:r w:rsidRPr="00596BE6">
        <w:rPr>
          <w:vertAlign w:val="subscript"/>
        </w:rPr>
        <w:t>max</w:t>
      </w:r>
      <w:proofErr w:type="spellEnd"/>
      <w:r w:rsidR="00993A20">
        <w:t xml:space="preserve"> </w:t>
      </w:r>
      <w:r>
        <w:t>was delayed by</w:t>
      </w:r>
      <w:r w:rsidR="00993A20" w:rsidRPr="00993A20">
        <w:t xml:space="preserve"> </w:t>
      </w:r>
      <w:r w:rsidR="00E350AC" w:rsidRPr="00993A20">
        <w:t>1</w:t>
      </w:r>
      <w:r w:rsidR="00993A20">
        <w:t xml:space="preserve"> </w:t>
      </w:r>
      <w:r w:rsidRPr="00993A20">
        <w:t>to</w:t>
      </w:r>
      <w:r>
        <w:t xml:space="preserve"> </w:t>
      </w:r>
      <w:r w:rsidR="00E350AC" w:rsidRPr="00993A20">
        <w:t>3</w:t>
      </w:r>
      <w:r w:rsidR="00993A20" w:rsidRPr="00993A20">
        <w:t xml:space="preserve"> </w:t>
      </w:r>
      <w:r>
        <w:t>hours.</w:t>
      </w:r>
    </w:p>
    <w:p w:rsidR="00596BE6" w:rsidRDefault="00596BE6" w:rsidP="00596BE6">
      <w:r>
        <w:t xml:space="preserve">The reduction in </w:t>
      </w:r>
      <w:proofErr w:type="spellStart"/>
      <w:r>
        <w:t>C</w:t>
      </w:r>
      <w:r w:rsidRPr="00596BE6">
        <w:rPr>
          <w:vertAlign w:val="subscript"/>
        </w:rPr>
        <w:t>max</w:t>
      </w:r>
      <w:proofErr w:type="spellEnd"/>
      <w:r w:rsidRPr="00596BE6">
        <w:rPr>
          <w:vertAlign w:val="subscript"/>
        </w:rPr>
        <w:t xml:space="preserve"> </w:t>
      </w:r>
      <w:r>
        <w:t xml:space="preserve">is of limited clinical relevance and no dose adjustment for </w:t>
      </w:r>
      <w:r w:rsidR="005C0076">
        <w:t>oral contraceptives is required</w:t>
      </w:r>
      <w:r w:rsidR="0028733D">
        <w:t xml:space="preserve">.   </w:t>
      </w:r>
      <w:r w:rsidR="002E3BF1">
        <w:t xml:space="preserve"> </w:t>
      </w:r>
    </w:p>
    <w:p w:rsidR="00596BE6" w:rsidRDefault="00596BE6" w:rsidP="00596BE6">
      <w:pPr>
        <w:pStyle w:val="Heading2"/>
        <w:numPr>
          <w:ilvl w:val="0"/>
          <w:numId w:val="0"/>
        </w:numPr>
      </w:pPr>
      <w:bookmarkStart w:id="70" w:name="_Toc310954983"/>
      <w:r>
        <w:lastRenderedPageBreak/>
        <w:t>Atorvastatin</w:t>
      </w:r>
      <w:bookmarkEnd w:id="70"/>
    </w:p>
    <w:p w:rsidR="009F2DE0" w:rsidRDefault="00596BE6" w:rsidP="009F2DE0">
      <w:r>
        <w:t xml:space="preserve">When </w:t>
      </w:r>
      <w:proofErr w:type="spellStart"/>
      <w:r>
        <w:t>lixisenatide</w:t>
      </w:r>
      <w:proofErr w:type="spellEnd"/>
      <w:r>
        <w:t xml:space="preserve"> and </w:t>
      </w:r>
      <w:proofErr w:type="spellStart"/>
      <w:r>
        <w:t>atorvastatin</w:t>
      </w:r>
      <w:proofErr w:type="spellEnd"/>
      <w:r>
        <w:t xml:space="preserve"> 40 mg were co administered in the morning, the exposure of </w:t>
      </w:r>
      <w:proofErr w:type="spellStart"/>
      <w:r>
        <w:t>atorvastatin</w:t>
      </w:r>
      <w:proofErr w:type="spellEnd"/>
      <w:r>
        <w:t xml:space="preserve"> was not affected, </w:t>
      </w:r>
      <w:r w:rsidR="009F2DE0" w:rsidRPr="009F2DE0">
        <w:t>while</w:t>
      </w:r>
      <w:r w:rsidR="009F2DE0">
        <w:t xml:space="preserve"> </w:t>
      </w:r>
      <w:proofErr w:type="spellStart"/>
      <w:r w:rsidR="009F2DE0">
        <w:t>C</w:t>
      </w:r>
      <w:r w:rsidR="009F2DE0" w:rsidRPr="009F2DE0">
        <w:t>max</w:t>
      </w:r>
      <w:proofErr w:type="spellEnd"/>
      <w:r w:rsidR="009F2DE0">
        <w:t xml:space="preserve"> was decreased </w:t>
      </w:r>
      <w:r w:rsidR="009F2DE0" w:rsidRPr="009F2DE0">
        <w:t>by 31%</w:t>
      </w:r>
      <w:r w:rsidR="009F2DE0">
        <w:t xml:space="preserve"> and </w:t>
      </w:r>
      <w:proofErr w:type="spellStart"/>
      <w:r w:rsidR="009F2DE0">
        <w:t>t</w:t>
      </w:r>
      <w:r w:rsidR="009F2DE0" w:rsidRPr="009F2DE0">
        <w:t>max</w:t>
      </w:r>
      <w:proofErr w:type="spellEnd"/>
      <w:r w:rsidR="009F2DE0" w:rsidRPr="009F2DE0">
        <w:t xml:space="preserve"> </w:t>
      </w:r>
      <w:r w:rsidR="009F2DE0">
        <w:t xml:space="preserve">was </w:t>
      </w:r>
      <w:r w:rsidR="009F2DE0" w:rsidRPr="009F2DE0">
        <w:t>delayed by 3.25</w:t>
      </w:r>
      <w:r w:rsidR="009F2DE0">
        <w:t xml:space="preserve"> hours.</w:t>
      </w:r>
    </w:p>
    <w:p w:rsidR="00596BE6" w:rsidRDefault="00596BE6" w:rsidP="00596BE6">
      <w:r>
        <w:t xml:space="preserve">No such increase for </w:t>
      </w:r>
      <w:proofErr w:type="spellStart"/>
      <w:r>
        <w:t>t</w:t>
      </w:r>
      <w:r w:rsidRPr="00596BE6">
        <w:rPr>
          <w:vertAlign w:val="subscript"/>
        </w:rPr>
        <w:t>max</w:t>
      </w:r>
      <w:proofErr w:type="spellEnd"/>
      <w:r>
        <w:t xml:space="preserve"> was observed when </w:t>
      </w:r>
      <w:proofErr w:type="spellStart"/>
      <w:r>
        <w:t>atorvastatin</w:t>
      </w:r>
      <w:proofErr w:type="spellEnd"/>
      <w:r>
        <w:t xml:space="preserve"> is administered in the evening and </w:t>
      </w:r>
      <w:proofErr w:type="spellStart"/>
      <w:r>
        <w:t>lixisenatide</w:t>
      </w:r>
      <w:proofErr w:type="spellEnd"/>
      <w:r>
        <w:t xml:space="preserve"> in the morning,</w:t>
      </w:r>
      <w:r w:rsidR="005427B1">
        <w:t xml:space="preserve"> </w:t>
      </w:r>
      <w:r>
        <w:t xml:space="preserve">but the AUC and </w:t>
      </w:r>
      <w:proofErr w:type="spellStart"/>
      <w:r>
        <w:t>C</w:t>
      </w:r>
      <w:r w:rsidRPr="00596BE6">
        <w:rPr>
          <w:vertAlign w:val="subscript"/>
        </w:rPr>
        <w:t>max</w:t>
      </w:r>
      <w:proofErr w:type="spellEnd"/>
      <w:r w:rsidRPr="00596BE6">
        <w:rPr>
          <w:vertAlign w:val="subscript"/>
        </w:rPr>
        <w:t xml:space="preserve"> </w:t>
      </w:r>
      <w:r>
        <w:t xml:space="preserve">were increased by 27 % and 66 % respectively.  </w:t>
      </w:r>
    </w:p>
    <w:p w:rsidR="00596BE6" w:rsidRDefault="00596BE6" w:rsidP="00596BE6">
      <w:r>
        <w:t xml:space="preserve">These changes are not clinically relevant and therefore, no dose adjustment for </w:t>
      </w:r>
      <w:proofErr w:type="spellStart"/>
      <w:r>
        <w:t>atorvastatin</w:t>
      </w:r>
      <w:proofErr w:type="spellEnd"/>
      <w:r>
        <w:t xml:space="preserve"> is required when </w:t>
      </w:r>
      <w:proofErr w:type="spellStart"/>
      <w:r>
        <w:t>coadministered</w:t>
      </w:r>
      <w:proofErr w:type="spellEnd"/>
      <w:r>
        <w:t xml:space="preserve"> with </w:t>
      </w:r>
      <w:proofErr w:type="spellStart"/>
      <w:r>
        <w:t>lixisenatide</w:t>
      </w:r>
      <w:proofErr w:type="spellEnd"/>
      <w:r>
        <w:t>.</w:t>
      </w:r>
    </w:p>
    <w:p w:rsidR="00596BE6" w:rsidRDefault="00596BE6" w:rsidP="00596BE6">
      <w:pPr>
        <w:pStyle w:val="Heading2"/>
        <w:numPr>
          <w:ilvl w:val="0"/>
          <w:numId w:val="0"/>
        </w:numPr>
      </w:pPr>
      <w:bookmarkStart w:id="71" w:name="_Toc310954984"/>
      <w:r>
        <w:t>warfarin</w:t>
      </w:r>
      <w:bookmarkEnd w:id="71"/>
      <w:r w:rsidR="001B1706">
        <w:t xml:space="preserve"> </w:t>
      </w:r>
      <w:r w:rsidR="001B1706" w:rsidRPr="00993A20">
        <w:t>and other coumarin derivatives</w:t>
      </w:r>
    </w:p>
    <w:p w:rsidR="00596BE6" w:rsidRDefault="00596BE6" w:rsidP="00596BE6">
      <w:r>
        <w:t xml:space="preserve">After concomitant administration of </w:t>
      </w:r>
      <w:proofErr w:type="spellStart"/>
      <w:r>
        <w:t>warfarin</w:t>
      </w:r>
      <w:proofErr w:type="spellEnd"/>
      <w:r>
        <w:t xml:space="preserve"> 25 mg with </w:t>
      </w:r>
      <w:r w:rsidR="001B1706" w:rsidRPr="00993A20">
        <w:t>repeated dosing of</w:t>
      </w:r>
      <w:r w:rsidR="001B1706">
        <w:t xml:space="preserve"> </w:t>
      </w:r>
      <w:proofErr w:type="spellStart"/>
      <w:r>
        <w:t>lixisenatide</w:t>
      </w:r>
      <w:proofErr w:type="spellEnd"/>
      <w:r w:rsidR="001B1706" w:rsidRPr="00993A20">
        <w:t xml:space="preserve"> 20μg</w:t>
      </w:r>
      <w:r>
        <w:t xml:space="preserve">, there </w:t>
      </w:r>
      <w:r w:rsidRPr="00993A20">
        <w:t>w</w:t>
      </w:r>
      <w:r w:rsidR="00C12CF4" w:rsidRPr="00993A20">
        <w:t>ere</w:t>
      </w:r>
      <w:r>
        <w:t xml:space="preserve"> no effects on AUC or INR (International </w:t>
      </w:r>
      <w:proofErr w:type="spellStart"/>
      <w:r>
        <w:t>Normalised</w:t>
      </w:r>
      <w:proofErr w:type="spellEnd"/>
      <w:r>
        <w:t xml:space="preserve"> Ratio) while </w:t>
      </w:r>
      <w:proofErr w:type="spellStart"/>
      <w:r w:rsidR="00C12CF4" w:rsidRPr="00C12CF4">
        <w:t>C</w:t>
      </w:r>
      <w:r w:rsidR="00C12CF4" w:rsidRPr="00954356">
        <w:rPr>
          <w:vertAlign w:val="subscript"/>
        </w:rPr>
        <w:t>max</w:t>
      </w:r>
      <w:proofErr w:type="spellEnd"/>
      <w:r w:rsidR="00C12CF4" w:rsidRPr="00C12CF4">
        <w:t xml:space="preserve"> was reduced by 19% and </w:t>
      </w:r>
      <w:proofErr w:type="spellStart"/>
      <w:r>
        <w:t>t</w:t>
      </w:r>
      <w:r w:rsidRPr="00954356">
        <w:rPr>
          <w:vertAlign w:val="subscript"/>
        </w:rPr>
        <w:t>max</w:t>
      </w:r>
      <w:proofErr w:type="spellEnd"/>
      <w:r w:rsidRPr="00954356">
        <w:rPr>
          <w:vertAlign w:val="subscript"/>
        </w:rPr>
        <w:t xml:space="preserve"> </w:t>
      </w:r>
      <w:r>
        <w:t xml:space="preserve">was delayed by 7 hours. </w:t>
      </w:r>
    </w:p>
    <w:p w:rsidR="00596BE6" w:rsidRPr="00993A20" w:rsidRDefault="00596BE6" w:rsidP="00596BE6">
      <w:r>
        <w:t xml:space="preserve">Based on these results, no dose adjustment for </w:t>
      </w:r>
      <w:proofErr w:type="spellStart"/>
      <w:r>
        <w:t>warfarin</w:t>
      </w:r>
      <w:proofErr w:type="spellEnd"/>
      <w:r>
        <w:t xml:space="preserve"> is required when </w:t>
      </w:r>
      <w:proofErr w:type="spellStart"/>
      <w:r>
        <w:t>c</w:t>
      </w:r>
      <w:r w:rsidR="001B1706">
        <w:t>oadministered</w:t>
      </w:r>
      <w:proofErr w:type="spellEnd"/>
      <w:r w:rsidR="001B1706">
        <w:t xml:space="preserve"> with </w:t>
      </w:r>
      <w:proofErr w:type="spellStart"/>
      <w:r w:rsidR="001B1706">
        <w:t>lixisenatide</w:t>
      </w:r>
      <w:proofErr w:type="spellEnd"/>
      <w:r w:rsidR="001B1706">
        <w:t xml:space="preserve">; </w:t>
      </w:r>
      <w:r w:rsidR="001B1706" w:rsidRPr="00993A20">
        <w:t xml:space="preserve">however frequent monitoring of INR in patients on </w:t>
      </w:r>
      <w:proofErr w:type="spellStart"/>
      <w:r w:rsidR="001B1706" w:rsidRPr="00993A20">
        <w:t>warfarin</w:t>
      </w:r>
      <w:proofErr w:type="spellEnd"/>
      <w:r w:rsidR="001B1706" w:rsidRPr="00993A20">
        <w:t xml:space="preserve"> and/or </w:t>
      </w:r>
      <w:proofErr w:type="spellStart"/>
      <w:r w:rsidR="001B1706" w:rsidRPr="00993A20">
        <w:t>coumarin</w:t>
      </w:r>
      <w:proofErr w:type="spellEnd"/>
      <w:r w:rsidR="001B1706" w:rsidRPr="00993A20">
        <w:t xml:space="preserve"> derivatives is recommended at the time of initiation or ending of </w:t>
      </w:r>
      <w:proofErr w:type="spellStart"/>
      <w:r w:rsidR="001B1706" w:rsidRPr="00993A20">
        <w:t>lixisenatide</w:t>
      </w:r>
      <w:proofErr w:type="spellEnd"/>
      <w:r w:rsidR="001B1706" w:rsidRPr="00993A20">
        <w:t xml:space="preserve"> treatment</w:t>
      </w:r>
    </w:p>
    <w:p w:rsidR="00596BE6" w:rsidRDefault="00596BE6" w:rsidP="00596BE6">
      <w:pPr>
        <w:pStyle w:val="Heading2"/>
        <w:numPr>
          <w:ilvl w:val="0"/>
          <w:numId w:val="0"/>
        </w:numPr>
      </w:pPr>
      <w:bookmarkStart w:id="72" w:name="_Toc310954985"/>
      <w:r>
        <w:t>Digoxin</w:t>
      </w:r>
      <w:bookmarkEnd w:id="72"/>
    </w:p>
    <w:p w:rsidR="00596BE6" w:rsidRDefault="00596BE6" w:rsidP="00596BE6">
      <w:r>
        <w:t xml:space="preserve">After concomitant administration of </w:t>
      </w:r>
      <w:proofErr w:type="spellStart"/>
      <w:r>
        <w:t>lixisenatide</w:t>
      </w:r>
      <w:proofErr w:type="spellEnd"/>
      <w:r>
        <w:t xml:space="preserve"> and </w:t>
      </w:r>
      <w:proofErr w:type="spellStart"/>
      <w:r>
        <w:t>digoxin</w:t>
      </w:r>
      <w:proofErr w:type="spellEnd"/>
      <w:r>
        <w:t xml:space="preserve"> 0.25 mg, the AUC of </w:t>
      </w:r>
      <w:proofErr w:type="spellStart"/>
      <w:r>
        <w:t>digoxin</w:t>
      </w:r>
      <w:proofErr w:type="spellEnd"/>
      <w:r>
        <w:t xml:space="preserve"> was not affected. </w:t>
      </w:r>
      <w:proofErr w:type="spellStart"/>
      <w:r>
        <w:t>t</w:t>
      </w:r>
      <w:r w:rsidRPr="00596BE6">
        <w:rPr>
          <w:vertAlign w:val="subscript"/>
        </w:rPr>
        <w:t>max</w:t>
      </w:r>
      <w:proofErr w:type="spellEnd"/>
      <w:r>
        <w:t xml:space="preserve"> was delayed by 1.5 hour and </w:t>
      </w:r>
      <w:proofErr w:type="spellStart"/>
      <w:r>
        <w:t>C</w:t>
      </w:r>
      <w:r w:rsidRPr="00596BE6">
        <w:rPr>
          <w:vertAlign w:val="subscript"/>
        </w:rPr>
        <w:t>max</w:t>
      </w:r>
      <w:proofErr w:type="spellEnd"/>
      <w:r>
        <w:t xml:space="preserve"> was reduced by 26%. </w:t>
      </w:r>
    </w:p>
    <w:p w:rsidR="00596BE6" w:rsidRDefault="00596BE6" w:rsidP="00596BE6">
      <w:r>
        <w:t xml:space="preserve">Based on these results, no dose adjustment for </w:t>
      </w:r>
      <w:proofErr w:type="spellStart"/>
      <w:r>
        <w:t>digoxin</w:t>
      </w:r>
      <w:proofErr w:type="spellEnd"/>
      <w:r>
        <w:t xml:space="preserve"> is required when </w:t>
      </w:r>
      <w:proofErr w:type="spellStart"/>
      <w:r>
        <w:t>coadministered</w:t>
      </w:r>
      <w:proofErr w:type="spellEnd"/>
      <w:r>
        <w:t xml:space="preserve"> with </w:t>
      </w:r>
      <w:proofErr w:type="spellStart"/>
      <w:r>
        <w:t>lixisenatide</w:t>
      </w:r>
      <w:proofErr w:type="spellEnd"/>
      <w:r>
        <w:t>.</w:t>
      </w:r>
    </w:p>
    <w:p w:rsidR="00596BE6" w:rsidRDefault="00596BE6" w:rsidP="00596BE6">
      <w:pPr>
        <w:pStyle w:val="Heading2"/>
        <w:numPr>
          <w:ilvl w:val="0"/>
          <w:numId w:val="0"/>
        </w:numPr>
      </w:pPr>
      <w:bookmarkStart w:id="73" w:name="_Toc310954986"/>
      <w:r>
        <w:t>ramipril</w:t>
      </w:r>
      <w:bookmarkEnd w:id="73"/>
    </w:p>
    <w:p w:rsidR="00596BE6" w:rsidRDefault="00596BE6" w:rsidP="00596BE6">
      <w:r>
        <w:t xml:space="preserve">After concomitant administration of </w:t>
      </w:r>
      <w:proofErr w:type="spellStart"/>
      <w:r>
        <w:t>lixisenatide</w:t>
      </w:r>
      <w:proofErr w:type="spellEnd"/>
      <w:r>
        <w:t xml:space="preserve"> and </w:t>
      </w:r>
      <w:proofErr w:type="spellStart"/>
      <w:r>
        <w:t>ramipril</w:t>
      </w:r>
      <w:proofErr w:type="spellEnd"/>
      <w:r>
        <w:t xml:space="preserve"> 5 mg during 7 days, the AUC of </w:t>
      </w:r>
      <w:proofErr w:type="spellStart"/>
      <w:r>
        <w:t>ramipril</w:t>
      </w:r>
      <w:proofErr w:type="spellEnd"/>
      <w:r>
        <w:t xml:space="preserve"> was</w:t>
      </w:r>
      <w:r w:rsidRPr="00993A20">
        <w:t xml:space="preserve"> </w:t>
      </w:r>
      <w:r w:rsidR="0019652D" w:rsidRPr="00993A20">
        <w:t>increased</w:t>
      </w:r>
      <w:r w:rsidR="0019652D">
        <w:t xml:space="preserve"> </w:t>
      </w:r>
      <w:r w:rsidR="005427B1" w:rsidRPr="00993A20">
        <w:t>b</w:t>
      </w:r>
      <w:r>
        <w:t xml:space="preserve">y 21 % while the </w:t>
      </w:r>
      <w:proofErr w:type="spellStart"/>
      <w:r>
        <w:t>C</w:t>
      </w:r>
      <w:r w:rsidRPr="00596BE6">
        <w:rPr>
          <w:vertAlign w:val="subscript"/>
        </w:rPr>
        <w:t>max</w:t>
      </w:r>
      <w:proofErr w:type="spellEnd"/>
      <w:r>
        <w:t xml:space="preserve"> was decreased by 63 %.The AUC and </w:t>
      </w:r>
      <w:proofErr w:type="spellStart"/>
      <w:r>
        <w:t>C</w:t>
      </w:r>
      <w:r w:rsidRPr="00596BE6">
        <w:rPr>
          <w:vertAlign w:val="subscript"/>
        </w:rPr>
        <w:t>max</w:t>
      </w:r>
      <w:proofErr w:type="spellEnd"/>
      <w:r>
        <w:t xml:space="preserve"> of the active metabolite (</w:t>
      </w:r>
      <w:proofErr w:type="spellStart"/>
      <w:r>
        <w:t>ramiprilat</w:t>
      </w:r>
      <w:proofErr w:type="spellEnd"/>
      <w:r>
        <w:t xml:space="preserve">) were not affected. </w:t>
      </w:r>
      <w:proofErr w:type="spellStart"/>
      <w:r w:rsidR="003E5835">
        <w:t>t</w:t>
      </w:r>
      <w:r w:rsidRPr="003E5835">
        <w:rPr>
          <w:vertAlign w:val="subscript"/>
        </w:rPr>
        <w:t>max</w:t>
      </w:r>
      <w:proofErr w:type="spellEnd"/>
      <w:r w:rsidRPr="003E5835">
        <w:rPr>
          <w:vertAlign w:val="subscript"/>
        </w:rPr>
        <w:t xml:space="preserve"> </w:t>
      </w:r>
      <w:r>
        <w:t xml:space="preserve">of </w:t>
      </w:r>
      <w:proofErr w:type="spellStart"/>
      <w:r>
        <w:t>ramipril</w:t>
      </w:r>
      <w:proofErr w:type="spellEnd"/>
      <w:r>
        <w:t xml:space="preserve"> and </w:t>
      </w:r>
      <w:proofErr w:type="spellStart"/>
      <w:r>
        <w:t>ramiprilat</w:t>
      </w:r>
      <w:proofErr w:type="spellEnd"/>
      <w:r>
        <w:t xml:space="preserve"> was delayed by approximately 2.5 hours. </w:t>
      </w:r>
    </w:p>
    <w:p w:rsidR="00B1230F" w:rsidRPr="00596BE6" w:rsidRDefault="00596BE6" w:rsidP="00596BE6">
      <w:r>
        <w:t xml:space="preserve">Based on these results, no dose adjustment for </w:t>
      </w:r>
      <w:proofErr w:type="spellStart"/>
      <w:r>
        <w:t>ramipril</w:t>
      </w:r>
      <w:proofErr w:type="spellEnd"/>
      <w:r>
        <w:t xml:space="preserve"> is required when </w:t>
      </w:r>
      <w:proofErr w:type="spellStart"/>
      <w:r>
        <w:t>coadministered</w:t>
      </w:r>
      <w:proofErr w:type="spellEnd"/>
      <w:r>
        <w:t xml:space="preserve"> with </w:t>
      </w:r>
      <w:proofErr w:type="spellStart"/>
      <w:r>
        <w:t>lixisenatide</w:t>
      </w:r>
      <w:proofErr w:type="spellEnd"/>
      <w:r>
        <w:t>.</w:t>
      </w:r>
    </w:p>
    <w:p w:rsidR="003020BF" w:rsidRDefault="003020BF" w:rsidP="003020BF">
      <w:pPr>
        <w:pStyle w:val="Heading1"/>
        <w:pageBreakBefore w:val="0"/>
        <w:numPr>
          <w:ilvl w:val="0"/>
          <w:numId w:val="0"/>
        </w:numPr>
      </w:pPr>
      <w:bookmarkStart w:id="74" w:name="_Toc310954987"/>
      <w:r>
        <w:t>adverse effects</w:t>
      </w:r>
      <w:bookmarkEnd w:id="74"/>
    </w:p>
    <w:p w:rsidR="003020BF" w:rsidRDefault="00596BE6" w:rsidP="003020BF">
      <w:r w:rsidRPr="00596BE6">
        <w:t xml:space="preserve">Over </w:t>
      </w:r>
      <w:r>
        <w:t>2600 pati</w:t>
      </w:r>
      <w:r w:rsidR="00477ECE">
        <w:t xml:space="preserve">ents have received </w:t>
      </w:r>
      <w:proofErr w:type="spellStart"/>
      <w:r w:rsidR="00477ECE">
        <w:t>Lyxumia</w:t>
      </w:r>
      <w:proofErr w:type="spellEnd"/>
      <w:r w:rsidR="00477ECE">
        <w:t xml:space="preserve"> </w:t>
      </w:r>
      <w:r w:rsidRPr="00596BE6">
        <w:t xml:space="preserve">either alone or in combination with </w:t>
      </w:r>
      <w:proofErr w:type="spellStart"/>
      <w:r w:rsidRPr="00596BE6">
        <w:t>metformin</w:t>
      </w:r>
      <w:proofErr w:type="spellEnd"/>
      <w:r w:rsidRPr="00596BE6">
        <w:t xml:space="preserve">, a </w:t>
      </w:r>
      <w:proofErr w:type="spellStart"/>
      <w:r w:rsidRPr="00596BE6">
        <w:t>sulphonylurea</w:t>
      </w:r>
      <w:proofErr w:type="spellEnd"/>
      <w:r w:rsidRPr="00596BE6">
        <w:t xml:space="preserve"> (with or without </w:t>
      </w:r>
      <w:proofErr w:type="spellStart"/>
      <w:r w:rsidRPr="00596BE6">
        <w:t>metformin</w:t>
      </w:r>
      <w:proofErr w:type="spellEnd"/>
      <w:r w:rsidRPr="00596BE6">
        <w:t xml:space="preserve">) or a basal insulin (with or without </w:t>
      </w:r>
      <w:proofErr w:type="spellStart"/>
      <w:r w:rsidRPr="00596BE6">
        <w:t>metformin</w:t>
      </w:r>
      <w:proofErr w:type="spellEnd"/>
      <w:r w:rsidRPr="00596BE6">
        <w:t xml:space="preserve">, or with </w:t>
      </w:r>
      <w:r w:rsidRPr="00596BE6">
        <w:lastRenderedPageBreak/>
        <w:t xml:space="preserve">or without a </w:t>
      </w:r>
      <w:proofErr w:type="spellStart"/>
      <w:r w:rsidRPr="00596BE6">
        <w:t>sulphonylurea</w:t>
      </w:r>
      <w:proofErr w:type="spellEnd"/>
      <w:r w:rsidRPr="00596BE6">
        <w:t>) in 8 large placebo- or active-controlled phase III studies.</w:t>
      </w:r>
      <w:r>
        <w:t xml:space="preserve"> </w:t>
      </w:r>
      <w:r w:rsidRPr="00596BE6">
        <w:t>The most frequently reported adverse reactions during clinical trials were nausea and vomiting. These reactions were mostly mild and transient.</w:t>
      </w:r>
    </w:p>
    <w:p w:rsidR="003C6A32" w:rsidRDefault="003C6A32" w:rsidP="003020BF">
      <w:r w:rsidRPr="00993A20">
        <w:t xml:space="preserve">In addition, hypoglycemia (when </w:t>
      </w:r>
      <w:proofErr w:type="spellStart"/>
      <w:r w:rsidRPr="00993A20">
        <w:t>Lyxumia</w:t>
      </w:r>
      <w:proofErr w:type="spellEnd"/>
      <w:r w:rsidRPr="00993A20">
        <w:t xml:space="preserve"> was used in combination with </w:t>
      </w:r>
      <w:proofErr w:type="spellStart"/>
      <w:r w:rsidRPr="00993A20">
        <w:t>sulphonylurea</w:t>
      </w:r>
      <w:proofErr w:type="spellEnd"/>
      <w:r w:rsidRPr="00993A20">
        <w:t xml:space="preserve"> and/or a basal insulin) and headache occurred. </w:t>
      </w:r>
    </w:p>
    <w:p w:rsidR="00B02FE1" w:rsidRPr="007B0E04" w:rsidRDefault="00814424" w:rsidP="00B02FE1">
      <w:pPr>
        <w:outlineLvl w:val="0"/>
      </w:pPr>
      <w:r w:rsidRPr="007B0E04">
        <w:t xml:space="preserve">In an active-controlled study in combination with </w:t>
      </w:r>
      <w:proofErr w:type="spellStart"/>
      <w:r w:rsidRPr="007B0E04">
        <w:t>metformin</w:t>
      </w:r>
      <w:proofErr w:type="spellEnd"/>
      <w:r w:rsidRPr="007B0E04">
        <w:t>,</w:t>
      </w:r>
      <w:r w:rsidRPr="008D4A3D">
        <w:t xml:space="preserve"> </w:t>
      </w:r>
      <w:r w:rsidR="006F407C" w:rsidRPr="007B0E04">
        <w:t>t</w:t>
      </w:r>
      <w:r w:rsidR="00B02FE1" w:rsidRPr="007B0E04">
        <w:t xml:space="preserve">he incidence </w:t>
      </w:r>
      <w:r w:rsidRPr="007B0E04">
        <w:t xml:space="preserve">of nausea in the </w:t>
      </w:r>
      <w:proofErr w:type="spellStart"/>
      <w:r w:rsidRPr="007B0E04">
        <w:t>lixisenatide</w:t>
      </w:r>
      <w:proofErr w:type="spellEnd"/>
      <w:r w:rsidRPr="007B0E04">
        <w:t xml:space="preserve"> group </w:t>
      </w:r>
      <w:r w:rsidR="00B02FE1" w:rsidRPr="007B0E04">
        <w:t>was 24.5% compared to</w:t>
      </w:r>
      <w:r w:rsidR="00E94781" w:rsidRPr="007B0E04">
        <w:t xml:space="preserve"> </w:t>
      </w:r>
      <w:r w:rsidR="00B02FE1" w:rsidRPr="007B0E04">
        <w:t xml:space="preserve">35.1% in the </w:t>
      </w:r>
      <w:proofErr w:type="spellStart"/>
      <w:r w:rsidR="00B02FE1" w:rsidRPr="007B0E04">
        <w:t>exenatide</w:t>
      </w:r>
      <w:proofErr w:type="spellEnd"/>
      <w:r w:rsidR="00B02FE1" w:rsidRPr="007B0E04">
        <w:t xml:space="preserve"> twice daily group and the incidence of symptomatic </w:t>
      </w:r>
      <w:proofErr w:type="spellStart"/>
      <w:r w:rsidR="00B02FE1" w:rsidRPr="007B0E04">
        <w:t>hypoglycaemia</w:t>
      </w:r>
      <w:proofErr w:type="spellEnd"/>
      <w:r w:rsidR="00B02FE1" w:rsidRPr="007B0E04">
        <w:t xml:space="preserve"> with </w:t>
      </w:r>
      <w:proofErr w:type="spellStart"/>
      <w:r w:rsidR="00B02FE1" w:rsidRPr="007B0E04">
        <w:t>lixisenatide</w:t>
      </w:r>
      <w:proofErr w:type="spellEnd"/>
      <w:r w:rsidR="00B02FE1" w:rsidRPr="007B0E04">
        <w:t xml:space="preserve"> was 2.5% during the 24</w:t>
      </w:r>
      <w:r w:rsidR="00B02FE1" w:rsidRPr="007B0E04">
        <w:noBreakHyphen/>
        <w:t xml:space="preserve">week main treatment period compared to 7.9% in the </w:t>
      </w:r>
      <w:proofErr w:type="spellStart"/>
      <w:r w:rsidR="00B02FE1" w:rsidRPr="007B0E04">
        <w:t>exenatide</w:t>
      </w:r>
      <w:proofErr w:type="spellEnd"/>
      <w:r w:rsidR="00B02FE1" w:rsidRPr="007B0E04">
        <w:t xml:space="preserve"> group.</w:t>
      </w:r>
    </w:p>
    <w:p w:rsidR="003C6A32" w:rsidRPr="00993A20" w:rsidRDefault="003C6A32" w:rsidP="003020BF">
      <w:r w:rsidRPr="00993A20">
        <w:t xml:space="preserve">Allergic reactions have been reported in 0.4% of </w:t>
      </w:r>
      <w:proofErr w:type="spellStart"/>
      <w:r w:rsidRPr="00993A20">
        <w:t>Lyxumia</w:t>
      </w:r>
      <w:proofErr w:type="spellEnd"/>
      <w:r w:rsidRPr="00993A20">
        <w:t xml:space="preserve"> patients. </w:t>
      </w:r>
    </w:p>
    <w:p w:rsidR="00596BE6" w:rsidRDefault="00D70C28" w:rsidP="003020BF">
      <w:fldSimple w:instr=" REF _Ref310895260 \h  \* MERGEFORMAT ">
        <w:r w:rsidR="00E2762E" w:rsidRPr="00E2762E">
          <w:rPr>
            <w:color w:val="0000FF"/>
          </w:rPr>
          <w:t xml:space="preserve">  </w:t>
        </w:r>
        <w:r w:rsidR="00E2762E">
          <w:t>Table 5</w:t>
        </w:r>
      </w:fldSimple>
      <w:r w:rsidR="00EF1270">
        <w:rPr>
          <w:rFonts w:hint="eastAsia"/>
        </w:rPr>
        <w:t xml:space="preserve"> lists adverse </w:t>
      </w:r>
      <w:r w:rsidR="00EF1270">
        <w:t>reactions</w:t>
      </w:r>
      <w:r w:rsidR="00596BE6" w:rsidRPr="00596BE6">
        <w:rPr>
          <w:rFonts w:hint="eastAsia"/>
        </w:rPr>
        <w:t xml:space="preserve"> reported from placebo- and active-controlled phase III studies over the entire treatment period. The table presents adverse reactions by preferred term that occurred with an incidence </w:t>
      </w:r>
      <w:r w:rsidR="00274EA1">
        <w:t>&gt;</w:t>
      </w:r>
      <w:r w:rsidR="00596BE6" w:rsidRPr="00596BE6">
        <w:rPr>
          <w:rFonts w:hint="eastAsia"/>
        </w:rPr>
        <w:t xml:space="preserve"> 5% if </w:t>
      </w:r>
      <w:r w:rsidR="00596BE6">
        <w:rPr>
          <w:rFonts w:hint="eastAsia"/>
        </w:rPr>
        <w:t xml:space="preserve">the frequency was higher among </w:t>
      </w:r>
      <w:proofErr w:type="spellStart"/>
      <w:r w:rsidR="00596BE6">
        <w:t>lixisenatide</w:t>
      </w:r>
      <w:proofErr w:type="spellEnd"/>
      <w:r w:rsidR="00596BE6" w:rsidRPr="00596BE6">
        <w:t xml:space="preserve"> treated patients than patients treated with all comparators. The table also includes adverse reactions w</w:t>
      </w:r>
      <w:r w:rsidR="00596BE6">
        <w:t>ith a frequency ≥</w:t>
      </w:r>
      <w:r w:rsidR="00274EA1" w:rsidRPr="00993A20">
        <w:t>1</w:t>
      </w:r>
      <w:r w:rsidR="00596BE6">
        <w:t xml:space="preserve">% in the </w:t>
      </w:r>
      <w:proofErr w:type="spellStart"/>
      <w:r w:rsidR="00596BE6">
        <w:t>lixisenatide</w:t>
      </w:r>
      <w:proofErr w:type="spellEnd"/>
      <w:r w:rsidR="00596BE6" w:rsidRPr="00596BE6">
        <w:t xml:space="preserve"> group if the frequency was </w:t>
      </w:r>
      <w:r w:rsidR="00274EA1">
        <w:t>&gt;</w:t>
      </w:r>
      <w:r w:rsidR="00596BE6" w:rsidRPr="00596BE6">
        <w:t xml:space="preserve">2 times the frequency for the comparator group.  </w:t>
      </w:r>
    </w:p>
    <w:p w:rsidR="00993A20" w:rsidRPr="00993A20" w:rsidRDefault="00993A20" w:rsidP="003020BF">
      <w:pPr>
        <w:rPr>
          <w:i/>
        </w:rPr>
      </w:pPr>
      <w:r w:rsidRPr="000A35F7">
        <w:rPr>
          <w:i/>
        </w:rPr>
        <w:t>The following CIOMS frequency rating is used, when applicable:</w:t>
      </w:r>
    </w:p>
    <w:p w:rsidR="0057627B" w:rsidRPr="00993A20" w:rsidRDefault="0057627B" w:rsidP="003F3BE5">
      <w:pPr>
        <w:rPr>
          <w:i/>
        </w:rPr>
      </w:pPr>
      <w:r w:rsidRPr="00993A20">
        <w:rPr>
          <w:i/>
        </w:rPr>
        <w:t>Very common ≥ 10 %; Common ≥  1 and &lt;10 %; Uncommon ≥ 0.1 and &lt; 1 %; Rare ≥ 0.01 and &lt; 0.1 %; Very rare &lt; 0.01 %</w:t>
      </w:r>
      <w:r w:rsidR="003F3BE5" w:rsidRPr="00993A20">
        <w:rPr>
          <w:i/>
        </w:rPr>
        <w:t>;</w:t>
      </w:r>
      <w:r w:rsidRPr="00993A20">
        <w:rPr>
          <w:i/>
        </w:rPr>
        <w:t xml:space="preserve"> Unknown (cannot be estimated from available data).</w:t>
      </w:r>
    </w:p>
    <w:p w:rsidR="00274EA1" w:rsidRPr="00993A20" w:rsidRDefault="00274EA1" w:rsidP="003020BF">
      <w:r w:rsidRPr="00993A20">
        <w:t xml:space="preserve">Within each system organ class, adverse reactions are presented in order of decreasing frequency. </w:t>
      </w:r>
    </w:p>
    <w:p w:rsidR="00274EA1" w:rsidRDefault="006032FC" w:rsidP="00993A20">
      <w:pPr>
        <w:pStyle w:val="Caption"/>
      </w:pPr>
      <w:bookmarkStart w:id="75" w:name="_Ref310895260"/>
      <w:bookmarkStart w:id="76" w:name="_Toc310955011"/>
      <w:r>
        <w:t xml:space="preserve">  </w:t>
      </w:r>
      <w:r w:rsidR="002961F7">
        <w:t>Table </w:t>
      </w:r>
      <w:fldSimple w:instr=" SEQ Table \* ARABIC ">
        <w:r w:rsidR="00E2762E">
          <w:rPr>
            <w:noProof/>
          </w:rPr>
          <w:t>5</w:t>
        </w:r>
      </w:fldSimple>
      <w:bookmarkEnd w:id="75"/>
      <w:r w:rsidR="002961F7">
        <w:t xml:space="preserve"> ­ </w:t>
      </w:r>
      <w:r w:rsidR="00EF1270">
        <w:t>Adverse reactions</w:t>
      </w:r>
      <w:r w:rsidR="002961F7" w:rsidRPr="002961F7">
        <w:t xml:space="preserve"> reported during placebo- and active-controlled phase III studies during the entire treatment period (including the period beyond the main 24-week treatment period in studies of ≥76 weeks of total treatment).</w:t>
      </w:r>
      <w:bookmarkStart w:id="77" w:name="_Toc310954988"/>
      <w:bookmarkEnd w:id="76"/>
    </w:p>
    <w:tbl>
      <w:tblPr>
        <w:tblW w:w="0" w:type="auto"/>
        <w:tblBorders>
          <w:top w:val="single" w:sz="2" w:space="0" w:color="000000"/>
        </w:tblBorders>
        <w:tblLook w:val="01E0"/>
      </w:tblPr>
      <w:tblGrid>
        <w:gridCol w:w="2303"/>
        <w:gridCol w:w="2303"/>
        <w:gridCol w:w="2303"/>
        <w:gridCol w:w="2303"/>
      </w:tblGrid>
      <w:tr w:rsidR="00274EA1" w:rsidRPr="00993A20" w:rsidTr="000C07F8">
        <w:trPr>
          <w:cantSplit/>
          <w:tblHeader/>
        </w:trPr>
        <w:tc>
          <w:tcPr>
            <w:tcW w:w="2303" w:type="dxa"/>
            <w:tcBorders>
              <w:top w:val="single" w:sz="4" w:space="0" w:color="000000"/>
              <w:bottom w:val="single" w:sz="4" w:space="0" w:color="000000"/>
            </w:tcBorders>
            <w:shd w:val="clear" w:color="auto" w:fill="auto"/>
          </w:tcPr>
          <w:p w:rsidR="00274EA1" w:rsidRPr="00993A20" w:rsidRDefault="00274EA1" w:rsidP="001D7399">
            <w:pPr>
              <w:pStyle w:val="TblHeadingCenter"/>
              <w:rPr>
                <w:rFonts w:ascii="Arial Narrow" w:hAnsi="Arial Narrow"/>
              </w:rPr>
            </w:pPr>
            <w:r w:rsidRPr="00993A20">
              <w:rPr>
                <w:rFonts w:ascii="Arial Narrow" w:hAnsi="Arial Narrow"/>
              </w:rPr>
              <w:t>System Organ Class</w:t>
            </w:r>
          </w:p>
        </w:tc>
        <w:tc>
          <w:tcPr>
            <w:tcW w:w="6909" w:type="dxa"/>
            <w:gridSpan w:val="3"/>
            <w:tcBorders>
              <w:top w:val="single" w:sz="4" w:space="0" w:color="000000"/>
              <w:bottom w:val="single" w:sz="4" w:space="0" w:color="000000"/>
            </w:tcBorders>
            <w:shd w:val="clear" w:color="auto" w:fill="auto"/>
          </w:tcPr>
          <w:p w:rsidR="00274EA1" w:rsidRPr="00993A20" w:rsidRDefault="00274EA1" w:rsidP="001D7399">
            <w:pPr>
              <w:pStyle w:val="TblHeadingCenter"/>
              <w:rPr>
                <w:rFonts w:ascii="Arial Narrow" w:hAnsi="Arial Narrow"/>
              </w:rPr>
            </w:pPr>
            <w:r w:rsidRPr="00993A20">
              <w:rPr>
                <w:rFonts w:ascii="Arial Narrow" w:hAnsi="Arial Narrow"/>
              </w:rPr>
              <w:t>Frequency of occurrence</w:t>
            </w:r>
          </w:p>
        </w:tc>
      </w:tr>
      <w:tr w:rsidR="00274EA1" w:rsidRPr="00993A20" w:rsidTr="000C07F8">
        <w:trPr>
          <w:cantSplit/>
        </w:trPr>
        <w:tc>
          <w:tcPr>
            <w:tcW w:w="2303" w:type="dxa"/>
            <w:tcBorders>
              <w:top w:val="single" w:sz="4" w:space="0" w:color="000000"/>
            </w:tcBorders>
            <w:shd w:val="clear" w:color="auto" w:fill="auto"/>
          </w:tcPr>
          <w:p w:rsidR="00274EA1" w:rsidRPr="00993A20" w:rsidRDefault="00274EA1" w:rsidP="001D7399">
            <w:pPr>
              <w:pStyle w:val="TblTextCenter"/>
            </w:pPr>
          </w:p>
        </w:tc>
        <w:tc>
          <w:tcPr>
            <w:tcW w:w="2303" w:type="dxa"/>
            <w:shd w:val="clear" w:color="auto" w:fill="auto"/>
          </w:tcPr>
          <w:p w:rsidR="00274EA1" w:rsidRPr="00993A20" w:rsidRDefault="00274EA1" w:rsidP="00274EA1">
            <w:pPr>
              <w:pStyle w:val="TblHeadingLeft"/>
              <w:rPr>
                <w:rFonts w:ascii="Arial Narrow" w:hAnsi="Arial Narrow"/>
              </w:rPr>
            </w:pPr>
            <w:r w:rsidRPr="00993A20">
              <w:rPr>
                <w:rFonts w:ascii="Arial Narrow" w:hAnsi="Arial Narrow"/>
              </w:rPr>
              <w:t>Very common</w:t>
            </w:r>
          </w:p>
        </w:tc>
        <w:tc>
          <w:tcPr>
            <w:tcW w:w="2303" w:type="dxa"/>
            <w:shd w:val="clear" w:color="auto" w:fill="auto"/>
          </w:tcPr>
          <w:p w:rsidR="00274EA1" w:rsidRPr="00993A20" w:rsidRDefault="00274EA1" w:rsidP="00274EA1">
            <w:pPr>
              <w:pStyle w:val="TblHeadingLeft"/>
              <w:rPr>
                <w:rFonts w:ascii="Arial Narrow" w:hAnsi="Arial Narrow"/>
              </w:rPr>
            </w:pPr>
            <w:r w:rsidRPr="00993A20">
              <w:rPr>
                <w:rFonts w:ascii="Arial Narrow" w:hAnsi="Arial Narrow"/>
              </w:rPr>
              <w:t>Common</w:t>
            </w:r>
          </w:p>
        </w:tc>
        <w:tc>
          <w:tcPr>
            <w:tcW w:w="2303" w:type="dxa"/>
            <w:shd w:val="clear" w:color="auto" w:fill="auto"/>
          </w:tcPr>
          <w:p w:rsidR="00274EA1" w:rsidRPr="00993A20" w:rsidRDefault="00274EA1" w:rsidP="00274EA1">
            <w:pPr>
              <w:pStyle w:val="TblHeadingLeft"/>
              <w:rPr>
                <w:rFonts w:ascii="Arial Narrow" w:hAnsi="Arial Narrow"/>
              </w:rPr>
            </w:pPr>
            <w:r w:rsidRPr="00993A20">
              <w:rPr>
                <w:rFonts w:ascii="Arial Narrow" w:hAnsi="Arial Narrow"/>
              </w:rPr>
              <w:t>Uncommon</w:t>
            </w:r>
          </w:p>
        </w:tc>
      </w:tr>
      <w:tr w:rsidR="00274EA1" w:rsidRPr="00993A20" w:rsidTr="000C07F8">
        <w:trPr>
          <w:cantSplit/>
        </w:trPr>
        <w:tc>
          <w:tcPr>
            <w:tcW w:w="2303" w:type="dxa"/>
            <w:vMerge w:val="restart"/>
            <w:shd w:val="clear" w:color="auto" w:fill="auto"/>
          </w:tcPr>
          <w:p w:rsidR="00274EA1" w:rsidRPr="00993A20" w:rsidRDefault="00274EA1" w:rsidP="00274EA1">
            <w:pPr>
              <w:pStyle w:val="TblTextLeft"/>
              <w:rPr>
                <w:b/>
              </w:rPr>
            </w:pPr>
            <w:r w:rsidRPr="00993A20">
              <w:rPr>
                <w:b/>
              </w:rPr>
              <w:t>Infections and infestations</w:t>
            </w: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r w:rsidRPr="00993A20">
              <w:t>Influenza</w:t>
            </w:r>
          </w:p>
        </w:tc>
        <w:tc>
          <w:tcPr>
            <w:tcW w:w="2303" w:type="dxa"/>
            <w:shd w:val="clear" w:color="auto" w:fill="auto"/>
          </w:tcPr>
          <w:p w:rsidR="00274EA1" w:rsidRPr="00993A20" w:rsidRDefault="00274EA1" w:rsidP="00274EA1">
            <w:pPr>
              <w:pStyle w:val="TblTextLeft"/>
            </w:pPr>
          </w:p>
        </w:tc>
      </w:tr>
      <w:tr w:rsidR="00274EA1" w:rsidRPr="00993A20" w:rsidTr="000C07F8">
        <w:trPr>
          <w:cantSplit/>
        </w:trPr>
        <w:tc>
          <w:tcPr>
            <w:tcW w:w="2303" w:type="dxa"/>
            <w:vMerge/>
            <w:shd w:val="clear" w:color="auto" w:fill="auto"/>
          </w:tcPr>
          <w:p w:rsidR="00274EA1" w:rsidRPr="00993A20" w:rsidRDefault="00274EA1" w:rsidP="00274EA1">
            <w:pPr>
              <w:pStyle w:val="TblTextLeft"/>
              <w:rPr>
                <w:b/>
              </w:rPr>
            </w:pP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r w:rsidRPr="00993A20">
              <w:t>Upper respiratory tract infection</w:t>
            </w:r>
          </w:p>
        </w:tc>
        <w:tc>
          <w:tcPr>
            <w:tcW w:w="2303" w:type="dxa"/>
            <w:shd w:val="clear" w:color="auto" w:fill="auto"/>
          </w:tcPr>
          <w:p w:rsidR="00274EA1" w:rsidRPr="00993A20" w:rsidRDefault="00274EA1" w:rsidP="00274EA1">
            <w:pPr>
              <w:pStyle w:val="TblTextLeft"/>
            </w:pPr>
          </w:p>
        </w:tc>
      </w:tr>
      <w:tr w:rsidR="00274EA1" w:rsidRPr="00993A20" w:rsidTr="000C07F8">
        <w:trPr>
          <w:cantSplit/>
        </w:trPr>
        <w:tc>
          <w:tcPr>
            <w:tcW w:w="2303" w:type="dxa"/>
            <w:vMerge/>
            <w:shd w:val="clear" w:color="auto" w:fill="auto"/>
          </w:tcPr>
          <w:p w:rsidR="00274EA1" w:rsidRPr="00993A20" w:rsidRDefault="00274EA1" w:rsidP="00274EA1">
            <w:pPr>
              <w:pStyle w:val="TblTextLeft"/>
              <w:rPr>
                <w:b/>
              </w:rPr>
            </w:pP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r w:rsidRPr="00993A20">
              <w:t>Cystitis</w:t>
            </w:r>
          </w:p>
        </w:tc>
        <w:tc>
          <w:tcPr>
            <w:tcW w:w="2303" w:type="dxa"/>
            <w:shd w:val="clear" w:color="auto" w:fill="auto"/>
          </w:tcPr>
          <w:p w:rsidR="00274EA1" w:rsidRPr="00993A20" w:rsidRDefault="00274EA1" w:rsidP="00274EA1">
            <w:pPr>
              <w:pStyle w:val="TblTextLeft"/>
            </w:pPr>
          </w:p>
        </w:tc>
      </w:tr>
      <w:tr w:rsidR="00274EA1" w:rsidRPr="00993A20" w:rsidTr="000C07F8">
        <w:trPr>
          <w:cantSplit/>
        </w:trPr>
        <w:tc>
          <w:tcPr>
            <w:tcW w:w="2303" w:type="dxa"/>
            <w:vMerge/>
            <w:shd w:val="clear" w:color="auto" w:fill="auto"/>
          </w:tcPr>
          <w:p w:rsidR="00274EA1" w:rsidRPr="00993A20" w:rsidRDefault="00274EA1" w:rsidP="00274EA1">
            <w:pPr>
              <w:pStyle w:val="TblTextLeft"/>
              <w:rPr>
                <w:b/>
              </w:rPr>
            </w:pP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r w:rsidRPr="00993A20">
              <w:t>Viral infection</w:t>
            </w:r>
          </w:p>
        </w:tc>
        <w:tc>
          <w:tcPr>
            <w:tcW w:w="2303" w:type="dxa"/>
            <w:shd w:val="clear" w:color="auto" w:fill="auto"/>
          </w:tcPr>
          <w:p w:rsidR="00274EA1" w:rsidRPr="00993A20" w:rsidRDefault="00274EA1" w:rsidP="00274EA1">
            <w:pPr>
              <w:pStyle w:val="TblTextLeft"/>
            </w:pPr>
          </w:p>
        </w:tc>
      </w:tr>
      <w:tr w:rsidR="00274EA1" w:rsidRPr="00993A20" w:rsidTr="000C07F8">
        <w:trPr>
          <w:cantSplit/>
        </w:trPr>
        <w:tc>
          <w:tcPr>
            <w:tcW w:w="2303" w:type="dxa"/>
            <w:shd w:val="clear" w:color="auto" w:fill="auto"/>
          </w:tcPr>
          <w:p w:rsidR="00274EA1" w:rsidRPr="00993A20" w:rsidRDefault="00274EA1" w:rsidP="00274EA1">
            <w:pPr>
              <w:pStyle w:val="TblTextLeft"/>
              <w:rPr>
                <w:b/>
              </w:rPr>
            </w:pPr>
            <w:r w:rsidRPr="00993A20">
              <w:rPr>
                <w:b/>
              </w:rPr>
              <w:t>Immune system disorders</w:t>
            </w: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r w:rsidRPr="00993A20">
              <w:t>Anaphylactic reaction</w:t>
            </w:r>
          </w:p>
        </w:tc>
      </w:tr>
      <w:tr w:rsidR="00274EA1" w:rsidRPr="00993A20" w:rsidTr="000C07F8">
        <w:trPr>
          <w:cantSplit/>
        </w:trPr>
        <w:tc>
          <w:tcPr>
            <w:tcW w:w="2303" w:type="dxa"/>
            <w:shd w:val="clear" w:color="auto" w:fill="auto"/>
          </w:tcPr>
          <w:p w:rsidR="00274EA1" w:rsidRPr="00993A20" w:rsidRDefault="00274EA1" w:rsidP="00274EA1">
            <w:pPr>
              <w:pStyle w:val="TblTextLeft"/>
              <w:rPr>
                <w:b/>
              </w:rPr>
            </w:pPr>
            <w:r w:rsidRPr="00993A20">
              <w:rPr>
                <w:b/>
              </w:rPr>
              <w:t>Metabolism and nutrition disorders</w:t>
            </w:r>
          </w:p>
        </w:tc>
        <w:tc>
          <w:tcPr>
            <w:tcW w:w="2303" w:type="dxa"/>
            <w:shd w:val="clear" w:color="auto" w:fill="auto"/>
          </w:tcPr>
          <w:p w:rsidR="00274EA1" w:rsidRPr="00993A20" w:rsidRDefault="00274EA1" w:rsidP="00274EA1">
            <w:pPr>
              <w:pStyle w:val="TblTextLeft"/>
            </w:pPr>
            <w:proofErr w:type="spellStart"/>
            <w:r w:rsidRPr="00993A20">
              <w:t>Hypoglycaemia</w:t>
            </w:r>
            <w:proofErr w:type="spellEnd"/>
            <w:r w:rsidRPr="00993A20">
              <w:t xml:space="preserve"> (in combination with a </w:t>
            </w:r>
            <w:proofErr w:type="spellStart"/>
            <w:r w:rsidRPr="00993A20">
              <w:t>sulphonylurea</w:t>
            </w:r>
            <w:proofErr w:type="spellEnd"/>
            <w:r w:rsidRPr="00993A20">
              <w:t xml:space="preserve"> and / or a basal insulin)</w:t>
            </w:r>
          </w:p>
        </w:tc>
        <w:tc>
          <w:tcPr>
            <w:tcW w:w="2303" w:type="dxa"/>
            <w:shd w:val="clear" w:color="auto" w:fill="auto"/>
          </w:tcPr>
          <w:p w:rsidR="00274EA1" w:rsidRPr="00993A20" w:rsidRDefault="00274EA1" w:rsidP="00274EA1">
            <w:pPr>
              <w:pStyle w:val="TblTextLeft"/>
            </w:pPr>
            <w:proofErr w:type="spellStart"/>
            <w:r w:rsidRPr="00993A20">
              <w:t>Hypoglycaemia</w:t>
            </w:r>
            <w:proofErr w:type="spellEnd"/>
            <w:r w:rsidRPr="00993A20">
              <w:t xml:space="preserve"> (in combination with </w:t>
            </w:r>
            <w:proofErr w:type="spellStart"/>
            <w:r w:rsidRPr="00993A20">
              <w:t>metformin</w:t>
            </w:r>
            <w:proofErr w:type="spellEnd"/>
            <w:r w:rsidRPr="00993A20">
              <w:t xml:space="preserve"> alone)</w:t>
            </w:r>
          </w:p>
        </w:tc>
        <w:tc>
          <w:tcPr>
            <w:tcW w:w="2303" w:type="dxa"/>
            <w:shd w:val="clear" w:color="auto" w:fill="auto"/>
          </w:tcPr>
          <w:p w:rsidR="00274EA1" w:rsidRPr="00993A20" w:rsidRDefault="00274EA1" w:rsidP="00274EA1">
            <w:pPr>
              <w:pStyle w:val="TblTextLeft"/>
            </w:pPr>
          </w:p>
        </w:tc>
      </w:tr>
      <w:tr w:rsidR="00274EA1" w:rsidRPr="00993A20" w:rsidTr="000C07F8">
        <w:trPr>
          <w:cantSplit/>
        </w:trPr>
        <w:tc>
          <w:tcPr>
            <w:tcW w:w="2303" w:type="dxa"/>
            <w:vMerge w:val="restart"/>
            <w:shd w:val="clear" w:color="auto" w:fill="auto"/>
          </w:tcPr>
          <w:p w:rsidR="00274EA1" w:rsidRPr="00993A20" w:rsidRDefault="00274EA1" w:rsidP="00274EA1">
            <w:pPr>
              <w:pStyle w:val="TblTextLeft"/>
              <w:rPr>
                <w:b/>
              </w:rPr>
            </w:pPr>
            <w:r w:rsidRPr="00993A20">
              <w:rPr>
                <w:b/>
              </w:rPr>
              <w:t>Nervous system disorders</w:t>
            </w:r>
          </w:p>
        </w:tc>
        <w:tc>
          <w:tcPr>
            <w:tcW w:w="2303" w:type="dxa"/>
            <w:shd w:val="clear" w:color="auto" w:fill="auto"/>
          </w:tcPr>
          <w:p w:rsidR="00274EA1" w:rsidRPr="00993A20" w:rsidRDefault="00274EA1" w:rsidP="00274EA1">
            <w:pPr>
              <w:pStyle w:val="TblTextLeft"/>
            </w:pPr>
            <w:r w:rsidRPr="00993A20">
              <w:t>Headache</w:t>
            </w:r>
          </w:p>
        </w:tc>
        <w:tc>
          <w:tcPr>
            <w:tcW w:w="2303" w:type="dxa"/>
            <w:shd w:val="clear" w:color="auto" w:fill="auto"/>
          </w:tcPr>
          <w:p w:rsidR="00274EA1" w:rsidRPr="00993A20" w:rsidRDefault="00274EA1" w:rsidP="00274EA1">
            <w:pPr>
              <w:pStyle w:val="TblTextLeft"/>
            </w:pPr>
            <w:r w:rsidRPr="00993A20">
              <w:t>Dizziness</w:t>
            </w:r>
          </w:p>
        </w:tc>
        <w:tc>
          <w:tcPr>
            <w:tcW w:w="2303" w:type="dxa"/>
            <w:shd w:val="clear" w:color="auto" w:fill="auto"/>
          </w:tcPr>
          <w:p w:rsidR="00274EA1" w:rsidRPr="00993A20" w:rsidRDefault="00274EA1" w:rsidP="00274EA1">
            <w:pPr>
              <w:pStyle w:val="TblTextLeft"/>
            </w:pPr>
          </w:p>
        </w:tc>
      </w:tr>
      <w:tr w:rsidR="00274EA1" w:rsidRPr="00993A20" w:rsidTr="000C07F8">
        <w:trPr>
          <w:cantSplit/>
        </w:trPr>
        <w:tc>
          <w:tcPr>
            <w:tcW w:w="2303" w:type="dxa"/>
            <w:vMerge/>
            <w:shd w:val="clear" w:color="auto" w:fill="auto"/>
          </w:tcPr>
          <w:p w:rsidR="00274EA1" w:rsidRPr="00993A20" w:rsidRDefault="00274EA1" w:rsidP="00274EA1">
            <w:pPr>
              <w:pStyle w:val="TblTextLeft"/>
              <w:rPr>
                <w:b/>
              </w:rPr>
            </w:pP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r w:rsidRPr="00993A20">
              <w:t>Somnolence</w:t>
            </w:r>
          </w:p>
        </w:tc>
        <w:tc>
          <w:tcPr>
            <w:tcW w:w="2303" w:type="dxa"/>
            <w:shd w:val="clear" w:color="auto" w:fill="auto"/>
          </w:tcPr>
          <w:p w:rsidR="00274EA1" w:rsidRPr="00993A20" w:rsidRDefault="00274EA1" w:rsidP="00274EA1">
            <w:pPr>
              <w:pStyle w:val="TblTextLeft"/>
            </w:pPr>
          </w:p>
        </w:tc>
      </w:tr>
      <w:tr w:rsidR="00274EA1" w:rsidRPr="00993A20" w:rsidTr="000C07F8">
        <w:trPr>
          <w:cantSplit/>
        </w:trPr>
        <w:tc>
          <w:tcPr>
            <w:tcW w:w="2303" w:type="dxa"/>
            <w:vMerge/>
            <w:shd w:val="clear" w:color="auto" w:fill="auto"/>
          </w:tcPr>
          <w:p w:rsidR="00274EA1" w:rsidRPr="00993A20" w:rsidRDefault="00274EA1" w:rsidP="00274EA1">
            <w:pPr>
              <w:pStyle w:val="TblTextLeft"/>
              <w:rPr>
                <w:b/>
              </w:rPr>
            </w:pP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p>
        </w:tc>
      </w:tr>
      <w:tr w:rsidR="00274EA1" w:rsidRPr="00993A20" w:rsidTr="000C07F8">
        <w:trPr>
          <w:cantSplit/>
        </w:trPr>
        <w:tc>
          <w:tcPr>
            <w:tcW w:w="2303" w:type="dxa"/>
            <w:vMerge w:val="restart"/>
            <w:shd w:val="clear" w:color="auto" w:fill="auto"/>
          </w:tcPr>
          <w:p w:rsidR="00274EA1" w:rsidRPr="00993A20" w:rsidRDefault="00274EA1" w:rsidP="00274EA1">
            <w:pPr>
              <w:pStyle w:val="TblTextLeft"/>
              <w:rPr>
                <w:b/>
              </w:rPr>
            </w:pPr>
            <w:r w:rsidRPr="00993A20">
              <w:rPr>
                <w:b/>
              </w:rPr>
              <w:t>Gastrointestinal disorders</w:t>
            </w:r>
          </w:p>
        </w:tc>
        <w:tc>
          <w:tcPr>
            <w:tcW w:w="2303" w:type="dxa"/>
            <w:shd w:val="clear" w:color="auto" w:fill="auto"/>
          </w:tcPr>
          <w:p w:rsidR="00274EA1" w:rsidRPr="00993A20" w:rsidRDefault="00274EA1" w:rsidP="00274EA1">
            <w:pPr>
              <w:pStyle w:val="TblTextLeft"/>
            </w:pPr>
            <w:r w:rsidRPr="00993A20">
              <w:t>Nausea</w:t>
            </w:r>
          </w:p>
        </w:tc>
        <w:tc>
          <w:tcPr>
            <w:tcW w:w="2303" w:type="dxa"/>
            <w:shd w:val="clear" w:color="auto" w:fill="auto"/>
          </w:tcPr>
          <w:p w:rsidR="00274EA1" w:rsidRPr="00993A20" w:rsidRDefault="00274EA1" w:rsidP="00274EA1">
            <w:pPr>
              <w:pStyle w:val="TblTextLeft"/>
            </w:pPr>
            <w:r w:rsidRPr="00993A20">
              <w:t>Dyspepsia</w:t>
            </w:r>
          </w:p>
        </w:tc>
        <w:tc>
          <w:tcPr>
            <w:tcW w:w="2303" w:type="dxa"/>
            <w:shd w:val="clear" w:color="auto" w:fill="auto"/>
          </w:tcPr>
          <w:p w:rsidR="00274EA1" w:rsidRPr="00993A20" w:rsidRDefault="00274EA1" w:rsidP="00274EA1">
            <w:pPr>
              <w:pStyle w:val="TblTextLeft"/>
            </w:pPr>
          </w:p>
        </w:tc>
      </w:tr>
      <w:tr w:rsidR="00274EA1" w:rsidRPr="00993A20" w:rsidTr="000C07F8">
        <w:trPr>
          <w:cantSplit/>
        </w:trPr>
        <w:tc>
          <w:tcPr>
            <w:tcW w:w="2303" w:type="dxa"/>
            <w:vMerge/>
            <w:shd w:val="clear" w:color="auto" w:fill="auto"/>
          </w:tcPr>
          <w:p w:rsidR="00274EA1" w:rsidRPr="00993A20" w:rsidRDefault="00274EA1" w:rsidP="00274EA1">
            <w:pPr>
              <w:pStyle w:val="TblTextLeft"/>
              <w:rPr>
                <w:b/>
                <w:noProof/>
              </w:rPr>
            </w:pPr>
          </w:p>
        </w:tc>
        <w:tc>
          <w:tcPr>
            <w:tcW w:w="2303" w:type="dxa"/>
            <w:shd w:val="clear" w:color="auto" w:fill="auto"/>
          </w:tcPr>
          <w:p w:rsidR="00274EA1" w:rsidRPr="00993A20" w:rsidRDefault="00274EA1" w:rsidP="00274EA1">
            <w:pPr>
              <w:pStyle w:val="TblTextLeft"/>
            </w:pPr>
            <w:r w:rsidRPr="00993A20">
              <w:t>Vomiting</w:t>
            </w: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p>
        </w:tc>
      </w:tr>
      <w:tr w:rsidR="00274EA1" w:rsidRPr="00993A20" w:rsidTr="000C07F8">
        <w:trPr>
          <w:cantSplit/>
        </w:trPr>
        <w:tc>
          <w:tcPr>
            <w:tcW w:w="2303" w:type="dxa"/>
            <w:vMerge/>
            <w:shd w:val="clear" w:color="auto" w:fill="auto"/>
          </w:tcPr>
          <w:p w:rsidR="00274EA1" w:rsidRPr="00993A20" w:rsidRDefault="00274EA1" w:rsidP="00274EA1">
            <w:pPr>
              <w:pStyle w:val="TblTextLeft"/>
              <w:rPr>
                <w:b/>
                <w:noProof/>
              </w:rPr>
            </w:pPr>
          </w:p>
        </w:tc>
        <w:tc>
          <w:tcPr>
            <w:tcW w:w="2303" w:type="dxa"/>
            <w:shd w:val="clear" w:color="auto" w:fill="auto"/>
          </w:tcPr>
          <w:p w:rsidR="00274EA1" w:rsidRPr="00993A20" w:rsidRDefault="00274EA1" w:rsidP="00274EA1">
            <w:pPr>
              <w:pStyle w:val="TblTextLeft"/>
            </w:pPr>
            <w:proofErr w:type="spellStart"/>
            <w:r w:rsidRPr="00993A20">
              <w:t>Diarrhoea</w:t>
            </w:r>
            <w:proofErr w:type="spellEnd"/>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p>
        </w:tc>
      </w:tr>
      <w:tr w:rsidR="00274EA1" w:rsidRPr="00993A20" w:rsidTr="000C07F8">
        <w:trPr>
          <w:cantSplit/>
        </w:trPr>
        <w:tc>
          <w:tcPr>
            <w:tcW w:w="2303" w:type="dxa"/>
            <w:vMerge/>
            <w:shd w:val="clear" w:color="auto" w:fill="auto"/>
          </w:tcPr>
          <w:p w:rsidR="00274EA1" w:rsidRPr="00993A20" w:rsidRDefault="00274EA1" w:rsidP="00274EA1">
            <w:pPr>
              <w:pStyle w:val="TblTextLeft"/>
              <w:rPr>
                <w:b/>
                <w:noProof/>
              </w:rPr>
            </w:pP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p>
        </w:tc>
      </w:tr>
      <w:tr w:rsidR="00274EA1" w:rsidRPr="00993A20" w:rsidTr="000C07F8">
        <w:trPr>
          <w:cantSplit/>
        </w:trPr>
        <w:tc>
          <w:tcPr>
            <w:tcW w:w="2303" w:type="dxa"/>
            <w:shd w:val="clear" w:color="auto" w:fill="auto"/>
          </w:tcPr>
          <w:p w:rsidR="00274EA1" w:rsidRPr="00993A20" w:rsidRDefault="00274EA1" w:rsidP="00274EA1">
            <w:pPr>
              <w:pStyle w:val="TblTextLeft"/>
              <w:rPr>
                <w:b/>
              </w:rPr>
            </w:pPr>
            <w:r w:rsidRPr="00993A20">
              <w:rPr>
                <w:b/>
              </w:rPr>
              <w:t>Skin and subcutaneous tissue disorders</w:t>
            </w: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proofErr w:type="spellStart"/>
            <w:r w:rsidRPr="00993A20">
              <w:t>Urticaria</w:t>
            </w:r>
            <w:proofErr w:type="spellEnd"/>
          </w:p>
        </w:tc>
      </w:tr>
      <w:tr w:rsidR="00274EA1" w:rsidRPr="000C07F8" w:rsidTr="000C07F8">
        <w:trPr>
          <w:cantSplit/>
        </w:trPr>
        <w:tc>
          <w:tcPr>
            <w:tcW w:w="2303" w:type="dxa"/>
            <w:shd w:val="clear" w:color="auto" w:fill="auto"/>
          </w:tcPr>
          <w:p w:rsidR="00274EA1" w:rsidRPr="00993A20" w:rsidRDefault="00274EA1" w:rsidP="00274EA1">
            <w:pPr>
              <w:pStyle w:val="TblTextLeft"/>
              <w:rPr>
                <w:b/>
              </w:rPr>
            </w:pPr>
            <w:r w:rsidRPr="00993A20">
              <w:rPr>
                <w:b/>
              </w:rPr>
              <w:t>Musculoskeletal and connective tissue disorders</w:t>
            </w:r>
          </w:p>
        </w:tc>
        <w:tc>
          <w:tcPr>
            <w:tcW w:w="2303" w:type="dxa"/>
            <w:shd w:val="clear" w:color="auto" w:fill="auto"/>
          </w:tcPr>
          <w:p w:rsidR="00274EA1" w:rsidRPr="00993A20" w:rsidRDefault="00274EA1" w:rsidP="00274EA1">
            <w:pPr>
              <w:pStyle w:val="TblTextLeft"/>
            </w:pPr>
          </w:p>
        </w:tc>
        <w:tc>
          <w:tcPr>
            <w:tcW w:w="2303" w:type="dxa"/>
            <w:shd w:val="clear" w:color="auto" w:fill="auto"/>
          </w:tcPr>
          <w:p w:rsidR="00274EA1" w:rsidRPr="00993A20" w:rsidRDefault="00274EA1" w:rsidP="00274EA1">
            <w:pPr>
              <w:pStyle w:val="TblTextLeft"/>
            </w:pPr>
            <w:r w:rsidRPr="00993A20">
              <w:t>Back pain</w:t>
            </w:r>
          </w:p>
        </w:tc>
        <w:tc>
          <w:tcPr>
            <w:tcW w:w="2303" w:type="dxa"/>
            <w:shd w:val="clear" w:color="auto" w:fill="auto"/>
          </w:tcPr>
          <w:p w:rsidR="00274EA1" w:rsidRPr="00993A20" w:rsidRDefault="00274EA1" w:rsidP="00274EA1">
            <w:pPr>
              <w:pStyle w:val="TblTextLeft"/>
            </w:pPr>
          </w:p>
        </w:tc>
      </w:tr>
      <w:tr w:rsidR="00274EA1" w:rsidRPr="000C07F8" w:rsidTr="000C07F8">
        <w:trPr>
          <w:cantSplit/>
        </w:trPr>
        <w:tc>
          <w:tcPr>
            <w:tcW w:w="2303" w:type="dxa"/>
            <w:tcBorders>
              <w:bottom w:val="single" w:sz="12" w:space="0" w:color="auto"/>
            </w:tcBorders>
            <w:shd w:val="clear" w:color="auto" w:fill="auto"/>
          </w:tcPr>
          <w:p w:rsidR="00274EA1" w:rsidRPr="00993A20" w:rsidRDefault="00274EA1" w:rsidP="00274EA1">
            <w:pPr>
              <w:pStyle w:val="TblTextLeft"/>
              <w:rPr>
                <w:b/>
              </w:rPr>
            </w:pPr>
            <w:r w:rsidRPr="00993A20">
              <w:rPr>
                <w:b/>
              </w:rPr>
              <w:t>General disorders and administration site conditions</w:t>
            </w:r>
          </w:p>
        </w:tc>
        <w:tc>
          <w:tcPr>
            <w:tcW w:w="2303" w:type="dxa"/>
            <w:tcBorders>
              <w:bottom w:val="single" w:sz="12" w:space="0" w:color="auto"/>
            </w:tcBorders>
            <w:shd w:val="clear" w:color="auto" w:fill="auto"/>
          </w:tcPr>
          <w:p w:rsidR="00274EA1" w:rsidRPr="00993A20" w:rsidRDefault="00274EA1" w:rsidP="00274EA1">
            <w:pPr>
              <w:pStyle w:val="TblTextLeft"/>
            </w:pPr>
          </w:p>
        </w:tc>
        <w:tc>
          <w:tcPr>
            <w:tcW w:w="2303" w:type="dxa"/>
            <w:tcBorders>
              <w:bottom w:val="single" w:sz="12" w:space="0" w:color="auto"/>
            </w:tcBorders>
            <w:shd w:val="clear" w:color="auto" w:fill="auto"/>
          </w:tcPr>
          <w:p w:rsidR="00274EA1" w:rsidRPr="00993A20" w:rsidRDefault="00274EA1" w:rsidP="00274EA1">
            <w:pPr>
              <w:pStyle w:val="TblTextLeft"/>
            </w:pPr>
            <w:r w:rsidRPr="00993A20">
              <w:t xml:space="preserve">Injection site </w:t>
            </w:r>
            <w:proofErr w:type="spellStart"/>
            <w:r w:rsidRPr="00993A20">
              <w:t>pruritus</w:t>
            </w:r>
            <w:proofErr w:type="spellEnd"/>
          </w:p>
        </w:tc>
        <w:tc>
          <w:tcPr>
            <w:tcW w:w="2303" w:type="dxa"/>
            <w:tcBorders>
              <w:bottom w:val="single" w:sz="12" w:space="0" w:color="auto"/>
            </w:tcBorders>
            <w:shd w:val="clear" w:color="auto" w:fill="auto"/>
          </w:tcPr>
          <w:p w:rsidR="00274EA1" w:rsidRPr="00993A20" w:rsidRDefault="00274EA1" w:rsidP="00274EA1">
            <w:pPr>
              <w:pStyle w:val="TblTextLeft"/>
            </w:pPr>
          </w:p>
        </w:tc>
      </w:tr>
      <w:tr w:rsidR="00274EA1" w:rsidRPr="000C07F8" w:rsidTr="000C07F8">
        <w:trPr>
          <w:cantSplit/>
        </w:trPr>
        <w:tc>
          <w:tcPr>
            <w:tcW w:w="9212" w:type="dxa"/>
            <w:gridSpan w:val="4"/>
            <w:tcBorders>
              <w:top w:val="single" w:sz="12" w:space="0" w:color="auto"/>
            </w:tcBorders>
            <w:shd w:val="clear" w:color="auto" w:fill="auto"/>
          </w:tcPr>
          <w:p w:rsidR="00274EA1" w:rsidRPr="00E81040" w:rsidRDefault="00274EA1" w:rsidP="001D7399">
            <w:pPr>
              <w:pStyle w:val="TblFigFootnote"/>
            </w:pPr>
          </w:p>
        </w:tc>
      </w:tr>
    </w:tbl>
    <w:p w:rsidR="002961F7" w:rsidRDefault="00F63DAE" w:rsidP="00F63DAE">
      <w:pPr>
        <w:pStyle w:val="Heading2"/>
        <w:numPr>
          <w:ilvl w:val="0"/>
          <w:numId w:val="0"/>
        </w:numPr>
      </w:pPr>
      <w:r>
        <w:t>Hypoglycaemia</w:t>
      </w:r>
      <w:bookmarkEnd w:id="77"/>
    </w:p>
    <w:p w:rsidR="00BB39C3" w:rsidRPr="00557A85" w:rsidRDefault="00BB39C3" w:rsidP="00557A85">
      <w:r w:rsidRPr="00557A85">
        <w:t xml:space="preserve">In patients taking </w:t>
      </w:r>
      <w:proofErr w:type="spellStart"/>
      <w:r w:rsidRPr="00557A85">
        <w:t>Lyxumia</w:t>
      </w:r>
      <w:proofErr w:type="spellEnd"/>
      <w:r w:rsidRPr="00557A85">
        <w:t xml:space="preserve"> in </w:t>
      </w:r>
      <w:proofErr w:type="spellStart"/>
      <w:r w:rsidRPr="00557A85">
        <w:t>monotherapy</w:t>
      </w:r>
      <w:proofErr w:type="spellEnd"/>
      <w:r w:rsidRPr="00557A85">
        <w:t xml:space="preserve">, symptomatic </w:t>
      </w:r>
      <w:proofErr w:type="spellStart"/>
      <w:r w:rsidRPr="00557A85">
        <w:t>hypoglycaemia</w:t>
      </w:r>
      <w:proofErr w:type="spellEnd"/>
      <w:r w:rsidRPr="00557A85">
        <w:t xml:space="preserve"> occurred in 1.7% of </w:t>
      </w:r>
      <w:proofErr w:type="spellStart"/>
      <w:r w:rsidRPr="00557A85">
        <w:t>lixisenatide</w:t>
      </w:r>
      <w:proofErr w:type="spellEnd"/>
      <w:r w:rsidRPr="00557A85">
        <w:t xml:space="preserve"> treated patients and in 1.6% of placebo treated patients. When </w:t>
      </w:r>
      <w:proofErr w:type="spellStart"/>
      <w:r w:rsidRPr="00557A85">
        <w:t>Lyxumia</w:t>
      </w:r>
      <w:proofErr w:type="spellEnd"/>
      <w:r w:rsidRPr="00557A85">
        <w:t xml:space="preserve"> is used in combination with </w:t>
      </w:r>
      <w:proofErr w:type="spellStart"/>
      <w:r w:rsidRPr="00557A85">
        <w:t>metformin</w:t>
      </w:r>
      <w:proofErr w:type="spellEnd"/>
      <w:r w:rsidRPr="00557A85">
        <w:t xml:space="preserve"> alone, symptomatic </w:t>
      </w:r>
      <w:proofErr w:type="spellStart"/>
      <w:r w:rsidRPr="00557A85">
        <w:t>hypoglycaemia</w:t>
      </w:r>
      <w:proofErr w:type="spellEnd"/>
      <w:r w:rsidRPr="00557A85">
        <w:t xml:space="preserve"> occurred in 7.0% of </w:t>
      </w:r>
      <w:proofErr w:type="spellStart"/>
      <w:r w:rsidRPr="00557A85">
        <w:t>lixisenatide</w:t>
      </w:r>
      <w:proofErr w:type="spellEnd"/>
      <w:r w:rsidRPr="00557A85">
        <w:t xml:space="preserve">  patients and in 4.8% of placebo patients during the entire treatment period.</w:t>
      </w:r>
    </w:p>
    <w:p w:rsidR="00BB39C3" w:rsidRPr="00557A85" w:rsidRDefault="00BB39C3" w:rsidP="00557A85">
      <w:r w:rsidRPr="00557A85">
        <w:t xml:space="preserve">In patients taking </w:t>
      </w:r>
      <w:proofErr w:type="spellStart"/>
      <w:r w:rsidRPr="00557A85">
        <w:t>Lyxumia</w:t>
      </w:r>
      <w:proofErr w:type="spellEnd"/>
      <w:r w:rsidRPr="00557A85">
        <w:t xml:space="preserve"> in combination with a </w:t>
      </w:r>
      <w:proofErr w:type="spellStart"/>
      <w:r w:rsidRPr="00557A85">
        <w:t>sulphonylurea</w:t>
      </w:r>
      <w:proofErr w:type="spellEnd"/>
      <w:r w:rsidRPr="00557A85">
        <w:t xml:space="preserve"> and </w:t>
      </w:r>
      <w:proofErr w:type="spellStart"/>
      <w:r w:rsidRPr="00557A85">
        <w:t>metformin</w:t>
      </w:r>
      <w:proofErr w:type="spellEnd"/>
      <w:r w:rsidRPr="00557A85">
        <w:t xml:space="preserve">, symptomatic </w:t>
      </w:r>
      <w:proofErr w:type="spellStart"/>
      <w:r w:rsidRPr="00557A85">
        <w:t>hypoglycaemia</w:t>
      </w:r>
      <w:proofErr w:type="spellEnd"/>
      <w:r w:rsidRPr="00557A85">
        <w:t xml:space="preserve"> occurred in 22.0% of </w:t>
      </w:r>
      <w:proofErr w:type="spellStart"/>
      <w:r w:rsidRPr="00557A85">
        <w:t>lixisenatide</w:t>
      </w:r>
      <w:proofErr w:type="spellEnd"/>
      <w:r w:rsidRPr="00557A85">
        <w:t xml:space="preserve"> treated patients and in 18.4% of placebo treated patients during the entire treatment period (3.6% absolute difference). When </w:t>
      </w:r>
      <w:proofErr w:type="spellStart"/>
      <w:r w:rsidRPr="00557A85">
        <w:t>Lyxumia</w:t>
      </w:r>
      <w:proofErr w:type="spellEnd"/>
      <w:r w:rsidRPr="00557A85">
        <w:t xml:space="preserve"> is used in combination with a basal insulin with or without </w:t>
      </w:r>
      <w:proofErr w:type="spellStart"/>
      <w:r w:rsidRPr="00557A85">
        <w:t>metformin</w:t>
      </w:r>
      <w:proofErr w:type="spellEnd"/>
      <w:r w:rsidRPr="00557A85">
        <w:t xml:space="preserve">, symptomatic </w:t>
      </w:r>
      <w:proofErr w:type="spellStart"/>
      <w:r w:rsidRPr="00557A85">
        <w:t>hypoglycaemia</w:t>
      </w:r>
      <w:proofErr w:type="spellEnd"/>
      <w:r w:rsidRPr="00557A85">
        <w:t xml:space="preserve"> occurred in 42.1% of </w:t>
      </w:r>
      <w:proofErr w:type="spellStart"/>
      <w:r w:rsidRPr="00557A85">
        <w:t>lixisenatide</w:t>
      </w:r>
      <w:proofErr w:type="spellEnd"/>
      <w:r w:rsidRPr="00557A85">
        <w:t xml:space="preserve"> patients and in 38.9% of placebo patients during the entire treatment period (3.2% absolute difference).</w:t>
      </w:r>
    </w:p>
    <w:p w:rsidR="00F63DAE" w:rsidRDefault="00F63DAE" w:rsidP="00F63DAE">
      <w:r>
        <w:t xml:space="preserve">During the entire treatment period, when </w:t>
      </w:r>
      <w:proofErr w:type="spellStart"/>
      <w:r>
        <w:t>Lyxumia</w:t>
      </w:r>
      <w:proofErr w:type="spellEnd"/>
      <w:r>
        <w:t xml:space="preserve"> was given with a </w:t>
      </w:r>
      <w:proofErr w:type="spellStart"/>
      <w:r>
        <w:t>sulphonylurea</w:t>
      </w:r>
      <w:proofErr w:type="spellEnd"/>
      <w:r>
        <w:t xml:space="preserve"> alone, symptomatic </w:t>
      </w:r>
      <w:proofErr w:type="spellStart"/>
      <w:r>
        <w:t>hypoglycaemia</w:t>
      </w:r>
      <w:proofErr w:type="spellEnd"/>
      <w:r>
        <w:t xml:space="preserve"> occurred in 22.7% of </w:t>
      </w:r>
      <w:proofErr w:type="spellStart"/>
      <w:r>
        <w:t>Lyxumia</w:t>
      </w:r>
      <w:proofErr w:type="spellEnd"/>
      <w:r>
        <w:t xml:space="preserve"> treated patients versus 15.2% with placebo</w:t>
      </w:r>
      <w:r w:rsidR="00BB39C3">
        <w:t xml:space="preserve"> </w:t>
      </w:r>
      <w:r w:rsidR="00BB39C3" w:rsidRPr="00557A85">
        <w:t>(7.5% absolute difference)</w:t>
      </w:r>
      <w:r w:rsidRPr="00557A85">
        <w:t>.</w:t>
      </w:r>
      <w:r>
        <w:t xml:space="preserve"> When </w:t>
      </w:r>
      <w:proofErr w:type="spellStart"/>
      <w:r>
        <w:t>Lyxumia</w:t>
      </w:r>
      <w:proofErr w:type="spellEnd"/>
      <w:r>
        <w:t xml:space="preserve"> was given with a </w:t>
      </w:r>
      <w:proofErr w:type="spellStart"/>
      <w:r>
        <w:t>sulphonylurea</w:t>
      </w:r>
      <w:proofErr w:type="spellEnd"/>
      <w:r>
        <w:t xml:space="preserve"> and a basal insulin, symptomatic </w:t>
      </w:r>
      <w:proofErr w:type="spellStart"/>
      <w:r>
        <w:t>hypoglycaemia</w:t>
      </w:r>
      <w:proofErr w:type="spellEnd"/>
      <w:r>
        <w:t xml:space="preserve"> occurred in 47.2% of </w:t>
      </w:r>
      <w:proofErr w:type="spellStart"/>
      <w:r>
        <w:t>Lyxumia</w:t>
      </w:r>
      <w:proofErr w:type="spellEnd"/>
      <w:r>
        <w:t xml:space="preserve"> treated patients compared to 21.6% with placebo</w:t>
      </w:r>
      <w:r w:rsidR="00FD6516">
        <w:t xml:space="preserve"> </w:t>
      </w:r>
      <w:r w:rsidR="00FD6516" w:rsidRPr="00557A85">
        <w:t>(25.6% absolute difference).</w:t>
      </w:r>
    </w:p>
    <w:p w:rsidR="00F63DAE" w:rsidRDefault="00F63DAE" w:rsidP="00F63DAE">
      <w:r>
        <w:t xml:space="preserve">Overall, the incidence of severe symptomatic </w:t>
      </w:r>
      <w:proofErr w:type="spellStart"/>
      <w:r>
        <w:t>hypoglycaemia</w:t>
      </w:r>
      <w:proofErr w:type="spellEnd"/>
      <w:r>
        <w:t xml:space="preserve"> was uncommon (0.4% in </w:t>
      </w:r>
      <w:proofErr w:type="spellStart"/>
      <w:r>
        <w:t>Lyxumia</w:t>
      </w:r>
      <w:proofErr w:type="spellEnd"/>
      <w:r>
        <w:t xml:space="preserve"> patients and 0.2% in placebo patients) during the entire treatment period of the Phase III placebo-controlled studies.</w:t>
      </w:r>
    </w:p>
    <w:p w:rsidR="00F63DAE" w:rsidRDefault="00F63DAE" w:rsidP="00F63DAE">
      <w:pPr>
        <w:pStyle w:val="Heading2"/>
        <w:numPr>
          <w:ilvl w:val="0"/>
          <w:numId w:val="0"/>
        </w:numPr>
      </w:pPr>
      <w:bookmarkStart w:id="78" w:name="_Toc310954989"/>
      <w:r>
        <w:lastRenderedPageBreak/>
        <w:t>gastrointestinal disorders</w:t>
      </w:r>
      <w:bookmarkEnd w:id="78"/>
    </w:p>
    <w:p w:rsidR="00F63DAE" w:rsidRDefault="00F63DAE" w:rsidP="00F63DAE">
      <w:r>
        <w:t xml:space="preserve">Nausea and vomiting are the most frequently reported adverse reactions during the main 24-week treatment period. The incidence of nausea was higher in the </w:t>
      </w:r>
      <w:proofErr w:type="spellStart"/>
      <w:r>
        <w:t>Lyxumia</w:t>
      </w:r>
      <w:proofErr w:type="spellEnd"/>
      <w:r>
        <w:t xml:space="preserve"> group (26.1 %) compared to the placebo group (6.2 %) and the incidence of vomiting was higher in the </w:t>
      </w:r>
      <w:proofErr w:type="spellStart"/>
      <w:r>
        <w:t>Lyxumia</w:t>
      </w:r>
      <w:proofErr w:type="spellEnd"/>
      <w:r>
        <w:t xml:space="preserve"> (10.5 %) than in the placebo group (1.8 %). They were mostly mild and transient and </w:t>
      </w:r>
      <w:r w:rsidR="00496795">
        <w:t>occurred</w:t>
      </w:r>
      <w:r>
        <w:t xml:space="preserve"> during the first 3 weeks after starting treatment. Thereafter, they progressively decreased during the following weeks.   </w:t>
      </w:r>
    </w:p>
    <w:p w:rsidR="00F63DAE" w:rsidRDefault="00F63DAE" w:rsidP="00F63DAE">
      <w:pPr>
        <w:pStyle w:val="Heading2"/>
        <w:numPr>
          <w:ilvl w:val="0"/>
          <w:numId w:val="0"/>
        </w:numPr>
      </w:pPr>
      <w:bookmarkStart w:id="79" w:name="_Toc310954990"/>
      <w:r>
        <w:t>Injection site reactions</w:t>
      </w:r>
      <w:bookmarkEnd w:id="79"/>
    </w:p>
    <w:p w:rsidR="002961F7" w:rsidRDefault="00F63DAE" w:rsidP="00816FA3">
      <w:r w:rsidRPr="00F63DAE">
        <w:t xml:space="preserve">Injections site reactions have been reported in 3.9 % of the patients receiving </w:t>
      </w:r>
      <w:proofErr w:type="spellStart"/>
      <w:r w:rsidRPr="00F63DAE">
        <w:t>Lyxumia</w:t>
      </w:r>
      <w:proofErr w:type="spellEnd"/>
      <w:r w:rsidRPr="00F63DAE">
        <w:t xml:space="preserve"> while they were reported in 1.4 % of patients receiving placebo during the main 24-week treatment period. The majority of reactions were mild in intensity and usually did not result in discontinuation of the treatment</w:t>
      </w:r>
      <w:r>
        <w:t>.</w:t>
      </w:r>
      <w:r w:rsidR="00816FA3">
        <w:t xml:space="preserve"> Less than 1% of patients discontinued </w:t>
      </w:r>
      <w:proofErr w:type="spellStart"/>
      <w:r w:rsidR="00816FA3">
        <w:t>lixisenatide</w:t>
      </w:r>
      <w:proofErr w:type="spellEnd"/>
      <w:r w:rsidR="00816FA3">
        <w:t xml:space="preserve"> treatment due to an injection site reaction.</w:t>
      </w:r>
    </w:p>
    <w:p w:rsidR="00F63DAE" w:rsidRDefault="00F63DAE" w:rsidP="00F63DAE">
      <w:pPr>
        <w:pStyle w:val="Heading2"/>
        <w:numPr>
          <w:ilvl w:val="0"/>
          <w:numId w:val="0"/>
        </w:numPr>
      </w:pPr>
      <w:bookmarkStart w:id="80" w:name="_Toc310954991"/>
      <w:r>
        <w:t>immunogenicity</w:t>
      </w:r>
      <w:bookmarkEnd w:id="80"/>
    </w:p>
    <w:p w:rsidR="00410794" w:rsidRDefault="00F63DAE" w:rsidP="00F63DAE">
      <w:r>
        <w:t>Consistent with the potentially immunogenic properties of medicinal products containing proteins or peptides, patients may develop anti-</w:t>
      </w:r>
      <w:proofErr w:type="spellStart"/>
      <w:r>
        <w:t>lixisenatide</w:t>
      </w:r>
      <w:proofErr w:type="spellEnd"/>
      <w:r>
        <w:t xml:space="preserve"> antibodies following treatment with </w:t>
      </w:r>
      <w:proofErr w:type="spellStart"/>
      <w:r>
        <w:t>Lyxumia</w:t>
      </w:r>
      <w:proofErr w:type="spellEnd"/>
      <w:r>
        <w:t xml:space="preserve"> and, at the end of the main (24-week) treatment period in placebo-controlled studies, 69</w:t>
      </w:r>
      <w:r w:rsidRPr="007B0E04">
        <w:t>.</w:t>
      </w:r>
      <w:r w:rsidR="007B0E04" w:rsidRPr="007B0E04">
        <w:t>8</w:t>
      </w:r>
      <w:r>
        <w:t xml:space="preserve"> % of </w:t>
      </w:r>
      <w:proofErr w:type="spellStart"/>
      <w:r>
        <w:t>lixisenatide</w:t>
      </w:r>
      <w:proofErr w:type="spellEnd"/>
      <w:r>
        <w:t xml:space="preserve"> patients had a positive antibody status. </w:t>
      </w:r>
    </w:p>
    <w:p w:rsidR="00410794" w:rsidRPr="00557A85" w:rsidRDefault="00410794" w:rsidP="00F63DAE">
      <w:r w:rsidRPr="00557A85">
        <w:t>The percentage of patients who were antibody positive was similar at the end of the entire 76</w:t>
      </w:r>
      <w:r w:rsidRPr="00557A85">
        <w:noBreakHyphen/>
        <w:t>week treatment period. At the end of the main 24</w:t>
      </w:r>
      <w:r w:rsidRPr="00557A85">
        <w:noBreakHyphen/>
        <w:t>week treatment period, 32.2% of the patients having a positive antibody status had an antibody concentration above the lower limit of quantification, and at the end of the entire 76</w:t>
      </w:r>
      <w:r w:rsidRPr="00557A85">
        <w:noBreakHyphen/>
        <w:t xml:space="preserve">week treatment period, 44.7% of the patients had an antibody concentration above the lower limit of quantification. After stopping the treatment, few antibody positive patients were </w:t>
      </w:r>
      <w:proofErr w:type="spellStart"/>
      <w:r w:rsidRPr="00557A85">
        <w:t>followed</w:t>
      </w:r>
      <w:r w:rsidRPr="00557A85">
        <w:noBreakHyphen/>
        <w:t>up</w:t>
      </w:r>
      <w:proofErr w:type="spellEnd"/>
      <w:r w:rsidRPr="00557A85">
        <w:t xml:space="preserve"> for antibody status; the percentage decreased to approximately 90% within 3 months and 30% at 6 months or beyond.</w:t>
      </w:r>
    </w:p>
    <w:p w:rsidR="00F63DAE" w:rsidRDefault="00410794" w:rsidP="00F63DAE">
      <w:r>
        <w:t>T</w:t>
      </w:r>
      <w:r w:rsidR="00F63DAE">
        <w:t>he change in HbA1c from baseline was similar regardless of the antibody status (positive or negative).</w:t>
      </w:r>
    </w:p>
    <w:p w:rsidR="004922E9" w:rsidRPr="004922E9" w:rsidRDefault="000D15D4" w:rsidP="00F63DAE">
      <w:pPr>
        <w:rPr>
          <w:rFonts w:eastAsia="SimSun"/>
          <w:szCs w:val="22"/>
          <w:lang w:eastAsia="zh-CN"/>
        </w:rPr>
      </w:pPr>
      <w:r>
        <w:t>When the levels of antibodies in the</w:t>
      </w:r>
      <w:r w:rsidR="00F63DAE">
        <w:t xml:space="preserve"> </w:t>
      </w:r>
      <w:proofErr w:type="spellStart"/>
      <w:r w:rsidR="00F63DAE">
        <w:t>lixisenatide</w:t>
      </w:r>
      <w:proofErr w:type="spellEnd"/>
      <w:r w:rsidR="00F63DAE">
        <w:t>-treated patients</w:t>
      </w:r>
      <w:r>
        <w:t xml:space="preserve"> were quantified</w:t>
      </w:r>
      <w:r w:rsidR="00F63DAE">
        <w:t>, 79.3 % had either a negative antibody status or an antibody concentration below the lower limit of quantification.  The other 20.7 % of patients had a quantified antibody concentration and some of these patients had diminished efficacy associated with high anti-</w:t>
      </w:r>
      <w:proofErr w:type="spellStart"/>
      <w:r w:rsidR="00F63DAE">
        <w:t>lixisenatide</w:t>
      </w:r>
      <w:proofErr w:type="spellEnd"/>
      <w:r w:rsidR="00F63DAE">
        <w:t xml:space="preserve"> antibody concentration</w:t>
      </w:r>
      <w:r w:rsidR="00F63DAE" w:rsidRPr="00557A85">
        <w:t>.</w:t>
      </w:r>
      <w:r w:rsidR="00246B02" w:rsidRPr="00557A85">
        <w:t xml:space="preserve"> </w:t>
      </w:r>
      <w:r w:rsidR="004922E9" w:rsidRPr="00557A85">
        <w:t xml:space="preserve">In the subset of patients (5.2%) with the highest antibody concentrations, the mean improvement in HbA1c at Week 24 and at Week 76 was in a clinically relevant range; however there was variability in the </w:t>
      </w:r>
      <w:proofErr w:type="spellStart"/>
      <w:r w:rsidR="004922E9" w:rsidRPr="00557A85">
        <w:t>glycaemic</w:t>
      </w:r>
      <w:proofErr w:type="spellEnd"/>
      <w:r w:rsidR="004922E9" w:rsidRPr="00557A85">
        <w:t xml:space="preserve"> response and 1.9% had no decrease in HbA1c.</w:t>
      </w:r>
      <w:r w:rsidR="004922E9" w:rsidRPr="00E81040">
        <w:rPr>
          <w:szCs w:val="22"/>
        </w:rPr>
        <w:t xml:space="preserve"> </w:t>
      </w:r>
      <w:r w:rsidR="004922E9" w:rsidRPr="00E81040">
        <w:rPr>
          <w:rFonts w:eastAsia="SimSun"/>
          <w:szCs w:val="22"/>
          <w:lang w:eastAsia="zh-CN"/>
        </w:rPr>
        <w:t xml:space="preserve"> </w:t>
      </w:r>
    </w:p>
    <w:p w:rsidR="00F63DAE" w:rsidRDefault="004922E9" w:rsidP="00F63DAE">
      <w:r w:rsidRPr="00557A85">
        <w:t>The antibody status ( positive or negative)</w:t>
      </w:r>
      <w:r w:rsidR="00246B02" w:rsidRPr="00993A20">
        <w:t xml:space="preserve"> is not predictive for a diminished HbA1c change in individual patients.</w:t>
      </w:r>
    </w:p>
    <w:p w:rsidR="00F63DAE" w:rsidRDefault="000D7992" w:rsidP="00F63DAE">
      <w:r>
        <w:lastRenderedPageBreak/>
        <w:t>There was</w:t>
      </w:r>
      <w:r w:rsidR="00F63DAE">
        <w:t xml:space="preserve"> no difference in the overall safety profile in patients regardless of the antibody status with the exception of an increase of the incidence of injection site reactions</w:t>
      </w:r>
      <w:r w:rsidR="004922E9">
        <w:t xml:space="preserve"> </w:t>
      </w:r>
      <w:r w:rsidR="004922E9" w:rsidRPr="00557A85">
        <w:t>(4.7% in antibody</w:t>
      </w:r>
      <w:r w:rsidR="004922E9" w:rsidRPr="004922E9">
        <w:rPr>
          <w:color w:val="0000FF"/>
          <w:szCs w:val="22"/>
          <w:u w:val="double"/>
        </w:rPr>
        <w:t xml:space="preserve"> </w:t>
      </w:r>
      <w:r w:rsidR="004922E9" w:rsidRPr="00557A85">
        <w:t xml:space="preserve">positive patients compared to 2.5% in </w:t>
      </w:r>
      <w:proofErr w:type="spellStart"/>
      <w:r w:rsidR="004922E9" w:rsidRPr="00557A85">
        <w:t>antibody</w:t>
      </w:r>
      <w:r w:rsidR="004922E9" w:rsidRPr="00557A85">
        <w:noBreakHyphen/>
        <w:t>negative</w:t>
      </w:r>
      <w:proofErr w:type="spellEnd"/>
      <w:r w:rsidR="004922E9" w:rsidRPr="00557A85">
        <w:t xml:space="preserve"> patients during the entire treatment period)</w:t>
      </w:r>
      <w:r w:rsidR="008F6D15" w:rsidRPr="00557A85">
        <w:t xml:space="preserve"> </w:t>
      </w:r>
      <w:r w:rsidR="00F63DAE">
        <w:t>for antibody positive patients.  The majority of injection site reactions were mild, regardless of antibody status.</w:t>
      </w:r>
    </w:p>
    <w:p w:rsidR="00F63DAE" w:rsidRDefault="00F63DAE" w:rsidP="00F63DAE">
      <w:r>
        <w:t>There was no cross-reactivity versus either native glucagon or endogenous GLP-1.</w:t>
      </w:r>
    </w:p>
    <w:p w:rsidR="00F63DAE" w:rsidRDefault="00F63DAE" w:rsidP="00F63DAE">
      <w:pPr>
        <w:pStyle w:val="Heading2"/>
        <w:numPr>
          <w:ilvl w:val="0"/>
          <w:numId w:val="0"/>
        </w:numPr>
      </w:pPr>
      <w:bookmarkStart w:id="81" w:name="_Toc310954992"/>
      <w:r>
        <w:t>allergic reactions</w:t>
      </w:r>
      <w:bookmarkEnd w:id="81"/>
    </w:p>
    <w:p w:rsidR="00F63DAE" w:rsidRDefault="00F63DAE" w:rsidP="00F63DAE">
      <w:r w:rsidRPr="00F63DAE">
        <w:t xml:space="preserve">Allergic reactions (such as anaphylactic reaction, </w:t>
      </w:r>
      <w:proofErr w:type="spellStart"/>
      <w:r w:rsidRPr="00F63DAE">
        <w:t>angioedema</w:t>
      </w:r>
      <w:proofErr w:type="spellEnd"/>
      <w:r w:rsidRPr="00F63DAE">
        <w:t xml:space="preserve"> and </w:t>
      </w:r>
      <w:proofErr w:type="spellStart"/>
      <w:r w:rsidRPr="00F63DAE">
        <w:t>urticaria</w:t>
      </w:r>
      <w:proofErr w:type="spellEnd"/>
      <w:r w:rsidRPr="00F63DAE">
        <w:t xml:space="preserve">) have been reported  in 0.4 % of </w:t>
      </w:r>
      <w:proofErr w:type="spellStart"/>
      <w:r w:rsidRPr="00F63DAE">
        <w:t>Lyxumia</w:t>
      </w:r>
      <w:proofErr w:type="spellEnd"/>
      <w:r w:rsidRPr="00F63DAE">
        <w:t xml:space="preserve"> patients compared to less than 0.1% in placebo patients during the main 24-week treatment period.</w:t>
      </w:r>
    </w:p>
    <w:p w:rsidR="00F3322D" w:rsidRPr="00993A20" w:rsidRDefault="00C17E6A" w:rsidP="00F63DAE">
      <w:r w:rsidRPr="00993A20">
        <w:t xml:space="preserve">Anaphylactic reactions were reported in 0.2% of the </w:t>
      </w:r>
      <w:proofErr w:type="spellStart"/>
      <w:r w:rsidRPr="00993A20">
        <w:t>lixisenatide</w:t>
      </w:r>
      <w:proofErr w:type="spellEnd"/>
      <w:r w:rsidRPr="00993A20">
        <w:t xml:space="preserve"> treated patients vs. none in the placebo group. Most of these reported allergic reactions were mild in severity. One case of </w:t>
      </w:r>
      <w:proofErr w:type="spellStart"/>
      <w:r w:rsidRPr="00993A20">
        <w:t>anaphylactoid</w:t>
      </w:r>
      <w:proofErr w:type="spellEnd"/>
      <w:r w:rsidRPr="00993A20">
        <w:t xml:space="preserve"> reaction was reported during clinical trials with </w:t>
      </w:r>
      <w:proofErr w:type="spellStart"/>
      <w:r w:rsidRPr="00993A20">
        <w:t>lixisenatide</w:t>
      </w:r>
      <w:proofErr w:type="spellEnd"/>
      <w:r w:rsidRPr="00993A20">
        <w:t>.</w:t>
      </w:r>
    </w:p>
    <w:p w:rsidR="00F3322D" w:rsidRPr="00993A20" w:rsidRDefault="00F3322D" w:rsidP="00993A20">
      <w:pPr>
        <w:pStyle w:val="Heading2"/>
        <w:numPr>
          <w:ilvl w:val="0"/>
          <w:numId w:val="0"/>
        </w:numPr>
      </w:pPr>
      <w:r w:rsidRPr="00993A20">
        <w:t>HEART RATE</w:t>
      </w:r>
    </w:p>
    <w:p w:rsidR="00F3322D" w:rsidRPr="00993A20" w:rsidRDefault="00F3322D" w:rsidP="00F3322D">
      <w:pPr>
        <w:pStyle w:val="TblTextLeft"/>
        <w:rPr>
          <w:rFonts w:ascii="Times New Roman" w:eastAsia="MS Mincho" w:hAnsi="Times New Roman"/>
          <w:color w:val="000000"/>
          <w:sz w:val="24"/>
          <w:szCs w:val="24"/>
        </w:rPr>
      </w:pPr>
      <w:r w:rsidRPr="00993A20">
        <w:rPr>
          <w:rFonts w:ascii="Times New Roman" w:eastAsia="MS Mincho" w:hAnsi="Times New Roman"/>
          <w:color w:val="000000"/>
          <w:sz w:val="24"/>
          <w:szCs w:val="24"/>
        </w:rPr>
        <w:t xml:space="preserve">Cardiac arrhythmias particularly </w:t>
      </w:r>
      <w:bookmarkStart w:id="82" w:name="OLE_LINK10"/>
      <w:bookmarkStart w:id="83" w:name="OLE_LINK11"/>
      <w:r w:rsidRPr="00993A20">
        <w:rPr>
          <w:rFonts w:ascii="Times New Roman" w:eastAsia="MS Mincho" w:hAnsi="Times New Roman"/>
          <w:color w:val="000000"/>
          <w:sz w:val="24"/>
          <w:szCs w:val="24"/>
        </w:rPr>
        <w:t xml:space="preserve">tachycardia </w:t>
      </w:r>
      <w:bookmarkEnd w:id="82"/>
      <w:bookmarkEnd w:id="83"/>
      <w:r w:rsidRPr="00993A20">
        <w:rPr>
          <w:rFonts w:ascii="Times New Roman" w:eastAsia="MS Mincho" w:hAnsi="Times New Roman"/>
          <w:color w:val="000000"/>
          <w:sz w:val="24"/>
          <w:szCs w:val="24"/>
        </w:rPr>
        <w:t xml:space="preserve">(0.8% </w:t>
      </w:r>
      <w:proofErr w:type="spellStart"/>
      <w:r w:rsidRPr="00993A20">
        <w:rPr>
          <w:rFonts w:ascii="Times New Roman" w:eastAsia="MS Mincho" w:hAnsi="Times New Roman"/>
          <w:color w:val="000000"/>
          <w:sz w:val="24"/>
          <w:szCs w:val="24"/>
        </w:rPr>
        <w:t>vs</w:t>
      </w:r>
      <w:proofErr w:type="spellEnd"/>
      <w:r w:rsidRPr="00993A20">
        <w:rPr>
          <w:rFonts w:ascii="Times New Roman" w:eastAsia="MS Mincho" w:hAnsi="Times New Roman"/>
          <w:color w:val="000000"/>
          <w:sz w:val="24"/>
          <w:szCs w:val="24"/>
        </w:rPr>
        <w:t xml:space="preserve"> &lt;0.1%) and palpitations (1.5% </w:t>
      </w:r>
      <w:proofErr w:type="spellStart"/>
      <w:r w:rsidRPr="00993A20">
        <w:rPr>
          <w:rFonts w:ascii="Times New Roman" w:eastAsia="MS Mincho" w:hAnsi="Times New Roman"/>
          <w:color w:val="000000"/>
          <w:sz w:val="24"/>
          <w:szCs w:val="24"/>
        </w:rPr>
        <w:t>vs</w:t>
      </w:r>
      <w:proofErr w:type="spellEnd"/>
      <w:r w:rsidRPr="00993A20">
        <w:rPr>
          <w:rFonts w:ascii="Times New Roman" w:eastAsia="MS Mincho" w:hAnsi="Times New Roman"/>
          <w:color w:val="000000"/>
          <w:sz w:val="24"/>
          <w:szCs w:val="24"/>
        </w:rPr>
        <w:t xml:space="preserve"> 0.8%) have been reported in </w:t>
      </w:r>
      <w:proofErr w:type="spellStart"/>
      <w:r w:rsidRPr="00993A20">
        <w:rPr>
          <w:rFonts w:ascii="Times New Roman" w:eastAsia="MS Mincho" w:hAnsi="Times New Roman"/>
          <w:color w:val="000000"/>
          <w:sz w:val="24"/>
          <w:szCs w:val="24"/>
        </w:rPr>
        <w:t>lixisenatide</w:t>
      </w:r>
      <w:proofErr w:type="spellEnd"/>
      <w:r w:rsidRPr="00993A20">
        <w:rPr>
          <w:rFonts w:ascii="Times New Roman" w:eastAsia="MS Mincho" w:hAnsi="Times New Roman"/>
          <w:color w:val="000000"/>
          <w:sz w:val="24"/>
          <w:szCs w:val="24"/>
        </w:rPr>
        <w:t xml:space="preserve"> patients compared to placebo treated patients</w:t>
      </w:r>
      <w:r w:rsidR="00E350AC" w:rsidRPr="00993A20">
        <w:rPr>
          <w:rFonts w:ascii="Times New Roman" w:eastAsia="MS Mincho" w:hAnsi="Times New Roman"/>
          <w:color w:val="000000"/>
          <w:sz w:val="24"/>
          <w:szCs w:val="24"/>
        </w:rPr>
        <w:t xml:space="preserve"> </w:t>
      </w:r>
      <w:r w:rsidR="002C0E8A" w:rsidRPr="00993A20">
        <w:rPr>
          <w:rFonts w:ascii="Times New Roman" w:eastAsia="MS Mincho" w:hAnsi="Times New Roman"/>
          <w:color w:val="000000"/>
          <w:sz w:val="24"/>
          <w:szCs w:val="24"/>
        </w:rPr>
        <w:t>.</w:t>
      </w:r>
    </w:p>
    <w:p w:rsidR="00F63DAE" w:rsidRDefault="00F63DAE" w:rsidP="00F63DAE">
      <w:pPr>
        <w:pStyle w:val="Heading2"/>
        <w:numPr>
          <w:ilvl w:val="0"/>
          <w:numId w:val="0"/>
        </w:numPr>
      </w:pPr>
      <w:bookmarkStart w:id="84" w:name="_Toc310954993"/>
      <w:r>
        <w:t>withdrawal</w:t>
      </w:r>
      <w:bookmarkEnd w:id="84"/>
    </w:p>
    <w:p w:rsidR="00F63DAE" w:rsidRPr="00F63DAE" w:rsidRDefault="00F63DAE" w:rsidP="00F63DAE">
      <w:r w:rsidRPr="00F63DAE">
        <w:t xml:space="preserve">The incidence of treatment discontinuation due to adverse events was 7.4% for </w:t>
      </w:r>
      <w:proofErr w:type="spellStart"/>
      <w:r w:rsidRPr="00F63DAE">
        <w:t>Lyxumia</w:t>
      </w:r>
      <w:proofErr w:type="spellEnd"/>
      <w:r w:rsidRPr="00F63DAE">
        <w:t xml:space="preserve"> compared to 3.2% in the placebo group during the main 24-week treatment period.  The most common adverse events which led to treatment discontinuation in the </w:t>
      </w:r>
      <w:proofErr w:type="spellStart"/>
      <w:r w:rsidRPr="00F63DAE">
        <w:t>Lyxumia</w:t>
      </w:r>
      <w:proofErr w:type="spellEnd"/>
      <w:r w:rsidRPr="00F63DAE">
        <w:t xml:space="preserve"> group were nausea (3.1%) and vomiting (1.2%).</w:t>
      </w:r>
    </w:p>
    <w:p w:rsidR="003020BF" w:rsidRDefault="003020BF" w:rsidP="003020BF">
      <w:pPr>
        <w:pStyle w:val="Heading1"/>
        <w:pageBreakBefore w:val="0"/>
        <w:numPr>
          <w:ilvl w:val="0"/>
          <w:numId w:val="0"/>
        </w:numPr>
      </w:pPr>
      <w:bookmarkStart w:id="85" w:name="_Toc310954994"/>
      <w:r>
        <w:t>dosage and administration</w:t>
      </w:r>
      <w:bookmarkEnd w:id="85"/>
    </w:p>
    <w:p w:rsidR="003C20EE" w:rsidRPr="003F2D61" w:rsidRDefault="00A426DD" w:rsidP="003F2D61">
      <w:pPr>
        <w:pStyle w:val="CommentText"/>
        <w:rPr>
          <w:sz w:val="24"/>
          <w:szCs w:val="24"/>
        </w:rPr>
      </w:pPr>
      <w:proofErr w:type="spellStart"/>
      <w:r w:rsidRPr="003F2D61">
        <w:rPr>
          <w:sz w:val="24"/>
          <w:szCs w:val="24"/>
        </w:rPr>
        <w:t>Lyxumia</w:t>
      </w:r>
      <w:proofErr w:type="spellEnd"/>
      <w:r w:rsidRPr="003F2D61">
        <w:rPr>
          <w:sz w:val="24"/>
          <w:szCs w:val="24"/>
        </w:rPr>
        <w:t xml:space="preserve"> is to be injected subcutaneously in the thigh, abdomen or upper arm.</w:t>
      </w:r>
      <w:r w:rsidR="003C20EE" w:rsidRPr="003F2D61">
        <w:rPr>
          <w:sz w:val="24"/>
          <w:szCs w:val="24"/>
        </w:rPr>
        <w:t xml:space="preserve"> </w:t>
      </w:r>
      <w:proofErr w:type="spellStart"/>
      <w:r w:rsidRPr="003F2D61">
        <w:rPr>
          <w:sz w:val="24"/>
          <w:szCs w:val="24"/>
        </w:rPr>
        <w:t>Lyxumia</w:t>
      </w:r>
      <w:proofErr w:type="spellEnd"/>
      <w:r w:rsidRPr="003F2D61">
        <w:rPr>
          <w:sz w:val="24"/>
          <w:szCs w:val="24"/>
        </w:rPr>
        <w:t xml:space="preserve"> should not be administered intravenously or intramuscularly.</w:t>
      </w:r>
    </w:p>
    <w:p w:rsidR="005415F7" w:rsidRDefault="005415F7" w:rsidP="005415F7">
      <w:proofErr w:type="spellStart"/>
      <w:r>
        <w:t>Lyxumia</w:t>
      </w:r>
      <w:proofErr w:type="spellEnd"/>
      <w:r>
        <w:t xml:space="preserve"> is administered once daily within the hour prior to the first meal of the day or the evening meal. </w:t>
      </w:r>
    </w:p>
    <w:p w:rsidR="00F63DAE" w:rsidRDefault="00F63DAE" w:rsidP="00F63DAE">
      <w:r>
        <w:t xml:space="preserve">The starting dose is 10 mcg (µg) </w:t>
      </w:r>
      <w:proofErr w:type="spellStart"/>
      <w:r>
        <w:t>Lyxumia</w:t>
      </w:r>
      <w:proofErr w:type="spellEnd"/>
      <w:r>
        <w:t xml:space="preserve"> once daily for 14 days.</w:t>
      </w:r>
    </w:p>
    <w:p w:rsidR="00F63DAE" w:rsidRDefault="00F63DAE" w:rsidP="00F63DAE">
      <w:r>
        <w:t xml:space="preserve">Then, the </w:t>
      </w:r>
      <w:proofErr w:type="spellStart"/>
      <w:r>
        <w:t>Lyxumia</w:t>
      </w:r>
      <w:proofErr w:type="spellEnd"/>
      <w:r>
        <w:t xml:space="preserve"> dose should be </w:t>
      </w:r>
      <w:r w:rsidRPr="002E697C">
        <w:t>increased to 20 mcg</w:t>
      </w:r>
      <w:r w:rsidR="00D17FCF" w:rsidRPr="002E697C">
        <w:t xml:space="preserve"> </w:t>
      </w:r>
      <w:r w:rsidR="00D17FCF" w:rsidRPr="00966CC5">
        <w:t>(µg)</w:t>
      </w:r>
      <w:r>
        <w:t xml:space="preserve"> once daily, which is the maintenance dose. </w:t>
      </w:r>
    </w:p>
    <w:p w:rsidR="00A426DD" w:rsidRPr="00A426DD" w:rsidRDefault="00A426DD" w:rsidP="00F63DAE">
      <w:r w:rsidRPr="00A426DD">
        <w:t xml:space="preserve">If a dose of </w:t>
      </w:r>
      <w:proofErr w:type="spellStart"/>
      <w:r w:rsidRPr="00A426DD">
        <w:t>Lyxumia</w:t>
      </w:r>
      <w:proofErr w:type="spellEnd"/>
      <w:r w:rsidRPr="00A426DD">
        <w:t xml:space="preserve"> is missed, it should be injected within the hour prior to the next meal.   </w:t>
      </w:r>
    </w:p>
    <w:p w:rsidR="00F63DAE" w:rsidRPr="007B0E04" w:rsidRDefault="00F63DAE" w:rsidP="00F63DAE">
      <w:r>
        <w:lastRenderedPageBreak/>
        <w:t xml:space="preserve">When </w:t>
      </w:r>
      <w:proofErr w:type="spellStart"/>
      <w:r>
        <w:t>Lyxumia</w:t>
      </w:r>
      <w:proofErr w:type="spellEnd"/>
      <w:r>
        <w:t xml:space="preserve"> is added to existing </w:t>
      </w:r>
      <w:proofErr w:type="spellStart"/>
      <w:r>
        <w:t>metformin</w:t>
      </w:r>
      <w:proofErr w:type="spellEnd"/>
      <w:r>
        <w:t xml:space="preserve"> therapy, the current </w:t>
      </w:r>
      <w:proofErr w:type="spellStart"/>
      <w:r>
        <w:t>metformin</w:t>
      </w:r>
      <w:proofErr w:type="spellEnd"/>
      <w:r>
        <w:t xml:space="preserve"> dose can be </w:t>
      </w:r>
      <w:r w:rsidRPr="007B0E04">
        <w:t>continued unchanged.</w:t>
      </w:r>
    </w:p>
    <w:p w:rsidR="00F63DAE" w:rsidRPr="007B0E04" w:rsidRDefault="00F63DAE" w:rsidP="00F63DAE">
      <w:r w:rsidRPr="007B0E04">
        <w:t xml:space="preserve">When </w:t>
      </w:r>
      <w:proofErr w:type="spellStart"/>
      <w:r w:rsidRPr="007B0E04">
        <w:t>Lyxumia</w:t>
      </w:r>
      <w:proofErr w:type="spellEnd"/>
      <w:r w:rsidRPr="007B0E04">
        <w:t xml:space="preserve"> is added to a combination of a </w:t>
      </w:r>
      <w:r w:rsidR="007B0E04" w:rsidRPr="007B0E04">
        <w:t xml:space="preserve">basal insulin and a </w:t>
      </w:r>
      <w:proofErr w:type="spellStart"/>
      <w:r w:rsidRPr="007B0E04">
        <w:t>sulphonylurea</w:t>
      </w:r>
      <w:proofErr w:type="spellEnd"/>
      <w:r w:rsidRPr="007B0E04">
        <w:t xml:space="preserve">, a reduction in the dose of the </w:t>
      </w:r>
      <w:r w:rsidR="007B0E04" w:rsidRPr="007B0E04">
        <w:t xml:space="preserve">basal insulin or the </w:t>
      </w:r>
      <w:proofErr w:type="spellStart"/>
      <w:r w:rsidRPr="007B0E04">
        <w:t>sulphonylurea</w:t>
      </w:r>
      <w:proofErr w:type="spellEnd"/>
      <w:r w:rsidRPr="007B0E04">
        <w:t xml:space="preserve"> may be considered </w:t>
      </w:r>
      <w:r w:rsidR="00767EB9" w:rsidRPr="007B0E04">
        <w:t xml:space="preserve">according to individual response </w:t>
      </w:r>
      <w:r w:rsidRPr="007B0E04">
        <w:t xml:space="preserve">to reduce the risk of </w:t>
      </w:r>
      <w:proofErr w:type="spellStart"/>
      <w:r w:rsidRPr="007B0E04">
        <w:t>hypoglycaemia</w:t>
      </w:r>
      <w:proofErr w:type="spellEnd"/>
      <w:r w:rsidR="00557A85" w:rsidRPr="007B0E04">
        <w:t xml:space="preserve"> (</w:t>
      </w:r>
      <w:r w:rsidR="00CC5240" w:rsidRPr="007B0E04">
        <w:t>see PRECAUTIONS)</w:t>
      </w:r>
      <w:r w:rsidRPr="007B0E04">
        <w:t>.</w:t>
      </w:r>
    </w:p>
    <w:p w:rsidR="003020BF" w:rsidRDefault="000E2896" w:rsidP="00F63DAE">
      <w:r w:rsidRPr="007B0E04">
        <w:t>W</w:t>
      </w:r>
      <w:r w:rsidR="00F63DAE" w:rsidRPr="007B0E04">
        <w:t xml:space="preserve">hen used in combination with </w:t>
      </w:r>
      <w:r w:rsidR="004A208F" w:rsidRPr="007B0E04">
        <w:t>basal</w:t>
      </w:r>
      <w:r w:rsidR="007B0E04" w:rsidRPr="007B0E04">
        <w:t xml:space="preserve"> insulin and a </w:t>
      </w:r>
      <w:proofErr w:type="spellStart"/>
      <w:r w:rsidR="00F63DAE" w:rsidRPr="007B0E04">
        <w:t>sulphonylurea</w:t>
      </w:r>
      <w:proofErr w:type="spellEnd"/>
      <w:r w:rsidR="00F63DAE" w:rsidRPr="007B0E04">
        <w:t>, blood glucose monitoring may become necessary</w:t>
      </w:r>
      <w:r w:rsidR="00767EB9" w:rsidRPr="007B0E04">
        <w:t xml:space="preserve"> </w:t>
      </w:r>
      <w:r w:rsidR="00F63DAE" w:rsidRPr="007B0E04">
        <w:t xml:space="preserve">to adjust the doses of the </w:t>
      </w:r>
      <w:r w:rsidR="007B0E04" w:rsidRPr="007B0E04">
        <w:t>basal insulin</w:t>
      </w:r>
      <w:r w:rsidR="00101DCB">
        <w:t xml:space="preserve"> or</w:t>
      </w:r>
      <w:r w:rsidR="007B0E04" w:rsidRPr="007B0E04">
        <w:t xml:space="preserve"> </w:t>
      </w:r>
      <w:r w:rsidR="009869DB">
        <w:t>the</w:t>
      </w:r>
      <w:r w:rsidR="007B0E04" w:rsidRPr="007B0E04">
        <w:t xml:space="preserve"> </w:t>
      </w:r>
      <w:proofErr w:type="spellStart"/>
      <w:r w:rsidR="004A208F" w:rsidRPr="007B0E04">
        <w:t>sulphonylurea</w:t>
      </w:r>
      <w:proofErr w:type="spellEnd"/>
      <w:r w:rsidR="004A208F" w:rsidRPr="007B0E04">
        <w:t>.</w:t>
      </w:r>
    </w:p>
    <w:p w:rsidR="005415F7" w:rsidRDefault="005415F7" w:rsidP="00A64903">
      <w:pPr>
        <w:tabs>
          <w:tab w:val="left" w:pos="851"/>
          <w:tab w:val="left" w:pos="8222"/>
        </w:tabs>
      </w:pPr>
      <w:r>
        <w:t>In the absence of compatibility studies,</w:t>
      </w:r>
      <w:r w:rsidR="00B17FDD" w:rsidRPr="00032C22">
        <w:t xml:space="preserve"> </w:t>
      </w:r>
      <w:proofErr w:type="spellStart"/>
      <w:r w:rsidR="00B17FDD" w:rsidRPr="00032C22">
        <w:t>Lyxumia</w:t>
      </w:r>
      <w:proofErr w:type="spellEnd"/>
      <w:r>
        <w:t xml:space="preserve"> must </w:t>
      </w:r>
      <w:r w:rsidRPr="005415F7">
        <w:rPr>
          <w:u w:val="single"/>
        </w:rPr>
        <w:t>not</w:t>
      </w:r>
      <w:r>
        <w:t xml:space="preserve"> be mixed with other medicinal products.</w:t>
      </w:r>
    </w:p>
    <w:p w:rsidR="00A64903" w:rsidRPr="00A64903" w:rsidRDefault="00A64903" w:rsidP="00A64903">
      <w:pPr>
        <w:rPr>
          <w:rFonts w:eastAsia="SimSun"/>
          <w:bCs/>
          <w:szCs w:val="22"/>
          <w:lang w:eastAsia="zh-CN"/>
        </w:rPr>
      </w:pPr>
      <w:r>
        <w:rPr>
          <w:rFonts w:eastAsia="SimSun"/>
          <w:bCs/>
          <w:szCs w:val="22"/>
          <w:lang w:eastAsia="zh-CN"/>
        </w:rPr>
        <w:t xml:space="preserve">Inspect </w:t>
      </w:r>
      <w:proofErr w:type="spellStart"/>
      <w:r>
        <w:rPr>
          <w:rFonts w:eastAsia="SimSun"/>
          <w:bCs/>
          <w:szCs w:val="22"/>
          <w:lang w:eastAsia="zh-CN"/>
        </w:rPr>
        <w:t>Lyxumia</w:t>
      </w:r>
      <w:proofErr w:type="spellEnd"/>
      <w:r>
        <w:rPr>
          <w:rFonts w:eastAsia="SimSun"/>
          <w:bCs/>
          <w:szCs w:val="22"/>
          <w:lang w:eastAsia="zh-CN"/>
        </w:rPr>
        <w:t xml:space="preserve"> before each use. </w:t>
      </w:r>
      <w:proofErr w:type="spellStart"/>
      <w:r>
        <w:rPr>
          <w:rFonts w:eastAsia="SimSun"/>
          <w:bCs/>
          <w:szCs w:val="22"/>
          <w:lang w:eastAsia="zh-CN"/>
        </w:rPr>
        <w:t>Lyxumia</w:t>
      </w:r>
      <w:proofErr w:type="spellEnd"/>
      <w:r w:rsidRPr="00A64903">
        <w:rPr>
          <w:rFonts w:eastAsia="SimSun"/>
          <w:bCs/>
          <w:szCs w:val="22"/>
          <w:lang w:eastAsia="zh-CN"/>
        </w:rPr>
        <w:t xml:space="preserve"> must only be used if the solution is clear, </w:t>
      </w:r>
      <w:proofErr w:type="spellStart"/>
      <w:r w:rsidRPr="00A64903">
        <w:rPr>
          <w:rFonts w:eastAsia="SimSun"/>
          <w:bCs/>
          <w:szCs w:val="22"/>
          <w:lang w:eastAsia="zh-CN"/>
        </w:rPr>
        <w:t>colourless</w:t>
      </w:r>
      <w:proofErr w:type="spellEnd"/>
      <w:r w:rsidRPr="00A64903">
        <w:rPr>
          <w:rFonts w:eastAsia="SimSun"/>
          <w:bCs/>
          <w:szCs w:val="22"/>
          <w:lang w:eastAsia="zh-CN"/>
        </w:rPr>
        <w:t>, with no particles visible.</w:t>
      </w:r>
    </w:p>
    <w:p w:rsidR="00A64903" w:rsidRDefault="00A64903" w:rsidP="00A64903">
      <w:pPr>
        <w:autoSpaceDE w:val="0"/>
        <w:autoSpaceDN w:val="0"/>
        <w:adjustRightInd w:val="0"/>
        <w:rPr>
          <w:rFonts w:eastAsia="SimSun"/>
          <w:szCs w:val="22"/>
          <w:lang w:eastAsia="zh-CN"/>
        </w:rPr>
      </w:pPr>
      <w:proofErr w:type="spellStart"/>
      <w:r w:rsidRPr="00011792">
        <w:rPr>
          <w:rFonts w:eastAsia="SimSun"/>
          <w:bCs/>
          <w:szCs w:val="22"/>
          <w:lang w:eastAsia="zh-CN"/>
        </w:rPr>
        <w:t>Lyxumia</w:t>
      </w:r>
      <w:proofErr w:type="spellEnd"/>
      <w:r w:rsidRPr="00011792">
        <w:rPr>
          <w:rFonts w:eastAsia="SimSun"/>
          <w:bCs/>
          <w:szCs w:val="22"/>
          <w:lang w:eastAsia="zh-CN"/>
        </w:rPr>
        <w:t xml:space="preserve"> should not be used </w:t>
      </w:r>
      <w:r w:rsidRPr="00011792">
        <w:rPr>
          <w:rFonts w:eastAsia="SimSun"/>
          <w:szCs w:val="22"/>
          <w:lang w:eastAsia="zh-CN"/>
        </w:rPr>
        <w:t>if it has been frozen.</w:t>
      </w:r>
    </w:p>
    <w:p w:rsidR="00A64903" w:rsidRDefault="00A64903" w:rsidP="00A64903">
      <w:pPr>
        <w:tabs>
          <w:tab w:val="left" w:pos="851"/>
          <w:tab w:val="left" w:pos="8222"/>
        </w:tabs>
      </w:pPr>
      <w:proofErr w:type="spellStart"/>
      <w:r w:rsidRPr="00011792">
        <w:t>Lyxumia</w:t>
      </w:r>
      <w:proofErr w:type="spellEnd"/>
      <w:r w:rsidRPr="00011792">
        <w:t xml:space="preserve"> can be used with 29 to 3</w:t>
      </w:r>
      <w:r>
        <w:t>2</w:t>
      </w:r>
      <w:r w:rsidRPr="00011792">
        <w:t xml:space="preserve"> gauge disposable pen needles. </w:t>
      </w:r>
      <w:r>
        <w:t xml:space="preserve">Pen needles are not included. </w:t>
      </w:r>
      <w:r w:rsidRPr="00011792">
        <w:t xml:space="preserve">The patient should be instructed to discard the needle after each use in accordance with local requirements and to store the pen without the needle attached. This helps prevent contamination and potential needle blockage. </w:t>
      </w:r>
    </w:p>
    <w:p w:rsidR="00390EBC" w:rsidRPr="008D4A3D" w:rsidRDefault="00A64903" w:rsidP="00A64903">
      <w:pPr>
        <w:tabs>
          <w:tab w:val="left" w:pos="851"/>
          <w:tab w:val="left" w:pos="8222"/>
        </w:tabs>
      </w:pPr>
      <w:r>
        <w:t xml:space="preserve">Each </w:t>
      </w:r>
      <w:proofErr w:type="spellStart"/>
      <w:r>
        <w:t>Lyxumia</w:t>
      </w:r>
      <w:proofErr w:type="spellEnd"/>
      <w:r>
        <w:t xml:space="preserve"> </w:t>
      </w:r>
      <w:r w:rsidRPr="00011792">
        <w:t xml:space="preserve">pen is to be used </w:t>
      </w:r>
      <w:r>
        <w:t>for</w:t>
      </w:r>
      <w:r w:rsidRPr="00011792">
        <w:t xml:space="preserve"> one </w:t>
      </w:r>
      <w:r>
        <w:t>patient</w:t>
      </w:r>
      <w:r w:rsidRPr="00011792">
        <w:t xml:space="preserve"> only.</w:t>
      </w:r>
    </w:p>
    <w:p w:rsidR="00CC5240" w:rsidRDefault="00CC5240" w:rsidP="00CC5240">
      <w:pPr>
        <w:pStyle w:val="Heading2"/>
        <w:numPr>
          <w:ilvl w:val="0"/>
          <w:numId w:val="0"/>
        </w:numPr>
        <w:rPr>
          <w:caps w:val="0"/>
        </w:rPr>
      </w:pPr>
      <w:bookmarkStart w:id="86" w:name="_Toc310954995"/>
      <w:r>
        <w:t>use in the elderly (</w:t>
      </w:r>
      <w:r w:rsidRPr="00CC5240">
        <w:rPr>
          <w:caps w:val="0"/>
        </w:rPr>
        <w:t>≥</w:t>
      </w:r>
      <w:r>
        <w:rPr>
          <w:caps w:val="0"/>
        </w:rPr>
        <w:t xml:space="preserve"> 65 years)</w:t>
      </w:r>
      <w:bookmarkEnd w:id="86"/>
    </w:p>
    <w:p w:rsidR="00CC5240" w:rsidRPr="00425E0C" w:rsidRDefault="00CC5240" w:rsidP="00CC5240">
      <w:r>
        <w:t>No dosage adjustment is required based on age.</w:t>
      </w:r>
      <w:r w:rsidR="00034469">
        <w:t xml:space="preserve"> </w:t>
      </w:r>
      <w:r w:rsidR="003C5B1C" w:rsidRPr="00425E0C">
        <w:t>The clinical experience in patients ≥ 75 years is limited</w:t>
      </w:r>
      <w:r w:rsidR="005E044B" w:rsidRPr="00425E0C">
        <w:t>.</w:t>
      </w:r>
    </w:p>
    <w:p w:rsidR="002C5CEA" w:rsidRDefault="002C5CEA" w:rsidP="002C5CEA">
      <w:pPr>
        <w:pStyle w:val="Heading2"/>
        <w:numPr>
          <w:ilvl w:val="0"/>
          <w:numId w:val="0"/>
        </w:numPr>
      </w:pPr>
      <w:bookmarkStart w:id="87" w:name="_Toc310954996"/>
      <w:r>
        <w:t>children</w:t>
      </w:r>
      <w:bookmarkEnd w:id="87"/>
    </w:p>
    <w:p w:rsidR="000D3120" w:rsidRPr="000D3120" w:rsidRDefault="002C5CEA" w:rsidP="000D3120">
      <w:r>
        <w:t xml:space="preserve">The safety and effectiveness of </w:t>
      </w:r>
      <w:proofErr w:type="spellStart"/>
      <w:r>
        <w:t>Lyxumia</w:t>
      </w:r>
      <w:proofErr w:type="spellEnd"/>
      <w:r>
        <w:t xml:space="preserve"> in </w:t>
      </w:r>
      <w:proofErr w:type="spellStart"/>
      <w:r>
        <w:t>paediatric</w:t>
      </w:r>
      <w:proofErr w:type="spellEnd"/>
      <w:r>
        <w:t xml:space="preserve"> patients below the ages of 18 years have not been established.    </w:t>
      </w:r>
    </w:p>
    <w:p w:rsidR="00CC5240" w:rsidRDefault="00CC5240" w:rsidP="00CC5240">
      <w:pPr>
        <w:pStyle w:val="Heading2"/>
        <w:numPr>
          <w:ilvl w:val="0"/>
          <w:numId w:val="0"/>
        </w:numPr>
      </w:pPr>
      <w:bookmarkStart w:id="88" w:name="_Toc310954997"/>
      <w:r>
        <w:t>hepatic impairment</w:t>
      </w:r>
      <w:bookmarkEnd w:id="88"/>
    </w:p>
    <w:p w:rsidR="00CC5240" w:rsidRDefault="00CC5240" w:rsidP="00CC5240">
      <w:r>
        <w:t>No dose adjustment is needed in patients with hepatic impairment.</w:t>
      </w:r>
    </w:p>
    <w:p w:rsidR="00CC5240" w:rsidRPr="001E4802" w:rsidRDefault="00CC5240" w:rsidP="00CC5240">
      <w:pPr>
        <w:pStyle w:val="Heading2"/>
        <w:numPr>
          <w:ilvl w:val="0"/>
          <w:numId w:val="0"/>
        </w:numPr>
      </w:pPr>
      <w:bookmarkStart w:id="89" w:name="_Toc310954998"/>
      <w:r w:rsidRPr="001E4802">
        <w:t>Renal impairment</w:t>
      </w:r>
      <w:bookmarkEnd w:id="89"/>
    </w:p>
    <w:p w:rsidR="008D4A3D" w:rsidRPr="001E4802" w:rsidRDefault="00CC5240" w:rsidP="00CC5240">
      <w:r w:rsidRPr="001E4802">
        <w:t xml:space="preserve">No dose adjustment is required for patients with mild </w:t>
      </w:r>
      <w:r w:rsidR="004A1A51" w:rsidRPr="001E4802">
        <w:t xml:space="preserve">renal impairment </w:t>
      </w:r>
      <w:r w:rsidRPr="001E4802">
        <w:t>(</w:t>
      </w:r>
      <w:proofErr w:type="spellStart"/>
      <w:r w:rsidRPr="001E4802">
        <w:t>creatinine</w:t>
      </w:r>
      <w:proofErr w:type="spellEnd"/>
      <w:r w:rsidRPr="001E4802">
        <w:t xml:space="preserve"> clear</w:t>
      </w:r>
      <w:r w:rsidR="000D3120" w:rsidRPr="001E4802">
        <w:t xml:space="preserve">ance: 50-80 </w:t>
      </w:r>
      <w:proofErr w:type="spellStart"/>
      <w:r w:rsidR="000D3120" w:rsidRPr="001E4802">
        <w:t>mL</w:t>
      </w:r>
      <w:proofErr w:type="spellEnd"/>
      <w:r w:rsidRPr="001E4802">
        <w:t>/min)</w:t>
      </w:r>
      <w:r w:rsidR="00FE2A0B" w:rsidRPr="001E4802">
        <w:t>.</w:t>
      </w:r>
      <w:r w:rsidR="000D3120" w:rsidRPr="001E4802">
        <w:t xml:space="preserve"> </w:t>
      </w:r>
    </w:p>
    <w:p w:rsidR="008D4A3D" w:rsidRPr="001378D3" w:rsidRDefault="008D4A3D" w:rsidP="000323A0">
      <w:pPr>
        <w:pageBreakBefore/>
      </w:pPr>
      <w:r w:rsidRPr="001378D3">
        <w:lastRenderedPageBreak/>
        <w:t xml:space="preserve">Moderate renal </w:t>
      </w:r>
      <w:r w:rsidR="007A75ED" w:rsidRPr="001378D3">
        <w:t>impairment</w:t>
      </w:r>
    </w:p>
    <w:p w:rsidR="008D4A3D" w:rsidRDefault="00FE2A0B" w:rsidP="00CC5240">
      <w:r w:rsidRPr="008D4A3D">
        <w:t>There is limited therapeutic experience in patients with moderate renal impairment (</w:t>
      </w:r>
      <w:proofErr w:type="spellStart"/>
      <w:r w:rsidRPr="008D4A3D">
        <w:t>creatinine</w:t>
      </w:r>
      <w:proofErr w:type="spellEnd"/>
      <w:r w:rsidRPr="008D4A3D">
        <w:t xml:space="preserve"> clearance: 30-&lt;50 ml/min) and </w:t>
      </w:r>
      <w:proofErr w:type="spellStart"/>
      <w:r w:rsidRPr="008D4A3D">
        <w:t>Lyxumia</w:t>
      </w:r>
      <w:proofErr w:type="spellEnd"/>
      <w:r w:rsidRPr="008D4A3D">
        <w:t xml:space="preserve"> should be used with caution in this population. </w:t>
      </w:r>
    </w:p>
    <w:p w:rsidR="001E4802" w:rsidRPr="00371E80" w:rsidRDefault="001E4802" w:rsidP="00371E80">
      <w:r w:rsidRPr="00371E80">
        <w:t>Severe renal impairment</w:t>
      </w:r>
    </w:p>
    <w:p w:rsidR="001E4802" w:rsidRPr="00371E80" w:rsidRDefault="001E4802" w:rsidP="00CC5240">
      <w:pPr>
        <w:rPr>
          <w:i/>
          <w:color w:val="0000FF"/>
        </w:rPr>
      </w:pPr>
      <w:r w:rsidRPr="00371E80">
        <w:t>There is no therapeutic experience in patients with severe renal impairment (</w:t>
      </w:r>
      <w:proofErr w:type="spellStart"/>
      <w:r w:rsidRPr="00371E80">
        <w:t>creatinine</w:t>
      </w:r>
      <w:proofErr w:type="spellEnd"/>
      <w:r w:rsidRPr="00371E80">
        <w:t xml:space="preserve"> clearance &lt; 30 </w:t>
      </w:r>
      <w:proofErr w:type="spellStart"/>
      <w:r w:rsidRPr="00371E80">
        <w:t>mL</w:t>
      </w:r>
      <w:proofErr w:type="spellEnd"/>
      <w:r w:rsidRPr="00371E80">
        <w:t xml:space="preserve">/min) or end stage renal disease, and therefore it is not recommended to use </w:t>
      </w:r>
      <w:proofErr w:type="spellStart"/>
      <w:r w:rsidRPr="00371E80">
        <w:t>Lyxumia</w:t>
      </w:r>
      <w:proofErr w:type="spellEnd"/>
      <w:r w:rsidRPr="00371E80">
        <w:t xml:space="preserve"> in these populations.</w:t>
      </w:r>
      <w:r w:rsidR="00557A85" w:rsidRPr="00371E80">
        <w:rPr>
          <w:i/>
          <w:color w:val="0000FF"/>
        </w:rPr>
        <w:t xml:space="preserve"> </w:t>
      </w:r>
    </w:p>
    <w:p w:rsidR="003020BF" w:rsidRDefault="003020BF" w:rsidP="003020BF">
      <w:pPr>
        <w:pStyle w:val="Heading1"/>
        <w:pageBreakBefore w:val="0"/>
        <w:numPr>
          <w:ilvl w:val="0"/>
          <w:numId w:val="0"/>
        </w:numPr>
      </w:pPr>
      <w:bookmarkStart w:id="90" w:name="_Toc310954999"/>
      <w:r>
        <w:t>overdosage</w:t>
      </w:r>
      <w:bookmarkEnd w:id="90"/>
    </w:p>
    <w:p w:rsidR="005415F7" w:rsidRDefault="005415F7" w:rsidP="005415F7">
      <w:r w:rsidRPr="005415F7">
        <w:t xml:space="preserve">During clinical studies, doses up to 30 µg of </w:t>
      </w:r>
      <w:proofErr w:type="spellStart"/>
      <w:r w:rsidRPr="005415F7">
        <w:t>lixisenatide</w:t>
      </w:r>
      <w:proofErr w:type="spellEnd"/>
      <w:r w:rsidRPr="005415F7">
        <w:t xml:space="preserve"> twice a day were administered to type 2 diabetic patients in a 13-week study. They were well tolerated and only an increased incidence of gastrointestinal disorders was observed.</w:t>
      </w:r>
    </w:p>
    <w:p w:rsidR="005415F7" w:rsidRPr="005415F7" w:rsidRDefault="005415F7" w:rsidP="005415F7">
      <w:r w:rsidRPr="005415F7">
        <w:t>In case of overdose, appropriate supportive treatment should be initiated according to the patient’s clinical</w:t>
      </w:r>
      <w:r>
        <w:t xml:space="preserve"> signs and symptoms and the </w:t>
      </w:r>
      <w:proofErr w:type="spellStart"/>
      <w:r>
        <w:t>Lyxumia</w:t>
      </w:r>
      <w:proofErr w:type="spellEnd"/>
      <w:r w:rsidRPr="005415F7">
        <w:t xml:space="preserve"> dose should be reduced to the prescribed dose.</w:t>
      </w:r>
    </w:p>
    <w:p w:rsidR="003020BF" w:rsidRPr="003020BF" w:rsidRDefault="003020BF" w:rsidP="003020BF">
      <w:r w:rsidRPr="003020BF">
        <w:t>For information on the management of overdose, contact the Poison Information Centre on 131126.</w:t>
      </w:r>
    </w:p>
    <w:p w:rsidR="009A239D" w:rsidRDefault="003020BF" w:rsidP="009A239D">
      <w:pPr>
        <w:pStyle w:val="Heading1"/>
        <w:pageBreakBefore w:val="0"/>
        <w:numPr>
          <w:ilvl w:val="0"/>
          <w:numId w:val="0"/>
        </w:numPr>
      </w:pPr>
      <w:bookmarkStart w:id="91" w:name="_Toc310955000"/>
      <w:r>
        <w:t>presentation and storage condition</w:t>
      </w:r>
      <w:r w:rsidR="009A239D">
        <w:t>s</w:t>
      </w:r>
      <w:bookmarkEnd w:id="91"/>
    </w:p>
    <w:p w:rsidR="009A239D" w:rsidRDefault="009A239D" w:rsidP="009A239D">
      <w:r>
        <w:t xml:space="preserve">Before first use, </w:t>
      </w:r>
      <w:proofErr w:type="spellStart"/>
      <w:r>
        <w:t>Lyxumia</w:t>
      </w:r>
      <w:proofErr w:type="spellEnd"/>
      <w:r>
        <w:t xml:space="preserve"> must be stored refrigerated between 2°C and 8°C in the outer packaging in order to protect it from light.</w:t>
      </w:r>
      <w:r w:rsidR="00A426DD">
        <w:t xml:space="preserve"> Do not freeze.</w:t>
      </w:r>
    </w:p>
    <w:p w:rsidR="009A239D" w:rsidRDefault="0006330D" w:rsidP="009A239D">
      <w:r>
        <w:t xml:space="preserve">After first use, </w:t>
      </w:r>
      <w:proofErr w:type="spellStart"/>
      <w:r>
        <w:t>Lyxumia</w:t>
      </w:r>
      <w:proofErr w:type="spellEnd"/>
      <w:r>
        <w:t xml:space="preserve"> must</w:t>
      </w:r>
      <w:r w:rsidR="009A239D">
        <w:t xml:space="preserve"> be kept at a temp</w:t>
      </w:r>
      <w:r w:rsidR="00A426DD">
        <w:t>erature</w:t>
      </w:r>
      <w:r w:rsidR="009A239D">
        <w:t xml:space="preserve"> not exceeding 30°</w:t>
      </w:r>
      <w:r w:rsidR="00CC1F91">
        <w:t xml:space="preserve">C. </w:t>
      </w:r>
      <w:r>
        <w:t>Do not refrigerate</w:t>
      </w:r>
      <w:r w:rsidR="009A239D">
        <w:t>. The pen cap should be replaced on the pen after each use to protect it from light. The pen should not be stored with a needle</w:t>
      </w:r>
      <w:r w:rsidR="00A426DD">
        <w:t xml:space="preserve"> attached.</w:t>
      </w:r>
    </w:p>
    <w:p w:rsidR="009A239D" w:rsidRPr="009A239D" w:rsidRDefault="009A239D" w:rsidP="009A239D">
      <w:r>
        <w:t>The pen must be discarded 14 days after opening.</w:t>
      </w:r>
    </w:p>
    <w:p w:rsidR="003020BF" w:rsidRDefault="00A64903" w:rsidP="00A64903">
      <w:pPr>
        <w:pStyle w:val="Heading2"/>
        <w:numPr>
          <w:ilvl w:val="0"/>
          <w:numId w:val="0"/>
        </w:numPr>
        <w:rPr>
          <w:caps w:val="0"/>
        </w:rPr>
      </w:pPr>
      <w:bookmarkStart w:id="92" w:name="_Toc310955001"/>
      <w:r>
        <w:t>Lyxumia 10</w:t>
      </w:r>
      <w:r w:rsidRPr="00A64903">
        <w:rPr>
          <w:caps w:val="0"/>
        </w:rPr>
        <w:t>μ</w:t>
      </w:r>
      <w:r>
        <w:rPr>
          <w:caps w:val="0"/>
        </w:rPr>
        <w:t xml:space="preserve">g solution for injection </w:t>
      </w:r>
      <w:r w:rsidR="00A426DD">
        <w:rPr>
          <w:caps w:val="0"/>
        </w:rPr>
        <w:t>(green injection pen)</w:t>
      </w:r>
      <w:bookmarkEnd w:id="92"/>
    </w:p>
    <w:p w:rsidR="00A64903" w:rsidRDefault="00A64903" w:rsidP="00A64903">
      <w:r>
        <w:t xml:space="preserve">Solution for injection in </w:t>
      </w:r>
      <w:r w:rsidR="00C56645">
        <w:t xml:space="preserve">a green </w:t>
      </w:r>
      <w:r>
        <w:t xml:space="preserve">pre-filled </w:t>
      </w:r>
      <w:r w:rsidR="000D3120">
        <w:t xml:space="preserve">injector </w:t>
      </w:r>
      <w:r>
        <w:t xml:space="preserve">pen containing 3 </w:t>
      </w:r>
      <w:proofErr w:type="spellStart"/>
      <w:r>
        <w:t>mL</w:t>
      </w:r>
      <w:proofErr w:type="spellEnd"/>
      <w:r>
        <w:t xml:space="preserve"> solution delivering 14 doses of 10 </w:t>
      </w:r>
      <w:proofErr w:type="spellStart"/>
      <w:r>
        <w:t>μg</w:t>
      </w:r>
      <w:proofErr w:type="spellEnd"/>
      <w:r>
        <w:t xml:space="preserve">. </w:t>
      </w:r>
      <w:r w:rsidR="00C56645">
        <w:t>Each</w:t>
      </w:r>
      <w:r>
        <w:t xml:space="preserve"> dose </w:t>
      </w:r>
      <w:r w:rsidR="00C56645">
        <w:t xml:space="preserve">(0.2 </w:t>
      </w:r>
      <w:proofErr w:type="spellStart"/>
      <w:r w:rsidR="00C56645">
        <w:t>mL</w:t>
      </w:r>
      <w:proofErr w:type="spellEnd"/>
      <w:r w:rsidR="00C56645">
        <w:t xml:space="preserve">) </w:t>
      </w:r>
      <w:r>
        <w:t xml:space="preserve">contains 10 </w:t>
      </w:r>
      <w:proofErr w:type="spellStart"/>
      <w:r>
        <w:t>μg</w:t>
      </w:r>
      <w:proofErr w:type="spellEnd"/>
      <w:r>
        <w:t xml:space="preserve"> of </w:t>
      </w:r>
      <w:proofErr w:type="spellStart"/>
      <w:r>
        <w:t>lixisenatide</w:t>
      </w:r>
      <w:proofErr w:type="spellEnd"/>
      <w:r>
        <w:t xml:space="preserve"> (0.05 mg</w:t>
      </w:r>
      <w:r w:rsidR="00C56645">
        <w:t>/ ml). S</w:t>
      </w:r>
      <w:r w:rsidR="00E66103">
        <w:t xml:space="preserve">upplied </w:t>
      </w:r>
      <w:r w:rsidR="002C6632">
        <w:t>as</w:t>
      </w:r>
      <w:r w:rsidR="00E66103">
        <w:t xml:space="preserve"> </w:t>
      </w:r>
      <w:r w:rsidR="000A724C">
        <w:t xml:space="preserve">a </w:t>
      </w:r>
      <w:r w:rsidR="002C6632">
        <w:t>single</w:t>
      </w:r>
      <w:r w:rsidR="000A724C">
        <w:t xml:space="preserve"> (14 days supply) injector pen.</w:t>
      </w:r>
    </w:p>
    <w:p w:rsidR="00A64903" w:rsidRDefault="00A64903" w:rsidP="00A64903">
      <w:pPr>
        <w:pStyle w:val="Heading2"/>
        <w:numPr>
          <w:ilvl w:val="0"/>
          <w:numId w:val="0"/>
        </w:numPr>
        <w:rPr>
          <w:caps w:val="0"/>
        </w:rPr>
      </w:pPr>
      <w:bookmarkStart w:id="93" w:name="_Toc310955002"/>
      <w:r>
        <w:lastRenderedPageBreak/>
        <w:t>Lyxumia 20</w:t>
      </w:r>
      <w:r w:rsidRPr="00A64903">
        <w:rPr>
          <w:caps w:val="0"/>
        </w:rPr>
        <w:t>μ</w:t>
      </w:r>
      <w:r>
        <w:rPr>
          <w:caps w:val="0"/>
        </w:rPr>
        <w:t>g solution for injection</w:t>
      </w:r>
      <w:r w:rsidR="00A426DD">
        <w:rPr>
          <w:caps w:val="0"/>
        </w:rPr>
        <w:t xml:space="preserve"> (</w:t>
      </w:r>
      <w:r w:rsidR="002E697C" w:rsidRPr="00966CC5">
        <w:rPr>
          <w:caps w:val="0"/>
        </w:rPr>
        <w:t>purple</w:t>
      </w:r>
      <w:r w:rsidR="002E697C">
        <w:rPr>
          <w:caps w:val="0"/>
        </w:rPr>
        <w:t xml:space="preserve"> </w:t>
      </w:r>
      <w:r w:rsidR="00A426DD">
        <w:rPr>
          <w:caps w:val="0"/>
        </w:rPr>
        <w:t>injection pen)</w:t>
      </w:r>
      <w:bookmarkEnd w:id="93"/>
    </w:p>
    <w:p w:rsidR="00A64903" w:rsidRDefault="00A64903" w:rsidP="00A64903">
      <w:r>
        <w:t>Solution for injection in</w:t>
      </w:r>
      <w:r w:rsidRPr="00966CC5">
        <w:t xml:space="preserve"> </w:t>
      </w:r>
      <w:r w:rsidR="002E697C" w:rsidRPr="00966CC5">
        <w:t>purple</w:t>
      </w:r>
      <w:r w:rsidR="00C56645">
        <w:t xml:space="preserve"> </w:t>
      </w:r>
      <w:r>
        <w:t xml:space="preserve">pre-filled </w:t>
      </w:r>
      <w:r w:rsidR="000D3120">
        <w:t xml:space="preserve">injector </w:t>
      </w:r>
      <w:r>
        <w:t xml:space="preserve">pen containing 3 </w:t>
      </w:r>
      <w:proofErr w:type="spellStart"/>
      <w:r>
        <w:t>mL</w:t>
      </w:r>
      <w:proofErr w:type="spellEnd"/>
      <w:r>
        <w:t xml:space="preserve"> solution delivering 14 doses of 20 </w:t>
      </w:r>
      <w:proofErr w:type="spellStart"/>
      <w:r>
        <w:t>μg</w:t>
      </w:r>
      <w:proofErr w:type="spellEnd"/>
      <w:r>
        <w:t xml:space="preserve">. Each </w:t>
      </w:r>
      <w:r w:rsidR="00C56645">
        <w:t>dose (</w:t>
      </w:r>
      <w:r>
        <w:t xml:space="preserve">0.2 </w:t>
      </w:r>
      <w:proofErr w:type="spellStart"/>
      <w:r>
        <w:t>mL</w:t>
      </w:r>
      <w:proofErr w:type="spellEnd"/>
      <w:r w:rsidR="00C56645">
        <w:t>)</w:t>
      </w:r>
      <w:r>
        <w:t xml:space="preserve"> contains 20 </w:t>
      </w:r>
      <w:proofErr w:type="spellStart"/>
      <w:r>
        <w:t>μg</w:t>
      </w:r>
      <w:proofErr w:type="spellEnd"/>
      <w:r>
        <w:t xml:space="preserve"> of </w:t>
      </w:r>
      <w:proofErr w:type="spellStart"/>
      <w:r>
        <w:t>lixisenatide</w:t>
      </w:r>
      <w:proofErr w:type="spellEnd"/>
      <w:r>
        <w:t xml:space="preserve"> (0.1 </w:t>
      </w:r>
      <w:r w:rsidR="00C56645">
        <w:t>mg/</w:t>
      </w:r>
      <w:proofErr w:type="spellStart"/>
      <w:r w:rsidR="00C56645">
        <w:t>mL</w:t>
      </w:r>
      <w:proofErr w:type="spellEnd"/>
      <w:r>
        <w:t>)</w:t>
      </w:r>
      <w:r w:rsidR="00E66103">
        <w:t xml:space="preserve">. Supplied in packs </w:t>
      </w:r>
      <w:r w:rsidR="002C6632">
        <w:t>of</w:t>
      </w:r>
      <w:r w:rsidR="00C56645">
        <w:t xml:space="preserve"> 1 (14 days supply), 2 (28 days supply) and 6 (84 days supply)</w:t>
      </w:r>
      <w:r w:rsidR="00E66103">
        <w:t xml:space="preserve"> injector pens</w:t>
      </w:r>
      <w:r w:rsidR="00C56645">
        <w:t>.</w:t>
      </w:r>
    </w:p>
    <w:p w:rsidR="00C56645" w:rsidRDefault="00A426DD" w:rsidP="00C56645">
      <w:pPr>
        <w:pStyle w:val="Heading2"/>
        <w:numPr>
          <w:ilvl w:val="0"/>
          <w:numId w:val="0"/>
        </w:numPr>
      </w:pPr>
      <w:bookmarkStart w:id="94" w:name="_Toc310955003"/>
      <w:r>
        <w:t>Lyxumia TREATMENT</w:t>
      </w:r>
      <w:r w:rsidR="00C56645">
        <w:t xml:space="preserve"> initiation pack </w:t>
      </w:r>
      <w:r>
        <w:t>(</w:t>
      </w:r>
      <w:r w:rsidRPr="002C6632">
        <w:rPr>
          <w:caps w:val="0"/>
        </w:rPr>
        <w:t xml:space="preserve">1 green + 1 </w:t>
      </w:r>
      <w:r w:rsidR="002E697C" w:rsidRPr="00966CC5">
        <w:rPr>
          <w:caps w:val="0"/>
        </w:rPr>
        <w:t>purple</w:t>
      </w:r>
      <w:r w:rsidR="002E697C">
        <w:rPr>
          <w:caps w:val="0"/>
        </w:rPr>
        <w:t xml:space="preserve"> </w:t>
      </w:r>
      <w:r w:rsidRPr="002C6632">
        <w:rPr>
          <w:caps w:val="0"/>
        </w:rPr>
        <w:t>injection pen</w:t>
      </w:r>
      <w:r>
        <w:t>)</w:t>
      </w:r>
      <w:bookmarkEnd w:id="94"/>
    </w:p>
    <w:p w:rsidR="00C56645" w:rsidRPr="00C56645" w:rsidRDefault="00C56645" w:rsidP="00C56645">
      <w:r>
        <w:t xml:space="preserve">Solution for injection composite pack containing 1 green pre-filled 10 </w:t>
      </w:r>
      <w:proofErr w:type="spellStart"/>
      <w:r>
        <w:t>μg</w:t>
      </w:r>
      <w:proofErr w:type="spellEnd"/>
      <w:r>
        <w:t xml:space="preserve"> pen</w:t>
      </w:r>
      <w:r w:rsidR="00E66103">
        <w:t xml:space="preserve"> (14 days supply), </w:t>
      </w:r>
      <w:r>
        <w:t xml:space="preserve">and 1 </w:t>
      </w:r>
      <w:r w:rsidR="002E697C" w:rsidRPr="00966CC5">
        <w:t>purple</w:t>
      </w:r>
      <w:r w:rsidR="002E697C">
        <w:t xml:space="preserve"> </w:t>
      </w:r>
      <w:r>
        <w:t xml:space="preserve">pre-filled 20 </w:t>
      </w:r>
      <w:proofErr w:type="spellStart"/>
      <w:r>
        <w:t>μg</w:t>
      </w:r>
      <w:proofErr w:type="spellEnd"/>
      <w:r>
        <w:t xml:space="preserve"> pen</w:t>
      </w:r>
      <w:r w:rsidR="00E66103">
        <w:t xml:space="preserve"> (14 days supply; 28 days total supply). </w:t>
      </w:r>
      <w:r>
        <w:t xml:space="preserve">Each dose (0.2 </w:t>
      </w:r>
      <w:proofErr w:type="spellStart"/>
      <w:r>
        <w:t>mL</w:t>
      </w:r>
      <w:proofErr w:type="spellEnd"/>
      <w:r>
        <w:t xml:space="preserve">) from the 10 </w:t>
      </w:r>
      <w:proofErr w:type="spellStart"/>
      <w:r>
        <w:t>μg</w:t>
      </w:r>
      <w:proofErr w:type="spellEnd"/>
      <w:r>
        <w:t xml:space="preserve"> pen contains 10 </w:t>
      </w:r>
      <w:proofErr w:type="spellStart"/>
      <w:r>
        <w:t>μg</w:t>
      </w:r>
      <w:proofErr w:type="spellEnd"/>
      <w:r>
        <w:t xml:space="preserve"> of </w:t>
      </w:r>
      <w:proofErr w:type="spellStart"/>
      <w:r>
        <w:t>lixisenatide</w:t>
      </w:r>
      <w:proofErr w:type="spellEnd"/>
      <w:r>
        <w:t xml:space="preserve"> (0.05 mg/</w:t>
      </w:r>
      <w:proofErr w:type="spellStart"/>
      <w:r>
        <w:t>mL</w:t>
      </w:r>
      <w:proofErr w:type="spellEnd"/>
      <w:r>
        <w:t xml:space="preserve">). Each dose (0.2 </w:t>
      </w:r>
      <w:proofErr w:type="spellStart"/>
      <w:r>
        <w:t>mL</w:t>
      </w:r>
      <w:proofErr w:type="spellEnd"/>
      <w:r>
        <w:t xml:space="preserve">) from the 20 </w:t>
      </w:r>
      <w:proofErr w:type="spellStart"/>
      <w:r>
        <w:t>μg</w:t>
      </w:r>
      <w:proofErr w:type="spellEnd"/>
      <w:r>
        <w:t xml:space="preserve"> pen contains 20 </w:t>
      </w:r>
      <w:proofErr w:type="spellStart"/>
      <w:r>
        <w:t>μg</w:t>
      </w:r>
      <w:proofErr w:type="spellEnd"/>
      <w:r>
        <w:t xml:space="preserve"> of </w:t>
      </w:r>
      <w:proofErr w:type="spellStart"/>
      <w:r>
        <w:t>lixisenatide</w:t>
      </w:r>
      <w:proofErr w:type="spellEnd"/>
      <w:r>
        <w:t xml:space="preserve"> (0.1 mg/</w:t>
      </w:r>
      <w:proofErr w:type="spellStart"/>
      <w:r>
        <w:t>mL</w:t>
      </w:r>
      <w:proofErr w:type="spellEnd"/>
      <w:r>
        <w:t xml:space="preserve">). </w:t>
      </w:r>
    </w:p>
    <w:p w:rsidR="003020BF" w:rsidRDefault="003020BF" w:rsidP="003020BF">
      <w:pPr>
        <w:pStyle w:val="Heading1"/>
        <w:pageBreakBefore w:val="0"/>
        <w:numPr>
          <w:ilvl w:val="0"/>
          <w:numId w:val="0"/>
        </w:numPr>
      </w:pPr>
      <w:bookmarkStart w:id="95" w:name="_Toc310955004"/>
      <w:r>
        <w:t>name and address of the sponsor</w:t>
      </w:r>
      <w:bookmarkEnd w:id="95"/>
    </w:p>
    <w:p w:rsidR="003020BF" w:rsidRPr="00E91AF3" w:rsidRDefault="003020BF" w:rsidP="003020BF">
      <w:proofErr w:type="spellStart"/>
      <w:r w:rsidRPr="00E91AF3">
        <w:t>sanofi-aventis</w:t>
      </w:r>
      <w:proofErr w:type="spellEnd"/>
      <w:r w:rsidRPr="00E91AF3">
        <w:t xml:space="preserve"> </w:t>
      </w:r>
      <w:proofErr w:type="spellStart"/>
      <w:smartTag w:uri="urn:schemas-microsoft-com:office:smarttags" w:element="country-region">
        <w:r w:rsidRPr="00E91AF3">
          <w:t>australia</w:t>
        </w:r>
      </w:smartTag>
      <w:proofErr w:type="spellEnd"/>
      <w:r w:rsidRPr="00E91AF3">
        <w:t xml:space="preserve"> </w:t>
      </w:r>
      <w:proofErr w:type="spellStart"/>
      <w:r w:rsidRPr="00E91AF3">
        <w:t>pty</w:t>
      </w:r>
      <w:proofErr w:type="spellEnd"/>
      <w:r w:rsidRPr="00E91AF3">
        <w:t xml:space="preserve"> ltd</w:t>
      </w:r>
      <w:r w:rsidRPr="00E91AF3">
        <w:br/>
      </w:r>
      <w:smartTag w:uri="urn:schemas-microsoft-com:office:smarttags" w:element="Street">
        <w:smartTag w:uri="urn:schemas-microsoft-com:office:smarttags" w:element="address">
          <w:r w:rsidRPr="00E91AF3">
            <w:t>12-24 Talavera Road</w:t>
          </w:r>
        </w:smartTag>
      </w:smartTag>
      <w:r w:rsidRPr="00E91AF3">
        <w:br/>
      </w:r>
      <w:smartTag w:uri="urn:schemas-microsoft-com:office:smarttags" w:element="place">
        <w:r w:rsidRPr="00E91AF3">
          <w:t>Macquarie</w:t>
        </w:r>
      </w:smartTag>
      <w:r w:rsidRPr="00E91AF3">
        <w:t xml:space="preserve"> Park NSW 2113</w:t>
      </w:r>
    </w:p>
    <w:p w:rsidR="003020BF" w:rsidRDefault="003020BF" w:rsidP="003020BF">
      <w:pPr>
        <w:pStyle w:val="Heading1"/>
        <w:pageBreakBefore w:val="0"/>
        <w:numPr>
          <w:ilvl w:val="0"/>
          <w:numId w:val="0"/>
        </w:numPr>
      </w:pPr>
      <w:bookmarkStart w:id="96" w:name="_Toc310955005"/>
      <w:r>
        <w:t>poison schedule of the medicine</w:t>
      </w:r>
      <w:bookmarkEnd w:id="96"/>
    </w:p>
    <w:p w:rsidR="003020BF" w:rsidRDefault="003020BF" w:rsidP="003020BF">
      <w:r>
        <w:t>Schedule 4 (Prescription Only Medicine)</w:t>
      </w:r>
    </w:p>
    <w:p w:rsidR="003020BF" w:rsidRPr="00615D82" w:rsidRDefault="003020BF" w:rsidP="001378D3">
      <w:pPr>
        <w:pStyle w:val="Heading1"/>
        <w:pageBreakBefore w:val="0"/>
        <w:numPr>
          <w:ilvl w:val="0"/>
          <w:numId w:val="0"/>
        </w:numPr>
        <w:rPr>
          <w:b w:val="0"/>
        </w:rPr>
      </w:pPr>
      <w:bookmarkStart w:id="97" w:name="_Toc310955006"/>
      <w:r>
        <w:t>date of first inclusion in the artg</w:t>
      </w:r>
      <w:bookmarkEnd w:id="97"/>
      <w:r w:rsidR="00615D82">
        <w:t xml:space="preserve">  </w:t>
      </w:r>
      <w:r w:rsidR="00615D82">
        <w:rPr>
          <w:rFonts w:ascii="Times New Roman" w:hAnsi="Times New Roman" w:cs="Times New Roman"/>
          <w:b w:val="0"/>
        </w:rPr>
        <w:t xml:space="preserve"> </w:t>
      </w:r>
      <w:r w:rsidR="00615D82" w:rsidRPr="00615D82">
        <w:rPr>
          <w:rFonts w:ascii="Times New Roman" w:hAnsi="Times New Roman" w:cs="Times New Roman"/>
          <w:b w:val="0"/>
        </w:rPr>
        <w:t xml:space="preserve"> </w:t>
      </w:r>
    </w:p>
    <w:p w:rsidR="003020BF" w:rsidRPr="00615D82" w:rsidRDefault="00615D82" w:rsidP="00615D82">
      <w:r>
        <w:t xml:space="preserve"> 10 April 2013</w:t>
      </w:r>
    </w:p>
    <w:p w:rsidR="00BC52A5" w:rsidRPr="00BC52A5" w:rsidRDefault="00BC52A5" w:rsidP="00BC52A5"/>
    <w:sectPr w:rsidR="00BC52A5" w:rsidRPr="00BC52A5" w:rsidSect="006C1E8E">
      <w:headerReference w:type="even" r:id="rId9"/>
      <w:headerReference w:type="default" r:id="rId10"/>
      <w:footerReference w:type="even" r:id="rId11"/>
      <w:footerReference w:type="default" r:id="rId12"/>
      <w:headerReference w:type="first" r:id="rId13"/>
      <w:footerReference w:type="first" r:id="rId14"/>
      <w:pgSz w:w="11906" w:h="16838" w:code="9"/>
      <w:pgMar w:top="1618" w:right="850" w:bottom="2154" w:left="1587" w:header="1134" w:footer="158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D96" w:rsidRDefault="00DD4D96">
      <w:r>
        <w:separator/>
      </w:r>
    </w:p>
  </w:endnote>
  <w:endnote w:type="continuationSeparator" w:id="0">
    <w:p w:rsidR="00DD4D96" w:rsidRDefault="00DD4D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3C9" w:rsidRDefault="004553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62E" w:rsidRDefault="00E2762E" w:rsidP="007F23A9">
    <w:pPr>
      <w:pStyle w:val="Footer"/>
    </w:pPr>
    <w:r>
      <w:t xml:space="preserve">Property of the </w:t>
    </w:r>
    <w:proofErr w:type="spellStart"/>
    <w:r>
      <w:t>sanofi-aventis</w:t>
    </w:r>
    <w:proofErr w:type="spellEnd"/>
    <w:r>
      <w:t xml:space="preserve"> group</w:t>
    </w:r>
  </w:p>
  <w:p w:rsidR="00E2762E" w:rsidRDefault="00E2762E" w:rsidP="007F23A9">
    <w:pPr>
      <w:pStyle w:val="Footer"/>
    </w:pPr>
    <w:r w:rsidRPr="00454029">
      <w:t>lixise</w:t>
    </w:r>
    <w:r>
      <w:t>natide-ccdsv1.0-piv1-d13-15mar13</w:t>
    </w:r>
    <w:r>
      <w:tab/>
      <w:t xml:space="preserve">- </w:t>
    </w:r>
    <w:fldSimple w:instr=" PAGE ">
      <w:r w:rsidR="00C86C80">
        <w:rPr>
          <w:noProof/>
        </w:rPr>
        <w:t>21</w:t>
      </w:r>
    </w:fldSimple>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3C9" w:rsidRDefault="004553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D96" w:rsidRDefault="00DD4D96">
      <w:r>
        <w:separator/>
      </w:r>
    </w:p>
  </w:footnote>
  <w:footnote w:type="continuationSeparator" w:id="0">
    <w:p w:rsidR="00DD4D96" w:rsidRDefault="00DD4D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3C9" w:rsidRDefault="004553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62E" w:rsidRDefault="00D70C28" w:rsidP="004553C9">
    <w:pPr>
      <w:pStyle w:val="Header"/>
      <w:spacing w:before="480"/>
    </w:pPr>
    <w:r w:rsidRPr="00D70C28">
      <w:rPr>
        <w:noProof/>
        <w:lang w:eastAsia="zh-TW"/>
      </w:rPr>
      <w:pict>
        <v:shapetype id="_x0000_t202" coordsize="21600,21600" o:spt="202" path="m,l,21600r21600,l21600,xe">
          <v:stroke joinstyle="miter"/>
          <v:path gradientshapeok="t" o:connecttype="rect"/>
        </v:shapetype>
        <v:shape id="_x0000_s15361" type="#_x0000_t202" style="position:absolute;margin-left:-7.95pt;margin-top:-51.7pt;width:492.75pt;height:72.6pt;z-index:-251658752;mso-position-horizontal:absolute;mso-width-relative:margin;mso-height-relative:margin" wrapcoords="-33 0 -33 21377 21600 21377 21600 0 -33 0" stroked="f">
          <v:textbox style="mso-next-textbox:#_x0000_s15361">
            <w:txbxContent>
              <w:p w:rsidR="004553C9" w:rsidRDefault="004553C9" w:rsidP="004553C9">
                <w:pPr>
                  <w:pStyle w:val="Header"/>
                  <w:pBdr>
                    <w:top w:val="single" w:sz="4" w:space="1" w:color="auto"/>
                    <w:left w:val="single" w:sz="4" w:space="4" w:color="auto"/>
                    <w:bottom w:val="single" w:sz="4" w:space="1" w:color="auto"/>
                    <w:right w:val="single" w:sz="4" w:space="4" w:color="auto"/>
                  </w:pBdr>
                  <w:shd w:val="clear" w:color="auto" w:fill="E4F2E0"/>
                </w:pPr>
                <w:r w:rsidRPr="00D361CA">
                  <w:rPr>
                    <w:b/>
                    <w:sz w:val="20"/>
                  </w:rPr>
                  <w:t xml:space="preserve">Attachment 1: Product information for </w:t>
                </w:r>
                <w:proofErr w:type="spellStart"/>
                <w:r w:rsidRPr="004553C9">
                  <w:rPr>
                    <w:b/>
                    <w:sz w:val="20"/>
                  </w:rPr>
                  <w:t>AusPAR</w:t>
                </w:r>
                <w:proofErr w:type="spellEnd"/>
                <w:r w:rsidRPr="004553C9">
                  <w:rPr>
                    <w:b/>
                    <w:sz w:val="20"/>
                  </w:rPr>
                  <w:t xml:space="preserve"> </w:t>
                </w:r>
                <w:proofErr w:type="spellStart"/>
                <w:r w:rsidRPr="004553C9">
                  <w:rPr>
                    <w:b/>
                    <w:sz w:val="20"/>
                  </w:rPr>
                  <w:t>Lyxumia</w:t>
                </w:r>
                <w:proofErr w:type="spellEnd"/>
                <w:r w:rsidRPr="004553C9">
                  <w:rPr>
                    <w:b/>
                    <w:sz w:val="20"/>
                  </w:rPr>
                  <w:t xml:space="preserve"> / </w:t>
                </w:r>
                <w:proofErr w:type="spellStart"/>
                <w:r w:rsidRPr="004553C9">
                  <w:rPr>
                    <w:b/>
                    <w:sz w:val="20"/>
                  </w:rPr>
                  <w:t>Lyxumia</w:t>
                </w:r>
                <w:proofErr w:type="spellEnd"/>
                <w:r w:rsidRPr="004553C9">
                  <w:rPr>
                    <w:b/>
                    <w:sz w:val="20"/>
                  </w:rPr>
                  <w:t xml:space="preserve"> Treatment initiation pack / </w:t>
                </w:r>
                <w:proofErr w:type="spellStart"/>
                <w:r w:rsidRPr="004553C9">
                  <w:rPr>
                    <w:b/>
                    <w:sz w:val="20"/>
                  </w:rPr>
                  <w:t>Lixisenatide</w:t>
                </w:r>
                <w:proofErr w:type="spellEnd"/>
                <w:r w:rsidRPr="004553C9">
                  <w:rPr>
                    <w:b/>
                    <w:sz w:val="20"/>
                  </w:rPr>
                  <w:t xml:space="preserve"> </w:t>
                </w:r>
                <w:proofErr w:type="spellStart"/>
                <w:r w:rsidRPr="004553C9">
                  <w:rPr>
                    <w:b/>
                    <w:sz w:val="20"/>
                  </w:rPr>
                  <w:t>Sanofi</w:t>
                </w:r>
                <w:proofErr w:type="spellEnd"/>
                <w:r w:rsidRPr="004553C9">
                  <w:rPr>
                    <w:b/>
                    <w:sz w:val="20"/>
                  </w:rPr>
                  <w:t xml:space="preserve"> / </w:t>
                </w:r>
                <w:proofErr w:type="spellStart"/>
                <w:r w:rsidRPr="004553C9">
                  <w:rPr>
                    <w:b/>
                    <w:sz w:val="20"/>
                  </w:rPr>
                  <w:t>Lixisenatide</w:t>
                </w:r>
                <w:proofErr w:type="spellEnd"/>
                <w:r w:rsidRPr="004553C9">
                  <w:rPr>
                    <w:b/>
                    <w:sz w:val="20"/>
                  </w:rPr>
                  <w:t xml:space="preserve"> </w:t>
                </w:r>
                <w:proofErr w:type="spellStart"/>
                <w:r w:rsidRPr="004553C9">
                  <w:rPr>
                    <w:b/>
                    <w:sz w:val="20"/>
                  </w:rPr>
                  <w:t>Sanofi</w:t>
                </w:r>
                <w:proofErr w:type="spellEnd"/>
                <w:r w:rsidRPr="004553C9">
                  <w:rPr>
                    <w:b/>
                    <w:sz w:val="20"/>
                  </w:rPr>
                  <w:t xml:space="preserve"> Treatment initiation pack /  </w:t>
                </w:r>
                <w:proofErr w:type="spellStart"/>
                <w:r w:rsidRPr="004553C9">
                  <w:rPr>
                    <w:b/>
                    <w:sz w:val="20"/>
                  </w:rPr>
                  <w:t>Lixisenatide</w:t>
                </w:r>
                <w:proofErr w:type="spellEnd"/>
                <w:r w:rsidRPr="004553C9">
                  <w:rPr>
                    <w:b/>
                    <w:sz w:val="20"/>
                  </w:rPr>
                  <w:t xml:space="preserve"> Winthrop / </w:t>
                </w:r>
                <w:proofErr w:type="spellStart"/>
                <w:r w:rsidRPr="004553C9">
                  <w:rPr>
                    <w:b/>
                    <w:sz w:val="20"/>
                  </w:rPr>
                  <w:t>Lixisenatide</w:t>
                </w:r>
                <w:proofErr w:type="spellEnd"/>
                <w:r w:rsidRPr="004553C9">
                  <w:rPr>
                    <w:b/>
                    <w:sz w:val="20"/>
                  </w:rPr>
                  <w:t xml:space="preserve"> Winthrop Treatment initiation pack; </w:t>
                </w:r>
                <w:proofErr w:type="spellStart"/>
                <w:r w:rsidRPr="004553C9">
                  <w:rPr>
                    <w:b/>
                    <w:sz w:val="20"/>
                  </w:rPr>
                  <w:t>Lixisenatide</w:t>
                </w:r>
                <w:proofErr w:type="spellEnd"/>
                <w:r w:rsidRPr="004553C9">
                  <w:rPr>
                    <w:b/>
                    <w:sz w:val="20"/>
                  </w:rPr>
                  <w:t xml:space="preserve">; </w:t>
                </w:r>
                <w:proofErr w:type="spellStart"/>
                <w:r w:rsidRPr="004553C9">
                  <w:rPr>
                    <w:b/>
                    <w:sz w:val="20"/>
                  </w:rPr>
                  <w:t>Sanofi</w:t>
                </w:r>
                <w:proofErr w:type="spellEnd"/>
                <w:r w:rsidRPr="004553C9">
                  <w:rPr>
                    <w:b/>
                    <w:sz w:val="20"/>
                  </w:rPr>
                  <w:t xml:space="preserve">-Aventis Australia Pty Ltd; PM-2011-03163-3-5. Date of </w:t>
                </w:r>
                <w:proofErr w:type="spellStart"/>
                <w:r w:rsidRPr="004553C9">
                  <w:rPr>
                    <w:b/>
                    <w:sz w:val="20"/>
                  </w:rPr>
                  <w:t>Finalisation</w:t>
                </w:r>
                <w:proofErr w:type="spellEnd"/>
                <w:r w:rsidRPr="004553C9">
                  <w:rPr>
                    <w:b/>
                    <w:sz w:val="20"/>
                  </w:rPr>
                  <w:t xml:space="preserve"> 20 August 2013</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txbxContent>
          </v:textbox>
          <w10:wrap type="tight"/>
        </v:shape>
      </w:pict>
    </w:r>
    <w:fldSimple w:instr=" DOCPROPERTY &quot;Document Type&quot;  \* MERGEFORMAT ">
      <w:r w:rsidR="00E2762E">
        <w:t>PRODUCT INFORMATION</w:t>
      </w:r>
    </w:fldSimple>
    <w:r w:rsidR="00E2762E">
      <w:t xml:space="preserve"> </w:t>
    </w:r>
    <w:r w:rsidR="00E2762E">
      <w:tab/>
      <w:t xml:space="preserve"> </w:t>
    </w:r>
  </w:p>
  <w:p w:rsidR="00E2762E" w:rsidRDefault="00E2762E">
    <w:pPr>
      <w:pStyle w:val="Header"/>
    </w:pPr>
    <w:proofErr w:type="spellStart"/>
    <w:r>
      <w:t>Lyxumia</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3C9" w:rsidRDefault="004553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9CA6F78"/>
    <w:lvl w:ilvl="0">
      <w:start w:val="1"/>
      <w:numFmt w:val="decimal"/>
      <w:lvlText w:val="%1."/>
      <w:lvlJc w:val="left"/>
      <w:pPr>
        <w:tabs>
          <w:tab w:val="num" w:pos="1492"/>
        </w:tabs>
        <w:ind w:left="1492" w:hanging="360"/>
      </w:pPr>
    </w:lvl>
  </w:abstractNum>
  <w:abstractNum w:abstractNumId="1">
    <w:nsid w:val="FFFFFF7D"/>
    <w:multiLevelType w:val="singleLevel"/>
    <w:tmpl w:val="C46E238A"/>
    <w:lvl w:ilvl="0">
      <w:start w:val="1"/>
      <w:numFmt w:val="decimal"/>
      <w:lvlText w:val="%1."/>
      <w:lvlJc w:val="left"/>
      <w:pPr>
        <w:tabs>
          <w:tab w:val="num" w:pos="1209"/>
        </w:tabs>
        <w:ind w:left="1209" w:hanging="360"/>
      </w:pPr>
    </w:lvl>
  </w:abstractNum>
  <w:abstractNum w:abstractNumId="2">
    <w:nsid w:val="FFFFFF7E"/>
    <w:multiLevelType w:val="singleLevel"/>
    <w:tmpl w:val="9D427C78"/>
    <w:lvl w:ilvl="0">
      <w:start w:val="1"/>
      <w:numFmt w:val="decimal"/>
      <w:lvlText w:val="%1."/>
      <w:lvlJc w:val="left"/>
      <w:pPr>
        <w:tabs>
          <w:tab w:val="num" w:pos="926"/>
        </w:tabs>
        <w:ind w:left="926" w:hanging="360"/>
      </w:pPr>
    </w:lvl>
  </w:abstractNum>
  <w:abstractNum w:abstractNumId="3">
    <w:nsid w:val="FFFFFF7F"/>
    <w:multiLevelType w:val="singleLevel"/>
    <w:tmpl w:val="E48A46E6"/>
    <w:lvl w:ilvl="0">
      <w:start w:val="1"/>
      <w:numFmt w:val="decimal"/>
      <w:lvlText w:val="%1."/>
      <w:lvlJc w:val="left"/>
      <w:pPr>
        <w:tabs>
          <w:tab w:val="num" w:pos="643"/>
        </w:tabs>
        <w:ind w:left="643" w:hanging="360"/>
      </w:pPr>
    </w:lvl>
  </w:abstractNum>
  <w:abstractNum w:abstractNumId="4">
    <w:nsid w:val="FFFFFF80"/>
    <w:multiLevelType w:val="singleLevel"/>
    <w:tmpl w:val="FC6688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4EADD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92A7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D16F1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F6187E"/>
    <w:lvl w:ilvl="0">
      <w:start w:val="1"/>
      <w:numFmt w:val="decimal"/>
      <w:lvlText w:val="%1."/>
      <w:lvlJc w:val="left"/>
      <w:pPr>
        <w:tabs>
          <w:tab w:val="num" w:pos="360"/>
        </w:tabs>
        <w:ind w:left="360" w:hanging="360"/>
      </w:pPr>
    </w:lvl>
  </w:abstractNum>
  <w:abstractNum w:abstractNumId="9">
    <w:nsid w:val="FFFFFF89"/>
    <w:multiLevelType w:val="singleLevel"/>
    <w:tmpl w:val="B906B970"/>
    <w:lvl w:ilvl="0">
      <w:start w:val="1"/>
      <w:numFmt w:val="bullet"/>
      <w:lvlText w:val=""/>
      <w:lvlJc w:val="left"/>
      <w:pPr>
        <w:tabs>
          <w:tab w:val="num" w:pos="360"/>
        </w:tabs>
        <w:ind w:left="360" w:hanging="360"/>
      </w:pPr>
      <w:rPr>
        <w:rFonts w:ascii="Symbol" w:hAnsi="Symbol" w:hint="default"/>
      </w:rPr>
    </w:lvl>
  </w:abstractNum>
  <w:abstractNum w:abstractNumId="10">
    <w:nsid w:val="016F243F"/>
    <w:multiLevelType w:val="hybridMultilevel"/>
    <w:tmpl w:val="779E5998"/>
    <w:lvl w:ilvl="0" w:tplc="BEF081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C0268D4"/>
    <w:multiLevelType w:val="multilevel"/>
    <w:tmpl w:val="309AFB2C"/>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12">
    <w:nsid w:val="0E563DE3"/>
    <w:multiLevelType w:val="multilevel"/>
    <w:tmpl w:val="EA961A4C"/>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13">
    <w:nsid w:val="13CF1C02"/>
    <w:multiLevelType w:val="multilevel"/>
    <w:tmpl w:val="EC448D7A"/>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4832C39"/>
    <w:multiLevelType w:val="multilevel"/>
    <w:tmpl w:val="08526A80"/>
    <w:name w:val="List_Alphabetical_Level_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15">
    <w:nsid w:val="150F27E3"/>
    <w:multiLevelType w:val="multilevel"/>
    <w:tmpl w:val="80E0916A"/>
    <w:name w:val="List_Alphabetical_Level_2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16">
    <w:nsid w:val="1DC41614"/>
    <w:multiLevelType w:val="multilevel"/>
    <w:tmpl w:val="56767712"/>
    <w:lvl w:ilvl="0">
      <w:start w:val="1"/>
      <w:numFmt w:val="decimal"/>
      <w:lvlRestart w:val="0"/>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17">
    <w:nsid w:val="2E4D086B"/>
    <w:multiLevelType w:val="multilevel"/>
    <w:tmpl w:val="98FEE14A"/>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8">
    <w:nsid w:val="311E02EA"/>
    <w:multiLevelType w:val="multilevel"/>
    <w:tmpl w:val="2B7ED206"/>
    <w:name w:val="List_Bulleted_level_1"/>
    <w:lvl w:ilvl="0">
      <w:start w:val="1"/>
      <w:numFmt w:val="bullet"/>
      <w:lvlRestart w:val="0"/>
      <w:lvlText w:val=""/>
      <w:lvlJc w:val="left"/>
      <w:pPr>
        <w:tabs>
          <w:tab w:val="num" w:pos="720"/>
        </w:tabs>
        <w:ind w:left="720" w:hanging="357"/>
      </w:pPr>
      <w:rPr>
        <w:rFonts w:ascii="Symbol" w:hAnsi="Symbol" w:hint="default"/>
      </w:rPr>
    </w:lvl>
    <w:lvl w:ilvl="1">
      <w:start w:val="1"/>
      <w:numFmt w:val="decimal"/>
      <w:lvlText w:val=""/>
      <w:lvlJc w:val="left"/>
      <w:pPr>
        <w:tabs>
          <w:tab w:val="num" w:pos="1083"/>
        </w:tabs>
        <w:ind w:left="1083" w:hanging="363"/>
      </w:pPr>
      <w:rPr>
        <w:rFonts w:hint="default"/>
      </w:rPr>
    </w:lvl>
    <w:lvl w:ilvl="2">
      <w:start w:val="1"/>
      <w:numFmt w:val="decimal"/>
      <w:lvlText w:val=""/>
      <w:lvlJc w:val="left"/>
      <w:pPr>
        <w:tabs>
          <w:tab w:val="num" w:pos="1440"/>
        </w:tabs>
        <w:ind w:left="1440" w:hanging="357"/>
      </w:pPr>
      <w:rPr>
        <w:rFonts w:hint="default"/>
      </w:rPr>
    </w:lvl>
    <w:lvl w:ilvl="3">
      <w:start w:val="1"/>
      <w:numFmt w:val="decimal"/>
      <w:lvlText w:val=""/>
      <w:lvlJc w:val="left"/>
      <w:pPr>
        <w:tabs>
          <w:tab w:val="num" w:pos="1803"/>
        </w:tabs>
        <w:ind w:left="1803" w:hanging="363"/>
      </w:pPr>
      <w:rPr>
        <w:rFonts w:hint="default"/>
      </w:rPr>
    </w:lvl>
    <w:lvl w:ilvl="4">
      <w:start w:val="1"/>
      <w:numFmt w:val="decimal"/>
      <w:lvlText w:val=""/>
      <w:lvlJc w:val="left"/>
      <w:pPr>
        <w:tabs>
          <w:tab w:val="num" w:pos="2160"/>
        </w:tabs>
        <w:ind w:left="2160" w:hanging="357"/>
      </w:pPr>
      <w:rPr>
        <w:rFonts w:hint="default"/>
      </w:rPr>
    </w:lvl>
    <w:lvl w:ilvl="5">
      <w:start w:val="1"/>
      <w:numFmt w:val="decimal"/>
      <w:lvlText w:val=""/>
      <w:lvlJc w:val="left"/>
      <w:pPr>
        <w:tabs>
          <w:tab w:val="num" w:pos="2523"/>
        </w:tabs>
        <w:ind w:left="2523" w:hanging="363"/>
      </w:pPr>
      <w:rPr>
        <w:rFonts w:hint="default"/>
      </w:rPr>
    </w:lvl>
    <w:lvl w:ilvl="6">
      <w:start w:val="1"/>
      <w:numFmt w:val="decimal"/>
      <w:lvlText w:val=""/>
      <w:lvlJc w:val="left"/>
      <w:pPr>
        <w:tabs>
          <w:tab w:val="num" w:pos="2880"/>
        </w:tabs>
        <w:ind w:left="2880" w:hanging="357"/>
      </w:pPr>
      <w:rPr>
        <w:rFonts w:hint="default"/>
      </w:rPr>
    </w:lvl>
    <w:lvl w:ilvl="7">
      <w:start w:val="1"/>
      <w:numFmt w:val="decimal"/>
      <w:lvlText w:val=""/>
      <w:lvlJc w:val="left"/>
      <w:pPr>
        <w:tabs>
          <w:tab w:val="num" w:pos="3243"/>
        </w:tabs>
        <w:ind w:left="3243" w:hanging="363"/>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6A76F60"/>
    <w:multiLevelType w:val="multilevel"/>
    <w:tmpl w:val="C71ABB6C"/>
    <w:lvl w:ilvl="0">
      <w:start w:val="1"/>
      <w:numFmt w:val="bullet"/>
      <w:lvlRestart w:val="0"/>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20">
    <w:nsid w:val="398B4D5B"/>
    <w:multiLevelType w:val="hybridMultilevel"/>
    <w:tmpl w:val="AC0E0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54742C01"/>
    <w:multiLevelType w:val="multilevel"/>
    <w:tmpl w:val="1AB28D80"/>
    <w:name w:val="List_Bulleted_level_1"/>
    <w:lvl w:ilvl="0">
      <w:start w:val="1"/>
      <w:numFmt w:val="bullet"/>
      <w:lvlRestart w:val="0"/>
      <w:lvlText w:val=""/>
      <w:lvlJc w:val="left"/>
      <w:pPr>
        <w:tabs>
          <w:tab w:val="num" w:pos="357"/>
        </w:tabs>
        <w:ind w:left="357" w:hanging="357"/>
      </w:pPr>
      <w:rPr>
        <w:rFonts w:ascii="Symbol" w:hAnsi="Symbol" w:hint="default"/>
      </w:rPr>
    </w:lvl>
    <w:lvl w:ilvl="1">
      <w:start w:val="1"/>
      <w:numFmt w:val="bullet"/>
      <w:lvlText w:val=""/>
      <w:lvlJc w:val="left"/>
      <w:pPr>
        <w:tabs>
          <w:tab w:val="num" w:pos="794"/>
        </w:tabs>
        <w:ind w:left="794" w:hanging="437"/>
      </w:pPr>
      <w:rPr>
        <w:rFonts w:ascii="Symbol" w:hAnsi="Symbol" w:hint="default"/>
      </w:rPr>
    </w:lvl>
    <w:lvl w:ilvl="2">
      <w:start w:val="1"/>
      <w:numFmt w:val="bullet"/>
      <w:lvlText w:val=""/>
      <w:lvlJc w:val="left"/>
      <w:pPr>
        <w:tabs>
          <w:tab w:val="num" w:pos="1440"/>
        </w:tabs>
        <w:ind w:left="1225" w:hanging="505"/>
      </w:pPr>
      <w:rPr>
        <w:rFonts w:ascii="Symbol" w:hAnsi="Symbol" w:hint="default"/>
      </w:rPr>
    </w:lvl>
    <w:lvl w:ilvl="3">
      <w:start w:val="1"/>
      <w:numFmt w:val="bullet"/>
      <w:lvlText w:val=""/>
      <w:lvlJc w:val="left"/>
      <w:pPr>
        <w:tabs>
          <w:tab w:val="num" w:pos="1797"/>
        </w:tabs>
        <w:ind w:left="1729" w:hanging="652"/>
      </w:pPr>
      <w:rPr>
        <w:rFonts w:ascii="Symbol" w:hAnsi="Symbol" w:hint="default"/>
      </w:rPr>
    </w:lvl>
    <w:lvl w:ilvl="4">
      <w:start w:val="1"/>
      <w:numFmt w:val="bullet"/>
      <w:lvlText w:val=""/>
      <w:lvlJc w:val="left"/>
      <w:pPr>
        <w:tabs>
          <w:tab w:val="num" w:pos="2517"/>
        </w:tabs>
        <w:ind w:left="2234" w:hanging="794"/>
      </w:pPr>
      <w:rPr>
        <w:rFonts w:ascii="Symbol" w:hAnsi="Symbol" w:hint="default"/>
      </w:rPr>
    </w:lvl>
    <w:lvl w:ilvl="5">
      <w:start w:val="1"/>
      <w:numFmt w:val="bullet"/>
      <w:lvlText w:val=""/>
      <w:lvlJc w:val="left"/>
      <w:pPr>
        <w:tabs>
          <w:tab w:val="num" w:pos="2880"/>
        </w:tabs>
        <w:ind w:left="2738" w:hanging="941"/>
      </w:pPr>
      <w:rPr>
        <w:rFonts w:ascii="Symbol" w:hAnsi="Symbol" w:hint="default"/>
      </w:rPr>
    </w:lvl>
    <w:lvl w:ilvl="6">
      <w:start w:val="1"/>
      <w:numFmt w:val="bullet"/>
      <w:lvlText w:val=""/>
      <w:lvlJc w:val="left"/>
      <w:pPr>
        <w:tabs>
          <w:tab w:val="num" w:pos="3600"/>
        </w:tabs>
        <w:ind w:left="3237" w:hanging="1077"/>
      </w:pPr>
      <w:rPr>
        <w:rFonts w:ascii="Symbol" w:hAnsi="Symbol" w:hint="default"/>
      </w:rPr>
    </w:lvl>
    <w:lvl w:ilvl="7">
      <w:start w:val="1"/>
      <w:numFmt w:val="bullet"/>
      <w:lvlText w:val=""/>
      <w:lvlJc w:val="left"/>
      <w:pPr>
        <w:tabs>
          <w:tab w:val="num" w:pos="3957"/>
        </w:tabs>
        <w:ind w:left="3742" w:hanging="1225"/>
      </w:pPr>
      <w:rPr>
        <w:rFonts w:ascii="Symbol" w:hAnsi="Symbol" w:hint="default"/>
      </w:rPr>
    </w:lvl>
    <w:lvl w:ilvl="8">
      <w:start w:val="1"/>
      <w:numFmt w:val="bullet"/>
      <w:lvlText w:val=""/>
      <w:lvlJc w:val="left"/>
      <w:pPr>
        <w:tabs>
          <w:tab w:val="num" w:pos="4677"/>
        </w:tabs>
        <w:ind w:left="4320" w:hanging="1440"/>
      </w:pPr>
      <w:rPr>
        <w:rFonts w:ascii="Symbol" w:hAnsi="Symbol" w:hint="default"/>
      </w:rPr>
    </w:lvl>
  </w:abstractNum>
  <w:abstractNum w:abstractNumId="22">
    <w:nsid w:val="5C225032"/>
    <w:multiLevelType w:val="hybridMultilevel"/>
    <w:tmpl w:val="87D8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60805D9E"/>
    <w:multiLevelType w:val="multilevel"/>
    <w:tmpl w:val="AE06BB0E"/>
    <w:name w:val="List_Alphabetical_Level_1"/>
    <w:lvl w:ilvl="0">
      <w:start w:val="1"/>
      <w:numFmt w:val="upperLetter"/>
      <w:lvlRestart w:val="0"/>
      <w:lvlText w:val="%1)"/>
      <w:lvlJc w:val="left"/>
      <w:pPr>
        <w:tabs>
          <w:tab w:val="num" w:pos="720"/>
        </w:tabs>
        <w:ind w:left="720" w:hanging="357"/>
      </w:pPr>
      <w:rPr>
        <w:rFonts w:hint="default"/>
      </w:rPr>
    </w:lvl>
    <w:lvl w:ilvl="1">
      <w:start w:val="1"/>
      <w:numFmt w:val="upperLetter"/>
      <w:lvlText w:val="%2)"/>
      <w:lvlJc w:val="left"/>
      <w:pPr>
        <w:tabs>
          <w:tab w:val="num" w:pos="1083"/>
        </w:tabs>
        <w:ind w:left="1083" w:hanging="363"/>
      </w:pPr>
      <w:rPr>
        <w:rFonts w:hint="default"/>
      </w:rPr>
    </w:lvl>
    <w:lvl w:ilvl="2">
      <w:start w:val="1"/>
      <w:numFmt w:val="upperLetter"/>
      <w:lvlText w:val="%3)"/>
      <w:lvlJc w:val="left"/>
      <w:pPr>
        <w:tabs>
          <w:tab w:val="num" w:pos="1440"/>
        </w:tabs>
        <w:ind w:left="1440" w:hanging="357"/>
      </w:pPr>
      <w:rPr>
        <w:rFonts w:hint="default"/>
      </w:rPr>
    </w:lvl>
    <w:lvl w:ilvl="3">
      <w:start w:val="1"/>
      <w:numFmt w:val="upperLetter"/>
      <w:lvlText w:val="%4)"/>
      <w:lvlJc w:val="left"/>
      <w:pPr>
        <w:tabs>
          <w:tab w:val="num" w:pos="1803"/>
        </w:tabs>
        <w:ind w:left="1803" w:hanging="363"/>
      </w:pPr>
      <w:rPr>
        <w:rFonts w:hint="default"/>
      </w:rPr>
    </w:lvl>
    <w:lvl w:ilvl="4">
      <w:start w:val="1"/>
      <w:numFmt w:val="upperLetter"/>
      <w:lvlText w:val="%5)"/>
      <w:lvlJc w:val="left"/>
      <w:pPr>
        <w:tabs>
          <w:tab w:val="num" w:pos="2160"/>
        </w:tabs>
        <w:ind w:left="2160" w:hanging="357"/>
      </w:pPr>
      <w:rPr>
        <w:rFonts w:hint="default"/>
      </w:rPr>
    </w:lvl>
    <w:lvl w:ilvl="5">
      <w:start w:val="1"/>
      <w:numFmt w:val="upperLetter"/>
      <w:lvlText w:val="%6)"/>
      <w:lvlJc w:val="left"/>
      <w:pPr>
        <w:tabs>
          <w:tab w:val="num" w:pos="2523"/>
        </w:tabs>
        <w:ind w:left="2523" w:hanging="363"/>
      </w:pPr>
      <w:rPr>
        <w:rFonts w:hint="default"/>
      </w:rPr>
    </w:lvl>
    <w:lvl w:ilvl="6">
      <w:start w:val="1"/>
      <w:numFmt w:val="upperLetter"/>
      <w:lvlText w:val="%7)"/>
      <w:lvlJc w:val="left"/>
      <w:pPr>
        <w:tabs>
          <w:tab w:val="num" w:pos="2880"/>
        </w:tabs>
        <w:ind w:left="2880" w:hanging="357"/>
      </w:pPr>
      <w:rPr>
        <w:rFonts w:hint="default"/>
      </w:rPr>
    </w:lvl>
    <w:lvl w:ilvl="7">
      <w:start w:val="1"/>
      <w:numFmt w:val="upperLetter"/>
      <w:lvlText w:val="%8)"/>
      <w:lvlJc w:val="left"/>
      <w:pPr>
        <w:tabs>
          <w:tab w:val="num" w:pos="3243"/>
        </w:tabs>
        <w:ind w:left="3243" w:hanging="363"/>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1CE414F"/>
    <w:multiLevelType w:val="hybridMultilevel"/>
    <w:tmpl w:val="99F61858"/>
    <w:lvl w:ilvl="0" w:tplc="ED465E08">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7D6C59A9"/>
    <w:multiLevelType w:val="multilevel"/>
    <w:tmpl w:val="5B240ADE"/>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7">
    <w:nsid w:val="7FD14CA0"/>
    <w:multiLevelType w:val="multilevel"/>
    <w:tmpl w:val="BF20D5B6"/>
    <w:name w:val="List_Alphabetical_Level_12"/>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lowerRoman"/>
      <w:lvlText w:val="%9."/>
      <w:lvlJc w:val="right"/>
      <w:pPr>
        <w:tabs>
          <w:tab w:val="num" w:pos="1584"/>
        </w:tabs>
        <w:ind w:left="1584" w:hanging="144"/>
      </w:pPr>
    </w:lvl>
  </w:abstractNum>
  <w:num w:numId="1">
    <w:abstractNumId w:val="13"/>
  </w:num>
  <w:num w:numId="2">
    <w:abstractNumId w:val="24"/>
  </w:num>
  <w:num w:numId="3">
    <w:abstractNumId w:val="17"/>
  </w:num>
  <w:num w:numId="4">
    <w:abstractNumId w:val="16"/>
  </w:num>
  <w:num w:numId="5">
    <w:abstractNumId w:val="12"/>
  </w:num>
  <w:num w:numId="6">
    <w:abstractNumId w:val="9"/>
  </w:num>
  <w:num w:numId="7">
    <w:abstractNumId w:val="26"/>
  </w:num>
  <w:num w:numId="8">
    <w:abstractNumId w:val="19"/>
  </w:num>
  <w:num w:numId="9">
    <w:abstractNumId w:val="25"/>
  </w:num>
  <w:num w:numId="10">
    <w:abstractNumId w:val="24"/>
  </w:num>
  <w:num w:numId="11">
    <w:abstractNumId w:val="24"/>
  </w:num>
  <w:num w:numId="12">
    <w:abstractNumId w:val="24"/>
  </w:num>
  <w:num w:numId="13">
    <w:abstractNumId w:val="13"/>
  </w:num>
  <w:num w:numId="14">
    <w:abstractNumId w:val="13"/>
  </w:num>
  <w:num w:numId="15">
    <w:abstractNumId w:val="26"/>
  </w:num>
  <w:num w:numId="16">
    <w:abstractNumId w:val="26"/>
  </w:num>
  <w:num w:numId="17">
    <w:abstractNumId w:val="20"/>
  </w:num>
  <w:num w:numId="18">
    <w:abstractNumId w:val="22"/>
  </w:num>
  <w:num w:numId="19">
    <w:abstractNumId w:val="11"/>
  </w:num>
  <w:num w:numId="20">
    <w:abstractNumId w:val="11"/>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1"/>
  </w:num>
  <w:num w:numId="31">
    <w:abstractNumId w:val="11"/>
  </w:num>
  <w:num w:numId="32">
    <w:abstractNumId w:val="11"/>
  </w:num>
  <w:num w:numId="33">
    <w:abstractNumId w:val="10"/>
  </w:num>
  <w:num w:numId="34">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GB" w:vendorID="64" w:dllVersion="131078" w:nlCheck="1" w:checkStyle="1"/>
  <w:proofState w:spelling="clean"/>
  <w:attachedTemplate r:id="rId1"/>
  <w:stylePaneFormatFilter w:val="3F01"/>
  <w:doNotTrackMoves/>
  <w:defaultTabStop w:val="720"/>
  <w:drawingGridHorizontalSpacing w:val="120"/>
  <w:displayHorizontalDrawingGridEvery w:val="2"/>
  <w:displayVerticalDrawingGridEvery w:val="2"/>
  <w:noPunctuationKerning/>
  <w:characterSpacingControl w:val="doNotCompress"/>
  <w:hdrShapeDefaults>
    <o:shapedefaults v:ext="edit" spidmax="15363"/>
    <o:shapelayout v:ext="edit">
      <o:idmap v:ext="edit" data="15"/>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FlagShowHiddenText" w:val="1"/>
  </w:docVars>
  <w:rsids>
    <w:rsidRoot w:val="004E23E5"/>
    <w:rsid w:val="00001106"/>
    <w:rsid w:val="00007E4B"/>
    <w:rsid w:val="000142D9"/>
    <w:rsid w:val="00016E2A"/>
    <w:rsid w:val="00022D32"/>
    <w:rsid w:val="00027279"/>
    <w:rsid w:val="0003078D"/>
    <w:rsid w:val="00030D54"/>
    <w:rsid w:val="000323A0"/>
    <w:rsid w:val="00032C22"/>
    <w:rsid w:val="000330B3"/>
    <w:rsid w:val="00034469"/>
    <w:rsid w:val="00034828"/>
    <w:rsid w:val="00040B6A"/>
    <w:rsid w:val="00042206"/>
    <w:rsid w:val="00054FF9"/>
    <w:rsid w:val="00056CAC"/>
    <w:rsid w:val="0006330D"/>
    <w:rsid w:val="0007113C"/>
    <w:rsid w:val="000712DE"/>
    <w:rsid w:val="0007157A"/>
    <w:rsid w:val="00073EF7"/>
    <w:rsid w:val="00075B34"/>
    <w:rsid w:val="00080390"/>
    <w:rsid w:val="00082427"/>
    <w:rsid w:val="00093143"/>
    <w:rsid w:val="0009464D"/>
    <w:rsid w:val="00095DDD"/>
    <w:rsid w:val="000A35F7"/>
    <w:rsid w:val="000A51C5"/>
    <w:rsid w:val="000A6497"/>
    <w:rsid w:val="000A724C"/>
    <w:rsid w:val="000B1BE0"/>
    <w:rsid w:val="000B43D9"/>
    <w:rsid w:val="000B694E"/>
    <w:rsid w:val="000B705F"/>
    <w:rsid w:val="000C07F8"/>
    <w:rsid w:val="000C3329"/>
    <w:rsid w:val="000C5FE1"/>
    <w:rsid w:val="000D15D4"/>
    <w:rsid w:val="000D3120"/>
    <w:rsid w:val="000D4769"/>
    <w:rsid w:val="000D586E"/>
    <w:rsid w:val="000D7992"/>
    <w:rsid w:val="000E04CE"/>
    <w:rsid w:val="000E0F75"/>
    <w:rsid w:val="000E1B95"/>
    <w:rsid w:val="000E27AA"/>
    <w:rsid w:val="000E2896"/>
    <w:rsid w:val="000E5FEC"/>
    <w:rsid w:val="000F2AB6"/>
    <w:rsid w:val="000F5830"/>
    <w:rsid w:val="00100E5E"/>
    <w:rsid w:val="00101DCB"/>
    <w:rsid w:val="00121289"/>
    <w:rsid w:val="00126E39"/>
    <w:rsid w:val="001378D3"/>
    <w:rsid w:val="00140A16"/>
    <w:rsid w:val="001431F7"/>
    <w:rsid w:val="00144EF5"/>
    <w:rsid w:val="00152741"/>
    <w:rsid w:val="001557FE"/>
    <w:rsid w:val="00160C4C"/>
    <w:rsid w:val="001622D0"/>
    <w:rsid w:val="00162E3C"/>
    <w:rsid w:val="00162F51"/>
    <w:rsid w:val="0016558C"/>
    <w:rsid w:val="00167FEA"/>
    <w:rsid w:val="001713E0"/>
    <w:rsid w:val="00171F0B"/>
    <w:rsid w:val="00174CE7"/>
    <w:rsid w:val="00184AE5"/>
    <w:rsid w:val="0018589E"/>
    <w:rsid w:val="001959BE"/>
    <w:rsid w:val="0019652D"/>
    <w:rsid w:val="0019780F"/>
    <w:rsid w:val="001A3BE8"/>
    <w:rsid w:val="001A5B24"/>
    <w:rsid w:val="001A7011"/>
    <w:rsid w:val="001B0BA0"/>
    <w:rsid w:val="001B1706"/>
    <w:rsid w:val="001B26B3"/>
    <w:rsid w:val="001B28BD"/>
    <w:rsid w:val="001B5F4F"/>
    <w:rsid w:val="001B623D"/>
    <w:rsid w:val="001C156A"/>
    <w:rsid w:val="001D04C3"/>
    <w:rsid w:val="001D0CAE"/>
    <w:rsid w:val="001D2F25"/>
    <w:rsid w:val="001D6D51"/>
    <w:rsid w:val="001D7399"/>
    <w:rsid w:val="001E0154"/>
    <w:rsid w:val="001E4802"/>
    <w:rsid w:val="001E728E"/>
    <w:rsid w:val="001F0F4B"/>
    <w:rsid w:val="001F198E"/>
    <w:rsid w:val="001F4321"/>
    <w:rsid w:val="00200CE2"/>
    <w:rsid w:val="00201CAC"/>
    <w:rsid w:val="002256AB"/>
    <w:rsid w:val="00225C69"/>
    <w:rsid w:val="00225E5C"/>
    <w:rsid w:val="00225ED7"/>
    <w:rsid w:val="00227414"/>
    <w:rsid w:val="00232126"/>
    <w:rsid w:val="00232A3E"/>
    <w:rsid w:val="00233B92"/>
    <w:rsid w:val="00242996"/>
    <w:rsid w:val="00244401"/>
    <w:rsid w:val="00246817"/>
    <w:rsid w:val="00246B02"/>
    <w:rsid w:val="002520BC"/>
    <w:rsid w:val="00261586"/>
    <w:rsid w:val="00274EA1"/>
    <w:rsid w:val="0027592B"/>
    <w:rsid w:val="0028733D"/>
    <w:rsid w:val="002900E5"/>
    <w:rsid w:val="002911EE"/>
    <w:rsid w:val="00292C37"/>
    <w:rsid w:val="0029490D"/>
    <w:rsid w:val="002961F7"/>
    <w:rsid w:val="002A6C2A"/>
    <w:rsid w:val="002A7AA4"/>
    <w:rsid w:val="002B04B7"/>
    <w:rsid w:val="002B48C6"/>
    <w:rsid w:val="002C0E8A"/>
    <w:rsid w:val="002C5067"/>
    <w:rsid w:val="002C5CEA"/>
    <w:rsid w:val="002C6632"/>
    <w:rsid w:val="002D2E59"/>
    <w:rsid w:val="002D585B"/>
    <w:rsid w:val="002D6A9C"/>
    <w:rsid w:val="002D6BB1"/>
    <w:rsid w:val="002D6BCC"/>
    <w:rsid w:val="002E02A9"/>
    <w:rsid w:val="002E10FC"/>
    <w:rsid w:val="002E176B"/>
    <w:rsid w:val="002E1EB3"/>
    <w:rsid w:val="002E3B8B"/>
    <w:rsid w:val="002E3BF1"/>
    <w:rsid w:val="002E435A"/>
    <w:rsid w:val="002E4E1C"/>
    <w:rsid w:val="002E697C"/>
    <w:rsid w:val="002F231C"/>
    <w:rsid w:val="002F7FEA"/>
    <w:rsid w:val="003020BF"/>
    <w:rsid w:val="00304E45"/>
    <w:rsid w:val="00312031"/>
    <w:rsid w:val="003149F7"/>
    <w:rsid w:val="0031645E"/>
    <w:rsid w:val="00316BF7"/>
    <w:rsid w:val="00323AB2"/>
    <w:rsid w:val="00324815"/>
    <w:rsid w:val="00330184"/>
    <w:rsid w:val="00330D80"/>
    <w:rsid w:val="00331F80"/>
    <w:rsid w:val="00340B86"/>
    <w:rsid w:val="0034755D"/>
    <w:rsid w:val="003519FF"/>
    <w:rsid w:val="0036069F"/>
    <w:rsid w:val="00362F56"/>
    <w:rsid w:val="00365729"/>
    <w:rsid w:val="003671CC"/>
    <w:rsid w:val="00371E80"/>
    <w:rsid w:val="0037280D"/>
    <w:rsid w:val="00373DE6"/>
    <w:rsid w:val="0038084E"/>
    <w:rsid w:val="00383443"/>
    <w:rsid w:val="00385654"/>
    <w:rsid w:val="00390EBC"/>
    <w:rsid w:val="003933F7"/>
    <w:rsid w:val="003965EB"/>
    <w:rsid w:val="003A45FB"/>
    <w:rsid w:val="003A6E8F"/>
    <w:rsid w:val="003B53B3"/>
    <w:rsid w:val="003B6970"/>
    <w:rsid w:val="003C20EE"/>
    <w:rsid w:val="003C5421"/>
    <w:rsid w:val="003C5B1C"/>
    <w:rsid w:val="003C6A32"/>
    <w:rsid w:val="003E166A"/>
    <w:rsid w:val="003E1BFC"/>
    <w:rsid w:val="003E1F32"/>
    <w:rsid w:val="003E3AB2"/>
    <w:rsid w:val="003E4F76"/>
    <w:rsid w:val="003E5835"/>
    <w:rsid w:val="003E5F19"/>
    <w:rsid w:val="003E6D49"/>
    <w:rsid w:val="003E7208"/>
    <w:rsid w:val="003E7CED"/>
    <w:rsid w:val="003F2658"/>
    <w:rsid w:val="003F2CD3"/>
    <w:rsid w:val="003F2D61"/>
    <w:rsid w:val="003F39FB"/>
    <w:rsid w:val="003F3BE5"/>
    <w:rsid w:val="003F3D98"/>
    <w:rsid w:val="003F42D9"/>
    <w:rsid w:val="003F44C6"/>
    <w:rsid w:val="003F5612"/>
    <w:rsid w:val="004000D4"/>
    <w:rsid w:val="00405A1C"/>
    <w:rsid w:val="00410794"/>
    <w:rsid w:val="0041102E"/>
    <w:rsid w:val="004145FA"/>
    <w:rsid w:val="0041692F"/>
    <w:rsid w:val="00416AB8"/>
    <w:rsid w:val="00425E0C"/>
    <w:rsid w:val="004268AB"/>
    <w:rsid w:val="00427E80"/>
    <w:rsid w:val="00440846"/>
    <w:rsid w:val="00441180"/>
    <w:rsid w:val="00447A04"/>
    <w:rsid w:val="00451B62"/>
    <w:rsid w:val="0045225E"/>
    <w:rsid w:val="00454029"/>
    <w:rsid w:val="004553C9"/>
    <w:rsid w:val="00456A66"/>
    <w:rsid w:val="0046179C"/>
    <w:rsid w:val="00470049"/>
    <w:rsid w:val="004736B1"/>
    <w:rsid w:val="00474A87"/>
    <w:rsid w:val="00476F04"/>
    <w:rsid w:val="00477ECE"/>
    <w:rsid w:val="00490F67"/>
    <w:rsid w:val="004922E9"/>
    <w:rsid w:val="00492B96"/>
    <w:rsid w:val="00495EC0"/>
    <w:rsid w:val="00496795"/>
    <w:rsid w:val="004A1A51"/>
    <w:rsid w:val="004A208F"/>
    <w:rsid w:val="004A7A96"/>
    <w:rsid w:val="004B751D"/>
    <w:rsid w:val="004C309F"/>
    <w:rsid w:val="004C51CF"/>
    <w:rsid w:val="004D2EDD"/>
    <w:rsid w:val="004E0CC2"/>
    <w:rsid w:val="004E1EDC"/>
    <w:rsid w:val="004E23E5"/>
    <w:rsid w:val="004E38AB"/>
    <w:rsid w:val="004E7C6E"/>
    <w:rsid w:val="004F0E3D"/>
    <w:rsid w:val="004F36CB"/>
    <w:rsid w:val="005104C0"/>
    <w:rsid w:val="00511DEA"/>
    <w:rsid w:val="00512AF6"/>
    <w:rsid w:val="00517E89"/>
    <w:rsid w:val="00527965"/>
    <w:rsid w:val="00527A91"/>
    <w:rsid w:val="0053186C"/>
    <w:rsid w:val="00532C14"/>
    <w:rsid w:val="00532CAD"/>
    <w:rsid w:val="005335A8"/>
    <w:rsid w:val="00536AC7"/>
    <w:rsid w:val="005415F7"/>
    <w:rsid w:val="00541B67"/>
    <w:rsid w:val="005427B1"/>
    <w:rsid w:val="00543BAB"/>
    <w:rsid w:val="00555B00"/>
    <w:rsid w:val="00557A85"/>
    <w:rsid w:val="005600B2"/>
    <w:rsid w:val="00564997"/>
    <w:rsid w:val="00567881"/>
    <w:rsid w:val="0057627B"/>
    <w:rsid w:val="00586B8F"/>
    <w:rsid w:val="00596BE6"/>
    <w:rsid w:val="005A7F16"/>
    <w:rsid w:val="005B11A3"/>
    <w:rsid w:val="005B134B"/>
    <w:rsid w:val="005B442D"/>
    <w:rsid w:val="005B5D8D"/>
    <w:rsid w:val="005C0076"/>
    <w:rsid w:val="005C1D08"/>
    <w:rsid w:val="005C3820"/>
    <w:rsid w:val="005C4F90"/>
    <w:rsid w:val="005D4913"/>
    <w:rsid w:val="005E044B"/>
    <w:rsid w:val="005E6235"/>
    <w:rsid w:val="006032FC"/>
    <w:rsid w:val="006109B9"/>
    <w:rsid w:val="0061128E"/>
    <w:rsid w:val="00611822"/>
    <w:rsid w:val="00614AEA"/>
    <w:rsid w:val="00615911"/>
    <w:rsid w:val="00615D82"/>
    <w:rsid w:val="00616419"/>
    <w:rsid w:val="006246E4"/>
    <w:rsid w:val="00624EF4"/>
    <w:rsid w:val="00625708"/>
    <w:rsid w:val="00626110"/>
    <w:rsid w:val="00631A69"/>
    <w:rsid w:val="00636303"/>
    <w:rsid w:val="00655995"/>
    <w:rsid w:val="00666E23"/>
    <w:rsid w:val="0067118A"/>
    <w:rsid w:val="006746F8"/>
    <w:rsid w:val="00676F4B"/>
    <w:rsid w:val="006856BD"/>
    <w:rsid w:val="00696FC5"/>
    <w:rsid w:val="006A2318"/>
    <w:rsid w:val="006A5C09"/>
    <w:rsid w:val="006A5EAE"/>
    <w:rsid w:val="006A7BED"/>
    <w:rsid w:val="006B175F"/>
    <w:rsid w:val="006B5C4C"/>
    <w:rsid w:val="006B7498"/>
    <w:rsid w:val="006C1E8E"/>
    <w:rsid w:val="006C2637"/>
    <w:rsid w:val="006C29AE"/>
    <w:rsid w:val="006C7A94"/>
    <w:rsid w:val="006D0B46"/>
    <w:rsid w:val="006D3121"/>
    <w:rsid w:val="006D3836"/>
    <w:rsid w:val="006D3D07"/>
    <w:rsid w:val="006E3007"/>
    <w:rsid w:val="006E33E2"/>
    <w:rsid w:val="006E6251"/>
    <w:rsid w:val="006E7B16"/>
    <w:rsid w:val="006F407C"/>
    <w:rsid w:val="007034CF"/>
    <w:rsid w:val="00705D9E"/>
    <w:rsid w:val="00706A71"/>
    <w:rsid w:val="0070724D"/>
    <w:rsid w:val="00707722"/>
    <w:rsid w:val="00710D9E"/>
    <w:rsid w:val="007111B9"/>
    <w:rsid w:val="00714221"/>
    <w:rsid w:val="00723446"/>
    <w:rsid w:val="0072729D"/>
    <w:rsid w:val="00734323"/>
    <w:rsid w:val="007360FB"/>
    <w:rsid w:val="00756D85"/>
    <w:rsid w:val="007603BE"/>
    <w:rsid w:val="00760B97"/>
    <w:rsid w:val="007635F8"/>
    <w:rsid w:val="00763C6E"/>
    <w:rsid w:val="00767EB9"/>
    <w:rsid w:val="0077075F"/>
    <w:rsid w:val="00770C2B"/>
    <w:rsid w:val="00775F9B"/>
    <w:rsid w:val="00776151"/>
    <w:rsid w:val="00777707"/>
    <w:rsid w:val="00777B4C"/>
    <w:rsid w:val="00780FC3"/>
    <w:rsid w:val="00786E76"/>
    <w:rsid w:val="00787D24"/>
    <w:rsid w:val="00790159"/>
    <w:rsid w:val="007952F1"/>
    <w:rsid w:val="007A409E"/>
    <w:rsid w:val="007A508C"/>
    <w:rsid w:val="007A562C"/>
    <w:rsid w:val="007A75ED"/>
    <w:rsid w:val="007B0E04"/>
    <w:rsid w:val="007B1395"/>
    <w:rsid w:val="007C1C13"/>
    <w:rsid w:val="007C261C"/>
    <w:rsid w:val="007C35E7"/>
    <w:rsid w:val="007C6A7E"/>
    <w:rsid w:val="007C7543"/>
    <w:rsid w:val="007D0082"/>
    <w:rsid w:val="007E37A0"/>
    <w:rsid w:val="007F23A9"/>
    <w:rsid w:val="007F290D"/>
    <w:rsid w:val="007F317A"/>
    <w:rsid w:val="007F7092"/>
    <w:rsid w:val="007F7960"/>
    <w:rsid w:val="008014D6"/>
    <w:rsid w:val="008048CB"/>
    <w:rsid w:val="00804E4C"/>
    <w:rsid w:val="0081107E"/>
    <w:rsid w:val="00811B1F"/>
    <w:rsid w:val="00814424"/>
    <w:rsid w:val="00816FA3"/>
    <w:rsid w:val="00823282"/>
    <w:rsid w:val="008306B8"/>
    <w:rsid w:val="00831104"/>
    <w:rsid w:val="00832FAB"/>
    <w:rsid w:val="00840B10"/>
    <w:rsid w:val="00850179"/>
    <w:rsid w:val="0085167D"/>
    <w:rsid w:val="00851B62"/>
    <w:rsid w:val="008609F3"/>
    <w:rsid w:val="00860F76"/>
    <w:rsid w:val="0086209D"/>
    <w:rsid w:val="008671EC"/>
    <w:rsid w:val="00871CFF"/>
    <w:rsid w:val="008751CE"/>
    <w:rsid w:val="008758FC"/>
    <w:rsid w:val="00883F1E"/>
    <w:rsid w:val="00883F45"/>
    <w:rsid w:val="0088439D"/>
    <w:rsid w:val="0088643B"/>
    <w:rsid w:val="008A22AF"/>
    <w:rsid w:val="008A3EE7"/>
    <w:rsid w:val="008A6A7C"/>
    <w:rsid w:val="008B69D1"/>
    <w:rsid w:val="008C23EB"/>
    <w:rsid w:val="008C3288"/>
    <w:rsid w:val="008C6045"/>
    <w:rsid w:val="008D4028"/>
    <w:rsid w:val="008D45EF"/>
    <w:rsid w:val="008D4A3D"/>
    <w:rsid w:val="008D5E36"/>
    <w:rsid w:val="008E0A71"/>
    <w:rsid w:val="008E11BD"/>
    <w:rsid w:val="008E1761"/>
    <w:rsid w:val="008E3517"/>
    <w:rsid w:val="008E63C2"/>
    <w:rsid w:val="008E6D17"/>
    <w:rsid w:val="008F01C6"/>
    <w:rsid w:val="008F3897"/>
    <w:rsid w:val="008F4E04"/>
    <w:rsid w:val="008F6D15"/>
    <w:rsid w:val="00900C21"/>
    <w:rsid w:val="0091325C"/>
    <w:rsid w:val="00914B23"/>
    <w:rsid w:val="009258A1"/>
    <w:rsid w:val="009312CA"/>
    <w:rsid w:val="00931C2D"/>
    <w:rsid w:val="009331CC"/>
    <w:rsid w:val="00934B61"/>
    <w:rsid w:val="009350CA"/>
    <w:rsid w:val="00935F86"/>
    <w:rsid w:val="00937713"/>
    <w:rsid w:val="00942CD9"/>
    <w:rsid w:val="00942DFB"/>
    <w:rsid w:val="009460A5"/>
    <w:rsid w:val="00946AF0"/>
    <w:rsid w:val="009533A7"/>
    <w:rsid w:val="00953D51"/>
    <w:rsid w:val="00954356"/>
    <w:rsid w:val="00961724"/>
    <w:rsid w:val="00966CC5"/>
    <w:rsid w:val="00971BA3"/>
    <w:rsid w:val="00972189"/>
    <w:rsid w:val="00974C96"/>
    <w:rsid w:val="00975DAE"/>
    <w:rsid w:val="009869DB"/>
    <w:rsid w:val="00993A20"/>
    <w:rsid w:val="00993BE9"/>
    <w:rsid w:val="00995BF0"/>
    <w:rsid w:val="0099632E"/>
    <w:rsid w:val="009977C9"/>
    <w:rsid w:val="009A10D8"/>
    <w:rsid w:val="009A239D"/>
    <w:rsid w:val="009A2777"/>
    <w:rsid w:val="009A2C2A"/>
    <w:rsid w:val="009B1FA1"/>
    <w:rsid w:val="009B27B0"/>
    <w:rsid w:val="009B3244"/>
    <w:rsid w:val="009B3E33"/>
    <w:rsid w:val="009B4273"/>
    <w:rsid w:val="009B7FF6"/>
    <w:rsid w:val="009C1282"/>
    <w:rsid w:val="009C1B66"/>
    <w:rsid w:val="009C1CDC"/>
    <w:rsid w:val="009C33FA"/>
    <w:rsid w:val="009C7DE6"/>
    <w:rsid w:val="009D1688"/>
    <w:rsid w:val="009D4A33"/>
    <w:rsid w:val="009D6885"/>
    <w:rsid w:val="009E2476"/>
    <w:rsid w:val="009E24CA"/>
    <w:rsid w:val="009E498E"/>
    <w:rsid w:val="009E7BBB"/>
    <w:rsid w:val="009F0E64"/>
    <w:rsid w:val="009F2DE0"/>
    <w:rsid w:val="009F7D35"/>
    <w:rsid w:val="00A06EA2"/>
    <w:rsid w:val="00A12573"/>
    <w:rsid w:val="00A12822"/>
    <w:rsid w:val="00A13781"/>
    <w:rsid w:val="00A16F0C"/>
    <w:rsid w:val="00A228C4"/>
    <w:rsid w:val="00A31B62"/>
    <w:rsid w:val="00A404F5"/>
    <w:rsid w:val="00A40B40"/>
    <w:rsid w:val="00A418CB"/>
    <w:rsid w:val="00A426DD"/>
    <w:rsid w:val="00A45E68"/>
    <w:rsid w:val="00A52A57"/>
    <w:rsid w:val="00A56D58"/>
    <w:rsid w:val="00A56F08"/>
    <w:rsid w:val="00A57F6F"/>
    <w:rsid w:val="00A64903"/>
    <w:rsid w:val="00A72DC3"/>
    <w:rsid w:val="00A73105"/>
    <w:rsid w:val="00A76D70"/>
    <w:rsid w:val="00A85FC0"/>
    <w:rsid w:val="00A866C5"/>
    <w:rsid w:val="00A918B7"/>
    <w:rsid w:val="00A941AD"/>
    <w:rsid w:val="00A97316"/>
    <w:rsid w:val="00AA641A"/>
    <w:rsid w:val="00AA7234"/>
    <w:rsid w:val="00AB43B8"/>
    <w:rsid w:val="00AB658A"/>
    <w:rsid w:val="00AC1B27"/>
    <w:rsid w:val="00AC21E9"/>
    <w:rsid w:val="00AC2479"/>
    <w:rsid w:val="00AC3122"/>
    <w:rsid w:val="00AC399F"/>
    <w:rsid w:val="00AC605A"/>
    <w:rsid w:val="00AD67E1"/>
    <w:rsid w:val="00AD6D17"/>
    <w:rsid w:val="00AD721F"/>
    <w:rsid w:val="00AD79F6"/>
    <w:rsid w:val="00AD7FE0"/>
    <w:rsid w:val="00AE1883"/>
    <w:rsid w:val="00AE224E"/>
    <w:rsid w:val="00AF00F4"/>
    <w:rsid w:val="00AF1533"/>
    <w:rsid w:val="00AF1555"/>
    <w:rsid w:val="00AF1A69"/>
    <w:rsid w:val="00AF2076"/>
    <w:rsid w:val="00AF4562"/>
    <w:rsid w:val="00AF64F8"/>
    <w:rsid w:val="00B00CE4"/>
    <w:rsid w:val="00B02FE1"/>
    <w:rsid w:val="00B04F60"/>
    <w:rsid w:val="00B1230F"/>
    <w:rsid w:val="00B162A7"/>
    <w:rsid w:val="00B17FDD"/>
    <w:rsid w:val="00B225BE"/>
    <w:rsid w:val="00B27483"/>
    <w:rsid w:val="00B30D3F"/>
    <w:rsid w:val="00B316C8"/>
    <w:rsid w:val="00B41B2C"/>
    <w:rsid w:val="00B500E3"/>
    <w:rsid w:val="00B50DC3"/>
    <w:rsid w:val="00B527A8"/>
    <w:rsid w:val="00B65CBC"/>
    <w:rsid w:val="00B676B3"/>
    <w:rsid w:val="00B7591A"/>
    <w:rsid w:val="00B80A5D"/>
    <w:rsid w:val="00B84FFB"/>
    <w:rsid w:val="00B90239"/>
    <w:rsid w:val="00B921FD"/>
    <w:rsid w:val="00B95EB8"/>
    <w:rsid w:val="00B96559"/>
    <w:rsid w:val="00BA1B9C"/>
    <w:rsid w:val="00BA3C6B"/>
    <w:rsid w:val="00BA3DF6"/>
    <w:rsid w:val="00BA59B4"/>
    <w:rsid w:val="00BA72CA"/>
    <w:rsid w:val="00BB0F0D"/>
    <w:rsid w:val="00BB39C3"/>
    <w:rsid w:val="00BB5D37"/>
    <w:rsid w:val="00BC037D"/>
    <w:rsid w:val="00BC52A5"/>
    <w:rsid w:val="00BC52AD"/>
    <w:rsid w:val="00BD1930"/>
    <w:rsid w:val="00BD3468"/>
    <w:rsid w:val="00BD634A"/>
    <w:rsid w:val="00BE2AB4"/>
    <w:rsid w:val="00BE38B1"/>
    <w:rsid w:val="00BE51F9"/>
    <w:rsid w:val="00BF4B21"/>
    <w:rsid w:val="00BF61ED"/>
    <w:rsid w:val="00C02580"/>
    <w:rsid w:val="00C029F1"/>
    <w:rsid w:val="00C12CF4"/>
    <w:rsid w:val="00C15C8F"/>
    <w:rsid w:val="00C16BC8"/>
    <w:rsid w:val="00C17E6A"/>
    <w:rsid w:val="00C20215"/>
    <w:rsid w:val="00C2099D"/>
    <w:rsid w:val="00C23E93"/>
    <w:rsid w:val="00C34172"/>
    <w:rsid w:val="00C4211E"/>
    <w:rsid w:val="00C427C7"/>
    <w:rsid w:val="00C4420B"/>
    <w:rsid w:val="00C46F04"/>
    <w:rsid w:val="00C5192F"/>
    <w:rsid w:val="00C52A3D"/>
    <w:rsid w:val="00C56645"/>
    <w:rsid w:val="00C57808"/>
    <w:rsid w:val="00C74FCB"/>
    <w:rsid w:val="00C77A74"/>
    <w:rsid w:val="00C86C80"/>
    <w:rsid w:val="00C918D9"/>
    <w:rsid w:val="00C927C5"/>
    <w:rsid w:val="00C956EF"/>
    <w:rsid w:val="00C95984"/>
    <w:rsid w:val="00CA187B"/>
    <w:rsid w:val="00CA1ED7"/>
    <w:rsid w:val="00CA2BA6"/>
    <w:rsid w:val="00CA6030"/>
    <w:rsid w:val="00CB2616"/>
    <w:rsid w:val="00CB38AE"/>
    <w:rsid w:val="00CB4C23"/>
    <w:rsid w:val="00CC1F91"/>
    <w:rsid w:val="00CC5240"/>
    <w:rsid w:val="00CD1942"/>
    <w:rsid w:val="00CD2E93"/>
    <w:rsid w:val="00CD38F7"/>
    <w:rsid w:val="00CE62EC"/>
    <w:rsid w:val="00CE640C"/>
    <w:rsid w:val="00CF0B06"/>
    <w:rsid w:val="00CF2598"/>
    <w:rsid w:val="00CF55E5"/>
    <w:rsid w:val="00CF7A49"/>
    <w:rsid w:val="00D00380"/>
    <w:rsid w:val="00D00A63"/>
    <w:rsid w:val="00D03C3A"/>
    <w:rsid w:val="00D04113"/>
    <w:rsid w:val="00D0500A"/>
    <w:rsid w:val="00D10EE3"/>
    <w:rsid w:val="00D11113"/>
    <w:rsid w:val="00D16E90"/>
    <w:rsid w:val="00D17FCF"/>
    <w:rsid w:val="00D228F1"/>
    <w:rsid w:val="00D239EE"/>
    <w:rsid w:val="00D2494E"/>
    <w:rsid w:val="00D30882"/>
    <w:rsid w:val="00D31AEC"/>
    <w:rsid w:val="00D324F0"/>
    <w:rsid w:val="00D61D65"/>
    <w:rsid w:val="00D64AE3"/>
    <w:rsid w:val="00D70B55"/>
    <w:rsid w:val="00D70B5F"/>
    <w:rsid w:val="00D70C28"/>
    <w:rsid w:val="00D72986"/>
    <w:rsid w:val="00D732D7"/>
    <w:rsid w:val="00D75022"/>
    <w:rsid w:val="00D7765D"/>
    <w:rsid w:val="00D91794"/>
    <w:rsid w:val="00D930C1"/>
    <w:rsid w:val="00D9641F"/>
    <w:rsid w:val="00DA2976"/>
    <w:rsid w:val="00DB0E40"/>
    <w:rsid w:val="00DC3AF6"/>
    <w:rsid w:val="00DC4B35"/>
    <w:rsid w:val="00DC57DB"/>
    <w:rsid w:val="00DD22F2"/>
    <w:rsid w:val="00DD2BA1"/>
    <w:rsid w:val="00DD3052"/>
    <w:rsid w:val="00DD4D96"/>
    <w:rsid w:val="00DD5081"/>
    <w:rsid w:val="00DD5FD6"/>
    <w:rsid w:val="00DE078E"/>
    <w:rsid w:val="00DE4805"/>
    <w:rsid w:val="00DE4CFB"/>
    <w:rsid w:val="00DE701C"/>
    <w:rsid w:val="00DF1A5A"/>
    <w:rsid w:val="00DF1AB8"/>
    <w:rsid w:val="00E00B02"/>
    <w:rsid w:val="00E067A8"/>
    <w:rsid w:val="00E16AC6"/>
    <w:rsid w:val="00E2762E"/>
    <w:rsid w:val="00E3142E"/>
    <w:rsid w:val="00E317C9"/>
    <w:rsid w:val="00E31C14"/>
    <w:rsid w:val="00E3283D"/>
    <w:rsid w:val="00E34D4E"/>
    <w:rsid w:val="00E350AC"/>
    <w:rsid w:val="00E37C63"/>
    <w:rsid w:val="00E4315B"/>
    <w:rsid w:val="00E448B0"/>
    <w:rsid w:val="00E44C9B"/>
    <w:rsid w:val="00E45505"/>
    <w:rsid w:val="00E50CD0"/>
    <w:rsid w:val="00E50D1E"/>
    <w:rsid w:val="00E63FE8"/>
    <w:rsid w:val="00E66103"/>
    <w:rsid w:val="00E75BA8"/>
    <w:rsid w:val="00E76003"/>
    <w:rsid w:val="00E7658F"/>
    <w:rsid w:val="00E8083F"/>
    <w:rsid w:val="00E81FCA"/>
    <w:rsid w:val="00E84BEE"/>
    <w:rsid w:val="00E8670E"/>
    <w:rsid w:val="00E91AF3"/>
    <w:rsid w:val="00E9260B"/>
    <w:rsid w:val="00E94781"/>
    <w:rsid w:val="00E95347"/>
    <w:rsid w:val="00EA5247"/>
    <w:rsid w:val="00EA5FA0"/>
    <w:rsid w:val="00EA786E"/>
    <w:rsid w:val="00EC6004"/>
    <w:rsid w:val="00ED4F75"/>
    <w:rsid w:val="00EE5868"/>
    <w:rsid w:val="00EE7CE3"/>
    <w:rsid w:val="00EE7F1D"/>
    <w:rsid w:val="00EF1270"/>
    <w:rsid w:val="00EF30E3"/>
    <w:rsid w:val="00EF53EE"/>
    <w:rsid w:val="00EF5A54"/>
    <w:rsid w:val="00F04014"/>
    <w:rsid w:val="00F107A6"/>
    <w:rsid w:val="00F20B54"/>
    <w:rsid w:val="00F25E78"/>
    <w:rsid w:val="00F2728A"/>
    <w:rsid w:val="00F3191C"/>
    <w:rsid w:val="00F3322D"/>
    <w:rsid w:val="00F359B0"/>
    <w:rsid w:val="00F45AA7"/>
    <w:rsid w:val="00F52FB5"/>
    <w:rsid w:val="00F536ED"/>
    <w:rsid w:val="00F63DAE"/>
    <w:rsid w:val="00F64693"/>
    <w:rsid w:val="00F70E6A"/>
    <w:rsid w:val="00F7653D"/>
    <w:rsid w:val="00F8273F"/>
    <w:rsid w:val="00F832E3"/>
    <w:rsid w:val="00F837DD"/>
    <w:rsid w:val="00F856E1"/>
    <w:rsid w:val="00F9044F"/>
    <w:rsid w:val="00FB7C3F"/>
    <w:rsid w:val="00FC30EE"/>
    <w:rsid w:val="00FD1C42"/>
    <w:rsid w:val="00FD64C2"/>
    <w:rsid w:val="00FD6516"/>
    <w:rsid w:val="00FE2A0B"/>
    <w:rsid w:val="00FF3A6D"/>
    <w:rsid w:val="00FF6602"/>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ountry-region"/>
  <w:shapeDefaults>
    <o:shapedefaults v:ext="edit" spidmax="15363"/>
    <o:shapelayout v:ext="edit">
      <o:idmap v:ext="edit" data="1,3,4,5,6,7,8,9,10,11,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4802"/>
    <w:pPr>
      <w:spacing w:before="240"/>
    </w:pPr>
    <w:rPr>
      <w:rFonts w:eastAsia="MS Mincho"/>
      <w:color w:val="000000"/>
      <w:sz w:val="24"/>
      <w:szCs w:val="24"/>
      <w:lang w:val="en-US" w:eastAsia="en-US"/>
    </w:rPr>
  </w:style>
  <w:style w:type="paragraph" w:styleId="Heading1">
    <w:name w:val="heading 1"/>
    <w:next w:val="Normal"/>
    <w:qFormat/>
    <w:locked/>
    <w:rsid w:val="00934B61"/>
    <w:pPr>
      <w:keepNext/>
      <w:pageBreakBefore/>
      <w:numPr>
        <w:numId w:val="19"/>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qFormat/>
    <w:rsid w:val="00934B61"/>
    <w:pPr>
      <w:pageBreakBefore w:val="0"/>
      <w:numPr>
        <w:ilvl w:val="1"/>
      </w:numPr>
      <w:outlineLvl w:val="1"/>
    </w:pPr>
    <w:rPr>
      <w:bCs w:val="0"/>
      <w:iCs/>
      <w:sz w:val="22"/>
      <w:szCs w:val="28"/>
    </w:rPr>
  </w:style>
  <w:style w:type="paragraph" w:styleId="Heading3">
    <w:name w:val="heading 3"/>
    <w:basedOn w:val="Heading1"/>
    <w:next w:val="Normal"/>
    <w:qFormat/>
    <w:rsid w:val="00934B61"/>
    <w:pPr>
      <w:pageBreakBefore w:val="0"/>
      <w:numPr>
        <w:ilvl w:val="2"/>
      </w:numPr>
      <w:spacing w:before="360"/>
      <w:outlineLvl w:val="2"/>
    </w:pPr>
    <w:rPr>
      <w:bCs w:val="0"/>
      <w:caps w:val="0"/>
      <w:sz w:val="22"/>
      <w:szCs w:val="26"/>
    </w:rPr>
  </w:style>
  <w:style w:type="paragraph" w:styleId="Heading4">
    <w:name w:val="heading 4"/>
    <w:basedOn w:val="Heading1"/>
    <w:next w:val="Normal"/>
    <w:qFormat/>
    <w:rsid w:val="00934B61"/>
    <w:pPr>
      <w:pageBreakBefore w:val="0"/>
      <w:numPr>
        <w:ilvl w:val="3"/>
      </w:numPr>
      <w:spacing w:before="360"/>
      <w:outlineLvl w:val="3"/>
    </w:pPr>
    <w:rPr>
      <w:bCs w:val="0"/>
      <w:i/>
      <w:caps w:val="0"/>
      <w:sz w:val="22"/>
      <w:szCs w:val="28"/>
    </w:rPr>
  </w:style>
  <w:style w:type="paragraph" w:styleId="Heading5">
    <w:name w:val="heading 5"/>
    <w:basedOn w:val="Heading1"/>
    <w:next w:val="Normal"/>
    <w:qFormat/>
    <w:rsid w:val="00934B61"/>
    <w:pPr>
      <w:pageBreakBefore w:val="0"/>
      <w:numPr>
        <w:ilvl w:val="4"/>
      </w:numPr>
      <w:spacing w:before="360"/>
      <w:outlineLvl w:val="4"/>
    </w:pPr>
    <w:rPr>
      <w:b w:val="0"/>
      <w:bCs w:val="0"/>
      <w:i/>
      <w:iCs/>
      <w:caps w:val="0"/>
      <w:sz w:val="22"/>
      <w:szCs w:val="26"/>
    </w:rPr>
  </w:style>
  <w:style w:type="paragraph" w:styleId="Heading6">
    <w:name w:val="heading 6"/>
    <w:basedOn w:val="Heading1"/>
    <w:next w:val="Normal"/>
    <w:qFormat/>
    <w:rsid w:val="00934B61"/>
    <w:pPr>
      <w:pageBreakBefore w:val="0"/>
      <w:numPr>
        <w:ilvl w:val="5"/>
      </w:numPr>
      <w:spacing w:before="360"/>
      <w:outlineLvl w:val="5"/>
    </w:pPr>
    <w:rPr>
      <w:b w:val="0"/>
      <w:bCs w:val="0"/>
      <w:caps w:val="0"/>
      <w:sz w:val="22"/>
      <w:szCs w:val="22"/>
    </w:rPr>
  </w:style>
  <w:style w:type="paragraph" w:styleId="Heading7">
    <w:name w:val="heading 7"/>
    <w:basedOn w:val="Heading6"/>
    <w:next w:val="Normal"/>
    <w:qFormat/>
    <w:rsid w:val="00934B61"/>
    <w:pPr>
      <w:numPr>
        <w:ilvl w:val="6"/>
      </w:numPr>
      <w:outlineLvl w:val="6"/>
    </w:pPr>
  </w:style>
  <w:style w:type="paragraph" w:styleId="Heading8">
    <w:name w:val="heading 8"/>
    <w:basedOn w:val="Heading6"/>
    <w:next w:val="Normal"/>
    <w:qFormat/>
    <w:rsid w:val="00934B61"/>
    <w:pPr>
      <w:numPr>
        <w:ilvl w:val="7"/>
      </w:numPr>
      <w:outlineLvl w:val="7"/>
    </w:pPr>
    <w:rPr>
      <w:iCs/>
    </w:rPr>
  </w:style>
  <w:style w:type="paragraph" w:styleId="Heading9">
    <w:name w:val="heading 9"/>
    <w:basedOn w:val="Heading6"/>
    <w:next w:val="Normal"/>
    <w:qFormat/>
    <w:rsid w:val="00934B61"/>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6A5EAE"/>
    <w:pPr>
      <w:tabs>
        <w:tab w:val="left" w:pos="4536"/>
        <w:tab w:val="right" w:pos="9480"/>
      </w:tabs>
    </w:pPr>
    <w:rPr>
      <w:rFonts w:ascii="Arial" w:eastAsia="MS Gothic" w:hAnsi="Arial"/>
      <w:sz w:val="18"/>
      <w:lang w:val="en-US" w:eastAsia="en-US"/>
    </w:rPr>
  </w:style>
  <w:style w:type="paragraph" w:styleId="Footer">
    <w:name w:val="footer"/>
    <w:rsid w:val="006A5EAE"/>
    <w:pPr>
      <w:tabs>
        <w:tab w:val="right" w:pos="9469"/>
      </w:tabs>
    </w:pPr>
    <w:rPr>
      <w:rFonts w:ascii="Arial" w:eastAsia="MS Gothic" w:hAnsi="Arial"/>
      <w:sz w:val="18"/>
      <w:lang w:val="en-US" w:eastAsia="en-US"/>
    </w:rPr>
  </w:style>
  <w:style w:type="paragraph" w:customStyle="1" w:styleId="Heading1NoTOC">
    <w:name w:val="Heading 1 NoTOC"/>
    <w:basedOn w:val="Heading1"/>
    <w:rsid w:val="006A5EAE"/>
    <w:pPr>
      <w:numPr>
        <w:numId w:val="0"/>
      </w:numPr>
      <w:outlineLvl w:val="9"/>
    </w:pPr>
  </w:style>
  <w:style w:type="paragraph" w:styleId="Title">
    <w:name w:val="Title"/>
    <w:next w:val="Normal"/>
    <w:qFormat/>
    <w:rsid w:val="006A5EAE"/>
    <w:pPr>
      <w:keepNext/>
      <w:spacing w:before="600" w:after="480"/>
      <w:jc w:val="center"/>
      <w:outlineLvl w:val="0"/>
    </w:pPr>
    <w:rPr>
      <w:rFonts w:ascii="Arial" w:eastAsia="MS Gothic" w:hAnsi="Arial" w:cs="Arial"/>
      <w:b/>
      <w:bCs/>
      <w:caps/>
      <w:sz w:val="22"/>
      <w:szCs w:val="32"/>
      <w:lang w:val="en-US" w:eastAsia="en-US"/>
    </w:rPr>
  </w:style>
  <w:style w:type="paragraph" w:customStyle="1" w:styleId="TitleNoToc">
    <w:name w:val="Title NoToc"/>
    <w:basedOn w:val="Title"/>
    <w:next w:val="Normal"/>
    <w:rsid w:val="006A5EAE"/>
    <w:pPr>
      <w:outlineLvl w:val="9"/>
    </w:pPr>
  </w:style>
  <w:style w:type="character" w:customStyle="1" w:styleId="InstructionsTextChar">
    <w:name w:val="Instructions Text Char"/>
    <w:link w:val="InstructionsText"/>
    <w:rsid w:val="006A5EAE"/>
    <w:rPr>
      <w:rFonts w:eastAsia="MS Mincho"/>
      <w:color w:val="000000"/>
      <w:sz w:val="24"/>
      <w:szCs w:val="24"/>
      <w:lang w:val="en-US" w:eastAsia="en-US" w:bidi="ar-SA"/>
    </w:rPr>
  </w:style>
  <w:style w:type="paragraph" w:customStyle="1" w:styleId="ListNumbered">
    <w:name w:val="List Numbered"/>
    <w:basedOn w:val="Normal"/>
    <w:rsid w:val="006A5EAE"/>
    <w:pPr>
      <w:tabs>
        <w:tab w:val="num" w:pos="720"/>
      </w:tabs>
      <w:spacing w:before="120"/>
      <w:ind w:left="720" w:hanging="357"/>
    </w:pPr>
  </w:style>
  <w:style w:type="paragraph" w:customStyle="1" w:styleId="ListBulletLevel1">
    <w:name w:val="List Bullet Level 1"/>
    <w:basedOn w:val="Normal"/>
    <w:rsid w:val="006A5EAE"/>
    <w:pPr>
      <w:tabs>
        <w:tab w:val="num" w:pos="720"/>
      </w:tabs>
      <w:spacing w:before="120"/>
      <w:ind w:left="720" w:hanging="357"/>
    </w:pPr>
  </w:style>
  <w:style w:type="paragraph" w:customStyle="1" w:styleId="ListAlphabeticalLevel1">
    <w:name w:val="List Alphabetical Level 1"/>
    <w:basedOn w:val="Normal"/>
    <w:rsid w:val="006A5EAE"/>
    <w:pPr>
      <w:tabs>
        <w:tab w:val="num" w:pos="720"/>
      </w:tabs>
      <w:spacing w:before="120"/>
      <w:ind w:left="720" w:hanging="357"/>
    </w:pPr>
  </w:style>
  <w:style w:type="paragraph" w:styleId="DocumentMap">
    <w:name w:val="Document Map"/>
    <w:basedOn w:val="Normal"/>
    <w:semiHidden/>
    <w:rsid w:val="00383443"/>
    <w:pPr>
      <w:shd w:val="clear" w:color="auto" w:fill="000080"/>
    </w:pPr>
    <w:rPr>
      <w:rFonts w:ascii="Tahoma" w:hAnsi="Tahoma" w:cs="Tahoma"/>
      <w:sz w:val="20"/>
      <w:szCs w:val="20"/>
    </w:rPr>
  </w:style>
  <w:style w:type="paragraph" w:customStyle="1" w:styleId="ListBulletLevel2">
    <w:name w:val="List Bullet Level 2"/>
    <w:basedOn w:val="Normal"/>
    <w:rsid w:val="006A5EAE"/>
    <w:pPr>
      <w:tabs>
        <w:tab w:val="num" w:pos="1083"/>
      </w:tabs>
      <w:spacing w:before="120"/>
      <w:ind w:left="1083" w:hanging="363"/>
    </w:pPr>
    <w:rPr>
      <w:szCs w:val="20"/>
    </w:rPr>
  </w:style>
  <w:style w:type="paragraph" w:styleId="Caption">
    <w:name w:val="caption"/>
    <w:next w:val="Normal"/>
    <w:link w:val="CaptionChar"/>
    <w:qFormat/>
    <w:rsid w:val="006A5EAE"/>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rsid w:val="006A5EAE"/>
    <w:pPr>
      <w:shd w:val="clear" w:color="auto" w:fill="FFCC66"/>
      <w:spacing w:before="40" w:after="40"/>
    </w:pPr>
  </w:style>
  <w:style w:type="character" w:styleId="FootnoteReference">
    <w:name w:val="footnote reference"/>
    <w:rsid w:val="006A5EAE"/>
    <w:rPr>
      <w:rFonts w:ascii="Times New Roman" w:eastAsia="MS Mincho" w:hAnsi="Times New Roman"/>
      <w:color w:val="0000FF"/>
      <w:sz w:val="18"/>
      <w:vertAlign w:val="superscript"/>
    </w:rPr>
  </w:style>
  <w:style w:type="paragraph" w:styleId="FootnoteText">
    <w:name w:val="footnote text"/>
    <w:basedOn w:val="Normal"/>
    <w:rsid w:val="006A5EAE"/>
    <w:pPr>
      <w:spacing w:before="20"/>
      <w:ind w:left="113" w:hanging="113"/>
    </w:pPr>
    <w:rPr>
      <w:sz w:val="22"/>
      <w:szCs w:val="20"/>
    </w:rPr>
  </w:style>
  <w:style w:type="paragraph" w:customStyle="1" w:styleId="Heading1NoNumbering">
    <w:name w:val="Heading 1 NoNumbering"/>
    <w:basedOn w:val="Heading1"/>
    <w:next w:val="Normal"/>
    <w:rsid w:val="006A5EAE"/>
    <w:pPr>
      <w:numPr>
        <w:numId w:val="0"/>
      </w:numPr>
      <w:tabs>
        <w:tab w:val="num" w:pos="0"/>
      </w:tabs>
    </w:pPr>
  </w:style>
  <w:style w:type="paragraph" w:customStyle="1" w:styleId="TblTextCenter">
    <w:name w:val="Tbl Text Center"/>
    <w:basedOn w:val="TblTextLeft"/>
    <w:rsid w:val="006A5EAE"/>
    <w:pPr>
      <w:jc w:val="center"/>
    </w:pPr>
  </w:style>
  <w:style w:type="paragraph" w:customStyle="1" w:styleId="TblTextLeft">
    <w:name w:val="Tbl Text Left"/>
    <w:rsid w:val="006A5EAE"/>
    <w:pPr>
      <w:spacing w:before="60" w:after="60"/>
    </w:pPr>
    <w:rPr>
      <w:rFonts w:ascii="Arial Narrow" w:eastAsia="MS Gothic" w:hAnsi="Arial Narrow"/>
      <w:lang w:val="en-US" w:eastAsia="en-US"/>
    </w:rPr>
  </w:style>
  <w:style w:type="paragraph" w:customStyle="1" w:styleId="TblHeadingLeft">
    <w:name w:val="Tbl Heading Left"/>
    <w:rsid w:val="006A5EAE"/>
    <w:pPr>
      <w:spacing w:before="60" w:after="60"/>
    </w:pPr>
    <w:rPr>
      <w:rFonts w:ascii="Arial" w:eastAsia="MS Gothic" w:hAnsi="Arial" w:cs="Arial"/>
      <w:b/>
      <w:noProof/>
      <w:lang w:val="de-DE" w:eastAsia="en-US"/>
    </w:rPr>
  </w:style>
  <w:style w:type="paragraph" w:customStyle="1" w:styleId="TblFigFootnote">
    <w:name w:val="Tbl Fig Footnote"/>
    <w:rsid w:val="006A5EAE"/>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rsid w:val="006A5EAE"/>
    <w:pPr>
      <w:jc w:val="center"/>
    </w:pPr>
  </w:style>
  <w:style w:type="paragraph" w:customStyle="1" w:styleId="HeaderLandscape">
    <w:name w:val="Header Landscape"/>
    <w:basedOn w:val="Header"/>
    <w:rsid w:val="006A5EAE"/>
    <w:pPr>
      <w:tabs>
        <w:tab w:val="clear" w:pos="4536"/>
        <w:tab w:val="clear" w:pos="9480"/>
        <w:tab w:val="left" w:pos="6804"/>
        <w:tab w:val="right" w:pos="14118"/>
      </w:tabs>
    </w:pPr>
  </w:style>
  <w:style w:type="paragraph" w:customStyle="1" w:styleId="FooterLandscape">
    <w:name w:val="Footer Landscape"/>
    <w:basedOn w:val="Footer"/>
    <w:rsid w:val="006A5EAE"/>
    <w:pPr>
      <w:tabs>
        <w:tab w:val="clear" w:pos="9469"/>
        <w:tab w:val="right" w:pos="14118"/>
      </w:tabs>
    </w:pPr>
  </w:style>
  <w:style w:type="character" w:customStyle="1" w:styleId="TblFigFootnoteReference">
    <w:name w:val="Tbl Fig Footnote Reference"/>
    <w:rsid w:val="006A5EAE"/>
    <w:rPr>
      <w:rFonts w:ascii="Arial Narrow" w:eastAsia="MS Gothic" w:hAnsi="Arial Narrow"/>
      <w:i/>
      <w:dstrike w:val="0"/>
      <w:noProof w:val="0"/>
      <w:position w:val="6"/>
      <w:sz w:val="18"/>
      <w:vertAlign w:val="baseline"/>
      <w:lang w:val="en-US"/>
    </w:rPr>
  </w:style>
  <w:style w:type="paragraph" w:customStyle="1" w:styleId="xCover">
    <w:name w:val="xCover"/>
    <w:rsid w:val="006A5EAE"/>
    <w:pPr>
      <w:spacing w:before="120"/>
    </w:pPr>
    <w:rPr>
      <w:rFonts w:ascii="Arial" w:eastAsia="MS Gothic" w:hAnsi="Arial"/>
      <w:lang w:val="en-US" w:eastAsia="en-US"/>
    </w:rPr>
  </w:style>
  <w:style w:type="paragraph" w:customStyle="1" w:styleId="xCoverAddress">
    <w:name w:val="xCoverAddress"/>
    <w:basedOn w:val="xCover"/>
    <w:rsid w:val="006A5EAE"/>
    <w:pPr>
      <w:spacing w:before="0"/>
    </w:pPr>
  </w:style>
  <w:style w:type="paragraph" w:customStyle="1" w:styleId="xCoverDocType">
    <w:name w:val="xCoverDocType"/>
    <w:basedOn w:val="xCover"/>
    <w:rsid w:val="006A5EAE"/>
    <w:pPr>
      <w:spacing w:before="360"/>
      <w:jc w:val="center"/>
    </w:pPr>
    <w:rPr>
      <w:b/>
      <w:caps/>
      <w:sz w:val="28"/>
    </w:rPr>
  </w:style>
  <w:style w:type="paragraph" w:customStyle="1" w:styleId="xCoverDocTitle">
    <w:name w:val="xCoverDocTitle"/>
    <w:basedOn w:val="xCover"/>
    <w:rsid w:val="006A5EAE"/>
    <w:pPr>
      <w:spacing w:before="240"/>
      <w:jc w:val="center"/>
    </w:pPr>
    <w:rPr>
      <w:b/>
      <w:sz w:val="24"/>
    </w:rPr>
  </w:style>
  <w:style w:type="table" w:styleId="TableGrid">
    <w:name w:val="Table Grid"/>
    <w:basedOn w:val="TableNormal"/>
    <w:rsid w:val="00EE5868"/>
    <w:pPr>
      <w:spacing w:before="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6A5EAE"/>
    <w:rPr>
      <w:sz w:val="22"/>
      <w:szCs w:val="20"/>
    </w:rPr>
  </w:style>
  <w:style w:type="character" w:styleId="EndnoteReference">
    <w:name w:val="endnote reference"/>
    <w:semiHidden/>
    <w:rsid w:val="006A5EAE"/>
    <w:rPr>
      <w:vertAlign w:val="superscript"/>
    </w:rPr>
  </w:style>
  <w:style w:type="paragraph" w:styleId="MacroText">
    <w:name w:val="macro"/>
    <w:semiHidden/>
    <w:rsid w:val="006A5EAE"/>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ableofFigures">
    <w:name w:val="table of figures"/>
    <w:next w:val="Normal"/>
    <w:semiHidden/>
    <w:rsid w:val="006A5EAE"/>
    <w:pPr>
      <w:tabs>
        <w:tab w:val="right" w:leader="dot" w:pos="9468"/>
      </w:tabs>
      <w:spacing w:before="120"/>
    </w:pPr>
    <w:rPr>
      <w:rFonts w:ascii="Arial" w:hAnsi="Arial"/>
      <w:lang w:val="en-US" w:eastAsia="en-US"/>
    </w:rPr>
  </w:style>
  <w:style w:type="paragraph" w:styleId="TableofAuthorities">
    <w:name w:val="table of authorities"/>
    <w:basedOn w:val="Normal"/>
    <w:next w:val="Normal"/>
    <w:semiHidden/>
    <w:rsid w:val="006A5EAE"/>
    <w:pPr>
      <w:ind w:left="240" w:hanging="240"/>
    </w:pPr>
  </w:style>
  <w:style w:type="character" w:styleId="Hyperlink">
    <w:name w:val="Hyperlink"/>
    <w:rsid w:val="006A5EAE"/>
    <w:rPr>
      <w:color w:val="0000FF"/>
      <w:u w:val="single"/>
    </w:rPr>
  </w:style>
  <w:style w:type="paragraph" w:styleId="Bibliography">
    <w:name w:val="Bibliography"/>
    <w:basedOn w:val="Normal"/>
    <w:next w:val="Normal"/>
    <w:rsid w:val="006A5EAE"/>
    <w:pPr>
      <w:ind w:left="357" w:hanging="357"/>
    </w:pPr>
  </w:style>
  <w:style w:type="character" w:customStyle="1" w:styleId="ReplaceText">
    <w:name w:val="Replace Text"/>
    <w:rsid w:val="006A5EAE"/>
    <w:rPr>
      <w:color w:val="FF00FF"/>
    </w:rPr>
  </w:style>
  <w:style w:type="paragraph" w:styleId="TOC1">
    <w:name w:val="toc 1"/>
    <w:next w:val="Normal"/>
    <w:semiHidden/>
    <w:rsid w:val="006A5EAE"/>
    <w:pPr>
      <w:tabs>
        <w:tab w:val="right" w:leader="dot" w:pos="9468"/>
      </w:tabs>
      <w:spacing w:before="240"/>
      <w:ind w:left="851" w:right="567" w:hanging="851"/>
    </w:pPr>
    <w:rPr>
      <w:rFonts w:ascii="Arial" w:hAnsi="Arial"/>
      <w:b/>
      <w:caps/>
      <w:lang w:val="en-US" w:eastAsia="en-US"/>
    </w:rPr>
  </w:style>
  <w:style w:type="paragraph" w:customStyle="1" w:styleId="ListAlphabeticalLevel2">
    <w:name w:val="List Alphabetical Level 2"/>
    <w:basedOn w:val="ListNumbered"/>
    <w:rsid w:val="006A5EAE"/>
    <w:pPr>
      <w:tabs>
        <w:tab w:val="clear" w:pos="720"/>
        <w:tab w:val="num" w:pos="1083"/>
      </w:tabs>
      <w:ind w:left="1083" w:hanging="363"/>
    </w:pPr>
  </w:style>
  <w:style w:type="paragraph" w:styleId="Index1">
    <w:name w:val="index 1"/>
    <w:basedOn w:val="Normal"/>
    <w:next w:val="Normal"/>
    <w:semiHidden/>
    <w:rsid w:val="006A5EAE"/>
    <w:pPr>
      <w:tabs>
        <w:tab w:val="left" w:pos="1701"/>
        <w:tab w:val="left" w:pos="3402"/>
        <w:tab w:val="left" w:pos="5103"/>
      </w:tabs>
      <w:spacing w:before="0"/>
      <w:ind w:left="1701" w:hanging="1701"/>
    </w:pPr>
  </w:style>
  <w:style w:type="paragraph" w:styleId="TOAHeading">
    <w:name w:val="toa heading"/>
    <w:basedOn w:val="Normal"/>
    <w:next w:val="Normal"/>
    <w:semiHidden/>
    <w:rsid w:val="006A5EAE"/>
    <w:pPr>
      <w:spacing w:before="120"/>
    </w:pPr>
    <w:rPr>
      <w:rFonts w:ascii="Arial" w:hAnsi="Arial" w:cs="Arial"/>
      <w:b/>
      <w:bCs/>
    </w:rPr>
  </w:style>
  <w:style w:type="character" w:customStyle="1" w:styleId="Reference">
    <w:name w:val="Reference"/>
    <w:rsid w:val="006A5EAE"/>
    <w:rPr>
      <w:color w:val="0000FF"/>
    </w:rPr>
  </w:style>
  <w:style w:type="paragraph" w:customStyle="1" w:styleId="TblTextbulletedlist">
    <w:name w:val="Tbl Text bulleted list"/>
    <w:basedOn w:val="TblTextLeft"/>
    <w:rsid w:val="006A5EAE"/>
    <w:pPr>
      <w:tabs>
        <w:tab w:val="left" w:pos="216"/>
      </w:tabs>
      <w:spacing w:before="0" w:after="0"/>
      <w:ind w:left="216" w:hanging="216"/>
    </w:pPr>
  </w:style>
  <w:style w:type="paragraph" w:styleId="TOC2">
    <w:name w:val="toc 2"/>
    <w:basedOn w:val="TOC1"/>
    <w:next w:val="Normal"/>
    <w:semiHidden/>
    <w:rsid w:val="006A5EAE"/>
    <w:rPr>
      <w:b w:val="0"/>
    </w:rPr>
  </w:style>
  <w:style w:type="character" w:styleId="PageNumber">
    <w:name w:val="page number"/>
    <w:basedOn w:val="DefaultParagraphFont"/>
    <w:rsid w:val="006A5EAE"/>
  </w:style>
  <w:style w:type="paragraph" w:styleId="ListBullet">
    <w:name w:val="List Bullet"/>
    <w:basedOn w:val="Normal"/>
    <w:rsid w:val="006A5EAE"/>
    <w:pPr>
      <w:tabs>
        <w:tab w:val="num" w:pos="360"/>
      </w:tabs>
      <w:ind w:left="360" w:hanging="360"/>
    </w:pPr>
  </w:style>
  <w:style w:type="paragraph" w:styleId="TOC3">
    <w:name w:val="toc 3"/>
    <w:basedOn w:val="TOC1"/>
    <w:next w:val="Normal"/>
    <w:semiHidden/>
    <w:rsid w:val="006A5EAE"/>
    <w:pPr>
      <w:spacing w:before="120"/>
    </w:pPr>
    <w:rPr>
      <w:b w:val="0"/>
      <w:caps w:val="0"/>
    </w:rPr>
  </w:style>
  <w:style w:type="paragraph" w:styleId="TOC4">
    <w:name w:val="toc 4"/>
    <w:basedOn w:val="TOC1"/>
    <w:next w:val="Normal"/>
    <w:semiHidden/>
    <w:rsid w:val="006A5EAE"/>
    <w:pPr>
      <w:spacing w:before="40"/>
    </w:pPr>
    <w:rPr>
      <w:b w:val="0"/>
      <w:caps w:val="0"/>
      <w:szCs w:val="22"/>
    </w:rPr>
  </w:style>
  <w:style w:type="paragraph" w:styleId="TOC5">
    <w:name w:val="toc 5"/>
    <w:basedOn w:val="TOC1"/>
    <w:next w:val="Normal"/>
    <w:semiHidden/>
    <w:rsid w:val="006A5EAE"/>
    <w:pPr>
      <w:spacing w:before="0"/>
    </w:pPr>
    <w:rPr>
      <w:b w:val="0"/>
      <w:caps w:val="0"/>
    </w:rPr>
  </w:style>
  <w:style w:type="paragraph" w:styleId="TOC6">
    <w:name w:val="toc 6"/>
    <w:basedOn w:val="TOC1"/>
    <w:next w:val="Normal"/>
    <w:semiHidden/>
    <w:rsid w:val="006A5EAE"/>
    <w:pPr>
      <w:spacing w:before="0"/>
    </w:pPr>
    <w:rPr>
      <w:b w:val="0"/>
      <w:caps w:val="0"/>
    </w:rPr>
  </w:style>
  <w:style w:type="paragraph" w:styleId="TOC7">
    <w:name w:val="toc 7"/>
    <w:basedOn w:val="TOC6"/>
    <w:next w:val="Normal"/>
    <w:semiHidden/>
    <w:rsid w:val="006A5EAE"/>
  </w:style>
  <w:style w:type="paragraph" w:styleId="TOC8">
    <w:name w:val="toc 8"/>
    <w:basedOn w:val="TOC6"/>
    <w:next w:val="Normal"/>
    <w:semiHidden/>
    <w:rsid w:val="006A5EAE"/>
  </w:style>
  <w:style w:type="paragraph" w:styleId="TOC9">
    <w:name w:val="toc 9"/>
    <w:basedOn w:val="TOC6"/>
    <w:next w:val="Normal"/>
    <w:semiHidden/>
    <w:rsid w:val="006A5EAE"/>
  </w:style>
  <w:style w:type="character" w:customStyle="1" w:styleId="TblFigFootnoteChar">
    <w:name w:val="Tbl Fig Footnote Char"/>
    <w:rsid w:val="006A5EAE"/>
    <w:rPr>
      <w:rFonts w:ascii="Arial Narrow" w:eastAsia="MS Gothic" w:hAnsi="Arial Narrow"/>
      <w:sz w:val="18"/>
      <w:lang w:val="en-US" w:eastAsia="en-US" w:bidi="ar-SA"/>
    </w:rPr>
  </w:style>
  <w:style w:type="character" w:styleId="FollowedHyperlink">
    <w:name w:val="FollowedHyperlink"/>
    <w:rsid w:val="006A5EAE"/>
    <w:rPr>
      <w:color w:val="800080"/>
      <w:u w:val="single"/>
    </w:rPr>
  </w:style>
  <w:style w:type="character" w:styleId="CommentReference">
    <w:name w:val="annotation reference"/>
    <w:semiHidden/>
    <w:rsid w:val="00DC4B35"/>
    <w:rPr>
      <w:sz w:val="16"/>
      <w:szCs w:val="16"/>
    </w:rPr>
  </w:style>
  <w:style w:type="paragraph" w:styleId="CommentText">
    <w:name w:val="annotation text"/>
    <w:basedOn w:val="Normal"/>
    <w:link w:val="CommentTextChar"/>
    <w:semiHidden/>
    <w:rsid w:val="00DC4B35"/>
    <w:rPr>
      <w:sz w:val="20"/>
      <w:szCs w:val="20"/>
    </w:rPr>
  </w:style>
  <w:style w:type="paragraph" w:styleId="CommentSubject">
    <w:name w:val="annotation subject"/>
    <w:basedOn w:val="CommentText"/>
    <w:next w:val="CommentText"/>
    <w:semiHidden/>
    <w:rsid w:val="00DC4B35"/>
    <w:rPr>
      <w:b/>
      <w:bCs/>
    </w:rPr>
  </w:style>
  <w:style w:type="paragraph" w:styleId="BalloonText">
    <w:name w:val="Balloon Text"/>
    <w:basedOn w:val="Normal"/>
    <w:semiHidden/>
    <w:rsid w:val="00DC4B35"/>
    <w:rPr>
      <w:rFonts w:ascii="Tahoma" w:hAnsi="Tahoma" w:cs="Tahoma"/>
      <w:sz w:val="16"/>
      <w:szCs w:val="16"/>
    </w:rPr>
  </w:style>
  <w:style w:type="character" w:styleId="Strong">
    <w:name w:val="Strong"/>
    <w:qFormat/>
    <w:rsid w:val="00953D51"/>
    <w:rPr>
      <w:b/>
      <w:bCs/>
    </w:rPr>
  </w:style>
  <w:style w:type="character" w:customStyle="1" w:styleId="CommentTextChar">
    <w:name w:val="Comment Text Char"/>
    <w:link w:val="CommentText"/>
    <w:rsid w:val="00DA2976"/>
    <w:rPr>
      <w:rFonts w:eastAsia="MS Mincho"/>
      <w:color w:val="000000"/>
      <w:lang w:val="en-US" w:eastAsia="en-US" w:bidi="ar-SA"/>
    </w:rPr>
  </w:style>
  <w:style w:type="character" w:customStyle="1" w:styleId="CaptionChar">
    <w:name w:val="Caption Char"/>
    <w:link w:val="Caption"/>
    <w:rsid w:val="00126E39"/>
    <w:rPr>
      <w:rFonts w:ascii="Arial" w:eastAsia="MS Gothic" w:hAnsi="Arial" w:cs="Arial"/>
      <w:b/>
      <w:bCs/>
      <w:lang w:val="en-US" w:eastAsia="en-US" w:bidi="ar-SA"/>
    </w:rPr>
  </w:style>
  <w:style w:type="paragraph" w:styleId="ListParagraph">
    <w:name w:val="List Paragraph"/>
    <w:basedOn w:val="Normal"/>
    <w:uiPriority w:val="34"/>
    <w:qFormat/>
    <w:rsid w:val="00330D80"/>
    <w:pPr>
      <w:ind w:left="720"/>
    </w:pPr>
  </w:style>
  <w:style w:type="character" w:customStyle="1" w:styleId="HeaderChar">
    <w:name w:val="Header Char"/>
    <w:basedOn w:val="DefaultParagraphFont"/>
    <w:link w:val="Header"/>
    <w:rsid w:val="004553C9"/>
    <w:rPr>
      <w:rFonts w:ascii="Arial" w:eastAsia="MS Gothic" w:hAnsi="Arial"/>
      <w:sz w:val="18"/>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8309531\My%20Documents\Donnees_Arbe\Templates\sanofi-aventis\Affiliates\Australia\DOMASYS_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DOMASYS_Standard.dot</Template>
  <TotalTime>12</TotalTime>
  <Pages>21</Pages>
  <Words>5741</Words>
  <Characters>32793</Characters>
  <Application>Microsoft Office Word</Application>
  <DocSecurity>0</DocSecurity>
  <Lines>840</Lines>
  <Paragraphs>481</Paragraphs>
  <ScaleCrop>false</ScaleCrop>
  <HeadingPairs>
    <vt:vector size="2" baseType="variant">
      <vt:variant>
        <vt:lpstr>Title</vt:lpstr>
      </vt:variant>
      <vt:variant>
        <vt:i4>1</vt:i4>
      </vt:variant>
    </vt:vector>
  </HeadingPairs>
  <TitlesOfParts>
    <vt:vector size="1" baseType="lpstr">
      <vt:lpstr>DOMASYS Standard</vt:lpstr>
    </vt:vector>
  </TitlesOfParts>
  <Manager/>
  <Company>sanofi-aventis</Company>
  <LinksUpToDate>false</LinksUpToDate>
  <CharactersWithSpaces>38053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Lyxumia injection, solution</dc:title>
  <dc:subject/>
  <dc:creator/>
  <cp:keywords/>
  <cp:lastModifiedBy>Bird, Gail</cp:lastModifiedBy>
  <cp:revision>6</cp:revision>
  <cp:lastPrinted>2013-05-20T01:21:00Z</cp:lastPrinted>
  <dcterms:created xsi:type="dcterms:W3CDTF">2013-08-19T22:07:00Z</dcterms:created>
  <dcterms:modified xsi:type="dcterms:W3CDTF">2013-10-11T06:10:00Z</dcterms:modified>
  <cp:category>Version 1.0 / 17-Oct-2007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PRODUCT INFORMATION</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Code/Study Number</vt:lpwstr>
  </property>
  <property fmtid="{D5CDD505-2E9C-101B-9397-08002B2CF9AE}" pid="6" name="LastRefNum">
    <vt:i4>0</vt:i4>
  </property>
  <property fmtid="{D5CDD505-2E9C-101B-9397-08002B2CF9AE}" pid="7" name="Custom1">
    <vt:lpwstr/>
  </property>
  <property fmtid="{D5CDD505-2E9C-101B-9397-08002B2CF9AE}" pid="8" name="Custom2">
    <vt:lpwstr/>
  </property>
  <property fmtid="{D5CDD505-2E9C-101B-9397-08002B2CF9AE}" pid="9" name="Custom3">
    <vt:lpwstr/>
  </property>
  <property fmtid="{D5CDD505-2E9C-101B-9397-08002B2CF9AE}" pid="10" name="Custom4">
    <vt:lpwstr/>
  </property>
  <property fmtid="{D5CDD505-2E9C-101B-9397-08002B2CF9AE}" pid="11" name="_NewReviewCycle">
    <vt:lpwstr/>
  </property>
</Properties>
</file>