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5DA032" w14:textId="15EC8367" w:rsidR="004B6610" w:rsidRPr="004B6610" w:rsidRDefault="000B56E3" w:rsidP="007A0288">
      <w:pPr>
        <w:pStyle w:val="Header"/>
        <w:tabs>
          <w:tab w:val="right" w:pos="9360"/>
          <w:tab w:val="right" w:pos="14175"/>
        </w:tabs>
        <w:rPr>
          <w:b/>
          <w:noProof/>
        </w:rPr>
      </w:pPr>
      <w:bookmarkStart w:id="0" w:name="_GoBack"/>
      <w:bookmarkEnd w:id="0"/>
      <w:r w:rsidRPr="006645F5">
        <w:rPr>
          <w:rFonts w:ascii="Verdana" w:hAnsi="Verdana" w:cs="Arial"/>
          <w:sz w:val="20"/>
          <w:lang w:val="pt-BR"/>
        </w:rPr>
        <w:tab/>
      </w:r>
      <w:r w:rsidR="004B6610" w:rsidRPr="004B6610">
        <w:rPr>
          <w:b/>
          <w:noProof/>
        </w:rPr>
        <w:t>PRODUCT INFORMATION</w:t>
      </w:r>
    </w:p>
    <w:p w14:paraId="1EDDFB7F" w14:textId="77777777" w:rsidR="000938C3" w:rsidRDefault="000938C3">
      <w:pPr>
        <w:jc w:val="center"/>
        <w:rPr>
          <w:b/>
          <w:noProof/>
        </w:rPr>
      </w:pPr>
    </w:p>
    <w:p w14:paraId="1EDDFB82" w14:textId="329A5270" w:rsidR="000938C3" w:rsidRPr="00214C64" w:rsidRDefault="00A44A2E">
      <w:pPr>
        <w:jc w:val="center"/>
        <w:rPr>
          <w:b/>
          <w:noProof/>
          <w:vertAlign w:val="superscript"/>
        </w:rPr>
      </w:pPr>
      <w:r w:rsidRPr="00A44A2E">
        <w:rPr>
          <w:b/>
          <w:noProof/>
        </w:rPr>
        <w:t>VICTOZA</w:t>
      </w:r>
      <w:r w:rsidRPr="00A44A2E">
        <w:rPr>
          <w:b/>
          <w:noProof/>
          <w:vertAlign w:val="superscript"/>
        </w:rPr>
        <w:t>®</w:t>
      </w:r>
    </w:p>
    <w:p w14:paraId="70FB8C41" w14:textId="77777777" w:rsidR="00270164" w:rsidRPr="00214C64" w:rsidRDefault="00270164">
      <w:pPr>
        <w:jc w:val="center"/>
        <w:rPr>
          <w:noProof/>
        </w:rPr>
      </w:pPr>
    </w:p>
    <w:p w14:paraId="55058970" w14:textId="507667D3" w:rsidR="00A93C5D" w:rsidRDefault="00A93C5D">
      <w:pPr>
        <w:jc w:val="center"/>
        <w:rPr>
          <w:noProof/>
        </w:rPr>
      </w:pPr>
      <w:r w:rsidRPr="00214C64">
        <w:rPr>
          <w:noProof/>
        </w:rPr>
        <w:t>liraglutide</w:t>
      </w:r>
    </w:p>
    <w:p w14:paraId="736E6AC2" w14:textId="77777777" w:rsidR="00B96031" w:rsidRDefault="00B96031">
      <w:pPr>
        <w:jc w:val="center"/>
        <w:rPr>
          <w:noProof/>
        </w:rPr>
      </w:pPr>
    </w:p>
    <w:p w14:paraId="6E02779B" w14:textId="5B38DDE6" w:rsidR="00B96031" w:rsidRPr="00B96031" w:rsidRDefault="00B96031" w:rsidP="00B96031">
      <w:pPr>
        <w:jc w:val="both"/>
        <w:rPr>
          <w:b/>
          <w:noProof/>
        </w:rPr>
      </w:pPr>
      <w:bookmarkStart w:id="1" w:name="_Toc463020834"/>
      <w:r w:rsidRPr="00B96031">
        <w:rPr>
          <w:b/>
        </w:rPr>
        <w:t>NAME OF THE MEDICINE</w:t>
      </w:r>
      <w:bookmarkEnd w:id="1"/>
    </w:p>
    <w:p w14:paraId="1ED4FA0D" w14:textId="77777777" w:rsidR="00A93C5D" w:rsidRDefault="00A93C5D" w:rsidP="00B96031">
      <w:pPr>
        <w:jc w:val="both"/>
        <w:rPr>
          <w:noProof/>
          <w:sz w:val="26"/>
          <w:szCs w:val="26"/>
        </w:rPr>
      </w:pPr>
    </w:p>
    <w:p w14:paraId="2FA5AB41" w14:textId="5C975D12" w:rsidR="00B96031" w:rsidRDefault="00B96031" w:rsidP="00B96031">
      <w:pPr>
        <w:jc w:val="both"/>
        <w:rPr>
          <w:noProof/>
          <w:sz w:val="26"/>
          <w:szCs w:val="26"/>
        </w:rPr>
      </w:pPr>
      <w:proofErr w:type="spellStart"/>
      <w:proofErr w:type="gramStart"/>
      <w:r w:rsidRPr="00107816">
        <w:rPr>
          <w:sz w:val="22"/>
        </w:rPr>
        <w:t>Victoza</w:t>
      </w:r>
      <w:proofErr w:type="spellEnd"/>
      <w:r w:rsidRPr="00107816">
        <w:rPr>
          <w:sz w:val="22"/>
        </w:rPr>
        <w:t xml:space="preserve"> (</w:t>
      </w:r>
      <w:proofErr w:type="spellStart"/>
      <w:r w:rsidRPr="00107816">
        <w:rPr>
          <w:sz w:val="22"/>
        </w:rPr>
        <w:t>liraglutide</w:t>
      </w:r>
      <w:proofErr w:type="spellEnd"/>
      <w:r w:rsidRPr="00107816">
        <w:rPr>
          <w:sz w:val="22"/>
        </w:rPr>
        <w:t xml:space="preserve"> (</w:t>
      </w:r>
      <w:proofErr w:type="spellStart"/>
      <w:r w:rsidRPr="00107816">
        <w:rPr>
          <w:sz w:val="22"/>
        </w:rPr>
        <w:t>rys</w:t>
      </w:r>
      <w:proofErr w:type="spellEnd"/>
      <w:r w:rsidRPr="00107816">
        <w:rPr>
          <w:sz w:val="22"/>
        </w:rPr>
        <w:t xml:space="preserve">)) </w:t>
      </w:r>
      <w:r>
        <w:rPr>
          <w:sz w:val="22"/>
        </w:rPr>
        <w:t xml:space="preserve">6 mg/mL </w:t>
      </w:r>
      <w:r w:rsidRPr="00107816">
        <w:rPr>
          <w:sz w:val="22"/>
        </w:rPr>
        <w:t>solution for injection</w:t>
      </w:r>
      <w:r>
        <w:rPr>
          <w:sz w:val="22"/>
        </w:rPr>
        <w:t xml:space="preserve"> in a pre-filled pen</w:t>
      </w:r>
      <w:r w:rsidRPr="00107816">
        <w:rPr>
          <w:sz w:val="22"/>
        </w:rPr>
        <w:t>.</w:t>
      </w:r>
      <w:proofErr w:type="gramEnd"/>
      <w:r w:rsidRPr="00107816">
        <w:rPr>
          <w:sz w:val="22"/>
        </w:rPr>
        <w:t xml:space="preserve"> </w:t>
      </w:r>
    </w:p>
    <w:p w14:paraId="6A127634" w14:textId="77777777" w:rsidR="00B96031" w:rsidRDefault="00B96031" w:rsidP="00B96031">
      <w:pPr>
        <w:tabs>
          <w:tab w:val="left" w:pos="-1440"/>
          <w:tab w:val="left" w:pos="-720"/>
        </w:tabs>
        <w:jc w:val="both"/>
        <w:rPr>
          <w:sz w:val="22"/>
        </w:rPr>
      </w:pPr>
    </w:p>
    <w:p w14:paraId="593B0BE9" w14:textId="77777777" w:rsidR="00B96031" w:rsidRDefault="00B96031" w:rsidP="00B96031">
      <w:pPr>
        <w:tabs>
          <w:tab w:val="left" w:pos="-1440"/>
          <w:tab w:val="left" w:pos="-720"/>
        </w:tabs>
        <w:jc w:val="both"/>
        <w:rPr>
          <w:sz w:val="22"/>
        </w:rPr>
      </w:pPr>
      <w:proofErr w:type="spellStart"/>
      <w:r>
        <w:rPr>
          <w:sz w:val="22"/>
        </w:rPr>
        <w:t>Liraglutide</w:t>
      </w:r>
      <w:proofErr w:type="spellEnd"/>
      <w:r>
        <w:rPr>
          <w:sz w:val="22"/>
        </w:rPr>
        <w:t xml:space="preserve"> (</w:t>
      </w:r>
      <w:proofErr w:type="spellStart"/>
      <w:r>
        <w:rPr>
          <w:sz w:val="22"/>
        </w:rPr>
        <w:t>rys</w:t>
      </w:r>
      <w:proofErr w:type="spellEnd"/>
      <w:r>
        <w:rPr>
          <w:sz w:val="22"/>
        </w:rPr>
        <w:t>) has the molecular formula C</w:t>
      </w:r>
      <w:r>
        <w:rPr>
          <w:sz w:val="22"/>
          <w:vertAlign w:val="subscript"/>
        </w:rPr>
        <w:t>172</w:t>
      </w:r>
      <w:r>
        <w:rPr>
          <w:sz w:val="22"/>
        </w:rPr>
        <w:t>H</w:t>
      </w:r>
      <w:r>
        <w:rPr>
          <w:sz w:val="22"/>
          <w:vertAlign w:val="subscript"/>
        </w:rPr>
        <w:t>265</w:t>
      </w:r>
      <w:r>
        <w:rPr>
          <w:sz w:val="22"/>
        </w:rPr>
        <w:t>N</w:t>
      </w:r>
      <w:r>
        <w:rPr>
          <w:sz w:val="22"/>
          <w:vertAlign w:val="subscript"/>
        </w:rPr>
        <w:t>43</w:t>
      </w:r>
      <w:r>
        <w:rPr>
          <w:sz w:val="22"/>
        </w:rPr>
        <w:t>O</w:t>
      </w:r>
      <w:r>
        <w:rPr>
          <w:sz w:val="22"/>
          <w:vertAlign w:val="subscript"/>
        </w:rPr>
        <w:t>51</w:t>
      </w:r>
      <w:r>
        <w:rPr>
          <w:sz w:val="22"/>
        </w:rPr>
        <w:t xml:space="preserve"> and a molecular weight of 3751.20 daltons.</w:t>
      </w:r>
    </w:p>
    <w:p w14:paraId="4944C7D4" w14:textId="77777777" w:rsidR="00B96031" w:rsidRDefault="00B96031" w:rsidP="00B96031">
      <w:pPr>
        <w:tabs>
          <w:tab w:val="left" w:pos="-1440"/>
          <w:tab w:val="left" w:pos="-720"/>
        </w:tabs>
        <w:jc w:val="both"/>
        <w:rPr>
          <w:sz w:val="22"/>
        </w:rPr>
      </w:pPr>
    </w:p>
    <w:p w14:paraId="6EB2F637" w14:textId="77777777" w:rsidR="00B96031" w:rsidRDefault="00B96031" w:rsidP="00B96031">
      <w:pPr>
        <w:tabs>
          <w:tab w:val="left" w:pos="-1440"/>
          <w:tab w:val="left" w:pos="-720"/>
        </w:tabs>
        <w:jc w:val="both"/>
        <w:rPr>
          <w:sz w:val="22"/>
        </w:rPr>
      </w:pPr>
      <w:r w:rsidRPr="00C7472A">
        <w:rPr>
          <w:noProof/>
          <w:lang w:val="en-AU" w:eastAsia="en-AU"/>
        </w:rPr>
        <w:drawing>
          <wp:inline distT="0" distB="0" distL="0" distR="0" wp14:anchorId="629C92E4" wp14:editId="2BBC18DC">
            <wp:extent cx="4743450" cy="16478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43450" cy="1647825"/>
                    </a:xfrm>
                    <a:prstGeom prst="rect">
                      <a:avLst/>
                    </a:prstGeom>
                    <a:noFill/>
                    <a:ln>
                      <a:noFill/>
                    </a:ln>
                  </pic:spPr>
                </pic:pic>
              </a:graphicData>
            </a:graphic>
          </wp:inline>
        </w:drawing>
      </w:r>
    </w:p>
    <w:p w14:paraId="01A7A945" w14:textId="77777777" w:rsidR="00B96031" w:rsidRDefault="00B96031" w:rsidP="00B96031">
      <w:pPr>
        <w:jc w:val="both"/>
        <w:rPr>
          <w:noProof/>
          <w:sz w:val="26"/>
          <w:szCs w:val="26"/>
        </w:rPr>
      </w:pPr>
    </w:p>
    <w:p w14:paraId="18156894" w14:textId="37157F7D" w:rsidR="00B96031" w:rsidRDefault="00B96031" w:rsidP="00B96031">
      <w:pPr>
        <w:jc w:val="both"/>
        <w:rPr>
          <w:noProof/>
          <w:sz w:val="26"/>
          <w:szCs w:val="26"/>
        </w:rPr>
      </w:pPr>
      <w:r>
        <w:rPr>
          <w:sz w:val="22"/>
        </w:rPr>
        <w:t>CAS No.: 204656-20-2</w:t>
      </w:r>
    </w:p>
    <w:p w14:paraId="0859A533" w14:textId="77777777" w:rsidR="00B96031" w:rsidRDefault="00B96031" w:rsidP="00B96031">
      <w:pPr>
        <w:jc w:val="both"/>
        <w:rPr>
          <w:noProof/>
          <w:sz w:val="26"/>
          <w:szCs w:val="26"/>
        </w:rPr>
      </w:pPr>
    </w:p>
    <w:p w14:paraId="722353AD" w14:textId="5EC9AAAD" w:rsidR="00B96031" w:rsidRPr="00B96031" w:rsidRDefault="00B96031" w:rsidP="00B96031">
      <w:pPr>
        <w:jc w:val="both"/>
        <w:rPr>
          <w:b/>
          <w:noProof/>
          <w:sz w:val="26"/>
          <w:szCs w:val="26"/>
        </w:rPr>
      </w:pPr>
      <w:bookmarkStart w:id="2" w:name="_Toc463020835"/>
      <w:r w:rsidRPr="00B96031">
        <w:rPr>
          <w:b/>
        </w:rPr>
        <w:t>DESCRIPTION</w:t>
      </w:r>
      <w:bookmarkEnd w:id="2"/>
    </w:p>
    <w:p w14:paraId="504E1A9B" w14:textId="77777777" w:rsidR="00B96031" w:rsidRDefault="00B96031" w:rsidP="00B96031">
      <w:pPr>
        <w:jc w:val="both"/>
        <w:rPr>
          <w:noProof/>
          <w:sz w:val="26"/>
          <w:szCs w:val="26"/>
        </w:rPr>
      </w:pPr>
    </w:p>
    <w:p w14:paraId="79A5951F" w14:textId="1DDCD515" w:rsidR="00B96031" w:rsidRDefault="00B96031" w:rsidP="00B96031">
      <w:pPr>
        <w:jc w:val="both"/>
        <w:rPr>
          <w:sz w:val="22"/>
          <w:szCs w:val="22"/>
        </w:rPr>
      </w:pPr>
      <w:r>
        <w:rPr>
          <w:bCs/>
          <w:sz w:val="22"/>
          <w:szCs w:val="22"/>
        </w:rPr>
        <w:t xml:space="preserve">Victoza contains liraglutide, a human glucagon-like peptide-1 (GLP-1) analogue that binds to and activates the GLP-1 receptor (GLP-1R). </w:t>
      </w:r>
      <w:r>
        <w:rPr>
          <w:sz w:val="22"/>
        </w:rPr>
        <w:t xml:space="preserve">Liraglutide is produced by recombinant DNA technology using </w:t>
      </w:r>
      <w:r>
        <w:rPr>
          <w:i/>
          <w:sz w:val="22"/>
        </w:rPr>
        <w:t>Saccharomyces cerevisiae</w:t>
      </w:r>
      <w:r>
        <w:rPr>
          <w:sz w:val="22"/>
        </w:rPr>
        <w:t xml:space="preserve">.  </w:t>
      </w:r>
      <w:r>
        <w:rPr>
          <w:bCs/>
          <w:sz w:val="22"/>
          <w:szCs w:val="22"/>
        </w:rPr>
        <w:t xml:space="preserve">In liraglutide, the </w:t>
      </w:r>
      <w:r>
        <w:rPr>
          <w:sz w:val="22"/>
          <w:szCs w:val="22"/>
        </w:rPr>
        <w:t xml:space="preserve">lysine at position 34 has been replaced with arginine, and a palmitic acid has been attached via a </w:t>
      </w:r>
      <w:proofErr w:type="spellStart"/>
      <w:r>
        <w:rPr>
          <w:sz w:val="22"/>
          <w:szCs w:val="22"/>
        </w:rPr>
        <w:t>glutamoyl</w:t>
      </w:r>
      <w:proofErr w:type="spellEnd"/>
      <w:r>
        <w:rPr>
          <w:sz w:val="22"/>
          <w:szCs w:val="22"/>
        </w:rPr>
        <w:t xml:space="preserve"> spacer to lysine at position 26.</w:t>
      </w:r>
    </w:p>
    <w:p w14:paraId="3BE73D8D" w14:textId="77777777" w:rsidR="00B96031" w:rsidRDefault="00B96031" w:rsidP="00B96031">
      <w:pPr>
        <w:jc w:val="both"/>
        <w:rPr>
          <w:sz w:val="22"/>
          <w:szCs w:val="22"/>
        </w:rPr>
      </w:pPr>
    </w:p>
    <w:p w14:paraId="31312988" w14:textId="7CD299B2" w:rsidR="00B96031" w:rsidRDefault="00B96031" w:rsidP="00B96031">
      <w:pPr>
        <w:jc w:val="both"/>
        <w:rPr>
          <w:noProof/>
          <w:sz w:val="26"/>
          <w:szCs w:val="26"/>
        </w:rPr>
      </w:pPr>
      <w:r>
        <w:rPr>
          <w:noProof/>
          <w:sz w:val="22"/>
        </w:rPr>
        <w:t>Victoza</w:t>
      </w:r>
      <w:r>
        <w:rPr>
          <w:sz w:val="22"/>
        </w:rPr>
        <w:t xml:space="preserve"> is a sterile, clear, </w:t>
      </w:r>
      <w:proofErr w:type="spellStart"/>
      <w:r>
        <w:rPr>
          <w:sz w:val="22"/>
        </w:rPr>
        <w:t>colourless</w:t>
      </w:r>
      <w:proofErr w:type="spellEnd"/>
      <w:r>
        <w:rPr>
          <w:sz w:val="22"/>
        </w:rPr>
        <w:t xml:space="preserve"> </w:t>
      </w:r>
      <w:r w:rsidRPr="00B50228">
        <w:rPr>
          <w:iCs/>
          <w:sz w:val="22"/>
          <w:lang w:val="da-DK"/>
        </w:rPr>
        <w:t>or almost colourless</w:t>
      </w:r>
      <w:r>
        <w:rPr>
          <w:sz w:val="22"/>
        </w:rPr>
        <w:t xml:space="preserve">, isotonic solution of </w:t>
      </w:r>
      <w:proofErr w:type="spellStart"/>
      <w:r>
        <w:rPr>
          <w:sz w:val="22"/>
        </w:rPr>
        <w:t>liraglutide</w:t>
      </w:r>
      <w:proofErr w:type="spellEnd"/>
      <w:r>
        <w:rPr>
          <w:sz w:val="22"/>
        </w:rPr>
        <w:t xml:space="preserve"> 6 mg/mL (pH=8.15). </w:t>
      </w:r>
      <w:r>
        <w:rPr>
          <w:noProof/>
          <w:sz w:val="22"/>
        </w:rPr>
        <w:t>Victoza</w:t>
      </w:r>
      <w:r>
        <w:rPr>
          <w:sz w:val="22"/>
        </w:rPr>
        <w:t xml:space="preserve"> is a solution for injection </w:t>
      </w:r>
      <w:r w:rsidRPr="00A93C5D">
        <w:rPr>
          <w:iCs/>
          <w:sz w:val="22"/>
          <w:lang w:val="da-DK"/>
        </w:rPr>
        <w:t xml:space="preserve">in </w:t>
      </w:r>
      <w:r>
        <w:rPr>
          <w:iCs/>
          <w:sz w:val="22"/>
          <w:lang w:val="da-DK"/>
        </w:rPr>
        <w:t xml:space="preserve">a </w:t>
      </w:r>
      <w:r w:rsidRPr="00A93C5D">
        <w:rPr>
          <w:iCs/>
          <w:sz w:val="22"/>
          <w:lang w:val="da-DK"/>
        </w:rPr>
        <w:t>pre-filled pen</w:t>
      </w:r>
      <w:r>
        <w:rPr>
          <w:sz w:val="22"/>
        </w:rPr>
        <w:t xml:space="preserve">. One mL of solution contains 6 mg </w:t>
      </w:r>
      <w:r>
        <w:rPr>
          <w:sz w:val="22"/>
          <w:szCs w:val="22"/>
        </w:rPr>
        <w:t xml:space="preserve">salt-free anhydrous liraglutide. </w:t>
      </w:r>
      <w:r w:rsidRPr="00A93C5D">
        <w:rPr>
          <w:iCs/>
          <w:sz w:val="22"/>
          <w:szCs w:val="22"/>
          <w:lang w:val="da-DK"/>
        </w:rPr>
        <w:t>One pre-filled pen co</w:t>
      </w:r>
      <w:r>
        <w:rPr>
          <w:iCs/>
          <w:sz w:val="22"/>
          <w:szCs w:val="22"/>
          <w:lang w:val="da-DK"/>
        </w:rPr>
        <w:t>ntains 18 mg liraglutide in 3 mL</w:t>
      </w:r>
      <w:r w:rsidRPr="00A93C5D">
        <w:rPr>
          <w:iCs/>
          <w:sz w:val="22"/>
          <w:szCs w:val="22"/>
          <w:lang w:val="da-DK"/>
        </w:rPr>
        <w:t>.</w:t>
      </w:r>
    </w:p>
    <w:p w14:paraId="6056C424" w14:textId="77777777" w:rsidR="00B96031" w:rsidRDefault="00B96031" w:rsidP="00B96031">
      <w:pPr>
        <w:jc w:val="both"/>
        <w:rPr>
          <w:noProof/>
          <w:sz w:val="26"/>
          <w:szCs w:val="26"/>
        </w:rPr>
      </w:pPr>
    </w:p>
    <w:p w14:paraId="7BAF78E8" w14:textId="2EB3E39F" w:rsidR="00B96031" w:rsidRDefault="00B96031" w:rsidP="00B96031">
      <w:pPr>
        <w:jc w:val="both"/>
        <w:rPr>
          <w:noProof/>
          <w:sz w:val="26"/>
          <w:szCs w:val="26"/>
        </w:rPr>
      </w:pPr>
      <w:r>
        <w:rPr>
          <w:sz w:val="22"/>
        </w:rPr>
        <w:t xml:space="preserve">Each mL of </w:t>
      </w:r>
      <w:r>
        <w:rPr>
          <w:noProof/>
          <w:sz w:val="22"/>
        </w:rPr>
        <w:t xml:space="preserve">Victoza also contains the following inactive ingredients: 1.42 mg </w:t>
      </w:r>
      <w:r>
        <w:rPr>
          <w:sz w:val="22"/>
        </w:rPr>
        <w:t>dibasic sodium phosphate dihydrate,</w:t>
      </w:r>
      <w:r>
        <w:rPr>
          <w:noProof/>
          <w:sz w:val="22"/>
        </w:rPr>
        <w:t xml:space="preserve"> 14.0 mg propylene glycol, 5.5 mg phenol, hydrochloric acid q.s., sodium hydroxide q.s. and water for injections to 1 mL.</w:t>
      </w:r>
    </w:p>
    <w:p w14:paraId="15BE68B3" w14:textId="77777777" w:rsidR="00B96031" w:rsidRDefault="00B96031" w:rsidP="00B96031">
      <w:pPr>
        <w:jc w:val="both"/>
        <w:rPr>
          <w:noProof/>
          <w:sz w:val="26"/>
          <w:szCs w:val="26"/>
        </w:rPr>
      </w:pPr>
    </w:p>
    <w:p w14:paraId="46300F65" w14:textId="173D6B85" w:rsidR="00B96031" w:rsidRDefault="00B96031" w:rsidP="00B96031">
      <w:pPr>
        <w:jc w:val="both"/>
        <w:rPr>
          <w:noProof/>
          <w:sz w:val="26"/>
          <w:szCs w:val="26"/>
        </w:rPr>
      </w:pPr>
      <w:r>
        <w:rPr>
          <w:b/>
        </w:rPr>
        <w:t>PHARMACOLOGY</w:t>
      </w:r>
    </w:p>
    <w:p w14:paraId="3CCB7E38" w14:textId="77777777" w:rsidR="00B96031" w:rsidRDefault="00B96031" w:rsidP="00B96031">
      <w:pPr>
        <w:jc w:val="both"/>
        <w:rPr>
          <w:noProof/>
          <w:sz w:val="26"/>
          <w:szCs w:val="26"/>
        </w:rPr>
      </w:pPr>
    </w:p>
    <w:p w14:paraId="0581A42B" w14:textId="77777777" w:rsidR="00B96031" w:rsidRPr="006E4E50" w:rsidRDefault="00B96031" w:rsidP="00B96031">
      <w:pPr>
        <w:pStyle w:val="Heading4"/>
        <w:rPr>
          <w:b/>
          <w:i w:val="0"/>
          <w:sz w:val="22"/>
          <w:szCs w:val="22"/>
          <w:u w:val="single"/>
        </w:rPr>
      </w:pPr>
      <w:r w:rsidRPr="006E4E50">
        <w:rPr>
          <w:b/>
          <w:i w:val="0"/>
          <w:sz w:val="22"/>
          <w:szCs w:val="22"/>
          <w:u w:val="single"/>
        </w:rPr>
        <w:t>Mechanism of action</w:t>
      </w:r>
    </w:p>
    <w:p w14:paraId="5983ACF5" w14:textId="77777777" w:rsidR="00B96031" w:rsidRPr="007D2EB5" w:rsidRDefault="00B96031" w:rsidP="00B96031">
      <w:pPr>
        <w:tabs>
          <w:tab w:val="left" w:pos="-1440"/>
          <w:tab w:val="left" w:pos="-720"/>
        </w:tabs>
        <w:jc w:val="both"/>
        <w:rPr>
          <w:bCs/>
          <w:sz w:val="22"/>
          <w:szCs w:val="22"/>
        </w:rPr>
      </w:pPr>
      <w:r w:rsidRPr="007D2EB5">
        <w:rPr>
          <w:bCs/>
          <w:sz w:val="22"/>
          <w:szCs w:val="22"/>
        </w:rPr>
        <w:t>The GLP-1 receptor is the target for native GLP-1, an endogenous incretin hormone that potentiates glucose-dependent insulin secretion from the pancreatic beta cells. Liraglutide exhibits 97% homology to human GLP-1.</w:t>
      </w:r>
    </w:p>
    <w:p w14:paraId="2B8F1AB5" w14:textId="77777777" w:rsidR="00B96031" w:rsidRPr="007D2EB5" w:rsidRDefault="00B96031" w:rsidP="00B96031">
      <w:pPr>
        <w:tabs>
          <w:tab w:val="left" w:pos="-1440"/>
          <w:tab w:val="left" w:pos="-720"/>
        </w:tabs>
        <w:jc w:val="both"/>
        <w:rPr>
          <w:bCs/>
          <w:sz w:val="22"/>
          <w:szCs w:val="22"/>
        </w:rPr>
      </w:pPr>
    </w:p>
    <w:p w14:paraId="65B5ECBA" w14:textId="2C005438" w:rsidR="00B96031" w:rsidRDefault="00B96031" w:rsidP="00B96031">
      <w:pPr>
        <w:jc w:val="both"/>
        <w:rPr>
          <w:bCs/>
          <w:sz w:val="22"/>
          <w:szCs w:val="22"/>
        </w:rPr>
      </w:pPr>
      <w:r w:rsidRPr="007D2EB5">
        <w:rPr>
          <w:bCs/>
          <w:sz w:val="22"/>
          <w:szCs w:val="22"/>
        </w:rPr>
        <w:t xml:space="preserve">Unlike native GLP-1, liraglutide has a pharmacokinetic and pharmacodynamic profile in </w:t>
      </w:r>
      <w:proofErr w:type="gramStart"/>
      <w:r w:rsidRPr="007D2EB5">
        <w:rPr>
          <w:bCs/>
          <w:sz w:val="22"/>
          <w:szCs w:val="22"/>
        </w:rPr>
        <w:t>humans</w:t>
      </w:r>
      <w:proofErr w:type="gramEnd"/>
      <w:r w:rsidRPr="007D2EB5">
        <w:rPr>
          <w:bCs/>
          <w:sz w:val="22"/>
          <w:szCs w:val="22"/>
        </w:rPr>
        <w:t xml:space="preserve"> suitable for once daily administration.</w:t>
      </w:r>
      <w:r w:rsidRPr="007D2EB5">
        <w:rPr>
          <w:sz w:val="22"/>
          <w:szCs w:val="22"/>
        </w:rPr>
        <w:t xml:space="preserve"> </w:t>
      </w:r>
      <w:r w:rsidRPr="007D2EB5">
        <w:rPr>
          <w:bCs/>
          <w:sz w:val="22"/>
          <w:szCs w:val="22"/>
        </w:rPr>
        <w:t xml:space="preserve">Following subcutaneous administration, the protracted action profile is based on three mechanisms: self-association (which results in slow absorption), binding to albumin, and enzymatic stability towards the dipeptidyl peptidase (DPP-IV) and neutral endopeptidase (NEP) enzymes, resulting in a long plasma half-life. </w:t>
      </w:r>
    </w:p>
    <w:p w14:paraId="23ABA03E" w14:textId="77777777" w:rsidR="00B96031" w:rsidRDefault="00B96031" w:rsidP="00B96031">
      <w:pPr>
        <w:jc w:val="both"/>
        <w:rPr>
          <w:bCs/>
          <w:sz w:val="22"/>
          <w:szCs w:val="22"/>
        </w:rPr>
      </w:pPr>
    </w:p>
    <w:p w14:paraId="6571A5E9" w14:textId="77777777" w:rsidR="00B96031" w:rsidRPr="007D2EB5" w:rsidRDefault="00B96031" w:rsidP="00B96031">
      <w:pPr>
        <w:jc w:val="both"/>
        <w:rPr>
          <w:bCs/>
          <w:sz w:val="22"/>
          <w:szCs w:val="22"/>
        </w:rPr>
      </w:pPr>
      <w:r w:rsidRPr="007D2EB5">
        <w:rPr>
          <w:bCs/>
          <w:sz w:val="22"/>
          <w:szCs w:val="22"/>
        </w:rPr>
        <w:lastRenderedPageBreak/>
        <w:t xml:space="preserve">Liraglutide </w:t>
      </w:r>
      <w:r w:rsidRPr="007D2EB5">
        <w:rPr>
          <w:sz w:val="22"/>
          <w:szCs w:val="22"/>
        </w:rPr>
        <w:t>action is mediated</w:t>
      </w:r>
      <w:r w:rsidRPr="007D2EB5">
        <w:rPr>
          <w:bCs/>
          <w:sz w:val="22"/>
          <w:szCs w:val="22"/>
        </w:rPr>
        <w:t xml:space="preserve"> via a specific interaction with GLP-1 receptors, leading to an increase in cyclic adenosine monophosphate (</w:t>
      </w:r>
      <w:proofErr w:type="spellStart"/>
      <w:r w:rsidRPr="007D2EB5">
        <w:rPr>
          <w:bCs/>
          <w:sz w:val="22"/>
          <w:szCs w:val="22"/>
        </w:rPr>
        <w:t>cAMP</w:t>
      </w:r>
      <w:proofErr w:type="spellEnd"/>
      <w:r w:rsidRPr="007D2EB5">
        <w:rPr>
          <w:bCs/>
          <w:sz w:val="22"/>
          <w:szCs w:val="22"/>
        </w:rPr>
        <w:t xml:space="preserve">). Liraglutide stimulates insulin secretion in a glucose-dependent manner and improves beta-cell function. Simultaneously, liraglutide lowers inappropriately high glucagon secretion, also in a glucose-dependent manner. Thus, when blood glucose is high, insulin secretion is stimulated and glucagon secretion is inhibited. Conversely, during </w:t>
      </w:r>
      <w:proofErr w:type="spellStart"/>
      <w:r w:rsidRPr="007D2EB5">
        <w:rPr>
          <w:bCs/>
          <w:sz w:val="22"/>
          <w:szCs w:val="22"/>
        </w:rPr>
        <w:t>hypoglycaemia</w:t>
      </w:r>
      <w:proofErr w:type="spellEnd"/>
      <w:r w:rsidRPr="007D2EB5">
        <w:rPr>
          <w:bCs/>
          <w:sz w:val="22"/>
          <w:szCs w:val="22"/>
        </w:rPr>
        <w:t xml:space="preserve"> </w:t>
      </w:r>
      <w:proofErr w:type="spellStart"/>
      <w:r w:rsidRPr="007D2EB5">
        <w:rPr>
          <w:bCs/>
          <w:sz w:val="22"/>
          <w:szCs w:val="22"/>
        </w:rPr>
        <w:t>liraglutide</w:t>
      </w:r>
      <w:proofErr w:type="spellEnd"/>
      <w:r w:rsidRPr="007D2EB5">
        <w:rPr>
          <w:bCs/>
          <w:sz w:val="22"/>
          <w:szCs w:val="22"/>
        </w:rPr>
        <w:t xml:space="preserve"> diminishes insulin secretion and does not impair glucagon secretion.</w:t>
      </w:r>
    </w:p>
    <w:p w14:paraId="0A2F3156" w14:textId="77777777" w:rsidR="00B96031" w:rsidRDefault="00B96031" w:rsidP="00B96031">
      <w:pPr>
        <w:jc w:val="both"/>
        <w:rPr>
          <w:noProof/>
          <w:sz w:val="26"/>
          <w:szCs w:val="26"/>
        </w:rPr>
      </w:pPr>
    </w:p>
    <w:p w14:paraId="53F6D9E6" w14:textId="0E740D56" w:rsidR="00B96031" w:rsidRDefault="00B96031" w:rsidP="00B96031">
      <w:pPr>
        <w:jc w:val="both"/>
        <w:rPr>
          <w:bCs/>
          <w:sz w:val="22"/>
          <w:szCs w:val="22"/>
        </w:rPr>
      </w:pPr>
      <w:r w:rsidRPr="007D2EB5">
        <w:rPr>
          <w:bCs/>
          <w:sz w:val="22"/>
          <w:szCs w:val="22"/>
        </w:rPr>
        <w:t xml:space="preserve">The mechanism of blood glucose lowering also may involve a minor delay in gastric emptying (see INTERACTIONS WITH OTHER MEDICINES). </w:t>
      </w:r>
    </w:p>
    <w:p w14:paraId="15304C6D" w14:textId="77777777" w:rsidR="00B96031" w:rsidRDefault="00B96031" w:rsidP="00B96031">
      <w:pPr>
        <w:jc w:val="both"/>
        <w:rPr>
          <w:bCs/>
          <w:sz w:val="22"/>
          <w:szCs w:val="22"/>
        </w:rPr>
      </w:pPr>
    </w:p>
    <w:p w14:paraId="78F09D34" w14:textId="5963CC5B" w:rsidR="00B96031" w:rsidRDefault="00B96031" w:rsidP="00B96031">
      <w:pPr>
        <w:jc w:val="both"/>
        <w:rPr>
          <w:sz w:val="22"/>
          <w:szCs w:val="22"/>
          <w:lang w:val="en-AU" w:eastAsia="en-AU"/>
        </w:rPr>
      </w:pPr>
      <w:r w:rsidRPr="007D2EB5">
        <w:rPr>
          <w:sz w:val="22"/>
          <w:szCs w:val="22"/>
          <w:lang w:val="en-AU" w:eastAsia="en-AU"/>
        </w:rPr>
        <w:t>Liraglutide has shown anti</w:t>
      </w:r>
      <w:r w:rsidRPr="007D2EB5">
        <w:rPr>
          <w:rFonts w:ascii="Cambria Math" w:hAnsi="Cambria Math" w:cs="Cambria Math"/>
          <w:sz w:val="22"/>
          <w:szCs w:val="22"/>
          <w:lang w:val="en-AU" w:eastAsia="en-AU"/>
        </w:rPr>
        <w:t>‐</w:t>
      </w:r>
      <w:r w:rsidRPr="007D2EB5">
        <w:rPr>
          <w:sz w:val="22"/>
          <w:szCs w:val="22"/>
          <w:lang w:val="en-AU" w:eastAsia="en-AU"/>
        </w:rPr>
        <w:t>hyperglycaemic efficacy in animal models of pre</w:t>
      </w:r>
      <w:r w:rsidRPr="007D2EB5">
        <w:rPr>
          <w:rFonts w:ascii="Cambria Math" w:hAnsi="Cambria Math" w:cs="Cambria Math"/>
          <w:sz w:val="22"/>
          <w:szCs w:val="22"/>
          <w:lang w:val="en-AU" w:eastAsia="en-AU"/>
        </w:rPr>
        <w:t>‐</w:t>
      </w:r>
      <w:r w:rsidRPr="007D2EB5">
        <w:rPr>
          <w:sz w:val="22"/>
          <w:szCs w:val="22"/>
          <w:lang w:val="en-AU" w:eastAsia="en-AU"/>
        </w:rPr>
        <w:t xml:space="preserve">diabetes. Liraglutide has been shown </w:t>
      </w:r>
      <w:r w:rsidRPr="007D2EB5">
        <w:rPr>
          <w:i/>
          <w:iCs/>
          <w:sz w:val="22"/>
          <w:szCs w:val="22"/>
          <w:lang w:val="en-AU" w:eastAsia="en-AU"/>
        </w:rPr>
        <w:t xml:space="preserve">in vitro </w:t>
      </w:r>
      <w:r w:rsidRPr="007D2EB5">
        <w:rPr>
          <w:sz w:val="22"/>
          <w:szCs w:val="22"/>
          <w:lang w:val="en-AU" w:eastAsia="en-AU"/>
        </w:rPr>
        <w:t>to stimulate beta</w:t>
      </w:r>
      <w:r w:rsidRPr="007D2EB5">
        <w:rPr>
          <w:rFonts w:ascii="Cambria Math" w:hAnsi="Cambria Math" w:cs="Cambria Math"/>
          <w:sz w:val="22"/>
          <w:szCs w:val="22"/>
          <w:lang w:val="en-AU" w:eastAsia="en-AU"/>
        </w:rPr>
        <w:t>‐</w:t>
      </w:r>
      <w:r w:rsidRPr="007D2EB5">
        <w:rPr>
          <w:sz w:val="22"/>
          <w:szCs w:val="22"/>
          <w:lang w:val="en-AU" w:eastAsia="en-AU"/>
        </w:rPr>
        <w:t>cell proliferation and prevent both cytokine and free fatty acid induced beta</w:t>
      </w:r>
      <w:r w:rsidRPr="007D2EB5">
        <w:rPr>
          <w:rFonts w:ascii="Cambria Math" w:hAnsi="Cambria Math" w:cs="Cambria Math"/>
          <w:sz w:val="22"/>
          <w:szCs w:val="22"/>
          <w:lang w:val="en-AU" w:eastAsia="en-AU"/>
        </w:rPr>
        <w:t>‐</w:t>
      </w:r>
      <w:r w:rsidRPr="007D2EB5">
        <w:rPr>
          <w:sz w:val="22"/>
          <w:szCs w:val="22"/>
          <w:lang w:val="en-AU" w:eastAsia="en-AU"/>
        </w:rPr>
        <w:t xml:space="preserve">cell death (apoptosis). </w:t>
      </w:r>
      <w:r w:rsidRPr="007D2EB5">
        <w:rPr>
          <w:i/>
          <w:iCs/>
          <w:sz w:val="22"/>
          <w:szCs w:val="22"/>
          <w:lang w:val="en-AU" w:eastAsia="en-AU"/>
        </w:rPr>
        <w:t>In vivo</w:t>
      </w:r>
      <w:r w:rsidRPr="007D2EB5">
        <w:rPr>
          <w:sz w:val="22"/>
          <w:szCs w:val="22"/>
          <w:lang w:val="en-AU" w:eastAsia="en-AU"/>
        </w:rPr>
        <w:t>, liraglutide increases insulin biosynthesis, and beta</w:t>
      </w:r>
      <w:r w:rsidRPr="007D2EB5">
        <w:rPr>
          <w:rFonts w:ascii="Cambria Math" w:hAnsi="Cambria Math" w:cs="Cambria Math"/>
          <w:sz w:val="22"/>
          <w:szCs w:val="22"/>
          <w:lang w:val="en-AU" w:eastAsia="en-AU"/>
        </w:rPr>
        <w:t>‐</w:t>
      </w:r>
      <w:r w:rsidRPr="007D2EB5">
        <w:rPr>
          <w:sz w:val="22"/>
          <w:szCs w:val="22"/>
          <w:lang w:val="en-AU" w:eastAsia="en-AU"/>
        </w:rPr>
        <w:t>cell mass in diabetic animal models. The relevance of this to humans is not known. When hyperglycaemia is fully normalised, in animal studies, liraglutide does not increase beta</w:t>
      </w:r>
      <w:r w:rsidRPr="007D2EB5">
        <w:rPr>
          <w:rFonts w:ascii="Cambria Math" w:hAnsi="Cambria Math" w:cs="Cambria Math"/>
          <w:sz w:val="22"/>
          <w:szCs w:val="22"/>
          <w:lang w:val="en-AU" w:eastAsia="en-AU"/>
        </w:rPr>
        <w:t>‐</w:t>
      </w:r>
      <w:r w:rsidRPr="007D2EB5">
        <w:rPr>
          <w:sz w:val="22"/>
          <w:szCs w:val="22"/>
          <w:lang w:val="en-AU" w:eastAsia="en-AU"/>
        </w:rPr>
        <w:t>cell mass.</w:t>
      </w:r>
    </w:p>
    <w:p w14:paraId="08A8D41E" w14:textId="77777777" w:rsidR="003B6B3A" w:rsidRDefault="003B6B3A" w:rsidP="00B96031">
      <w:pPr>
        <w:jc w:val="both"/>
        <w:rPr>
          <w:sz w:val="22"/>
          <w:szCs w:val="22"/>
          <w:lang w:val="en-AU" w:eastAsia="en-AU"/>
        </w:rPr>
      </w:pPr>
    </w:p>
    <w:p w14:paraId="4FDE2C55" w14:textId="6D6E8DC2" w:rsidR="003B6B3A" w:rsidRDefault="003B6B3A" w:rsidP="00B96031">
      <w:pPr>
        <w:jc w:val="both"/>
        <w:rPr>
          <w:bCs/>
          <w:iCs/>
          <w:sz w:val="22"/>
          <w:szCs w:val="22"/>
          <w:lang w:val="en-AU" w:eastAsia="en-AU"/>
        </w:rPr>
      </w:pPr>
      <w:r w:rsidRPr="003B6B3A">
        <w:rPr>
          <w:bCs/>
          <w:iCs/>
          <w:sz w:val="22"/>
          <w:szCs w:val="22"/>
          <w:lang w:val="en-AU" w:eastAsia="en-AU"/>
        </w:rPr>
        <w:t xml:space="preserve">GLP-1 is a physiological regulator of appetite and food intake and GLP-1R is present in several areas of the brain involved in appetite regulation as well as the intestine. In animal studies, peripheral administration of liraglutide led to uptake in specific brain regions including the hypothalamus, where liraglutide, via specific activation of the GLP-1R, increased key satiety and decreased key hunger signals. Transient inhibition of gastric emptying was also observed. Liraglutide lowers body weight through decreased food intake and loss of predominantly fat mass. </w:t>
      </w:r>
    </w:p>
    <w:p w14:paraId="73D071AA" w14:textId="77777777" w:rsidR="003B6B3A" w:rsidRDefault="003B6B3A" w:rsidP="00B96031">
      <w:pPr>
        <w:jc w:val="both"/>
        <w:rPr>
          <w:bCs/>
          <w:iCs/>
          <w:sz w:val="22"/>
          <w:szCs w:val="22"/>
          <w:lang w:val="en-AU" w:eastAsia="en-AU"/>
        </w:rPr>
      </w:pPr>
    </w:p>
    <w:p w14:paraId="1EA575F4" w14:textId="60933BD4" w:rsidR="003B6B3A" w:rsidRDefault="003B6B3A" w:rsidP="00B96031">
      <w:pPr>
        <w:jc w:val="both"/>
        <w:rPr>
          <w:sz w:val="22"/>
          <w:szCs w:val="22"/>
          <w:lang w:val="en-AU" w:eastAsia="en-AU"/>
        </w:rPr>
      </w:pPr>
      <w:r w:rsidRPr="003B6B3A">
        <w:rPr>
          <w:iCs/>
          <w:sz w:val="22"/>
          <w:szCs w:val="22"/>
          <w:lang w:val="id-ID" w:eastAsia="en-AU"/>
        </w:rPr>
        <w:t xml:space="preserve">GLP-1 receptors are </w:t>
      </w:r>
      <w:r w:rsidRPr="003B6B3A">
        <w:rPr>
          <w:iCs/>
          <w:sz w:val="22"/>
          <w:szCs w:val="22"/>
          <w:lang w:val="en-AU" w:eastAsia="en-AU"/>
        </w:rPr>
        <w:t xml:space="preserve">also </w:t>
      </w:r>
      <w:r w:rsidRPr="003B6B3A">
        <w:rPr>
          <w:iCs/>
          <w:sz w:val="22"/>
          <w:szCs w:val="22"/>
          <w:lang w:val="id-ID" w:eastAsia="en-AU"/>
        </w:rPr>
        <w:t xml:space="preserve">expressed </w:t>
      </w:r>
      <w:r w:rsidRPr="003B6B3A">
        <w:rPr>
          <w:iCs/>
          <w:sz w:val="22"/>
          <w:szCs w:val="22"/>
          <w:lang w:val="en-AU" w:eastAsia="en-AU"/>
        </w:rPr>
        <w:t xml:space="preserve">in </w:t>
      </w:r>
      <w:r w:rsidRPr="003B6B3A">
        <w:rPr>
          <w:iCs/>
          <w:sz w:val="22"/>
          <w:szCs w:val="22"/>
          <w:lang w:val="id-ID" w:eastAsia="en-AU"/>
        </w:rPr>
        <w:t xml:space="preserve">specific locations in the heart, vasculature, immune system, and kidneys. Human and animal studies have shown that activation of these receptors with liraglutide may mediate cardiovascular and microvascular effects, including reduced inflammation. </w:t>
      </w:r>
      <w:r w:rsidRPr="003B6B3A">
        <w:rPr>
          <w:iCs/>
          <w:sz w:val="22"/>
          <w:szCs w:val="22"/>
          <w:lang w:val="en-AU" w:eastAsia="en-AU"/>
        </w:rPr>
        <w:t>A</w:t>
      </w:r>
      <w:r w:rsidRPr="003B6B3A">
        <w:rPr>
          <w:iCs/>
          <w:sz w:val="22"/>
          <w:szCs w:val="22"/>
          <w:lang w:val="id-ID" w:eastAsia="en-AU"/>
        </w:rPr>
        <w:t>nimal studies</w:t>
      </w:r>
      <w:r w:rsidRPr="003B6B3A">
        <w:rPr>
          <w:iCs/>
          <w:sz w:val="22"/>
          <w:szCs w:val="22"/>
          <w:lang w:val="en-AU" w:eastAsia="en-AU"/>
        </w:rPr>
        <w:t xml:space="preserve"> show that</w:t>
      </w:r>
      <w:r w:rsidRPr="003B6B3A">
        <w:rPr>
          <w:iCs/>
          <w:sz w:val="22"/>
          <w:szCs w:val="22"/>
          <w:lang w:val="id-ID" w:eastAsia="en-AU"/>
        </w:rPr>
        <w:t xml:space="preserve"> liraglutide attenuate</w:t>
      </w:r>
      <w:r w:rsidRPr="003B6B3A">
        <w:rPr>
          <w:iCs/>
          <w:sz w:val="22"/>
          <w:szCs w:val="22"/>
          <w:lang w:val="en-AU" w:eastAsia="en-AU"/>
        </w:rPr>
        <w:t>s</w:t>
      </w:r>
      <w:r w:rsidRPr="003B6B3A">
        <w:rPr>
          <w:iCs/>
          <w:sz w:val="22"/>
          <w:szCs w:val="22"/>
          <w:lang w:val="id-ID" w:eastAsia="en-AU"/>
        </w:rPr>
        <w:t xml:space="preserve"> the development of atherosclerosis</w:t>
      </w:r>
      <w:r w:rsidRPr="003B6B3A">
        <w:rPr>
          <w:sz w:val="22"/>
          <w:szCs w:val="22"/>
          <w:lang w:val="en-AU" w:eastAsia="en-AU"/>
        </w:rPr>
        <w:t>.</w:t>
      </w:r>
    </w:p>
    <w:p w14:paraId="64A39A9E" w14:textId="77777777" w:rsidR="00B96031" w:rsidRDefault="00B96031" w:rsidP="00B96031">
      <w:pPr>
        <w:jc w:val="both"/>
        <w:rPr>
          <w:sz w:val="22"/>
          <w:szCs w:val="22"/>
          <w:lang w:val="en-AU" w:eastAsia="en-AU"/>
        </w:rPr>
      </w:pPr>
    </w:p>
    <w:p w14:paraId="2C16895F" w14:textId="77777777" w:rsidR="00B96031" w:rsidRPr="006E4E50" w:rsidRDefault="00B96031" w:rsidP="00B96031">
      <w:pPr>
        <w:pStyle w:val="Heading4"/>
        <w:rPr>
          <w:b/>
          <w:i w:val="0"/>
          <w:sz w:val="22"/>
          <w:szCs w:val="22"/>
          <w:u w:val="single"/>
        </w:rPr>
      </w:pPr>
      <w:r w:rsidRPr="006E4E50">
        <w:rPr>
          <w:b/>
          <w:i w:val="0"/>
          <w:sz w:val="22"/>
          <w:szCs w:val="22"/>
          <w:u w:val="single"/>
        </w:rPr>
        <w:t>Pharmacodynamics</w:t>
      </w:r>
    </w:p>
    <w:p w14:paraId="736F9E40" w14:textId="77A0C505" w:rsidR="00B96031" w:rsidRDefault="00B96031" w:rsidP="00B96031">
      <w:pPr>
        <w:jc w:val="both"/>
        <w:rPr>
          <w:bCs/>
          <w:sz w:val="22"/>
          <w:szCs w:val="22"/>
        </w:rPr>
      </w:pPr>
      <w:r w:rsidRPr="007D2EB5">
        <w:rPr>
          <w:bCs/>
          <w:sz w:val="22"/>
          <w:szCs w:val="22"/>
        </w:rPr>
        <w:t xml:space="preserve">Liraglutide has 24-hour duration of action and improves </w:t>
      </w:r>
      <w:proofErr w:type="spellStart"/>
      <w:r w:rsidRPr="007D2EB5">
        <w:rPr>
          <w:bCs/>
          <w:sz w:val="22"/>
          <w:szCs w:val="22"/>
        </w:rPr>
        <w:t>glycaemic</w:t>
      </w:r>
      <w:proofErr w:type="spellEnd"/>
      <w:r w:rsidRPr="007D2EB5">
        <w:rPr>
          <w:bCs/>
          <w:sz w:val="22"/>
          <w:szCs w:val="22"/>
        </w:rPr>
        <w:t xml:space="preserve"> control by lowering fasting and postprandial blood glucose in subjects with type 2 diabetes mellitus. </w:t>
      </w:r>
    </w:p>
    <w:p w14:paraId="6DB343E7" w14:textId="77777777" w:rsidR="00B96031" w:rsidRDefault="00B96031" w:rsidP="00B96031">
      <w:pPr>
        <w:jc w:val="both"/>
        <w:rPr>
          <w:bCs/>
          <w:sz w:val="22"/>
          <w:szCs w:val="22"/>
        </w:rPr>
      </w:pPr>
    </w:p>
    <w:p w14:paraId="1140F520" w14:textId="77A83635" w:rsidR="00B96031" w:rsidRDefault="00B96031" w:rsidP="00B96031">
      <w:pPr>
        <w:jc w:val="both"/>
        <w:rPr>
          <w:noProof/>
          <w:sz w:val="26"/>
          <w:szCs w:val="26"/>
        </w:rPr>
      </w:pPr>
      <w:r w:rsidRPr="007D2EB5">
        <w:rPr>
          <w:bCs/>
          <w:sz w:val="22"/>
          <w:szCs w:val="22"/>
        </w:rPr>
        <w:t xml:space="preserve">The difference between liraglutide 1.8 mg / 1.2 mg and placebo in reduction of mean fasting glucose was found to be </w:t>
      </w:r>
      <w:proofErr w:type="gramStart"/>
      <w:r w:rsidRPr="007D2EB5">
        <w:rPr>
          <w:bCs/>
          <w:sz w:val="22"/>
          <w:szCs w:val="22"/>
        </w:rPr>
        <w:t xml:space="preserve">3.90 </w:t>
      </w:r>
      <w:proofErr w:type="spellStart"/>
      <w:r w:rsidRPr="007D2EB5">
        <w:rPr>
          <w:bCs/>
          <w:sz w:val="22"/>
          <w:szCs w:val="22"/>
        </w:rPr>
        <w:t>mmol</w:t>
      </w:r>
      <w:proofErr w:type="spellEnd"/>
      <w:r w:rsidRPr="007D2EB5">
        <w:rPr>
          <w:bCs/>
          <w:sz w:val="22"/>
          <w:szCs w:val="22"/>
        </w:rPr>
        <w:t>/L</w:t>
      </w:r>
      <w:proofErr w:type="gramEnd"/>
      <w:r w:rsidRPr="007D2EB5">
        <w:rPr>
          <w:rStyle w:val="TableTextChar"/>
          <w:sz w:val="22"/>
          <w:szCs w:val="22"/>
        </w:rPr>
        <w:t xml:space="preserve"> </w:t>
      </w:r>
      <w:r w:rsidRPr="007D2EB5">
        <w:rPr>
          <w:bCs/>
          <w:sz w:val="22"/>
          <w:szCs w:val="22"/>
        </w:rPr>
        <w:t xml:space="preserve">/ 3.33 </w:t>
      </w:r>
      <w:proofErr w:type="spellStart"/>
      <w:r w:rsidRPr="007D2EB5">
        <w:rPr>
          <w:bCs/>
          <w:sz w:val="22"/>
          <w:szCs w:val="22"/>
        </w:rPr>
        <w:t>mmol</w:t>
      </w:r>
      <w:proofErr w:type="spellEnd"/>
      <w:r w:rsidRPr="007D2EB5">
        <w:rPr>
          <w:bCs/>
          <w:sz w:val="22"/>
          <w:szCs w:val="22"/>
        </w:rPr>
        <w:t xml:space="preserve">/L (Figure 1). Following a standard meal, the difference in mean 2-hour postprandial glucose concentration was </w:t>
      </w:r>
      <w:proofErr w:type="gramStart"/>
      <w:r w:rsidRPr="007D2EB5">
        <w:rPr>
          <w:bCs/>
          <w:sz w:val="22"/>
          <w:szCs w:val="22"/>
        </w:rPr>
        <w:t xml:space="preserve">6.02 </w:t>
      </w:r>
      <w:proofErr w:type="spellStart"/>
      <w:r w:rsidRPr="007D2EB5">
        <w:rPr>
          <w:bCs/>
          <w:sz w:val="22"/>
          <w:szCs w:val="22"/>
        </w:rPr>
        <w:t>mmol</w:t>
      </w:r>
      <w:proofErr w:type="spellEnd"/>
      <w:r w:rsidRPr="007D2EB5">
        <w:rPr>
          <w:bCs/>
          <w:sz w:val="22"/>
          <w:szCs w:val="22"/>
        </w:rPr>
        <w:t>/L</w:t>
      </w:r>
      <w:proofErr w:type="gramEnd"/>
      <w:r w:rsidRPr="007D2EB5">
        <w:rPr>
          <w:bCs/>
          <w:sz w:val="22"/>
          <w:szCs w:val="22"/>
        </w:rPr>
        <w:t xml:space="preserve"> / 5.63 </w:t>
      </w:r>
      <w:proofErr w:type="spellStart"/>
      <w:r w:rsidRPr="007D2EB5">
        <w:rPr>
          <w:bCs/>
          <w:sz w:val="22"/>
          <w:szCs w:val="22"/>
        </w:rPr>
        <w:t>mmol</w:t>
      </w:r>
      <w:proofErr w:type="spellEnd"/>
      <w:r w:rsidRPr="007D2EB5">
        <w:rPr>
          <w:bCs/>
          <w:sz w:val="22"/>
          <w:szCs w:val="22"/>
        </w:rPr>
        <w:t xml:space="preserve">/L. In addition, liraglutide decreased postprandial glucose excursion (incremental postprandial glucose) on average by </w:t>
      </w:r>
      <w:proofErr w:type="gramStart"/>
      <w:r w:rsidRPr="007D2EB5">
        <w:rPr>
          <w:bCs/>
          <w:sz w:val="22"/>
          <w:szCs w:val="22"/>
        </w:rPr>
        <w:t xml:space="preserve">1.1 </w:t>
      </w:r>
      <w:proofErr w:type="spellStart"/>
      <w:r w:rsidRPr="007D2EB5">
        <w:rPr>
          <w:bCs/>
          <w:sz w:val="22"/>
          <w:szCs w:val="22"/>
        </w:rPr>
        <w:t>mmol</w:t>
      </w:r>
      <w:proofErr w:type="spellEnd"/>
      <w:r w:rsidRPr="007D2EB5">
        <w:rPr>
          <w:bCs/>
          <w:sz w:val="22"/>
          <w:szCs w:val="22"/>
        </w:rPr>
        <w:t>/L</w:t>
      </w:r>
      <w:proofErr w:type="gramEnd"/>
      <w:r w:rsidRPr="007D2EB5">
        <w:rPr>
          <w:bCs/>
          <w:sz w:val="22"/>
          <w:szCs w:val="22"/>
        </w:rPr>
        <w:t xml:space="preserve"> / 1.08 </w:t>
      </w:r>
      <w:proofErr w:type="spellStart"/>
      <w:r w:rsidRPr="007D2EB5">
        <w:rPr>
          <w:bCs/>
          <w:sz w:val="22"/>
          <w:szCs w:val="22"/>
        </w:rPr>
        <w:t>mmol</w:t>
      </w:r>
      <w:proofErr w:type="spellEnd"/>
      <w:r w:rsidRPr="007D2EB5">
        <w:rPr>
          <w:bCs/>
          <w:sz w:val="22"/>
          <w:szCs w:val="22"/>
        </w:rPr>
        <w:t>/L.</w:t>
      </w:r>
    </w:p>
    <w:p w14:paraId="401228DE" w14:textId="77777777" w:rsidR="00B96031" w:rsidRDefault="00B96031" w:rsidP="00B96031">
      <w:pPr>
        <w:jc w:val="both"/>
        <w:rPr>
          <w:noProof/>
          <w:sz w:val="26"/>
          <w:szCs w:val="26"/>
        </w:rPr>
      </w:pPr>
    </w:p>
    <w:p w14:paraId="13B69E19" w14:textId="2661E363" w:rsidR="00B96031" w:rsidRDefault="00B96031" w:rsidP="00B96031">
      <w:pPr>
        <w:jc w:val="both"/>
        <w:rPr>
          <w:noProof/>
          <w:sz w:val="26"/>
          <w:szCs w:val="26"/>
        </w:rPr>
      </w:pPr>
      <w:r w:rsidRPr="00AD43A0">
        <w:rPr>
          <w:sz w:val="16"/>
          <w:szCs w:val="16"/>
        </w:rPr>
        <w:object w:dxaOrig="8497" w:dyaOrig="5328" w14:anchorId="713775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2.75pt;height:137.25pt" o:ole="">
            <v:imagedata r:id="rId14" o:title=""/>
          </v:shape>
          <o:OLEObject Type="Embed" ProgID="Word.Picture.8" ShapeID="_x0000_i1025" DrawAspect="Content" ObjectID="_1624866207" r:id="rId15"/>
        </w:object>
      </w:r>
      <w:r w:rsidRPr="00AD43A0">
        <w:rPr>
          <w:sz w:val="16"/>
          <w:szCs w:val="16"/>
        </w:rPr>
        <w:object w:dxaOrig="8497" w:dyaOrig="5188" w14:anchorId="44B31CBA">
          <v:shape id="_x0000_i1026" type="#_x0000_t75" style="width:225.75pt;height:135pt" o:ole="">
            <v:imagedata r:id="rId16" o:title=""/>
          </v:shape>
          <o:OLEObject Type="Embed" ProgID="Word.Picture.8" ShapeID="_x0000_i1026" DrawAspect="Content" ObjectID="_1624866208" r:id="rId17"/>
        </w:object>
      </w:r>
    </w:p>
    <w:p w14:paraId="60372175" w14:textId="77777777" w:rsidR="00B96031" w:rsidRPr="00774CE3" w:rsidRDefault="00B96031" w:rsidP="00B96031">
      <w:pPr>
        <w:keepNext/>
        <w:ind w:left="1440" w:hanging="1440"/>
        <w:rPr>
          <w:b/>
          <w:sz w:val="22"/>
          <w:szCs w:val="22"/>
        </w:rPr>
      </w:pPr>
      <w:r w:rsidRPr="00774CE3">
        <w:rPr>
          <w:b/>
          <w:sz w:val="22"/>
          <w:szCs w:val="22"/>
        </w:rPr>
        <w:t>Figure 1</w:t>
      </w:r>
      <w:r w:rsidRPr="00774CE3">
        <w:rPr>
          <w:b/>
          <w:sz w:val="22"/>
          <w:szCs w:val="22"/>
        </w:rPr>
        <w:tab/>
        <w:t>Mean absolute (left) and incremental (right) postprandial glucose concentrations. Subjects with type 2 diabetes treated with liraglutide 1.8 mg or placebo in a cross-over design (N=18) (Trial 1698)</w:t>
      </w:r>
    </w:p>
    <w:p w14:paraId="0F47993A" w14:textId="77777777" w:rsidR="00B96031" w:rsidRDefault="00B96031" w:rsidP="00B96031">
      <w:pPr>
        <w:jc w:val="both"/>
        <w:rPr>
          <w:noProof/>
          <w:sz w:val="26"/>
          <w:szCs w:val="26"/>
        </w:rPr>
      </w:pPr>
    </w:p>
    <w:p w14:paraId="11E166EC" w14:textId="77777777" w:rsidR="00B96031" w:rsidRPr="009B57B6" w:rsidRDefault="00B96031" w:rsidP="00B96031">
      <w:pPr>
        <w:pStyle w:val="Heading5"/>
        <w:rPr>
          <w:i w:val="0"/>
          <w:sz w:val="22"/>
          <w:szCs w:val="22"/>
          <w:u w:val="single"/>
        </w:rPr>
      </w:pPr>
      <w:r w:rsidRPr="009B57B6">
        <w:rPr>
          <w:i w:val="0"/>
          <w:sz w:val="22"/>
          <w:szCs w:val="22"/>
          <w:u w:val="single"/>
        </w:rPr>
        <w:t>Glucose dependent insulin secretion</w:t>
      </w:r>
    </w:p>
    <w:p w14:paraId="48CE1100" w14:textId="0F36201D" w:rsidR="00B96031" w:rsidRDefault="00B96031" w:rsidP="00B96031">
      <w:pPr>
        <w:jc w:val="both"/>
        <w:rPr>
          <w:iCs/>
          <w:sz w:val="22"/>
          <w:szCs w:val="22"/>
        </w:rPr>
      </w:pPr>
      <w:r w:rsidRPr="007D2EB5">
        <w:rPr>
          <w:iCs/>
          <w:sz w:val="22"/>
          <w:szCs w:val="22"/>
        </w:rPr>
        <w:t xml:space="preserve">Liraglutide increased insulin secretion in relation to increasing glucose concentrations. Using a stepwise graded glucose infusion, the insulin secretion rate was increased following a single injection of </w:t>
      </w:r>
      <w:r w:rsidRPr="007D2EB5">
        <w:rPr>
          <w:iCs/>
          <w:sz w:val="22"/>
          <w:szCs w:val="22"/>
        </w:rPr>
        <w:lastRenderedPageBreak/>
        <w:t xml:space="preserve">liraglutide in subjects with type </w:t>
      </w:r>
      <w:proofErr w:type="gramStart"/>
      <w:r w:rsidRPr="007D2EB5">
        <w:rPr>
          <w:iCs/>
          <w:sz w:val="22"/>
          <w:szCs w:val="22"/>
        </w:rPr>
        <w:t>2 diabetes to a level indistinguishable to that observed in healthy subjects (Figure 2)</w:t>
      </w:r>
      <w:proofErr w:type="gramEnd"/>
      <w:r w:rsidRPr="007D2EB5">
        <w:rPr>
          <w:iCs/>
          <w:sz w:val="22"/>
          <w:szCs w:val="22"/>
        </w:rPr>
        <w:t>.</w:t>
      </w:r>
    </w:p>
    <w:p w14:paraId="2A7AAABD" w14:textId="77777777" w:rsidR="00B96031" w:rsidRDefault="00B96031" w:rsidP="00B96031">
      <w:pPr>
        <w:jc w:val="both"/>
        <w:rPr>
          <w:noProof/>
          <w:sz w:val="26"/>
          <w:szCs w:val="26"/>
        </w:rPr>
      </w:pPr>
    </w:p>
    <w:p w14:paraId="246EF90E" w14:textId="277B58AD" w:rsidR="00B96031" w:rsidRDefault="00B96031" w:rsidP="00B96031">
      <w:pPr>
        <w:jc w:val="both"/>
        <w:rPr>
          <w:noProof/>
          <w:sz w:val="26"/>
          <w:szCs w:val="26"/>
        </w:rPr>
      </w:pPr>
      <w:r>
        <w:rPr>
          <w:noProof/>
          <w:lang w:val="en-AU" w:eastAsia="en-AU"/>
        </w:rPr>
        <w:drawing>
          <wp:inline distT="0" distB="0" distL="0" distR="0" wp14:anchorId="42059D45" wp14:editId="6C6F3149">
            <wp:extent cx="4864226" cy="3240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864226" cy="3240000"/>
                    </a:xfrm>
                    <a:prstGeom prst="rect">
                      <a:avLst/>
                    </a:prstGeom>
                    <a:noFill/>
                    <a:ln>
                      <a:noFill/>
                    </a:ln>
                  </pic:spPr>
                </pic:pic>
              </a:graphicData>
            </a:graphic>
          </wp:inline>
        </w:drawing>
      </w:r>
    </w:p>
    <w:p w14:paraId="73DA8ACC" w14:textId="4C74A306" w:rsidR="00B96031" w:rsidRDefault="00B96031" w:rsidP="00B96031">
      <w:pPr>
        <w:jc w:val="both"/>
        <w:rPr>
          <w:noProof/>
          <w:sz w:val="26"/>
          <w:szCs w:val="26"/>
        </w:rPr>
      </w:pPr>
      <w:r w:rsidRPr="00F37766">
        <w:rPr>
          <w:b/>
          <w:sz w:val="22"/>
        </w:rPr>
        <w:t>Figure 2</w:t>
      </w:r>
      <w:r w:rsidRPr="00F37766">
        <w:rPr>
          <w:b/>
          <w:sz w:val="22"/>
        </w:rPr>
        <w:tab/>
        <w:t>Mean Insulin Secretion Rate (ISR) versus glucose concentration following a single injection of liraglutide 7.5 µg/kg (</w:t>
      </w:r>
      <w:r w:rsidRPr="00F37766">
        <w:rPr>
          <w:b/>
          <w:sz w:val="22"/>
          <w:lang w:val="da-DK"/>
        </w:rPr>
        <w:sym w:font="Symbol" w:char="F07E"/>
      </w:r>
      <w:r w:rsidRPr="00F37766">
        <w:rPr>
          <w:b/>
          <w:sz w:val="22"/>
        </w:rPr>
        <w:t>0.66 mg) or placebo in subjects with type 2 diabetes (N=10) and untreated healthy subjects (N=10) during graded glucose infusion (Trial 2063)</w:t>
      </w:r>
    </w:p>
    <w:p w14:paraId="220BB07E" w14:textId="77777777" w:rsidR="00B96031" w:rsidRDefault="00B96031" w:rsidP="00B96031">
      <w:pPr>
        <w:jc w:val="both"/>
        <w:rPr>
          <w:noProof/>
          <w:sz w:val="26"/>
          <w:szCs w:val="26"/>
        </w:rPr>
      </w:pPr>
    </w:p>
    <w:p w14:paraId="323829E5" w14:textId="77777777" w:rsidR="00B96031" w:rsidRPr="007D2EB5" w:rsidRDefault="00B96031" w:rsidP="00B96031">
      <w:pPr>
        <w:pStyle w:val="Heading5"/>
        <w:rPr>
          <w:bCs/>
          <w:iCs/>
          <w:sz w:val="22"/>
          <w:szCs w:val="22"/>
        </w:rPr>
      </w:pPr>
      <w:r w:rsidRPr="009B57B6">
        <w:rPr>
          <w:i w:val="0"/>
          <w:sz w:val="22"/>
          <w:szCs w:val="22"/>
          <w:u w:val="single"/>
        </w:rPr>
        <w:t>Beta-cell function</w:t>
      </w:r>
    </w:p>
    <w:p w14:paraId="357E9955" w14:textId="2FAC04B8" w:rsidR="00B96031" w:rsidRDefault="00B96031" w:rsidP="00B96031">
      <w:pPr>
        <w:jc w:val="both"/>
        <w:rPr>
          <w:bCs/>
          <w:iCs/>
          <w:sz w:val="22"/>
          <w:szCs w:val="22"/>
        </w:rPr>
      </w:pPr>
      <w:r w:rsidRPr="007D2EB5">
        <w:rPr>
          <w:bCs/>
          <w:iCs/>
          <w:sz w:val="22"/>
          <w:szCs w:val="22"/>
        </w:rPr>
        <w:t>Liraglutide improved beta-cell function as measured by first and second phase insulin response and maximal beta-cell secretory capacity. A pharmacodynamic study in subjects with type 2 diabetes demonstrated restoration of first phase insulin secretion (intravenous bolus of glucose), improved second phase insulin secretion (</w:t>
      </w:r>
      <w:proofErr w:type="spellStart"/>
      <w:r w:rsidRPr="007D2EB5">
        <w:rPr>
          <w:bCs/>
          <w:iCs/>
          <w:sz w:val="22"/>
          <w:szCs w:val="22"/>
        </w:rPr>
        <w:t>hyperglycaemic</w:t>
      </w:r>
      <w:proofErr w:type="spellEnd"/>
      <w:r w:rsidRPr="007D2EB5">
        <w:rPr>
          <w:bCs/>
          <w:iCs/>
          <w:sz w:val="22"/>
          <w:szCs w:val="22"/>
        </w:rPr>
        <w:t xml:space="preserve"> clamp) and maximal insulin secretory capacity (arginine stimulation test) (Figure 3).</w:t>
      </w:r>
    </w:p>
    <w:p w14:paraId="753DC81A" w14:textId="77777777" w:rsidR="00B96031" w:rsidRDefault="00B96031" w:rsidP="00B96031">
      <w:pPr>
        <w:jc w:val="both"/>
        <w:rPr>
          <w:bCs/>
          <w:iCs/>
          <w:sz w:val="22"/>
          <w:szCs w:val="22"/>
        </w:rPr>
      </w:pPr>
    </w:p>
    <w:p w14:paraId="5E3295AA" w14:textId="76688599" w:rsidR="00B96031" w:rsidRDefault="00B96031" w:rsidP="00B96031">
      <w:pPr>
        <w:jc w:val="both"/>
        <w:rPr>
          <w:noProof/>
          <w:sz w:val="26"/>
          <w:szCs w:val="26"/>
        </w:rPr>
      </w:pPr>
      <w:r>
        <w:object w:dxaOrig="7829" w:dyaOrig="4657" w14:anchorId="5AE3F630">
          <v:shape id="_x0000_i1027" type="#_x0000_t75" style="width:390.75pt;height:232.5pt" o:ole="">
            <v:imagedata r:id="rId19" o:title=""/>
          </v:shape>
          <o:OLEObject Type="Embed" ProgID="Word.Picture.8" ShapeID="_x0000_i1027" DrawAspect="Content" ObjectID="_1624866209" r:id="rId20"/>
        </w:object>
      </w:r>
    </w:p>
    <w:p w14:paraId="54CD1743" w14:textId="25965A5F" w:rsidR="00B96031" w:rsidRDefault="00B96031" w:rsidP="00B96031">
      <w:pPr>
        <w:jc w:val="both"/>
        <w:rPr>
          <w:noProof/>
          <w:sz w:val="26"/>
          <w:szCs w:val="26"/>
        </w:rPr>
      </w:pPr>
      <w:r w:rsidRPr="00F37766">
        <w:rPr>
          <w:b/>
          <w:sz w:val="22"/>
          <w:szCs w:val="22"/>
        </w:rPr>
        <w:t>Figure 3</w:t>
      </w:r>
      <w:r w:rsidRPr="00F37766">
        <w:rPr>
          <w:b/>
          <w:sz w:val="22"/>
          <w:szCs w:val="22"/>
        </w:rPr>
        <w:tab/>
        <w:t xml:space="preserve">Mean insulin profiles during glucose bolus (inserted), </w:t>
      </w:r>
      <w:proofErr w:type="spellStart"/>
      <w:r w:rsidRPr="00F37766">
        <w:rPr>
          <w:b/>
          <w:sz w:val="22"/>
          <w:szCs w:val="22"/>
        </w:rPr>
        <w:t>hyperglycaemic</w:t>
      </w:r>
      <w:proofErr w:type="spellEnd"/>
      <w:r w:rsidRPr="00F37766">
        <w:rPr>
          <w:b/>
          <w:sz w:val="22"/>
          <w:szCs w:val="22"/>
        </w:rPr>
        <w:t xml:space="preserve"> clamp and arginine stimulation test (at 120 min) following 6 µg/kg (</w:t>
      </w:r>
      <w:r w:rsidRPr="00F37766">
        <w:rPr>
          <w:b/>
          <w:sz w:val="22"/>
          <w:szCs w:val="22"/>
          <w:lang w:val="da-DK"/>
        </w:rPr>
        <w:sym w:font="Symbol" w:char="F07E"/>
      </w:r>
      <w:r w:rsidRPr="00F37766">
        <w:rPr>
          <w:b/>
          <w:sz w:val="22"/>
          <w:szCs w:val="22"/>
        </w:rPr>
        <w:t xml:space="preserve">0.55 mg) liraglutide or placebo for 10 days in subjects with type </w:t>
      </w:r>
      <w:proofErr w:type="gramStart"/>
      <w:r w:rsidRPr="00F37766">
        <w:rPr>
          <w:b/>
          <w:sz w:val="22"/>
          <w:szCs w:val="22"/>
        </w:rPr>
        <w:t>2 diabetes (Trial 1332)</w:t>
      </w:r>
      <w:proofErr w:type="gramEnd"/>
    </w:p>
    <w:p w14:paraId="5B0246D2" w14:textId="77777777" w:rsidR="00B96031" w:rsidRDefault="00B96031" w:rsidP="00B96031">
      <w:pPr>
        <w:jc w:val="both"/>
        <w:rPr>
          <w:noProof/>
          <w:sz w:val="26"/>
          <w:szCs w:val="26"/>
        </w:rPr>
      </w:pPr>
    </w:p>
    <w:p w14:paraId="0163CC32" w14:textId="77777777" w:rsidR="00B96031" w:rsidRDefault="00B96031" w:rsidP="00B96031">
      <w:pPr>
        <w:jc w:val="both"/>
        <w:rPr>
          <w:noProof/>
          <w:sz w:val="26"/>
          <w:szCs w:val="26"/>
        </w:rPr>
      </w:pPr>
    </w:p>
    <w:p w14:paraId="6C9D4ED6" w14:textId="3A74D00D" w:rsidR="00B96031" w:rsidRDefault="00B96031" w:rsidP="00B96031">
      <w:pPr>
        <w:jc w:val="both"/>
        <w:rPr>
          <w:iCs/>
          <w:sz w:val="22"/>
          <w:szCs w:val="22"/>
          <w:lang w:val="da-DK"/>
        </w:rPr>
      </w:pPr>
      <w:r w:rsidRPr="007D2EB5">
        <w:rPr>
          <w:iCs/>
          <w:sz w:val="22"/>
          <w:szCs w:val="22"/>
          <w:lang w:val="da-DK"/>
        </w:rPr>
        <w:t>Clinical studies up to 52 weeks have shown a durable secretagogue effect with liraglutide, as well as improvements from baseline in the homeostasis model assessment for beta-cell function (HOMA-B) and the proinsulin to insulin ratio. Liraglutide has not yet been evaluated for use in individuals with impaired glucose tolerance or those who do not yet meet the diagnostic criteria for diabetes mellitus.</w:t>
      </w:r>
    </w:p>
    <w:p w14:paraId="2E5E4A48" w14:textId="77777777" w:rsidR="00B96031" w:rsidRDefault="00B96031" w:rsidP="00B96031">
      <w:pPr>
        <w:jc w:val="both"/>
        <w:rPr>
          <w:iCs/>
          <w:sz w:val="22"/>
          <w:szCs w:val="22"/>
          <w:lang w:val="da-DK"/>
        </w:rPr>
      </w:pPr>
    </w:p>
    <w:p w14:paraId="50BFF0E5" w14:textId="77777777" w:rsidR="00B96031" w:rsidRPr="007D2EB5" w:rsidRDefault="00B96031" w:rsidP="00B96031">
      <w:pPr>
        <w:pStyle w:val="Heading5"/>
        <w:rPr>
          <w:sz w:val="22"/>
          <w:szCs w:val="22"/>
        </w:rPr>
      </w:pPr>
      <w:r w:rsidRPr="009B57B6">
        <w:rPr>
          <w:i w:val="0"/>
          <w:sz w:val="22"/>
          <w:szCs w:val="22"/>
          <w:u w:val="single"/>
        </w:rPr>
        <w:t>Glucagon secretion</w:t>
      </w:r>
    </w:p>
    <w:p w14:paraId="68943CE5" w14:textId="6E8962D2" w:rsidR="00B96031" w:rsidRDefault="00B96031" w:rsidP="00B96031">
      <w:pPr>
        <w:jc w:val="both"/>
        <w:rPr>
          <w:bCs/>
          <w:sz w:val="22"/>
          <w:szCs w:val="22"/>
        </w:rPr>
      </w:pPr>
      <w:r w:rsidRPr="007D2EB5">
        <w:rPr>
          <w:sz w:val="22"/>
          <w:szCs w:val="22"/>
        </w:rPr>
        <w:t xml:space="preserve">Liraglutide lowered blood glucose by stimulating insulin secretion and lowering glucagon secretion. </w:t>
      </w:r>
      <w:r w:rsidRPr="007D2EB5">
        <w:rPr>
          <w:bCs/>
          <w:sz w:val="22"/>
          <w:szCs w:val="22"/>
        </w:rPr>
        <w:t>Liraglutide did not impair glucagon response to low glucose concentration. Furthermore, a lower endogenous glucose release has been observed with liraglutide.</w:t>
      </w:r>
    </w:p>
    <w:p w14:paraId="27A10621" w14:textId="77777777" w:rsidR="00B96031" w:rsidRDefault="00B96031" w:rsidP="00B96031">
      <w:pPr>
        <w:jc w:val="both"/>
        <w:rPr>
          <w:bCs/>
          <w:sz w:val="22"/>
          <w:szCs w:val="22"/>
        </w:rPr>
      </w:pPr>
    </w:p>
    <w:p w14:paraId="18AA5D11" w14:textId="77777777" w:rsidR="00B96031" w:rsidRPr="007D2EB5" w:rsidRDefault="00B96031" w:rsidP="00B96031">
      <w:pPr>
        <w:pStyle w:val="Heading5"/>
        <w:rPr>
          <w:sz w:val="22"/>
          <w:szCs w:val="22"/>
        </w:rPr>
      </w:pPr>
      <w:r w:rsidRPr="009B57B6">
        <w:rPr>
          <w:i w:val="0"/>
          <w:sz w:val="22"/>
          <w:szCs w:val="22"/>
          <w:u w:val="single"/>
        </w:rPr>
        <w:t>Gastric emptying</w:t>
      </w:r>
    </w:p>
    <w:p w14:paraId="6774F2C8" w14:textId="5AC11F6E" w:rsidR="00B96031" w:rsidRDefault="00B96031" w:rsidP="00B96031">
      <w:pPr>
        <w:jc w:val="both"/>
        <w:rPr>
          <w:iCs/>
          <w:sz w:val="22"/>
          <w:szCs w:val="22"/>
          <w:lang w:val="da-DK"/>
        </w:rPr>
      </w:pPr>
      <w:r w:rsidRPr="007D2EB5">
        <w:rPr>
          <w:iCs/>
          <w:sz w:val="22"/>
          <w:szCs w:val="22"/>
        </w:rPr>
        <w:t>Liraglutide caused a minor delay in gastric emptying, thereby reducing the rate at which postprandial glucose appeared in the circulation</w:t>
      </w:r>
      <w:r w:rsidRPr="007D2EB5">
        <w:rPr>
          <w:bCs/>
          <w:iCs/>
          <w:sz w:val="22"/>
          <w:szCs w:val="22"/>
        </w:rPr>
        <w:t>.</w:t>
      </w:r>
    </w:p>
    <w:p w14:paraId="19F11B4C" w14:textId="77777777" w:rsidR="00B96031" w:rsidRDefault="00B96031" w:rsidP="00B96031">
      <w:pPr>
        <w:jc w:val="both"/>
        <w:rPr>
          <w:iCs/>
          <w:sz w:val="22"/>
          <w:szCs w:val="22"/>
          <w:lang w:val="da-DK"/>
        </w:rPr>
      </w:pPr>
    </w:p>
    <w:p w14:paraId="665D0F2B" w14:textId="77777777" w:rsidR="00B96031" w:rsidRPr="007D2EB5" w:rsidRDefault="00B96031" w:rsidP="00B96031">
      <w:pPr>
        <w:pStyle w:val="Heading5"/>
        <w:rPr>
          <w:bCs/>
          <w:i w:val="0"/>
          <w:iCs/>
          <w:sz w:val="22"/>
          <w:szCs w:val="22"/>
        </w:rPr>
      </w:pPr>
      <w:r w:rsidRPr="009B57B6">
        <w:rPr>
          <w:i w:val="0"/>
          <w:sz w:val="22"/>
          <w:szCs w:val="22"/>
          <w:u w:val="single"/>
        </w:rPr>
        <w:t>Body weight</w:t>
      </w:r>
    </w:p>
    <w:p w14:paraId="51B100FC" w14:textId="1B1BBF83" w:rsidR="00B96031" w:rsidRDefault="00B96031" w:rsidP="00B96031">
      <w:pPr>
        <w:jc w:val="both"/>
        <w:rPr>
          <w:sz w:val="22"/>
          <w:szCs w:val="22"/>
        </w:rPr>
      </w:pPr>
      <w:r w:rsidRPr="007D2EB5">
        <w:rPr>
          <w:bCs/>
          <w:iCs/>
          <w:sz w:val="22"/>
          <w:szCs w:val="22"/>
        </w:rPr>
        <w:t>In clinical studies up to 52 weeks involving subjects with elevated body weight liraglutide was observed to significantly lower body weight (see CLINICAL TRIALS, ADVERSE EFFECTS). Specific weight loss studies have not been assessed in type 2 diabetes mellitus</w:t>
      </w:r>
      <w:r w:rsidRPr="007D2EB5">
        <w:rPr>
          <w:sz w:val="22"/>
          <w:szCs w:val="22"/>
        </w:rPr>
        <w:t>.</w:t>
      </w:r>
    </w:p>
    <w:p w14:paraId="128EC4BB" w14:textId="77777777" w:rsidR="00B96031" w:rsidRDefault="00B96031" w:rsidP="00B96031">
      <w:pPr>
        <w:jc w:val="both"/>
        <w:rPr>
          <w:sz w:val="22"/>
          <w:szCs w:val="22"/>
        </w:rPr>
      </w:pPr>
    </w:p>
    <w:p w14:paraId="5ED8AC02" w14:textId="77777777" w:rsidR="00B96031" w:rsidRPr="007D2EB5" w:rsidRDefault="00B96031" w:rsidP="00B96031">
      <w:pPr>
        <w:pStyle w:val="Heading5"/>
        <w:rPr>
          <w:sz w:val="22"/>
          <w:szCs w:val="22"/>
        </w:rPr>
      </w:pPr>
      <w:r w:rsidRPr="009B57B6">
        <w:rPr>
          <w:i w:val="0"/>
          <w:sz w:val="22"/>
          <w:szCs w:val="22"/>
          <w:u w:val="single"/>
        </w:rPr>
        <w:t>Cardiac electrophysiology (</w:t>
      </w:r>
      <w:proofErr w:type="spellStart"/>
      <w:r w:rsidRPr="009B57B6">
        <w:rPr>
          <w:i w:val="0"/>
          <w:sz w:val="22"/>
          <w:szCs w:val="22"/>
          <w:u w:val="single"/>
        </w:rPr>
        <w:t>QTc</w:t>
      </w:r>
      <w:proofErr w:type="spellEnd"/>
      <w:r w:rsidRPr="009B57B6">
        <w:rPr>
          <w:i w:val="0"/>
          <w:sz w:val="22"/>
          <w:szCs w:val="22"/>
          <w:u w:val="single"/>
        </w:rPr>
        <w:t>)</w:t>
      </w:r>
    </w:p>
    <w:p w14:paraId="0A1DFFFF" w14:textId="394BADCE" w:rsidR="00B96031" w:rsidRDefault="00B96031" w:rsidP="00B96031">
      <w:pPr>
        <w:jc w:val="both"/>
        <w:rPr>
          <w:bCs/>
          <w:iCs/>
          <w:sz w:val="22"/>
          <w:szCs w:val="22"/>
        </w:rPr>
      </w:pPr>
      <w:r w:rsidRPr="007D2EB5">
        <w:rPr>
          <w:bCs/>
          <w:iCs/>
          <w:sz w:val="22"/>
          <w:szCs w:val="22"/>
        </w:rPr>
        <w:t xml:space="preserve">In a cardiac </w:t>
      </w:r>
      <w:proofErr w:type="spellStart"/>
      <w:r w:rsidRPr="007D2EB5">
        <w:rPr>
          <w:bCs/>
          <w:iCs/>
          <w:sz w:val="22"/>
          <w:szCs w:val="22"/>
        </w:rPr>
        <w:t>repolarisation</w:t>
      </w:r>
      <w:proofErr w:type="spellEnd"/>
      <w:r w:rsidRPr="007D2EB5">
        <w:rPr>
          <w:bCs/>
          <w:iCs/>
          <w:sz w:val="22"/>
          <w:szCs w:val="22"/>
        </w:rPr>
        <w:t xml:space="preserve"> study </w:t>
      </w:r>
      <w:proofErr w:type="spellStart"/>
      <w:r w:rsidRPr="007D2EB5">
        <w:rPr>
          <w:bCs/>
          <w:iCs/>
          <w:sz w:val="22"/>
          <w:szCs w:val="22"/>
        </w:rPr>
        <w:t>liraglutide</w:t>
      </w:r>
      <w:proofErr w:type="spellEnd"/>
      <w:r w:rsidRPr="007D2EB5">
        <w:rPr>
          <w:bCs/>
          <w:iCs/>
          <w:sz w:val="22"/>
          <w:szCs w:val="22"/>
        </w:rPr>
        <w:t xml:space="preserve"> at steady state concentrations with daily doses up to 1.8 mg did not produce </w:t>
      </w:r>
      <w:proofErr w:type="spellStart"/>
      <w:r w:rsidRPr="007D2EB5">
        <w:rPr>
          <w:bCs/>
          <w:iCs/>
          <w:sz w:val="22"/>
          <w:szCs w:val="22"/>
        </w:rPr>
        <w:t>QTc</w:t>
      </w:r>
      <w:proofErr w:type="spellEnd"/>
      <w:r w:rsidRPr="007D2EB5">
        <w:rPr>
          <w:bCs/>
          <w:iCs/>
          <w:sz w:val="22"/>
          <w:szCs w:val="22"/>
        </w:rPr>
        <w:t xml:space="preserve"> prolongation.</w:t>
      </w:r>
    </w:p>
    <w:p w14:paraId="275792F3" w14:textId="77777777" w:rsidR="00B96031" w:rsidRDefault="00B96031" w:rsidP="00B96031">
      <w:pPr>
        <w:jc w:val="both"/>
        <w:rPr>
          <w:bCs/>
          <w:iCs/>
          <w:sz w:val="22"/>
          <w:szCs w:val="22"/>
        </w:rPr>
      </w:pPr>
    </w:p>
    <w:p w14:paraId="65AD4952" w14:textId="0ECD5FCD" w:rsidR="00B96031" w:rsidRPr="00416832" w:rsidRDefault="00416832" w:rsidP="00B96031">
      <w:pPr>
        <w:jc w:val="both"/>
        <w:rPr>
          <w:iCs/>
          <w:sz w:val="22"/>
          <w:szCs w:val="22"/>
          <w:lang w:val="da-DK"/>
        </w:rPr>
      </w:pPr>
      <w:r w:rsidRPr="00416832">
        <w:rPr>
          <w:b/>
          <w:sz w:val="22"/>
          <w:szCs w:val="22"/>
          <w:u w:val="single"/>
        </w:rPr>
        <w:t>Pharmacokinetics</w:t>
      </w:r>
    </w:p>
    <w:p w14:paraId="1BF19604" w14:textId="77777777" w:rsidR="00416832" w:rsidRPr="009B57B6" w:rsidRDefault="00416832" w:rsidP="00416832">
      <w:pPr>
        <w:pStyle w:val="Heading5"/>
        <w:rPr>
          <w:i w:val="0"/>
          <w:sz w:val="22"/>
          <w:szCs w:val="22"/>
          <w:u w:val="single"/>
        </w:rPr>
      </w:pPr>
      <w:r w:rsidRPr="009B57B6">
        <w:rPr>
          <w:i w:val="0"/>
          <w:sz w:val="22"/>
          <w:szCs w:val="22"/>
          <w:u w:val="single"/>
        </w:rPr>
        <w:t>Absorption</w:t>
      </w:r>
    </w:p>
    <w:p w14:paraId="0E7F9D3D" w14:textId="1E14E3F5" w:rsidR="00B96031" w:rsidRDefault="00416832" w:rsidP="00416832">
      <w:pPr>
        <w:jc w:val="both"/>
        <w:rPr>
          <w:sz w:val="22"/>
          <w:szCs w:val="22"/>
        </w:rPr>
      </w:pPr>
      <w:r w:rsidRPr="007D2EB5">
        <w:rPr>
          <w:sz w:val="22"/>
          <w:szCs w:val="22"/>
        </w:rPr>
        <w:t xml:space="preserve">The absorption of liraglutide following subcutaneous administration is slow, reaching maximum concentration 8-12 hours post dosing. </w:t>
      </w:r>
      <w:r w:rsidRPr="007D2EB5">
        <w:rPr>
          <w:iCs/>
          <w:sz w:val="22"/>
          <w:szCs w:val="22"/>
        </w:rPr>
        <w:t xml:space="preserve">Estimated maximum liraglutide concentration was </w:t>
      </w:r>
      <w:proofErr w:type="gramStart"/>
      <w:r w:rsidRPr="007D2EB5">
        <w:rPr>
          <w:iCs/>
          <w:sz w:val="22"/>
          <w:szCs w:val="22"/>
        </w:rPr>
        <w:t xml:space="preserve">9.4 </w:t>
      </w:r>
      <w:proofErr w:type="spellStart"/>
      <w:r w:rsidRPr="007D2EB5">
        <w:rPr>
          <w:iCs/>
          <w:sz w:val="22"/>
          <w:szCs w:val="22"/>
        </w:rPr>
        <w:t>nmol</w:t>
      </w:r>
      <w:proofErr w:type="spellEnd"/>
      <w:r w:rsidRPr="007D2EB5">
        <w:rPr>
          <w:iCs/>
          <w:sz w:val="22"/>
          <w:szCs w:val="22"/>
        </w:rPr>
        <w:t>/L for a subcutaneous single dose of liraglutide 0.6 mg</w:t>
      </w:r>
      <w:proofErr w:type="gramEnd"/>
      <w:r w:rsidRPr="007D2EB5">
        <w:rPr>
          <w:iCs/>
          <w:sz w:val="22"/>
          <w:szCs w:val="22"/>
        </w:rPr>
        <w:t>. At 1.8 mg liraglutide, t</w:t>
      </w:r>
      <w:r w:rsidRPr="007D2EB5">
        <w:rPr>
          <w:sz w:val="22"/>
          <w:szCs w:val="22"/>
        </w:rPr>
        <w:t>he average steady state concentration of liraglutide (AUC</w:t>
      </w:r>
      <w:r w:rsidRPr="007D2EB5">
        <w:rPr>
          <w:sz w:val="22"/>
          <w:szCs w:val="22"/>
          <w:vertAlign w:val="subscript"/>
          <w:lang w:val="da-DK"/>
        </w:rPr>
        <w:t>τ</w:t>
      </w:r>
      <w:r w:rsidRPr="007D2EB5">
        <w:rPr>
          <w:sz w:val="22"/>
          <w:szCs w:val="22"/>
          <w:vertAlign w:val="subscript"/>
        </w:rPr>
        <w:t>/24</w:t>
      </w:r>
      <w:r w:rsidRPr="007D2EB5">
        <w:rPr>
          <w:sz w:val="22"/>
          <w:szCs w:val="22"/>
        </w:rPr>
        <w:t xml:space="preserve">) reached approximately 34 </w:t>
      </w:r>
      <w:proofErr w:type="spellStart"/>
      <w:r w:rsidRPr="007D2EB5">
        <w:rPr>
          <w:sz w:val="22"/>
          <w:szCs w:val="22"/>
        </w:rPr>
        <w:t>nmol</w:t>
      </w:r>
      <w:proofErr w:type="spellEnd"/>
      <w:r w:rsidRPr="007D2EB5">
        <w:rPr>
          <w:sz w:val="22"/>
          <w:szCs w:val="22"/>
        </w:rPr>
        <w:t>/L</w:t>
      </w:r>
      <w:r w:rsidRPr="007D2EB5">
        <w:rPr>
          <w:iCs/>
          <w:sz w:val="22"/>
          <w:szCs w:val="22"/>
        </w:rPr>
        <w:t xml:space="preserve">. </w:t>
      </w:r>
      <w:r w:rsidRPr="007D2EB5">
        <w:rPr>
          <w:sz w:val="22"/>
          <w:szCs w:val="22"/>
        </w:rPr>
        <w:t xml:space="preserve">Liraglutide exposure increased proportionally with dose. The intra-subject coefficient of variation for liraglutide AUC was 11% </w:t>
      </w:r>
      <w:r w:rsidRPr="007D2EB5">
        <w:rPr>
          <w:sz w:val="22"/>
          <w:szCs w:val="22"/>
        </w:rPr>
        <w:lastRenderedPageBreak/>
        <w:t>following single dose administration. Liraglutide can be administered subcutaneously in the abdomen, thigh, or upper arm.</w:t>
      </w:r>
    </w:p>
    <w:p w14:paraId="2279F2F1" w14:textId="77777777" w:rsidR="00416832" w:rsidRDefault="00416832" w:rsidP="00416832">
      <w:pPr>
        <w:jc w:val="both"/>
        <w:rPr>
          <w:sz w:val="22"/>
          <w:szCs w:val="22"/>
        </w:rPr>
      </w:pPr>
    </w:p>
    <w:p w14:paraId="3FB7E13F" w14:textId="77777777" w:rsidR="00416832" w:rsidRPr="007D2EB5" w:rsidRDefault="00416832" w:rsidP="00416832">
      <w:pPr>
        <w:pStyle w:val="Heading5"/>
        <w:rPr>
          <w:i w:val="0"/>
          <w:sz w:val="22"/>
          <w:szCs w:val="22"/>
          <w:lang w:val="en-AU"/>
        </w:rPr>
      </w:pPr>
      <w:r w:rsidRPr="009B57B6">
        <w:rPr>
          <w:i w:val="0"/>
          <w:sz w:val="22"/>
          <w:szCs w:val="22"/>
          <w:u w:val="single"/>
        </w:rPr>
        <w:t>Distribution</w:t>
      </w:r>
    </w:p>
    <w:p w14:paraId="3B69BF39" w14:textId="0C490495" w:rsidR="00416832" w:rsidRDefault="00416832" w:rsidP="00416832">
      <w:pPr>
        <w:jc w:val="both"/>
        <w:rPr>
          <w:iCs/>
          <w:sz w:val="22"/>
          <w:szCs w:val="22"/>
          <w:lang w:val="en-AU"/>
        </w:rPr>
      </w:pPr>
      <w:r w:rsidRPr="007D2EB5">
        <w:rPr>
          <w:sz w:val="22"/>
          <w:szCs w:val="22"/>
        </w:rPr>
        <w:t>The apparent volume of distribution after subcutaneous administration is 11-17 L. The mean volume of distribution after intravenous administration of liraglutide is 0.07 L/kg.</w:t>
      </w:r>
      <w:r w:rsidRPr="007D2EB5">
        <w:rPr>
          <w:i/>
          <w:iCs/>
          <w:sz w:val="22"/>
          <w:szCs w:val="22"/>
        </w:rPr>
        <w:t xml:space="preserve"> </w:t>
      </w:r>
      <w:r w:rsidRPr="007D2EB5">
        <w:rPr>
          <w:sz w:val="22"/>
          <w:szCs w:val="22"/>
          <w:lang w:val="en-AU"/>
        </w:rPr>
        <w:t xml:space="preserve">Liraglutide is extensively bound to plasma protein </w:t>
      </w:r>
      <w:r w:rsidRPr="007D2EB5">
        <w:rPr>
          <w:iCs/>
          <w:sz w:val="22"/>
          <w:szCs w:val="22"/>
          <w:lang w:val="en-AU"/>
        </w:rPr>
        <w:t>(&gt;98%).</w:t>
      </w:r>
    </w:p>
    <w:p w14:paraId="684181AC" w14:textId="77777777" w:rsidR="00416832" w:rsidRDefault="00416832" w:rsidP="00416832">
      <w:pPr>
        <w:jc w:val="both"/>
        <w:rPr>
          <w:iCs/>
          <w:sz w:val="22"/>
          <w:szCs w:val="22"/>
          <w:lang w:val="en-AU"/>
        </w:rPr>
      </w:pPr>
    </w:p>
    <w:p w14:paraId="3BBDD6F8" w14:textId="77777777" w:rsidR="00416832" w:rsidRPr="007D2EB5" w:rsidRDefault="00416832" w:rsidP="00416832">
      <w:pPr>
        <w:pStyle w:val="Heading5"/>
        <w:rPr>
          <w:i w:val="0"/>
          <w:sz w:val="22"/>
          <w:szCs w:val="22"/>
        </w:rPr>
      </w:pPr>
      <w:r w:rsidRPr="009B57B6">
        <w:rPr>
          <w:i w:val="0"/>
          <w:sz w:val="22"/>
          <w:szCs w:val="22"/>
          <w:u w:val="single"/>
        </w:rPr>
        <w:t>Metabolism/biotransformation</w:t>
      </w:r>
    </w:p>
    <w:p w14:paraId="34189082" w14:textId="7CECBCC2" w:rsidR="00416832" w:rsidRDefault="00416832" w:rsidP="00416832">
      <w:pPr>
        <w:jc w:val="both"/>
        <w:rPr>
          <w:iCs/>
          <w:sz w:val="22"/>
          <w:szCs w:val="22"/>
        </w:rPr>
      </w:pPr>
      <w:r w:rsidRPr="007D2EB5">
        <w:rPr>
          <w:iCs/>
          <w:sz w:val="22"/>
          <w:szCs w:val="22"/>
        </w:rPr>
        <w:t>During the 24 hours following administration of a single [</w:t>
      </w:r>
      <w:r w:rsidRPr="007D2EB5">
        <w:rPr>
          <w:iCs/>
          <w:sz w:val="22"/>
          <w:szCs w:val="22"/>
          <w:vertAlign w:val="superscript"/>
        </w:rPr>
        <w:t>3</w:t>
      </w:r>
      <w:r w:rsidRPr="007D2EB5">
        <w:rPr>
          <w:iCs/>
          <w:sz w:val="22"/>
          <w:szCs w:val="22"/>
        </w:rPr>
        <w:t>H]-liraglutide dose to healthy subjects, the major component in plasma was intact liraglutide. Two minor plasma metabolites were detected (</w:t>
      </w:r>
      <w:r w:rsidRPr="007D2EB5">
        <w:rPr>
          <w:iCs/>
          <w:sz w:val="22"/>
          <w:szCs w:val="22"/>
          <w:lang w:val="da-DK"/>
        </w:rPr>
        <w:sym w:font="Symbol" w:char="F0A3"/>
      </w:r>
      <w:r w:rsidRPr="007D2EB5">
        <w:rPr>
          <w:iCs/>
          <w:sz w:val="22"/>
          <w:szCs w:val="22"/>
        </w:rPr>
        <w:t xml:space="preserve"> 9% and </w:t>
      </w:r>
      <w:r w:rsidRPr="007D2EB5">
        <w:rPr>
          <w:iCs/>
          <w:sz w:val="22"/>
          <w:szCs w:val="22"/>
          <w:lang w:val="da-DK"/>
        </w:rPr>
        <w:sym w:font="Symbol" w:char="F0A3"/>
      </w:r>
      <w:r w:rsidRPr="007D2EB5">
        <w:rPr>
          <w:iCs/>
          <w:sz w:val="22"/>
          <w:szCs w:val="22"/>
        </w:rPr>
        <w:t xml:space="preserve"> 5% of total plasma radioactivity exposure). Liraglutide is endogenously metabolised in a similar manner to large proteins without a specific organ as major route of elimination.</w:t>
      </w:r>
    </w:p>
    <w:p w14:paraId="2112686C" w14:textId="77777777" w:rsidR="00416832" w:rsidRDefault="00416832" w:rsidP="00416832">
      <w:pPr>
        <w:jc w:val="both"/>
        <w:rPr>
          <w:iCs/>
          <w:sz w:val="22"/>
          <w:szCs w:val="22"/>
        </w:rPr>
      </w:pPr>
    </w:p>
    <w:p w14:paraId="74E17E39" w14:textId="77777777" w:rsidR="00416832" w:rsidRPr="007D2EB5" w:rsidRDefault="00416832" w:rsidP="00416832">
      <w:pPr>
        <w:pStyle w:val="Heading5"/>
        <w:rPr>
          <w:b/>
          <w:sz w:val="22"/>
          <w:szCs w:val="22"/>
        </w:rPr>
      </w:pPr>
      <w:r w:rsidRPr="009B57B6">
        <w:rPr>
          <w:i w:val="0"/>
          <w:sz w:val="22"/>
          <w:szCs w:val="22"/>
          <w:u w:val="single"/>
        </w:rPr>
        <w:t>Excretion</w:t>
      </w:r>
    </w:p>
    <w:p w14:paraId="5A3CBA25" w14:textId="09B433D7" w:rsidR="00416832" w:rsidRDefault="00416832" w:rsidP="00416832">
      <w:pPr>
        <w:jc w:val="both"/>
        <w:rPr>
          <w:iCs/>
          <w:sz w:val="22"/>
          <w:szCs w:val="22"/>
        </w:rPr>
      </w:pPr>
      <w:r w:rsidRPr="007D2EB5">
        <w:rPr>
          <w:iCs/>
          <w:sz w:val="22"/>
          <w:szCs w:val="22"/>
        </w:rPr>
        <w:t>Following a [</w:t>
      </w:r>
      <w:r w:rsidRPr="007D2EB5">
        <w:rPr>
          <w:iCs/>
          <w:sz w:val="22"/>
          <w:szCs w:val="22"/>
          <w:vertAlign w:val="superscript"/>
        </w:rPr>
        <w:t>3</w:t>
      </w:r>
      <w:r w:rsidRPr="007D2EB5">
        <w:rPr>
          <w:iCs/>
          <w:sz w:val="22"/>
          <w:szCs w:val="22"/>
        </w:rPr>
        <w:t xml:space="preserve">H]-liraglutide dose, intact liraglutide was not detected in urine or </w:t>
      </w:r>
      <w:proofErr w:type="spellStart"/>
      <w:r w:rsidRPr="007D2EB5">
        <w:rPr>
          <w:iCs/>
          <w:sz w:val="22"/>
          <w:szCs w:val="22"/>
        </w:rPr>
        <w:t>faeces</w:t>
      </w:r>
      <w:proofErr w:type="spellEnd"/>
      <w:r w:rsidRPr="007D2EB5">
        <w:rPr>
          <w:iCs/>
          <w:sz w:val="22"/>
          <w:szCs w:val="22"/>
        </w:rPr>
        <w:t xml:space="preserve">. Only a minor part of the administered radioactivity was excreted as liraglutide-related metabolites in urine or </w:t>
      </w:r>
      <w:proofErr w:type="spellStart"/>
      <w:r w:rsidRPr="007D2EB5">
        <w:rPr>
          <w:iCs/>
          <w:sz w:val="22"/>
          <w:szCs w:val="22"/>
        </w:rPr>
        <w:t>faeces</w:t>
      </w:r>
      <w:proofErr w:type="spellEnd"/>
      <w:r w:rsidRPr="007D2EB5">
        <w:rPr>
          <w:iCs/>
          <w:sz w:val="22"/>
          <w:szCs w:val="22"/>
        </w:rPr>
        <w:t xml:space="preserve"> (6% and 5%, respectively). The urine and </w:t>
      </w:r>
      <w:proofErr w:type="spellStart"/>
      <w:r w:rsidRPr="007D2EB5">
        <w:rPr>
          <w:iCs/>
          <w:sz w:val="22"/>
          <w:szCs w:val="22"/>
        </w:rPr>
        <w:t>faeces</w:t>
      </w:r>
      <w:proofErr w:type="spellEnd"/>
      <w:r w:rsidRPr="007D2EB5">
        <w:rPr>
          <w:iCs/>
          <w:sz w:val="22"/>
          <w:szCs w:val="22"/>
        </w:rPr>
        <w:t xml:space="preserve"> radioactivity was mainly excreted during the first 6-8 days, and corresponded to three minor metabolites.</w:t>
      </w:r>
    </w:p>
    <w:p w14:paraId="61357E91" w14:textId="77777777" w:rsidR="00416832" w:rsidRDefault="00416832" w:rsidP="00416832">
      <w:pPr>
        <w:jc w:val="both"/>
        <w:rPr>
          <w:iCs/>
          <w:sz w:val="22"/>
          <w:szCs w:val="22"/>
        </w:rPr>
      </w:pPr>
    </w:p>
    <w:p w14:paraId="5C457B1B" w14:textId="122C460E" w:rsidR="00416832" w:rsidRDefault="00416832" w:rsidP="00416832">
      <w:pPr>
        <w:jc w:val="both"/>
        <w:rPr>
          <w:sz w:val="22"/>
          <w:szCs w:val="22"/>
        </w:rPr>
      </w:pPr>
      <w:r w:rsidRPr="007D2EB5">
        <w:rPr>
          <w:sz w:val="22"/>
          <w:szCs w:val="22"/>
        </w:rPr>
        <w:t>The mean clearance following subcutaneous administration of a single dose of liraglutide is approximately 1.2 L/h with an elimination half-life of approximately 13 hours.</w:t>
      </w:r>
    </w:p>
    <w:p w14:paraId="47884161" w14:textId="77777777" w:rsidR="00416832" w:rsidRDefault="00416832" w:rsidP="00416832">
      <w:pPr>
        <w:jc w:val="both"/>
        <w:rPr>
          <w:sz w:val="22"/>
          <w:szCs w:val="22"/>
        </w:rPr>
      </w:pPr>
    </w:p>
    <w:p w14:paraId="75FD57C7" w14:textId="77777777" w:rsidR="008E141C" w:rsidRDefault="008E141C" w:rsidP="00416832">
      <w:pPr>
        <w:jc w:val="both"/>
        <w:rPr>
          <w:sz w:val="22"/>
          <w:szCs w:val="22"/>
          <w:u w:val="single"/>
        </w:rPr>
      </w:pPr>
    </w:p>
    <w:p w14:paraId="51410C37" w14:textId="3BB5B4CE" w:rsidR="00416832" w:rsidRPr="00416832" w:rsidRDefault="00416832" w:rsidP="00416832">
      <w:pPr>
        <w:jc w:val="both"/>
        <w:rPr>
          <w:iCs/>
          <w:sz w:val="22"/>
          <w:szCs w:val="22"/>
          <w:u w:val="single"/>
          <w:lang w:val="da-DK"/>
        </w:rPr>
      </w:pPr>
      <w:r w:rsidRPr="00416832">
        <w:rPr>
          <w:sz w:val="22"/>
          <w:szCs w:val="22"/>
          <w:u w:val="single"/>
        </w:rPr>
        <w:t>Special populations</w:t>
      </w:r>
    </w:p>
    <w:p w14:paraId="27DAA376" w14:textId="77777777" w:rsidR="00416832" w:rsidRPr="009B57B6" w:rsidRDefault="00416832" w:rsidP="00416832">
      <w:pPr>
        <w:jc w:val="both"/>
        <w:rPr>
          <w:i/>
          <w:iCs/>
          <w:sz w:val="22"/>
          <w:szCs w:val="22"/>
          <w:lang w:val="en-AU"/>
        </w:rPr>
      </w:pPr>
      <w:r w:rsidRPr="009B57B6">
        <w:rPr>
          <w:i/>
          <w:iCs/>
          <w:sz w:val="22"/>
          <w:szCs w:val="22"/>
          <w:lang w:val="en-AU"/>
        </w:rPr>
        <w:t>Elderly</w:t>
      </w:r>
    </w:p>
    <w:p w14:paraId="72547189" w14:textId="09BDA20A" w:rsidR="00B96031" w:rsidRDefault="00416832" w:rsidP="00416832">
      <w:pPr>
        <w:jc w:val="both"/>
        <w:rPr>
          <w:iCs/>
          <w:sz w:val="22"/>
          <w:szCs w:val="22"/>
        </w:rPr>
      </w:pPr>
      <w:r w:rsidRPr="007D2EB5">
        <w:rPr>
          <w:iCs/>
          <w:sz w:val="22"/>
          <w:szCs w:val="22"/>
        </w:rPr>
        <w:t xml:space="preserve">No dosage adjustment is required based on age. Age had no clinically relevant effect on the pharmacokinetics of </w:t>
      </w:r>
      <w:r w:rsidRPr="007D2EB5">
        <w:rPr>
          <w:noProof/>
          <w:sz w:val="22"/>
          <w:szCs w:val="22"/>
        </w:rPr>
        <w:t>liraglutide</w:t>
      </w:r>
      <w:r w:rsidRPr="007D2EB5">
        <w:rPr>
          <w:iCs/>
          <w:sz w:val="22"/>
          <w:szCs w:val="22"/>
        </w:rPr>
        <w:t xml:space="preserve"> based on the results from a pharmacokinetic study in healthy subjects and population pharmacokinetic data analysis of subjects (18 to 80 years).</w:t>
      </w:r>
    </w:p>
    <w:p w14:paraId="4AFE07A3" w14:textId="77777777" w:rsidR="00416832" w:rsidRDefault="00416832" w:rsidP="00416832">
      <w:pPr>
        <w:jc w:val="both"/>
        <w:rPr>
          <w:iCs/>
          <w:sz w:val="22"/>
          <w:szCs w:val="22"/>
        </w:rPr>
      </w:pPr>
    </w:p>
    <w:p w14:paraId="6FEA44C7" w14:textId="77777777" w:rsidR="00416832" w:rsidRPr="007D2EB5" w:rsidRDefault="00416832" w:rsidP="00416832">
      <w:pPr>
        <w:jc w:val="both"/>
        <w:rPr>
          <w:sz w:val="22"/>
          <w:szCs w:val="22"/>
          <w:u w:val="single"/>
          <w:lang w:val="en-AU"/>
        </w:rPr>
      </w:pPr>
      <w:r w:rsidRPr="009B57B6">
        <w:rPr>
          <w:i/>
          <w:iCs/>
          <w:sz w:val="22"/>
          <w:szCs w:val="22"/>
          <w:lang w:val="en-AU"/>
        </w:rPr>
        <w:t>Gender</w:t>
      </w:r>
    </w:p>
    <w:p w14:paraId="0E77E64A" w14:textId="095D7531" w:rsidR="00416832" w:rsidRDefault="00416832" w:rsidP="00416832">
      <w:pPr>
        <w:jc w:val="both"/>
        <w:rPr>
          <w:sz w:val="22"/>
          <w:szCs w:val="22"/>
        </w:rPr>
      </w:pPr>
      <w:r w:rsidRPr="007D2EB5">
        <w:rPr>
          <w:sz w:val="22"/>
          <w:szCs w:val="22"/>
        </w:rPr>
        <w:t xml:space="preserve">No dosage adjustment is </w:t>
      </w:r>
      <w:r w:rsidRPr="007D2EB5">
        <w:rPr>
          <w:iCs/>
          <w:sz w:val="22"/>
          <w:szCs w:val="22"/>
        </w:rPr>
        <w:t>required</w:t>
      </w:r>
      <w:r w:rsidRPr="007D2EB5">
        <w:rPr>
          <w:sz w:val="22"/>
          <w:szCs w:val="22"/>
        </w:rPr>
        <w:t xml:space="preserve"> based on gender. Gender had no clinically meaningful effect on the pharmacokinetics of </w:t>
      </w:r>
      <w:r w:rsidRPr="007D2EB5">
        <w:rPr>
          <w:noProof/>
          <w:sz w:val="22"/>
          <w:szCs w:val="22"/>
        </w:rPr>
        <w:t>liraglutide</w:t>
      </w:r>
      <w:r w:rsidRPr="007D2EB5">
        <w:rPr>
          <w:sz w:val="22"/>
          <w:szCs w:val="22"/>
        </w:rPr>
        <w:t xml:space="preserve"> based on the results of population pharmacokinetic data analysis of male and female subjects and </w:t>
      </w:r>
      <w:r w:rsidRPr="007D2EB5">
        <w:rPr>
          <w:iCs/>
          <w:sz w:val="22"/>
          <w:szCs w:val="22"/>
        </w:rPr>
        <w:t>a pharmacokinetic study in healthy subjects</w:t>
      </w:r>
      <w:r w:rsidRPr="007D2EB5">
        <w:rPr>
          <w:sz w:val="22"/>
          <w:szCs w:val="22"/>
        </w:rPr>
        <w:t>.</w:t>
      </w:r>
    </w:p>
    <w:p w14:paraId="616585AE" w14:textId="77777777" w:rsidR="00416832" w:rsidRDefault="00416832" w:rsidP="00416832">
      <w:pPr>
        <w:jc w:val="both"/>
        <w:rPr>
          <w:sz w:val="22"/>
          <w:szCs w:val="22"/>
        </w:rPr>
      </w:pPr>
    </w:p>
    <w:p w14:paraId="56785D96" w14:textId="77777777" w:rsidR="00416832" w:rsidRPr="007D2EB5" w:rsidRDefault="00416832" w:rsidP="00416832">
      <w:pPr>
        <w:jc w:val="both"/>
        <w:rPr>
          <w:sz w:val="22"/>
          <w:szCs w:val="22"/>
          <w:u w:val="single"/>
          <w:lang w:val="en-AU"/>
        </w:rPr>
      </w:pPr>
      <w:r w:rsidRPr="009B57B6">
        <w:rPr>
          <w:i/>
          <w:iCs/>
          <w:sz w:val="22"/>
          <w:szCs w:val="22"/>
          <w:lang w:val="en-AU"/>
        </w:rPr>
        <w:t>Ethnicity</w:t>
      </w:r>
    </w:p>
    <w:p w14:paraId="0EC65CD9" w14:textId="62AB26FF" w:rsidR="00416832" w:rsidRDefault="00416832" w:rsidP="00416832">
      <w:pPr>
        <w:jc w:val="both"/>
        <w:rPr>
          <w:sz w:val="22"/>
          <w:szCs w:val="22"/>
        </w:rPr>
      </w:pPr>
      <w:r w:rsidRPr="007D2EB5">
        <w:rPr>
          <w:sz w:val="22"/>
          <w:szCs w:val="22"/>
        </w:rPr>
        <w:t xml:space="preserve">No dosage adjustment is required based on ethnicity. Ethnicity had no clinically relevant effect on the pharmacokinetics of </w:t>
      </w:r>
      <w:r w:rsidRPr="007D2EB5">
        <w:rPr>
          <w:noProof/>
          <w:sz w:val="22"/>
          <w:szCs w:val="22"/>
        </w:rPr>
        <w:t>liraglutide</w:t>
      </w:r>
      <w:r w:rsidRPr="007D2EB5">
        <w:rPr>
          <w:sz w:val="22"/>
          <w:szCs w:val="22"/>
        </w:rPr>
        <w:t xml:space="preserve"> based on the results of population pharmacokinetic analysis.</w:t>
      </w:r>
    </w:p>
    <w:p w14:paraId="5B03E6DE" w14:textId="77777777" w:rsidR="00416832" w:rsidRDefault="00416832" w:rsidP="00416832">
      <w:pPr>
        <w:jc w:val="both"/>
        <w:rPr>
          <w:sz w:val="22"/>
          <w:szCs w:val="22"/>
        </w:rPr>
      </w:pPr>
    </w:p>
    <w:p w14:paraId="3001DB7E" w14:textId="77777777" w:rsidR="00416832" w:rsidRPr="007D2EB5" w:rsidRDefault="00416832" w:rsidP="00416832">
      <w:pPr>
        <w:jc w:val="both"/>
        <w:rPr>
          <w:sz w:val="22"/>
          <w:szCs w:val="22"/>
          <w:u w:val="single"/>
          <w:lang w:val="en-AU"/>
        </w:rPr>
      </w:pPr>
      <w:r w:rsidRPr="009B57B6">
        <w:rPr>
          <w:i/>
          <w:iCs/>
          <w:sz w:val="22"/>
          <w:szCs w:val="22"/>
          <w:lang w:val="en-AU"/>
        </w:rPr>
        <w:t>Obesity</w:t>
      </w:r>
    </w:p>
    <w:p w14:paraId="3FBCB182" w14:textId="524E4990" w:rsidR="00416832" w:rsidRDefault="00416832" w:rsidP="00416832">
      <w:pPr>
        <w:jc w:val="both"/>
        <w:rPr>
          <w:sz w:val="22"/>
          <w:szCs w:val="22"/>
        </w:rPr>
      </w:pPr>
      <w:r w:rsidRPr="007D2EB5">
        <w:rPr>
          <w:sz w:val="22"/>
          <w:szCs w:val="22"/>
        </w:rPr>
        <w:t>No dosage adjustment is required based on obesity. Population pharmacokinetic analysis suggests that body mass index (BMI) has no significant effect on the pharmacokinetics of liraglutide.</w:t>
      </w:r>
    </w:p>
    <w:p w14:paraId="2068FC85" w14:textId="77777777" w:rsidR="00416832" w:rsidRDefault="00416832" w:rsidP="00416832">
      <w:pPr>
        <w:jc w:val="both"/>
        <w:rPr>
          <w:sz w:val="22"/>
          <w:szCs w:val="22"/>
        </w:rPr>
      </w:pPr>
    </w:p>
    <w:p w14:paraId="3683930D" w14:textId="77777777" w:rsidR="00853A41" w:rsidRPr="007D2EB5" w:rsidRDefault="00853A41" w:rsidP="00853A41">
      <w:pPr>
        <w:jc w:val="both"/>
        <w:rPr>
          <w:sz w:val="22"/>
          <w:szCs w:val="22"/>
          <w:u w:val="single"/>
          <w:lang w:val="en-AU"/>
        </w:rPr>
      </w:pPr>
      <w:r w:rsidRPr="009B57B6">
        <w:rPr>
          <w:i/>
          <w:iCs/>
          <w:sz w:val="22"/>
          <w:szCs w:val="22"/>
          <w:lang w:val="en-AU"/>
        </w:rPr>
        <w:t>Hepatic impairment</w:t>
      </w:r>
    </w:p>
    <w:p w14:paraId="76AC40AC" w14:textId="70AD1C1B" w:rsidR="00416832" w:rsidRDefault="00853A41" w:rsidP="00853A41">
      <w:pPr>
        <w:jc w:val="both"/>
        <w:rPr>
          <w:sz w:val="22"/>
          <w:szCs w:val="22"/>
          <w:lang w:val="en-GB" w:eastAsia="en-AU"/>
        </w:rPr>
      </w:pPr>
      <w:r w:rsidRPr="007D2EB5">
        <w:rPr>
          <w:iCs/>
          <w:sz w:val="22"/>
          <w:szCs w:val="22"/>
        </w:rPr>
        <w:t xml:space="preserve">The pharmacokinetics of liraglutide </w:t>
      </w:r>
      <w:proofErr w:type="gramStart"/>
      <w:r w:rsidRPr="007D2EB5">
        <w:rPr>
          <w:iCs/>
          <w:sz w:val="22"/>
          <w:szCs w:val="22"/>
        </w:rPr>
        <w:t>were</w:t>
      </w:r>
      <w:proofErr w:type="gramEnd"/>
      <w:r w:rsidRPr="007D2EB5">
        <w:rPr>
          <w:iCs/>
          <w:sz w:val="22"/>
          <w:szCs w:val="22"/>
        </w:rPr>
        <w:t xml:space="preserve"> evaluated in subjects with varying degrees of hepatic impairment in a single-dose trial. </w:t>
      </w:r>
      <w:r w:rsidRPr="007D2EB5">
        <w:rPr>
          <w:sz w:val="22"/>
          <w:szCs w:val="22"/>
          <w:lang w:val="en-GB" w:eastAsia="en-AU"/>
        </w:rPr>
        <w:t xml:space="preserve">Liraglutide exposure was decreased by 23% and 13% in subjects with mild or moderate hepatic impairment respectively, compared to healthy subjects. </w:t>
      </w:r>
    </w:p>
    <w:p w14:paraId="3C1C3577" w14:textId="77777777" w:rsidR="00853A41" w:rsidRDefault="00853A41" w:rsidP="00853A41">
      <w:pPr>
        <w:jc w:val="both"/>
        <w:rPr>
          <w:sz w:val="22"/>
          <w:szCs w:val="22"/>
          <w:lang w:val="en-GB" w:eastAsia="en-AU"/>
        </w:rPr>
      </w:pPr>
    </w:p>
    <w:p w14:paraId="213BE13C" w14:textId="7AB3F854" w:rsidR="00853A41" w:rsidRDefault="00853A41" w:rsidP="00853A41">
      <w:pPr>
        <w:jc w:val="both"/>
        <w:rPr>
          <w:sz w:val="22"/>
          <w:szCs w:val="22"/>
        </w:rPr>
      </w:pPr>
      <w:r w:rsidRPr="007D2EB5">
        <w:rPr>
          <w:sz w:val="22"/>
          <w:szCs w:val="22"/>
          <w:lang w:val="en-GB" w:eastAsia="en-AU"/>
        </w:rPr>
        <w:t>Exposure was significantly lower (44%) in subjects with severe hepatic impairment (Child Pugh score &gt;9).</w:t>
      </w:r>
    </w:p>
    <w:p w14:paraId="44F2A06B" w14:textId="77777777" w:rsidR="00416832" w:rsidRDefault="00416832" w:rsidP="00416832">
      <w:pPr>
        <w:jc w:val="both"/>
        <w:rPr>
          <w:sz w:val="22"/>
          <w:szCs w:val="22"/>
        </w:rPr>
      </w:pPr>
    </w:p>
    <w:p w14:paraId="2D203EE8" w14:textId="77777777" w:rsidR="00853A41" w:rsidRPr="007D2EB5" w:rsidRDefault="00853A41" w:rsidP="00853A41">
      <w:pPr>
        <w:jc w:val="both"/>
        <w:rPr>
          <w:sz w:val="22"/>
          <w:szCs w:val="22"/>
          <w:u w:val="single"/>
          <w:lang w:val="en-AU"/>
        </w:rPr>
      </w:pPr>
      <w:r w:rsidRPr="009B57B6">
        <w:rPr>
          <w:i/>
          <w:iCs/>
          <w:sz w:val="22"/>
          <w:szCs w:val="22"/>
          <w:lang w:val="en-AU"/>
        </w:rPr>
        <w:t>Renal impairment</w:t>
      </w:r>
    </w:p>
    <w:p w14:paraId="2B00FAB2" w14:textId="491A1B47" w:rsidR="00416832" w:rsidRDefault="00853A41" w:rsidP="00853A41">
      <w:pPr>
        <w:jc w:val="both"/>
        <w:rPr>
          <w:sz w:val="22"/>
          <w:szCs w:val="22"/>
          <w:lang w:val="en-AU" w:eastAsia="en-AU"/>
        </w:rPr>
      </w:pPr>
      <w:r w:rsidRPr="007D2EB5">
        <w:rPr>
          <w:sz w:val="22"/>
          <w:szCs w:val="22"/>
          <w:lang w:val="en-AU" w:eastAsia="en-AU"/>
        </w:rPr>
        <w:t xml:space="preserve">Liraglutide exposure was mildly reduced in subjects with renal impairment compared to individuals with normal renal function in a single-dose trial. Liraglutide exposure was lowered by 33%, 14%, 27% and 26%, respectively, in subjects with mild (creatinine clearance, </w:t>
      </w:r>
      <w:proofErr w:type="spellStart"/>
      <w:r w:rsidRPr="007D2EB5">
        <w:rPr>
          <w:sz w:val="22"/>
          <w:szCs w:val="22"/>
          <w:lang w:val="en-AU" w:eastAsia="en-AU"/>
        </w:rPr>
        <w:t>CrCL</w:t>
      </w:r>
      <w:proofErr w:type="spellEnd"/>
      <w:r w:rsidRPr="007D2EB5">
        <w:rPr>
          <w:sz w:val="22"/>
          <w:szCs w:val="22"/>
          <w:lang w:val="en-AU" w:eastAsia="en-AU"/>
        </w:rPr>
        <w:t xml:space="preserve"> 50-80 mL/min), moderate </w:t>
      </w:r>
      <w:r w:rsidRPr="007D2EB5">
        <w:rPr>
          <w:sz w:val="22"/>
          <w:szCs w:val="22"/>
          <w:lang w:val="en-AU" w:eastAsia="en-AU"/>
        </w:rPr>
        <w:lastRenderedPageBreak/>
        <w:t>(</w:t>
      </w:r>
      <w:proofErr w:type="spellStart"/>
      <w:r w:rsidRPr="007D2EB5">
        <w:rPr>
          <w:sz w:val="22"/>
          <w:szCs w:val="22"/>
          <w:lang w:val="en-AU" w:eastAsia="en-AU"/>
        </w:rPr>
        <w:t>CrCL</w:t>
      </w:r>
      <w:proofErr w:type="spellEnd"/>
      <w:r w:rsidRPr="007D2EB5">
        <w:rPr>
          <w:sz w:val="22"/>
          <w:szCs w:val="22"/>
          <w:lang w:val="en-AU" w:eastAsia="en-AU"/>
        </w:rPr>
        <w:t xml:space="preserve"> 30-50 mL/min), and severe (</w:t>
      </w:r>
      <w:proofErr w:type="spellStart"/>
      <w:r w:rsidRPr="007D2EB5">
        <w:rPr>
          <w:sz w:val="22"/>
          <w:szCs w:val="22"/>
          <w:lang w:val="en-AU" w:eastAsia="en-AU"/>
        </w:rPr>
        <w:t>CrCL</w:t>
      </w:r>
      <w:proofErr w:type="spellEnd"/>
      <w:r w:rsidRPr="007D2EB5">
        <w:rPr>
          <w:sz w:val="22"/>
          <w:szCs w:val="22"/>
          <w:lang w:val="en-AU" w:eastAsia="en-AU"/>
        </w:rPr>
        <w:t xml:space="preserve"> &lt;30 mL/min) renal impairment and in end</w:t>
      </w:r>
      <w:r w:rsidRPr="007D2EB5">
        <w:rPr>
          <w:sz w:val="22"/>
          <w:szCs w:val="22"/>
          <w:lang w:val="en-AU" w:eastAsia="en-AU"/>
        </w:rPr>
        <w:noBreakHyphen/>
        <w:t>stage renal disease requiring dialysis.</w:t>
      </w:r>
    </w:p>
    <w:p w14:paraId="09955A33" w14:textId="77777777" w:rsidR="00853A41" w:rsidRDefault="00853A41" w:rsidP="00853A41">
      <w:pPr>
        <w:jc w:val="both"/>
        <w:rPr>
          <w:sz w:val="22"/>
          <w:szCs w:val="22"/>
          <w:lang w:val="en-AU" w:eastAsia="en-AU"/>
        </w:rPr>
      </w:pPr>
    </w:p>
    <w:p w14:paraId="57810006" w14:textId="77777777" w:rsidR="00853A41" w:rsidRPr="007D2EB5" w:rsidRDefault="00853A41" w:rsidP="00853A41">
      <w:pPr>
        <w:jc w:val="both"/>
        <w:rPr>
          <w:bCs/>
          <w:iCs/>
          <w:sz w:val="22"/>
          <w:szCs w:val="22"/>
          <w:u w:val="single"/>
          <w:lang w:val="en-AU"/>
        </w:rPr>
      </w:pPr>
      <w:r w:rsidRPr="009B57B6">
        <w:rPr>
          <w:i/>
          <w:iCs/>
          <w:sz w:val="22"/>
          <w:szCs w:val="22"/>
          <w:lang w:val="en-AU"/>
        </w:rPr>
        <w:t>Paediatrics</w:t>
      </w:r>
    </w:p>
    <w:p w14:paraId="41B1FD1E" w14:textId="0AEAB7C8" w:rsidR="00853A41" w:rsidRDefault="00853A41" w:rsidP="00853A41">
      <w:pPr>
        <w:jc w:val="both"/>
        <w:rPr>
          <w:sz w:val="22"/>
          <w:szCs w:val="22"/>
        </w:rPr>
      </w:pPr>
      <w:r w:rsidRPr="007D2EB5">
        <w:rPr>
          <w:noProof/>
          <w:sz w:val="22"/>
          <w:szCs w:val="22"/>
        </w:rPr>
        <w:t>Liraglutide</w:t>
      </w:r>
      <w:r w:rsidRPr="007D2EB5">
        <w:rPr>
          <w:sz w:val="22"/>
          <w:szCs w:val="22"/>
        </w:rPr>
        <w:t xml:space="preserve"> has not been studied in paediatric subjects.</w:t>
      </w:r>
    </w:p>
    <w:p w14:paraId="69991FB6" w14:textId="77777777" w:rsidR="00853A41" w:rsidRDefault="00853A41" w:rsidP="00853A41">
      <w:pPr>
        <w:jc w:val="both"/>
        <w:rPr>
          <w:sz w:val="22"/>
          <w:szCs w:val="22"/>
        </w:rPr>
      </w:pPr>
    </w:p>
    <w:p w14:paraId="326281D4" w14:textId="1F408B31" w:rsidR="00853A41" w:rsidRPr="001A5852" w:rsidRDefault="00853A41" w:rsidP="00853A41">
      <w:pPr>
        <w:jc w:val="both"/>
        <w:rPr>
          <w:b/>
        </w:rPr>
      </w:pPr>
      <w:r w:rsidRPr="001A5852">
        <w:rPr>
          <w:b/>
        </w:rPr>
        <w:t>CLINICAL TRIALS</w:t>
      </w:r>
    </w:p>
    <w:p w14:paraId="081B6D66" w14:textId="77777777" w:rsidR="00853A41" w:rsidRDefault="00853A41" w:rsidP="00853A41">
      <w:pPr>
        <w:jc w:val="both"/>
        <w:rPr>
          <w:sz w:val="22"/>
          <w:szCs w:val="22"/>
        </w:rPr>
      </w:pPr>
    </w:p>
    <w:p w14:paraId="0A28A5EE" w14:textId="5D4632D2" w:rsidR="00853A41" w:rsidRPr="00853A41" w:rsidRDefault="00853A41" w:rsidP="00853A41">
      <w:pPr>
        <w:jc w:val="both"/>
        <w:rPr>
          <w:sz w:val="22"/>
          <w:szCs w:val="22"/>
        </w:rPr>
      </w:pPr>
      <w:r w:rsidRPr="00853A41">
        <w:rPr>
          <w:b/>
          <w:sz w:val="22"/>
          <w:szCs w:val="22"/>
          <w:u w:val="single"/>
        </w:rPr>
        <w:t xml:space="preserve">A. </w:t>
      </w:r>
      <w:proofErr w:type="spellStart"/>
      <w:r w:rsidRPr="00853A41">
        <w:rPr>
          <w:b/>
          <w:sz w:val="22"/>
          <w:szCs w:val="22"/>
          <w:u w:val="single"/>
        </w:rPr>
        <w:t>Glycaemic</w:t>
      </w:r>
      <w:proofErr w:type="spellEnd"/>
      <w:r w:rsidRPr="00853A41">
        <w:rPr>
          <w:b/>
          <w:sz w:val="22"/>
          <w:szCs w:val="22"/>
          <w:u w:val="single"/>
        </w:rPr>
        <w:t xml:space="preserve"> control, Phase 2 trial</w:t>
      </w:r>
    </w:p>
    <w:p w14:paraId="5F9E3FA0" w14:textId="4FCBDE8D" w:rsidR="00416832" w:rsidRDefault="00853A41" w:rsidP="00416832">
      <w:pPr>
        <w:jc w:val="both"/>
        <w:rPr>
          <w:sz w:val="22"/>
          <w:szCs w:val="22"/>
          <w:lang w:val="en-AU" w:eastAsia="en-AU"/>
        </w:rPr>
      </w:pPr>
      <w:r w:rsidRPr="007D2EB5">
        <w:rPr>
          <w:sz w:val="22"/>
          <w:szCs w:val="22"/>
          <w:lang w:eastAsia="en-AU"/>
        </w:rPr>
        <w:t xml:space="preserve">Study NN2211-1499 was a phase 2, exploratory study. It was a double-blind, double-dummy, </w:t>
      </w:r>
      <w:proofErr w:type="spellStart"/>
      <w:r w:rsidRPr="007D2EB5">
        <w:rPr>
          <w:sz w:val="22"/>
          <w:szCs w:val="22"/>
          <w:lang w:eastAsia="en-AU"/>
        </w:rPr>
        <w:t>randomised</w:t>
      </w:r>
      <w:proofErr w:type="spellEnd"/>
      <w:r w:rsidRPr="007D2EB5">
        <w:rPr>
          <w:sz w:val="22"/>
          <w:szCs w:val="22"/>
          <w:lang w:eastAsia="en-AU"/>
        </w:rPr>
        <w:t xml:space="preserve">, parallel-group, </w:t>
      </w:r>
      <w:proofErr w:type="spellStart"/>
      <w:r w:rsidRPr="007D2EB5">
        <w:rPr>
          <w:sz w:val="22"/>
          <w:szCs w:val="22"/>
          <w:lang w:eastAsia="en-AU"/>
        </w:rPr>
        <w:t>multicentre</w:t>
      </w:r>
      <w:proofErr w:type="spellEnd"/>
      <w:r w:rsidRPr="007D2EB5">
        <w:rPr>
          <w:sz w:val="22"/>
          <w:szCs w:val="22"/>
          <w:lang w:eastAsia="en-AU"/>
        </w:rPr>
        <w:t xml:space="preserve">, dose titration study (with an open labelled oral agent arm i.e. glimepiride + </w:t>
      </w:r>
      <w:r w:rsidRPr="007D2EB5">
        <w:rPr>
          <w:sz w:val="22"/>
          <w:szCs w:val="22"/>
          <w:lang w:val="en-AU" w:eastAsia="en-AU"/>
        </w:rPr>
        <w:t xml:space="preserve">metformin) to assess the effect on glycaemic control of individual maximum effective dose of Victoza as add on therapy to metformin compared to monotherapy (metformin or Victoza alone). Victoza was given in doses of 0.5 mg, 1.0 mg, 1.5 mg, </w:t>
      </w:r>
      <w:proofErr w:type="gramStart"/>
      <w:r w:rsidRPr="007D2EB5">
        <w:rPr>
          <w:sz w:val="22"/>
          <w:szCs w:val="22"/>
          <w:lang w:val="en-AU" w:eastAsia="en-AU"/>
        </w:rPr>
        <w:t>2.0</w:t>
      </w:r>
      <w:proofErr w:type="gramEnd"/>
      <w:r w:rsidRPr="007D2EB5">
        <w:rPr>
          <w:sz w:val="22"/>
          <w:szCs w:val="22"/>
          <w:lang w:val="en-AU" w:eastAsia="en-AU"/>
        </w:rPr>
        <w:t xml:space="preserve"> mg, as a once daily subcutaneous injection in the abdomen or thigh (in the evening). The study was of five weeks duration. One hundred and forty</w:t>
      </w:r>
      <w:r w:rsidRPr="007D2EB5">
        <w:rPr>
          <w:rFonts w:ascii="Cambria Math" w:hAnsi="Cambria Math" w:cs="Cambria Math"/>
          <w:sz w:val="22"/>
          <w:szCs w:val="22"/>
          <w:lang w:val="en-AU" w:eastAsia="en-AU"/>
        </w:rPr>
        <w:t>‐</w:t>
      </w:r>
      <w:r w:rsidRPr="007D2EB5">
        <w:rPr>
          <w:sz w:val="22"/>
          <w:szCs w:val="22"/>
          <w:lang w:val="en-AU" w:eastAsia="en-AU"/>
        </w:rPr>
        <w:t xml:space="preserve">four patients were randomised (36 per group). They were on at least 50% of the maximal dose of their oral agent. Fasting serum glucose after five weeks of treatment was the primary endpoint. Victoza alone was superior to metformin alone but inferior to metformin + glimepiride whereas Victoza + metformin was superior to metformin + glimepiride. Results were similar for haemoglobin </w:t>
      </w:r>
      <w:proofErr w:type="gramStart"/>
      <w:r w:rsidRPr="007D2EB5">
        <w:rPr>
          <w:sz w:val="22"/>
          <w:szCs w:val="22"/>
          <w:lang w:val="en-AU" w:eastAsia="en-AU"/>
        </w:rPr>
        <w:t>A</w:t>
      </w:r>
      <w:r w:rsidRPr="007D2EB5">
        <w:rPr>
          <w:sz w:val="22"/>
          <w:szCs w:val="22"/>
          <w:vertAlign w:val="subscript"/>
          <w:lang w:val="en-AU" w:eastAsia="en-AU"/>
        </w:rPr>
        <w:t>1c</w:t>
      </w:r>
      <w:proofErr w:type="gramEnd"/>
      <w:r w:rsidRPr="007D2EB5">
        <w:rPr>
          <w:sz w:val="22"/>
          <w:szCs w:val="22"/>
          <w:lang w:val="en-AU" w:eastAsia="en-AU"/>
        </w:rPr>
        <w:t xml:space="preserve"> (HbA</w:t>
      </w:r>
      <w:r w:rsidRPr="007D2EB5">
        <w:rPr>
          <w:sz w:val="22"/>
          <w:szCs w:val="22"/>
          <w:vertAlign w:val="subscript"/>
          <w:lang w:val="en-AU" w:eastAsia="en-AU"/>
        </w:rPr>
        <w:t>1c</w:t>
      </w:r>
      <w:r w:rsidRPr="007D2EB5">
        <w:rPr>
          <w:sz w:val="22"/>
          <w:szCs w:val="22"/>
          <w:lang w:val="en-AU" w:eastAsia="en-AU"/>
        </w:rPr>
        <w:t>) but the short duration of the study limits the interpretation of these results.</w:t>
      </w:r>
    </w:p>
    <w:p w14:paraId="5B259CA4" w14:textId="77777777" w:rsidR="00853A41" w:rsidRDefault="00853A41" w:rsidP="00416832">
      <w:pPr>
        <w:jc w:val="both"/>
        <w:rPr>
          <w:sz w:val="22"/>
          <w:szCs w:val="22"/>
          <w:lang w:val="en-AU" w:eastAsia="en-AU"/>
        </w:rPr>
      </w:pPr>
    </w:p>
    <w:p w14:paraId="4CF71C1D" w14:textId="5DD5D446" w:rsidR="00853A41" w:rsidRPr="00853A41" w:rsidRDefault="00853A41" w:rsidP="00416832">
      <w:pPr>
        <w:jc w:val="both"/>
        <w:rPr>
          <w:noProof/>
          <w:sz w:val="26"/>
          <w:szCs w:val="26"/>
        </w:rPr>
      </w:pPr>
      <w:r w:rsidRPr="00853A41">
        <w:rPr>
          <w:b/>
          <w:sz w:val="22"/>
          <w:szCs w:val="22"/>
          <w:u w:val="single"/>
        </w:rPr>
        <w:t xml:space="preserve">B. </w:t>
      </w:r>
      <w:proofErr w:type="spellStart"/>
      <w:r w:rsidRPr="00853A41">
        <w:rPr>
          <w:b/>
          <w:sz w:val="22"/>
          <w:szCs w:val="22"/>
          <w:u w:val="single"/>
        </w:rPr>
        <w:t>Glycaemic</w:t>
      </w:r>
      <w:proofErr w:type="spellEnd"/>
      <w:r w:rsidRPr="00853A41">
        <w:rPr>
          <w:b/>
          <w:sz w:val="22"/>
          <w:szCs w:val="22"/>
          <w:u w:val="single"/>
        </w:rPr>
        <w:t xml:space="preserve"> control, Phase 3 individual trials</w:t>
      </w:r>
    </w:p>
    <w:p w14:paraId="7F9F0708" w14:textId="4742D0FD" w:rsidR="00853A41" w:rsidRDefault="00853A41" w:rsidP="00416832">
      <w:pPr>
        <w:jc w:val="both"/>
        <w:rPr>
          <w:bCs/>
          <w:iCs/>
          <w:sz w:val="22"/>
          <w:szCs w:val="22"/>
        </w:rPr>
      </w:pPr>
      <w:r w:rsidRPr="007D2EB5">
        <w:rPr>
          <w:bCs/>
          <w:iCs/>
          <w:sz w:val="22"/>
          <w:szCs w:val="22"/>
        </w:rPr>
        <w:t xml:space="preserve">There were </w:t>
      </w:r>
      <w:r w:rsidRPr="007D2EB5">
        <w:rPr>
          <w:sz w:val="22"/>
          <w:szCs w:val="22"/>
        </w:rPr>
        <w:t>3,992</w:t>
      </w:r>
      <w:r w:rsidRPr="007D2EB5">
        <w:rPr>
          <w:bCs/>
          <w:iCs/>
          <w:sz w:val="22"/>
          <w:szCs w:val="22"/>
        </w:rPr>
        <w:t xml:space="preserve"> subjects with type 2 diabetes randomised in five double-blind, controlled clinical safety and efficacy studies conducted to evaluate the effects of </w:t>
      </w:r>
      <w:r w:rsidRPr="007D2EB5">
        <w:rPr>
          <w:noProof/>
          <w:sz w:val="22"/>
          <w:szCs w:val="22"/>
        </w:rPr>
        <w:t>Victoza</w:t>
      </w:r>
      <w:r w:rsidRPr="007D2EB5">
        <w:rPr>
          <w:bCs/>
          <w:iCs/>
          <w:sz w:val="22"/>
          <w:szCs w:val="22"/>
        </w:rPr>
        <w:t xml:space="preserve"> on </w:t>
      </w:r>
      <w:proofErr w:type="spellStart"/>
      <w:r w:rsidRPr="007D2EB5">
        <w:rPr>
          <w:bCs/>
          <w:iCs/>
          <w:sz w:val="22"/>
          <w:szCs w:val="22"/>
        </w:rPr>
        <w:t>glycaemic</w:t>
      </w:r>
      <w:proofErr w:type="spellEnd"/>
      <w:r w:rsidRPr="007D2EB5">
        <w:rPr>
          <w:bCs/>
          <w:iCs/>
          <w:sz w:val="22"/>
          <w:szCs w:val="22"/>
        </w:rPr>
        <w:t xml:space="preserve"> control. </w:t>
      </w:r>
    </w:p>
    <w:p w14:paraId="09E4FED1" w14:textId="77777777" w:rsidR="00763417" w:rsidRDefault="00763417" w:rsidP="00416832">
      <w:pPr>
        <w:jc w:val="both"/>
        <w:rPr>
          <w:bCs/>
          <w:iCs/>
          <w:sz w:val="22"/>
          <w:szCs w:val="22"/>
        </w:rPr>
      </w:pPr>
    </w:p>
    <w:p w14:paraId="31103B38" w14:textId="6DA29715" w:rsidR="00763417" w:rsidRDefault="00763417" w:rsidP="00416832">
      <w:pPr>
        <w:jc w:val="both"/>
        <w:rPr>
          <w:bCs/>
          <w:iCs/>
          <w:sz w:val="22"/>
          <w:szCs w:val="22"/>
        </w:rPr>
      </w:pPr>
      <w:r w:rsidRPr="007D2EB5">
        <w:rPr>
          <w:bCs/>
          <w:iCs/>
          <w:sz w:val="22"/>
          <w:szCs w:val="22"/>
        </w:rPr>
        <w:t>These studies included 3,978 exposed subjects (2,501 subjects treated with Victoza), 53.7% men and 46.3% women, 797 subjects (508 treated with Victoza) were ≥65 years of age and 113 subjects (66 treated with Victoza) were ≥75 years of age.</w:t>
      </w:r>
    </w:p>
    <w:p w14:paraId="118AF392" w14:textId="77777777" w:rsidR="00763417" w:rsidRDefault="00763417" w:rsidP="00416832">
      <w:pPr>
        <w:jc w:val="both"/>
        <w:rPr>
          <w:bCs/>
          <w:iCs/>
          <w:sz w:val="22"/>
          <w:szCs w:val="22"/>
        </w:rPr>
      </w:pPr>
    </w:p>
    <w:p w14:paraId="1AAEF3F2" w14:textId="46B9E3C2" w:rsidR="00763417" w:rsidRDefault="00763417" w:rsidP="00416832">
      <w:pPr>
        <w:jc w:val="both"/>
        <w:rPr>
          <w:sz w:val="22"/>
          <w:szCs w:val="22"/>
          <w:lang w:val="en-AU" w:eastAsia="en-AU"/>
        </w:rPr>
      </w:pPr>
      <w:r w:rsidRPr="007D2EB5">
        <w:rPr>
          <w:sz w:val="22"/>
          <w:szCs w:val="22"/>
        </w:rPr>
        <w:t xml:space="preserve">The studies included four studies (LEAD 1, 2, 4 and 5) assessing </w:t>
      </w:r>
      <w:r w:rsidRPr="007D2EB5">
        <w:rPr>
          <w:noProof/>
          <w:sz w:val="22"/>
          <w:szCs w:val="22"/>
        </w:rPr>
        <w:t>Victoza</w:t>
      </w:r>
      <w:r w:rsidRPr="007D2EB5">
        <w:rPr>
          <w:sz w:val="22"/>
          <w:szCs w:val="22"/>
        </w:rPr>
        <w:t xml:space="preserve"> in various combinations with metformin, a sulfonylurea and rosiglitazone plus one study where Victoza was used as a single agent (LEAD 3). </w:t>
      </w:r>
      <w:r w:rsidRPr="007D2EB5">
        <w:rPr>
          <w:sz w:val="22"/>
          <w:szCs w:val="22"/>
          <w:lang w:val="en-AU" w:eastAsia="en-AU"/>
        </w:rPr>
        <w:t>In the dual therapy studies, patients could be inadequately controlled but were not necessarily failing to respond to monotherapy at baseline.</w:t>
      </w:r>
    </w:p>
    <w:p w14:paraId="646351B5" w14:textId="77777777" w:rsidR="00763417" w:rsidRDefault="00763417" w:rsidP="00416832">
      <w:pPr>
        <w:jc w:val="both"/>
        <w:rPr>
          <w:sz w:val="22"/>
          <w:szCs w:val="22"/>
          <w:lang w:val="en-AU" w:eastAsia="en-AU"/>
        </w:rPr>
      </w:pPr>
    </w:p>
    <w:p w14:paraId="51426A7D" w14:textId="667FD7D9" w:rsidR="00763417" w:rsidRPr="00763417" w:rsidRDefault="00763417" w:rsidP="00416832">
      <w:pPr>
        <w:jc w:val="both"/>
        <w:rPr>
          <w:noProof/>
          <w:sz w:val="26"/>
          <w:szCs w:val="26"/>
        </w:rPr>
      </w:pPr>
      <w:r w:rsidRPr="00763417">
        <w:rPr>
          <w:noProof/>
          <w:sz w:val="22"/>
          <w:szCs w:val="22"/>
          <w:u w:val="single"/>
        </w:rPr>
        <w:t>B.i. Monotherapy</w:t>
      </w:r>
    </w:p>
    <w:p w14:paraId="12DDCCF3" w14:textId="5D7A7A7C" w:rsidR="00853A41" w:rsidRDefault="00763417" w:rsidP="00416832">
      <w:pPr>
        <w:jc w:val="both"/>
        <w:rPr>
          <w:bCs/>
          <w:iCs/>
          <w:sz w:val="22"/>
          <w:szCs w:val="22"/>
        </w:rPr>
      </w:pPr>
      <w:r w:rsidRPr="007D2EB5">
        <w:rPr>
          <w:bCs/>
          <w:iCs/>
          <w:sz w:val="22"/>
          <w:szCs w:val="22"/>
        </w:rPr>
        <w:t xml:space="preserve">LEAD 3 (Trial 1573) enrolled 746 patients with type 2 diabetes previously treated with diet/exercise and with an </w:t>
      </w:r>
      <w:r w:rsidRPr="007D2EB5">
        <w:rPr>
          <w:sz w:val="22"/>
          <w:szCs w:val="22"/>
          <w:lang w:val="en-AU" w:eastAsia="en-AU"/>
        </w:rPr>
        <w:t>HbA</w:t>
      </w:r>
      <w:r w:rsidRPr="007D2EB5">
        <w:rPr>
          <w:sz w:val="22"/>
          <w:szCs w:val="22"/>
          <w:vertAlign w:val="subscript"/>
          <w:lang w:val="en-AU" w:eastAsia="en-AU"/>
        </w:rPr>
        <w:t>1c</w:t>
      </w:r>
      <w:r w:rsidRPr="007D2EB5">
        <w:rPr>
          <w:sz w:val="22"/>
          <w:szCs w:val="22"/>
          <w:lang w:val="en-AU" w:eastAsia="en-AU"/>
        </w:rPr>
        <w:t xml:space="preserve"> 7.0</w:t>
      </w:r>
      <w:r w:rsidRPr="007D2EB5">
        <w:rPr>
          <w:rFonts w:ascii="Cambria Math" w:hAnsi="Cambria Math" w:cs="Cambria Math"/>
          <w:sz w:val="22"/>
          <w:szCs w:val="22"/>
          <w:lang w:val="en-AU" w:eastAsia="en-AU"/>
        </w:rPr>
        <w:t>‐</w:t>
      </w:r>
      <w:r w:rsidRPr="007D2EB5">
        <w:rPr>
          <w:sz w:val="22"/>
          <w:szCs w:val="22"/>
          <w:lang w:val="en-AU" w:eastAsia="en-AU"/>
        </w:rPr>
        <w:t xml:space="preserve">11.0% (inclusive), </w:t>
      </w:r>
      <w:r w:rsidRPr="007D2EB5">
        <w:rPr>
          <w:bCs/>
          <w:iCs/>
          <w:sz w:val="22"/>
          <w:szCs w:val="22"/>
        </w:rPr>
        <w:t xml:space="preserve">or with not more than half-maximal oral antidiabetic drug (OAD) monotherapy for at least 2 months and </w:t>
      </w:r>
      <w:r w:rsidRPr="007D2EB5">
        <w:rPr>
          <w:sz w:val="22"/>
          <w:szCs w:val="22"/>
          <w:lang w:val="en-AU" w:eastAsia="en-AU"/>
        </w:rPr>
        <w:t>with an  HbA</w:t>
      </w:r>
      <w:r w:rsidRPr="007D2EB5">
        <w:rPr>
          <w:sz w:val="22"/>
          <w:szCs w:val="22"/>
          <w:vertAlign w:val="subscript"/>
          <w:lang w:val="en-AU" w:eastAsia="en-AU"/>
        </w:rPr>
        <w:t xml:space="preserve">1c </w:t>
      </w:r>
      <w:r w:rsidRPr="007D2EB5">
        <w:rPr>
          <w:sz w:val="22"/>
          <w:szCs w:val="22"/>
          <w:lang w:val="en-AU" w:eastAsia="en-AU"/>
        </w:rPr>
        <w:t>7.0</w:t>
      </w:r>
      <w:r w:rsidRPr="007D2EB5">
        <w:rPr>
          <w:rFonts w:ascii="Cambria Math" w:hAnsi="Cambria Math" w:cs="Cambria Math"/>
          <w:sz w:val="22"/>
          <w:szCs w:val="22"/>
          <w:lang w:val="en-AU" w:eastAsia="en-AU"/>
        </w:rPr>
        <w:t>‐</w:t>
      </w:r>
      <w:r w:rsidRPr="007D2EB5">
        <w:rPr>
          <w:sz w:val="22"/>
          <w:szCs w:val="22"/>
          <w:lang w:val="en-AU" w:eastAsia="en-AU"/>
        </w:rPr>
        <w:t>10.0% (inclusive)</w:t>
      </w:r>
      <w:r w:rsidRPr="007D2EB5">
        <w:rPr>
          <w:bCs/>
          <w:iCs/>
          <w:sz w:val="22"/>
          <w:szCs w:val="22"/>
        </w:rPr>
        <w:t>. Patients were randomised to Victoza 1.2 mg, Victoza 1.8 mg, or glimepiride 8 mg, and treated for 52 weeks</w:t>
      </w:r>
      <w:bookmarkStart w:id="3" w:name="OLE_LINK21"/>
      <w:r w:rsidRPr="007D2EB5">
        <w:rPr>
          <w:bCs/>
          <w:iCs/>
          <w:sz w:val="22"/>
          <w:szCs w:val="22"/>
        </w:rPr>
        <w:t xml:space="preserve">. </w:t>
      </w:r>
      <w:bookmarkEnd w:id="3"/>
      <w:r w:rsidRPr="007D2EB5">
        <w:rPr>
          <w:bCs/>
          <w:iCs/>
          <w:sz w:val="22"/>
          <w:szCs w:val="22"/>
        </w:rPr>
        <w:t>Treatment with Victoza 1.8 mg and 1.2 mg resulted in a statistically significant reduction in HbA</w:t>
      </w:r>
      <w:r w:rsidRPr="007D2EB5">
        <w:rPr>
          <w:bCs/>
          <w:iCs/>
          <w:sz w:val="22"/>
          <w:szCs w:val="22"/>
          <w:vertAlign w:val="subscript"/>
        </w:rPr>
        <w:t>1c</w:t>
      </w:r>
      <w:r w:rsidRPr="007D2EB5">
        <w:rPr>
          <w:bCs/>
          <w:iCs/>
          <w:sz w:val="22"/>
          <w:szCs w:val="22"/>
        </w:rPr>
        <w:t xml:space="preserve"> from baseline compared to glimepiride (Table 1).  </w:t>
      </w:r>
    </w:p>
    <w:p w14:paraId="3EB9D5B7" w14:textId="77777777" w:rsidR="00763417" w:rsidRDefault="00763417" w:rsidP="00416832">
      <w:pPr>
        <w:jc w:val="both"/>
        <w:rPr>
          <w:bCs/>
          <w:iCs/>
          <w:sz w:val="22"/>
          <w:szCs w:val="22"/>
        </w:rPr>
      </w:pPr>
    </w:p>
    <w:p w14:paraId="7A48B22E" w14:textId="28C71CBF" w:rsidR="00763417" w:rsidRPr="00763417" w:rsidRDefault="00763417" w:rsidP="00416832">
      <w:pPr>
        <w:jc w:val="both"/>
        <w:rPr>
          <w:b/>
          <w:noProof/>
          <w:sz w:val="26"/>
          <w:szCs w:val="26"/>
        </w:rPr>
      </w:pPr>
      <w:r w:rsidRPr="00763417">
        <w:rPr>
          <w:b/>
          <w:sz w:val="22"/>
          <w:szCs w:val="22"/>
        </w:rPr>
        <w:t>Table 1</w:t>
      </w:r>
      <w:r w:rsidRPr="00763417">
        <w:rPr>
          <w:b/>
          <w:sz w:val="22"/>
          <w:szCs w:val="22"/>
        </w:rPr>
        <w:tab/>
      </w:r>
      <w:r w:rsidR="001A5852">
        <w:rPr>
          <w:b/>
          <w:sz w:val="22"/>
          <w:szCs w:val="22"/>
        </w:rPr>
        <w:t xml:space="preserve">  </w:t>
      </w:r>
      <w:r w:rsidRPr="00763417">
        <w:rPr>
          <w:b/>
          <w:sz w:val="22"/>
          <w:szCs w:val="22"/>
        </w:rPr>
        <w:t>Results of a 52 week trial of Victoza (LEAD 3) as monotherapy in patients previously treated with diet and exercise.</w:t>
      </w:r>
      <w:r w:rsidRPr="00763417">
        <w:rPr>
          <w:b/>
          <w:iCs/>
          <w:sz w:val="22"/>
          <w:szCs w:val="22"/>
        </w:rPr>
        <w:t xml:space="preserve"> </w:t>
      </w:r>
    </w:p>
    <w:tbl>
      <w:tblPr>
        <w:tblW w:w="7405" w:type="dxa"/>
        <w:tblInd w:w="108" w:type="dxa"/>
        <w:tblBorders>
          <w:top w:val="single" w:sz="4" w:space="0" w:color="auto"/>
          <w:bottom w:val="single" w:sz="4" w:space="0" w:color="auto"/>
          <w:insideH w:val="single" w:sz="4" w:space="0" w:color="auto"/>
        </w:tblBorders>
        <w:tblLayout w:type="fixed"/>
        <w:tblLook w:val="01E0" w:firstRow="1" w:lastRow="1" w:firstColumn="1" w:lastColumn="1" w:noHBand="0" w:noVBand="0"/>
      </w:tblPr>
      <w:tblGrid>
        <w:gridCol w:w="2290"/>
        <w:gridCol w:w="1741"/>
        <w:gridCol w:w="1741"/>
        <w:gridCol w:w="1633"/>
      </w:tblGrid>
      <w:tr w:rsidR="00763417" w:rsidRPr="003554DF" w14:paraId="37579EE7" w14:textId="77777777" w:rsidTr="00A14AF3">
        <w:trPr>
          <w:cantSplit/>
          <w:trHeight w:val="272"/>
        </w:trPr>
        <w:tc>
          <w:tcPr>
            <w:tcW w:w="5772" w:type="dxa"/>
            <w:gridSpan w:val="3"/>
          </w:tcPr>
          <w:p w14:paraId="2C63F783" w14:textId="77777777" w:rsidR="00763417" w:rsidRPr="003554DF" w:rsidRDefault="00763417" w:rsidP="00A14AF3">
            <w:pPr>
              <w:pStyle w:val="TableText"/>
              <w:keepNext w:val="0"/>
              <w:rPr>
                <w:sz w:val="16"/>
                <w:szCs w:val="16"/>
              </w:rPr>
            </w:pPr>
            <w:r w:rsidRPr="003554DF">
              <w:rPr>
                <w:b/>
                <w:sz w:val="16"/>
                <w:szCs w:val="16"/>
              </w:rPr>
              <w:t>LEAD 3 – Victoza monotherapy</w:t>
            </w:r>
          </w:p>
        </w:tc>
        <w:tc>
          <w:tcPr>
            <w:tcW w:w="1633" w:type="dxa"/>
          </w:tcPr>
          <w:p w14:paraId="121B2B45" w14:textId="77777777" w:rsidR="00763417" w:rsidRPr="003554DF" w:rsidRDefault="00763417" w:rsidP="00A14AF3">
            <w:pPr>
              <w:pStyle w:val="TableText"/>
              <w:keepNext w:val="0"/>
              <w:rPr>
                <w:sz w:val="16"/>
                <w:szCs w:val="16"/>
              </w:rPr>
            </w:pPr>
          </w:p>
        </w:tc>
      </w:tr>
      <w:tr w:rsidR="00763417" w:rsidRPr="003554DF" w14:paraId="58C6E1F9" w14:textId="77777777" w:rsidTr="00A14AF3">
        <w:trPr>
          <w:cantSplit/>
          <w:trHeight w:val="506"/>
        </w:trPr>
        <w:tc>
          <w:tcPr>
            <w:tcW w:w="2290" w:type="dxa"/>
            <w:tcBorders>
              <w:bottom w:val="single" w:sz="4" w:space="0" w:color="auto"/>
            </w:tcBorders>
          </w:tcPr>
          <w:p w14:paraId="3777DD88" w14:textId="77777777" w:rsidR="00763417" w:rsidRPr="003554DF" w:rsidRDefault="00763417" w:rsidP="00A14AF3">
            <w:pPr>
              <w:pStyle w:val="TableText"/>
              <w:keepNext w:val="0"/>
              <w:rPr>
                <w:sz w:val="16"/>
                <w:szCs w:val="16"/>
              </w:rPr>
            </w:pPr>
          </w:p>
        </w:tc>
        <w:tc>
          <w:tcPr>
            <w:tcW w:w="1741" w:type="dxa"/>
            <w:tcMar>
              <w:left w:w="57" w:type="dxa"/>
              <w:right w:w="57" w:type="dxa"/>
            </w:tcMar>
          </w:tcPr>
          <w:p w14:paraId="0C7A8D8A" w14:textId="77777777" w:rsidR="00763417" w:rsidRPr="003554DF" w:rsidRDefault="00763417" w:rsidP="00A14AF3">
            <w:pPr>
              <w:pStyle w:val="TableText"/>
              <w:keepNext w:val="0"/>
              <w:rPr>
                <w:b/>
                <w:sz w:val="16"/>
                <w:szCs w:val="16"/>
              </w:rPr>
            </w:pPr>
            <w:r w:rsidRPr="003554DF">
              <w:rPr>
                <w:b/>
                <w:noProof/>
                <w:sz w:val="16"/>
                <w:szCs w:val="16"/>
              </w:rPr>
              <w:t>Victoza</w:t>
            </w:r>
            <w:r w:rsidRPr="003554DF">
              <w:rPr>
                <w:b/>
                <w:sz w:val="16"/>
                <w:szCs w:val="16"/>
              </w:rPr>
              <w:t xml:space="preserve"> 1.8 mg</w:t>
            </w:r>
          </w:p>
        </w:tc>
        <w:tc>
          <w:tcPr>
            <w:tcW w:w="1741" w:type="dxa"/>
            <w:tcMar>
              <w:left w:w="57" w:type="dxa"/>
              <w:right w:w="57" w:type="dxa"/>
            </w:tcMar>
          </w:tcPr>
          <w:p w14:paraId="5494A685" w14:textId="77777777" w:rsidR="00763417" w:rsidRPr="003554DF" w:rsidRDefault="00763417" w:rsidP="00A14AF3">
            <w:pPr>
              <w:pStyle w:val="TableText"/>
              <w:keepNext w:val="0"/>
              <w:rPr>
                <w:b/>
                <w:sz w:val="16"/>
                <w:szCs w:val="16"/>
              </w:rPr>
            </w:pPr>
            <w:r w:rsidRPr="003554DF">
              <w:rPr>
                <w:b/>
                <w:noProof/>
                <w:sz w:val="16"/>
                <w:szCs w:val="16"/>
              </w:rPr>
              <w:t>Victoza</w:t>
            </w:r>
            <w:r w:rsidRPr="003554DF">
              <w:rPr>
                <w:b/>
                <w:sz w:val="16"/>
                <w:szCs w:val="16"/>
              </w:rPr>
              <w:t xml:space="preserve"> 1.2 mg</w:t>
            </w:r>
          </w:p>
        </w:tc>
        <w:tc>
          <w:tcPr>
            <w:tcW w:w="1633" w:type="dxa"/>
            <w:tcMar>
              <w:left w:w="57" w:type="dxa"/>
              <w:right w:w="57" w:type="dxa"/>
            </w:tcMar>
          </w:tcPr>
          <w:p w14:paraId="65C52FC7" w14:textId="77777777" w:rsidR="00763417" w:rsidRPr="003554DF" w:rsidRDefault="00763417" w:rsidP="00A14AF3">
            <w:pPr>
              <w:pStyle w:val="TableText"/>
              <w:keepNext w:val="0"/>
              <w:rPr>
                <w:sz w:val="16"/>
                <w:szCs w:val="16"/>
              </w:rPr>
            </w:pPr>
            <w:r w:rsidRPr="003554DF">
              <w:rPr>
                <w:b/>
                <w:sz w:val="16"/>
                <w:szCs w:val="16"/>
              </w:rPr>
              <w:t>Glimepiride 8 mg/day</w:t>
            </w:r>
          </w:p>
        </w:tc>
      </w:tr>
      <w:tr w:rsidR="00763417" w:rsidRPr="003554DF" w14:paraId="0E9366FB" w14:textId="77777777" w:rsidTr="00A14AF3">
        <w:trPr>
          <w:cantSplit/>
          <w:trHeight w:val="257"/>
        </w:trPr>
        <w:tc>
          <w:tcPr>
            <w:tcW w:w="2290" w:type="dxa"/>
            <w:tcBorders>
              <w:top w:val="single" w:sz="4" w:space="0" w:color="auto"/>
            </w:tcBorders>
          </w:tcPr>
          <w:p w14:paraId="60D7F0E3" w14:textId="77777777" w:rsidR="00763417" w:rsidRPr="003554DF" w:rsidRDefault="00763417" w:rsidP="00A14AF3">
            <w:pPr>
              <w:pStyle w:val="TableText"/>
              <w:keepNext w:val="0"/>
              <w:rPr>
                <w:sz w:val="16"/>
                <w:szCs w:val="16"/>
              </w:rPr>
            </w:pPr>
            <w:r w:rsidRPr="003554DF">
              <w:rPr>
                <w:b/>
                <w:bCs/>
                <w:sz w:val="16"/>
                <w:szCs w:val="16"/>
              </w:rPr>
              <w:t>N</w:t>
            </w:r>
          </w:p>
        </w:tc>
        <w:tc>
          <w:tcPr>
            <w:tcW w:w="1741" w:type="dxa"/>
          </w:tcPr>
          <w:p w14:paraId="57410FBA" w14:textId="77777777" w:rsidR="00763417" w:rsidRPr="003554DF" w:rsidRDefault="00763417" w:rsidP="00A14AF3">
            <w:pPr>
              <w:pStyle w:val="TableText"/>
              <w:keepNext w:val="0"/>
              <w:rPr>
                <w:sz w:val="16"/>
                <w:szCs w:val="16"/>
              </w:rPr>
            </w:pPr>
            <w:r w:rsidRPr="003554DF">
              <w:rPr>
                <w:sz w:val="16"/>
                <w:szCs w:val="16"/>
              </w:rPr>
              <w:t>246</w:t>
            </w:r>
          </w:p>
        </w:tc>
        <w:tc>
          <w:tcPr>
            <w:tcW w:w="1741" w:type="dxa"/>
          </w:tcPr>
          <w:p w14:paraId="7605358C" w14:textId="77777777" w:rsidR="00763417" w:rsidRPr="003554DF" w:rsidRDefault="00763417" w:rsidP="00A14AF3">
            <w:pPr>
              <w:pStyle w:val="TableText"/>
              <w:keepNext w:val="0"/>
              <w:rPr>
                <w:sz w:val="16"/>
                <w:szCs w:val="16"/>
              </w:rPr>
            </w:pPr>
            <w:r w:rsidRPr="003554DF">
              <w:rPr>
                <w:sz w:val="16"/>
                <w:szCs w:val="16"/>
              </w:rPr>
              <w:t>251</w:t>
            </w:r>
          </w:p>
        </w:tc>
        <w:tc>
          <w:tcPr>
            <w:tcW w:w="1633" w:type="dxa"/>
          </w:tcPr>
          <w:p w14:paraId="40E43A0A" w14:textId="77777777" w:rsidR="00763417" w:rsidRPr="003554DF" w:rsidRDefault="00763417" w:rsidP="00A14AF3">
            <w:pPr>
              <w:pStyle w:val="TableText"/>
              <w:keepNext w:val="0"/>
              <w:rPr>
                <w:sz w:val="16"/>
                <w:szCs w:val="16"/>
              </w:rPr>
            </w:pPr>
            <w:r w:rsidRPr="003554DF">
              <w:rPr>
                <w:sz w:val="16"/>
                <w:szCs w:val="16"/>
              </w:rPr>
              <w:t>248</w:t>
            </w:r>
          </w:p>
        </w:tc>
      </w:tr>
      <w:tr w:rsidR="00763417" w:rsidRPr="003554DF" w14:paraId="6C09A1A3" w14:textId="77777777" w:rsidTr="00A14AF3">
        <w:trPr>
          <w:cantSplit/>
          <w:trHeight w:val="892"/>
        </w:trPr>
        <w:tc>
          <w:tcPr>
            <w:tcW w:w="2290" w:type="dxa"/>
            <w:tcBorders>
              <w:bottom w:val="nil"/>
            </w:tcBorders>
          </w:tcPr>
          <w:p w14:paraId="47E25A63" w14:textId="77777777" w:rsidR="00763417" w:rsidRPr="003554DF" w:rsidRDefault="00763417" w:rsidP="00A14AF3">
            <w:pPr>
              <w:pStyle w:val="TableText"/>
              <w:keepNext w:val="0"/>
              <w:spacing w:after="120"/>
              <w:rPr>
                <w:sz w:val="16"/>
                <w:szCs w:val="16"/>
              </w:rPr>
            </w:pPr>
            <w:r w:rsidRPr="003554DF">
              <w:rPr>
                <w:b/>
                <w:bCs/>
                <w:sz w:val="16"/>
                <w:szCs w:val="16"/>
              </w:rPr>
              <w:t>HbA</w:t>
            </w:r>
            <w:r w:rsidRPr="003554DF">
              <w:rPr>
                <w:b/>
                <w:bCs/>
                <w:sz w:val="16"/>
                <w:szCs w:val="16"/>
                <w:vertAlign w:val="subscript"/>
              </w:rPr>
              <w:t>1c</w:t>
            </w:r>
            <w:r w:rsidRPr="003554DF">
              <w:rPr>
                <w:b/>
                <w:bCs/>
                <w:sz w:val="16"/>
                <w:szCs w:val="16"/>
              </w:rPr>
              <w:t xml:space="preserve"> (%) (Mean)</w:t>
            </w:r>
            <w:r w:rsidRPr="003554DF">
              <w:rPr>
                <w:b/>
                <w:bCs/>
                <w:sz w:val="16"/>
                <w:szCs w:val="16"/>
              </w:rPr>
              <w:br/>
            </w:r>
            <w:r w:rsidRPr="003554DF">
              <w:rPr>
                <w:sz w:val="16"/>
                <w:szCs w:val="16"/>
              </w:rPr>
              <w:t>Baseline</w:t>
            </w:r>
            <w:r w:rsidRPr="003554DF">
              <w:rPr>
                <w:sz w:val="16"/>
                <w:szCs w:val="16"/>
              </w:rPr>
              <w:br/>
              <w:t>Change from baseline</w:t>
            </w:r>
          </w:p>
        </w:tc>
        <w:tc>
          <w:tcPr>
            <w:tcW w:w="1741" w:type="dxa"/>
            <w:tcBorders>
              <w:bottom w:val="nil"/>
            </w:tcBorders>
          </w:tcPr>
          <w:p w14:paraId="51B27270" w14:textId="77777777" w:rsidR="00763417" w:rsidRPr="003554DF" w:rsidRDefault="00763417" w:rsidP="00A14AF3">
            <w:pPr>
              <w:pStyle w:val="TableText"/>
              <w:keepNext w:val="0"/>
              <w:rPr>
                <w:sz w:val="16"/>
                <w:szCs w:val="16"/>
              </w:rPr>
            </w:pPr>
            <w:r w:rsidRPr="003554DF">
              <w:rPr>
                <w:sz w:val="16"/>
                <w:szCs w:val="16"/>
              </w:rPr>
              <w:br/>
              <w:t>8.2</w:t>
            </w:r>
            <w:r w:rsidRPr="003554DF">
              <w:rPr>
                <w:sz w:val="16"/>
                <w:szCs w:val="16"/>
              </w:rPr>
              <w:br/>
              <w:t>-1.14**</w:t>
            </w:r>
          </w:p>
        </w:tc>
        <w:tc>
          <w:tcPr>
            <w:tcW w:w="1741" w:type="dxa"/>
            <w:tcBorders>
              <w:bottom w:val="nil"/>
            </w:tcBorders>
          </w:tcPr>
          <w:p w14:paraId="45DD10CC" w14:textId="77777777" w:rsidR="00763417" w:rsidRPr="003554DF" w:rsidRDefault="00763417" w:rsidP="00A14AF3">
            <w:pPr>
              <w:pStyle w:val="TableText"/>
              <w:keepNext w:val="0"/>
              <w:rPr>
                <w:sz w:val="16"/>
                <w:szCs w:val="16"/>
              </w:rPr>
            </w:pPr>
            <w:r w:rsidRPr="003554DF">
              <w:rPr>
                <w:sz w:val="16"/>
                <w:szCs w:val="16"/>
              </w:rPr>
              <w:br/>
              <w:t>8.2</w:t>
            </w:r>
            <w:r w:rsidRPr="003554DF">
              <w:rPr>
                <w:sz w:val="16"/>
                <w:szCs w:val="16"/>
              </w:rPr>
              <w:br/>
              <w:t>-0.84*</w:t>
            </w:r>
          </w:p>
        </w:tc>
        <w:tc>
          <w:tcPr>
            <w:tcW w:w="1633" w:type="dxa"/>
            <w:tcBorders>
              <w:bottom w:val="nil"/>
            </w:tcBorders>
          </w:tcPr>
          <w:p w14:paraId="4CDA4158" w14:textId="77777777" w:rsidR="00763417" w:rsidRPr="003554DF" w:rsidRDefault="00763417" w:rsidP="00A14AF3">
            <w:pPr>
              <w:pStyle w:val="TableText"/>
              <w:keepNext w:val="0"/>
              <w:rPr>
                <w:sz w:val="16"/>
                <w:szCs w:val="16"/>
              </w:rPr>
            </w:pPr>
            <w:r w:rsidRPr="003554DF">
              <w:rPr>
                <w:sz w:val="16"/>
                <w:szCs w:val="16"/>
              </w:rPr>
              <w:br/>
              <w:t>8.2</w:t>
            </w:r>
            <w:r w:rsidRPr="003554DF">
              <w:rPr>
                <w:sz w:val="16"/>
                <w:szCs w:val="16"/>
              </w:rPr>
              <w:br/>
              <w:t>-0.51</w:t>
            </w:r>
          </w:p>
        </w:tc>
      </w:tr>
      <w:tr w:rsidR="00763417" w:rsidRPr="003554DF" w14:paraId="7DDD24B5" w14:textId="77777777" w:rsidTr="00A14AF3">
        <w:trPr>
          <w:cantSplit/>
          <w:trHeight w:val="605"/>
        </w:trPr>
        <w:tc>
          <w:tcPr>
            <w:tcW w:w="2290" w:type="dxa"/>
            <w:tcBorders>
              <w:top w:val="nil"/>
              <w:bottom w:val="single" w:sz="4" w:space="0" w:color="auto"/>
            </w:tcBorders>
          </w:tcPr>
          <w:p w14:paraId="488ACDCB" w14:textId="77777777" w:rsidR="00763417" w:rsidRPr="003554DF" w:rsidRDefault="00763417" w:rsidP="00A14AF3">
            <w:pPr>
              <w:pStyle w:val="TableText"/>
              <w:keepNext w:val="0"/>
              <w:tabs>
                <w:tab w:val="left" w:pos="153"/>
              </w:tabs>
              <w:spacing w:after="120"/>
              <w:rPr>
                <w:sz w:val="16"/>
                <w:szCs w:val="16"/>
              </w:rPr>
            </w:pPr>
            <w:r w:rsidRPr="003554DF">
              <w:rPr>
                <w:b/>
                <w:sz w:val="16"/>
                <w:szCs w:val="16"/>
                <w:lang w:val="en-US"/>
              </w:rPr>
              <w:t>Subjects (%) achieving HbA</w:t>
            </w:r>
            <w:r w:rsidRPr="003554DF">
              <w:rPr>
                <w:b/>
                <w:sz w:val="16"/>
                <w:szCs w:val="16"/>
                <w:vertAlign w:val="subscript"/>
                <w:lang w:val="en-US"/>
              </w:rPr>
              <w:t>1c</w:t>
            </w:r>
            <w:r w:rsidRPr="003554DF">
              <w:rPr>
                <w:b/>
                <w:sz w:val="16"/>
                <w:szCs w:val="16"/>
                <w:lang w:val="en-US"/>
              </w:rPr>
              <w:t xml:space="preserve"> &lt;7%</w:t>
            </w:r>
            <w:r w:rsidRPr="003554DF">
              <w:rPr>
                <w:b/>
                <w:sz w:val="16"/>
                <w:szCs w:val="16"/>
                <w:lang w:val="en-US"/>
              </w:rPr>
              <w:br/>
            </w:r>
            <w:r w:rsidRPr="003554DF">
              <w:rPr>
                <w:sz w:val="16"/>
                <w:szCs w:val="16"/>
                <w:lang w:val="en-US"/>
              </w:rPr>
              <w:t>All subjects</w:t>
            </w:r>
          </w:p>
        </w:tc>
        <w:tc>
          <w:tcPr>
            <w:tcW w:w="1741" w:type="dxa"/>
            <w:tcBorders>
              <w:top w:val="nil"/>
              <w:bottom w:val="single" w:sz="4" w:space="0" w:color="auto"/>
            </w:tcBorders>
          </w:tcPr>
          <w:p w14:paraId="1005CE06" w14:textId="77777777" w:rsidR="00763417" w:rsidRPr="003554DF" w:rsidRDefault="00763417" w:rsidP="00A14AF3">
            <w:pPr>
              <w:pStyle w:val="TableText"/>
              <w:keepNext w:val="0"/>
              <w:rPr>
                <w:sz w:val="16"/>
                <w:szCs w:val="16"/>
              </w:rPr>
            </w:pPr>
            <w:r w:rsidRPr="003554DF">
              <w:rPr>
                <w:sz w:val="16"/>
                <w:szCs w:val="16"/>
              </w:rPr>
              <w:br/>
            </w:r>
          </w:p>
          <w:p w14:paraId="49BD7786" w14:textId="77777777" w:rsidR="00763417" w:rsidRPr="003554DF" w:rsidRDefault="00763417" w:rsidP="00A14AF3">
            <w:pPr>
              <w:pStyle w:val="TableText"/>
              <w:keepNext w:val="0"/>
              <w:rPr>
                <w:sz w:val="16"/>
                <w:szCs w:val="16"/>
              </w:rPr>
            </w:pPr>
            <w:r w:rsidRPr="003554DF">
              <w:rPr>
                <w:sz w:val="16"/>
                <w:szCs w:val="16"/>
              </w:rPr>
              <w:t>50.9</w:t>
            </w:r>
          </w:p>
        </w:tc>
        <w:tc>
          <w:tcPr>
            <w:tcW w:w="1741" w:type="dxa"/>
            <w:tcBorders>
              <w:top w:val="nil"/>
              <w:bottom w:val="single" w:sz="4" w:space="0" w:color="auto"/>
            </w:tcBorders>
          </w:tcPr>
          <w:p w14:paraId="049F2421" w14:textId="77777777" w:rsidR="00763417" w:rsidRPr="003554DF" w:rsidRDefault="00763417" w:rsidP="00A14AF3">
            <w:pPr>
              <w:pStyle w:val="TableText"/>
              <w:keepNext w:val="0"/>
              <w:rPr>
                <w:sz w:val="16"/>
                <w:szCs w:val="16"/>
              </w:rPr>
            </w:pPr>
            <w:r w:rsidRPr="003554DF">
              <w:rPr>
                <w:sz w:val="16"/>
                <w:szCs w:val="16"/>
              </w:rPr>
              <w:br/>
            </w:r>
          </w:p>
          <w:p w14:paraId="6839AE4C" w14:textId="77777777" w:rsidR="00763417" w:rsidRPr="003554DF" w:rsidRDefault="00763417" w:rsidP="00A14AF3">
            <w:pPr>
              <w:pStyle w:val="TableText"/>
              <w:keepNext w:val="0"/>
              <w:rPr>
                <w:sz w:val="16"/>
                <w:szCs w:val="16"/>
              </w:rPr>
            </w:pPr>
            <w:r w:rsidRPr="003554DF">
              <w:rPr>
                <w:sz w:val="16"/>
                <w:szCs w:val="16"/>
              </w:rPr>
              <w:t>42.8</w:t>
            </w:r>
          </w:p>
        </w:tc>
        <w:tc>
          <w:tcPr>
            <w:tcW w:w="1633" w:type="dxa"/>
            <w:tcBorders>
              <w:top w:val="nil"/>
              <w:bottom w:val="single" w:sz="4" w:space="0" w:color="auto"/>
            </w:tcBorders>
          </w:tcPr>
          <w:p w14:paraId="07E08F2D" w14:textId="77777777" w:rsidR="00763417" w:rsidRPr="003554DF" w:rsidRDefault="00763417" w:rsidP="00A14AF3">
            <w:pPr>
              <w:pStyle w:val="TableText"/>
              <w:keepNext w:val="0"/>
              <w:rPr>
                <w:sz w:val="16"/>
                <w:szCs w:val="16"/>
              </w:rPr>
            </w:pPr>
            <w:r w:rsidRPr="003554DF">
              <w:rPr>
                <w:sz w:val="16"/>
                <w:szCs w:val="16"/>
              </w:rPr>
              <w:br/>
            </w:r>
          </w:p>
          <w:p w14:paraId="4CE16499" w14:textId="77777777" w:rsidR="00763417" w:rsidRPr="003554DF" w:rsidRDefault="00763417" w:rsidP="00A14AF3">
            <w:pPr>
              <w:pStyle w:val="TableText"/>
              <w:keepNext w:val="0"/>
              <w:rPr>
                <w:sz w:val="16"/>
                <w:szCs w:val="16"/>
              </w:rPr>
            </w:pPr>
            <w:r w:rsidRPr="003554DF">
              <w:rPr>
                <w:sz w:val="16"/>
                <w:szCs w:val="16"/>
              </w:rPr>
              <w:t>27.8</w:t>
            </w:r>
          </w:p>
        </w:tc>
      </w:tr>
    </w:tbl>
    <w:p w14:paraId="4BE5FDDA" w14:textId="77777777" w:rsidR="00763417" w:rsidRPr="003554DF" w:rsidRDefault="00763417" w:rsidP="00763417">
      <w:pPr>
        <w:pStyle w:val="Caption"/>
        <w:tabs>
          <w:tab w:val="clear" w:pos="1134"/>
        </w:tabs>
        <w:spacing w:before="0" w:after="0"/>
        <w:ind w:left="0" w:firstLine="0"/>
        <w:rPr>
          <w:b w:val="0"/>
          <w:sz w:val="16"/>
          <w:szCs w:val="16"/>
        </w:rPr>
      </w:pPr>
      <w:r w:rsidRPr="003554DF">
        <w:rPr>
          <w:b w:val="0"/>
          <w:sz w:val="16"/>
          <w:szCs w:val="16"/>
        </w:rPr>
        <w:t>* Significantly different (p &lt;0.05) from active comparator</w:t>
      </w:r>
    </w:p>
    <w:p w14:paraId="620C304F" w14:textId="514877A0" w:rsidR="00853A41" w:rsidRPr="00763417" w:rsidRDefault="00763417" w:rsidP="00763417">
      <w:pPr>
        <w:jc w:val="both"/>
        <w:rPr>
          <w:noProof/>
          <w:sz w:val="26"/>
          <w:szCs w:val="26"/>
        </w:rPr>
      </w:pPr>
      <w:r w:rsidRPr="00763417">
        <w:rPr>
          <w:sz w:val="16"/>
          <w:szCs w:val="16"/>
        </w:rPr>
        <w:lastRenderedPageBreak/>
        <w:t>**Significantly different (p &lt;0.0001) from active comparator</w:t>
      </w:r>
    </w:p>
    <w:p w14:paraId="08A64315" w14:textId="77777777" w:rsidR="00853A41" w:rsidRDefault="00853A41" w:rsidP="00416832">
      <w:pPr>
        <w:jc w:val="both"/>
        <w:rPr>
          <w:noProof/>
          <w:sz w:val="26"/>
          <w:szCs w:val="26"/>
        </w:rPr>
      </w:pPr>
    </w:p>
    <w:p w14:paraId="6D68442F" w14:textId="0EC77248" w:rsidR="00853A41" w:rsidRPr="00763417" w:rsidRDefault="00763417" w:rsidP="00416832">
      <w:pPr>
        <w:jc w:val="both"/>
        <w:rPr>
          <w:noProof/>
          <w:sz w:val="26"/>
          <w:szCs w:val="26"/>
        </w:rPr>
      </w:pPr>
      <w:r w:rsidRPr="00763417">
        <w:rPr>
          <w:noProof/>
          <w:sz w:val="22"/>
          <w:szCs w:val="22"/>
          <w:u w:val="single"/>
        </w:rPr>
        <w:t>B.ii. Combination Therapy</w:t>
      </w:r>
    </w:p>
    <w:p w14:paraId="540CAAD2" w14:textId="30037635" w:rsidR="00853A41" w:rsidRDefault="00763417" w:rsidP="00416832">
      <w:pPr>
        <w:jc w:val="both"/>
        <w:rPr>
          <w:bCs/>
          <w:iCs/>
          <w:sz w:val="22"/>
          <w:szCs w:val="22"/>
        </w:rPr>
      </w:pPr>
      <w:r w:rsidRPr="007D2EB5">
        <w:rPr>
          <w:bCs/>
          <w:iCs/>
          <w:sz w:val="22"/>
          <w:szCs w:val="22"/>
        </w:rPr>
        <w:t xml:space="preserve">LEAD 1 (Trial 1436) and LEAD 2 (Trial 1572) evaluated 26 weeks’ of treatment with </w:t>
      </w:r>
      <w:r w:rsidRPr="007D2EB5">
        <w:rPr>
          <w:noProof/>
          <w:sz w:val="22"/>
          <w:szCs w:val="22"/>
        </w:rPr>
        <w:t>Victoza</w:t>
      </w:r>
      <w:r w:rsidRPr="007D2EB5">
        <w:rPr>
          <w:bCs/>
          <w:iCs/>
          <w:sz w:val="22"/>
          <w:szCs w:val="22"/>
        </w:rPr>
        <w:t xml:space="preserve"> in combination with the OAD glimepiride or metformin respectively. Both trials employed a placebo comparator (LEAD 1 glimepiride alone; LEAD 2 metformin alone) and an active comparator (LEAD 1 glimepiride + rosiglitazone; LEAD 2 metformin + glimepiride).</w:t>
      </w:r>
    </w:p>
    <w:p w14:paraId="0FDAA3ED" w14:textId="77777777" w:rsidR="00763417" w:rsidRDefault="00763417" w:rsidP="00416832">
      <w:pPr>
        <w:jc w:val="both"/>
        <w:rPr>
          <w:bCs/>
          <w:iCs/>
          <w:sz w:val="22"/>
          <w:szCs w:val="22"/>
        </w:rPr>
      </w:pPr>
    </w:p>
    <w:p w14:paraId="51CF7850" w14:textId="21B817AE" w:rsidR="00763417" w:rsidRDefault="00763417" w:rsidP="00416832">
      <w:pPr>
        <w:jc w:val="both"/>
        <w:rPr>
          <w:bCs/>
          <w:iCs/>
          <w:sz w:val="22"/>
          <w:szCs w:val="22"/>
        </w:rPr>
      </w:pPr>
      <w:r w:rsidRPr="007D2EB5">
        <w:rPr>
          <w:bCs/>
          <w:iCs/>
          <w:sz w:val="22"/>
          <w:szCs w:val="22"/>
        </w:rPr>
        <w:t xml:space="preserve">LEAD 5 (Trial 1697) evaluated 26 weeks’ treatment with </w:t>
      </w:r>
      <w:r w:rsidRPr="007D2EB5">
        <w:rPr>
          <w:noProof/>
          <w:sz w:val="22"/>
          <w:szCs w:val="22"/>
        </w:rPr>
        <w:t>Victoza</w:t>
      </w:r>
      <w:r w:rsidRPr="007D2EB5">
        <w:rPr>
          <w:bCs/>
          <w:iCs/>
          <w:sz w:val="22"/>
          <w:szCs w:val="22"/>
        </w:rPr>
        <w:t xml:space="preserve"> in combination with metformin + glimepiride. LEAD 5 assessed the 1.8 mg </w:t>
      </w:r>
      <w:r w:rsidRPr="007D2EB5">
        <w:rPr>
          <w:noProof/>
          <w:sz w:val="22"/>
          <w:szCs w:val="22"/>
        </w:rPr>
        <w:t>Victoza</w:t>
      </w:r>
      <w:r w:rsidRPr="007D2EB5">
        <w:rPr>
          <w:bCs/>
          <w:iCs/>
          <w:sz w:val="22"/>
          <w:szCs w:val="22"/>
        </w:rPr>
        <w:t xml:space="preserve"> dose and compared this with a placebo comparator (metformin + glimepiride) and an active comparator (insulin glargine + metformin + glimepiride). </w:t>
      </w:r>
    </w:p>
    <w:p w14:paraId="2E7140EF" w14:textId="77777777" w:rsidR="00763417" w:rsidRDefault="00763417" w:rsidP="00416832">
      <w:pPr>
        <w:jc w:val="both"/>
        <w:rPr>
          <w:bCs/>
          <w:iCs/>
          <w:sz w:val="22"/>
          <w:szCs w:val="22"/>
        </w:rPr>
      </w:pPr>
    </w:p>
    <w:p w14:paraId="49D4D8AE" w14:textId="750860ED" w:rsidR="00763417" w:rsidRDefault="00763417" w:rsidP="00416832">
      <w:pPr>
        <w:jc w:val="both"/>
        <w:rPr>
          <w:sz w:val="22"/>
          <w:szCs w:val="22"/>
          <w:lang w:val="en-AU" w:eastAsia="en-AU"/>
        </w:rPr>
      </w:pPr>
      <w:r w:rsidRPr="007D2EB5">
        <w:rPr>
          <w:sz w:val="22"/>
          <w:szCs w:val="22"/>
          <w:lang w:val="en-AU" w:eastAsia="en-AU"/>
        </w:rPr>
        <w:t xml:space="preserve">Primary outcomes for the LEAD 1, 2 and 5 studies are presented in Tables 2 and 3. Treatment with </w:t>
      </w:r>
      <w:r w:rsidRPr="007D2EB5">
        <w:rPr>
          <w:noProof/>
          <w:sz w:val="22"/>
          <w:szCs w:val="22"/>
        </w:rPr>
        <w:t>Victoza</w:t>
      </w:r>
      <w:r w:rsidRPr="007D2EB5">
        <w:rPr>
          <w:sz w:val="22"/>
          <w:szCs w:val="22"/>
          <w:lang w:val="en-AU" w:eastAsia="en-AU"/>
        </w:rPr>
        <w:t xml:space="preserve"> produced clinically and statistically significant improvements versus the placebo comparators in HbA</w:t>
      </w:r>
      <w:r w:rsidRPr="007D2EB5">
        <w:rPr>
          <w:sz w:val="22"/>
          <w:szCs w:val="22"/>
          <w:vertAlign w:val="subscript"/>
          <w:lang w:val="en-AU" w:eastAsia="en-AU"/>
        </w:rPr>
        <w:t>1c,</w:t>
      </w:r>
      <w:r w:rsidRPr="007D2EB5">
        <w:rPr>
          <w:sz w:val="22"/>
          <w:szCs w:val="22"/>
          <w:lang w:val="en-AU" w:eastAsia="en-AU"/>
        </w:rPr>
        <w:t xml:space="preserve"> fasting plasma glucose (FPG) and postprandial glucose (PPG). </w:t>
      </w:r>
    </w:p>
    <w:p w14:paraId="5D7B52D7" w14:textId="77777777" w:rsidR="00763417" w:rsidRDefault="00763417" w:rsidP="00416832">
      <w:pPr>
        <w:jc w:val="both"/>
        <w:rPr>
          <w:sz w:val="22"/>
          <w:szCs w:val="22"/>
          <w:lang w:val="en-AU" w:eastAsia="en-AU"/>
        </w:rPr>
      </w:pPr>
    </w:p>
    <w:p w14:paraId="5F25EDC7" w14:textId="77282795" w:rsidR="00763417" w:rsidRDefault="00763417" w:rsidP="00416832">
      <w:pPr>
        <w:jc w:val="both"/>
        <w:rPr>
          <w:noProof/>
          <w:sz w:val="26"/>
          <w:szCs w:val="26"/>
        </w:rPr>
      </w:pPr>
      <w:r w:rsidRPr="008A6F3F">
        <w:rPr>
          <w:i/>
          <w:sz w:val="22"/>
          <w:szCs w:val="22"/>
          <w:lang w:val="da-DK"/>
        </w:rPr>
        <w:t>B.ii.a) Victoza in combination with one OAD (LEAD 1 and 2 respectively)</w:t>
      </w:r>
    </w:p>
    <w:p w14:paraId="05021BC6" w14:textId="48C413D9" w:rsidR="00853A41" w:rsidRDefault="00763417" w:rsidP="00416832">
      <w:pPr>
        <w:jc w:val="both"/>
        <w:rPr>
          <w:noProof/>
          <w:sz w:val="26"/>
          <w:szCs w:val="26"/>
        </w:rPr>
      </w:pPr>
      <w:r w:rsidRPr="007D2EB5">
        <w:rPr>
          <w:bCs/>
          <w:iCs/>
          <w:sz w:val="22"/>
          <w:szCs w:val="22"/>
        </w:rPr>
        <w:t xml:space="preserve">LEAD 1 </w:t>
      </w:r>
      <w:r w:rsidRPr="007D2EB5">
        <w:rPr>
          <w:sz w:val="22"/>
          <w:szCs w:val="22"/>
          <w:lang w:val="en-AU" w:eastAsia="en-AU"/>
        </w:rPr>
        <w:t xml:space="preserve">enrolled </w:t>
      </w:r>
      <w:proofErr w:type="gramStart"/>
      <w:r w:rsidRPr="007D2EB5">
        <w:rPr>
          <w:sz w:val="22"/>
          <w:szCs w:val="22"/>
          <w:lang w:val="en-AU" w:eastAsia="en-AU"/>
        </w:rPr>
        <w:t>patients</w:t>
      </w:r>
      <w:proofErr w:type="gramEnd"/>
      <w:r w:rsidRPr="007D2EB5">
        <w:rPr>
          <w:sz w:val="22"/>
          <w:szCs w:val="22"/>
          <w:lang w:val="en-AU" w:eastAsia="en-AU"/>
        </w:rPr>
        <w:t xml:space="preserve"> diagnosed with type 2 diabetes, treated with OAD(s) for at least 3 months, with an HbA</w:t>
      </w:r>
      <w:r w:rsidRPr="007D2EB5">
        <w:rPr>
          <w:sz w:val="22"/>
          <w:szCs w:val="22"/>
          <w:vertAlign w:val="subscript"/>
          <w:lang w:val="en-AU" w:eastAsia="en-AU"/>
        </w:rPr>
        <w:t>1c</w:t>
      </w:r>
      <w:r w:rsidRPr="007D2EB5">
        <w:rPr>
          <w:sz w:val="22"/>
          <w:szCs w:val="22"/>
          <w:lang w:val="en-AU" w:eastAsia="en-AU"/>
        </w:rPr>
        <w:t>: 7.0</w:t>
      </w:r>
      <w:r w:rsidRPr="007D2EB5">
        <w:rPr>
          <w:rFonts w:ascii="Cambria Math" w:hAnsi="Cambria Math" w:cs="Cambria Math"/>
          <w:sz w:val="22"/>
          <w:szCs w:val="22"/>
          <w:lang w:val="en-AU" w:eastAsia="en-AU"/>
        </w:rPr>
        <w:t>‐</w:t>
      </w:r>
      <w:r w:rsidRPr="007D2EB5">
        <w:rPr>
          <w:sz w:val="22"/>
          <w:szCs w:val="22"/>
          <w:lang w:val="en-AU" w:eastAsia="en-AU"/>
        </w:rPr>
        <w:t>11.0% (inclusive) in subjects on oral monotherapy or 7.0</w:t>
      </w:r>
      <w:r w:rsidRPr="007D2EB5">
        <w:rPr>
          <w:rFonts w:ascii="Cambria Math" w:hAnsi="Cambria Math" w:cs="Cambria Math"/>
          <w:sz w:val="22"/>
          <w:szCs w:val="22"/>
          <w:lang w:val="en-AU" w:eastAsia="en-AU"/>
        </w:rPr>
        <w:t>‐</w:t>
      </w:r>
      <w:r w:rsidRPr="007D2EB5">
        <w:rPr>
          <w:sz w:val="22"/>
          <w:szCs w:val="22"/>
          <w:lang w:val="en-AU" w:eastAsia="en-AU"/>
        </w:rPr>
        <w:t xml:space="preserve">10.0% (inclusive) in subjects on oral combination therapy. All were switched to glimepiride in the trial. The study enrolled patients on monotherapy who might need a second agent and those already on two agents that might need a third agent. </w:t>
      </w:r>
      <w:r w:rsidRPr="007D2EB5">
        <w:rPr>
          <w:bCs/>
          <w:iCs/>
          <w:sz w:val="22"/>
          <w:szCs w:val="22"/>
        </w:rPr>
        <w:t>In LEAD 1, the analysis of change in HbA</w:t>
      </w:r>
      <w:r w:rsidRPr="007D2EB5">
        <w:rPr>
          <w:bCs/>
          <w:iCs/>
          <w:sz w:val="22"/>
          <w:szCs w:val="22"/>
          <w:vertAlign w:val="subscript"/>
        </w:rPr>
        <w:t>1c</w:t>
      </w:r>
      <w:r w:rsidRPr="007D2EB5">
        <w:rPr>
          <w:bCs/>
          <w:iCs/>
          <w:sz w:val="22"/>
          <w:szCs w:val="22"/>
        </w:rPr>
        <w:t xml:space="preserve"> from baseline showed that treatment with </w:t>
      </w:r>
      <w:r w:rsidRPr="007D2EB5">
        <w:rPr>
          <w:noProof/>
          <w:sz w:val="22"/>
          <w:szCs w:val="22"/>
        </w:rPr>
        <w:t>Victoza</w:t>
      </w:r>
      <w:r w:rsidRPr="007D2EB5">
        <w:rPr>
          <w:bCs/>
          <w:iCs/>
          <w:sz w:val="22"/>
          <w:szCs w:val="22"/>
        </w:rPr>
        <w:t xml:space="preserve"> at both 1.2 mg and 1.8 mg (+ glimepiride) was superior to treatment with glimepiride alone, and superior to treatment with rosiglitazone + glimepiride (Table 2). </w:t>
      </w:r>
      <w:r w:rsidRPr="007D2EB5">
        <w:rPr>
          <w:sz w:val="22"/>
          <w:szCs w:val="22"/>
          <w:lang w:val="en-AU" w:eastAsia="en-AU"/>
        </w:rPr>
        <w:t>For the primary efficacy outcome measure, Victoza 1.2 mg and 1.8 mg in combination with glimepiride were superior to both comparator groups, and Victoza 0.6 mg in combination with glimepiride was superior to glimepiride alone and non inferior to rosiglitazone/glimepiride. Amongst secondary outcomes, Victoza plus glimepiride did not increase weight compared to glimepiride alone whereas glimepiride and rosiglitazone were associated with weight gain.</w:t>
      </w:r>
    </w:p>
    <w:p w14:paraId="3CF03A78" w14:textId="77777777" w:rsidR="00853A41" w:rsidRDefault="00853A41" w:rsidP="00416832">
      <w:pPr>
        <w:jc w:val="both"/>
        <w:rPr>
          <w:noProof/>
          <w:sz w:val="26"/>
          <w:szCs w:val="26"/>
        </w:rPr>
      </w:pPr>
    </w:p>
    <w:p w14:paraId="66FFE8A1" w14:textId="55793C04" w:rsidR="00853A41" w:rsidRDefault="00763417" w:rsidP="00416832">
      <w:pPr>
        <w:jc w:val="both"/>
        <w:rPr>
          <w:sz w:val="22"/>
          <w:szCs w:val="22"/>
          <w:lang w:val="en-AU" w:eastAsia="en-AU"/>
        </w:rPr>
      </w:pPr>
      <w:r w:rsidRPr="007D2EB5">
        <w:rPr>
          <w:sz w:val="22"/>
          <w:szCs w:val="22"/>
          <w:lang w:val="en-AU" w:eastAsia="en-AU"/>
        </w:rPr>
        <w:t xml:space="preserve">LEAD 2 enrolled patients diagnosed with type </w:t>
      </w:r>
      <w:proofErr w:type="gramStart"/>
      <w:r w:rsidRPr="007D2EB5">
        <w:rPr>
          <w:sz w:val="22"/>
          <w:szCs w:val="22"/>
          <w:lang w:val="en-AU" w:eastAsia="en-AU"/>
        </w:rPr>
        <w:t>2 diabetes,</w:t>
      </w:r>
      <w:proofErr w:type="gramEnd"/>
      <w:r w:rsidRPr="007D2EB5">
        <w:rPr>
          <w:sz w:val="22"/>
          <w:szCs w:val="22"/>
          <w:lang w:val="en-AU" w:eastAsia="en-AU"/>
        </w:rPr>
        <w:t xml:space="preserve"> treated with OAD(s) for at least 3 months, with an HbA</w:t>
      </w:r>
      <w:r w:rsidRPr="007D2EB5">
        <w:rPr>
          <w:sz w:val="22"/>
          <w:szCs w:val="22"/>
          <w:vertAlign w:val="subscript"/>
          <w:lang w:val="en-AU" w:eastAsia="en-AU"/>
        </w:rPr>
        <w:t>1c</w:t>
      </w:r>
      <w:r w:rsidRPr="007D2EB5">
        <w:rPr>
          <w:sz w:val="22"/>
          <w:szCs w:val="22"/>
          <w:lang w:val="en-AU" w:eastAsia="en-AU"/>
        </w:rPr>
        <w:t>: 7.0-11.0% (inclusive) in subjects on oral monotherapy or 7.0-10.0% (inclusive) in subjects on oral combination therapy. All were switched to metformin in the trial. The analysis of change in HbA</w:t>
      </w:r>
      <w:r w:rsidRPr="007D2EB5">
        <w:rPr>
          <w:sz w:val="22"/>
          <w:szCs w:val="22"/>
          <w:vertAlign w:val="subscript"/>
          <w:lang w:val="en-AU" w:eastAsia="en-AU"/>
        </w:rPr>
        <w:t>1c</w:t>
      </w:r>
      <w:r w:rsidRPr="007D2EB5">
        <w:rPr>
          <w:sz w:val="22"/>
          <w:szCs w:val="22"/>
          <w:lang w:val="en-AU" w:eastAsia="en-AU"/>
        </w:rPr>
        <w:t xml:space="preserve"> from baseline showed that treatment with Victoza (1.2 mg and 1.8 mg) + metformin was superior to metformin alone and non-inferior to treatment with glimepiride and metformin (Table 2). The primary efficacy outcome measure was the change from baseline in HbA</w:t>
      </w:r>
      <w:r w:rsidRPr="007D2EB5">
        <w:rPr>
          <w:sz w:val="22"/>
          <w:szCs w:val="22"/>
          <w:vertAlign w:val="subscript"/>
          <w:lang w:val="en-AU" w:eastAsia="en-AU"/>
        </w:rPr>
        <w:t>1c</w:t>
      </w:r>
      <w:r w:rsidRPr="007D2EB5">
        <w:rPr>
          <w:sz w:val="22"/>
          <w:szCs w:val="22"/>
          <w:lang w:val="en-AU" w:eastAsia="en-AU"/>
        </w:rPr>
        <w:t xml:space="preserve"> after 26 weeks of treatment. Victoza 1.8 mg and 1.2 mg doses in combination with metformin were superior to metformin alone, and non-inferior to glimepiride/metformin. In combination with metformin, Victoza had similar efficacy to the glimepiride/metformin combination.  In this study, Victoza 1.2 mg daily was as effective as the higher dose.</w:t>
      </w:r>
    </w:p>
    <w:p w14:paraId="27003780" w14:textId="77777777" w:rsidR="00763417" w:rsidRDefault="00763417" w:rsidP="00416832">
      <w:pPr>
        <w:jc w:val="both"/>
        <w:rPr>
          <w:sz w:val="22"/>
          <w:szCs w:val="22"/>
          <w:lang w:val="en-AU" w:eastAsia="en-AU"/>
        </w:rPr>
      </w:pPr>
    </w:p>
    <w:p w14:paraId="4E5DFF5E" w14:textId="5C7D48F5" w:rsidR="00763417" w:rsidRDefault="00763417" w:rsidP="00416832">
      <w:pPr>
        <w:jc w:val="both"/>
        <w:rPr>
          <w:noProof/>
          <w:sz w:val="26"/>
          <w:szCs w:val="26"/>
        </w:rPr>
      </w:pPr>
      <w:r w:rsidRPr="00774CE3">
        <w:rPr>
          <w:b/>
          <w:sz w:val="22"/>
          <w:szCs w:val="22"/>
        </w:rPr>
        <w:t>Table 2</w:t>
      </w:r>
      <w:r w:rsidRPr="00774CE3">
        <w:rPr>
          <w:b/>
          <w:sz w:val="22"/>
          <w:szCs w:val="22"/>
        </w:rPr>
        <w:tab/>
      </w:r>
      <w:r w:rsidRPr="00774CE3">
        <w:rPr>
          <w:b/>
          <w:iCs/>
          <w:sz w:val="22"/>
          <w:szCs w:val="22"/>
        </w:rPr>
        <w:t xml:space="preserve">Results of two 26 week trials of </w:t>
      </w:r>
      <w:r w:rsidRPr="00774CE3">
        <w:rPr>
          <w:b/>
          <w:noProof/>
          <w:sz w:val="22"/>
          <w:szCs w:val="22"/>
        </w:rPr>
        <w:t>Victoza</w:t>
      </w:r>
      <w:r w:rsidRPr="00774CE3">
        <w:rPr>
          <w:b/>
          <w:iCs/>
          <w:sz w:val="22"/>
          <w:szCs w:val="22"/>
        </w:rPr>
        <w:t xml:space="preserve"> (LEAD 2 and LEAD 1) in combination with an OAD in subjects previously treated with one or more OADs.</w:t>
      </w:r>
    </w:p>
    <w:tbl>
      <w:tblPr>
        <w:tblW w:w="7405" w:type="dxa"/>
        <w:tblInd w:w="108" w:type="dxa"/>
        <w:tblBorders>
          <w:top w:val="single" w:sz="4" w:space="0" w:color="auto"/>
          <w:bottom w:val="single" w:sz="4" w:space="0" w:color="auto"/>
          <w:insideH w:val="single" w:sz="4" w:space="0" w:color="auto"/>
        </w:tblBorders>
        <w:tblLayout w:type="fixed"/>
        <w:tblLook w:val="01E0" w:firstRow="1" w:lastRow="1" w:firstColumn="1" w:lastColumn="1" w:noHBand="0" w:noVBand="0"/>
      </w:tblPr>
      <w:tblGrid>
        <w:gridCol w:w="2302"/>
        <w:gridCol w:w="142"/>
        <w:gridCol w:w="1276"/>
        <w:gridCol w:w="1275"/>
        <w:gridCol w:w="1134"/>
        <w:gridCol w:w="1276"/>
      </w:tblGrid>
      <w:tr w:rsidR="00763417" w:rsidRPr="00AD43A0" w14:paraId="37D2F9A4" w14:textId="77777777" w:rsidTr="00A14AF3">
        <w:tc>
          <w:tcPr>
            <w:tcW w:w="3720" w:type="dxa"/>
            <w:gridSpan w:val="3"/>
          </w:tcPr>
          <w:p w14:paraId="3F3F690B" w14:textId="77777777" w:rsidR="00763417" w:rsidRPr="00AD43A0" w:rsidRDefault="00763417" w:rsidP="00A14AF3">
            <w:pPr>
              <w:pStyle w:val="TableText"/>
              <w:keepNext w:val="0"/>
              <w:rPr>
                <w:sz w:val="16"/>
                <w:szCs w:val="16"/>
              </w:rPr>
            </w:pPr>
            <w:r w:rsidRPr="00AD43A0">
              <w:rPr>
                <w:b/>
                <w:sz w:val="16"/>
                <w:szCs w:val="16"/>
              </w:rPr>
              <w:t xml:space="preserve">LEAD 2 - Metformin </w:t>
            </w:r>
            <w:r>
              <w:rPr>
                <w:b/>
                <w:sz w:val="16"/>
                <w:szCs w:val="16"/>
              </w:rPr>
              <w:t xml:space="preserve">(2,000 mg/day) </w:t>
            </w:r>
            <w:r w:rsidRPr="00AD43A0">
              <w:rPr>
                <w:b/>
                <w:sz w:val="16"/>
                <w:szCs w:val="16"/>
              </w:rPr>
              <w:t>Add-on Therapy</w:t>
            </w:r>
          </w:p>
        </w:tc>
        <w:tc>
          <w:tcPr>
            <w:tcW w:w="1275" w:type="dxa"/>
          </w:tcPr>
          <w:p w14:paraId="7EADA116" w14:textId="77777777" w:rsidR="00763417" w:rsidRPr="00AD43A0" w:rsidRDefault="00763417" w:rsidP="00A14AF3">
            <w:pPr>
              <w:pStyle w:val="TableText"/>
              <w:keepNext w:val="0"/>
              <w:rPr>
                <w:sz w:val="16"/>
                <w:szCs w:val="16"/>
              </w:rPr>
            </w:pPr>
          </w:p>
        </w:tc>
        <w:tc>
          <w:tcPr>
            <w:tcW w:w="1134" w:type="dxa"/>
          </w:tcPr>
          <w:p w14:paraId="6609BDE1" w14:textId="77777777" w:rsidR="00763417" w:rsidRPr="00AD43A0" w:rsidRDefault="00763417" w:rsidP="00A14AF3">
            <w:pPr>
              <w:pStyle w:val="TableText"/>
              <w:keepNext w:val="0"/>
              <w:rPr>
                <w:sz w:val="16"/>
                <w:szCs w:val="16"/>
              </w:rPr>
            </w:pPr>
          </w:p>
        </w:tc>
        <w:tc>
          <w:tcPr>
            <w:tcW w:w="1276" w:type="dxa"/>
          </w:tcPr>
          <w:p w14:paraId="1EC6485E" w14:textId="77777777" w:rsidR="00763417" w:rsidRPr="00AD43A0" w:rsidRDefault="00763417" w:rsidP="00A14AF3">
            <w:pPr>
              <w:pStyle w:val="TableText"/>
              <w:keepNext w:val="0"/>
              <w:rPr>
                <w:sz w:val="16"/>
                <w:szCs w:val="16"/>
              </w:rPr>
            </w:pPr>
          </w:p>
        </w:tc>
      </w:tr>
      <w:tr w:rsidR="00763417" w:rsidRPr="00AD43A0" w14:paraId="6656A68A" w14:textId="77777777" w:rsidTr="00A14AF3">
        <w:tc>
          <w:tcPr>
            <w:tcW w:w="2302" w:type="dxa"/>
            <w:tcBorders>
              <w:bottom w:val="single" w:sz="4" w:space="0" w:color="auto"/>
            </w:tcBorders>
          </w:tcPr>
          <w:p w14:paraId="33BFEAF6" w14:textId="77777777" w:rsidR="00763417" w:rsidRPr="00AD43A0" w:rsidRDefault="00763417" w:rsidP="00A14AF3">
            <w:pPr>
              <w:pStyle w:val="TableText"/>
              <w:keepNext w:val="0"/>
              <w:rPr>
                <w:sz w:val="16"/>
                <w:szCs w:val="16"/>
              </w:rPr>
            </w:pPr>
          </w:p>
        </w:tc>
        <w:tc>
          <w:tcPr>
            <w:tcW w:w="1418" w:type="dxa"/>
            <w:gridSpan w:val="2"/>
            <w:tcMar>
              <w:left w:w="57" w:type="dxa"/>
              <w:right w:w="57" w:type="dxa"/>
            </w:tcMar>
          </w:tcPr>
          <w:p w14:paraId="64A5A5CC" w14:textId="77777777" w:rsidR="00763417" w:rsidRPr="00AD43A0" w:rsidRDefault="00763417" w:rsidP="00A14AF3">
            <w:pPr>
              <w:pStyle w:val="TableText"/>
              <w:keepNext w:val="0"/>
              <w:rPr>
                <w:b/>
                <w:sz w:val="16"/>
                <w:szCs w:val="16"/>
              </w:rPr>
            </w:pPr>
            <w:r w:rsidRPr="00AD43A0">
              <w:rPr>
                <w:b/>
                <w:noProof/>
                <w:sz w:val="16"/>
                <w:szCs w:val="16"/>
              </w:rPr>
              <w:t>Victoza</w:t>
            </w:r>
            <w:r w:rsidRPr="00AD43A0">
              <w:rPr>
                <w:b/>
                <w:sz w:val="16"/>
                <w:szCs w:val="16"/>
              </w:rPr>
              <w:t xml:space="preserve"> 1.8 mg + metformin</w:t>
            </w:r>
          </w:p>
        </w:tc>
        <w:tc>
          <w:tcPr>
            <w:tcW w:w="1275" w:type="dxa"/>
            <w:tcMar>
              <w:left w:w="57" w:type="dxa"/>
              <w:right w:w="57" w:type="dxa"/>
            </w:tcMar>
          </w:tcPr>
          <w:p w14:paraId="41D6796C" w14:textId="77777777" w:rsidR="00763417" w:rsidRPr="00AD43A0" w:rsidRDefault="00763417" w:rsidP="00A14AF3">
            <w:pPr>
              <w:pStyle w:val="TableText"/>
              <w:keepNext w:val="0"/>
              <w:rPr>
                <w:b/>
                <w:sz w:val="16"/>
                <w:szCs w:val="16"/>
              </w:rPr>
            </w:pPr>
            <w:r w:rsidRPr="00AD43A0">
              <w:rPr>
                <w:b/>
                <w:noProof/>
                <w:sz w:val="16"/>
                <w:szCs w:val="16"/>
              </w:rPr>
              <w:t>Victoza</w:t>
            </w:r>
            <w:r w:rsidRPr="00AD43A0">
              <w:rPr>
                <w:b/>
                <w:sz w:val="16"/>
                <w:szCs w:val="16"/>
              </w:rPr>
              <w:t xml:space="preserve"> 1.2 mg + metformin</w:t>
            </w:r>
          </w:p>
        </w:tc>
        <w:tc>
          <w:tcPr>
            <w:tcW w:w="1134" w:type="dxa"/>
            <w:tcMar>
              <w:left w:w="57" w:type="dxa"/>
              <w:right w:w="57" w:type="dxa"/>
            </w:tcMar>
          </w:tcPr>
          <w:p w14:paraId="5BFCF6CE" w14:textId="77777777" w:rsidR="00763417" w:rsidRPr="00AD43A0" w:rsidRDefault="00763417" w:rsidP="00A14AF3">
            <w:pPr>
              <w:pStyle w:val="TableText"/>
              <w:keepNext w:val="0"/>
              <w:rPr>
                <w:sz w:val="16"/>
                <w:szCs w:val="16"/>
              </w:rPr>
            </w:pPr>
            <w:r w:rsidRPr="00AD43A0">
              <w:rPr>
                <w:b/>
                <w:sz w:val="16"/>
                <w:szCs w:val="16"/>
              </w:rPr>
              <w:t>Metformin</w:t>
            </w:r>
            <w:r w:rsidRPr="00AD43A0">
              <w:rPr>
                <w:sz w:val="16"/>
                <w:szCs w:val="16"/>
              </w:rPr>
              <w:t xml:space="preserve"> [1]</w:t>
            </w:r>
          </w:p>
          <w:p w14:paraId="12951D1F" w14:textId="77777777" w:rsidR="00763417" w:rsidRPr="00AD43A0" w:rsidRDefault="00763417" w:rsidP="00A14AF3">
            <w:pPr>
              <w:pStyle w:val="TableText"/>
              <w:keepNext w:val="0"/>
              <w:rPr>
                <w:b/>
                <w:sz w:val="16"/>
                <w:szCs w:val="16"/>
              </w:rPr>
            </w:pPr>
          </w:p>
          <w:p w14:paraId="7D8AF165" w14:textId="77777777" w:rsidR="00763417" w:rsidRPr="00AD43A0" w:rsidRDefault="00763417" w:rsidP="00A14AF3">
            <w:pPr>
              <w:pStyle w:val="TableText"/>
              <w:keepNext w:val="0"/>
              <w:rPr>
                <w:b/>
                <w:sz w:val="16"/>
                <w:szCs w:val="16"/>
              </w:rPr>
            </w:pPr>
          </w:p>
        </w:tc>
        <w:tc>
          <w:tcPr>
            <w:tcW w:w="1276" w:type="dxa"/>
            <w:tcMar>
              <w:left w:w="57" w:type="dxa"/>
              <w:right w:w="57" w:type="dxa"/>
            </w:tcMar>
          </w:tcPr>
          <w:p w14:paraId="565BA64D" w14:textId="77777777" w:rsidR="00763417" w:rsidRPr="00AD43A0" w:rsidRDefault="00763417" w:rsidP="00A14AF3">
            <w:pPr>
              <w:pStyle w:val="TableText"/>
              <w:keepNext w:val="0"/>
              <w:rPr>
                <w:sz w:val="16"/>
                <w:szCs w:val="16"/>
              </w:rPr>
            </w:pPr>
            <w:r w:rsidRPr="00AD43A0">
              <w:rPr>
                <w:b/>
                <w:sz w:val="16"/>
                <w:szCs w:val="16"/>
              </w:rPr>
              <w:t xml:space="preserve">Glimepiride </w:t>
            </w:r>
            <w:r>
              <w:rPr>
                <w:b/>
                <w:sz w:val="16"/>
                <w:szCs w:val="16"/>
              </w:rPr>
              <w:br/>
              <w:t xml:space="preserve">4 mg/day </w:t>
            </w:r>
            <w:r w:rsidRPr="00AD43A0">
              <w:rPr>
                <w:b/>
                <w:sz w:val="16"/>
                <w:szCs w:val="16"/>
              </w:rPr>
              <w:t xml:space="preserve">+ metformin </w:t>
            </w:r>
            <w:r w:rsidRPr="00AD43A0">
              <w:rPr>
                <w:sz w:val="16"/>
                <w:szCs w:val="16"/>
              </w:rPr>
              <w:t>[2]</w:t>
            </w:r>
          </w:p>
          <w:p w14:paraId="1507C67F" w14:textId="77777777" w:rsidR="00763417" w:rsidRPr="00AD43A0" w:rsidRDefault="00763417" w:rsidP="00A14AF3">
            <w:pPr>
              <w:pStyle w:val="TableText"/>
              <w:keepNext w:val="0"/>
              <w:rPr>
                <w:b/>
                <w:sz w:val="16"/>
                <w:szCs w:val="16"/>
              </w:rPr>
            </w:pPr>
          </w:p>
        </w:tc>
      </w:tr>
      <w:tr w:rsidR="00763417" w:rsidRPr="00AD43A0" w14:paraId="1857623F" w14:textId="77777777" w:rsidTr="00A14AF3">
        <w:tc>
          <w:tcPr>
            <w:tcW w:w="2302" w:type="dxa"/>
            <w:tcBorders>
              <w:top w:val="single" w:sz="4" w:space="0" w:color="auto"/>
            </w:tcBorders>
          </w:tcPr>
          <w:p w14:paraId="253FE303" w14:textId="77777777" w:rsidR="00763417" w:rsidRPr="00AD43A0" w:rsidRDefault="00763417" w:rsidP="00A14AF3">
            <w:pPr>
              <w:pStyle w:val="TableText"/>
              <w:keepNext w:val="0"/>
              <w:rPr>
                <w:sz w:val="16"/>
                <w:szCs w:val="16"/>
              </w:rPr>
            </w:pPr>
            <w:r w:rsidRPr="00AD43A0">
              <w:rPr>
                <w:b/>
                <w:bCs/>
                <w:sz w:val="16"/>
                <w:szCs w:val="16"/>
              </w:rPr>
              <w:t>N</w:t>
            </w:r>
          </w:p>
        </w:tc>
        <w:tc>
          <w:tcPr>
            <w:tcW w:w="1418" w:type="dxa"/>
            <w:gridSpan w:val="2"/>
          </w:tcPr>
          <w:p w14:paraId="1EF4ACA1" w14:textId="77777777" w:rsidR="00763417" w:rsidRPr="00AD43A0" w:rsidRDefault="00763417" w:rsidP="00A14AF3">
            <w:pPr>
              <w:pStyle w:val="TableText"/>
              <w:keepNext w:val="0"/>
              <w:rPr>
                <w:sz w:val="16"/>
                <w:szCs w:val="16"/>
              </w:rPr>
            </w:pPr>
            <w:r w:rsidRPr="00AD43A0">
              <w:rPr>
                <w:sz w:val="16"/>
                <w:szCs w:val="16"/>
              </w:rPr>
              <w:t>242</w:t>
            </w:r>
          </w:p>
        </w:tc>
        <w:tc>
          <w:tcPr>
            <w:tcW w:w="1275" w:type="dxa"/>
          </w:tcPr>
          <w:p w14:paraId="2B8F5B5B" w14:textId="77777777" w:rsidR="00763417" w:rsidRPr="00AD43A0" w:rsidRDefault="00763417" w:rsidP="00A14AF3">
            <w:pPr>
              <w:pStyle w:val="TableText"/>
              <w:keepNext w:val="0"/>
              <w:rPr>
                <w:sz w:val="16"/>
                <w:szCs w:val="16"/>
              </w:rPr>
            </w:pPr>
            <w:r w:rsidRPr="00AD43A0">
              <w:rPr>
                <w:sz w:val="16"/>
                <w:szCs w:val="16"/>
              </w:rPr>
              <w:t>240</w:t>
            </w:r>
          </w:p>
        </w:tc>
        <w:tc>
          <w:tcPr>
            <w:tcW w:w="1134" w:type="dxa"/>
          </w:tcPr>
          <w:p w14:paraId="35B074BF" w14:textId="77777777" w:rsidR="00763417" w:rsidRPr="00AD43A0" w:rsidRDefault="00763417" w:rsidP="00A14AF3">
            <w:pPr>
              <w:pStyle w:val="TableText"/>
              <w:keepNext w:val="0"/>
              <w:rPr>
                <w:sz w:val="16"/>
                <w:szCs w:val="16"/>
              </w:rPr>
            </w:pPr>
            <w:r w:rsidRPr="00AD43A0">
              <w:rPr>
                <w:sz w:val="16"/>
                <w:szCs w:val="16"/>
              </w:rPr>
              <w:t>121</w:t>
            </w:r>
          </w:p>
        </w:tc>
        <w:tc>
          <w:tcPr>
            <w:tcW w:w="1276" w:type="dxa"/>
          </w:tcPr>
          <w:p w14:paraId="4D7B9030" w14:textId="77777777" w:rsidR="00763417" w:rsidRPr="00AD43A0" w:rsidRDefault="00763417" w:rsidP="00A14AF3">
            <w:pPr>
              <w:pStyle w:val="TableText"/>
              <w:keepNext w:val="0"/>
              <w:rPr>
                <w:sz w:val="16"/>
                <w:szCs w:val="16"/>
              </w:rPr>
            </w:pPr>
            <w:r w:rsidRPr="00AD43A0">
              <w:rPr>
                <w:sz w:val="16"/>
                <w:szCs w:val="16"/>
              </w:rPr>
              <w:t>242</w:t>
            </w:r>
          </w:p>
        </w:tc>
      </w:tr>
      <w:tr w:rsidR="00763417" w:rsidRPr="00AD43A0" w14:paraId="2B37DA70" w14:textId="77777777" w:rsidTr="00A14AF3">
        <w:tc>
          <w:tcPr>
            <w:tcW w:w="2302" w:type="dxa"/>
            <w:tcBorders>
              <w:bottom w:val="nil"/>
            </w:tcBorders>
          </w:tcPr>
          <w:p w14:paraId="6B60D86F" w14:textId="77777777" w:rsidR="00763417" w:rsidRPr="00AD43A0" w:rsidRDefault="00763417" w:rsidP="00A14AF3">
            <w:pPr>
              <w:pStyle w:val="TableText"/>
              <w:keepNext w:val="0"/>
              <w:spacing w:after="120"/>
              <w:rPr>
                <w:sz w:val="16"/>
                <w:szCs w:val="16"/>
              </w:rPr>
            </w:pPr>
            <w:r w:rsidRPr="00AD43A0">
              <w:rPr>
                <w:b/>
                <w:bCs/>
                <w:sz w:val="16"/>
                <w:szCs w:val="16"/>
              </w:rPr>
              <w:t>HbA</w:t>
            </w:r>
            <w:r w:rsidRPr="00AD43A0">
              <w:rPr>
                <w:b/>
                <w:bCs/>
                <w:sz w:val="16"/>
                <w:szCs w:val="16"/>
                <w:vertAlign w:val="subscript"/>
              </w:rPr>
              <w:t xml:space="preserve">1c </w:t>
            </w:r>
            <w:r w:rsidRPr="00AD43A0">
              <w:rPr>
                <w:b/>
                <w:bCs/>
                <w:sz w:val="16"/>
                <w:szCs w:val="16"/>
              </w:rPr>
              <w:t>(%) (Mean)</w:t>
            </w:r>
            <w:r w:rsidRPr="00AD43A0">
              <w:rPr>
                <w:b/>
                <w:bCs/>
                <w:sz w:val="16"/>
                <w:szCs w:val="16"/>
              </w:rPr>
              <w:br/>
            </w:r>
            <w:r w:rsidRPr="00AD43A0">
              <w:rPr>
                <w:bCs/>
                <w:sz w:val="16"/>
                <w:szCs w:val="16"/>
              </w:rPr>
              <w:t>B</w:t>
            </w:r>
            <w:r w:rsidRPr="00AD43A0">
              <w:rPr>
                <w:sz w:val="16"/>
                <w:szCs w:val="16"/>
              </w:rPr>
              <w:t>aseline</w:t>
            </w:r>
            <w:r w:rsidRPr="00AD43A0">
              <w:rPr>
                <w:sz w:val="16"/>
                <w:szCs w:val="16"/>
              </w:rPr>
              <w:br/>
              <w:t>Change from baseline</w:t>
            </w:r>
          </w:p>
        </w:tc>
        <w:tc>
          <w:tcPr>
            <w:tcW w:w="1418" w:type="dxa"/>
            <w:gridSpan w:val="2"/>
            <w:tcBorders>
              <w:bottom w:val="nil"/>
            </w:tcBorders>
          </w:tcPr>
          <w:p w14:paraId="7D5C1A73" w14:textId="77777777" w:rsidR="00763417" w:rsidRPr="00AD43A0" w:rsidRDefault="00763417" w:rsidP="00A14AF3">
            <w:pPr>
              <w:pStyle w:val="TableText"/>
              <w:keepNext w:val="0"/>
              <w:rPr>
                <w:sz w:val="16"/>
                <w:szCs w:val="16"/>
              </w:rPr>
            </w:pPr>
            <w:r w:rsidRPr="00AD43A0">
              <w:rPr>
                <w:sz w:val="16"/>
                <w:szCs w:val="16"/>
              </w:rPr>
              <w:br/>
              <w:t>8.4</w:t>
            </w:r>
            <w:r w:rsidRPr="00AD43A0">
              <w:rPr>
                <w:sz w:val="16"/>
                <w:szCs w:val="16"/>
              </w:rPr>
              <w:br/>
              <w:t>-1.00*</w:t>
            </w:r>
          </w:p>
        </w:tc>
        <w:tc>
          <w:tcPr>
            <w:tcW w:w="1275" w:type="dxa"/>
            <w:tcBorders>
              <w:bottom w:val="nil"/>
            </w:tcBorders>
          </w:tcPr>
          <w:p w14:paraId="516F9ED8" w14:textId="77777777" w:rsidR="00763417" w:rsidRPr="00AD43A0" w:rsidRDefault="00763417" w:rsidP="00A14AF3">
            <w:pPr>
              <w:pStyle w:val="TableText"/>
              <w:keepNext w:val="0"/>
              <w:rPr>
                <w:sz w:val="16"/>
                <w:szCs w:val="16"/>
              </w:rPr>
            </w:pPr>
            <w:r w:rsidRPr="00AD43A0">
              <w:rPr>
                <w:sz w:val="16"/>
                <w:szCs w:val="16"/>
              </w:rPr>
              <w:br/>
              <w:t>8.3</w:t>
            </w:r>
            <w:r w:rsidRPr="00AD43A0">
              <w:rPr>
                <w:sz w:val="16"/>
                <w:szCs w:val="16"/>
              </w:rPr>
              <w:br/>
              <w:t>-0.97*</w:t>
            </w:r>
          </w:p>
        </w:tc>
        <w:tc>
          <w:tcPr>
            <w:tcW w:w="1134" w:type="dxa"/>
            <w:tcBorders>
              <w:bottom w:val="nil"/>
            </w:tcBorders>
          </w:tcPr>
          <w:p w14:paraId="422DA20E" w14:textId="77777777" w:rsidR="00763417" w:rsidRPr="00AD43A0" w:rsidRDefault="00763417" w:rsidP="00A14AF3">
            <w:pPr>
              <w:pStyle w:val="TableText"/>
              <w:keepNext w:val="0"/>
              <w:rPr>
                <w:sz w:val="16"/>
                <w:szCs w:val="16"/>
              </w:rPr>
            </w:pPr>
            <w:r w:rsidRPr="00AD43A0">
              <w:rPr>
                <w:sz w:val="16"/>
                <w:szCs w:val="16"/>
              </w:rPr>
              <w:br/>
              <w:t>8.4</w:t>
            </w:r>
            <w:r w:rsidRPr="00AD43A0">
              <w:rPr>
                <w:sz w:val="16"/>
                <w:szCs w:val="16"/>
              </w:rPr>
              <w:br/>
              <w:t>0.09</w:t>
            </w:r>
          </w:p>
        </w:tc>
        <w:tc>
          <w:tcPr>
            <w:tcW w:w="1276" w:type="dxa"/>
            <w:tcBorders>
              <w:bottom w:val="nil"/>
            </w:tcBorders>
          </w:tcPr>
          <w:p w14:paraId="6BAEC7E7" w14:textId="77777777" w:rsidR="00763417" w:rsidRPr="00AD43A0" w:rsidRDefault="00763417" w:rsidP="00A14AF3">
            <w:pPr>
              <w:pStyle w:val="TableText"/>
              <w:keepNext w:val="0"/>
              <w:rPr>
                <w:sz w:val="16"/>
                <w:szCs w:val="16"/>
              </w:rPr>
            </w:pPr>
            <w:r w:rsidRPr="00AD43A0">
              <w:rPr>
                <w:sz w:val="16"/>
                <w:szCs w:val="16"/>
              </w:rPr>
              <w:br/>
              <w:t>8.4</w:t>
            </w:r>
            <w:r w:rsidRPr="00AD43A0">
              <w:rPr>
                <w:sz w:val="16"/>
                <w:szCs w:val="16"/>
              </w:rPr>
              <w:br/>
              <w:t>-0.98</w:t>
            </w:r>
          </w:p>
        </w:tc>
      </w:tr>
      <w:tr w:rsidR="00763417" w:rsidRPr="00AD43A0" w14:paraId="64CB39A1" w14:textId="77777777" w:rsidTr="00A14AF3">
        <w:tc>
          <w:tcPr>
            <w:tcW w:w="2302" w:type="dxa"/>
            <w:tcBorders>
              <w:top w:val="nil"/>
              <w:bottom w:val="nil"/>
            </w:tcBorders>
          </w:tcPr>
          <w:p w14:paraId="18C3B55C" w14:textId="77777777" w:rsidR="00763417" w:rsidRPr="00AD43A0" w:rsidRDefault="00763417" w:rsidP="00A14AF3">
            <w:pPr>
              <w:pStyle w:val="TableText"/>
              <w:keepNext w:val="0"/>
              <w:tabs>
                <w:tab w:val="left" w:pos="182"/>
              </w:tabs>
              <w:spacing w:after="120"/>
              <w:rPr>
                <w:sz w:val="16"/>
                <w:szCs w:val="16"/>
              </w:rPr>
            </w:pPr>
            <w:r w:rsidRPr="00AD43A0">
              <w:rPr>
                <w:b/>
                <w:sz w:val="16"/>
                <w:szCs w:val="16"/>
                <w:lang w:val="en-US"/>
              </w:rPr>
              <w:t xml:space="preserve">Subjects (%) achieving </w:t>
            </w:r>
            <w:proofErr w:type="spellStart"/>
            <w:r w:rsidRPr="00AD43A0">
              <w:rPr>
                <w:b/>
                <w:sz w:val="16"/>
                <w:szCs w:val="16"/>
                <w:lang w:val="en-US"/>
              </w:rPr>
              <w:t>HbA</w:t>
            </w:r>
            <w:proofErr w:type="spellEnd"/>
            <w:r w:rsidRPr="00AD43A0">
              <w:rPr>
                <w:b/>
                <w:sz w:val="16"/>
                <w:szCs w:val="16"/>
                <w:vertAlign w:val="subscript"/>
                <w:lang w:val="en-AU"/>
              </w:rPr>
              <w:t>1c</w:t>
            </w:r>
            <w:r w:rsidRPr="00AD43A0">
              <w:rPr>
                <w:b/>
                <w:sz w:val="16"/>
                <w:szCs w:val="16"/>
                <w:lang w:val="en-US"/>
              </w:rPr>
              <w:t xml:space="preserve"> &lt;7%</w:t>
            </w:r>
            <w:r w:rsidRPr="00AD43A0">
              <w:rPr>
                <w:b/>
                <w:sz w:val="16"/>
                <w:szCs w:val="16"/>
                <w:lang w:val="en-US"/>
              </w:rPr>
              <w:br/>
            </w:r>
            <w:r w:rsidRPr="00AD43A0">
              <w:rPr>
                <w:sz w:val="16"/>
                <w:szCs w:val="16"/>
                <w:lang w:val="en-US"/>
              </w:rPr>
              <w:t>All subjects</w:t>
            </w:r>
            <w:r w:rsidRPr="00AD43A0">
              <w:rPr>
                <w:sz w:val="16"/>
                <w:szCs w:val="16"/>
                <w:lang w:val="en-US"/>
              </w:rPr>
              <w:br/>
              <w:t>Previous OAD monotherapy</w:t>
            </w:r>
          </w:p>
        </w:tc>
        <w:tc>
          <w:tcPr>
            <w:tcW w:w="1418" w:type="dxa"/>
            <w:gridSpan w:val="2"/>
            <w:tcBorders>
              <w:top w:val="nil"/>
              <w:bottom w:val="nil"/>
            </w:tcBorders>
          </w:tcPr>
          <w:p w14:paraId="27114684" w14:textId="77777777" w:rsidR="00763417" w:rsidRPr="00AD43A0" w:rsidRDefault="00763417" w:rsidP="00A14AF3">
            <w:pPr>
              <w:pStyle w:val="TableText"/>
              <w:keepNext w:val="0"/>
              <w:rPr>
                <w:sz w:val="16"/>
                <w:szCs w:val="16"/>
              </w:rPr>
            </w:pPr>
            <w:r w:rsidRPr="00AD43A0">
              <w:rPr>
                <w:sz w:val="16"/>
                <w:szCs w:val="16"/>
              </w:rPr>
              <w:br/>
              <w:t>42.4*</w:t>
            </w:r>
            <w:r w:rsidRPr="00AD43A0">
              <w:rPr>
                <w:sz w:val="16"/>
                <w:szCs w:val="16"/>
              </w:rPr>
              <w:br/>
              <w:t>66.3</w:t>
            </w:r>
          </w:p>
        </w:tc>
        <w:tc>
          <w:tcPr>
            <w:tcW w:w="1275" w:type="dxa"/>
            <w:tcBorders>
              <w:top w:val="nil"/>
              <w:bottom w:val="nil"/>
            </w:tcBorders>
          </w:tcPr>
          <w:p w14:paraId="5CCB035A" w14:textId="77777777" w:rsidR="00763417" w:rsidRPr="00AD43A0" w:rsidRDefault="00763417" w:rsidP="00A14AF3">
            <w:pPr>
              <w:pStyle w:val="TableText"/>
              <w:keepNext w:val="0"/>
              <w:rPr>
                <w:sz w:val="16"/>
                <w:szCs w:val="16"/>
              </w:rPr>
            </w:pPr>
            <w:r w:rsidRPr="00AD43A0">
              <w:rPr>
                <w:sz w:val="16"/>
                <w:szCs w:val="16"/>
              </w:rPr>
              <w:br/>
            </w:r>
          </w:p>
          <w:p w14:paraId="734C85E2" w14:textId="77777777" w:rsidR="00763417" w:rsidRPr="00AD43A0" w:rsidRDefault="00763417" w:rsidP="00A14AF3">
            <w:pPr>
              <w:pStyle w:val="TableText"/>
              <w:keepNext w:val="0"/>
              <w:rPr>
                <w:sz w:val="16"/>
                <w:szCs w:val="16"/>
              </w:rPr>
            </w:pPr>
            <w:r w:rsidRPr="00AD43A0">
              <w:rPr>
                <w:sz w:val="16"/>
                <w:szCs w:val="16"/>
              </w:rPr>
              <w:t>35.3*</w:t>
            </w:r>
            <w:r w:rsidRPr="00AD43A0">
              <w:rPr>
                <w:sz w:val="16"/>
                <w:szCs w:val="16"/>
              </w:rPr>
              <w:br/>
              <w:t>52.8</w:t>
            </w:r>
          </w:p>
        </w:tc>
        <w:tc>
          <w:tcPr>
            <w:tcW w:w="1134" w:type="dxa"/>
            <w:tcBorders>
              <w:top w:val="nil"/>
              <w:bottom w:val="nil"/>
            </w:tcBorders>
          </w:tcPr>
          <w:p w14:paraId="59B92869" w14:textId="77777777" w:rsidR="00763417" w:rsidRPr="00AD43A0" w:rsidRDefault="00763417" w:rsidP="00A14AF3">
            <w:pPr>
              <w:pStyle w:val="TableText"/>
              <w:keepNext w:val="0"/>
              <w:rPr>
                <w:sz w:val="16"/>
                <w:szCs w:val="16"/>
              </w:rPr>
            </w:pPr>
            <w:r w:rsidRPr="00AD43A0">
              <w:rPr>
                <w:sz w:val="16"/>
                <w:szCs w:val="16"/>
              </w:rPr>
              <w:br/>
            </w:r>
          </w:p>
          <w:p w14:paraId="2F5020FB" w14:textId="77777777" w:rsidR="00763417" w:rsidRPr="00AD43A0" w:rsidRDefault="00763417" w:rsidP="00A14AF3">
            <w:pPr>
              <w:pStyle w:val="TableText"/>
              <w:keepNext w:val="0"/>
              <w:rPr>
                <w:sz w:val="16"/>
                <w:szCs w:val="16"/>
              </w:rPr>
            </w:pPr>
            <w:r w:rsidRPr="00AD43A0">
              <w:rPr>
                <w:sz w:val="16"/>
                <w:szCs w:val="16"/>
              </w:rPr>
              <w:t>10.8</w:t>
            </w:r>
            <w:r w:rsidRPr="00AD43A0">
              <w:rPr>
                <w:sz w:val="16"/>
                <w:szCs w:val="16"/>
              </w:rPr>
              <w:br/>
              <w:t>22.5</w:t>
            </w:r>
          </w:p>
        </w:tc>
        <w:tc>
          <w:tcPr>
            <w:tcW w:w="1276" w:type="dxa"/>
            <w:tcBorders>
              <w:top w:val="nil"/>
              <w:bottom w:val="nil"/>
            </w:tcBorders>
          </w:tcPr>
          <w:p w14:paraId="300E190C" w14:textId="77777777" w:rsidR="00763417" w:rsidRPr="00AD43A0" w:rsidRDefault="00763417" w:rsidP="00A14AF3">
            <w:pPr>
              <w:pStyle w:val="TableText"/>
              <w:keepNext w:val="0"/>
              <w:rPr>
                <w:sz w:val="16"/>
                <w:szCs w:val="16"/>
              </w:rPr>
            </w:pPr>
            <w:r w:rsidRPr="00AD43A0">
              <w:rPr>
                <w:sz w:val="16"/>
                <w:szCs w:val="16"/>
              </w:rPr>
              <w:br/>
            </w:r>
          </w:p>
          <w:p w14:paraId="27E3AF5D" w14:textId="77777777" w:rsidR="00763417" w:rsidRPr="00AD43A0" w:rsidRDefault="00763417" w:rsidP="00A14AF3">
            <w:pPr>
              <w:pStyle w:val="TableText"/>
              <w:keepNext w:val="0"/>
              <w:rPr>
                <w:sz w:val="16"/>
                <w:szCs w:val="16"/>
              </w:rPr>
            </w:pPr>
            <w:r w:rsidRPr="00AD43A0">
              <w:rPr>
                <w:sz w:val="16"/>
                <w:szCs w:val="16"/>
              </w:rPr>
              <w:t>36.3</w:t>
            </w:r>
            <w:r w:rsidRPr="00AD43A0">
              <w:rPr>
                <w:sz w:val="16"/>
                <w:szCs w:val="16"/>
              </w:rPr>
              <w:br/>
              <w:t>56.0</w:t>
            </w:r>
          </w:p>
        </w:tc>
      </w:tr>
      <w:tr w:rsidR="00763417" w:rsidRPr="00AD43A0" w14:paraId="07DA27D4" w14:textId="77777777" w:rsidTr="00A14AF3">
        <w:tc>
          <w:tcPr>
            <w:tcW w:w="3720" w:type="dxa"/>
            <w:gridSpan w:val="3"/>
          </w:tcPr>
          <w:p w14:paraId="636ED431" w14:textId="77777777" w:rsidR="00763417" w:rsidRPr="00AD43A0" w:rsidRDefault="00763417" w:rsidP="00A14AF3">
            <w:pPr>
              <w:pStyle w:val="TableText"/>
              <w:keepNext w:val="0"/>
              <w:rPr>
                <w:sz w:val="16"/>
                <w:szCs w:val="16"/>
              </w:rPr>
            </w:pPr>
            <w:r w:rsidRPr="00AD43A0">
              <w:rPr>
                <w:b/>
                <w:sz w:val="16"/>
                <w:szCs w:val="16"/>
              </w:rPr>
              <w:lastRenderedPageBreak/>
              <w:t xml:space="preserve">LEAD 1 - Glimepiride </w:t>
            </w:r>
            <w:r>
              <w:rPr>
                <w:b/>
                <w:sz w:val="16"/>
                <w:szCs w:val="16"/>
              </w:rPr>
              <w:t xml:space="preserve">(4 mg/day) </w:t>
            </w:r>
            <w:r w:rsidRPr="00AD43A0">
              <w:rPr>
                <w:b/>
                <w:sz w:val="16"/>
                <w:szCs w:val="16"/>
              </w:rPr>
              <w:t>Add-on Therapy</w:t>
            </w:r>
          </w:p>
        </w:tc>
        <w:tc>
          <w:tcPr>
            <w:tcW w:w="1275" w:type="dxa"/>
          </w:tcPr>
          <w:p w14:paraId="2DCF3B90" w14:textId="77777777" w:rsidR="00763417" w:rsidRPr="00AD43A0" w:rsidRDefault="00763417" w:rsidP="00A14AF3">
            <w:pPr>
              <w:pStyle w:val="TableText"/>
              <w:keepNext w:val="0"/>
              <w:rPr>
                <w:sz w:val="16"/>
                <w:szCs w:val="16"/>
              </w:rPr>
            </w:pPr>
          </w:p>
        </w:tc>
        <w:tc>
          <w:tcPr>
            <w:tcW w:w="1134" w:type="dxa"/>
          </w:tcPr>
          <w:p w14:paraId="022CBC0A" w14:textId="77777777" w:rsidR="00763417" w:rsidRPr="00AD43A0" w:rsidRDefault="00763417" w:rsidP="00A14AF3">
            <w:pPr>
              <w:pStyle w:val="TableText"/>
              <w:keepNext w:val="0"/>
              <w:rPr>
                <w:sz w:val="16"/>
                <w:szCs w:val="16"/>
              </w:rPr>
            </w:pPr>
          </w:p>
        </w:tc>
        <w:tc>
          <w:tcPr>
            <w:tcW w:w="1276" w:type="dxa"/>
          </w:tcPr>
          <w:p w14:paraId="09366C01" w14:textId="77777777" w:rsidR="00763417" w:rsidRPr="00AD43A0" w:rsidRDefault="00763417" w:rsidP="00A14AF3">
            <w:pPr>
              <w:pStyle w:val="TableText"/>
              <w:keepNext w:val="0"/>
              <w:rPr>
                <w:sz w:val="16"/>
                <w:szCs w:val="16"/>
              </w:rPr>
            </w:pPr>
          </w:p>
        </w:tc>
      </w:tr>
      <w:tr w:rsidR="00763417" w:rsidRPr="00AD43A0" w14:paraId="06197881" w14:textId="77777777" w:rsidTr="00A14AF3">
        <w:tc>
          <w:tcPr>
            <w:tcW w:w="2444" w:type="dxa"/>
            <w:gridSpan w:val="2"/>
            <w:tcBorders>
              <w:bottom w:val="single" w:sz="4" w:space="0" w:color="auto"/>
            </w:tcBorders>
          </w:tcPr>
          <w:p w14:paraId="5736A2BB" w14:textId="77777777" w:rsidR="00763417" w:rsidRPr="00AD43A0" w:rsidRDefault="00763417" w:rsidP="00A14AF3">
            <w:pPr>
              <w:pStyle w:val="TableText"/>
              <w:keepNext w:val="0"/>
              <w:rPr>
                <w:sz w:val="16"/>
                <w:szCs w:val="16"/>
              </w:rPr>
            </w:pPr>
          </w:p>
        </w:tc>
        <w:tc>
          <w:tcPr>
            <w:tcW w:w="1276" w:type="dxa"/>
            <w:tcMar>
              <w:left w:w="57" w:type="dxa"/>
              <w:right w:w="57" w:type="dxa"/>
            </w:tcMar>
          </w:tcPr>
          <w:p w14:paraId="660DCFC1" w14:textId="77777777" w:rsidR="00763417" w:rsidRPr="00AD43A0" w:rsidRDefault="00763417" w:rsidP="00A14AF3">
            <w:pPr>
              <w:pStyle w:val="TableText"/>
              <w:keepNext w:val="0"/>
              <w:rPr>
                <w:b/>
                <w:sz w:val="16"/>
                <w:szCs w:val="16"/>
              </w:rPr>
            </w:pPr>
            <w:r w:rsidRPr="00AD43A0">
              <w:rPr>
                <w:b/>
                <w:noProof/>
                <w:sz w:val="16"/>
                <w:szCs w:val="16"/>
              </w:rPr>
              <w:t>Victoza</w:t>
            </w:r>
            <w:r w:rsidRPr="00AD43A0">
              <w:rPr>
                <w:b/>
                <w:sz w:val="16"/>
                <w:szCs w:val="16"/>
              </w:rPr>
              <w:t xml:space="preserve"> 1.8 mg + glimepiride</w:t>
            </w:r>
          </w:p>
        </w:tc>
        <w:tc>
          <w:tcPr>
            <w:tcW w:w="1275" w:type="dxa"/>
            <w:tcMar>
              <w:left w:w="57" w:type="dxa"/>
              <w:right w:w="57" w:type="dxa"/>
            </w:tcMar>
          </w:tcPr>
          <w:p w14:paraId="3AE800AC" w14:textId="77777777" w:rsidR="00763417" w:rsidRPr="00AD43A0" w:rsidRDefault="00763417" w:rsidP="00A14AF3">
            <w:pPr>
              <w:pStyle w:val="TableText"/>
              <w:keepNext w:val="0"/>
              <w:rPr>
                <w:b/>
                <w:sz w:val="16"/>
                <w:szCs w:val="16"/>
              </w:rPr>
            </w:pPr>
            <w:r w:rsidRPr="00AD43A0">
              <w:rPr>
                <w:b/>
                <w:noProof/>
                <w:sz w:val="16"/>
                <w:szCs w:val="16"/>
              </w:rPr>
              <w:t>Victoza</w:t>
            </w:r>
            <w:r w:rsidRPr="00AD43A0">
              <w:rPr>
                <w:b/>
                <w:sz w:val="16"/>
                <w:szCs w:val="16"/>
              </w:rPr>
              <w:t xml:space="preserve"> 1.2 mg + glimepiride</w:t>
            </w:r>
          </w:p>
        </w:tc>
        <w:tc>
          <w:tcPr>
            <w:tcW w:w="1134" w:type="dxa"/>
            <w:tcMar>
              <w:left w:w="57" w:type="dxa"/>
              <w:right w:w="57" w:type="dxa"/>
            </w:tcMar>
          </w:tcPr>
          <w:p w14:paraId="716E8CFD" w14:textId="77777777" w:rsidR="00763417" w:rsidRPr="00AD43A0" w:rsidRDefault="00763417" w:rsidP="00A14AF3">
            <w:pPr>
              <w:pStyle w:val="TableText"/>
              <w:keepNext w:val="0"/>
              <w:rPr>
                <w:b/>
                <w:sz w:val="16"/>
                <w:szCs w:val="16"/>
              </w:rPr>
            </w:pPr>
            <w:r w:rsidRPr="00AD43A0">
              <w:rPr>
                <w:b/>
                <w:sz w:val="16"/>
                <w:szCs w:val="16"/>
              </w:rPr>
              <w:t>Glimepiride</w:t>
            </w:r>
          </w:p>
          <w:p w14:paraId="3923C331" w14:textId="77777777" w:rsidR="00763417" w:rsidRPr="00AD43A0" w:rsidRDefault="00763417" w:rsidP="00A14AF3">
            <w:pPr>
              <w:pStyle w:val="TableText"/>
              <w:keepNext w:val="0"/>
              <w:rPr>
                <w:sz w:val="16"/>
                <w:szCs w:val="16"/>
              </w:rPr>
            </w:pPr>
            <w:r w:rsidRPr="00AD43A0">
              <w:rPr>
                <w:sz w:val="16"/>
                <w:szCs w:val="16"/>
              </w:rPr>
              <w:t>[3]</w:t>
            </w:r>
          </w:p>
          <w:p w14:paraId="2C03FD41" w14:textId="77777777" w:rsidR="00763417" w:rsidRPr="00AD43A0" w:rsidRDefault="00763417" w:rsidP="00A14AF3">
            <w:pPr>
              <w:pStyle w:val="TableText"/>
              <w:keepNext w:val="0"/>
              <w:rPr>
                <w:b/>
                <w:sz w:val="16"/>
                <w:szCs w:val="16"/>
              </w:rPr>
            </w:pPr>
          </w:p>
        </w:tc>
        <w:tc>
          <w:tcPr>
            <w:tcW w:w="1276" w:type="dxa"/>
            <w:tcMar>
              <w:left w:w="57" w:type="dxa"/>
              <w:right w:w="57" w:type="dxa"/>
            </w:tcMar>
          </w:tcPr>
          <w:p w14:paraId="301760E9" w14:textId="77777777" w:rsidR="00763417" w:rsidRPr="00AD43A0" w:rsidRDefault="00763417" w:rsidP="00A14AF3">
            <w:pPr>
              <w:pStyle w:val="TableText"/>
              <w:keepNext w:val="0"/>
              <w:rPr>
                <w:b/>
                <w:sz w:val="16"/>
                <w:szCs w:val="16"/>
              </w:rPr>
            </w:pPr>
            <w:r w:rsidRPr="00AD43A0">
              <w:rPr>
                <w:b/>
                <w:sz w:val="16"/>
                <w:szCs w:val="16"/>
              </w:rPr>
              <w:t xml:space="preserve">Rosiglitazone </w:t>
            </w:r>
            <w:r>
              <w:rPr>
                <w:b/>
                <w:sz w:val="16"/>
                <w:szCs w:val="16"/>
              </w:rPr>
              <w:br/>
              <w:t xml:space="preserve">4 mg/day </w:t>
            </w:r>
            <w:r w:rsidRPr="00AD43A0">
              <w:rPr>
                <w:b/>
                <w:sz w:val="16"/>
                <w:szCs w:val="16"/>
              </w:rPr>
              <w:t>+ glimepiride</w:t>
            </w:r>
          </w:p>
          <w:p w14:paraId="0BED8A43" w14:textId="77777777" w:rsidR="00763417" w:rsidRPr="00AD43A0" w:rsidRDefault="00763417" w:rsidP="00A14AF3">
            <w:pPr>
              <w:pStyle w:val="TableText"/>
              <w:keepNext w:val="0"/>
              <w:rPr>
                <w:sz w:val="16"/>
                <w:szCs w:val="16"/>
              </w:rPr>
            </w:pPr>
            <w:r w:rsidRPr="00AD43A0">
              <w:rPr>
                <w:sz w:val="16"/>
                <w:szCs w:val="16"/>
              </w:rPr>
              <w:t>[4]</w:t>
            </w:r>
          </w:p>
          <w:p w14:paraId="32DDE7FC" w14:textId="77777777" w:rsidR="00763417" w:rsidRPr="00AD43A0" w:rsidRDefault="00763417" w:rsidP="00A14AF3">
            <w:pPr>
              <w:pStyle w:val="TableText"/>
              <w:keepNext w:val="0"/>
              <w:rPr>
                <w:b/>
                <w:sz w:val="16"/>
                <w:szCs w:val="16"/>
              </w:rPr>
            </w:pPr>
          </w:p>
        </w:tc>
      </w:tr>
      <w:tr w:rsidR="00763417" w:rsidRPr="00AD43A0" w14:paraId="5561A92B" w14:textId="77777777" w:rsidTr="00A14AF3">
        <w:tc>
          <w:tcPr>
            <w:tcW w:w="2444" w:type="dxa"/>
            <w:gridSpan w:val="2"/>
            <w:tcBorders>
              <w:top w:val="single" w:sz="4" w:space="0" w:color="auto"/>
            </w:tcBorders>
          </w:tcPr>
          <w:p w14:paraId="1A30AB0E" w14:textId="77777777" w:rsidR="00763417" w:rsidRPr="00AD43A0" w:rsidRDefault="00763417" w:rsidP="00A14AF3">
            <w:pPr>
              <w:pStyle w:val="TableText"/>
              <w:keepNext w:val="0"/>
              <w:rPr>
                <w:sz w:val="16"/>
                <w:szCs w:val="16"/>
              </w:rPr>
            </w:pPr>
            <w:r w:rsidRPr="00AD43A0">
              <w:rPr>
                <w:b/>
                <w:bCs/>
                <w:sz w:val="16"/>
                <w:szCs w:val="16"/>
              </w:rPr>
              <w:t>N</w:t>
            </w:r>
          </w:p>
        </w:tc>
        <w:tc>
          <w:tcPr>
            <w:tcW w:w="1276" w:type="dxa"/>
          </w:tcPr>
          <w:p w14:paraId="581F08C8" w14:textId="77777777" w:rsidR="00763417" w:rsidRPr="00AD43A0" w:rsidRDefault="00763417" w:rsidP="00A14AF3">
            <w:pPr>
              <w:pStyle w:val="TableText"/>
              <w:keepNext w:val="0"/>
              <w:rPr>
                <w:sz w:val="16"/>
                <w:szCs w:val="16"/>
              </w:rPr>
            </w:pPr>
            <w:r w:rsidRPr="00AD43A0">
              <w:rPr>
                <w:sz w:val="16"/>
                <w:szCs w:val="16"/>
              </w:rPr>
              <w:t>234</w:t>
            </w:r>
          </w:p>
        </w:tc>
        <w:tc>
          <w:tcPr>
            <w:tcW w:w="1275" w:type="dxa"/>
          </w:tcPr>
          <w:p w14:paraId="39A0D28C" w14:textId="77777777" w:rsidR="00763417" w:rsidRPr="00AD43A0" w:rsidRDefault="00763417" w:rsidP="00A14AF3">
            <w:pPr>
              <w:pStyle w:val="TableText"/>
              <w:keepNext w:val="0"/>
              <w:rPr>
                <w:sz w:val="16"/>
                <w:szCs w:val="16"/>
              </w:rPr>
            </w:pPr>
            <w:r w:rsidRPr="00AD43A0">
              <w:rPr>
                <w:sz w:val="16"/>
                <w:szCs w:val="16"/>
              </w:rPr>
              <w:t>228</w:t>
            </w:r>
          </w:p>
        </w:tc>
        <w:tc>
          <w:tcPr>
            <w:tcW w:w="1134" w:type="dxa"/>
          </w:tcPr>
          <w:p w14:paraId="69BA224B" w14:textId="77777777" w:rsidR="00763417" w:rsidRPr="00AD43A0" w:rsidRDefault="00763417" w:rsidP="00A14AF3">
            <w:pPr>
              <w:pStyle w:val="TableText"/>
              <w:keepNext w:val="0"/>
              <w:rPr>
                <w:sz w:val="16"/>
                <w:szCs w:val="16"/>
              </w:rPr>
            </w:pPr>
            <w:r w:rsidRPr="00AD43A0">
              <w:rPr>
                <w:sz w:val="16"/>
                <w:szCs w:val="16"/>
              </w:rPr>
              <w:t>114</w:t>
            </w:r>
          </w:p>
        </w:tc>
        <w:tc>
          <w:tcPr>
            <w:tcW w:w="1276" w:type="dxa"/>
          </w:tcPr>
          <w:p w14:paraId="24C2847E" w14:textId="77777777" w:rsidR="00763417" w:rsidRPr="00AD43A0" w:rsidRDefault="00763417" w:rsidP="00A14AF3">
            <w:pPr>
              <w:pStyle w:val="TableText"/>
              <w:keepNext w:val="0"/>
              <w:rPr>
                <w:sz w:val="16"/>
                <w:szCs w:val="16"/>
              </w:rPr>
            </w:pPr>
            <w:r w:rsidRPr="00AD43A0">
              <w:rPr>
                <w:sz w:val="16"/>
                <w:szCs w:val="16"/>
              </w:rPr>
              <w:t>231</w:t>
            </w:r>
          </w:p>
        </w:tc>
      </w:tr>
      <w:tr w:rsidR="00763417" w:rsidRPr="00AD43A0" w14:paraId="3C60F0E6" w14:textId="77777777" w:rsidTr="00A14AF3">
        <w:tc>
          <w:tcPr>
            <w:tcW w:w="2444" w:type="dxa"/>
            <w:gridSpan w:val="2"/>
            <w:tcBorders>
              <w:bottom w:val="nil"/>
            </w:tcBorders>
          </w:tcPr>
          <w:p w14:paraId="1EA3B6D5" w14:textId="77777777" w:rsidR="00763417" w:rsidRPr="00AD43A0" w:rsidRDefault="00763417" w:rsidP="00A14AF3">
            <w:pPr>
              <w:pStyle w:val="TableText"/>
              <w:keepNext w:val="0"/>
              <w:rPr>
                <w:sz w:val="16"/>
                <w:szCs w:val="16"/>
              </w:rPr>
            </w:pPr>
            <w:r w:rsidRPr="00AD43A0">
              <w:rPr>
                <w:b/>
                <w:bCs/>
                <w:sz w:val="16"/>
                <w:szCs w:val="16"/>
              </w:rPr>
              <w:t>HbA</w:t>
            </w:r>
            <w:r w:rsidRPr="00AD43A0">
              <w:rPr>
                <w:b/>
                <w:bCs/>
                <w:sz w:val="16"/>
                <w:szCs w:val="16"/>
                <w:vertAlign w:val="subscript"/>
              </w:rPr>
              <w:t>1c</w:t>
            </w:r>
            <w:r w:rsidRPr="00AD43A0">
              <w:rPr>
                <w:b/>
                <w:bCs/>
                <w:sz w:val="16"/>
                <w:szCs w:val="16"/>
              </w:rPr>
              <w:t xml:space="preserve"> (%) (Mean)</w:t>
            </w:r>
            <w:r w:rsidRPr="00AD43A0">
              <w:rPr>
                <w:b/>
                <w:bCs/>
                <w:sz w:val="16"/>
                <w:szCs w:val="16"/>
              </w:rPr>
              <w:br/>
            </w:r>
            <w:r w:rsidRPr="00AD43A0">
              <w:rPr>
                <w:sz w:val="16"/>
                <w:szCs w:val="16"/>
              </w:rPr>
              <w:t>Baseline</w:t>
            </w:r>
          </w:p>
          <w:p w14:paraId="09A9C58D" w14:textId="77777777" w:rsidR="00763417" w:rsidRPr="00AD43A0" w:rsidRDefault="00763417" w:rsidP="00A14AF3">
            <w:pPr>
              <w:pStyle w:val="TableText"/>
              <w:keepNext w:val="0"/>
              <w:spacing w:after="120"/>
              <w:rPr>
                <w:sz w:val="16"/>
                <w:szCs w:val="16"/>
              </w:rPr>
            </w:pPr>
            <w:r w:rsidRPr="00AD43A0">
              <w:rPr>
                <w:sz w:val="16"/>
                <w:szCs w:val="16"/>
              </w:rPr>
              <w:t>Change from baseline</w:t>
            </w:r>
          </w:p>
        </w:tc>
        <w:tc>
          <w:tcPr>
            <w:tcW w:w="1276" w:type="dxa"/>
            <w:tcBorders>
              <w:bottom w:val="nil"/>
            </w:tcBorders>
          </w:tcPr>
          <w:p w14:paraId="510C603A" w14:textId="77777777" w:rsidR="00763417" w:rsidRPr="00AD43A0" w:rsidRDefault="00763417" w:rsidP="00A14AF3">
            <w:pPr>
              <w:pStyle w:val="TableText"/>
              <w:keepNext w:val="0"/>
              <w:rPr>
                <w:sz w:val="16"/>
                <w:szCs w:val="16"/>
              </w:rPr>
            </w:pPr>
            <w:r w:rsidRPr="00AD43A0">
              <w:rPr>
                <w:sz w:val="16"/>
                <w:szCs w:val="16"/>
              </w:rPr>
              <w:br/>
              <w:t>8.5</w:t>
            </w:r>
            <w:r w:rsidRPr="00AD43A0">
              <w:rPr>
                <w:sz w:val="16"/>
                <w:szCs w:val="16"/>
              </w:rPr>
              <w:br/>
              <w:t>-1.13*</w:t>
            </w:r>
            <w:r w:rsidRPr="00AD43A0">
              <w:rPr>
                <w:sz w:val="16"/>
                <w:szCs w:val="16"/>
                <w:vertAlign w:val="superscript"/>
              </w:rPr>
              <w:t>#</w:t>
            </w:r>
          </w:p>
        </w:tc>
        <w:tc>
          <w:tcPr>
            <w:tcW w:w="1275" w:type="dxa"/>
            <w:tcBorders>
              <w:bottom w:val="nil"/>
            </w:tcBorders>
          </w:tcPr>
          <w:p w14:paraId="62D47F23" w14:textId="77777777" w:rsidR="00763417" w:rsidRPr="00AD43A0" w:rsidRDefault="00763417" w:rsidP="00A14AF3">
            <w:pPr>
              <w:pStyle w:val="TableText"/>
              <w:keepNext w:val="0"/>
              <w:rPr>
                <w:sz w:val="16"/>
                <w:szCs w:val="16"/>
              </w:rPr>
            </w:pPr>
            <w:r w:rsidRPr="00AD43A0">
              <w:rPr>
                <w:sz w:val="16"/>
                <w:szCs w:val="16"/>
              </w:rPr>
              <w:br/>
              <w:t>8.5</w:t>
            </w:r>
            <w:r w:rsidRPr="00AD43A0">
              <w:rPr>
                <w:sz w:val="16"/>
                <w:szCs w:val="16"/>
              </w:rPr>
              <w:br/>
              <w:t>-1.08*</w:t>
            </w:r>
            <w:r w:rsidRPr="00AD43A0">
              <w:rPr>
                <w:sz w:val="16"/>
                <w:szCs w:val="16"/>
                <w:vertAlign w:val="superscript"/>
              </w:rPr>
              <w:t>#</w:t>
            </w:r>
          </w:p>
        </w:tc>
        <w:tc>
          <w:tcPr>
            <w:tcW w:w="1134" w:type="dxa"/>
            <w:tcBorders>
              <w:bottom w:val="nil"/>
            </w:tcBorders>
          </w:tcPr>
          <w:p w14:paraId="0D1E5B67" w14:textId="77777777" w:rsidR="00763417" w:rsidRPr="00AD43A0" w:rsidRDefault="00763417" w:rsidP="00A14AF3">
            <w:pPr>
              <w:pStyle w:val="TableText"/>
              <w:keepNext w:val="0"/>
              <w:rPr>
                <w:sz w:val="16"/>
                <w:szCs w:val="16"/>
              </w:rPr>
            </w:pPr>
            <w:r w:rsidRPr="00AD43A0">
              <w:rPr>
                <w:sz w:val="16"/>
                <w:szCs w:val="16"/>
              </w:rPr>
              <w:br/>
              <w:t>8.4</w:t>
            </w:r>
            <w:r w:rsidRPr="00AD43A0">
              <w:rPr>
                <w:sz w:val="16"/>
                <w:szCs w:val="16"/>
              </w:rPr>
              <w:br/>
              <w:t>0.23</w:t>
            </w:r>
          </w:p>
        </w:tc>
        <w:tc>
          <w:tcPr>
            <w:tcW w:w="1276" w:type="dxa"/>
            <w:tcBorders>
              <w:bottom w:val="nil"/>
            </w:tcBorders>
          </w:tcPr>
          <w:p w14:paraId="60A5314B" w14:textId="77777777" w:rsidR="00763417" w:rsidRPr="00AD43A0" w:rsidRDefault="00763417" w:rsidP="00A14AF3">
            <w:pPr>
              <w:pStyle w:val="TableText"/>
              <w:keepNext w:val="0"/>
              <w:rPr>
                <w:sz w:val="16"/>
                <w:szCs w:val="16"/>
              </w:rPr>
            </w:pPr>
            <w:r w:rsidRPr="00AD43A0">
              <w:rPr>
                <w:sz w:val="16"/>
                <w:szCs w:val="16"/>
              </w:rPr>
              <w:br/>
              <w:t>8.4</w:t>
            </w:r>
            <w:r w:rsidRPr="00AD43A0">
              <w:rPr>
                <w:sz w:val="16"/>
                <w:szCs w:val="16"/>
              </w:rPr>
              <w:br/>
              <w:t>-0.44</w:t>
            </w:r>
          </w:p>
        </w:tc>
      </w:tr>
      <w:tr w:rsidR="00763417" w:rsidRPr="00AD43A0" w14:paraId="75DF0547" w14:textId="77777777" w:rsidTr="00A14AF3">
        <w:tc>
          <w:tcPr>
            <w:tcW w:w="2444" w:type="dxa"/>
            <w:gridSpan w:val="2"/>
            <w:tcBorders>
              <w:top w:val="nil"/>
              <w:bottom w:val="single" w:sz="4" w:space="0" w:color="auto"/>
            </w:tcBorders>
          </w:tcPr>
          <w:p w14:paraId="6E067B8C" w14:textId="77777777" w:rsidR="00763417" w:rsidRPr="00AD43A0" w:rsidRDefault="00763417" w:rsidP="00A14AF3">
            <w:pPr>
              <w:pStyle w:val="TableText"/>
              <w:keepNext w:val="0"/>
              <w:tabs>
                <w:tab w:val="left" w:pos="182"/>
              </w:tabs>
              <w:spacing w:after="120"/>
              <w:rPr>
                <w:b/>
                <w:sz w:val="16"/>
                <w:szCs w:val="16"/>
              </w:rPr>
            </w:pPr>
            <w:r w:rsidRPr="00AD43A0">
              <w:rPr>
                <w:b/>
                <w:sz w:val="16"/>
                <w:szCs w:val="16"/>
                <w:lang w:val="en-US"/>
              </w:rPr>
              <w:t>Subjects (%) achieving HbA</w:t>
            </w:r>
            <w:r w:rsidRPr="00AD43A0">
              <w:rPr>
                <w:b/>
                <w:sz w:val="16"/>
                <w:szCs w:val="16"/>
                <w:vertAlign w:val="subscript"/>
                <w:lang w:val="en-US"/>
              </w:rPr>
              <w:t>1c</w:t>
            </w:r>
            <w:r w:rsidRPr="00AD43A0">
              <w:rPr>
                <w:b/>
                <w:sz w:val="16"/>
                <w:szCs w:val="16"/>
                <w:lang w:val="en-US"/>
              </w:rPr>
              <w:t xml:space="preserve"> &lt;7%</w:t>
            </w:r>
            <w:r w:rsidRPr="00AD43A0">
              <w:rPr>
                <w:b/>
                <w:sz w:val="16"/>
                <w:szCs w:val="16"/>
                <w:lang w:val="en-US"/>
              </w:rPr>
              <w:br/>
            </w:r>
            <w:r w:rsidRPr="00AD43A0">
              <w:rPr>
                <w:sz w:val="16"/>
                <w:szCs w:val="16"/>
                <w:lang w:val="en-US"/>
              </w:rPr>
              <w:t>All subjects</w:t>
            </w:r>
            <w:r w:rsidRPr="00AD43A0">
              <w:rPr>
                <w:sz w:val="16"/>
                <w:szCs w:val="16"/>
                <w:lang w:val="en-US"/>
              </w:rPr>
              <w:br/>
              <w:t>Previous OAD monotherapy</w:t>
            </w:r>
          </w:p>
        </w:tc>
        <w:tc>
          <w:tcPr>
            <w:tcW w:w="1276" w:type="dxa"/>
            <w:tcBorders>
              <w:top w:val="nil"/>
              <w:bottom w:val="single" w:sz="4" w:space="0" w:color="auto"/>
            </w:tcBorders>
          </w:tcPr>
          <w:p w14:paraId="09BE9B74" w14:textId="77777777" w:rsidR="00763417" w:rsidRPr="00AD43A0" w:rsidRDefault="00763417" w:rsidP="00A14AF3">
            <w:pPr>
              <w:pStyle w:val="TableText"/>
              <w:keepNext w:val="0"/>
              <w:rPr>
                <w:sz w:val="16"/>
                <w:szCs w:val="16"/>
              </w:rPr>
            </w:pPr>
            <w:r w:rsidRPr="00AD43A0">
              <w:rPr>
                <w:sz w:val="16"/>
                <w:szCs w:val="16"/>
              </w:rPr>
              <w:br/>
            </w:r>
          </w:p>
          <w:p w14:paraId="705E72B3" w14:textId="77777777" w:rsidR="00763417" w:rsidRPr="00AD43A0" w:rsidRDefault="00763417" w:rsidP="00A14AF3">
            <w:pPr>
              <w:pStyle w:val="TableText"/>
              <w:keepNext w:val="0"/>
              <w:rPr>
                <w:sz w:val="16"/>
                <w:szCs w:val="16"/>
              </w:rPr>
            </w:pPr>
            <w:r w:rsidRPr="00AD43A0">
              <w:rPr>
                <w:sz w:val="16"/>
                <w:szCs w:val="16"/>
              </w:rPr>
              <w:t>41.6*</w:t>
            </w:r>
            <w:r w:rsidRPr="00AD43A0">
              <w:rPr>
                <w:sz w:val="16"/>
                <w:szCs w:val="16"/>
                <w:vertAlign w:val="superscript"/>
              </w:rPr>
              <w:t>#</w:t>
            </w:r>
            <w:r w:rsidRPr="00AD43A0">
              <w:rPr>
                <w:sz w:val="16"/>
                <w:szCs w:val="16"/>
              </w:rPr>
              <w:br/>
              <w:t>55.9</w:t>
            </w:r>
          </w:p>
        </w:tc>
        <w:tc>
          <w:tcPr>
            <w:tcW w:w="1275" w:type="dxa"/>
            <w:tcBorders>
              <w:top w:val="nil"/>
              <w:bottom w:val="single" w:sz="4" w:space="0" w:color="auto"/>
            </w:tcBorders>
          </w:tcPr>
          <w:p w14:paraId="72633AC1" w14:textId="77777777" w:rsidR="00763417" w:rsidRPr="00AD43A0" w:rsidRDefault="00763417" w:rsidP="00A14AF3">
            <w:pPr>
              <w:pStyle w:val="TableText"/>
              <w:keepNext w:val="0"/>
              <w:rPr>
                <w:sz w:val="16"/>
                <w:szCs w:val="16"/>
              </w:rPr>
            </w:pPr>
            <w:r w:rsidRPr="00AD43A0">
              <w:rPr>
                <w:sz w:val="16"/>
                <w:szCs w:val="16"/>
              </w:rPr>
              <w:br/>
            </w:r>
          </w:p>
          <w:p w14:paraId="63D1F65F" w14:textId="77777777" w:rsidR="00763417" w:rsidRPr="00AD43A0" w:rsidRDefault="00763417" w:rsidP="00A14AF3">
            <w:pPr>
              <w:pStyle w:val="TableText"/>
              <w:keepNext w:val="0"/>
              <w:rPr>
                <w:sz w:val="16"/>
                <w:szCs w:val="16"/>
              </w:rPr>
            </w:pPr>
            <w:r w:rsidRPr="00AD43A0">
              <w:rPr>
                <w:sz w:val="16"/>
                <w:szCs w:val="16"/>
              </w:rPr>
              <w:t>34.5*</w:t>
            </w:r>
            <w:r w:rsidRPr="00AD43A0">
              <w:rPr>
                <w:sz w:val="16"/>
                <w:szCs w:val="16"/>
                <w:vertAlign w:val="superscript"/>
              </w:rPr>
              <w:t>#</w:t>
            </w:r>
            <w:r w:rsidRPr="00AD43A0">
              <w:rPr>
                <w:sz w:val="16"/>
                <w:szCs w:val="16"/>
              </w:rPr>
              <w:br/>
              <w:t>57.4</w:t>
            </w:r>
          </w:p>
        </w:tc>
        <w:tc>
          <w:tcPr>
            <w:tcW w:w="1134" w:type="dxa"/>
            <w:tcBorders>
              <w:top w:val="nil"/>
              <w:bottom w:val="single" w:sz="4" w:space="0" w:color="auto"/>
            </w:tcBorders>
          </w:tcPr>
          <w:p w14:paraId="08E588E3" w14:textId="77777777" w:rsidR="00763417" w:rsidRPr="00AD43A0" w:rsidRDefault="00763417" w:rsidP="00A14AF3">
            <w:pPr>
              <w:pStyle w:val="TableText"/>
              <w:keepNext w:val="0"/>
              <w:rPr>
                <w:sz w:val="16"/>
                <w:szCs w:val="16"/>
              </w:rPr>
            </w:pPr>
            <w:r w:rsidRPr="00AD43A0">
              <w:rPr>
                <w:sz w:val="16"/>
                <w:szCs w:val="16"/>
              </w:rPr>
              <w:br/>
            </w:r>
          </w:p>
          <w:p w14:paraId="68C10EEE" w14:textId="77777777" w:rsidR="00763417" w:rsidRPr="00AD43A0" w:rsidRDefault="00763417" w:rsidP="00A14AF3">
            <w:pPr>
              <w:pStyle w:val="TableText"/>
              <w:keepNext w:val="0"/>
              <w:rPr>
                <w:sz w:val="16"/>
                <w:szCs w:val="16"/>
              </w:rPr>
            </w:pPr>
            <w:r w:rsidRPr="00AD43A0">
              <w:rPr>
                <w:sz w:val="16"/>
                <w:szCs w:val="16"/>
              </w:rPr>
              <w:t>7.5</w:t>
            </w:r>
            <w:r w:rsidRPr="00AD43A0">
              <w:rPr>
                <w:sz w:val="16"/>
                <w:szCs w:val="16"/>
              </w:rPr>
              <w:br/>
              <w:t>11.8</w:t>
            </w:r>
          </w:p>
        </w:tc>
        <w:tc>
          <w:tcPr>
            <w:tcW w:w="1276" w:type="dxa"/>
            <w:tcBorders>
              <w:top w:val="nil"/>
              <w:bottom w:val="single" w:sz="4" w:space="0" w:color="auto"/>
            </w:tcBorders>
          </w:tcPr>
          <w:p w14:paraId="5166AF94" w14:textId="77777777" w:rsidR="00763417" w:rsidRPr="00AD43A0" w:rsidRDefault="00763417" w:rsidP="00A14AF3">
            <w:pPr>
              <w:pStyle w:val="TableText"/>
              <w:keepNext w:val="0"/>
              <w:rPr>
                <w:sz w:val="16"/>
                <w:szCs w:val="16"/>
              </w:rPr>
            </w:pPr>
            <w:r w:rsidRPr="00AD43A0">
              <w:rPr>
                <w:sz w:val="16"/>
                <w:szCs w:val="16"/>
              </w:rPr>
              <w:br/>
            </w:r>
          </w:p>
          <w:p w14:paraId="6B6AA8EA" w14:textId="77777777" w:rsidR="00763417" w:rsidRPr="00AD43A0" w:rsidRDefault="00763417" w:rsidP="00A14AF3">
            <w:pPr>
              <w:pStyle w:val="TableText"/>
              <w:keepNext w:val="0"/>
              <w:rPr>
                <w:sz w:val="16"/>
                <w:szCs w:val="16"/>
              </w:rPr>
            </w:pPr>
            <w:r w:rsidRPr="00AD43A0">
              <w:rPr>
                <w:sz w:val="16"/>
                <w:szCs w:val="16"/>
              </w:rPr>
              <w:t>21.9</w:t>
            </w:r>
            <w:r w:rsidRPr="00AD43A0">
              <w:rPr>
                <w:sz w:val="16"/>
                <w:szCs w:val="16"/>
              </w:rPr>
              <w:br/>
              <w:t>36.1</w:t>
            </w:r>
          </w:p>
        </w:tc>
      </w:tr>
    </w:tbl>
    <w:p w14:paraId="64363E6D" w14:textId="77777777" w:rsidR="00763417" w:rsidRPr="00AD43A0" w:rsidRDefault="00763417" w:rsidP="00763417">
      <w:pPr>
        <w:spacing w:before="80"/>
        <w:rPr>
          <w:bCs/>
          <w:iCs/>
          <w:sz w:val="16"/>
          <w:szCs w:val="16"/>
        </w:rPr>
      </w:pPr>
      <w:r w:rsidRPr="00AD43A0">
        <w:rPr>
          <w:bCs/>
          <w:iCs/>
          <w:sz w:val="16"/>
          <w:szCs w:val="16"/>
        </w:rPr>
        <w:t xml:space="preserve">[1] </w:t>
      </w:r>
      <w:proofErr w:type="gramStart"/>
      <w:r w:rsidRPr="00AD43A0">
        <w:rPr>
          <w:bCs/>
          <w:iCs/>
          <w:sz w:val="16"/>
          <w:szCs w:val="16"/>
        </w:rPr>
        <w:t>placebo</w:t>
      </w:r>
      <w:proofErr w:type="gramEnd"/>
      <w:r w:rsidRPr="00AD43A0">
        <w:rPr>
          <w:bCs/>
          <w:iCs/>
          <w:sz w:val="16"/>
          <w:szCs w:val="16"/>
        </w:rPr>
        <w:t xml:space="preserve"> comparator (metformin)</w:t>
      </w:r>
    </w:p>
    <w:p w14:paraId="1005B630" w14:textId="77777777" w:rsidR="00763417" w:rsidRPr="00AD43A0" w:rsidRDefault="00763417" w:rsidP="00763417">
      <w:pPr>
        <w:rPr>
          <w:bCs/>
          <w:iCs/>
          <w:sz w:val="16"/>
          <w:szCs w:val="16"/>
        </w:rPr>
      </w:pPr>
      <w:r w:rsidRPr="00AD43A0">
        <w:rPr>
          <w:bCs/>
          <w:iCs/>
          <w:sz w:val="16"/>
          <w:szCs w:val="16"/>
        </w:rPr>
        <w:t xml:space="preserve">[2] </w:t>
      </w:r>
      <w:proofErr w:type="gramStart"/>
      <w:r w:rsidRPr="00AD43A0">
        <w:rPr>
          <w:bCs/>
          <w:iCs/>
          <w:sz w:val="16"/>
          <w:szCs w:val="16"/>
        </w:rPr>
        <w:t>active</w:t>
      </w:r>
      <w:proofErr w:type="gramEnd"/>
      <w:r w:rsidRPr="00AD43A0">
        <w:rPr>
          <w:bCs/>
          <w:iCs/>
          <w:sz w:val="16"/>
          <w:szCs w:val="16"/>
        </w:rPr>
        <w:t xml:space="preserve"> comparator (metformin + glimepiride)</w:t>
      </w:r>
    </w:p>
    <w:p w14:paraId="462B1A11" w14:textId="77777777" w:rsidR="00763417" w:rsidRPr="00AD43A0" w:rsidRDefault="00763417" w:rsidP="00763417">
      <w:pPr>
        <w:rPr>
          <w:bCs/>
          <w:iCs/>
          <w:sz w:val="16"/>
          <w:szCs w:val="16"/>
        </w:rPr>
      </w:pPr>
      <w:r w:rsidRPr="00AD43A0">
        <w:rPr>
          <w:bCs/>
          <w:iCs/>
          <w:sz w:val="16"/>
          <w:szCs w:val="16"/>
        </w:rPr>
        <w:t xml:space="preserve">[3] </w:t>
      </w:r>
      <w:proofErr w:type="gramStart"/>
      <w:r w:rsidRPr="00AD43A0">
        <w:rPr>
          <w:bCs/>
          <w:iCs/>
          <w:sz w:val="16"/>
          <w:szCs w:val="16"/>
        </w:rPr>
        <w:t>placebo</w:t>
      </w:r>
      <w:proofErr w:type="gramEnd"/>
      <w:r w:rsidRPr="00AD43A0">
        <w:rPr>
          <w:bCs/>
          <w:iCs/>
          <w:sz w:val="16"/>
          <w:szCs w:val="16"/>
        </w:rPr>
        <w:t xml:space="preserve"> comparator (glimepiride)</w:t>
      </w:r>
    </w:p>
    <w:p w14:paraId="7E93D4B7" w14:textId="77777777" w:rsidR="00763417" w:rsidRPr="00AD43A0" w:rsidRDefault="00763417" w:rsidP="00763417">
      <w:pPr>
        <w:rPr>
          <w:bCs/>
          <w:iCs/>
          <w:sz w:val="16"/>
          <w:szCs w:val="16"/>
        </w:rPr>
      </w:pPr>
      <w:r w:rsidRPr="00AD43A0">
        <w:rPr>
          <w:bCs/>
          <w:iCs/>
          <w:sz w:val="16"/>
          <w:szCs w:val="16"/>
        </w:rPr>
        <w:t xml:space="preserve">[4] </w:t>
      </w:r>
      <w:proofErr w:type="gramStart"/>
      <w:r w:rsidRPr="00AD43A0">
        <w:rPr>
          <w:bCs/>
          <w:iCs/>
          <w:sz w:val="16"/>
          <w:szCs w:val="16"/>
        </w:rPr>
        <w:t>active</w:t>
      </w:r>
      <w:proofErr w:type="gramEnd"/>
      <w:r w:rsidRPr="00AD43A0">
        <w:rPr>
          <w:bCs/>
          <w:iCs/>
          <w:sz w:val="16"/>
          <w:szCs w:val="16"/>
        </w:rPr>
        <w:t xml:space="preserve"> comparator (glimepiride + rosiglitazone)</w:t>
      </w:r>
    </w:p>
    <w:p w14:paraId="085468D2" w14:textId="77777777" w:rsidR="00763417" w:rsidRPr="00AD43A0" w:rsidRDefault="00763417" w:rsidP="00763417">
      <w:pPr>
        <w:pStyle w:val="Caption"/>
        <w:spacing w:before="0" w:after="0"/>
        <w:rPr>
          <w:b w:val="0"/>
          <w:sz w:val="16"/>
          <w:szCs w:val="16"/>
        </w:rPr>
      </w:pPr>
      <w:r w:rsidRPr="00AD43A0">
        <w:rPr>
          <w:b w:val="0"/>
          <w:sz w:val="16"/>
          <w:szCs w:val="16"/>
        </w:rPr>
        <w:t>*Significantly different from placebo comparator (p &lt;0.02)</w:t>
      </w:r>
    </w:p>
    <w:p w14:paraId="4D80732B" w14:textId="2945E8D4" w:rsidR="00763417" w:rsidRDefault="00763417" w:rsidP="00763417">
      <w:pPr>
        <w:jc w:val="both"/>
        <w:rPr>
          <w:noProof/>
          <w:sz w:val="26"/>
          <w:szCs w:val="26"/>
        </w:rPr>
      </w:pPr>
      <w:r w:rsidRPr="009C7998">
        <w:rPr>
          <w:sz w:val="16"/>
          <w:szCs w:val="16"/>
          <w:vertAlign w:val="superscript"/>
        </w:rPr>
        <w:t>#</w:t>
      </w:r>
      <w:r w:rsidRPr="009C7998">
        <w:rPr>
          <w:sz w:val="16"/>
          <w:szCs w:val="16"/>
        </w:rPr>
        <w:t xml:space="preserve"> </w:t>
      </w:r>
      <w:proofErr w:type="gramStart"/>
      <w:r w:rsidRPr="009C7998">
        <w:rPr>
          <w:sz w:val="16"/>
          <w:szCs w:val="16"/>
        </w:rPr>
        <w:t>Significantly</w:t>
      </w:r>
      <w:proofErr w:type="gramEnd"/>
      <w:r w:rsidRPr="009C7998">
        <w:rPr>
          <w:sz w:val="16"/>
          <w:szCs w:val="16"/>
        </w:rPr>
        <w:t xml:space="preserve"> different from active comparator (p &lt;0.05</w:t>
      </w:r>
      <w:r w:rsidRPr="00AD43A0">
        <w:rPr>
          <w:b/>
          <w:sz w:val="16"/>
          <w:szCs w:val="16"/>
        </w:rPr>
        <w:t>)</w:t>
      </w:r>
    </w:p>
    <w:p w14:paraId="53CF1681" w14:textId="77777777" w:rsidR="00763417" w:rsidRDefault="00763417" w:rsidP="00416832">
      <w:pPr>
        <w:jc w:val="both"/>
        <w:rPr>
          <w:noProof/>
          <w:sz w:val="26"/>
          <w:szCs w:val="26"/>
        </w:rPr>
      </w:pPr>
    </w:p>
    <w:p w14:paraId="6A4C39B5" w14:textId="77777777" w:rsidR="00763417" w:rsidRPr="008A6F3F" w:rsidRDefault="00763417" w:rsidP="00763417">
      <w:pPr>
        <w:pStyle w:val="Heading6"/>
        <w:rPr>
          <w:bCs/>
          <w:i/>
          <w:iCs/>
          <w:sz w:val="22"/>
          <w:szCs w:val="22"/>
        </w:rPr>
      </w:pPr>
      <w:r w:rsidRPr="008A6F3F">
        <w:rPr>
          <w:i/>
          <w:sz w:val="22"/>
          <w:szCs w:val="22"/>
          <w:u w:val="none"/>
          <w:lang w:val="da-DK"/>
        </w:rPr>
        <w:t>B.ii.b) Victoza compared to a basal insulin (LEAD 5)</w:t>
      </w:r>
    </w:p>
    <w:p w14:paraId="4A9F438E" w14:textId="094ED303" w:rsidR="00763417" w:rsidRDefault="00763417" w:rsidP="00763417">
      <w:pPr>
        <w:jc w:val="both"/>
        <w:rPr>
          <w:sz w:val="22"/>
          <w:szCs w:val="22"/>
          <w:lang w:val="en-AU" w:eastAsia="en-AU"/>
        </w:rPr>
      </w:pPr>
      <w:r w:rsidRPr="00490EA4">
        <w:rPr>
          <w:bCs/>
          <w:iCs/>
          <w:sz w:val="22"/>
          <w:szCs w:val="22"/>
        </w:rPr>
        <w:t xml:space="preserve">LEAD 5 </w:t>
      </w:r>
      <w:r w:rsidRPr="00490EA4">
        <w:rPr>
          <w:sz w:val="22"/>
          <w:szCs w:val="22"/>
          <w:lang w:val="en-AU" w:eastAsia="en-AU"/>
        </w:rPr>
        <w:t xml:space="preserve">enrolled patients diagnosed with type </w:t>
      </w:r>
      <w:proofErr w:type="gramStart"/>
      <w:r w:rsidRPr="00490EA4">
        <w:rPr>
          <w:sz w:val="22"/>
          <w:szCs w:val="22"/>
          <w:lang w:val="en-AU" w:eastAsia="en-AU"/>
        </w:rPr>
        <w:t>2 diabetes,</w:t>
      </w:r>
      <w:proofErr w:type="gramEnd"/>
      <w:r w:rsidRPr="00490EA4">
        <w:rPr>
          <w:sz w:val="22"/>
          <w:szCs w:val="22"/>
          <w:lang w:val="en-AU" w:eastAsia="en-AU"/>
        </w:rPr>
        <w:t xml:space="preserve"> previously treated with oral agent(s) for at least 3 months with an HbA</w:t>
      </w:r>
      <w:r w:rsidRPr="00490EA4">
        <w:rPr>
          <w:sz w:val="22"/>
          <w:szCs w:val="22"/>
          <w:vertAlign w:val="subscript"/>
          <w:lang w:val="en-AU" w:eastAsia="en-AU"/>
        </w:rPr>
        <w:t>1c</w:t>
      </w:r>
      <w:r w:rsidRPr="00490EA4">
        <w:rPr>
          <w:sz w:val="22"/>
          <w:szCs w:val="22"/>
          <w:lang w:val="en-AU" w:eastAsia="en-AU"/>
        </w:rPr>
        <w:t>: 7.5</w:t>
      </w:r>
      <w:r w:rsidRPr="00490EA4">
        <w:rPr>
          <w:rFonts w:ascii="Cambria Math" w:hAnsi="Cambria Math" w:cs="Cambria Math"/>
          <w:sz w:val="22"/>
          <w:szCs w:val="22"/>
          <w:lang w:val="en-AU" w:eastAsia="en-AU"/>
        </w:rPr>
        <w:t>‐</w:t>
      </w:r>
      <w:r w:rsidRPr="00490EA4">
        <w:rPr>
          <w:sz w:val="22"/>
          <w:szCs w:val="22"/>
          <w:lang w:val="en-AU" w:eastAsia="en-AU"/>
        </w:rPr>
        <w:t>10.0% (inclusive) in subjects on oral monotherapy or 7.0</w:t>
      </w:r>
      <w:r w:rsidRPr="00490EA4">
        <w:rPr>
          <w:rFonts w:ascii="Cambria Math" w:hAnsi="Cambria Math" w:cs="Cambria Math"/>
          <w:sz w:val="22"/>
          <w:szCs w:val="22"/>
          <w:lang w:val="en-AU" w:eastAsia="en-AU"/>
        </w:rPr>
        <w:t>‐</w:t>
      </w:r>
      <w:r w:rsidRPr="00490EA4">
        <w:rPr>
          <w:sz w:val="22"/>
          <w:szCs w:val="22"/>
          <w:lang w:val="en-AU" w:eastAsia="en-AU"/>
        </w:rPr>
        <w:t xml:space="preserve">10.0% (inclusive) in subjects on oral combination therapy. </w:t>
      </w:r>
      <w:r w:rsidRPr="00490EA4">
        <w:rPr>
          <w:bCs/>
          <w:iCs/>
          <w:sz w:val="22"/>
          <w:szCs w:val="22"/>
        </w:rPr>
        <w:t>In LEAD 5, the analysis of change in HbA</w:t>
      </w:r>
      <w:r w:rsidRPr="00490EA4">
        <w:rPr>
          <w:bCs/>
          <w:iCs/>
          <w:sz w:val="22"/>
          <w:szCs w:val="22"/>
          <w:vertAlign w:val="subscript"/>
        </w:rPr>
        <w:t>1c</w:t>
      </w:r>
      <w:r w:rsidRPr="00490EA4">
        <w:rPr>
          <w:bCs/>
          <w:iCs/>
          <w:sz w:val="22"/>
          <w:szCs w:val="22"/>
        </w:rPr>
        <w:t xml:space="preserve"> from baseline demonstrated that treatment with </w:t>
      </w:r>
      <w:r w:rsidRPr="00490EA4">
        <w:rPr>
          <w:noProof/>
          <w:sz w:val="22"/>
          <w:szCs w:val="22"/>
        </w:rPr>
        <w:t>Victoza</w:t>
      </w:r>
      <w:r w:rsidRPr="00490EA4">
        <w:rPr>
          <w:bCs/>
          <w:iCs/>
          <w:sz w:val="22"/>
          <w:szCs w:val="22"/>
        </w:rPr>
        <w:t xml:space="preserve"> 1.8 mg + glimepiride + metformin was superior to treatment with glimepiride + metformin alone and superior to treatment with insulin glargine + glimepiride + metformin (Table </w:t>
      </w:r>
      <w:r>
        <w:rPr>
          <w:bCs/>
          <w:iCs/>
          <w:sz w:val="22"/>
          <w:szCs w:val="22"/>
        </w:rPr>
        <w:t>3</w:t>
      </w:r>
      <w:r w:rsidRPr="00490EA4">
        <w:rPr>
          <w:bCs/>
          <w:iCs/>
          <w:sz w:val="22"/>
          <w:szCs w:val="22"/>
        </w:rPr>
        <w:t>)</w:t>
      </w:r>
      <w:r w:rsidRPr="00490EA4">
        <w:rPr>
          <w:sz w:val="22"/>
          <w:szCs w:val="22"/>
          <w:lang w:val="en-AU" w:eastAsia="en-AU"/>
        </w:rPr>
        <w:t xml:space="preserve">. </w:t>
      </w:r>
    </w:p>
    <w:p w14:paraId="3001D00A" w14:textId="77777777" w:rsidR="00763417" w:rsidRDefault="00763417" w:rsidP="00763417">
      <w:pPr>
        <w:jc w:val="both"/>
        <w:rPr>
          <w:sz w:val="22"/>
          <w:szCs w:val="22"/>
          <w:lang w:val="en-AU" w:eastAsia="en-AU"/>
        </w:rPr>
      </w:pPr>
    </w:p>
    <w:p w14:paraId="5096E114" w14:textId="66A5C5DD" w:rsidR="00763417" w:rsidRPr="00763417" w:rsidRDefault="00763417" w:rsidP="001A5852">
      <w:pPr>
        <w:keepNext/>
        <w:jc w:val="both"/>
        <w:rPr>
          <w:b/>
          <w:iCs/>
          <w:sz w:val="22"/>
          <w:szCs w:val="22"/>
        </w:rPr>
      </w:pPr>
      <w:r w:rsidRPr="00763417">
        <w:rPr>
          <w:b/>
          <w:sz w:val="22"/>
          <w:szCs w:val="22"/>
        </w:rPr>
        <w:t>Table 3</w:t>
      </w:r>
      <w:r w:rsidRPr="00763417">
        <w:rPr>
          <w:b/>
          <w:sz w:val="22"/>
          <w:szCs w:val="22"/>
        </w:rPr>
        <w:tab/>
      </w:r>
      <w:r>
        <w:rPr>
          <w:b/>
          <w:sz w:val="22"/>
          <w:szCs w:val="22"/>
        </w:rPr>
        <w:t xml:space="preserve"> </w:t>
      </w:r>
      <w:r w:rsidRPr="00763417">
        <w:rPr>
          <w:b/>
          <w:iCs/>
          <w:sz w:val="22"/>
          <w:szCs w:val="22"/>
        </w:rPr>
        <w:t xml:space="preserve">Results of a 26 week trial of </w:t>
      </w:r>
      <w:r w:rsidRPr="00763417">
        <w:rPr>
          <w:b/>
          <w:noProof/>
          <w:sz w:val="22"/>
          <w:szCs w:val="22"/>
        </w:rPr>
        <w:t>Victoza</w:t>
      </w:r>
      <w:r w:rsidRPr="00763417">
        <w:rPr>
          <w:b/>
          <w:iCs/>
          <w:sz w:val="22"/>
          <w:szCs w:val="22"/>
        </w:rPr>
        <w:t xml:space="preserve"> (LEAD 5) in combination with OADs in previous OAD-treated subjects. LEAD 5 also included a comparison with basal insulin.</w:t>
      </w:r>
    </w:p>
    <w:tbl>
      <w:tblPr>
        <w:tblW w:w="7513" w:type="dxa"/>
        <w:tblInd w:w="108" w:type="dxa"/>
        <w:tblBorders>
          <w:top w:val="single" w:sz="4" w:space="0" w:color="auto"/>
          <w:bottom w:val="single" w:sz="4" w:space="0" w:color="auto"/>
          <w:insideH w:val="single" w:sz="4" w:space="0" w:color="auto"/>
        </w:tblBorders>
        <w:tblLayout w:type="fixed"/>
        <w:tblLook w:val="01E0" w:firstRow="1" w:lastRow="1" w:firstColumn="1" w:lastColumn="1" w:noHBand="0" w:noVBand="0"/>
      </w:tblPr>
      <w:tblGrid>
        <w:gridCol w:w="2290"/>
        <w:gridCol w:w="1741"/>
        <w:gridCol w:w="1741"/>
        <w:gridCol w:w="1741"/>
      </w:tblGrid>
      <w:tr w:rsidR="00763417" w:rsidRPr="005E7EF3" w14:paraId="17455A2F" w14:textId="77777777" w:rsidTr="00A14AF3">
        <w:trPr>
          <w:cantSplit/>
          <w:trHeight w:val="272"/>
        </w:trPr>
        <w:tc>
          <w:tcPr>
            <w:tcW w:w="7513" w:type="dxa"/>
            <w:gridSpan w:val="4"/>
          </w:tcPr>
          <w:p w14:paraId="7CDBCC9B" w14:textId="77777777" w:rsidR="00763417" w:rsidRPr="003554DF" w:rsidRDefault="00763417" w:rsidP="00A14AF3">
            <w:pPr>
              <w:pStyle w:val="TableText"/>
              <w:keepNext w:val="0"/>
              <w:rPr>
                <w:sz w:val="16"/>
                <w:szCs w:val="16"/>
              </w:rPr>
            </w:pPr>
            <w:r w:rsidRPr="009B303A">
              <w:rPr>
                <w:iCs/>
                <w:sz w:val="22"/>
                <w:szCs w:val="22"/>
              </w:rPr>
              <w:t xml:space="preserve"> </w:t>
            </w:r>
            <w:r w:rsidRPr="003554DF">
              <w:rPr>
                <w:b/>
                <w:sz w:val="16"/>
                <w:szCs w:val="16"/>
              </w:rPr>
              <w:t>LEAD 5 - Metformin (2,000 mg/day) + Glimepiride (4 mg/day) Add-on Therapy</w:t>
            </w:r>
          </w:p>
        </w:tc>
      </w:tr>
      <w:tr w:rsidR="00763417" w:rsidRPr="005E7EF3" w14:paraId="305CCEEE" w14:textId="77777777" w:rsidTr="00A14AF3">
        <w:trPr>
          <w:cantSplit/>
          <w:trHeight w:val="998"/>
        </w:trPr>
        <w:tc>
          <w:tcPr>
            <w:tcW w:w="2290" w:type="dxa"/>
            <w:tcBorders>
              <w:bottom w:val="single" w:sz="4" w:space="0" w:color="auto"/>
            </w:tcBorders>
          </w:tcPr>
          <w:p w14:paraId="5AA18AEC" w14:textId="77777777" w:rsidR="00763417" w:rsidRPr="003554DF" w:rsidRDefault="00763417" w:rsidP="00A14AF3">
            <w:pPr>
              <w:pStyle w:val="TableText"/>
              <w:keepNext w:val="0"/>
              <w:rPr>
                <w:sz w:val="16"/>
                <w:szCs w:val="16"/>
              </w:rPr>
            </w:pPr>
          </w:p>
        </w:tc>
        <w:tc>
          <w:tcPr>
            <w:tcW w:w="1741" w:type="dxa"/>
            <w:tcMar>
              <w:left w:w="57" w:type="dxa"/>
              <w:right w:w="57" w:type="dxa"/>
            </w:tcMar>
          </w:tcPr>
          <w:p w14:paraId="025B7560" w14:textId="77777777" w:rsidR="00763417" w:rsidRPr="003554DF" w:rsidRDefault="00763417" w:rsidP="00A14AF3">
            <w:pPr>
              <w:pStyle w:val="TableText"/>
              <w:keepNext w:val="0"/>
              <w:rPr>
                <w:b/>
                <w:sz w:val="16"/>
                <w:szCs w:val="16"/>
              </w:rPr>
            </w:pPr>
            <w:r w:rsidRPr="003554DF">
              <w:rPr>
                <w:b/>
                <w:noProof/>
                <w:sz w:val="16"/>
                <w:szCs w:val="16"/>
              </w:rPr>
              <w:t>Victoza</w:t>
            </w:r>
            <w:r w:rsidRPr="003554DF">
              <w:rPr>
                <w:b/>
                <w:sz w:val="16"/>
                <w:szCs w:val="16"/>
              </w:rPr>
              <w:t xml:space="preserve"> 1.8 mg+ metformin + glimepiride</w:t>
            </w:r>
          </w:p>
        </w:tc>
        <w:tc>
          <w:tcPr>
            <w:tcW w:w="1741" w:type="dxa"/>
            <w:tcMar>
              <w:left w:w="57" w:type="dxa"/>
              <w:right w:w="57" w:type="dxa"/>
            </w:tcMar>
          </w:tcPr>
          <w:p w14:paraId="09B29E19" w14:textId="77777777" w:rsidR="00763417" w:rsidRPr="003554DF" w:rsidRDefault="00763417" w:rsidP="00A14AF3">
            <w:pPr>
              <w:pStyle w:val="TableText"/>
              <w:keepNext w:val="0"/>
              <w:rPr>
                <w:b/>
                <w:sz w:val="16"/>
                <w:szCs w:val="16"/>
              </w:rPr>
            </w:pPr>
            <w:r w:rsidRPr="003554DF">
              <w:rPr>
                <w:b/>
                <w:sz w:val="16"/>
                <w:szCs w:val="16"/>
              </w:rPr>
              <w:t xml:space="preserve">Metformin + glimepiride </w:t>
            </w:r>
            <w:r w:rsidRPr="003554DF">
              <w:rPr>
                <w:sz w:val="16"/>
                <w:szCs w:val="16"/>
              </w:rPr>
              <w:t>[1]</w:t>
            </w:r>
          </w:p>
          <w:p w14:paraId="2467DDBB" w14:textId="77777777" w:rsidR="00763417" w:rsidRPr="003554DF" w:rsidRDefault="00763417" w:rsidP="00A14AF3">
            <w:pPr>
              <w:pStyle w:val="TableText"/>
              <w:keepNext w:val="0"/>
              <w:rPr>
                <w:b/>
                <w:sz w:val="16"/>
                <w:szCs w:val="16"/>
              </w:rPr>
            </w:pPr>
          </w:p>
        </w:tc>
        <w:tc>
          <w:tcPr>
            <w:tcW w:w="1741" w:type="dxa"/>
            <w:tcMar>
              <w:left w:w="57" w:type="dxa"/>
              <w:right w:w="57" w:type="dxa"/>
            </w:tcMar>
          </w:tcPr>
          <w:p w14:paraId="3FB225B1" w14:textId="77777777" w:rsidR="00763417" w:rsidRPr="003554DF" w:rsidRDefault="00763417" w:rsidP="00A14AF3">
            <w:pPr>
              <w:pStyle w:val="TableText"/>
              <w:keepNext w:val="0"/>
              <w:rPr>
                <w:sz w:val="16"/>
                <w:szCs w:val="16"/>
              </w:rPr>
            </w:pPr>
            <w:r w:rsidRPr="003554DF">
              <w:rPr>
                <w:b/>
                <w:sz w:val="16"/>
                <w:szCs w:val="16"/>
              </w:rPr>
              <w:t xml:space="preserve">Glargine + metformin + glimepiride </w:t>
            </w:r>
            <w:r w:rsidRPr="003554DF">
              <w:rPr>
                <w:sz w:val="16"/>
                <w:szCs w:val="16"/>
              </w:rPr>
              <w:t>[2]</w:t>
            </w:r>
          </w:p>
        </w:tc>
      </w:tr>
      <w:tr w:rsidR="00763417" w:rsidRPr="005E7EF3" w14:paraId="42DFB947" w14:textId="77777777" w:rsidTr="00A14AF3">
        <w:trPr>
          <w:cantSplit/>
          <w:trHeight w:val="257"/>
        </w:trPr>
        <w:tc>
          <w:tcPr>
            <w:tcW w:w="2290" w:type="dxa"/>
            <w:tcBorders>
              <w:top w:val="single" w:sz="4" w:space="0" w:color="auto"/>
            </w:tcBorders>
          </w:tcPr>
          <w:p w14:paraId="737B579A" w14:textId="77777777" w:rsidR="00763417" w:rsidRPr="003554DF" w:rsidRDefault="00763417" w:rsidP="00A14AF3">
            <w:pPr>
              <w:pStyle w:val="TableText"/>
              <w:keepNext w:val="0"/>
              <w:rPr>
                <w:sz w:val="16"/>
                <w:szCs w:val="16"/>
              </w:rPr>
            </w:pPr>
            <w:r w:rsidRPr="003554DF">
              <w:rPr>
                <w:b/>
                <w:bCs/>
                <w:sz w:val="16"/>
                <w:szCs w:val="16"/>
              </w:rPr>
              <w:t>N</w:t>
            </w:r>
          </w:p>
        </w:tc>
        <w:tc>
          <w:tcPr>
            <w:tcW w:w="1741" w:type="dxa"/>
          </w:tcPr>
          <w:p w14:paraId="5DDC924C" w14:textId="77777777" w:rsidR="00763417" w:rsidRPr="003554DF" w:rsidRDefault="00763417" w:rsidP="00A14AF3">
            <w:pPr>
              <w:pStyle w:val="TableText"/>
              <w:keepNext w:val="0"/>
              <w:rPr>
                <w:sz w:val="16"/>
                <w:szCs w:val="16"/>
              </w:rPr>
            </w:pPr>
            <w:r w:rsidRPr="003554DF">
              <w:rPr>
                <w:sz w:val="16"/>
                <w:szCs w:val="16"/>
              </w:rPr>
              <w:t>230</w:t>
            </w:r>
          </w:p>
        </w:tc>
        <w:tc>
          <w:tcPr>
            <w:tcW w:w="1741" w:type="dxa"/>
          </w:tcPr>
          <w:p w14:paraId="71E56844" w14:textId="77777777" w:rsidR="00763417" w:rsidRPr="003554DF" w:rsidRDefault="00763417" w:rsidP="00A14AF3">
            <w:pPr>
              <w:pStyle w:val="TableText"/>
              <w:keepNext w:val="0"/>
              <w:rPr>
                <w:sz w:val="16"/>
                <w:szCs w:val="16"/>
              </w:rPr>
            </w:pPr>
            <w:r w:rsidRPr="003554DF">
              <w:rPr>
                <w:sz w:val="16"/>
                <w:szCs w:val="16"/>
              </w:rPr>
              <w:t>114</w:t>
            </w:r>
          </w:p>
        </w:tc>
        <w:tc>
          <w:tcPr>
            <w:tcW w:w="1741" w:type="dxa"/>
          </w:tcPr>
          <w:p w14:paraId="08DDDFCF" w14:textId="77777777" w:rsidR="00763417" w:rsidRPr="003554DF" w:rsidRDefault="00763417" w:rsidP="00A14AF3">
            <w:pPr>
              <w:pStyle w:val="TableText"/>
              <w:keepNext w:val="0"/>
              <w:rPr>
                <w:sz w:val="16"/>
                <w:szCs w:val="16"/>
              </w:rPr>
            </w:pPr>
            <w:r w:rsidRPr="003554DF">
              <w:rPr>
                <w:sz w:val="16"/>
                <w:szCs w:val="16"/>
              </w:rPr>
              <w:t>232</w:t>
            </w:r>
          </w:p>
        </w:tc>
      </w:tr>
      <w:tr w:rsidR="00763417" w:rsidRPr="005E7EF3" w14:paraId="041D632A" w14:textId="77777777" w:rsidTr="00A14AF3">
        <w:trPr>
          <w:cantSplit/>
          <w:trHeight w:val="892"/>
        </w:trPr>
        <w:tc>
          <w:tcPr>
            <w:tcW w:w="2290" w:type="dxa"/>
            <w:tcBorders>
              <w:bottom w:val="nil"/>
            </w:tcBorders>
          </w:tcPr>
          <w:p w14:paraId="1BD3B1A9" w14:textId="77777777" w:rsidR="00763417" w:rsidRPr="003554DF" w:rsidRDefault="00763417" w:rsidP="00A14AF3">
            <w:pPr>
              <w:pStyle w:val="TableText"/>
              <w:keepNext w:val="0"/>
              <w:spacing w:after="120"/>
              <w:rPr>
                <w:sz w:val="16"/>
                <w:szCs w:val="16"/>
              </w:rPr>
            </w:pPr>
            <w:r w:rsidRPr="003554DF">
              <w:rPr>
                <w:b/>
                <w:bCs/>
                <w:sz w:val="16"/>
                <w:szCs w:val="16"/>
              </w:rPr>
              <w:t>HbA</w:t>
            </w:r>
            <w:r w:rsidRPr="003554DF">
              <w:rPr>
                <w:b/>
                <w:bCs/>
                <w:sz w:val="16"/>
                <w:szCs w:val="16"/>
                <w:vertAlign w:val="subscript"/>
              </w:rPr>
              <w:t>1c</w:t>
            </w:r>
            <w:r w:rsidRPr="003554DF">
              <w:rPr>
                <w:b/>
                <w:bCs/>
                <w:sz w:val="16"/>
                <w:szCs w:val="16"/>
              </w:rPr>
              <w:t xml:space="preserve"> (%) (Mean)</w:t>
            </w:r>
            <w:r w:rsidRPr="003554DF">
              <w:rPr>
                <w:b/>
                <w:bCs/>
                <w:sz w:val="16"/>
                <w:szCs w:val="16"/>
              </w:rPr>
              <w:br/>
            </w:r>
            <w:r w:rsidRPr="003554DF">
              <w:rPr>
                <w:sz w:val="16"/>
                <w:szCs w:val="16"/>
              </w:rPr>
              <w:t>Baseline</w:t>
            </w:r>
            <w:r w:rsidRPr="003554DF">
              <w:rPr>
                <w:sz w:val="16"/>
                <w:szCs w:val="16"/>
              </w:rPr>
              <w:br/>
              <w:t>Change from baseline</w:t>
            </w:r>
          </w:p>
        </w:tc>
        <w:tc>
          <w:tcPr>
            <w:tcW w:w="1741" w:type="dxa"/>
            <w:tcBorders>
              <w:bottom w:val="nil"/>
            </w:tcBorders>
          </w:tcPr>
          <w:p w14:paraId="23536435" w14:textId="77777777" w:rsidR="00763417" w:rsidRPr="003554DF" w:rsidRDefault="00763417" w:rsidP="00A14AF3">
            <w:pPr>
              <w:pStyle w:val="TableText"/>
              <w:keepNext w:val="0"/>
              <w:rPr>
                <w:sz w:val="16"/>
                <w:szCs w:val="16"/>
              </w:rPr>
            </w:pPr>
            <w:r w:rsidRPr="003554DF">
              <w:rPr>
                <w:sz w:val="16"/>
                <w:szCs w:val="16"/>
              </w:rPr>
              <w:br/>
              <w:t>8.3</w:t>
            </w:r>
            <w:r w:rsidRPr="003554DF">
              <w:rPr>
                <w:sz w:val="16"/>
                <w:szCs w:val="16"/>
              </w:rPr>
              <w:br/>
              <w:t>-1.33</w:t>
            </w:r>
            <w:r w:rsidRPr="003554DF">
              <w:rPr>
                <w:sz w:val="16"/>
                <w:szCs w:val="16"/>
                <w:lang w:val="it-IT"/>
              </w:rPr>
              <w:t>*</w:t>
            </w:r>
            <w:r w:rsidRPr="003554DF">
              <w:rPr>
                <w:sz w:val="16"/>
                <w:szCs w:val="16"/>
                <w:vertAlign w:val="superscript"/>
                <w:lang w:val="it-IT"/>
              </w:rPr>
              <w:t>#</w:t>
            </w:r>
          </w:p>
        </w:tc>
        <w:tc>
          <w:tcPr>
            <w:tcW w:w="1741" w:type="dxa"/>
            <w:tcBorders>
              <w:bottom w:val="nil"/>
            </w:tcBorders>
          </w:tcPr>
          <w:p w14:paraId="5138077D" w14:textId="77777777" w:rsidR="00763417" w:rsidRPr="003554DF" w:rsidRDefault="00763417" w:rsidP="00A14AF3">
            <w:pPr>
              <w:pStyle w:val="TableText"/>
              <w:keepNext w:val="0"/>
              <w:rPr>
                <w:sz w:val="16"/>
                <w:szCs w:val="16"/>
              </w:rPr>
            </w:pPr>
            <w:r w:rsidRPr="003554DF">
              <w:rPr>
                <w:sz w:val="16"/>
                <w:szCs w:val="16"/>
              </w:rPr>
              <w:br/>
              <w:t>8.3</w:t>
            </w:r>
            <w:r w:rsidRPr="003554DF">
              <w:rPr>
                <w:sz w:val="16"/>
                <w:szCs w:val="16"/>
              </w:rPr>
              <w:br/>
              <w:t>-0.24</w:t>
            </w:r>
          </w:p>
        </w:tc>
        <w:tc>
          <w:tcPr>
            <w:tcW w:w="1741" w:type="dxa"/>
            <w:tcBorders>
              <w:bottom w:val="nil"/>
            </w:tcBorders>
          </w:tcPr>
          <w:p w14:paraId="6D843620" w14:textId="77777777" w:rsidR="00763417" w:rsidRPr="003554DF" w:rsidRDefault="00763417" w:rsidP="00A14AF3">
            <w:pPr>
              <w:pStyle w:val="TableText"/>
              <w:keepNext w:val="0"/>
              <w:rPr>
                <w:sz w:val="16"/>
                <w:szCs w:val="16"/>
              </w:rPr>
            </w:pPr>
            <w:r w:rsidRPr="003554DF">
              <w:rPr>
                <w:sz w:val="16"/>
                <w:szCs w:val="16"/>
              </w:rPr>
              <w:br/>
              <w:t>8.1</w:t>
            </w:r>
            <w:r w:rsidRPr="003554DF">
              <w:rPr>
                <w:sz w:val="16"/>
                <w:szCs w:val="16"/>
              </w:rPr>
              <w:br/>
              <w:t>-1.09</w:t>
            </w:r>
          </w:p>
        </w:tc>
      </w:tr>
      <w:tr w:rsidR="00763417" w:rsidRPr="005E7EF3" w14:paraId="543D4EBF" w14:textId="77777777" w:rsidTr="00A14AF3">
        <w:trPr>
          <w:cantSplit/>
          <w:trHeight w:val="605"/>
        </w:trPr>
        <w:tc>
          <w:tcPr>
            <w:tcW w:w="2290" w:type="dxa"/>
            <w:tcBorders>
              <w:top w:val="nil"/>
              <w:bottom w:val="single" w:sz="4" w:space="0" w:color="auto"/>
            </w:tcBorders>
          </w:tcPr>
          <w:p w14:paraId="7671E732" w14:textId="77777777" w:rsidR="00763417" w:rsidRPr="003554DF" w:rsidRDefault="00763417" w:rsidP="00A14AF3">
            <w:pPr>
              <w:pStyle w:val="TableText"/>
              <w:keepNext w:val="0"/>
              <w:tabs>
                <w:tab w:val="left" w:pos="153"/>
              </w:tabs>
              <w:spacing w:after="120"/>
              <w:rPr>
                <w:sz w:val="16"/>
                <w:szCs w:val="16"/>
              </w:rPr>
            </w:pPr>
            <w:r w:rsidRPr="003554DF">
              <w:rPr>
                <w:b/>
                <w:sz w:val="16"/>
                <w:szCs w:val="16"/>
                <w:lang w:val="en-US"/>
              </w:rPr>
              <w:t>Subjects (%) achieving HbA</w:t>
            </w:r>
            <w:r w:rsidRPr="003554DF">
              <w:rPr>
                <w:b/>
                <w:sz w:val="16"/>
                <w:szCs w:val="16"/>
                <w:vertAlign w:val="subscript"/>
                <w:lang w:val="en-US"/>
              </w:rPr>
              <w:t>1c</w:t>
            </w:r>
            <w:r w:rsidRPr="003554DF">
              <w:rPr>
                <w:b/>
                <w:sz w:val="16"/>
                <w:szCs w:val="16"/>
                <w:lang w:val="en-US"/>
              </w:rPr>
              <w:t xml:space="preserve"> &lt;7%</w:t>
            </w:r>
            <w:r w:rsidRPr="003554DF">
              <w:rPr>
                <w:b/>
                <w:sz w:val="16"/>
                <w:szCs w:val="16"/>
                <w:lang w:val="en-US"/>
              </w:rPr>
              <w:br/>
            </w:r>
            <w:r w:rsidRPr="003554DF">
              <w:rPr>
                <w:sz w:val="16"/>
                <w:szCs w:val="16"/>
                <w:lang w:val="en-US"/>
              </w:rPr>
              <w:t>All subjects</w:t>
            </w:r>
          </w:p>
        </w:tc>
        <w:tc>
          <w:tcPr>
            <w:tcW w:w="1741" w:type="dxa"/>
            <w:tcBorders>
              <w:top w:val="nil"/>
              <w:bottom w:val="single" w:sz="4" w:space="0" w:color="auto"/>
            </w:tcBorders>
          </w:tcPr>
          <w:p w14:paraId="0ABF5810" w14:textId="77777777" w:rsidR="00763417" w:rsidRPr="003554DF" w:rsidRDefault="00763417" w:rsidP="00A14AF3">
            <w:pPr>
              <w:pStyle w:val="TableText"/>
              <w:keepNext w:val="0"/>
              <w:rPr>
                <w:sz w:val="16"/>
                <w:szCs w:val="16"/>
              </w:rPr>
            </w:pPr>
            <w:r w:rsidRPr="003554DF">
              <w:rPr>
                <w:sz w:val="16"/>
                <w:szCs w:val="16"/>
              </w:rPr>
              <w:br/>
            </w:r>
          </w:p>
          <w:p w14:paraId="69A20AB1" w14:textId="77777777" w:rsidR="00763417" w:rsidRPr="003554DF" w:rsidRDefault="00763417" w:rsidP="00A14AF3">
            <w:pPr>
              <w:pStyle w:val="TableText"/>
              <w:keepNext w:val="0"/>
              <w:rPr>
                <w:sz w:val="16"/>
                <w:szCs w:val="16"/>
              </w:rPr>
            </w:pPr>
            <w:r w:rsidRPr="003554DF">
              <w:rPr>
                <w:sz w:val="16"/>
                <w:szCs w:val="16"/>
              </w:rPr>
              <w:t>53.1</w:t>
            </w:r>
            <w:r w:rsidRPr="003554DF">
              <w:rPr>
                <w:sz w:val="16"/>
                <w:szCs w:val="16"/>
                <w:lang w:val="it-IT"/>
              </w:rPr>
              <w:t>*</w:t>
            </w:r>
            <w:r w:rsidRPr="003554DF">
              <w:rPr>
                <w:sz w:val="16"/>
                <w:szCs w:val="16"/>
                <w:vertAlign w:val="superscript"/>
                <w:lang w:val="it-IT"/>
              </w:rPr>
              <w:t>#</w:t>
            </w:r>
          </w:p>
        </w:tc>
        <w:tc>
          <w:tcPr>
            <w:tcW w:w="1741" w:type="dxa"/>
            <w:tcBorders>
              <w:top w:val="nil"/>
              <w:bottom w:val="single" w:sz="4" w:space="0" w:color="auto"/>
            </w:tcBorders>
          </w:tcPr>
          <w:p w14:paraId="088120F0" w14:textId="77777777" w:rsidR="00763417" w:rsidRPr="003554DF" w:rsidRDefault="00763417" w:rsidP="00A14AF3">
            <w:pPr>
              <w:pStyle w:val="TableText"/>
              <w:keepNext w:val="0"/>
              <w:rPr>
                <w:sz w:val="16"/>
                <w:szCs w:val="16"/>
              </w:rPr>
            </w:pPr>
            <w:r w:rsidRPr="003554DF">
              <w:rPr>
                <w:sz w:val="16"/>
                <w:szCs w:val="16"/>
              </w:rPr>
              <w:br/>
            </w:r>
          </w:p>
          <w:p w14:paraId="5CD95B98" w14:textId="77777777" w:rsidR="00763417" w:rsidRPr="003554DF" w:rsidRDefault="00763417" w:rsidP="00A14AF3">
            <w:pPr>
              <w:pStyle w:val="TableText"/>
              <w:keepNext w:val="0"/>
              <w:rPr>
                <w:sz w:val="16"/>
                <w:szCs w:val="16"/>
              </w:rPr>
            </w:pPr>
            <w:r w:rsidRPr="003554DF">
              <w:rPr>
                <w:sz w:val="16"/>
                <w:szCs w:val="16"/>
              </w:rPr>
              <w:t>15.3</w:t>
            </w:r>
          </w:p>
        </w:tc>
        <w:tc>
          <w:tcPr>
            <w:tcW w:w="1741" w:type="dxa"/>
            <w:tcBorders>
              <w:top w:val="nil"/>
              <w:bottom w:val="single" w:sz="4" w:space="0" w:color="auto"/>
            </w:tcBorders>
          </w:tcPr>
          <w:p w14:paraId="199BD034" w14:textId="77777777" w:rsidR="00763417" w:rsidRPr="003554DF" w:rsidRDefault="00763417" w:rsidP="00A14AF3">
            <w:pPr>
              <w:pStyle w:val="TableText"/>
              <w:keepNext w:val="0"/>
              <w:rPr>
                <w:sz w:val="16"/>
                <w:szCs w:val="16"/>
              </w:rPr>
            </w:pPr>
            <w:r w:rsidRPr="003554DF">
              <w:rPr>
                <w:sz w:val="16"/>
                <w:szCs w:val="16"/>
              </w:rPr>
              <w:br/>
            </w:r>
          </w:p>
          <w:p w14:paraId="098F29A5" w14:textId="77777777" w:rsidR="00763417" w:rsidRPr="003554DF" w:rsidRDefault="00763417" w:rsidP="00A14AF3">
            <w:pPr>
              <w:pStyle w:val="TableText"/>
              <w:keepNext w:val="0"/>
              <w:rPr>
                <w:sz w:val="16"/>
                <w:szCs w:val="16"/>
              </w:rPr>
            </w:pPr>
            <w:r w:rsidRPr="003554DF">
              <w:rPr>
                <w:sz w:val="16"/>
                <w:szCs w:val="16"/>
              </w:rPr>
              <w:t>45.8</w:t>
            </w:r>
          </w:p>
        </w:tc>
      </w:tr>
    </w:tbl>
    <w:p w14:paraId="3F653D20" w14:textId="77777777" w:rsidR="00763417" w:rsidRPr="00763417" w:rsidRDefault="00763417" w:rsidP="00763417">
      <w:pPr>
        <w:spacing w:before="80"/>
        <w:rPr>
          <w:bCs/>
          <w:iCs/>
          <w:sz w:val="16"/>
          <w:szCs w:val="16"/>
        </w:rPr>
      </w:pPr>
      <w:r w:rsidRPr="00763417">
        <w:rPr>
          <w:bCs/>
          <w:iCs/>
          <w:sz w:val="16"/>
          <w:szCs w:val="16"/>
        </w:rPr>
        <w:t xml:space="preserve">[1] </w:t>
      </w:r>
      <w:proofErr w:type="gramStart"/>
      <w:r w:rsidRPr="00763417">
        <w:rPr>
          <w:bCs/>
          <w:iCs/>
          <w:sz w:val="16"/>
          <w:szCs w:val="16"/>
        </w:rPr>
        <w:t>placebo</w:t>
      </w:r>
      <w:proofErr w:type="gramEnd"/>
      <w:r w:rsidRPr="00763417">
        <w:rPr>
          <w:bCs/>
          <w:iCs/>
          <w:sz w:val="16"/>
          <w:szCs w:val="16"/>
        </w:rPr>
        <w:t xml:space="preserve"> comparator (metformin + glimepiride)</w:t>
      </w:r>
    </w:p>
    <w:p w14:paraId="29E6DBF4" w14:textId="77777777" w:rsidR="00763417" w:rsidRPr="00763417" w:rsidRDefault="00763417" w:rsidP="00763417">
      <w:pPr>
        <w:rPr>
          <w:bCs/>
          <w:iCs/>
          <w:sz w:val="16"/>
          <w:szCs w:val="16"/>
        </w:rPr>
      </w:pPr>
      <w:r w:rsidRPr="00763417">
        <w:rPr>
          <w:bCs/>
          <w:iCs/>
          <w:sz w:val="16"/>
          <w:szCs w:val="16"/>
        </w:rPr>
        <w:t xml:space="preserve">[2] </w:t>
      </w:r>
      <w:proofErr w:type="gramStart"/>
      <w:r w:rsidRPr="00763417">
        <w:rPr>
          <w:bCs/>
          <w:iCs/>
          <w:sz w:val="16"/>
          <w:szCs w:val="16"/>
        </w:rPr>
        <w:t>active</w:t>
      </w:r>
      <w:proofErr w:type="gramEnd"/>
      <w:r w:rsidRPr="00763417">
        <w:rPr>
          <w:bCs/>
          <w:iCs/>
          <w:sz w:val="16"/>
          <w:szCs w:val="16"/>
        </w:rPr>
        <w:t xml:space="preserve"> comparator (glargine + metformin + glimepiride)</w:t>
      </w:r>
    </w:p>
    <w:p w14:paraId="1890E5A0" w14:textId="77777777" w:rsidR="00763417" w:rsidRPr="00763417" w:rsidRDefault="00763417" w:rsidP="00763417">
      <w:pPr>
        <w:pStyle w:val="Caption"/>
        <w:spacing w:before="0" w:after="0"/>
        <w:rPr>
          <w:b w:val="0"/>
          <w:sz w:val="16"/>
          <w:szCs w:val="16"/>
        </w:rPr>
      </w:pPr>
      <w:r w:rsidRPr="00763417">
        <w:rPr>
          <w:b w:val="0"/>
          <w:sz w:val="16"/>
          <w:szCs w:val="16"/>
        </w:rPr>
        <w:t>*Significantly different from placebo comparator (p &lt;0.01)</w:t>
      </w:r>
    </w:p>
    <w:p w14:paraId="4745A71D" w14:textId="09C5F7A1" w:rsidR="00763417" w:rsidRPr="00763417" w:rsidRDefault="00763417" w:rsidP="00763417">
      <w:pPr>
        <w:jc w:val="both"/>
        <w:rPr>
          <w:sz w:val="16"/>
          <w:szCs w:val="16"/>
          <w:lang w:val="en-AU" w:eastAsia="en-AU"/>
        </w:rPr>
      </w:pPr>
      <w:r w:rsidRPr="00763417">
        <w:rPr>
          <w:sz w:val="16"/>
          <w:szCs w:val="16"/>
          <w:vertAlign w:val="superscript"/>
        </w:rPr>
        <w:t>#</w:t>
      </w:r>
      <w:r w:rsidRPr="00763417">
        <w:rPr>
          <w:sz w:val="16"/>
          <w:szCs w:val="16"/>
        </w:rPr>
        <w:t xml:space="preserve"> </w:t>
      </w:r>
      <w:proofErr w:type="gramStart"/>
      <w:r w:rsidRPr="00763417">
        <w:rPr>
          <w:sz w:val="16"/>
          <w:szCs w:val="16"/>
        </w:rPr>
        <w:t>Significantly</w:t>
      </w:r>
      <w:proofErr w:type="gramEnd"/>
      <w:r w:rsidRPr="00763417">
        <w:rPr>
          <w:sz w:val="16"/>
          <w:szCs w:val="16"/>
        </w:rPr>
        <w:t xml:space="preserve"> different from active comparator (p &lt;0.02)</w:t>
      </w:r>
    </w:p>
    <w:p w14:paraId="028C5CEE" w14:textId="77777777" w:rsidR="00853A41" w:rsidRDefault="00853A41" w:rsidP="00416832">
      <w:pPr>
        <w:jc w:val="both"/>
        <w:rPr>
          <w:noProof/>
          <w:sz w:val="22"/>
          <w:szCs w:val="22"/>
        </w:rPr>
      </w:pPr>
    </w:p>
    <w:p w14:paraId="52452320" w14:textId="77777777" w:rsidR="00763417" w:rsidRPr="008A6F3F" w:rsidRDefault="00763417" w:rsidP="00763417">
      <w:pPr>
        <w:pStyle w:val="Heading6"/>
        <w:rPr>
          <w:bCs/>
          <w:i/>
          <w:iCs/>
          <w:sz w:val="22"/>
          <w:szCs w:val="22"/>
        </w:rPr>
      </w:pPr>
      <w:r w:rsidRPr="008A6F3F">
        <w:rPr>
          <w:i/>
          <w:sz w:val="22"/>
          <w:szCs w:val="22"/>
          <w:u w:val="none"/>
          <w:lang w:val="da-DK"/>
        </w:rPr>
        <w:t>B.ii.c) Victoza in combination with basal insulin (trials 1842, 1842 ext. and 3917)</w:t>
      </w:r>
    </w:p>
    <w:p w14:paraId="1C50925C" w14:textId="4161768A" w:rsidR="00763417" w:rsidRDefault="00763417" w:rsidP="00763417">
      <w:pPr>
        <w:jc w:val="both"/>
        <w:rPr>
          <w:noProof/>
          <w:sz w:val="22"/>
          <w:szCs w:val="22"/>
        </w:rPr>
      </w:pPr>
      <w:r w:rsidRPr="001F5ABB">
        <w:rPr>
          <w:bCs/>
          <w:iCs/>
          <w:sz w:val="22"/>
          <w:szCs w:val="22"/>
        </w:rPr>
        <w:t>An open-label randomised study</w:t>
      </w:r>
      <w:r>
        <w:rPr>
          <w:bCs/>
          <w:iCs/>
          <w:sz w:val="22"/>
          <w:szCs w:val="22"/>
        </w:rPr>
        <w:t xml:space="preserve"> (Trials 1842 and 1842 ext.)</w:t>
      </w:r>
      <w:r w:rsidRPr="001F5ABB">
        <w:rPr>
          <w:bCs/>
          <w:iCs/>
          <w:sz w:val="22"/>
          <w:szCs w:val="22"/>
        </w:rPr>
        <w:t xml:space="preserve"> in patients with type 2 diabetes not reaching target with OADs was</w:t>
      </w:r>
      <w:r>
        <w:rPr>
          <w:bCs/>
          <w:iCs/>
          <w:sz w:val="22"/>
          <w:szCs w:val="22"/>
        </w:rPr>
        <w:t xml:space="preserve"> </w:t>
      </w:r>
      <w:r w:rsidRPr="001F5ABB">
        <w:rPr>
          <w:bCs/>
          <w:iCs/>
          <w:sz w:val="22"/>
          <w:szCs w:val="22"/>
        </w:rPr>
        <w:t xml:space="preserve">conducted. The trial started with a 12 week run-in period with </w:t>
      </w:r>
      <w:r>
        <w:rPr>
          <w:bCs/>
          <w:iCs/>
          <w:sz w:val="22"/>
          <w:szCs w:val="22"/>
        </w:rPr>
        <w:t xml:space="preserve">Victoza </w:t>
      </w:r>
      <w:r w:rsidRPr="001F5ABB">
        <w:rPr>
          <w:bCs/>
          <w:iCs/>
          <w:sz w:val="22"/>
          <w:szCs w:val="22"/>
        </w:rPr>
        <w:t>+</w:t>
      </w:r>
      <w:r>
        <w:rPr>
          <w:bCs/>
          <w:iCs/>
          <w:sz w:val="22"/>
          <w:szCs w:val="22"/>
        </w:rPr>
        <w:t xml:space="preserve"> </w:t>
      </w:r>
      <w:r w:rsidRPr="001F5ABB">
        <w:rPr>
          <w:bCs/>
          <w:iCs/>
          <w:sz w:val="22"/>
          <w:szCs w:val="22"/>
        </w:rPr>
        <w:t>metformin, where 61% reached an</w:t>
      </w:r>
      <w:r>
        <w:rPr>
          <w:bCs/>
          <w:iCs/>
          <w:sz w:val="22"/>
          <w:szCs w:val="22"/>
        </w:rPr>
        <w:t xml:space="preserve"> </w:t>
      </w:r>
      <w:r w:rsidRPr="001F5ABB">
        <w:rPr>
          <w:bCs/>
          <w:iCs/>
          <w:sz w:val="22"/>
          <w:szCs w:val="22"/>
        </w:rPr>
        <w:t>HbA</w:t>
      </w:r>
      <w:r w:rsidRPr="001F5ABB">
        <w:rPr>
          <w:bCs/>
          <w:iCs/>
          <w:sz w:val="22"/>
          <w:szCs w:val="22"/>
          <w:vertAlign w:val="subscript"/>
        </w:rPr>
        <w:t>1c</w:t>
      </w:r>
      <w:r>
        <w:rPr>
          <w:bCs/>
          <w:iCs/>
          <w:sz w:val="22"/>
          <w:szCs w:val="22"/>
        </w:rPr>
        <w:t xml:space="preserve"> </w:t>
      </w:r>
      <w:r w:rsidRPr="001F5ABB">
        <w:rPr>
          <w:bCs/>
          <w:iCs/>
          <w:sz w:val="22"/>
          <w:szCs w:val="22"/>
        </w:rPr>
        <w:t xml:space="preserve">&lt;7%. The 39% of patients not achieving target were randomised to have </w:t>
      </w:r>
      <w:r>
        <w:rPr>
          <w:bCs/>
          <w:iCs/>
          <w:sz w:val="22"/>
          <w:szCs w:val="22"/>
        </w:rPr>
        <w:t xml:space="preserve">insulin </w:t>
      </w:r>
      <w:proofErr w:type="spellStart"/>
      <w:r>
        <w:rPr>
          <w:bCs/>
          <w:iCs/>
          <w:sz w:val="22"/>
          <w:szCs w:val="22"/>
        </w:rPr>
        <w:t>detemir</w:t>
      </w:r>
      <w:proofErr w:type="spellEnd"/>
      <w:r w:rsidRPr="001F5ABB">
        <w:rPr>
          <w:bCs/>
          <w:iCs/>
          <w:sz w:val="22"/>
          <w:szCs w:val="22"/>
        </w:rPr>
        <w:t xml:space="preserve"> once-daily added or</w:t>
      </w:r>
      <w:r>
        <w:rPr>
          <w:bCs/>
          <w:iCs/>
          <w:sz w:val="22"/>
          <w:szCs w:val="22"/>
        </w:rPr>
        <w:t xml:space="preserve"> </w:t>
      </w:r>
      <w:r w:rsidRPr="001F5ABB">
        <w:rPr>
          <w:bCs/>
          <w:iCs/>
          <w:sz w:val="22"/>
          <w:szCs w:val="22"/>
        </w:rPr>
        <w:t xml:space="preserve">continue on </w:t>
      </w:r>
      <w:r>
        <w:rPr>
          <w:bCs/>
          <w:iCs/>
          <w:sz w:val="22"/>
          <w:szCs w:val="22"/>
        </w:rPr>
        <w:t xml:space="preserve">Victoza 1.8 mg </w:t>
      </w:r>
      <w:r w:rsidRPr="001F5ABB">
        <w:rPr>
          <w:bCs/>
          <w:iCs/>
          <w:sz w:val="22"/>
          <w:szCs w:val="22"/>
        </w:rPr>
        <w:t>+</w:t>
      </w:r>
      <w:r>
        <w:rPr>
          <w:bCs/>
          <w:iCs/>
          <w:sz w:val="22"/>
          <w:szCs w:val="22"/>
        </w:rPr>
        <w:t xml:space="preserve"> </w:t>
      </w:r>
      <w:r w:rsidRPr="001F5ABB">
        <w:rPr>
          <w:bCs/>
          <w:iCs/>
          <w:sz w:val="22"/>
          <w:szCs w:val="22"/>
        </w:rPr>
        <w:t xml:space="preserve">metformin for 52 weeks. Addition of </w:t>
      </w:r>
      <w:r>
        <w:rPr>
          <w:bCs/>
          <w:iCs/>
          <w:sz w:val="22"/>
          <w:szCs w:val="22"/>
        </w:rPr>
        <w:t xml:space="preserve">insulin </w:t>
      </w:r>
      <w:proofErr w:type="spellStart"/>
      <w:r>
        <w:rPr>
          <w:bCs/>
          <w:iCs/>
          <w:sz w:val="22"/>
          <w:szCs w:val="22"/>
        </w:rPr>
        <w:t>detemir</w:t>
      </w:r>
      <w:proofErr w:type="spellEnd"/>
      <w:r w:rsidRPr="001F5ABB">
        <w:rPr>
          <w:bCs/>
          <w:iCs/>
          <w:sz w:val="22"/>
          <w:szCs w:val="22"/>
        </w:rPr>
        <w:t xml:space="preserve"> provided a further reduction of HbA</w:t>
      </w:r>
      <w:r w:rsidRPr="001F5ABB">
        <w:rPr>
          <w:bCs/>
          <w:iCs/>
          <w:sz w:val="22"/>
          <w:szCs w:val="22"/>
          <w:vertAlign w:val="subscript"/>
        </w:rPr>
        <w:t>1c</w:t>
      </w:r>
      <w:r>
        <w:rPr>
          <w:bCs/>
          <w:iCs/>
          <w:sz w:val="22"/>
          <w:szCs w:val="22"/>
        </w:rPr>
        <w:t xml:space="preserve"> </w:t>
      </w:r>
      <w:r w:rsidRPr="001F5ABB">
        <w:rPr>
          <w:bCs/>
          <w:iCs/>
          <w:sz w:val="22"/>
          <w:szCs w:val="22"/>
        </w:rPr>
        <w:t xml:space="preserve">from 7.6% to 7.1% after 52 </w:t>
      </w:r>
      <w:proofErr w:type="gramStart"/>
      <w:r w:rsidRPr="001F5ABB">
        <w:rPr>
          <w:bCs/>
          <w:iCs/>
          <w:sz w:val="22"/>
          <w:szCs w:val="22"/>
        </w:rPr>
        <w:t>weeks,</w:t>
      </w:r>
      <w:proofErr w:type="gramEnd"/>
      <w:r w:rsidRPr="001F5ABB">
        <w:rPr>
          <w:bCs/>
          <w:iCs/>
          <w:sz w:val="22"/>
          <w:szCs w:val="22"/>
        </w:rPr>
        <w:t xml:space="preserve"> no major </w:t>
      </w:r>
      <w:proofErr w:type="spellStart"/>
      <w:r w:rsidRPr="001F5ABB">
        <w:rPr>
          <w:bCs/>
          <w:iCs/>
          <w:sz w:val="22"/>
          <w:szCs w:val="22"/>
        </w:rPr>
        <w:t>hypoglycaemic</w:t>
      </w:r>
      <w:proofErr w:type="spellEnd"/>
      <w:r w:rsidRPr="001F5ABB">
        <w:rPr>
          <w:bCs/>
          <w:iCs/>
          <w:sz w:val="22"/>
          <w:szCs w:val="22"/>
        </w:rPr>
        <w:t xml:space="preserve"> episodes were reported with </w:t>
      </w:r>
      <w:r>
        <w:rPr>
          <w:bCs/>
          <w:iCs/>
          <w:sz w:val="22"/>
          <w:szCs w:val="22"/>
        </w:rPr>
        <w:t xml:space="preserve">insulin </w:t>
      </w:r>
      <w:proofErr w:type="spellStart"/>
      <w:r>
        <w:rPr>
          <w:bCs/>
          <w:iCs/>
          <w:sz w:val="22"/>
          <w:szCs w:val="22"/>
        </w:rPr>
        <w:t>detemir</w:t>
      </w:r>
      <w:proofErr w:type="spellEnd"/>
      <w:r w:rsidRPr="001F5ABB">
        <w:rPr>
          <w:bCs/>
          <w:iCs/>
          <w:sz w:val="22"/>
          <w:szCs w:val="22"/>
        </w:rPr>
        <w:t xml:space="preserve"> (</w:t>
      </w:r>
      <w:r w:rsidRPr="00FA3FEB">
        <w:rPr>
          <w:bCs/>
          <w:iCs/>
          <w:sz w:val="22"/>
          <w:szCs w:val="22"/>
        </w:rPr>
        <w:t xml:space="preserve">see Table </w:t>
      </w:r>
      <w:r>
        <w:rPr>
          <w:bCs/>
          <w:iCs/>
          <w:sz w:val="22"/>
          <w:szCs w:val="22"/>
        </w:rPr>
        <w:t>4</w:t>
      </w:r>
      <w:r w:rsidRPr="001F5ABB">
        <w:rPr>
          <w:bCs/>
          <w:iCs/>
          <w:sz w:val="22"/>
          <w:szCs w:val="22"/>
        </w:rPr>
        <w:t xml:space="preserve">). Adding </w:t>
      </w:r>
      <w:r>
        <w:rPr>
          <w:bCs/>
          <w:iCs/>
          <w:sz w:val="22"/>
          <w:szCs w:val="22"/>
        </w:rPr>
        <w:t xml:space="preserve">insulin </w:t>
      </w:r>
      <w:proofErr w:type="spellStart"/>
      <w:r>
        <w:rPr>
          <w:bCs/>
          <w:iCs/>
          <w:sz w:val="22"/>
          <w:szCs w:val="22"/>
        </w:rPr>
        <w:t>detemir</w:t>
      </w:r>
      <w:proofErr w:type="spellEnd"/>
      <w:r w:rsidRPr="001F5ABB">
        <w:rPr>
          <w:bCs/>
          <w:iCs/>
          <w:sz w:val="22"/>
          <w:szCs w:val="22"/>
        </w:rPr>
        <w:t xml:space="preserve"> did not result in any further clinically significant loss of weight but the initial loss</w:t>
      </w:r>
      <w:r>
        <w:rPr>
          <w:bCs/>
          <w:iCs/>
          <w:sz w:val="22"/>
          <w:szCs w:val="22"/>
        </w:rPr>
        <w:t xml:space="preserve"> </w:t>
      </w:r>
      <w:r w:rsidRPr="001F5ABB">
        <w:rPr>
          <w:bCs/>
          <w:iCs/>
          <w:sz w:val="22"/>
          <w:szCs w:val="22"/>
        </w:rPr>
        <w:t xml:space="preserve">obtained with </w:t>
      </w:r>
      <w:r>
        <w:rPr>
          <w:bCs/>
          <w:iCs/>
          <w:sz w:val="22"/>
          <w:szCs w:val="22"/>
        </w:rPr>
        <w:t xml:space="preserve">Victoza </w:t>
      </w:r>
      <w:r w:rsidRPr="001F5ABB">
        <w:rPr>
          <w:bCs/>
          <w:iCs/>
          <w:sz w:val="22"/>
          <w:szCs w:val="22"/>
        </w:rPr>
        <w:t>+</w:t>
      </w:r>
      <w:r>
        <w:rPr>
          <w:bCs/>
          <w:iCs/>
          <w:sz w:val="22"/>
          <w:szCs w:val="22"/>
        </w:rPr>
        <w:t xml:space="preserve"> </w:t>
      </w:r>
      <w:r w:rsidRPr="001F5ABB">
        <w:rPr>
          <w:bCs/>
          <w:iCs/>
          <w:sz w:val="22"/>
          <w:szCs w:val="22"/>
        </w:rPr>
        <w:t>metformin dual therapy during the run-in period was maintained.</w:t>
      </w:r>
    </w:p>
    <w:p w14:paraId="5A0B83C0" w14:textId="77777777" w:rsidR="00763417" w:rsidRDefault="00763417" w:rsidP="00416832">
      <w:pPr>
        <w:jc w:val="both"/>
        <w:rPr>
          <w:noProof/>
          <w:sz w:val="22"/>
          <w:szCs w:val="22"/>
        </w:rPr>
      </w:pPr>
    </w:p>
    <w:p w14:paraId="06CA3CA9" w14:textId="26203ADB" w:rsidR="00763417" w:rsidRDefault="001A5852" w:rsidP="00416832">
      <w:pPr>
        <w:jc w:val="both"/>
        <w:rPr>
          <w:noProof/>
          <w:sz w:val="22"/>
          <w:szCs w:val="22"/>
        </w:rPr>
      </w:pPr>
      <w:r>
        <w:rPr>
          <w:b/>
          <w:sz w:val="22"/>
          <w:szCs w:val="22"/>
        </w:rPr>
        <w:lastRenderedPageBreak/>
        <w:t xml:space="preserve">Table 4 </w:t>
      </w:r>
      <w:r w:rsidR="00763417" w:rsidRPr="00774CE3">
        <w:rPr>
          <w:b/>
          <w:sz w:val="22"/>
          <w:szCs w:val="22"/>
        </w:rPr>
        <w:t xml:space="preserve">Results of a 12+26 week trial (trials 1842 and 1842 ext.) where insulin </w:t>
      </w:r>
      <w:proofErr w:type="spellStart"/>
      <w:r w:rsidR="00763417" w:rsidRPr="00774CE3">
        <w:rPr>
          <w:b/>
          <w:sz w:val="22"/>
          <w:szCs w:val="22"/>
        </w:rPr>
        <w:t>detemir</w:t>
      </w:r>
      <w:proofErr w:type="spellEnd"/>
      <w:r w:rsidR="00763417" w:rsidRPr="00774CE3">
        <w:rPr>
          <w:b/>
          <w:sz w:val="22"/>
          <w:szCs w:val="22"/>
        </w:rPr>
        <w:t xml:space="preserve"> was added to Victoza and metformin in patients not reaching adequate </w:t>
      </w:r>
      <w:proofErr w:type="spellStart"/>
      <w:r w:rsidR="00763417" w:rsidRPr="00774CE3">
        <w:rPr>
          <w:b/>
          <w:sz w:val="22"/>
          <w:szCs w:val="22"/>
        </w:rPr>
        <w:t>glycaemic</w:t>
      </w:r>
      <w:proofErr w:type="spellEnd"/>
      <w:r w:rsidR="00763417" w:rsidRPr="00774CE3">
        <w:rPr>
          <w:b/>
          <w:sz w:val="22"/>
          <w:szCs w:val="22"/>
        </w:rPr>
        <w:t xml:space="preserve"> control (HbA</w:t>
      </w:r>
      <w:r w:rsidR="00763417" w:rsidRPr="00774CE3">
        <w:rPr>
          <w:b/>
          <w:sz w:val="22"/>
          <w:szCs w:val="22"/>
          <w:vertAlign w:val="subscript"/>
        </w:rPr>
        <w:t>1c</w:t>
      </w:r>
      <w:r w:rsidR="00763417" w:rsidRPr="00774CE3">
        <w:rPr>
          <w:b/>
          <w:sz w:val="22"/>
          <w:szCs w:val="22"/>
        </w:rPr>
        <w:t xml:space="preserve"> &lt;7.0%) after a 12 weeks run-in period on Victoza.</w:t>
      </w:r>
      <w:r w:rsidR="00763417" w:rsidRPr="00774CE3">
        <w:rPr>
          <w:b/>
          <w:bCs/>
          <w:i/>
          <w:iCs/>
          <w:sz w:val="22"/>
          <w:szCs w:val="22"/>
          <w:lang w:val="da-DK"/>
        </w:rPr>
        <w:t xml:space="preserve"> </w:t>
      </w:r>
    </w:p>
    <w:tbl>
      <w:tblPr>
        <w:tblW w:w="8681" w:type="dxa"/>
        <w:tblInd w:w="108" w:type="dxa"/>
        <w:tblLayout w:type="fixed"/>
        <w:tblLook w:val="04A0" w:firstRow="1" w:lastRow="0" w:firstColumn="1" w:lastColumn="0" w:noHBand="0" w:noVBand="1"/>
      </w:tblPr>
      <w:tblGrid>
        <w:gridCol w:w="2268"/>
        <w:gridCol w:w="993"/>
        <w:gridCol w:w="1451"/>
        <w:gridCol w:w="1417"/>
        <w:gridCol w:w="1560"/>
        <w:gridCol w:w="992"/>
      </w:tblGrid>
      <w:tr w:rsidR="00763417" w:rsidRPr="00AD43A0" w14:paraId="2E67981D" w14:textId="77777777" w:rsidTr="00A14AF3">
        <w:trPr>
          <w:trHeight w:hRule="exact" w:val="284"/>
        </w:trPr>
        <w:tc>
          <w:tcPr>
            <w:tcW w:w="3261" w:type="dxa"/>
            <w:gridSpan w:val="2"/>
            <w:tcBorders>
              <w:top w:val="single" w:sz="4" w:space="0" w:color="auto"/>
              <w:bottom w:val="single" w:sz="4" w:space="0" w:color="auto"/>
            </w:tcBorders>
            <w:shd w:val="clear" w:color="auto" w:fill="auto"/>
          </w:tcPr>
          <w:p w14:paraId="39B38737" w14:textId="77777777" w:rsidR="00763417" w:rsidRPr="00AD43A0" w:rsidRDefault="00763417" w:rsidP="00A14AF3">
            <w:pPr>
              <w:overflowPunct w:val="0"/>
              <w:autoSpaceDE w:val="0"/>
              <w:autoSpaceDN w:val="0"/>
              <w:adjustRightInd w:val="0"/>
              <w:textAlignment w:val="baseline"/>
              <w:rPr>
                <w:b/>
                <w:sz w:val="16"/>
                <w:szCs w:val="16"/>
                <w:lang w:val="en-AU"/>
              </w:rPr>
            </w:pPr>
            <w:r w:rsidRPr="00AD43A0">
              <w:rPr>
                <w:b/>
                <w:bCs/>
                <w:iCs/>
                <w:sz w:val="16"/>
                <w:szCs w:val="16"/>
                <w:lang w:val="en-GB"/>
              </w:rPr>
              <w:t xml:space="preserve">Insulin </w:t>
            </w:r>
            <w:proofErr w:type="spellStart"/>
            <w:r w:rsidRPr="00AD43A0">
              <w:rPr>
                <w:b/>
                <w:bCs/>
                <w:iCs/>
                <w:sz w:val="16"/>
                <w:szCs w:val="16"/>
                <w:lang w:val="en-GB"/>
              </w:rPr>
              <w:t>detemir</w:t>
            </w:r>
            <w:proofErr w:type="spellEnd"/>
            <w:r w:rsidRPr="00AD43A0">
              <w:rPr>
                <w:b/>
                <w:bCs/>
                <w:iCs/>
                <w:sz w:val="16"/>
                <w:szCs w:val="16"/>
                <w:lang w:val="en-GB"/>
              </w:rPr>
              <w:t xml:space="preserve"> add-on therapy</w:t>
            </w:r>
          </w:p>
        </w:tc>
        <w:tc>
          <w:tcPr>
            <w:tcW w:w="1451" w:type="dxa"/>
            <w:tcBorders>
              <w:top w:val="single" w:sz="4" w:space="0" w:color="auto"/>
              <w:bottom w:val="single" w:sz="4" w:space="0" w:color="auto"/>
            </w:tcBorders>
            <w:shd w:val="clear" w:color="auto" w:fill="auto"/>
          </w:tcPr>
          <w:p w14:paraId="37572C90" w14:textId="77777777" w:rsidR="00763417" w:rsidRPr="00AD43A0" w:rsidRDefault="00763417" w:rsidP="00A14AF3">
            <w:pPr>
              <w:tabs>
                <w:tab w:val="left" w:pos="567"/>
              </w:tabs>
              <w:overflowPunct w:val="0"/>
              <w:autoSpaceDE w:val="0"/>
              <w:autoSpaceDN w:val="0"/>
              <w:adjustRightInd w:val="0"/>
              <w:spacing w:after="240" w:line="264" w:lineRule="auto"/>
              <w:textAlignment w:val="baseline"/>
              <w:rPr>
                <w:b/>
                <w:sz w:val="16"/>
                <w:szCs w:val="16"/>
                <w:lang w:val="en-AU"/>
              </w:rPr>
            </w:pPr>
          </w:p>
        </w:tc>
        <w:tc>
          <w:tcPr>
            <w:tcW w:w="1417" w:type="dxa"/>
            <w:tcBorders>
              <w:top w:val="single" w:sz="4" w:space="0" w:color="auto"/>
              <w:bottom w:val="single" w:sz="4" w:space="0" w:color="auto"/>
            </w:tcBorders>
            <w:shd w:val="clear" w:color="auto" w:fill="auto"/>
          </w:tcPr>
          <w:p w14:paraId="26555327" w14:textId="77777777" w:rsidR="00763417" w:rsidRPr="00AD43A0" w:rsidRDefault="00763417" w:rsidP="00A14AF3">
            <w:pPr>
              <w:tabs>
                <w:tab w:val="left" w:pos="567"/>
              </w:tabs>
              <w:overflowPunct w:val="0"/>
              <w:autoSpaceDE w:val="0"/>
              <w:autoSpaceDN w:val="0"/>
              <w:adjustRightInd w:val="0"/>
              <w:spacing w:after="240" w:line="264" w:lineRule="auto"/>
              <w:textAlignment w:val="baseline"/>
              <w:rPr>
                <w:b/>
                <w:sz w:val="16"/>
                <w:szCs w:val="16"/>
                <w:lang w:val="en-AU"/>
              </w:rPr>
            </w:pPr>
          </w:p>
        </w:tc>
        <w:tc>
          <w:tcPr>
            <w:tcW w:w="1560" w:type="dxa"/>
            <w:tcBorders>
              <w:top w:val="single" w:sz="4" w:space="0" w:color="auto"/>
              <w:bottom w:val="single" w:sz="4" w:space="0" w:color="auto"/>
            </w:tcBorders>
            <w:shd w:val="clear" w:color="auto" w:fill="auto"/>
          </w:tcPr>
          <w:p w14:paraId="3263B38B" w14:textId="77777777" w:rsidR="00763417" w:rsidRPr="00AD43A0" w:rsidRDefault="00763417" w:rsidP="00A14AF3">
            <w:pPr>
              <w:overflowPunct w:val="0"/>
              <w:autoSpaceDE w:val="0"/>
              <w:autoSpaceDN w:val="0"/>
              <w:adjustRightInd w:val="0"/>
              <w:textAlignment w:val="baseline"/>
              <w:rPr>
                <w:b/>
                <w:sz w:val="16"/>
                <w:szCs w:val="16"/>
                <w:lang w:val="en-AU"/>
              </w:rPr>
            </w:pPr>
          </w:p>
        </w:tc>
        <w:tc>
          <w:tcPr>
            <w:tcW w:w="992" w:type="dxa"/>
            <w:tcBorders>
              <w:top w:val="single" w:sz="4" w:space="0" w:color="auto"/>
              <w:bottom w:val="single" w:sz="4" w:space="0" w:color="auto"/>
            </w:tcBorders>
            <w:shd w:val="clear" w:color="auto" w:fill="auto"/>
          </w:tcPr>
          <w:p w14:paraId="35EBB410" w14:textId="77777777" w:rsidR="00763417" w:rsidRPr="00AD43A0" w:rsidRDefault="00763417" w:rsidP="00A14AF3">
            <w:pPr>
              <w:overflowPunct w:val="0"/>
              <w:autoSpaceDE w:val="0"/>
              <w:autoSpaceDN w:val="0"/>
              <w:adjustRightInd w:val="0"/>
              <w:textAlignment w:val="baseline"/>
              <w:rPr>
                <w:b/>
                <w:sz w:val="16"/>
                <w:szCs w:val="16"/>
                <w:lang w:val="en-AU"/>
              </w:rPr>
            </w:pPr>
          </w:p>
        </w:tc>
      </w:tr>
      <w:tr w:rsidR="00763417" w:rsidRPr="00AD43A0" w14:paraId="7D4986D6" w14:textId="77777777" w:rsidTr="00A14AF3">
        <w:trPr>
          <w:trHeight w:hRule="exact" w:val="1276"/>
        </w:trPr>
        <w:tc>
          <w:tcPr>
            <w:tcW w:w="2268" w:type="dxa"/>
            <w:tcBorders>
              <w:top w:val="single" w:sz="4" w:space="0" w:color="auto"/>
            </w:tcBorders>
            <w:shd w:val="clear" w:color="auto" w:fill="auto"/>
          </w:tcPr>
          <w:p w14:paraId="57436341" w14:textId="77777777" w:rsidR="00763417" w:rsidRPr="00AD43A0" w:rsidRDefault="00763417" w:rsidP="00A14AF3">
            <w:pPr>
              <w:overflowPunct w:val="0"/>
              <w:autoSpaceDE w:val="0"/>
              <w:autoSpaceDN w:val="0"/>
              <w:adjustRightInd w:val="0"/>
              <w:textAlignment w:val="baseline"/>
              <w:rPr>
                <w:sz w:val="16"/>
                <w:szCs w:val="16"/>
                <w:lang w:val="en-AU"/>
              </w:rPr>
            </w:pPr>
          </w:p>
        </w:tc>
        <w:tc>
          <w:tcPr>
            <w:tcW w:w="993" w:type="dxa"/>
            <w:tcBorders>
              <w:top w:val="single" w:sz="4" w:space="0" w:color="auto"/>
            </w:tcBorders>
            <w:shd w:val="clear" w:color="auto" w:fill="auto"/>
          </w:tcPr>
          <w:p w14:paraId="4F43A2D5" w14:textId="77777777" w:rsidR="00763417" w:rsidRPr="00AD43A0" w:rsidRDefault="00763417" w:rsidP="00A14AF3">
            <w:pPr>
              <w:overflowPunct w:val="0"/>
              <w:autoSpaceDE w:val="0"/>
              <w:autoSpaceDN w:val="0"/>
              <w:adjustRightInd w:val="0"/>
              <w:textAlignment w:val="baseline"/>
              <w:rPr>
                <w:sz w:val="16"/>
                <w:szCs w:val="16"/>
                <w:lang w:val="en-AU"/>
              </w:rPr>
            </w:pPr>
            <w:r w:rsidRPr="00AD43A0">
              <w:rPr>
                <w:b/>
                <w:sz w:val="16"/>
                <w:szCs w:val="16"/>
                <w:lang w:val="en-AU"/>
              </w:rPr>
              <w:t>Study weeks</w:t>
            </w:r>
          </w:p>
        </w:tc>
        <w:tc>
          <w:tcPr>
            <w:tcW w:w="1451" w:type="dxa"/>
            <w:tcBorders>
              <w:top w:val="single" w:sz="4" w:space="0" w:color="auto"/>
            </w:tcBorders>
            <w:shd w:val="clear" w:color="auto" w:fill="auto"/>
          </w:tcPr>
          <w:p w14:paraId="70CAA6A2" w14:textId="77777777" w:rsidR="00763417" w:rsidRPr="00AD43A0" w:rsidRDefault="00763417" w:rsidP="00A14AF3">
            <w:pPr>
              <w:tabs>
                <w:tab w:val="left" w:pos="567"/>
              </w:tabs>
              <w:overflowPunct w:val="0"/>
              <w:autoSpaceDE w:val="0"/>
              <w:autoSpaceDN w:val="0"/>
              <w:adjustRightInd w:val="0"/>
              <w:spacing w:after="240" w:line="264" w:lineRule="auto"/>
              <w:textAlignment w:val="baseline"/>
              <w:rPr>
                <w:sz w:val="16"/>
                <w:szCs w:val="16"/>
                <w:lang w:val="en-AU"/>
              </w:rPr>
            </w:pPr>
            <w:r w:rsidRPr="00AD43A0">
              <w:rPr>
                <w:b/>
                <w:sz w:val="16"/>
                <w:szCs w:val="16"/>
                <w:lang w:val="en-AU"/>
              </w:rPr>
              <w:t xml:space="preserve">Randomised Victoza 1.8mg + metformin + insulin </w:t>
            </w:r>
            <w:proofErr w:type="spellStart"/>
            <w:r w:rsidRPr="00AD43A0">
              <w:rPr>
                <w:b/>
                <w:sz w:val="16"/>
                <w:szCs w:val="16"/>
                <w:lang w:val="en-AU"/>
              </w:rPr>
              <w:t>detemir</w:t>
            </w:r>
            <w:proofErr w:type="spellEnd"/>
            <w:r w:rsidRPr="00AD43A0">
              <w:rPr>
                <w:b/>
                <w:sz w:val="16"/>
                <w:szCs w:val="16"/>
                <w:lang w:val="en-AU"/>
              </w:rPr>
              <w:t xml:space="preserve"> </w:t>
            </w:r>
            <w:r w:rsidRPr="00AD43A0">
              <w:rPr>
                <w:b/>
                <w:sz w:val="16"/>
                <w:szCs w:val="16"/>
                <w:lang w:val="en-AU"/>
              </w:rPr>
              <w:br/>
              <w:t>(N = 160)</w:t>
            </w:r>
          </w:p>
        </w:tc>
        <w:tc>
          <w:tcPr>
            <w:tcW w:w="1417" w:type="dxa"/>
            <w:tcBorders>
              <w:top w:val="single" w:sz="4" w:space="0" w:color="auto"/>
            </w:tcBorders>
            <w:shd w:val="clear" w:color="auto" w:fill="auto"/>
          </w:tcPr>
          <w:p w14:paraId="29678C37" w14:textId="77777777" w:rsidR="00763417" w:rsidRPr="00AD43A0" w:rsidRDefault="00763417" w:rsidP="00A14AF3">
            <w:pPr>
              <w:tabs>
                <w:tab w:val="left" w:pos="567"/>
              </w:tabs>
              <w:overflowPunct w:val="0"/>
              <w:autoSpaceDE w:val="0"/>
              <w:autoSpaceDN w:val="0"/>
              <w:adjustRightInd w:val="0"/>
              <w:spacing w:after="240" w:line="264" w:lineRule="auto"/>
              <w:textAlignment w:val="baseline"/>
              <w:rPr>
                <w:sz w:val="16"/>
                <w:szCs w:val="16"/>
                <w:lang w:val="en-AU"/>
              </w:rPr>
            </w:pPr>
            <w:r w:rsidRPr="00AD43A0">
              <w:rPr>
                <w:b/>
                <w:sz w:val="16"/>
                <w:szCs w:val="16"/>
                <w:lang w:val="en-AU"/>
              </w:rPr>
              <w:t>Randomised Victoza 1.8mg + metformin</w:t>
            </w:r>
            <w:r w:rsidRPr="00AD43A0">
              <w:rPr>
                <w:b/>
                <w:sz w:val="16"/>
                <w:szCs w:val="16"/>
                <w:lang w:val="en-AU"/>
              </w:rPr>
              <w:br/>
              <w:t>(N = 149)</w:t>
            </w:r>
          </w:p>
        </w:tc>
        <w:tc>
          <w:tcPr>
            <w:tcW w:w="1560" w:type="dxa"/>
            <w:tcBorders>
              <w:top w:val="single" w:sz="4" w:space="0" w:color="auto"/>
            </w:tcBorders>
            <w:shd w:val="clear" w:color="auto" w:fill="auto"/>
          </w:tcPr>
          <w:p w14:paraId="047ADB19" w14:textId="77777777" w:rsidR="00763417" w:rsidRPr="00AD43A0" w:rsidRDefault="00763417" w:rsidP="00A14AF3">
            <w:pPr>
              <w:overflowPunct w:val="0"/>
              <w:autoSpaceDE w:val="0"/>
              <w:autoSpaceDN w:val="0"/>
              <w:adjustRightInd w:val="0"/>
              <w:textAlignment w:val="baseline"/>
              <w:rPr>
                <w:b/>
                <w:sz w:val="16"/>
                <w:szCs w:val="16"/>
                <w:lang w:val="en-AU"/>
              </w:rPr>
            </w:pPr>
            <w:r w:rsidRPr="00AD43A0">
              <w:rPr>
                <w:b/>
                <w:sz w:val="16"/>
                <w:szCs w:val="16"/>
                <w:lang w:val="en-AU"/>
              </w:rPr>
              <w:t>Treatment difference/ratio [95% CI]</w:t>
            </w:r>
          </w:p>
        </w:tc>
        <w:tc>
          <w:tcPr>
            <w:tcW w:w="992" w:type="dxa"/>
            <w:tcBorders>
              <w:top w:val="single" w:sz="4" w:space="0" w:color="auto"/>
            </w:tcBorders>
            <w:shd w:val="clear" w:color="auto" w:fill="auto"/>
          </w:tcPr>
          <w:p w14:paraId="7833FBA3" w14:textId="77777777" w:rsidR="00763417" w:rsidRPr="00AD43A0" w:rsidRDefault="00763417" w:rsidP="00A14AF3">
            <w:pPr>
              <w:overflowPunct w:val="0"/>
              <w:autoSpaceDE w:val="0"/>
              <w:autoSpaceDN w:val="0"/>
              <w:adjustRightInd w:val="0"/>
              <w:textAlignment w:val="baseline"/>
              <w:rPr>
                <w:sz w:val="16"/>
                <w:szCs w:val="16"/>
                <w:lang w:val="en-AU"/>
              </w:rPr>
            </w:pPr>
            <w:r w:rsidRPr="00AD43A0">
              <w:rPr>
                <w:b/>
                <w:sz w:val="16"/>
                <w:szCs w:val="16"/>
                <w:lang w:val="en-AU"/>
              </w:rPr>
              <w:t>P-value</w:t>
            </w:r>
          </w:p>
        </w:tc>
      </w:tr>
      <w:tr w:rsidR="00763417" w:rsidRPr="00AD43A0" w14:paraId="70DDEA47" w14:textId="77777777" w:rsidTr="00A14AF3">
        <w:trPr>
          <w:trHeight w:hRule="exact" w:val="369"/>
        </w:trPr>
        <w:tc>
          <w:tcPr>
            <w:tcW w:w="2268" w:type="dxa"/>
            <w:vMerge w:val="restart"/>
            <w:shd w:val="clear" w:color="auto" w:fill="auto"/>
            <w:vAlign w:val="center"/>
          </w:tcPr>
          <w:p w14:paraId="08C6ABDE" w14:textId="77777777" w:rsidR="00763417" w:rsidRPr="00AD43A0" w:rsidRDefault="00763417" w:rsidP="00A14AF3">
            <w:pPr>
              <w:overflowPunct w:val="0"/>
              <w:autoSpaceDE w:val="0"/>
              <w:autoSpaceDN w:val="0"/>
              <w:adjustRightInd w:val="0"/>
              <w:textAlignment w:val="baseline"/>
              <w:rPr>
                <w:b/>
                <w:sz w:val="16"/>
                <w:szCs w:val="16"/>
                <w:lang w:val="en-AU"/>
              </w:rPr>
            </w:pPr>
            <w:r w:rsidRPr="00AD43A0">
              <w:rPr>
                <w:b/>
                <w:sz w:val="16"/>
                <w:szCs w:val="16"/>
                <w:lang w:val="en-AU"/>
              </w:rPr>
              <w:t>Mean change in HbA</w:t>
            </w:r>
            <w:r w:rsidRPr="00AD43A0">
              <w:rPr>
                <w:b/>
                <w:sz w:val="16"/>
                <w:szCs w:val="16"/>
                <w:vertAlign w:val="subscript"/>
                <w:lang w:val="en-AU"/>
              </w:rPr>
              <w:t>1c</w:t>
            </w:r>
            <w:r w:rsidRPr="00AD43A0">
              <w:rPr>
                <w:b/>
                <w:sz w:val="16"/>
                <w:szCs w:val="16"/>
                <w:lang w:val="en-AU"/>
              </w:rPr>
              <w:t xml:space="preserve"> from baseline (%)</w:t>
            </w:r>
          </w:p>
        </w:tc>
        <w:tc>
          <w:tcPr>
            <w:tcW w:w="993" w:type="dxa"/>
            <w:shd w:val="clear" w:color="auto" w:fill="auto"/>
            <w:vAlign w:val="bottom"/>
          </w:tcPr>
          <w:p w14:paraId="48BC1B52" w14:textId="77777777" w:rsidR="00763417" w:rsidRPr="00AD43A0" w:rsidRDefault="00763417" w:rsidP="00A14AF3">
            <w:pPr>
              <w:tabs>
                <w:tab w:val="left" w:pos="567"/>
              </w:tabs>
              <w:overflowPunct w:val="0"/>
              <w:autoSpaceDE w:val="0"/>
              <w:autoSpaceDN w:val="0"/>
              <w:adjustRightInd w:val="0"/>
              <w:spacing w:after="240" w:line="264" w:lineRule="auto"/>
              <w:textAlignment w:val="baseline"/>
              <w:rPr>
                <w:sz w:val="16"/>
                <w:szCs w:val="16"/>
                <w:lang w:val="en-AU"/>
              </w:rPr>
            </w:pPr>
            <w:r w:rsidRPr="00AD43A0">
              <w:rPr>
                <w:sz w:val="16"/>
                <w:szCs w:val="16"/>
                <w:lang w:val="en-AU"/>
              </w:rPr>
              <w:t>26</w:t>
            </w:r>
          </w:p>
        </w:tc>
        <w:tc>
          <w:tcPr>
            <w:tcW w:w="1451" w:type="dxa"/>
            <w:shd w:val="clear" w:color="auto" w:fill="auto"/>
            <w:vAlign w:val="bottom"/>
          </w:tcPr>
          <w:p w14:paraId="7370F10D" w14:textId="77777777" w:rsidR="00763417" w:rsidRPr="00AD43A0" w:rsidRDefault="00763417" w:rsidP="00A14AF3">
            <w:pPr>
              <w:tabs>
                <w:tab w:val="left" w:pos="567"/>
              </w:tabs>
              <w:overflowPunct w:val="0"/>
              <w:autoSpaceDE w:val="0"/>
              <w:autoSpaceDN w:val="0"/>
              <w:adjustRightInd w:val="0"/>
              <w:spacing w:after="240" w:line="264" w:lineRule="auto"/>
              <w:textAlignment w:val="baseline"/>
              <w:rPr>
                <w:sz w:val="16"/>
                <w:szCs w:val="16"/>
                <w:lang w:val="en-AU"/>
              </w:rPr>
            </w:pPr>
            <w:r w:rsidRPr="00AD43A0">
              <w:rPr>
                <w:sz w:val="16"/>
                <w:szCs w:val="16"/>
                <w:lang w:val="en-AU"/>
              </w:rPr>
              <w:t>-0.51</w:t>
            </w:r>
          </w:p>
        </w:tc>
        <w:tc>
          <w:tcPr>
            <w:tcW w:w="1417" w:type="dxa"/>
            <w:shd w:val="clear" w:color="auto" w:fill="auto"/>
            <w:vAlign w:val="bottom"/>
          </w:tcPr>
          <w:p w14:paraId="4EDC7EE0" w14:textId="77777777" w:rsidR="00763417" w:rsidRPr="00AD43A0" w:rsidRDefault="00763417" w:rsidP="00A14AF3">
            <w:pPr>
              <w:tabs>
                <w:tab w:val="left" w:pos="567"/>
              </w:tabs>
              <w:overflowPunct w:val="0"/>
              <w:autoSpaceDE w:val="0"/>
              <w:autoSpaceDN w:val="0"/>
              <w:adjustRightInd w:val="0"/>
              <w:spacing w:after="240" w:line="264" w:lineRule="auto"/>
              <w:textAlignment w:val="baseline"/>
              <w:rPr>
                <w:sz w:val="16"/>
                <w:szCs w:val="16"/>
                <w:lang w:val="en-AU"/>
              </w:rPr>
            </w:pPr>
            <w:r w:rsidRPr="00AD43A0">
              <w:rPr>
                <w:sz w:val="16"/>
                <w:szCs w:val="16"/>
                <w:lang w:val="en-AU"/>
              </w:rPr>
              <w:t>+0.02</w:t>
            </w:r>
          </w:p>
        </w:tc>
        <w:tc>
          <w:tcPr>
            <w:tcW w:w="1560" w:type="dxa"/>
            <w:vAlign w:val="center"/>
          </w:tcPr>
          <w:p w14:paraId="7BFC3AA7" w14:textId="77777777" w:rsidR="00763417" w:rsidRPr="00AD43A0" w:rsidRDefault="00763417" w:rsidP="00A14AF3">
            <w:pPr>
              <w:tabs>
                <w:tab w:val="left" w:pos="567"/>
              </w:tabs>
              <w:overflowPunct w:val="0"/>
              <w:autoSpaceDE w:val="0"/>
              <w:autoSpaceDN w:val="0"/>
              <w:adjustRightInd w:val="0"/>
              <w:spacing w:after="240" w:line="264" w:lineRule="auto"/>
              <w:textAlignment w:val="baseline"/>
              <w:rPr>
                <w:sz w:val="16"/>
                <w:szCs w:val="16"/>
                <w:lang w:val="en-AU"/>
              </w:rPr>
            </w:pPr>
            <w:r w:rsidRPr="00AD43A0">
              <w:rPr>
                <w:sz w:val="16"/>
                <w:szCs w:val="16"/>
                <w:lang w:val="en-AU"/>
              </w:rPr>
              <w:t>-0.52 [-0.68 ; -0.36]</w:t>
            </w:r>
          </w:p>
        </w:tc>
        <w:tc>
          <w:tcPr>
            <w:tcW w:w="992" w:type="dxa"/>
            <w:shd w:val="clear" w:color="auto" w:fill="auto"/>
            <w:vAlign w:val="bottom"/>
          </w:tcPr>
          <w:p w14:paraId="16630C5C" w14:textId="77777777" w:rsidR="00763417" w:rsidRPr="00AD43A0" w:rsidRDefault="00763417" w:rsidP="00A14AF3">
            <w:pPr>
              <w:tabs>
                <w:tab w:val="left" w:pos="567"/>
              </w:tabs>
              <w:overflowPunct w:val="0"/>
              <w:autoSpaceDE w:val="0"/>
              <w:autoSpaceDN w:val="0"/>
              <w:adjustRightInd w:val="0"/>
              <w:spacing w:after="240" w:line="264" w:lineRule="auto"/>
              <w:textAlignment w:val="baseline"/>
              <w:rPr>
                <w:sz w:val="16"/>
                <w:szCs w:val="16"/>
                <w:lang w:val="en-AU"/>
              </w:rPr>
            </w:pPr>
            <w:r w:rsidRPr="00AD43A0">
              <w:rPr>
                <w:sz w:val="16"/>
                <w:szCs w:val="16"/>
                <w:lang w:val="en-AU"/>
              </w:rPr>
              <w:t>&lt;0.0001</w:t>
            </w:r>
          </w:p>
        </w:tc>
      </w:tr>
      <w:tr w:rsidR="00763417" w:rsidRPr="00AD43A0" w14:paraId="6146A86E" w14:textId="77777777" w:rsidTr="00A14AF3">
        <w:trPr>
          <w:trHeight w:hRule="exact" w:val="369"/>
        </w:trPr>
        <w:tc>
          <w:tcPr>
            <w:tcW w:w="2268" w:type="dxa"/>
            <w:vMerge/>
            <w:shd w:val="clear" w:color="auto" w:fill="auto"/>
            <w:vAlign w:val="center"/>
          </w:tcPr>
          <w:p w14:paraId="0C71A33A" w14:textId="77777777" w:rsidR="00763417" w:rsidRPr="00AD43A0" w:rsidRDefault="00763417" w:rsidP="00A14AF3">
            <w:pPr>
              <w:overflowPunct w:val="0"/>
              <w:autoSpaceDE w:val="0"/>
              <w:autoSpaceDN w:val="0"/>
              <w:adjustRightInd w:val="0"/>
              <w:textAlignment w:val="baseline"/>
              <w:rPr>
                <w:b/>
                <w:sz w:val="16"/>
                <w:szCs w:val="16"/>
                <w:lang w:val="en-AU"/>
              </w:rPr>
            </w:pPr>
          </w:p>
        </w:tc>
        <w:tc>
          <w:tcPr>
            <w:tcW w:w="993" w:type="dxa"/>
            <w:shd w:val="clear" w:color="auto" w:fill="auto"/>
            <w:vAlign w:val="bottom"/>
          </w:tcPr>
          <w:p w14:paraId="7E8F9E17" w14:textId="77777777" w:rsidR="00763417" w:rsidRPr="00AD43A0" w:rsidRDefault="00763417" w:rsidP="00A14AF3">
            <w:pPr>
              <w:tabs>
                <w:tab w:val="left" w:pos="567"/>
              </w:tabs>
              <w:overflowPunct w:val="0"/>
              <w:autoSpaceDE w:val="0"/>
              <w:autoSpaceDN w:val="0"/>
              <w:adjustRightInd w:val="0"/>
              <w:spacing w:after="240" w:line="264" w:lineRule="auto"/>
              <w:textAlignment w:val="baseline"/>
              <w:rPr>
                <w:sz w:val="16"/>
                <w:szCs w:val="16"/>
                <w:lang w:val="en-AU"/>
              </w:rPr>
            </w:pPr>
            <w:r w:rsidRPr="00AD43A0">
              <w:rPr>
                <w:sz w:val="16"/>
                <w:szCs w:val="16"/>
                <w:lang w:val="en-AU"/>
              </w:rPr>
              <w:t>52</w:t>
            </w:r>
          </w:p>
        </w:tc>
        <w:tc>
          <w:tcPr>
            <w:tcW w:w="1451" w:type="dxa"/>
            <w:shd w:val="clear" w:color="auto" w:fill="auto"/>
            <w:vAlign w:val="bottom"/>
          </w:tcPr>
          <w:p w14:paraId="66B0D722" w14:textId="77777777" w:rsidR="00763417" w:rsidRPr="00AD43A0" w:rsidRDefault="00763417" w:rsidP="00A14AF3">
            <w:pPr>
              <w:tabs>
                <w:tab w:val="left" w:pos="567"/>
              </w:tabs>
              <w:overflowPunct w:val="0"/>
              <w:autoSpaceDE w:val="0"/>
              <w:autoSpaceDN w:val="0"/>
              <w:adjustRightInd w:val="0"/>
              <w:spacing w:after="240" w:line="264" w:lineRule="auto"/>
              <w:textAlignment w:val="baseline"/>
              <w:rPr>
                <w:sz w:val="16"/>
                <w:szCs w:val="16"/>
                <w:lang w:val="en-AU"/>
              </w:rPr>
            </w:pPr>
            <w:r w:rsidRPr="00AD43A0">
              <w:rPr>
                <w:sz w:val="16"/>
                <w:szCs w:val="16"/>
                <w:lang w:val="en-AU"/>
              </w:rPr>
              <w:t>-0.50</w:t>
            </w:r>
          </w:p>
        </w:tc>
        <w:tc>
          <w:tcPr>
            <w:tcW w:w="1417" w:type="dxa"/>
            <w:shd w:val="clear" w:color="auto" w:fill="auto"/>
            <w:vAlign w:val="bottom"/>
          </w:tcPr>
          <w:p w14:paraId="293A1A14" w14:textId="77777777" w:rsidR="00763417" w:rsidRPr="00AD43A0" w:rsidRDefault="00763417" w:rsidP="00A14AF3">
            <w:pPr>
              <w:tabs>
                <w:tab w:val="left" w:pos="567"/>
              </w:tabs>
              <w:overflowPunct w:val="0"/>
              <w:autoSpaceDE w:val="0"/>
              <w:autoSpaceDN w:val="0"/>
              <w:adjustRightInd w:val="0"/>
              <w:spacing w:after="240" w:line="264" w:lineRule="auto"/>
              <w:textAlignment w:val="baseline"/>
              <w:rPr>
                <w:sz w:val="16"/>
                <w:szCs w:val="16"/>
                <w:lang w:val="en-AU"/>
              </w:rPr>
            </w:pPr>
            <w:r w:rsidRPr="00AD43A0">
              <w:rPr>
                <w:sz w:val="16"/>
                <w:szCs w:val="16"/>
                <w:lang w:val="en-AU"/>
              </w:rPr>
              <w:t>0.01</w:t>
            </w:r>
          </w:p>
        </w:tc>
        <w:tc>
          <w:tcPr>
            <w:tcW w:w="1560" w:type="dxa"/>
            <w:vAlign w:val="center"/>
          </w:tcPr>
          <w:p w14:paraId="35074C3B" w14:textId="77777777" w:rsidR="00763417" w:rsidRPr="00AD43A0" w:rsidRDefault="00763417" w:rsidP="00A14AF3">
            <w:pPr>
              <w:tabs>
                <w:tab w:val="left" w:pos="567"/>
              </w:tabs>
              <w:overflowPunct w:val="0"/>
              <w:autoSpaceDE w:val="0"/>
              <w:autoSpaceDN w:val="0"/>
              <w:adjustRightInd w:val="0"/>
              <w:spacing w:after="240" w:line="264" w:lineRule="auto"/>
              <w:textAlignment w:val="baseline"/>
              <w:rPr>
                <w:sz w:val="16"/>
                <w:szCs w:val="16"/>
                <w:lang w:val="en-AU"/>
              </w:rPr>
            </w:pPr>
            <w:r w:rsidRPr="00AD43A0">
              <w:rPr>
                <w:sz w:val="16"/>
                <w:szCs w:val="16"/>
                <w:lang w:val="en-AU"/>
              </w:rPr>
              <w:t>-0.51 [-0.70 ; -0.31]</w:t>
            </w:r>
          </w:p>
        </w:tc>
        <w:tc>
          <w:tcPr>
            <w:tcW w:w="992" w:type="dxa"/>
            <w:shd w:val="clear" w:color="auto" w:fill="auto"/>
            <w:vAlign w:val="bottom"/>
          </w:tcPr>
          <w:p w14:paraId="74043A8A" w14:textId="77777777" w:rsidR="00763417" w:rsidRPr="00AD43A0" w:rsidRDefault="00763417" w:rsidP="00A14AF3">
            <w:pPr>
              <w:tabs>
                <w:tab w:val="left" w:pos="567"/>
              </w:tabs>
              <w:overflowPunct w:val="0"/>
              <w:autoSpaceDE w:val="0"/>
              <w:autoSpaceDN w:val="0"/>
              <w:adjustRightInd w:val="0"/>
              <w:spacing w:after="240" w:line="264" w:lineRule="auto"/>
              <w:textAlignment w:val="baseline"/>
              <w:rPr>
                <w:sz w:val="16"/>
                <w:szCs w:val="16"/>
                <w:lang w:val="en-AU"/>
              </w:rPr>
            </w:pPr>
            <w:r w:rsidRPr="00AD43A0">
              <w:rPr>
                <w:sz w:val="16"/>
                <w:szCs w:val="16"/>
                <w:lang w:val="en-AU"/>
              </w:rPr>
              <w:t>&lt;0.0001</w:t>
            </w:r>
          </w:p>
        </w:tc>
      </w:tr>
      <w:tr w:rsidR="00763417" w:rsidRPr="00AD43A0" w14:paraId="129003FE" w14:textId="77777777" w:rsidTr="00A14AF3">
        <w:trPr>
          <w:trHeight w:hRule="exact" w:val="369"/>
        </w:trPr>
        <w:tc>
          <w:tcPr>
            <w:tcW w:w="2268" w:type="dxa"/>
            <w:vMerge w:val="restart"/>
            <w:shd w:val="clear" w:color="auto" w:fill="auto"/>
            <w:vAlign w:val="center"/>
          </w:tcPr>
          <w:p w14:paraId="6EB87E2B" w14:textId="77777777" w:rsidR="00763417" w:rsidRPr="00AD43A0" w:rsidRDefault="00763417" w:rsidP="00A14AF3">
            <w:pPr>
              <w:overflowPunct w:val="0"/>
              <w:autoSpaceDE w:val="0"/>
              <w:autoSpaceDN w:val="0"/>
              <w:adjustRightInd w:val="0"/>
              <w:textAlignment w:val="baseline"/>
              <w:rPr>
                <w:b/>
                <w:sz w:val="16"/>
                <w:szCs w:val="16"/>
                <w:lang w:val="en-AU"/>
              </w:rPr>
            </w:pPr>
            <w:r w:rsidRPr="00AD43A0">
              <w:rPr>
                <w:b/>
                <w:sz w:val="16"/>
                <w:szCs w:val="16"/>
                <w:lang w:val="en-AU"/>
              </w:rPr>
              <w:t>Proportion of patients achieving HbA</w:t>
            </w:r>
            <w:r w:rsidRPr="00AD43A0">
              <w:rPr>
                <w:b/>
                <w:sz w:val="16"/>
                <w:szCs w:val="16"/>
                <w:vertAlign w:val="subscript"/>
                <w:lang w:val="en-AU"/>
              </w:rPr>
              <w:t>1c</w:t>
            </w:r>
            <w:r w:rsidRPr="00AD43A0">
              <w:rPr>
                <w:b/>
                <w:sz w:val="16"/>
                <w:szCs w:val="16"/>
                <w:lang w:val="en-AU"/>
              </w:rPr>
              <w:t xml:space="preserve"> &lt;7% targets (%)</w:t>
            </w:r>
          </w:p>
        </w:tc>
        <w:tc>
          <w:tcPr>
            <w:tcW w:w="993" w:type="dxa"/>
            <w:shd w:val="clear" w:color="auto" w:fill="auto"/>
            <w:vAlign w:val="bottom"/>
          </w:tcPr>
          <w:p w14:paraId="36CD1B47" w14:textId="77777777" w:rsidR="00763417" w:rsidRPr="00AD43A0" w:rsidRDefault="00763417" w:rsidP="00A14AF3">
            <w:pPr>
              <w:tabs>
                <w:tab w:val="left" w:pos="567"/>
              </w:tabs>
              <w:overflowPunct w:val="0"/>
              <w:autoSpaceDE w:val="0"/>
              <w:autoSpaceDN w:val="0"/>
              <w:adjustRightInd w:val="0"/>
              <w:spacing w:after="240" w:line="264" w:lineRule="auto"/>
              <w:textAlignment w:val="baseline"/>
              <w:rPr>
                <w:sz w:val="16"/>
                <w:szCs w:val="16"/>
                <w:lang w:val="en-AU"/>
              </w:rPr>
            </w:pPr>
            <w:r w:rsidRPr="00AD43A0">
              <w:rPr>
                <w:sz w:val="16"/>
                <w:szCs w:val="16"/>
                <w:lang w:val="en-AU"/>
              </w:rPr>
              <w:t>26</w:t>
            </w:r>
          </w:p>
        </w:tc>
        <w:tc>
          <w:tcPr>
            <w:tcW w:w="1451" w:type="dxa"/>
            <w:shd w:val="clear" w:color="auto" w:fill="auto"/>
            <w:vAlign w:val="bottom"/>
          </w:tcPr>
          <w:p w14:paraId="759C3C98" w14:textId="77777777" w:rsidR="00763417" w:rsidRPr="00AD43A0" w:rsidRDefault="00763417" w:rsidP="00A14AF3">
            <w:pPr>
              <w:tabs>
                <w:tab w:val="left" w:pos="567"/>
              </w:tabs>
              <w:overflowPunct w:val="0"/>
              <w:autoSpaceDE w:val="0"/>
              <w:autoSpaceDN w:val="0"/>
              <w:adjustRightInd w:val="0"/>
              <w:spacing w:after="240" w:line="264" w:lineRule="auto"/>
              <w:textAlignment w:val="baseline"/>
              <w:rPr>
                <w:sz w:val="16"/>
                <w:szCs w:val="16"/>
                <w:lang w:val="en-AU"/>
              </w:rPr>
            </w:pPr>
            <w:r w:rsidRPr="00AD43A0">
              <w:rPr>
                <w:sz w:val="16"/>
                <w:szCs w:val="16"/>
                <w:lang w:val="en-AU"/>
              </w:rPr>
              <w:t>43.1</w:t>
            </w:r>
          </w:p>
        </w:tc>
        <w:tc>
          <w:tcPr>
            <w:tcW w:w="1417" w:type="dxa"/>
            <w:shd w:val="clear" w:color="auto" w:fill="auto"/>
            <w:vAlign w:val="bottom"/>
          </w:tcPr>
          <w:p w14:paraId="05CD9034" w14:textId="77777777" w:rsidR="00763417" w:rsidRPr="00AD43A0" w:rsidRDefault="00763417" w:rsidP="00A14AF3">
            <w:pPr>
              <w:tabs>
                <w:tab w:val="left" w:pos="567"/>
              </w:tabs>
              <w:overflowPunct w:val="0"/>
              <w:autoSpaceDE w:val="0"/>
              <w:autoSpaceDN w:val="0"/>
              <w:adjustRightInd w:val="0"/>
              <w:spacing w:after="240" w:line="264" w:lineRule="auto"/>
              <w:textAlignment w:val="baseline"/>
              <w:rPr>
                <w:sz w:val="16"/>
                <w:szCs w:val="16"/>
                <w:lang w:val="en-AU"/>
              </w:rPr>
            </w:pPr>
            <w:r w:rsidRPr="00AD43A0">
              <w:rPr>
                <w:sz w:val="16"/>
                <w:szCs w:val="16"/>
                <w:lang w:val="en-AU"/>
              </w:rPr>
              <w:t>16.8</w:t>
            </w:r>
          </w:p>
        </w:tc>
        <w:tc>
          <w:tcPr>
            <w:tcW w:w="1560" w:type="dxa"/>
            <w:vAlign w:val="center"/>
          </w:tcPr>
          <w:p w14:paraId="3A21CD78" w14:textId="77777777" w:rsidR="00763417" w:rsidRPr="00AD43A0" w:rsidRDefault="00763417" w:rsidP="00A14AF3">
            <w:pPr>
              <w:tabs>
                <w:tab w:val="left" w:pos="567"/>
              </w:tabs>
              <w:overflowPunct w:val="0"/>
              <w:autoSpaceDE w:val="0"/>
              <w:autoSpaceDN w:val="0"/>
              <w:adjustRightInd w:val="0"/>
              <w:spacing w:after="240" w:line="264" w:lineRule="auto"/>
              <w:textAlignment w:val="baseline"/>
              <w:rPr>
                <w:sz w:val="16"/>
                <w:szCs w:val="16"/>
                <w:lang w:val="en-AU"/>
              </w:rPr>
            </w:pPr>
            <w:r w:rsidRPr="00AD43A0">
              <w:rPr>
                <w:sz w:val="16"/>
                <w:szCs w:val="16"/>
                <w:lang w:val="en-AU"/>
              </w:rPr>
              <w:t>3.75</w:t>
            </w:r>
            <w:r w:rsidRPr="00AD43A0">
              <w:rPr>
                <w:sz w:val="16"/>
                <w:szCs w:val="16"/>
                <w:vertAlign w:val="superscript"/>
                <w:lang w:val="en-AU"/>
              </w:rPr>
              <w:t>a</w:t>
            </w:r>
            <w:r w:rsidRPr="00AD43A0">
              <w:rPr>
                <w:sz w:val="16"/>
                <w:szCs w:val="16"/>
                <w:lang w:val="en-AU"/>
              </w:rPr>
              <w:t xml:space="preserve"> [2.19 ; 6.45]</w:t>
            </w:r>
          </w:p>
        </w:tc>
        <w:tc>
          <w:tcPr>
            <w:tcW w:w="992" w:type="dxa"/>
            <w:shd w:val="clear" w:color="auto" w:fill="auto"/>
            <w:vAlign w:val="bottom"/>
          </w:tcPr>
          <w:p w14:paraId="3DD43F5F" w14:textId="77777777" w:rsidR="00763417" w:rsidRPr="00AD43A0" w:rsidRDefault="00763417" w:rsidP="00A14AF3">
            <w:pPr>
              <w:tabs>
                <w:tab w:val="left" w:pos="567"/>
              </w:tabs>
              <w:overflowPunct w:val="0"/>
              <w:autoSpaceDE w:val="0"/>
              <w:autoSpaceDN w:val="0"/>
              <w:adjustRightInd w:val="0"/>
              <w:spacing w:after="240" w:line="264" w:lineRule="auto"/>
              <w:textAlignment w:val="baseline"/>
              <w:rPr>
                <w:sz w:val="16"/>
                <w:szCs w:val="16"/>
                <w:lang w:val="en-AU"/>
              </w:rPr>
            </w:pPr>
            <w:r w:rsidRPr="00AD43A0">
              <w:rPr>
                <w:sz w:val="16"/>
                <w:szCs w:val="16"/>
                <w:lang w:val="en-AU"/>
              </w:rPr>
              <w:t>&lt;0.0001</w:t>
            </w:r>
          </w:p>
        </w:tc>
      </w:tr>
      <w:tr w:rsidR="00763417" w:rsidRPr="00AD43A0" w14:paraId="076452E0" w14:textId="77777777" w:rsidTr="00A14AF3">
        <w:trPr>
          <w:trHeight w:hRule="exact" w:val="369"/>
        </w:trPr>
        <w:tc>
          <w:tcPr>
            <w:tcW w:w="2268" w:type="dxa"/>
            <w:vMerge/>
            <w:shd w:val="clear" w:color="auto" w:fill="auto"/>
            <w:vAlign w:val="center"/>
          </w:tcPr>
          <w:p w14:paraId="39F5F101" w14:textId="77777777" w:rsidR="00763417" w:rsidRPr="00AD43A0" w:rsidRDefault="00763417" w:rsidP="00A14AF3">
            <w:pPr>
              <w:overflowPunct w:val="0"/>
              <w:autoSpaceDE w:val="0"/>
              <w:autoSpaceDN w:val="0"/>
              <w:adjustRightInd w:val="0"/>
              <w:textAlignment w:val="baseline"/>
              <w:rPr>
                <w:b/>
                <w:sz w:val="16"/>
                <w:szCs w:val="16"/>
                <w:lang w:val="en-AU"/>
              </w:rPr>
            </w:pPr>
          </w:p>
        </w:tc>
        <w:tc>
          <w:tcPr>
            <w:tcW w:w="993" w:type="dxa"/>
            <w:shd w:val="clear" w:color="auto" w:fill="auto"/>
            <w:vAlign w:val="bottom"/>
          </w:tcPr>
          <w:p w14:paraId="2B2B8303" w14:textId="77777777" w:rsidR="00763417" w:rsidRPr="00AD43A0" w:rsidRDefault="00763417" w:rsidP="00A14AF3">
            <w:pPr>
              <w:tabs>
                <w:tab w:val="left" w:pos="567"/>
              </w:tabs>
              <w:overflowPunct w:val="0"/>
              <w:autoSpaceDE w:val="0"/>
              <w:autoSpaceDN w:val="0"/>
              <w:adjustRightInd w:val="0"/>
              <w:spacing w:after="240" w:line="264" w:lineRule="auto"/>
              <w:textAlignment w:val="baseline"/>
              <w:rPr>
                <w:sz w:val="16"/>
                <w:szCs w:val="16"/>
                <w:lang w:val="en-AU"/>
              </w:rPr>
            </w:pPr>
            <w:r w:rsidRPr="00AD43A0">
              <w:rPr>
                <w:sz w:val="16"/>
                <w:szCs w:val="16"/>
                <w:lang w:val="en-AU"/>
              </w:rPr>
              <w:t>52</w:t>
            </w:r>
          </w:p>
        </w:tc>
        <w:tc>
          <w:tcPr>
            <w:tcW w:w="1451" w:type="dxa"/>
            <w:shd w:val="clear" w:color="auto" w:fill="auto"/>
            <w:vAlign w:val="bottom"/>
          </w:tcPr>
          <w:p w14:paraId="3F4DE727" w14:textId="77777777" w:rsidR="00763417" w:rsidRPr="00AD43A0" w:rsidRDefault="00763417" w:rsidP="00A14AF3">
            <w:pPr>
              <w:tabs>
                <w:tab w:val="left" w:pos="567"/>
              </w:tabs>
              <w:overflowPunct w:val="0"/>
              <w:autoSpaceDE w:val="0"/>
              <w:autoSpaceDN w:val="0"/>
              <w:adjustRightInd w:val="0"/>
              <w:spacing w:after="240" w:line="264" w:lineRule="auto"/>
              <w:textAlignment w:val="baseline"/>
              <w:rPr>
                <w:sz w:val="16"/>
                <w:szCs w:val="16"/>
                <w:lang w:val="en-AU"/>
              </w:rPr>
            </w:pPr>
            <w:r w:rsidRPr="00AD43A0">
              <w:rPr>
                <w:sz w:val="16"/>
                <w:szCs w:val="16"/>
                <w:lang w:val="en-AU"/>
              </w:rPr>
              <w:t>51.9</w:t>
            </w:r>
          </w:p>
        </w:tc>
        <w:tc>
          <w:tcPr>
            <w:tcW w:w="1417" w:type="dxa"/>
            <w:shd w:val="clear" w:color="auto" w:fill="auto"/>
            <w:vAlign w:val="bottom"/>
          </w:tcPr>
          <w:p w14:paraId="2AA98D93" w14:textId="77777777" w:rsidR="00763417" w:rsidRPr="00AD43A0" w:rsidRDefault="00763417" w:rsidP="00A14AF3">
            <w:pPr>
              <w:tabs>
                <w:tab w:val="left" w:pos="567"/>
              </w:tabs>
              <w:overflowPunct w:val="0"/>
              <w:autoSpaceDE w:val="0"/>
              <w:autoSpaceDN w:val="0"/>
              <w:adjustRightInd w:val="0"/>
              <w:spacing w:after="240" w:line="264" w:lineRule="auto"/>
              <w:textAlignment w:val="baseline"/>
              <w:rPr>
                <w:sz w:val="16"/>
                <w:szCs w:val="16"/>
                <w:lang w:val="en-AU"/>
              </w:rPr>
            </w:pPr>
            <w:r w:rsidRPr="00AD43A0">
              <w:rPr>
                <w:sz w:val="16"/>
                <w:szCs w:val="16"/>
                <w:lang w:val="en-AU"/>
              </w:rPr>
              <w:t>21.5</w:t>
            </w:r>
          </w:p>
        </w:tc>
        <w:tc>
          <w:tcPr>
            <w:tcW w:w="1560" w:type="dxa"/>
            <w:vAlign w:val="center"/>
          </w:tcPr>
          <w:p w14:paraId="45A9020A" w14:textId="77777777" w:rsidR="00763417" w:rsidRPr="00AD43A0" w:rsidRDefault="00763417" w:rsidP="00A14AF3">
            <w:pPr>
              <w:tabs>
                <w:tab w:val="left" w:pos="567"/>
              </w:tabs>
              <w:overflowPunct w:val="0"/>
              <w:autoSpaceDE w:val="0"/>
              <w:autoSpaceDN w:val="0"/>
              <w:adjustRightInd w:val="0"/>
              <w:spacing w:after="240" w:line="264" w:lineRule="auto"/>
              <w:textAlignment w:val="baseline"/>
              <w:rPr>
                <w:sz w:val="16"/>
                <w:szCs w:val="16"/>
                <w:lang w:val="en-AU"/>
              </w:rPr>
            </w:pPr>
            <w:r w:rsidRPr="00AD43A0">
              <w:rPr>
                <w:sz w:val="16"/>
                <w:szCs w:val="16"/>
                <w:lang w:val="en-AU"/>
              </w:rPr>
              <w:t>3.94</w:t>
            </w:r>
            <w:r w:rsidRPr="00AD43A0">
              <w:rPr>
                <w:sz w:val="16"/>
                <w:szCs w:val="16"/>
                <w:vertAlign w:val="superscript"/>
                <w:lang w:val="en-AU"/>
              </w:rPr>
              <w:t>a</w:t>
            </w:r>
            <w:r w:rsidRPr="00AD43A0">
              <w:rPr>
                <w:sz w:val="16"/>
                <w:szCs w:val="16"/>
                <w:lang w:val="en-AU"/>
              </w:rPr>
              <w:t xml:space="preserve"> [2.37 ; 6.55]</w:t>
            </w:r>
          </w:p>
        </w:tc>
        <w:tc>
          <w:tcPr>
            <w:tcW w:w="992" w:type="dxa"/>
            <w:shd w:val="clear" w:color="auto" w:fill="auto"/>
            <w:vAlign w:val="bottom"/>
          </w:tcPr>
          <w:p w14:paraId="7FC017F7" w14:textId="77777777" w:rsidR="00763417" w:rsidRPr="00AD43A0" w:rsidRDefault="00763417" w:rsidP="00A14AF3">
            <w:pPr>
              <w:tabs>
                <w:tab w:val="left" w:pos="567"/>
              </w:tabs>
              <w:overflowPunct w:val="0"/>
              <w:autoSpaceDE w:val="0"/>
              <w:autoSpaceDN w:val="0"/>
              <w:adjustRightInd w:val="0"/>
              <w:spacing w:after="240" w:line="264" w:lineRule="auto"/>
              <w:textAlignment w:val="baseline"/>
              <w:rPr>
                <w:sz w:val="16"/>
                <w:szCs w:val="16"/>
                <w:lang w:val="en-AU"/>
              </w:rPr>
            </w:pPr>
            <w:r w:rsidRPr="00AD43A0">
              <w:rPr>
                <w:sz w:val="16"/>
                <w:szCs w:val="16"/>
                <w:lang w:val="en-AU"/>
              </w:rPr>
              <w:t>&lt;0.0001</w:t>
            </w:r>
          </w:p>
        </w:tc>
      </w:tr>
      <w:tr w:rsidR="00763417" w:rsidRPr="00AD43A0" w14:paraId="781BF763" w14:textId="77777777" w:rsidTr="00A14AF3">
        <w:trPr>
          <w:trHeight w:hRule="exact" w:val="369"/>
        </w:trPr>
        <w:tc>
          <w:tcPr>
            <w:tcW w:w="2268" w:type="dxa"/>
            <w:vMerge w:val="restart"/>
            <w:tcBorders>
              <w:bottom w:val="single" w:sz="4" w:space="0" w:color="auto"/>
            </w:tcBorders>
            <w:shd w:val="clear" w:color="auto" w:fill="auto"/>
            <w:vAlign w:val="center"/>
          </w:tcPr>
          <w:p w14:paraId="2ECBFD52" w14:textId="77777777" w:rsidR="00763417" w:rsidRPr="00AD43A0" w:rsidRDefault="00763417" w:rsidP="00A14AF3">
            <w:pPr>
              <w:overflowPunct w:val="0"/>
              <w:autoSpaceDE w:val="0"/>
              <w:autoSpaceDN w:val="0"/>
              <w:adjustRightInd w:val="0"/>
              <w:textAlignment w:val="baseline"/>
              <w:rPr>
                <w:b/>
                <w:sz w:val="16"/>
                <w:szCs w:val="16"/>
                <w:lang w:val="en-AU"/>
              </w:rPr>
            </w:pPr>
            <w:r w:rsidRPr="00AD43A0">
              <w:rPr>
                <w:b/>
                <w:sz w:val="16"/>
                <w:szCs w:val="16"/>
                <w:lang w:val="en-AU"/>
              </w:rPr>
              <w:t>Minor hypoglycaemic episodes (per patient year)</w:t>
            </w:r>
          </w:p>
        </w:tc>
        <w:tc>
          <w:tcPr>
            <w:tcW w:w="993" w:type="dxa"/>
            <w:shd w:val="clear" w:color="auto" w:fill="auto"/>
            <w:vAlign w:val="bottom"/>
          </w:tcPr>
          <w:p w14:paraId="62C1F121" w14:textId="77777777" w:rsidR="00763417" w:rsidRPr="00AD43A0" w:rsidRDefault="00763417" w:rsidP="00A14AF3">
            <w:pPr>
              <w:tabs>
                <w:tab w:val="left" w:pos="567"/>
              </w:tabs>
              <w:overflowPunct w:val="0"/>
              <w:autoSpaceDE w:val="0"/>
              <w:autoSpaceDN w:val="0"/>
              <w:adjustRightInd w:val="0"/>
              <w:spacing w:after="240" w:line="264" w:lineRule="auto"/>
              <w:textAlignment w:val="baseline"/>
              <w:rPr>
                <w:sz w:val="16"/>
                <w:szCs w:val="16"/>
                <w:lang w:val="en-AU"/>
              </w:rPr>
            </w:pPr>
            <w:r w:rsidRPr="00AD43A0">
              <w:rPr>
                <w:sz w:val="16"/>
                <w:szCs w:val="16"/>
                <w:lang w:val="en-AU"/>
              </w:rPr>
              <w:t>26</w:t>
            </w:r>
          </w:p>
        </w:tc>
        <w:tc>
          <w:tcPr>
            <w:tcW w:w="1451" w:type="dxa"/>
            <w:shd w:val="clear" w:color="auto" w:fill="auto"/>
            <w:vAlign w:val="bottom"/>
          </w:tcPr>
          <w:p w14:paraId="454C5D9F" w14:textId="77777777" w:rsidR="00763417" w:rsidRPr="00AD43A0" w:rsidRDefault="00763417" w:rsidP="00A14AF3">
            <w:pPr>
              <w:tabs>
                <w:tab w:val="left" w:pos="567"/>
              </w:tabs>
              <w:overflowPunct w:val="0"/>
              <w:autoSpaceDE w:val="0"/>
              <w:autoSpaceDN w:val="0"/>
              <w:adjustRightInd w:val="0"/>
              <w:spacing w:after="240" w:line="264" w:lineRule="auto"/>
              <w:textAlignment w:val="baseline"/>
              <w:rPr>
                <w:sz w:val="16"/>
                <w:szCs w:val="16"/>
                <w:lang w:val="en-AU"/>
              </w:rPr>
            </w:pPr>
            <w:r w:rsidRPr="00AD43A0">
              <w:rPr>
                <w:sz w:val="16"/>
                <w:szCs w:val="16"/>
                <w:lang w:val="en-AU"/>
              </w:rPr>
              <w:t>0.286</w:t>
            </w:r>
          </w:p>
        </w:tc>
        <w:tc>
          <w:tcPr>
            <w:tcW w:w="1417" w:type="dxa"/>
            <w:shd w:val="clear" w:color="auto" w:fill="auto"/>
            <w:vAlign w:val="bottom"/>
          </w:tcPr>
          <w:p w14:paraId="1DB0866A" w14:textId="77777777" w:rsidR="00763417" w:rsidRPr="00AD43A0" w:rsidRDefault="00763417" w:rsidP="00A14AF3">
            <w:pPr>
              <w:tabs>
                <w:tab w:val="left" w:pos="567"/>
              </w:tabs>
              <w:overflowPunct w:val="0"/>
              <w:autoSpaceDE w:val="0"/>
              <w:autoSpaceDN w:val="0"/>
              <w:adjustRightInd w:val="0"/>
              <w:spacing w:after="240" w:line="264" w:lineRule="auto"/>
              <w:textAlignment w:val="baseline"/>
              <w:rPr>
                <w:sz w:val="16"/>
                <w:szCs w:val="16"/>
                <w:lang w:val="en-AU"/>
              </w:rPr>
            </w:pPr>
            <w:r w:rsidRPr="00AD43A0">
              <w:rPr>
                <w:sz w:val="16"/>
                <w:szCs w:val="16"/>
                <w:lang w:val="en-AU"/>
              </w:rPr>
              <w:t>0.029</w:t>
            </w:r>
          </w:p>
        </w:tc>
        <w:tc>
          <w:tcPr>
            <w:tcW w:w="1560" w:type="dxa"/>
            <w:vAlign w:val="center"/>
          </w:tcPr>
          <w:p w14:paraId="18214855" w14:textId="77777777" w:rsidR="00763417" w:rsidRPr="00AD43A0" w:rsidRDefault="00763417" w:rsidP="00A14AF3">
            <w:pPr>
              <w:tabs>
                <w:tab w:val="left" w:pos="567"/>
              </w:tabs>
              <w:overflowPunct w:val="0"/>
              <w:autoSpaceDE w:val="0"/>
              <w:autoSpaceDN w:val="0"/>
              <w:adjustRightInd w:val="0"/>
              <w:spacing w:after="240" w:line="264" w:lineRule="auto"/>
              <w:textAlignment w:val="baseline"/>
              <w:rPr>
                <w:sz w:val="16"/>
                <w:szCs w:val="16"/>
                <w:lang w:val="en-AU"/>
              </w:rPr>
            </w:pPr>
            <w:r w:rsidRPr="00AD43A0">
              <w:rPr>
                <w:sz w:val="16"/>
                <w:szCs w:val="16"/>
                <w:lang w:val="en-AU"/>
              </w:rPr>
              <w:t>9.91</w:t>
            </w:r>
            <w:r w:rsidRPr="00AD43A0">
              <w:rPr>
                <w:sz w:val="16"/>
                <w:szCs w:val="16"/>
                <w:vertAlign w:val="superscript"/>
                <w:lang w:val="en-AU"/>
              </w:rPr>
              <w:t>b</w:t>
            </w:r>
            <w:r w:rsidRPr="00AD43A0">
              <w:rPr>
                <w:sz w:val="16"/>
                <w:szCs w:val="16"/>
                <w:lang w:val="en-AU"/>
              </w:rPr>
              <w:t xml:space="preserve"> [2.11 ; 46.62]</w:t>
            </w:r>
          </w:p>
        </w:tc>
        <w:tc>
          <w:tcPr>
            <w:tcW w:w="992" w:type="dxa"/>
            <w:shd w:val="clear" w:color="auto" w:fill="auto"/>
            <w:vAlign w:val="bottom"/>
          </w:tcPr>
          <w:p w14:paraId="4FE0A4B8" w14:textId="77777777" w:rsidR="00763417" w:rsidRPr="00AD43A0" w:rsidRDefault="00763417" w:rsidP="00A14AF3">
            <w:pPr>
              <w:tabs>
                <w:tab w:val="left" w:pos="567"/>
              </w:tabs>
              <w:overflowPunct w:val="0"/>
              <w:autoSpaceDE w:val="0"/>
              <w:autoSpaceDN w:val="0"/>
              <w:adjustRightInd w:val="0"/>
              <w:spacing w:after="240" w:line="264" w:lineRule="auto"/>
              <w:textAlignment w:val="baseline"/>
              <w:rPr>
                <w:sz w:val="16"/>
                <w:szCs w:val="16"/>
                <w:lang w:val="en-AU"/>
              </w:rPr>
            </w:pPr>
            <w:r w:rsidRPr="00AD43A0">
              <w:rPr>
                <w:sz w:val="16"/>
                <w:szCs w:val="16"/>
                <w:lang w:val="en-AU"/>
              </w:rPr>
              <w:t>0.0037</w:t>
            </w:r>
          </w:p>
        </w:tc>
      </w:tr>
      <w:tr w:rsidR="00763417" w:rsidRPr="00AD43A0" w14:paraId="5B5A7A5F" w14:textId="77777777" w:rsidTr="00A14AF3">
        <w:trPr>
          <w:trHeight w:hRule="exact" w:val="369"/>
        </w:trPr>
        <w:tc>
          <w:tcPr>
            <w:tcW w:w="2268" w:type="dxa"/>
            <w:vMerge/>
            <w:tcBorders>
              <w:bottom w:val="single" w:sz="4" w:space="0" w:color="auto"/>
            </w:tcBorders>
            <w:shd w:val="clear" w:color="auto" w:fill="auto"/>
          </w:tcPr>
          <w:p w14:paraId="63EE9B48" w14:textId="77777777" w:rsidR="00763417" w:rsidRPr="00AD43A0" w:rsidRDefault="00763417" w:rsidP="00A14AF3">
            <w:pPr>
              <w:overflowPunct w:val="0"/>
              <w:autoSpaceDE w:val="0"/>
              <w:autoSpaceDN w:val="0"/>
              <w:adjustRightInd w:val="0"/>
              <w:textAlignment w:val="baseline"/>
              <w:rPr>
                <w:sz w:val="16"/>
                <w:szCs w:val="16"/>
                <w:lang w:val="en-AU"/>
              </w:rPr>
            </w:pPr>
          </w:p>
        </w:tc>
        <w:tc>
          <w:tcPr>
            <w:tcW w:w="993" w:type="dxa"/>
            <w:tcBorders>
              <w:bottom w:val="single" w:sz="4" w:space="0" w:color="auto"/>
            </w:tcBorders>
            <w:shd w:val="clear" w:color="auto" w:fill="auto"/>
            <w:vAlign w:val="bottom"/>
          </w:tcPr>
          <w:p w14:paraId="53C7FED5" w14:textId="77777777" w:rsidR="00763417" w:rsidRPr="00AD43A0" w:rsidRDefault="00763417" w:rsidP="00A14AF3">
            <w:pPr>
              <w:tabs>
                <w:tab w:val="left" w:pos="567"/>
              </w:tabs>
              <w:overflowPunct w:val="0"/>
              <w:autoSpaceDE w:val="0"/>
              <w:autoSpaceDN w:val="0"/>
              <w:adjustRightInd w:val="0"/>
              <w:spacing w:after="240" w:line="264" w:lineRule="auto"/>
              <w:textAlignment w:val="baseline"/>
              <w:rPr>
                <w:sz w:val="16"/>
                <w:szCs w:val="16"/>
                <w:lang w:val="en-AU"/>
              </w:rPr>
            </w:pPr>
            <w:r w:rsidRPr="00AD43A0">
              <w:rPr>
                <w:sz w:val="16"/>
                <w:szCs w:val="16"/>
                <w:lang w:val="en-AU"/>
              </w:rPr>
              <w:t>52</w:t>
            </w:r>
          </w:p>
        </w:tc>
        <w:tc>
          <w:tcPr>
            <w:tcW w:w="1451" w:type="dxa"/>
            <w:tcBorders>
              <w:bottom w:val="single" w:sz="4" w:space="0" w:color="auto"/>
            </w:tcBorders>
            <w:shd w:val="clear" w:color="auto" w:fill="auto"/>
            <w:vAlign w:val="bottom"/>
          </w:tcPr>
          <w:p w14:paraId="3A881DE0" w14:textId="77777777" w:rsidR="00763417" w:rsidRPr="00AD43A0" w:rsidRDefault="00763417" w:rsidP="00A14AF3">
            <w:pPr>
              <w:tabs>
                <w:tab w:val="left" w:pos="567"/>
              </w:tabs>
              <w:overflowPunct w:val="0"/>
              <w:autoSpaceDE w:val="0"/>
              <w:autoSpaceDN w:val="0"/>
              <w:adjustRightInd w:val="0"/>
              <w:spacing w:after="240" w:line="264" w:lineRule="auto"/>
              <w:textAlignment w:val="baseline"/>
              <w:rPr>
                <w:sz w:val="16"/>
                <w:szCs w:val="16"/>
                <w:lang w:val="en-AU"/>
              </w:rPr>
            </w:pPr>
            <w:r w:rsidRPr="00AD43A0">
              <w:rPr>
                <w:sz w:val="16"/>
                <w:szCs w:val="16"/>
                <w:lang w:val="en-AU"/>
              </w:rPr>
              <w:t>0.228</w:t>
            </w:r>
          </w:p>
        </w:tc>
        <w:tc>
          <w:tcPr>
            <w:tcW w:w="1417" w:type="dxa"/>
            <w:tcBorders>
              <w:bottom w:val="single" w:sz="4" w:space="0" w:color="auto"/>
            </w:tcBorders>
            <w:shd w:val="clear" w:color="auto" w:fill="auto"/>
            <w:vAlign w:val="bottom"/>
          </w:tcPr>
          <w:p w14:paraId="12EEF4D1" w14:textId="77777777" w:rsidR="00763417" w:rsidRPr="00AD43A0" w:rsidRDefault="00763417" w:rsidP="00A14AF3">
            <w:pPr>
              <w:tabs>
                <w:tab w:val="left" w:pos="567"/>
              </w:tabs>
              <w:overflowPunct w:val="0"/>
              <w:autoSpaceDE w:val="0"/>
              <w:autoSpaceDN w:val="0"/>
              <w:adjustRightInd w:val="0"/>
              <w:spacing w:after="240" w:line="264" w:lineRule="auto"/>
              <w:textAlignment w:val="baseline"/>
              <w:rPr>
                <w:sz w:val="16"/>
                <w:szCs w:val="16"/>
                <w:lang w:val="en-AU"/>
              </w:rPr>
            </w:pPr>
            <w:r w:rsidRPr="00AD43A0">
              <w:rPr>
                <w:sz w:val="16"/>
                <w:szCs w:val="16"/>
                <w:lang w:val="en-AU"/>
              </w:rPr>
              <w:t>0.034</w:t>
            </w:r>
          </w:p>
        </w:tc>
        <w:tc>
          <w:tcPr>
            <w:tcW w:w="1560" w:type="dxa"/>
            <w:tcBorders>
              <w:bottom w:val="single" w:sz="4" w:space="0" w:color="auto"/>
            </w:tcBorders>
            <w:vAlign w:val="center"/>
          </w:tcPr>
          <w:p w14:paraId="7432B29D" w14:textId="77777777" w:rsidR="00763417" w:rsidRPr="00AD43A0" w:rsidRDefault="00763417" w:rsidP="00A14AF3">
            <w:pPr>
              <w:tabs>
                <w:tab w:val="left" w:pos="567"/>
              </w:tabs>
              <w:overflowPunct w:val="0"/>
              <w:autoSpaceDE w:val="0"/>
              <w:autoSpaceDN w:val="0"/>
              <w:adjustRightInd w:val="0"/>
              <w:spacing w:after="240" w:line="264" w:lineRule="auto"/>
              <w:textAlignment w:val="baseline"/>
              <w:rPr>
                <w:sz w:val="16"/>
                <w:szCs w:val="16"/>
                <w:lang w:val="en-AU"/>
              </w:rPr>
            </w:pPr>
            <w:r w:rsidRPr="00AD43A0">
              <w:rPr>
                <w:sz w:val="16"/>
                <w:szCs w:val="16"/>
                <w:lang w:val="en-AU"/>
              </w:rPr>
              <w:t>6.80</w:t>
            </w:r>
            <w:r w:rsidRPr="00AD43A0">
              <w:rPr>
                <w:sz w:val="16"/>
                <w:szCs w:val="16"/>
                <w:vertAlign w:val="superscript"/>
                <w:lang w:val="en-AU"/>
              </w:rPr>
              <w:t>b</w:t>
            </w:r>
            <w:r w:rsidRPr="00AD43A0">
              <w:rPr>
                <w:sz w:val="16"/>
                <w:szCs w:val="16"/>
                <w:lang w:val="en-AU"/>
              </w:rPr>
              <w:t xml:space="preserve"> [0.78 ; 8.97]</w:t>
            </w:r>
          </w:p>
        </w:tc>
        <w:tc>
          <w:tcPr>
            <w:tcW w:w="992" w:type="dxa"/>
            <w:tcBorders>
              <w:bottom w:val="single" w:sz="4" w:space="0" w:color="auto"/>
            </w:tcBorders>
            <w:shd w:val="clear" w:color="auto" w:fill="auto"/>
            <w:vAlign w:val="bottom"/>
          </w:tcPr>
          <w:p w14:paraId="57FB362E" w14:textId="77777777" w:rsidR="00763417" w:rsidRPr="00AD43A0" w:rsidRDefault="00763417" w:rsidP="00A14AF3">
            <w:pPr>
              <w:tabs>
                <w:tab w:val="left" w:pos="567"/>
              </w:tabs>
              <w:overflowPunct w:val="0"/>
              <w:autoSpaceDE w:val="0"/>
              <w:autoSpaceDN w:val="0"/>
              <w:adjustRightInd w:val="0"/>
              <w:spacing w:after="240" w:line="264" w:lineRule="auto"/>
              <w:textAlignment w:val="baseline"/>
              <w:rPr>
                <w:sz w:val="16"/>
                <w:szCs w:val="16"/>
                <w:lang w:val="en-AU"/>
              </w:rPr>
            </w:pPr>
            <w:r w:rsidRPr="00AD43A0">
              <w:rPr>
                <w:sz w:val="16"/>
                <w:szCs w:val="16"/>
                <w:lang w:val="en-AU"/>
              </w:rPr>
              <w:t>0.0011</w:t>
            </w:r>
          </w:p>
        </w:tc>
      </w:tr>
    </w:tbl>
    <w:p w14:paraId="530D65E5" w14:textId="3C1AE30E" w:rsidR="00763417" w:rsidRDefault="00763417" w:rsidP="00416832">
      <w:pPr>
        <w:jc w:val="both"/>
        <w:rPr>
          <w:noProof/>
          <w:sz w:val="22"/>
          <w:szCs w:val="22"/>
        </w:rPr>
      </w:pPr>
      <w:proofErr w:type="spellStart"/>
      <w:proofErr w:type="gramStart"/>
      <w:r w:rsidRPr="00AD43A0">
        <w:rPr>
          <w:i/>
          <w:sz w:val="16"/>
          <w:szCs w:val="16"/>
          <w:vertAlign w:val="superscript"/>
        </w:rPr>
        <w:t>a</w:t>
      </w:r>
      <w:r w:rsidRPr="00AD43A0">
        <w:rPr>
          <w:i/>
          <w:sz w:val="16"/>
          <w:szCs w:val="16"/>
        </w:rPr>
        <w:t>Odds</w:t>
      </w:r>
      <w:proofErr w:type="spellEnd"/>
      <w:proofErr w:type="gramEnd"/>
      <w:r w:rsidRPr="00AD43A0">
        <w:rPr>
          <w:i/>
          <w:sz w:val="16"/>
          <w:szCs w:val="16"/>
        </w:rPr>
        <w:t xml:space="preserve"> ratio; </w:t>
      </w:r>
      <w:proofErr w:type="spellStart"/>
      <w:r w:rsidRPr="00AD43A0">
        <w:rPr>
          <w:i/>
          <w:sz w:val="16"/>
          <w:szCs w:val="16"/>
          <w:vertAlign w:val="superscript"/>
        </w:rPr>
        <w:t>b</w:t>
      </w:r>
      <w:r w:rsidRPr="00AD43A0">
        <w:rPr>
          <w:i/>
          <w:sz w:val="16"/>
          <w:szCs w:val="16"/>
        </w:rPr>
        <w:t>Rate</w:t>
      </w:r>
      <w:proofErr w:type="spellEnd"/>
      <w:r w:rsidRPr="00AD43A0">
        <w:rPr>
          <w:i/>
          <w:sz w:val="16"/>
          <w:szCs w:val="16"/>
        </w:rPr>
        <w:t xml:space="preserve"> ratio</w:t>
      </w:r>
    </w:p>
    <w:p w14:paraId="440AF342" w14:textId="77777777" w:rsidR="00763417" w:rsidRDefault="00763417" w:rsidP="00416832">
      <w:pPr>
        <w:jc w:val="both"/>
        <w:rPr>
          <w:noProof/>
          <w:sz w:val="22"/>
          <w:szCs w:val="22"/>
        </w:rPr>
      </w:pPr>
    </w:p>
    <w:p w14:paraId="7323087C" w14:textId="78B822BC" w:rsidR="00763417" w:rsidRDefault="00763417" w:rsidP="00416832">
      <w:pPr>
        <w:jc w:val="both"/>
        <w:rPr>
          <w:noProof/>
          <w:sz w:val="22"/>
          <w:szCs w:val="22"/>
        </w:rPr>
      </w:pPr>
      <w:r w:rsidRPr="00686E2C">
        <w:rPr>
          <w:sz w:val="22"/>
          <w:szCs w:val="22"/>
        </w:rPr>
        <w:t xml:space="preserve">Another 26-week double-blind randomised trial (Trial 3917) investigated the efficacy and safety of </w:t>
      </w:r>
      <w:r w:rsidRPr="00686E2C">
        <w:rPr>
          <w:bCs/>
          <w:iCs/>
          <w:sz w:val="22"/>
          <w:szCs w:val="22"/>
        </w:rPr>
        <w:t xml:space="preserve">Victoza </w:t>
      </w:r>
      <w:r w:rsidRPr="00686E2C">
        <w:rPr>
          <w:sz w:val="22"/>
          <w:szCs w:val="22"/>
        </w:rPr>
        <w:t xml:space="preserve">1.8 mg versus placebo in patients with type 2 diabetes inadequately controlled on basal insulin (insulin glargine or insulin </w:t>
      </w:r>
      <w:proofErr w:type="spellStart"/>
      <w:r w:rsidRPr="00686E2C">
        <w:rPr>
          <w:sz w:val="22"/>
          <w:szCs w:val="22"/>
        </w:rPr>
        <w:t>detemir</w:t>
      </w:r>
      <w:proofErr w:type="spellEnd"/>
      <w:r w:rsidRPr="00686E2C">
        <w:rPr>
          <w:sz w:val="22"/>
          <w:szCs w:val="22"/>
        </w:rPr>
        <w:t>) with or without metformin (N=450, mean HbA</w:t>
      </w:r>
      <w:r w:rsidRPr="00686E2C">
        <w:rPr>
          <w:sz w:val="22"/>
          <w:szCs w:val="22"/>
          <w:vertAlign w:val="subscript"/>
        </w:rPr>
        <w:t>1c</w:t>
      </w:r>
      <w:r w:rsidRPr="00686E2C">
        <w:rPr>
          <w:sz w:val="22"/>
          <w:szCs w:val="22"/>
        </w:rPr>
        <w:t xml:space="preserve"> 8.3%). The insulin dose was reduced by 20% for patients with baseline HbA</w:t>
      </w:r>
      <w:r w:rsidRPr="00A73FA0">
        <w:rPr>
          <w:sz w:val="22"/>
          <w:szCs w:val="22"/>
          <w:vertAlign w:val="subscript"/>
        </w:rPr>
        <w:t>1</w:t>
      </w:r>
      <w:r w:rsidRPr="00686E2C">
        <w:rPr>
          <w:sz w:val="22"/>
          <w:szCs w:val="22"/>
          <w:vertAlign w:val="subscript"/>
        </w:rPr>
        <w:t>c</w:t>
      </w:r>
      <w:r w:rsidRPr="00686E2C">
        <w:rPr>
          <w:sz w:val="22"/>
          <w:szCs w:val="22"/>
        </w:rPr>
        <w:t xml:space="preserve"> ≤8.0% in order to </w:t>
      </w:r>
      <w:proofErr w:type="spellStart"/>
      <w:r w:rsidRPr="00686E2C">
        <w:rPr>
          <w:sz w:val="22"/>
          <w:szCs w:val="22"/>
        </w:rPr>
        <w:t>minimise</w:t>
      </w:r>
      <w:proofErr w:type="spellEnd"/>
      <w:r w:rsidRPr="00686E2C">
        <w:rPr>
          <w:sz w:val="22"/>
          <w:szCs w:val="22"/>
        </w:rPr>
        <w:t xml:space="preserve"> the risk of </w:t>
      </w:r>
      <w:proofErr w:type="spellStart"/>
      <w:r w:rsidRPr="00686E2C">
        <w:rPr>
          <w:sz w:val="22"/>
          <w:szCs w:val="22"/>
        </w:rPr>
        <w:t>hypoglycaemia</w:t>
      </w:r>
      <w:proofErr w:type="spellEnd"/>
      <w:r w:rsidRPr="00686E2C">
        <w:rPr>
          <w:sz w:val="22"/>
          <w:szCs w:val="22"/>
        </w:rPr>
        <w:t>. Patients were allowed to up-</w:t>
      </w:r>
      <w:proofErr w:type="gramStart"/>
      <w:r w:rsidRPr="00686E2C">
        <w:rPr>
          <w:sz w:val="22"/>
          <w:szCs w:val="22"/>
        </w:rPr>
        <w:t>titrate</w:t>
      </w:r>
      <w:proofErr w:type="gramEnd"/>
      <w:r w:rsidRPr="00686E2C">
        <w:rPr>
          <w:sz w:val="22"/>
          <w:szCs w:val="22"/>
        </w:rPr>
        <w:t xml:space="preserve"> their insulin dose to no higher than the pre-</w:t>
      </w:r>
      <w:proofErr w:type="spellStart"/>
      <w:r w:rsidRPr="00686E2C">
        <w:rPr>
          <w:sz w:val="22"/>
          <w:szCs w:val="22"/>
        </w:rPr>
        <w:t>randomisation</w:t>
      </w:r>
      <w:proofErr w:type="spellEnd"/>
      <w:r w:rsidRPr="00686E2C">
        <w:rPr>
          <w:sz w:val="22"/>
          <w:szCs w:val="22"/>
        </w:rPr>
        <w:t xml:space="preserve"> dose. Mean basal insulin dose at baseline for both arms was 40.5 U. </w:t>
      </w:r>
      <w:r w:rsidRPr="00686E2C">
        <w:rPr>
          <w:bCs/>
          <w:iCs/>
          <w:sz w:val="22"/>
          <w:szCs w:val="22"/>
        </w:rPr>
        <w:t xml:space="preserve">Victoza </w:t>
      </w:r>
      <w:r w:rsidRPr="00686E2C">
        <w:rPr>
          <w:sz w:val="22"/>
          <w:szCs w:val="22"/>
        </w:rPr>
        <w:t>was statistically superior to placebo treatment in reducing HbA</w:t>
      </w:r>
      <w:r w:rsidRPr="00686E2C">
        <w:rPr>
          <w:sz w:val="22"/>
          <w:szCs w:val="22"/>
          <w:vertAlign w:val="subscript"/>
        </w:rPr>
        <w:t>1c</w:t>
      </w:r>
      <w:r w:rsidRPr="00686E2C">
        <w:rPr>
          <w:sz w:val="22"/>
          <w:szCs w:val="22"/>
        </w:rPr>
        <w:t xml:space="preserve"> after 26 weeks (-1.30% for </w:t>
      </w:r>
      <w:r w:rsidRPr="00686E2C">
        <w:rPr>
          <w:bCs/>
          <w:iCs/>
          <w:sz w:val="22"/>
          <w:szCs w:val="22"/>
        </w:rPr>
        <w:t>Victoza</w:t>
      </w:r>
      <w:r w:rsidRPr="00686E2C">
        <w:rPr>
          <w:sz w:val="22"/>
          <w:szCs w:val="22"/>
        </w:rPr>
        <w:t xml:space="preserve"> vs -0.11% for placebo; estimated treatment difference: -1.19%; 95% CI: -1.39 to -0.99). Patients treated with </w:t>
      </w:r>
      <w:r w:rsidRPr="00686E2C">
        <w:rPr>
          <w:bCs/>
          <w:iCs/>
          <w:sz w:val="22"/>
          <w:szCs w:val="22"/>
        </w:rPr>
        <w:t xml:space="preserve">Victoza </w:t>
      </w:r>
      <w:r w:rsidRPr="00686E2C">
        <w:rPr>
          <w:sz w:val="22"/>
          <w:szCs w:val="22"/>
        </w:rPr>
        <w:t>had a significant decrease in body weight compared to placebo (-3.54 kg vs -0.42 kg, estimated treatment difference -3.11 kg; 95% CI: -3.85 to -2.37). Significantly more patients achieved HbA</w:t>
      </w:r>
      <w:r w:rsidRPr="00686E2C">
        <w:rPr>
          <w:sz w:val="22"/>
          <w:szCs w:val="22"/>
          <w:vertAlign w:val="subscript"/>
        </w:rPr>
        <w:t>1c</w:t>
      </w:r>
      <w:r w:rsidRPr="00686E2C">
        <w:rPr>
          <w:sz w:val="22"/>
          <w:szCs w:val="22"/>
        </w:rPr>
        <w:t xml:space="preserve"> below 7% with </w:t>
      </w:r>
      <w:r w:rsidRPr="00686E2C">
        <w:rPr>
          <w:bCs/>
          <w:iCs/>
          <w:sz w:val="22"/>
          <w:szCs w:val="22"/>
        </w:rPr>
        <w:t xml:space="preserve">Victoza </w:t>
      </w:r>
      <w:r w:rsidRPr="00686E2C">
        <w:rPr>
          <w:sz w:val="22"/>
          <w:szCs w:val="22"/>
        </w:rPr>
        <w:t xml:space="preserve">compared with placebo (59.2% vs 14.0%). More patients with </w:t>
      </w:r>
      <w:r w:rsidRPr="00686E2C">
        <w:rPr>
          <w:bCs/>
          <w:iCs/>
          <w:sz w:val="22"/>
          <w:szCs w:val="22"/>
        </w:rPr>
        <w:t xml:space="preserve">Victoza </w:t>
      </w:r>
      <w:r w:rsidRPr="00686E2C">
        <w:rPr>
          <w:sz w:val="22"/>
          <w:szCs w:val="22"/>
        </w:rPr>
        <w:t>achieved HbA</w:t>
      </w:r>
      <w:r w:rsidRPr="00686E2C">
        <w:rPr>
          <w:sz w:val="22"/>
          <w:szCs w:val="22"/>
          <w:vertAlign w:val="subscript"/>
        </w:rPr>
        <w:t>1c</w:t>
      </w:r>
      <w:r>
        <w:rPr>
          <w:sz w:val="22"/>
          <w:szCs w:val="22"/>
        </w:rPr>
        <w:t xml:space="preserve"> &lt;7% </w:t>
      </w:r>
      <w:r w:rsidRPr="00686E2C">
        <w:rPr>
          <w:sz w:val="22"/>
          <w:szCs w:val="22"/>
        </w:rPr>
        <w:t xml:space="preserve">with no weight gain and no </w:t>
      </w:r>
      <w:proofErr w:type="spellStart"/>
      <w:r w:rsidRPr="00686E2C">
        <w:rPr>
          <w:sz w:val="22"/>
          <w:szCs w:val="22"/>
        </w:rPr>
        <w:t>hypoglycaemic</w:t>
      </w:r>
      <w:proofErr w:type="spellEnd"/>
      <w:r w:rsidRPr="00686E2C">
        <w:rPr>
          <w:sz w:val="22"/>
          <w:szCs w:val="22"/>
        </w:rPr>
        <w:t xml:space="preserve"> episodes (41.5%) than with placebo (8.6%). Treatment with </w:t>
      </w:r>
      <w:r w:rsidRPr="00686E2C">
        <w:rPr>
          <w:bCs/>
          <w:iCs/>
          <w:sz w:val="22"/>
          <w:szCs w:val="22"/>
        </w:rPr>
        <w:t xml:space="preserve">Victoza </w:t>
      </w:r>
      <w:r w:rsidRPr="00686E2C">
        <w:rPr>
          <w:sz w:val="22"/>
          <w:szCs w:val="22"/>
        </w:rPr>
        <w:t xml:space="preserve">reduced the daily need for insulin compared to placebo (35.82 U vs 40.05 U). The proportion of patients with minor </w:t>
      </w:r>
      <w:proofErr w:type="spellStart"/>
      <w:r w:rsidRPr="00686E2C">
        <w:rPr>
          <w:sz w:val="22"/>
          <w:szCs w:val="22"/>
        </w:rPr>
        <w:t>hypoglycaemic</w:t>
      </w:r>
      <w:proofErr w:type="spellEnd"/>
      <w:r w:rsidRPr="00686E2C">
        <w:rPr>
          <w:sz w:val="22"/>
          <w:szCs w:val="22"/>
        </w:rPr>
        <w:t xml:space="preserve"> episodes was significantly higher when adding </w:t>
      </w:r>
      <w:r w:rsidRPr="00686E2C">
        <w:rPr>
          <w:bCs/>
          <w:iCs/>
          <w:sz w:val="22"/>
          <w:szCs w:val="22"/>
        </w:rPr>
        <w:t xml:space="preserve">Victoza </w:t>
      </w:r>
      <w:r w:rsidRPr="00686E2C">
        <w:rPr>
          <w:sz w:val="22"/>
          <w:szCs w:val="22"/>
        </w:rPr>
        <w:t xml:space="preserve">compared to placebo (18.2% vs 12.4%; 1.26 vs 0.83 events per patient year of exposure). No severe </w:t>
      </w:r>
      <w:proofErr w:type="spellStart"/>
      <w:r w:rsidRPr="00686E2C">
        <w:rPr>
          <w:sz w:val="22"/>
          <w:szCs w:val="22"/>
        </w:rPr>
        <w:t>hypoglycaemic</w:t>
      </w:r>
      <w:proofErr w:type="spellEnd"/>
      <w:r w:rsidRPr="00686E2C">
        <w:rPr>
          <w:sz w:val="22"/>
          <w:szCs w:val="22"/>
        </w:rPr>
        <w:t xml:space="preserve"> episodes were reported in the trial. The safety profile of </w:t>
      </w:r>
      <w:r w:rsidRPr="00686E2C">
        <w:rPr>
          <w:bCs/>
          <w:iCs/>
          <w:sz w:val="22"/>
          <w:szCs w:val="22"/>
        </w:rPr>
        <w:t xml:space="preserve">Victoza </w:t>
      </w:r>
      <w:r w:rsidRPr="00686E2C">
        <w:rPr>
          <w:sz w:val="22"/>
          <w:szCs w:val="22"/>
        </w:rPr>
        <w:t xml:space="preserve">was generally similar to that observed in other studies with </w:t>
      </w:r>
      <w:r>
        <w:rPr>
          <w:sz w:val="22"/>
          <w:szCs w:val="22"/>
        </w:rPr>
        <w:t>Victoza</w:t>
      </w:r>
      <w:r w:rsidRPr="00686E2C">
        <w:rPr>
          <w:sz w:val="22"/>
          <w:szCs w:val="22"/>
        </w:rPr>
        <w:t>.</w:t>
      </w:r>
    </w:p>
    <w:p w14:paraId="6E856DAB" w14:textId="77777777" w:rsidR="00763417" w:rsidRDefault="00763417" w:rsidP="00416832">
      <w:pPr>
        <w:jc w:val="both"/>
        <w:rPr>
          <w:noProof/>
          <w:sz w:val="22"/>
          <w:szCs w:val="22"/>
        </w:rPr>
      </w:pPr>
    </w:p>
    <w:p w14:paraId="52DCC4D3" w14:textId="77777777" w:rsidR="00763417" w:rsidRPr="00763417" w:rsidRDefault="00763417" w:rsidP="00763417">
      <w:pPr>
        <w:rPr>
          <w:b/>
          <w:bCs/>
          <w:iCs/>
          <w:sz w:val="22"/>
          <w:szCs w:val="22"/>
          <w:u w:val="single"/>
        </w:rPr>
      </w:pPr>
      <w:r w:rsidRPr="00763417">
        <w:rPr>
          <w:b/>
          <w:sz w:val="22"/>
          <w:szCs w:val="22"/>
          <w:u w:val="single"/>
        </w:rPr>
        <w:t xml:space="preserve">C. </w:t>
      </w:r>
      <w:proofErr w:type="spellStart"/>
      <w:r w:rsidRPr="00763417">
        <w:rPr>
          <w:b/>
          <w:sz w:val="22"/>
          <w:szCs w:val="22"/>
          <w:u w:val="single"/>
        </w:rPr>
        <w:t>Glycaemic</w:t>
      </w:r>
      <w:proofErr w:type="spellEnd"/>
      <w:r w:rsidRPr="00763417">
        <w:rPr>
          <w:b/>
          <w:sz w:val="22"/>
          <w:szCs w:val="22"/>
          <w:u w:val="single"/>
        </w:rPr>
        <w:t xml:space="preserve"> control across trials</w:t>
      </w:r>
    </w:p>
    <w:p w14:paraId="7A77AEA9" w14:textId="77777777" w:rsidR="00763417" w:rsidRPr="00763417" w:rsidRDefault="00763417" w:rsidP="00763417">
      <w:pPr>
        <w:rPr>
          <w:noProof/>
          <w:u w:val="single"/>
          <w:vertAlign w:val="subscript"/>
        </w:rPr>
      </w:pPr>
      <w:r w:rsidRPr="00763417">
        <w:rPr>
          <w:noProof/>
          <w:sz w:val="22"/>
          <w:szCs w:val="22"/>
          <w:u w:val="single"/>
        </w:rPr>
        <w:t>C.i. HbA</w:t>
      </w:r>
      <w:r w:rsidRPr="00763417">
        <w:rPr>
          <w:noProof/>
          <w:sz w:val="22"/>
          <w:szCs w:val="22"/>
          <w:u w:val="single"/>
          <w:vertAlign w:val="subscript"/>
        </w:rPr>
        <w:t>1c</w:t>
      </w:r>
    </w:p>
    <w:p w14:paraId="0FCD344E" w14:textId="5C748BB2" w:rsidR="00763417" w:rsidRDefault="00763417" w:rsidP="00763417">
      <w:pPr>
        <w:jc w:val="both"/>
        <w:rPr>
          <w:noProof/>
          <w:sz w:val="22"/>
          <w:szCs w:val="22"/>
        </w:rPr>
      </w:pPr>
      <w:r w:rsidRPr="007D2EB5">
        <w:rPr>
          <w:sz w:val="22"/>
          <w:szCs w:val="22"/>
        </w:rPr>
        <w:t>Victoza monotherapy for 52 weeks resulted in statistically significant (p≤0.0014) and sustained reductions in HbA</w:t>
      </w:r>
      <w:r w:rsidRPr="007D2EB5">
        <w:rPr>
          <w:sz w:val="22"/>
          <w:szCs w:val="22"/>
          <w:vertAlign w:val="subscript"/>
        </w:rPr>
        <w:t>1c</w:t>
      </w:r>
      <w:r w:rsidRPr="007D2EB5">
        <w:rPr>
          <w:sz w:val="22"/>
          <w:szCs w:val="22"/>
        </w:rPr>
        <w:t xml:space="preserve"> compared with patients receiving glimepiride (Figure 4). </w:t>
      </w:r>
      <w:r w:rsidRPr="007D2EB5">
        <w:rPr>
          <w:noProof/>
          <w:sz w:val="22"/>
          <w:szCs w:val="22"/>
        </w:rPr>
        <w:t>Victoza</w:t>
      </w:r>
      <w:r w:rsidRPr="007D2EB5">
        <w:rPr>
          <w:bCs/>
          <w:iCs/>
          <w:sz w:val="22"/>
          <w:szCs w:val="22"/>
        </w:rPr>
        <w:t xml:space="preserve"> in combination therapy for 26 weeks with metformin or a sulfonylurea resulted in statistically significant (p &lt;0.001) and sustained reductions in HbA</w:t>
      </w:r>
      <w:r w:rsidRPr="007D2EB5">
        <w:rPr>
          <w:bCs/>
          <w:iCs/>
          <w:sz w:val="22"/>
          <w:szCs w:val="22"/>
          <w:vertAlign w:val="subscript"/>
        </w:rPr>
        <w:t>1c</w:t>
      </w:r>
      <w:r w:rsidRPr="007D2EB5">
        <w:rPr>
          <w:bCs/>
          <w:iCs/>
          <w:sz w:val="22"/>
          <w:szCs w:val="22"/>
        </w:rPr>
        <w:t xml:space="preserve"> compared with </w:t>
      </w:r>
      <w:r w:rsidRPr="007D2EB5">
        <w:rPr>
          <w:sz w:val="22"/>
          <w:szCs w:val="22"/>
        </w:rPr>
        <w:t>subject</w:t>
      </w:r>
      <w:r w:rsidRPr="007D2EB5">
        <w:rPr>
          <w:bCs/>
          <w:iCs/>
          <w:sz w:val="22"/>
          <w:szCs w:val="22"/>
        </w:rPr>
        <w:t>s in the placebo comparator groups (Figure 4).</w:t>
      </w:r>
    </w:p>
    <w:p w14:paraId="1785E60E" w14:textId="77777777" w:rsidR="00763417" w:rsidRDefault="00763417" w:rsidP="00416832">
      <w:pPr>
        <w:jc w:val="both"/>
        <w:rPr>
          <w:noProof/>
          <w:sz w:val="22"/>
          <w:szCs w:val="22"/>
        </w:rPr>
      </w:pPr>
    </w:p>
    <w:p w14:paraId="644157F5" w14:textId="4C9C29D2" w:rsidR="00763417" w:rsidRDefault="00763417" w:rsidP="00416832">
      <w:pPr>
        <w:jc w:val="both"/>
        <w:rPr>
          <w:noProof/>
          <w:sz w:val="22"/>
          <w:szCs w:val="22"/>
        </w:rPr>
      </w:pPr>
      <w:r w:rsidRPr="007D2EB5">
        <w:rPr>
          <w:bCs/>
          <w:iCs/>
          <w:sz w:val="22"/>
          <w:szCs w:val="22"/>
        </w:rPr>
        <w:t xml:space="preserve">The efficacy of </w:t>
      </w:r>
      <w:r w:rsidRPr="007D2EB5">
        <w:rPr>
          <w:noProof/>
          <w:sz w:val="22"/>
          <w:szCs w:val="22"/>
        </w:rPr>
        <w:t>Victoza</w:t>
      </w:r>
      <w:r w:rsidRPr="007D2EB5">
        <w:rPr>
          <w:bCs/>
          <w:iCs/>
          <w:sz w:val="22"/>
          <w:szCs w:val="22"/>
        </w:rPr>
        <w:t xml:space="preserve"> 0.6 mg was also tested in combination with a sulfonylurea or with metformin and was found to be superior to placebo but less effective than the other </w:t>
      </w:r>
      <w:r w:rsidRPr="007D2EB5">
        <w:rPr>
          <w:noProof/>
          <w:sz w:val="22"/>
          <w:szCs w:val="22"/>
        </w:rPr>
        <w:t>Victoza</w:t>
      </w:r>
      <w:r w:rsidRPr="007D2EB5">
        <w:rPr>
          <w:bCs/>
          <w:iCs/>
          <w:sz w:val="22"/>
          <w:szCs w:val="22"/>
        </w:rPr>
        <w:t xml:space="preserve"> doses of 1.2 mg and 1.8 mg.</w:t>
      </w:r>
    </w:p>
    <w:p w14:paraId="2BC0BF5B" w14:textId="77777777" w:rsidR="00763417" w:rsidRDefault="00763417" w:rsidP="00416832">
      <w:pPr>
        <w:jc w:val="both"/>
        <w:rPr>
          <w:noProof/>
          <w:sz w:val="22"/>
          <w:szCs w:val="22"/>
        </w:rPr>
      </w:pPr>
    </w:p>
    <w:tbl>
      <w:tblPr>
        <w:tblStyle w:val="TableGrid"/>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06"/>
      </w:tblGrid>
      <w:tr w:rsidR="00884C42" w:rsidRPr="00107816" w14:paraId="5D77774F" w14:textId="77777777" w:rsidTr="001A5852">
        <w:trPr>
          <w:trHeight w:val="3786"/>
        </w:trPr>
        <w:tc>
          <w:tcPr>
            <w:tcW w:w="9606" w:type="dxa"/>
          </w:tcPr>
          <w:p w14:paraId="5B016EB2" w14:textId="77777777" w:rsidR="00884C42" w:rsidRDefault="00884C42" w:rsidP="001A5852">
            <w:pPr>
              <w:keepNext/>
              <w:rPr>
                <w:sz w:val="22"/>
                <w:szCs w:val="22"/>
              </w:rPr>
            </w:pPr>
            <w:r>
              <w:rPr>
                <w:rFonts w:ascii="Verdana" w:hAnsi="Verdana"/>
                <w:b/>
                <w:sz w:val="20"/>
                <w:szCs w:val="20"/>
              </w:rPr>
              <w:lastRenderedPageBreak/>
              <w:t xml:space="preserve">                          </w:t>
            </w:r>
            <w:r w:rsidRPr="0045708F">
              <w:rPr>
                <w:rFonts w:ascii="Verdana" w:hAnsi="Verdana"/>
                <w:b/>
                <w:sz w:val="20"/>
                <w:szCs w:val="20"/>
              </w:rPr>
              <w:t xml:space="preserve">LEAD </w:t>
            </w:r>
            <w:r>
              <w:rPr>
                <w:rFonts w:ascii="Verdana" w:hAnsi="Verdana"/>
                <w:b/>
                <w:sz w:val="20"/>
                <w:szCs w:val="20"/>
              </w:rPr>
              <w:t>3</w:t>
            </w:r>
          </w:p>
          <w:bookmarkStart w:id="4" w:name="_MON_1571570100"/>
          <w:bookmarkEnd w:id="4"/>
          <w:p w14:paraId="610090F5" w14:textId="77777777" w:rsidR="00884C42" w:rsidRDefault="00884C42" w:rsidP="001A5852">
            <w:pPr>
              <w:keepNext/>
              <w:rPr>
                <w:sz w:val="22"/>
                <w:szCs w:val="22"/>
              </w:rPr>
            </w:pPr>
            <w:r w:rsidRPr="00FA79C0">
              <w:rPr>
                <w:sz w:val="22"/>
                <w:szCs w:val="22"/>
              </w:rPr>
              <w:object w:dxaOrig="7777" w:dyaOrig="3650" w14:anchorId="59C01F2D">
                <v:shape id="_x0000_i1028" type="#_x0000_t75" style="width:360.75pt;height:150.75pt" o:ole="">
                  <v:imagedata r:id="rId21" o:title=""/>
                </v:shape>
                <o:OLEObject Type="Embed" ProgID="Word.Picture.8" ShapeID="_x0000_i1028" DrawAspect="Content" ObjectID="_1624866210" r:id="rId22"/>
              </w:object>
            </w:r>
          </w:p>
          <w:p w14:paraId="6DC5EF3A" w14:textId="77777777" w:rsidR="00884C42" w:rsidRDefault="00884C42" w:rsidP="001A5852">
            <w:pPr>
              <w:keepNext/>
              <w:jc w:val="both"/>
              <w:rPr>
                <w:bCs/>
                <w:iCs/>
                <w:sz w:val="22"/>
                <w:szCs w:val="22"/>
              </w:rPr>
            </w:pPr>
            <w:r>
              <w:rPr>
                <w:noProof/>
                <w:lang w:val="en-AU" w:eastAsia="en-AU"/>
              </w:rPr>
              <w:drawing>
                <wp:anchor distT="0" distB="0" distL="114300" distR="114300" simplePos="0" relativeHeight="251688960" behindDoc="0" locked="0" layoutInCell="1" allowOverlap="1" wp14:anchorId="6D2047BF" wp14:editId="09E5B11D">
                  <wp:simplePos x="0" y="0"/>
                  <wp:positionH relativeFrom="column">
                    <wp:posOffset>2858135</wp:posOffset>
                  </wp:positionH>
                  <wp:positionV relativeFrom="paragraph">
                    <wp:posOffset>304165</wp:posOffset>
                  </wp:positionV>
                  <wp:extent cx="2918460" cy="190500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18460" cy="1905000"/>
                          </a:xfrm>
                          <a:prstGeom prst="rect">
                            <a:avLst/>
                          </a:prstGeom>
                          <a:noFill/>
                        </pic:spPr>
                      </pic:pic>
                    </a:graphicData>
                  </a:graphic>
                  <wp14:sizeRelH relativeFrom="page">
                    <wp14:pctWidth>0</wp14:pctWidth>
                  </wp14:sizeRelH>
                  <wp14:sizeRelV relativeFrom="page">
                    <wp14:pctHeight>0</wp14:pctHeight>
                  </wp14:sizeRelV>
                </wp:anchor>
              </w:drawing>
            </w:r>
          </w:p>
        </w:tc>
      </w:tr>
      <w:tr w:rsidR="00884C42" w:rsidRPr="00107816" w14:paraId="1BF94DE4" w14:textId="77777777" w:rsidTr="00A14AF3">
        <w:tc>
          <w:tcPr>
            <w:tcW w:w="9606" w:type="dxa"/>
          </w:tcPr>
          <w:p w14:paraId="4B28F979" w14:textId="77777777" w:rsidR="00884C42" w:rsidRDefault="00884C42" w:rsidP="001A5852">
            <w:pPr>
              <w:keepNext/>
            </w:pPr>
            <w:r>
              <w:rPr>
                <w:noProof/>
                <w:lang w:val="en-AU" w:eastAsia="en-AU"/>
              </w:rPr>
              <mc:AlternateContent>
                <mc:Choice Requires="wps">
                  <w:drawing>
                    <wp:anchor distT="0" distB="0" distL="114300" distR="114300" simplePos="0" relativeHeight="251689984" behindDoc="0" locked="0" layoutInCell="1" allowOverlap="1" wp14:anchorId="1DCAEC37" wp14:editId="0CD4BB52">
                      <wp:simplePos x="0" y="0"/>
                      <wp:positionH relativeFrom="column">
                        <wp:posOffset>4160520</wp:posOffset>
                      </wp:positionH>
                      <wp:positionV relativeFrom="paragraph">
                        <wp:posOffset>53340</wp:posOffset>
                      </wp:positionV>
                      <wp:extent cx="914400" cy="228600"/>
                      <wp:effectExtent l="0" t="0" r="1905" b="3810"/>
                      <wp:wrapNone/>
                      <wp:docPr id="1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78DA97" w14:textId="77777777" w:rsidR="00324BA8" w:rsidRPr="00FD7144" w:rsidRDefault="00324BA8" w:rsidP="00884C42">
                                  <w:pPr>
                                    <w:rPr>
                                      <w:rFonts w:ascii="Verdana" w:hAnsi="Verdana"/>
                                      <w:b/>
                                      <w:sz w:val="20"/>
                                      <w:szCs w:val="20"/>
                                    </w:rPr>
                                  </w:pPr>
                                  <w:r w:rsidRPr="00FD7144">
                                    <w:rPr>
                                      <w:rFonts w:ascii="Verdana" w:hAnsi="Verdana"/>
                                      <w:b/>
                                      <w:sz w:val="20"/>
                                      <w:szCs w:val="20"/>
                                    </w:rPr>
                                    <w:t>LEAD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4" o:spid="_x0000_s1026" type="#_x0000_t202" style="position:absolute;margin-left:327.6pt;margin-top:4.2pt;width:1in;height:1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" filled="f" stroked="f">
                      <v:textbox>
                        <w:txbxContent>
                          <w:p w14:paraId="3A78DA97" w14:textId="77777777" w:rsidR="00324BA8" w:rsidRPr="00FD7144" w:rsidRDefault="00324BA8" w:rsidP="00884C42">
                            <w:pPr>
                              <w:rPr>
                                <w:rFonts w:ascii="Verdana" w:hAnsi="Verdana"/>
                                <w:b/>
                                <w:sz w:val="20"/>
                                <w:szCs w:val="20"/>
                              </w:rPr>
                            </w:pPr>
                            <w:r w:rsidRPr="00FD7144">
                              <w:rPr>
                                <w:rFonts w:ascii="Verdana" w:hAnsi="Verdana"/>
                                <w:b/>
                                <w:sz w:val="20"/>
                                <w:szCs w:val="20"/>
                              </w:rPr>
                              <w:t>LEAD 1</w:t>
                            </w:r>
                          </w:p>
                        </w:txbxContent>
                      </v:textbox>
                    </v:shape>
                  </w:pict>
                </mc:Fallback>
              </mc:AlternateContent>
            </w:r>
            <w:r>
              <w:rPr>
                <w:noProof/>
                <w:lang w:val="en-AU" w:eastAsia="en-AU"/>
              </w:rPr>
              <mc:AlternateContent>
                <mc:Choice Requires="wps">
                  <w:drawing>
                    <wp:anchor distT="0" distB="0" distL="114300" distR="114300" simplePos="0" relativeHeight="251691008" behindDoc="0" locked="0" layoutInCell="1" allowOverlap="1" wp14:anchorId="5822FB40" wp14:editId="510DA482">
                      <wp:simplePos x="0" y="0"/>
                      <wp:positionH relativeFrom="column">
                        <wp:posOffset>1188720</wp:posOffset>
                      </wp:positionH>
                      <wp:positionV relativeFrom="paragraph">
                        <wp:posOffset>53340</wp:posOffset>
                      </wp:positionV>
                      <wp:extent cx="914400" cy="228600"/>
                      <wp:effectExtent l="0" t="0" r="1905" b="3810"/>
                      <wp:wrapNone/>
                      <wp:docPr id="1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27C66F" w14:textId="77777777" w:rsidR="00324BA8" w:rsidRPr="00FD7144" w:rsidRDefault="00324BA8" w:rsidP="00884C42">
                                  <w:pPr>
                                    <w:rPr>
                                      <w:rFonts w:ascii="Verdana" w:hAnsi="Verdana"/>
                                      <w:b/>
                                      <w:sz w:val="20"/>
                                      <w:szCs w:val="20"/>
                                    </w:rPr>
                                  </w:pPr>
                                  <w:r>
                                    <w:rPr>
                                      <w:rFonts w:ascii="Verdana" w:hAnsi="Verdana"/>
                                      <w:b/>
                                      <w:sz w:val="20"/>
                                      <w:szCs w:val="20"/>
                                    </w:rPr>
                                    <w:t>LEAD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027" type="#_x0000_t202" style="position:absolute;margin-left:93.6pt;margin-top:4.2pt;width:1in;height:1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EUTtQIAAME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" filled="f" stroked="f">
                      <v:textbox>
                        <w:txbxContent>
                          <w:p w14:paraId="7F27C66F" w14:textId="77777777" w:rsidR="00324BA8" w:rsidRPr="00FD7144" w:rsidRDefault="00324BA8" w:rsidP="00884C42">
                            <w:pPr>
                              <w:rPr>
                                <w:rFonts w:ascii="Verdana" w:hAnsi="Verdana"/>
                                <w:b/>
                                <w:sz w:val="20"/>
                                <w:szCs w:val="20"/>
                              </w:rPr>
                            </w:pPr>
                            <w:r>
                              <w:rPr>
                                <w:rFonts w:ascii="Verdana" w:hAnsi="Verdana"/>
                                <w:b/>
                                <w:sz w:val="20"/>
                                <w:szCs w:val="20"/>
                              </w:rPr>
                              <w:t>LEAD 2</w:t>
                            </w:r>
                          </w:p>
                        </w:txbxContent>
                      </v:textbox>
                    </v:shape>
                  </w:pict>
                </mc:Fallback>
              </mc:AlternateContent>
            </w:r>
            <w:r>
              <w:rPr>
                <w:noProof/>
                <w:lang w:val="en-AU" w:eastAsia="en-AU"/>
              </w:rPr>
              <w:drawing>
                <wp:inline distT="0" distB="0" distL="0" distR="0" wp14:anchorId="136CFC66" wp14:editId="571BA17B">
                  <wp:extent cx="3000375" cy="184785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00375" cy="1847850"/>
                          </a:xfrm>
                          <a:prstGeom prst="rect">
                            <a:avLst/>
                          </a:prstGeom>
                          <a:noFill/>
                          <a:ln>
                            <a:noFill/>
                          </a:ln>
                        </pic:spPr>
                      </pic:pic>
                    </a:graphicData>
                  </a:graphic>
                </wp:inline>
              </w:drawing>
            </w:r>
          </w:p>
          <w:p w14:paraId="7DF786BF" w14:textId="77777777" w:rsidR="00884C42" w:rsidRPr="00A73FA0" w:rsidRDefault="00884C42" w:rsidP="001A5852">
            <w:pPr>
              <w:keepNext/>
              <w:autoSpaceDE w:val="0"/>
              <w:autoSpaceDN w:val="0"/>
              <w:adjustRightInd w:val="0"/>
              <w:jc w:val="both"/>
              <w:rPr>
                <w:sz w:val="22"/>
                <w:szCs w:val="22"/>
                <w:lang w:val="en-AU" w:eastAsia="en-AU"/>
              </w:rPr>
            </w:pPr>
          </w:p>
        </w:tc>
      </w:tr>
      <w:tr w:rsidR="00884C42" w:rsidRPr="00107816" w14:paraId="6AA07ADD" w14:textId="77777777" w:rsidTr="00A14AF3">
        <w:tc>
          <w:tcPr>
            <w:tcW w:w="9606" w:type="dxa"/>
          </w:tcPr>
          <w:p w14:paraId="462DEB16" w14:textId="77777777" w:rsidR="00884C42" w:rsidRPr="00A73FA0" w:rsidRDefault="00884C42" w:rsidP="001A5852">
            <w:pPr>
              <w:keepNext/>
              <w:autoSpaceDE w:val="0"/>
              <w:autoSpaceDN w:val="0"/>
              <w:adjustRightInd w:val="0"/>
              <w:jc w:val="both"/>
              <w:rPr>
                <w:sz w:val="22"/>
                <w:szCs w:val="22"/>
                <w:lang w:val="en-AU" w:eastAsia="en-AU"/>
              </w:rPr>
            </w:pPr>
          </w:p>
        </w:tc>
      </w:tr>
      <w:tr w:rsidR="00884C42" w:rsidRPr="00107816" w14:paraId="5FAC3954" w14:textId="77777777" w:rsidTr="00A14AF3">
        <w:tc>
          <w:tcPr>
            <w:tcW w:w="9606" w:type="dxa"/>
          </w:tcPr>
          <w:p w14:paraId="29966241" w14:textId="77777777" w:rsidR="00884C42" w:rsidRDefault="00884C42" w:rsidP="001A5852">
            <w:pPr>
              <w:keepNext/>
            </w:pPr>
          </w:p>
          <w:p w14:paraId="094415A8" w14:textId="77777777" w:rsidR="00884C42" w:rsidRDefault="00884C42" w:rsidP="001A5852">
            <w:pPr>
              <w:keepNext/>
            </w:pPr>
            <w:r>
              <w:rPr>
                <w:noProof/>
                <w:lang w:val="en-AU" w:eastAsia="en-AU"/>
              </w:rPr>
              <w:drawing>
                <wp:anchor distT="0" distB="0" distL="114300" distR="114300" simplePos="0" relativeHeight="251692032" behindDoc="0" locked="0" layoutInCell="1" allowOverlap="1" wp14:anchorId="5A0ED003" wp14:editId="054EE540">
                  <wp:simplePos x="0" y="0"/>
                  <wp:positionH relativeFrom="column">
                    <wp:posOffset>28575</wp:posOffset>
                  </wp:positionH>
                  <wp:positionV relativeFrom="paragraph">
                    <wp:posOffset>80645</wp:posOffset>
                  </wp:positionV>
                  <wp:extent cx="3053080" cy="1865630"/>
                  <wp:effectExtent l="0" t="0" r="0" b="127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53080" cy="1865630"/>
                          </a:xfrm>
                          <a:prstGeom prst="rect">
                            <a:avLst/>
                          </a:prstGeom>
                          <a:noFill/>
                        </pic:spPr>
                      </pic:pic>
                    </a:graphicData>
                  </a:graphic>
                  <wp14:sizeRelH relativeFrom="page">
                    <wp14:pctWidth>0</wp14:pctWidth>
                  </wp14:sizeRelH>
                  <wp14:sizeRelV relativeFrom="page">
                    <wp14:pctHeight>0</wp14:pctHeight>
                  </wp14:sizeRelV>
                </wp:anchor>
              </w:drawing>
            </w:r>
          </w:p>
          <w:p w14:paraId="13FF90CC" w14:textId="77777777" w:rsidR="00884C42" w:rsidRDefault="00884C42" w:rsidP="001A5852">
            <w:pPr>
              <w:keepNext/>
              <w:jc w:val="both"/>
              <w:rPr>
                <w:sz w:val="22"/>
                <w:szCs w:val="22"/>
              </w:rPr>
            </w:pPr>
            <w:r>
              <w:rPr>
                <w:noProof/>
                <w:lang w:val="en-AU" w:eastAsia="en-AU"/>
              </w:rPr>
              <mc:AlternateContent>
                <mc:Choice Requires="wps">
                  <w:drawing>
                    <wp:anchor distT="0" distB="0" distL="114300" distR="114300" simplePos="0" relativeHeight="251693056" behindDoc="0" locked="0" layoutInCell="1" allowOverlap="1" wp14:anchorId="3EBD79C7" wp14:editId="05F5A39C">
                      <wp:simplePos x="0" y="0"/>
                      <wp:positionH relativeFrom="column">
                        <wp:posOffset>1171575</wp:posOffset>
                      </wp:positionH>
                      <wp:positionV relativeFrom="paragraph">
                        <wp:posOffset>19685</wp:posOffset>
                      </wp:positionV>
                      <wp:extent cx="914400" cy="228600"/>
                      <wp:effectExtent l="0" t="635" r="0" b="0"/>
                      <wp:wrapNone/>
                      <wp:docPr id="20"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28D5EF" w14:textId="77777777" w:rsidR="00324BA8" w:rsidRPr="00FD7144" w:rsidRDefault="00324BA8" w:rsidP="00884C42">
                                  <w:pPr>
                                    <w:rPr>
                                      <w:rFonts w:ascii="Verdana" w:hAnsi="Verdana"/>
                                      <w:b/>
                                      <w:sz w:val="20"/>
                                      <w:szCs w:val="20"/>
                                    </w:rPr>
                                  </w:pPr>
                                  <w:r>
                                    <w:rPr>
                                      <w:rFonts w:ascii="Verdana" w:hAnsi="Verdana"/>
                                      <w:b/>
                                      <w:sz w:val="20"/>
                                      <w:szCs w:val="20"/>
                                    </w:rPr>
                                    <w:t>LEAD 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028" type="#_x0000_t202" style="position:absolute;left:0;text-align:left;margin-left:92.25pt;margin-top:1.55pt;width:1in;height:1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" filled="f" stroked="f">
                      <v:textbox>
                        <w:txbxContent>
                          <w:p w14:paraId="4628D5EF" w14:textId="77777777" w:rsidR="00324BA8" w:rsidRPr="00FD7144" w:rsidRDefault="00324BA8" w:rsidP="00884C42">
                            <w:pPr>
                              <w:rPr>
                                <w:rFonts w:ascii="Verdana" w:hAnsi="Verdana"/>
                                <w:b/>
                                <w:sz w:val="20"/>
                                <w:szCs w:val="20"/>
                              </w:rPr>
                            </w:pPr>
                            <w:r>
                              <w:rPr>
                                <w:rFonts w:ascii="Verdana" w:hAnsi="Verdana"/>
                                <w:b/>
                                <w:sz w:val="20"/>
                                <w:szCs w:val="20"/>
                              </w:rPr>
                              <w:t>LEAD 5</w:t>
                            </w:r>
                          </w:p>
                        </w:txbxContent>
                      </v:textbox>
                    </v:shape>
                  </w:pict>
                </mc:Fallback>
              </mc:AlternateContent>
            </w:r>
          </w:p>
          <w:p w14:paraId="4E628F84" w14:textId="77777777" w:rsidR="00884C42" w:rsidRDefault="00884C42" w:rsidP="001A5852">
            <w:pPr>
              <w:keepNext/>
              <w:jc w:val="both"/>
              <w:rPr>
                <w:b/>
              </w:rPr>
            </w:pPr>
          </w:p>
          <w:p w14:paraId="362897A4" w14:textId="77777777" w:rsidR="00884C42" w:rsidRDefault="00884C42" w:rsidP="001A5852">
            <w:pPr>
              <w:keepNext/>
              <w:jc w:val="both"/>
              <w:rPr>
                <w:b/>
              </w:rPr>
            </w:pPr>
          </w:p>
          <w:p w14:paraId="4E4E3C81" w14:textId="77777777" w:rsidR="00884C42" w:rsidRDefault="00884C42" w:rsidP="001A5852">
            <w:pPr>
              <w:keepNext/>
              <w:jc w:val="both"/>
              <w:rPr>
                <w:b/>
              </w:rPr>
            </w:pPr>
          </w:p>
          <w:p w14:paraId="2A73F71B" w14:textId="77777777" w:rsidR="00884C42" w:rsidRDefault="00884C42" w:rsidP="001A5852">
            <w:pPr>
              <w:keepNext/>
              <w:jc w:val="both"/>
              <w:rPr>
                <w:b/>
              </w:rPr>
            </w:pPr>
          </w:p>
          <w:p w14:paraId="3DDBA345" w14:textId="77777777" w:rsidR="00884C42" w:rsidRDefault="00884C42" w:rsidP="001A5852">
            <w:pPr>
              <w:keepNext/>
              <w:jc w:val="both"/>
              <w:rPr>
                <w:b/>
              </w:rPr>
            </w:pPr>
          </w:p>
          <w:p w14:paraId="2E136D74" w14:textId="77777777" w:rsidR="00884C42" w:rsidRDefault="00884C42" w:rsidP="001A5852">
            <w:pPr>
              <w:keepNext/>
              <w:jc w:val="both"/>
              <w:rPr>
                <w:b/>
              </w:rPr>
            </w:pPr>
          </w:p>
          <w:p w14:paraId="3A5AB762" w14:textId="77777777" w:rsidR="00884C42" w:rsidRDefault="00884C42" w:rsidP="001A5852">
            <w:pPr>
              <w:keepNext/>
              <w:jc w:val="both"/>
              <w:rPr>
                <w:b/>
              </w:rPr>
            </w:pPr>
          </w:p>
          <w:p w14:paraId="3622CC39" w14:textId="77777777" w:rsidR="001A5852" w:rsidRDefault="001A5852" w:rsidP="001A5852">
            <w:pPr>
              <w:keepNext/>
              <w:ind w:left="1440" w:hanging="1440"/>
              <w:jc w:val="both"/>
              <w:rPr>
                <w:b/>
                <w:sz w:val="22"/>
                <w:szCs w:val="22"/>
              </w:rPr>
            </w:pPr>
          </w:p>
          <w:p w14:paraId="7001809E" w14:textId="77777777" w:rsidR="001A5852" w:rsidRDefault="001A5852" w:rsidP="001A5852">
            <w:pPr>
              <w:keepNext/>
              <w:ind w:left="1440" w:hanging="1440"/>
              <w:jc w:val="both"/>
              <w:rPr>
                <w:b/>
                <w:sz w:val="22"/>
                <w:szCs w:val="22"/>
              </w:rPr>
            </w:pPr>
          </w:p>
          <w:p w14:paraId="04B02C68" w14:textId="77777777" w:rsidR="001A5852" w:rsidRDefault="001A5852" w:rsidP="001A5852">
            <w:pPr>
              <w:keepNext/>
              <w:ind w:left="1440" w:hanging="1440"/>
              <w:jc w:val="both"/>
              <w:rPr>
                <w:b/>
                <w:sz w:val="22"/>
                <w:szCs w:val="22"/>
              </w:rPr>
            </w:pPr>
          </w:p>
          <w:p w14:paraId="2878BC69" w14:textId="77777777" w:rsidR="00884C42" w:rsidRDefault="00884C42" w:rsidP="001A5852">
            <w:pPr>
              <w:keepNext/>
              <w:ind w:left="1440" w:hanging="1440"/>
              <w:jc w:val="both"/>
              <w:rPr>
                <w:b/>
              </w:rPr>
            </w:pPr>
            <w:r w:rsidRPr="000C59D4">
              <w:rPr>
                <w:b/>
                <w:sz w:val="22"/>
                <w:szCs w:val="22"/>
              </w:rPr>
              <w:t xml:space="preserve">Figure 4 </w:t>
            </w:r>
            <w:r>
              <w:rPr>
                <w:b/>
                <w:sz w:val="22"/>
                <w:szCs w:val="22"/>
              </w:rPr>
              <w:tab/>
            </w:r>
            <w:r w:rsidRPr="000C59D4">
              <w:rPr>
                <w:b/>
                <w:sz w:val="22"/>
                <w:szCs w:val="22"/>
              </w:rPr>
              <w:t>Mean HbA</w:t>
            </w:r>
            <w:r w:rsidRPr="00A021C5">
              <w:rPr>
                <w:b/>
                <w:sz w:val="22"/>
                <w:szCs w:val="22"/>
                <w:vertAlign w:val="subscript"/>
              </w:rPr>
              <w:t>1c</w:t>
            </w:r>
            <w:r w:rsidRPr="000C59D4">
              <w:rPr>
                <w:b/>
                <w:sz w:val="22"/>
                <w:szCs w:val="22"/>
              </w:rPr>
              <w:t xml:space="preserve"> (%) over Time ± SEM, ITT Analysis Set Note: The Primary endpoint was change from baseline </w:t>
            </w:r>
            <w:r w:rsidRPr="00CF5A31">
              <w:rPr>
                <w:b/>
                <w:sz w:val="22"/>
                <w:szCs w:val="22"/>
              </w:rPr>
              <w:t>to the end of the study.</w:t>
            </w:r>
          </w:p>
          <w:p w14:paraId="3AE0DDDD" w14:textId="77777777" w:rsidR="00884C42" w:rsidRPr="00A73FA0" w:rsidRDefault="00884C42" w:rsidP="001A5852">
            <w:pPr>
              <w:keepNext/>
              <w:autoSpaceDE w:val="0"/>
              <w:autoSpaceDN w:val="0"/>
              <w:adjustRightInd w:val="0"/>
              <w:jc w:val="both"/>
              <w:rPr>
                <w:sz w:val="22"/>
                <w:szCs w:val="22"/>
                <w:lang w:val="en-AU" w:eastAsia="en-AU"/>
              </w:rPr>
            </w:pPr>
          </w:p>
        </w:tc>
      </w:tr>
    </w:tbl>
    <w:p w14:paraId="283F6BD3" w14:textId="77777777" w:rsidR="00884C42" w:rsidRDefault="00884C42" w:rsidP="00416832">
      <w:pPr>
        <w:jc w:val="both"/>
        <w:rPr>
          <w:noProof/>
          <w:sz w:val="22"/>
          <w:szCs w:val="22"/>
        </w:rPr>
      </w:pPr>
    </w:p>
    <w:p w14:paraId="11AD4CB6" w14:textId="77777777" w:rsidR="00884C42" w:rsidRPr="007D2EB5" w:rsidRDefault="00884C42" w:rsidP="00884C42">
      <w:pPr>
        <w:pStyle w:val="Heading5"/>
        <w:rPr>
          <w:sz w:val="22"/>
          <w:szCs w:val="22"/>
        </w:rPr>
      </w:pPr>
      <w:r w:rsidRPr="008A6F3F">
        <w:rPr>
          <w:i w:val="0"/>
          <w:noProof/>
          <w:sz w:val="22"/>
          <w:szCs w:val="22"/>
          <w:u w:val="single"/>
        </w:rPr>
        <w:t>C.ii. Fasting plasma glucose</w:t>
      </w:r>
    </w:p>
    <w:p w14:paraId="2418485C" w14:textId="40649944" w:rsidR="00884C42" w:rsidRDefault="00884C42" w:rsidP="00884C42">
      <w:pPr>
        <w:jc w:val="both"/>
        <w:rPr>
          <w:noProof/>
          <w:sz w:val="22"/>
          <w:szCs w:val="22"/>
        </w:rPr>
      </w:pPr>
      <w:r w:rsidRPr="007D2EB5">
        <w:rPr>
          <w:bCs/>
          <w:iCs/>
          <w:sz w:val="22"/>
          <w:szCs w:val="22"/>
        </w:rPr>
        <w:t xml:space="preserve">Treatment with </w:t>
      </w:r>
      <w:r w:rsidRPr="007D2EB5">
        <w:rPr>
          <w:noProof/>
          <w:sz w:val="22"/>
          <w:szCs w:val="22"/>
        </w:rPr>
        <w:t>Victoza</w:t>
      </w:r>
      <w:r w:rsidRPr="007D2EB5">
        <w:rPr>
          <w:bCs/>
          <w:iCs/>
          <w:sz w:val="22"/>
          <w:szCs w:val="22"/>
        </w:rPr>
        <w:t xml:space="preserve"> resulted in a reduction in fasting plasma glucose of 0.72-2.42 </w:t>
      </w:r>
      <w:proofErr w:type="spellStart"/>
      <w:r w:rsidRPr="007D2EB5">
        <w:rPr>
          <w:bCs/>
          <w:iCs/>
          <w:sz w:val="22"/>
          <w:szCs w:val="22"/>
        </w:rPr>
        <w:t>mmol</w:t>
      </w:r>
      <w:proofErr w:type="spellEnd"/>
      <w:r w:rsidRPr="007D2EB5">
        <w:rPr>
          <w:bCs/>
          <w:iCs/>
          <w:sz w:val="22"/>
          <w:szCs w:val="22"/>
        </w:rPr>
        <w:t xml:space="preserve">/L. This reduction was observed within the first two weeks of treatment. </w:t>
      </w:r>
    </w:p>
    <w:p w14:paraId="529CA891" w14:textId="77777777" w:rsidR="00884C42" w:rsidRDefault="00884C42" w:rsidP="00416832">
      <w:pPr>
        <w:jc w:val="both"/>
        <w:rPr>
          <w:noProof/>
          <w:sz w:val="22"/>
          <w:szCs w:val="22"/>
        </w:rPr>
      </w:pPr>
    </w:p>
    <w:p w14:paraId="7938E123" w14:textId="77777777" w:rsidR="00884C42" w:rsidRPr="007D2EB5" w:rsidRDefault="00884C42" w:rsidP="00884C42">
      <w:pPr>
        <w:pStyle w:val="Heading5"/>
        <w:rPr>
          <w:bCs/>
          <w:i w:val="0"/>
          <w:iCs/>
          <w:sz w:val="22"/>
          <w:szCs w:val="22"/>
          <w:lang w:val="en-AU"/>
        </w:rPr>
      </w:pPr>
      <w:r w:rsidRPr="008A6F3F">
        <w:rPr>
          <w:i w:val="0"/>
          <w:noProof/>
          <w:sz w:val="22"/>
          <w:szCs w:val="22"/>
          <w:u w:val="single"/>
        </w:rPr>
        <w:t>C.iii. Postprandial glucose</w:t>
      </w:r>
    </w:p>
    <w:p w14:paraId="5EFBB6E3" w14:textId="1621EBA9" w:rsidR="00884C42" w:rsidRDefault="00884C42" w:rsidP="00884C42">
      <w:pPr>
        <w:jc w:val="both"/>
        <w:rPr>
          <w:noProof/>
          <w:sz w:val="22"/>
          <w:szCs w:val="22"/>
        </w:rPr>
      </w:pPr>
      <w:r w:rsidRPr="007D2EB5">
        <w:rPr>
          <w:noProof/>
          <w:sz w:val="22"/>
          <w:szCs w:val="22"/>
        </w:rPr>
        <w:t>Victoza</w:t>
      </w:r>
      <w:r w:rsidRPr="007D2EB5">
        <w:rPr>
          <w:bCs/>
          <w:iCs/>
          <w:noProof/>
          <w:sz w:val="22"/>
          <w:szCs w:val="22"/>
        </w:rPr>
        <w:t xml:space="preserve"> reduced postprandial glucose across all three daily meals by 1.68-2.71 mmol/L.</w:t>
      </w:r>
    </w:p>
    <w:p w14:paraId="6D22966D" w14:textId="77777777" w:rsidR="00884C42" w:rsidRDefault="00884C42" w:rsidP="00416832">
      <w:pPr>
        <w:jc w:val="both"/>
        <w:rPr>
          <w:noProof/>
          <w:sz w:val="22"/>
          <w:szCs w:val="22"/>
        </w:rPr>
      </w:pPr>
    </w:p>
    <w:p w14:paraId="55DE0ADD" w14:textId="77777777" w:rsidR="00884C42" w:rsidRPr="007D2EB5" w:rsidRDefault="00884C42" w:rsidP="00884C42">
      <w:pPr>
        <w:pStyle w:val="Heading4"/>
        <w:rPr>
          <w:b/>
          <w:bCs/>
          <w:i w:val="0"/>
          <w:iCs/>
          <w:sz w:val="22"/>
          <w:szCs w:val="22"/>
        </w:rPr>
      </w:pPr>
      <w:r w:rsidRPr="007D2EB5">
        <w:rPr>
          <w:b/>
          <w:i w:val="0"/>
          <w:sz w:val="22"/>
          <w:szCs w:val="22"/>
          <w:u w:val="single"/>
        </w:rPr>
        <w:lastRenderedPageBreak/>
        <w:t>D. Glycaemic control in patients with renal impairment</w:t>
      </w:r>
    </w:p>
    <w:p w14:paraId="62F1BDC5" w14:textId="4253B0AE" w:rsidR="00884C42" w:rsidRDefault="00884C42" w:rsidP="00884C42">
      <w:pPr>
        <w:jc w:val="both"/>
        <w:rPr>
          <w:noProof/>
          <w:sz w:val="22"/>
          <w:szCs w:val="22"/>
        </w:rPr>
      </w:pPr>
      <w:r w:rsidRPr="007D2EB5">
        <w:rPr>
          <w:bCs/>
          <w:iCs/>
          <w:sz w:val="22"/>
          <w:szCs w:val="22"/>
          <w:lang w:val="en-GB"/>
        </w:rPr>
        <w:t xml:space="preserve">In a double-blind study </w:t>
      </w:r>
      <w:r w:rsidRPr="007D2EB5">
        <w:rPr>
          <w:sz w:val="22"/>
          <w:szCs w:val="22"/>
          <w:lang w:val="da-DK"/>
        </w:rPr>
        <w:t xml:space="preserve">(Trial 3916) </w:t>
      </w:r>
      <w:r w:rsidRPr="007D2EB5">
        <w:rPr>
          <w:bCs/>
          <w:iCs/>
          <w:sz w:val="22"/>
          <w:szCs w:val="22"/>
          <w:lang w:val="en-GB"/>
        </w:rPr>
        <w:t>comparing the efficacy and safety of Victoza 1.8 mg versus placebo as add-on to basal or premixed insulin and/or OAD in patients with type 2 diabetes and moderate renal impairment, Victoza was superior to placebo treatment in reducing HbA</w:t>
      </w:r>
      <w:r w:rsidRPr="007D2EB5">
        <w:rPr>
          <w:bCs/>
          <w:iCs/>
          <w:sz w:val="22"/>
          <w:szCs w:val="22"/>
          <w:vertAlign w:val="subscript"/>
          <w:lang w:val="en-GB"/>
        </w:rPr>
        <w:t xml:space="preserve">1c </w:t>
      </w:r>
      <w:r w:rsidRPr="007D2EB5">
        <w:rPr>
          <w:bCs/>
          <w:iCs/>
          <w:sz w:val="22"/>
          <w:szCs w:val="22"/>
          <w:lang w:val="en-GB"/>
        </w:rPr>
        <w:t>after 26 weeks (-1.05% vs -0.38%, p&lt;0.0001). Significantly more patients achieved HbA</w:t>
      </w:r>
      <w:r w:rsidRPr="007D2EB5">
        <w:rPr>
          <w:bCs/>
          <w:iCs/>
          <w:sz w:val="22"/>
          <w:szCs w:val="22"/>
          <w:vertAlign w:val="subscript"/>
          <w:lang w:val="en-GB"/>
        </w:rPr>
        <w:t>1c</w:t>
      </w:r>
      <w:r w:rsidRPr="007D2EB5">
        <w:rPr>
          <w:bCs/>
          <w:iCs/>
          <w:sz w:val="22"/>
          <w:szCs w:val="22"/>
          <w:lang w:val="en-GB"/>
        </w:rPr>
        <w:t xml:space="preserve"> below 7% with Victoza compared with placebo (52.8% vs 19.5% p&lt;0.0001). Patients treated with Victoza had a statistically significant decrease in body weight compared to that of patients treated with placebo (-2.41 kg vs -1.09 kg, p=0.0052). There was a comparable risk of hypoglycaemic episodes between the two treatment groups. The safety profile of Victoza was generally similar to that observed in other studies with Victoza.</w:t>
      </w:r>
    </w:p>
    <w:p w14:paraId="6F0A173D" w14:textId="77777777" w:rsidR="00884C42" w:rsidRDefault="00884C42" w:rsidP="00416832">
      <w:pPr>
        <w:jc w:val="both"/>
        <w:rPr>
          <w:noProof/>
          <w:sz w:val="22"/>
          <w:szCs w:val="22"/>
        </w:rPr>
      </w:pPr>
    </w:p>
    <w:p w14:paraId="4903E3B2" w14:textId="77777777" w:rsidR="00884C42" w:rsidRPr="007D2EB5" w:rsidRDefault="00884C42" w:rsidP="00884C42">
      <w:pPr>
        <w:pStyle w:val="Heading4"/>
        <w:rPr>
          <w:b/>
          <w:bCs/>
          <w:i w:val="0"/>
          <w:iCs/>
          <w:sz w:val="22"/>
          <w:szCs w:val="22"/>
        </w:rPr>
      </w:pPr>
      <w:r w:rsidRPr="007D2EB5">
        <w:rPr>
          <w:b/>
          <w:i w:val="0"/>
          <w:sz w:val="22"/>
          <w:szCs w:val="22"/>
          <w:u w:val="single"/>
        </w:rPr>
        <w:t>E. Body weight across trials</w:t>
      </w:r>
    </w:p>
    <w:p w14:paraId="712A75D8" w14:textId="35430166" w:rsidR="00884C42" w:rsidRDefault="00884C42" w:rsidP="00884C42">
      <w:pPr>
        <w:jc w:val="both"/>
        <w:rPr>
          <w:noProof/>
          <w:sz w:val="22"/>
          <w:szCs w:val="22"/>
        </w:rPr>
      </w:pPr>
      <w:r w:rsidRPr="007D2EB5">
        <w:rPr>
          <w:noProof/>
          <w:sz w:val="22"/>
          <w:szCs w:val="22"/>
        </w:rPr>
        <w:t xml:space="preserve">Body weight was assessed amongst predefined secondary endpoints. Specific weight loss studies have not been assessed in type 2 diabetes. In the clinical programme, statistically significant reductions in mean body weight from baseline were consistently observed. Treatment with Victoza was associated with an initial reduction in mean body weight within the first 8 weeks, that was sustained over the duration of studies (Figure 5). Larger weight reduction was observed with increasing body mass index at baseline. Reductions in body weight were seen, irrespective of the occurence of nausea. </w:t>
      </w:r>
    </w:p>
    <w:p w14:paraId="1FADC85F" w14:textId="77777777" w:rsidR="00884C42" w:rsidRDefault="00884C42" w:rsidP="00416832">
      <w:pPr>
        <w:jc w:val="both"/>
        <w:rPr>
          <w:noProof/>
          <w:sz w:val="22"/>
          <w:szCs w:val="22"/>
        </w:rPr>
      </w:pPr>
    </w:p>
    <w:p w14:paraId="68ECB116" w14:textId="4D92A1E0" w:rsidR="00884C42" w:rsidRDefault="00884C42" w:rsidP="00416832">
      <w:pPr>
        <w:jc w:val="both"/>
        <w:rPr>
          <w:noProof/>
          <w:sz w:val="22"/>
          <w:szCs w:val="22"/>
        </w:rPr>
      </w:pPr>
      <w:r w:rsidRPr="007D2EB5">
        <w:rPr>
          <w:sz w:val="22"/>
          <w:szCs w:val="22"/>
        </w:rPr>
        <w:t xml:space="preserve">No morbidity data or mortality data are presently available to support long-term benefit from Victoza induced weight loss in patients with type 2 diabetes. </w:t>
      </w:r>
    </w:p>
    <w:p w14:paraId="5B528B42" w14:textId="77777777" w:rsidR="00884C42" w:rsidRDefault="00884C42" w:rsidP="00416832">
      <w:pPr>
        <w:jc w:val="both"/>
        <w:rPr>
          <w:noProof/>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322"/>
      </w:tblGrid>
      <w:tr w:rsidR="003A252E" w:rsidRPr="00107816" w14:paraId="269AC512" w14:textId="77777777" w:rsidTr="00A14AF3">
        <w:tc>
          <w:tcPr>
            <w:tcW w:w="9322" w:type="dxa"/>
          </w:tcPr>
          <w:p w14:paraId="5752CBCF" w14:textId="77777777" w:rsidR="003A252E" w:rsidRPr="00AD43A0" w:rsidRDefault="003A252E" w:rsidP="00A14AF3">
            <w:pPr>
              <w:rPr>
                <w:rFonts w:ascii="Arial" w:hAnsi="Arial" w:cs="Arial"/>
                <w:sz w:val="16"/>
                <w:szCs w:val="16"/>
              </w:rPr>
            </w:pPr>
            <w:r w:rsidRPr="00AD43A0">
              <w:rPr>
                <w:rFonts w:ascii="Arial" w:hAnsi="Arial" w:cs="Arial"/>
                <w:noProof/>
                <w:sz w:val="16"/>
                <w:szCs w:val="16"/>
                <w:lang w:val="en-AU" w:eastAsia="en-AU"/>
              </w:rPr>
              <mc:AlternateContent>
                <mc:Choice Requires="wps">
                  <w:drawing>
                    <wp:anchor distT="0" distB="0" distL="114300" distR="114300" simplePos="0" relativeHeight="251696128" behindDoc="0" locked="0" layoutInCell="1" allowOverlap="1" wp14:anchorId="1A871297" wp14:editId="4AE0F688">
                      <wp:simplePos x="0" y="0"/>
                      <wp:positionH relativeFrom="column">
                        <wp:posOffset>3049270</wp:posOffset>
                      </wp:positionH>
                      <wp:positionV relativeFrom="paragraph">
                        <wp:posOffset>82905</wp:posOffset>
                      </wp:positionV>
                      <wp:extent cx="914400" cy="342900"/>
                      <wp:effectExtent l="0" t="0" r="0" b="0"/>
                      <wp:wrapNone/>
                      <wp:docPr id="24"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C0693C" w14:textId="77777777" w:rsidR="00324BA8" w:rsidRPr="004A10F3" w:rsidRDefault="00324BA8" w:rsidP="003A252E">
                                  <w:pPr>
                                    <w:rPr>
                                      <w:rFonts w:ascii="Verdana" w:hAnsi="Verdana"/>
                                      <w:b/>
                                      <w:sz w:val="20"/>
                                      <w:szCs w:val="20"/>
                                    </w:rPr>
                                  </w:pPr>
                                  <w:r>
                                    <w:rPr>
                                      <w:rFonts w:ascii="Verdana" w:hAnsi="Verdana"/>
                                      <w:b/>
                                      <w:sz w:val="20"/>
                                      <w:szCs w:val="20"/>
                                    </w:rPr>
                                    <w:t>LEAD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029" type="#_x0000_t202" style="position:absolute;margin-left:240.1pt;margin-top:6.55pt;width:1in;height:27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" stroked="f">
                      <v:textbox>
                        <w:txbxContent>
                          <w:p w14:paraId="6CC0693C" w14:textId="77777777" w:rsidR="00324BA8" w:rsidRPr="004A10F3" w:rsidRDefault="00324BA8" w:rsidP="003A252E">
                            <w:pPr>
                              <w:rPr>
                                <w:rFonts w:ascii="Verdana" w:hAnsi="Verdana"/>
                                <w:b/>
                                <w:sz w:val="20"/>
                                <w:szCs w:val="20"/>
                              </w:rPr>
                            </w:pPr>
                            <w:r>
                              <w:rPr>
                                <w:rFonts w:ascii="Verdana" w:hAnsi="Verdana"/>
                                <w:b/>
                                <w:sz w:val="20"/>
                                <w:szCs w:val="20"/>
                              </w:rPr>
                              <w:t>LEAD 1</w:t>
                            </w:r>
                          </w:p>
                        </w:txbxContent>
                      </v:textbox>
                    </v:shape>
                  </w:pict>
                </mc:Fallback>
              </mc:AlternateContent>
            </w:r>
            <w:r w:rsidRPr="00AD43A0">
              <w:rPr>
                <w:rFonts w:ascii="Arial" w:hAnsi="Arial" w:cs="Arial"/>
                <w:noProof/>
                <w:sz w:val="16"/>
                <w:szCs w:val="16"/>
                <w:lang w:val="en-AU" w:eastAsia="en-AU"/>
              </w:rPr>
              <mc:AlternateContent>
                <mc:Choice Requires="wps">
                  <w:drawing>
                    <wp:anchor distT="0" distB="0" distL="114300" distR="114300" simplePos="0" relativeHeight="251695104" behindDoc="0" locked="0" layoutInCell="1" allowOverlap="1" wp14:anchorId="335EAAC8" wp14:editId="51CA794C">
                      <wp:simplePos x="0" y="0"/>
                      <wp:positionH relativeFrom="column">
                        <wp:posOffset>457200</wp:posOffset>
                      </wp:positionH>
                      <wp:positionV relativeFrom="paragraph">
                        <wp:posOffset>206375</wp:posOffset>
                      </wp:positionV>
                      <wp:extent cx="914400" cy="342900"/>
                      <wp:effectExtent l="0" t="0" r="0" b="3175"/>
                      <wp:wrapNone/>
                      <wp:docPr id="25"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9225B3" w14:textId="77777777" w:rsidR="00324BA8" w:rsidRPr="004A10F3" w:rsidRDefault="00324BA8" w:rsidP="003A252E">
                                  <w:pPr>
                                    <w:rPr>
                                      <w:rFonts w:ascii="Verdana" w:hAnsi="Verdana"/>
                                      <w:b/>
                                      <w:sz w:val="20"/>
                                      <w:szCs w:val="20"/>
                                    </w:rPr>
                                  </w:pPr>
                                  <w:r w:rsidRPr="004A10F3">
                                    <w:rPr>
                                      <w:rFonts w:ascii="Verdana" w:hAnsi="Verdana"/>
                                      <w:b/>
                                      <w:sz w:val="20"/>
                                      <w:szCs w:val="20"/>
                                    </w:rPr>
                                    <w:t>LEAD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030" type="#_x0000_t202" style="position:absolute;margin-left:36pt;margin-top:16.25pt;width:1in;height:27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" stroked="f">
                      <v:textbox>
                        <w:txbxContent>
                          <w:p w14:paraId="2C9225B3" w14:textId="77777777" w:rsidR="00324BA8" w:rsidRPr="004A10F3" w:rsidRDefault="00324BA8" w:rsidP="003A252E">
                            <w:pPr>
                              <w:rPr>
                                <w:rFonts w:ascii="Verdana" w:hAnsi="Verdana"/>
                                <w:b/>
                                <w:sz w:val="20"/>
                                <w:szCs w:val="20"/>
                              </w:rPr>
                            </w:pPr>
                            <w:r w:rsidRPr="004A10F3">
                              <w:rPr>
                                <w:rFonts w:ascii="Verdana" w:hAnsi="Verdana"/>
                                <w:b/>
                                <w:sz w:val="20"/>
                                <w:szCs w:val="20"/>
                              </w:rPr>
                              <w:t>LEAD 2</w:t>
                            </w:r>
                          </w:p>
                        </w:txbxContent>
                      </v:textbox>
                    </v:shape>
                  </w:pict>
                </mc:Fallback>
              </mc:AlternateContent>
            </w:r>
            <w:r w:rsidRPr="00AD43A0">
              <w:rPr>
                <w:rFonts w:ascii="Arial" w:hAnsi="Arial" w:cs="Arial"/>
                <w:noProof/>
                <w:sz w:val="16"/>
                <w:szCs w:val="16"/>
                <w:lang w:val="en-AU" w:eastAsia="en-AU"/>
              </w:rPr>
              <w:drawing>
                <wp:inline distT="0" distB="0" distL="0" distR="0" wp14:anchorId="5F9C2CC1" wp14:editId="056DC148">
                  <wp:extent cx="2743200" cy="17145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r="53999" b="53986"/>
                          <a:stretch>
                            <a:fillRect/>
                          </a:stretch>
                        </pic:blipFill>
                        <pic:spPr bwMode="auto">
                          <a:xfrm>
                            <a:off x="0" y="0"/>
                            <a:ext cx="2743200" cy="1714500"/>
                          </a:xfrm>
                          <a:prstGeom prst="rect">
                            <a:avLst/>
                          </a:prstGeom>
                          <a:noFill/>
                          <a:ln>
                            <a:noFill/>
                          </a:ln>
                        </pic:spPr>
                      </pic:pic>
                    </a:graphicData>
                  </a:graphic>
                </wp:inline>
              </w:drawing>
            </w:r>
            <w:r w:rsidRPr="00AD43A0">
              <w:rPr>
                <w:rFonts w:ascii="Arial" w:hAnsi="Arial" w:cs="Arial"/>
                <w:sz w:val="16"/>
                <w:szCs w:val="16"/>
              </w:rPr>
              <w:t xml:space="preserve"> </w:t>
            </w:r>
            <w:r w:rsidRPr="00AD43A0">
              <w:rPr>
                <w:rFonts w:ascii="Arial" w:hAnsi="Arial" w:cs="Arial"/>
                <w:noProof/>
                <w:sz w:val="16"/>
                <w:szCs w:val="16"/>
                <w:lang w:val="en-AU" w:eastAsia="en-AU"/>
              </w:rPr>
              <w:drawing>
                <wp:inline distT="0" distB="0" distL="0" distR="0" wp14:anchorId="5E9CA07A" wp14:editId="39C54070">
                  <wp:extent cx="2705100" cy="199072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05100" cy="1990725"/>
                          </a:xfrm>
                          <a:prstGeom prst="rect">
                            <a:avLst/>
                          </a:prstGeom>
                          <a:noFill/>
                          <a:ln>
                            <a:noFill/>
                          </a:ln>
                        </pic:spPr>
                      </pic:pic>
                    </a:graphicData>
                  </a:graphic>
                </wp:inline>
              </w:drawing>
            </w:r>
          </w:p>
          <w:p w14:paraId="1E619BCB" w14:textId="77777777" w:rsidR="003A252E" w:rsidRDefault="003A252E" w:rsidP="00A14AF3">
            <w:pPr>
              <w:keepNext/>
              <w:rPr>
                <w:rFonts w:ascii="Arial" w:hAnsi="Arial" w:cs="Arial"/>
                <w:iCs/>
                <w:sz w:val="16"/>
                <w:szCs w:val="16"/>
                <w:lang w:val="da-DK"/>
              </w:rPr>
            </w:pPr>
          </w:p>
          <w:p w14:paraId="21A27B30" w14:textId="77777777" w:rsidR="003A252E" w:rsidRDefault="003A252E" w:rsidP="00A14AF3">
            <w:pPr>
              <w:keepNext/>
              <w:rPr>
                <w:rFonts w:ascii="Arial" w:hAnsi="Arial" w:cs="Arial"/>
                <w:iCs/>
                <w:sz w:val="16"/>
                <w:szCs w:val="16"/>
                <w:lang w:val="da-DK"/>
              </w:rPr>
            </w:pPr>
          </w:p>
          <w:p w14:paraId="715C9C01" w14:textId="77777777" w:rsidR="003A252E" w:rsidRDefault="003A252E" w:rsidP="00A14AF3">
            <w:pPr>
              <w:jc w:val="center"/>
            </w:pPr>
            <w:r>
              <w:rPr>
                <w:noProof/>
                <w:lang w:val="en-AU" w:eastAsia="en-AU"/>
              </w:rPr>
              <mc:AlternateContent>
                <mc:Choice Requires="wps">
                  <w:drawing>
                    <wp:anchor distT="0" distB="0" distL="114300" distR="114300" simplePos="0" relativeHeight="251697152" behindDoc="0" locked="0" layoutInCell="1" allowOverlap="1" wp14:anchorId="5F45D38A" wp14:editId="14D14095">
                      <wp:simplePos x="0" y="0"/>
                      <wp:positionH relativeFrom="column">
                        <wp:posOffset>1786890</wp:posOffset>
                      </wp:positionH>
                      <wp:positionV relativeFrom="paragraph">
                        <wp:posOffset>178435</wp:posOffset>
                      </wp:positionV>
                      <wp:extent cx="914400" cy="342900"/>
                      <wp:effectExtent l="0" t="0" r="0" b="0"/>
                      <wp:wrapNone/>
                      <wp:docPr id="26"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BD0416" w14:textId="77777777" w:rsidR="00324BA8" w:rsidRPr="004A10F3" w:rsidRDefault="00324BA8" w:rsidP="003A252E">
                                  <w:pPr>
                                    <w:rPr>
                                      <w:rFonts w:ascii="Verdana" w:hAnsi="Verdana"/>
                                      <w:b/>
                                      <w:sz w:val="20"/>
                                      <w:szCs w:val="20"/>
                                    </w:rPr>
                                  </w:pPr>
                                  <w:r>
                                    <w:rPr>
                                      <w:rFonts w:ascii="Verdana" w:hAnsi="Verdana"/>
                                      <w:b/>
                                      <w:sz w:val="20"/>
                                      <w:szCs w:val="20"/>
                                    </w:rPr>
                                    <w:t>LEAD 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031" type="#_x0000_t202" style="position:absolute;left:0;text-align:left;margin-left:140.7pt;margin-top:14.05pt;width:1in;height:2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" stroked="f">
                      <v:textbox>
                        <w:txbxContent>
                          <w:p w14:paraId="7DBD0416" w14:textId="77777777" w:rsidR="00324BA8" w:rsidRPr="004A10F3" w:rsidRDefault="00324BA8" w:rsidP="003A252E">
                            <w:pPr>
                              <w:rPr>
                                <w:rFonts w:ascii="Verdana" w:hAnsi="Verdana"/>
                                <w:b/>
                                <w:sz w:val="20"/>
                                <w:szCs w:val="20"/>
                              </w:rPr>
                            </w:pPr>
                            <w:r>
                              <w:rPr>
                                <w:rFonts w:ascii="Verdana" w:hAnsi="Verdana"/>
                                <w:b/>
                                <w:sz w:val="20"/>
                                <w:szCs w:val="20"/>
                              </w:rPr>
                              <w:t>LEAD 5</w:t>
                            </w:r>
                          </w:p>
                        </w:txbxContent>
                      </v:textbox>
                    </v:shape>
                  </w:pict>
                </mc:Fallback>
              </mc:AlternateContent>
            </w:r>
            <w:r>
              <w:rPr>
                <w:noProof/>
                <w:lang w:val="en-AU" w:eastAsia="en-AU"/>
              </w:rPr>
              <w:drawing>
                <wp:inline distT="0" distB="0" distL="0" distR="0" wp14:anchorId="3AA759BD" wp14:editId="412A77AF">
                  <wp:extent cx="2762250" cy="20955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62250" cy="2095500"/>
                          </a:xfrm>
                          <a:prstGeom prst="rect">
                            <a:avLst/>
                          </a:prstGeom>
                          <a:noFill/>
                          <a:ln>
                            <a:noFill/>
                          </a:ln>
                        </pic:spPr>
                      </pic:pic>
                    </a:graphicData>
                  </a:graphic>
                </wp:inline>
              </w:drawing>
            </w:r>
          </w:p>
          <w:p w14:paraId="08D9BBB7" w14:textId="77777777" w:rsidR="003A252E" w:rsidRDefault="003A252E" w:rsidP="00A14AF3">
            <w:pPr>
              <w:jc w:val="both"/>
              <w:rPr>
                <w:rFonts w:ascii="Arial" w:hAnsi="Arial" w:cs="Arial"/>
                <w:iCs/>
                <w:sz w:val="16"/>
                <w:szCs w:val="16"/>
                <w:lang w:val="da-DK"/>
              </w:rPr>
            </w:pPr>
            <w:r w:rsidRPr="00F37766">
              <w:rPr>
                <w:b/>
                <w:sz w:val="22"/>
              </w:rPr>
              <w:t>Figure 5</w:t>
            </w:r>
            <w:r w:rsidRPr="00F37766">
              <w:rPr>
                <w:b/>
                <w:sz w:val="22"/>
              </w:rPr>
              <w:tab/>
              <w:t xml:space="preserve">Change in Body Weight over Time, Mean </w:t>
            </w:r>
            <w:r w:rsidRPr="00F37766">
              <w:rPr>
                <w:b/>
                <w:sz w:val="22"/>
              </w:rPr>
              <w:sym w:font="Symbol" w:char="F0B1"/>
            </w:r>
            <w:r w:rsidRPr="00F37766">
              <w:rPr>
                <w:b/>
                <w:sz w:val="22"/>
              </w:rPr>
              <w:t>2 SEM</w:t>
            </w:r>
          </w:p>
          <w:p w14:paraId="24031DCB" w14:textId="77777777" w:rsidR="003A252E" w:rsidRPr="00AD43A0" w:rsidRDefault="003A252E" w:rsidP="00A14AF3">
            <w:pPr>
              <w:keepNext/>
              <w:rPr>
                <w:rFonts w:ascii="Arial" w:hAnsi="Arial" w:cs="Arial"/>
                <w:iCs/>
                <w:sz w:val="16"/>
                <w:szCs w:val="16"/>
                <w:lang w:val="da-DK"/>
              </w:rPr>
            </w:pPr>
          </w:p>
        </w:tc>
      </w:tr>
    </w:tbl>
    <w:p w14:paraId="0F4C475B" w14:textId="77777777" w:rsidR="00127ECE" w:rsidRPr="007D2EB5" w:rsidRDefault="00127ECE" w:rsidP="00127ECE">
      <w:pPr>
        <w:pStyle w:val="Heading4"/>
        <w:rPr>
          <w:b/>
          <w:sz w:val="22"/>
          <w:szCs w:val="22"/>
        </w:rPr>
      </w:pPr>
      <w:r w:rsidRPr="007D2EB5">
        <w:rPr>
          <w:b/>
          <w:i w:val="0"/>
          <w:sz w:val="22"/>
          <w:szCs w:val="22"/>
          <w:u w:val="single"/>
        </w:rPr>
        <w:t>F. Cardiovascular evaluation</w:t>
      </w:r>
    </w:p>
    <w:p w14:paraId="7C5A1BD6" w14:textId="77777777" w:rsidR="00127ECE" w:rsidRPr="007D2EB5" w:rsidRDefault="00127ECE" w:rsidP="00127ECE">
      <w:pPr>
        <w:pStyle w:val="Heading5"/>
        <w:rPr>
          <w:noProof/>
          <w:sz w:val="22"/>
          <w:szCs w:val="22"/>
        </w:rPr>
      </w:pPr>
      <w:r w:rsidRPr="008A6F3F">
        <w:rPr>
          <w:i w:val="0"/>
          <w:noProof/>
          <w:sz w:val="22"/>
          <w:szCs w:val="22"/>
          <w:u w:val="single"/>
        </w:rPr>
        <w:t>F.i. Phase 2 and 3a trials</w:t>
      </w:r>
    </w:p>
    <w:p w14:paraId="27EAE046" w14:textId="77777777" w:rsidR="00127ECE" w:rsidRPr="008A6F3F" w:rsidRDefault="00127ECE" w:rsidP="00127ECE">
      <w:pPr>
        <w:pStyle w:val="Heading6"/>
        <w:rPr>
          <w:i/>
          <w:sz w:val="22"/>
          <w:szCs w:val="22"/>
          <w:lang w:val="en-GB"/>
        </w:rPr>
      </w:pPr>
      <w:r w:rsidRPr="008A6F3F">
        <w:rPr>
          <w:i/>
          <w:sz w:val="22"/>
          <w:szCs w:val="22"/>
          <w:u w:val="none"/>
          <w:lang w:val="da-DK"/>
        </w:rPr>
        <w:t>F.i.a) Major adverse cardiovascular events</w:t>
      </w:r>
      <w:r w:rsidRPr="008A6F3F">
        <w:rPr>
          <w:i/>
          <w:sz w:val="22"/>
          <w:szCs w:val="22"/>
        </w:rPr>
        <w:t xml:space="preserve"> </w:t>
      </w:r>
    </w:p>
    <w:p w14:paraId="78AA96BF" w14:textId="77777777" w:rsidR="00127ECE" w:rsidRPr="007D2EB5" w:rsidRDefault="00127ECE" w:rsidP="00127ECE">
      <w:pPr>
        <w:jc w:val="both"/>
        <w:rPr>
          <w:sz w:val="22"/>
          <w:szCs w:val="22"/>
          <w:lang w:val="da-DK"/>
        </w:rPr>
      </w:pPr>
      <w:r w:rsidRPr="007D2EB5">
        <w:rPr>
          <w:i/>
          <w:sz w:val="22"/>
          <w:szCs w:val="22"/>
          <w:lang w:val="da-DK"/>
        </w:rPr>
        <w:lastRenderedPageBreak/>
        <w:t>Post-hoc</w:t>
      </w:r>
      <w:r w:rsidRPr="007D2EB5">
        <w:rPr>
          <w:sz w:val="22"/>
          <w:szCs w:val="22"/>
          <w:lang w:val="da-DK"/>
        </w:rPr>
        <w:t xml:space="preserve"> analysis of serious major adverse cardiovascular events (cardiovascular death, myocardial infarction, stroke) from all intermediate and long-term phase 2 and 3a trials (ranging from 26 and up to 100 weeks’ duration) including 5,607 patients (3,651 exposed to Victoza), showed no increase in cardiovascular risk (incidence ratio of 0.75 (95% CI: 0.35; 1.63)for Victoza versus all comparators.</w:t>
      </w:r>
    </w:p>
    <w:p w14:paraId="43661BDE" w14:textId="77777777" w:rsidR="00127ECE" w:rsidRPr="007D2EB5" w:rsidRDefault="00127ECE" w:rsidP="00127ECE">
      <w:pPr>
        <w:jc w:val="both"/>
        <w:rPr>
          <w:sz w:val="22"/>
          <w:szCs w:val="22"/>
          <w:lang w:val="da-DK"/>
        </w:rPr>
      </w:pPr>
    </w:p>
    <w:p w14:paraId="3F47DE81" w14:textId="77777777" w:rsidR="00127ECE" w:rsidRPr="008A6F3F" w:rsidRDefault="00127ECE" w:rsidP="00127ECE">
      <w:pPr>
        <w:pStyle w:val="Heading6"/>
        <w:rPr>
          <w:i/>
          <w:sz w:val="22"/>
          <w:szCs w:val="22"/>
          <w:lang w:val="da-DK"/>
        </w:rPr>
      </w:pPr>
      <w:r w:rsidRPr="008A6F3F">
        <w:rPr>
          <w:i/>
          <w:sz w:val="22"/>
          <w:szCs w:val="22"/>
          <w:u w:val="none"/>
          <w:lang w:val="da-DK"/>
        </w:rPr>
        <w:t>F.i.b) Blood pressure</w:t>
      </w:r>
    </w:p>
    <w:p w14:paraId="432FBFF3" w14:textId="77777777" w:rsidR="00127ECE" w:rsidRPr="007D2EB5" w:rsidRDefault="00127ECE" w:rsidP="00127ECE">
      <w:pPr>
        <w:jc w:val="both"/>
        <w:rPr>
          <w:bCs/>
          <w:iCs/>
          <w:sz w:val="22"/>
          <w:szCs w:val="22"/>
        </w:rPr>
      </w:pPr>
      <w:r w:rsidRPr="007D2EB5">
        <w:rPr>
          <w:noProof/>
          <w:sz w:val="22"/>
          <w:szCs w:val="22"/>
        </w:rPr>
        <w:t>Victoza</w:t>
      </w:r>
      <w:r w:rsidRPr="007D2EB5">
        <w:rPr>
          <w:bCs/>
          <w:iCs/>
          <w:sz w:val="22"/>
          <w:szCs w:val="22"/>
        </w:rPr>
        <w:t xml:space="preserve"> reduced systolic blood pressure with a mean range</w:t>
      </w:r>
      <w:r w:rsidRPr="007D2EB5">
        <w:rPr>
          <w:bCs/>
          <w:i/>
          <w:iCs/>
          <w:sz w:val="22"/>
          <w:szCs w:val="22"/>
        </w:rPr>
        <w:t xml:space="preserve"> </w:t>
      </w:r>
      <w:r w:rsidRPr="007D2EB5">
        <w:rPr>
          <w:bCs/>
          <w:iCs/>
          <w:sz w:val="22"/>
          <w:szCs w:val="22"/>
        </w:rPr>
        <w:t>of</w:t>
      </w:r>
      <w:r w:rsidRPr="007D2EB5">
        <w:rPr>
          <w:bCs/>
          <w:i/>
          <w:iCs/>
          <w:sz w:val="22"/>
          <w:szCs w:val="22"/>
        </w:rPr>
        <w:t xml:space="preserve"> </w:t>
      </w:r>
      <w:r w:rsidRPr="007D2EB5">
        <w:rPr>
          <w:bCs/>
          <w:iCs/>
          <w:sz w:val="22"/>
          <w:szCs w:val="22"/>
        </w:rPr>
        <w:t>2-6 mm Hg within the first two weeks of treatment in long-term clinical trials</w:t>
      </w:r>
      <w:r w:rsidRPr="007D2EB5">
        <w:rPr>
          <w:bCs/>
          <w:i/>
          <w:iCs/>
          <w:sz w:val="22"/>
          <w:szCs w:val="22"/>
        </w:rPr>
        <w:t xml:space="preserve">. </w:t>
      </w:r>
      <w:r w:rsidRPr="007D2EB5">
        <w:rPr>
          <w:bCs/>
          <w:iCs/>
          <w:sz w:val="22"/>
          <w:szCs w:val="22"/>
        </w:rPr>
        <w:t>The reduction in systolic blood pressure occurred before weight loss.</w:t>
      </w:r>
    </w:p>
    <w:p w14:paraId="19E392E3" w14:textId="77777777" w:rsidR="00127ECE" w:rsidRPr="007D2EB5" w:rsidRDefault="00127ECE" w:rsidP="00127ECE">
      <w:pPr>
        <w:jc w:val="both"/>
        <w:rPr>
          <w:bCs/>
          <w:iCs/>
          <w:sz w:val="22"/>
          <w:szCs w:val="22"/>
        </w:rPr>
      </w:pPr>
    </w:p>
    <w:p w14:paraId="4A86DE7D" w14:textId="77777777" w:rsidR="00127ECE" w:rsidRPr="008A6F3F" w:rsidRDefault="00127ECE" w:rsidP="00127ECE">
      <w:pPr>
        <w:pStyle w:val="Heading6"/>
        <w:rPr>
          <w:i/>
          <w:sz w:val="22"/>
          <w:szCs w:val="22"/>
          <w:lang w:val="da-DK"/>
        </w:rPr>
      </w:pPr>
      <w:r w:rsidRPr="008A6F3F">
        <w:rPr>
          <w:i/>
          <w:sz w:val="22"/>
          <w:szCs w:val="22"/>
          <w:u w:val="none"/>
          <w:lang w:val="da-DK"/>
        </w:rPr>
        <w:t>F.i.c) Lipids</w:t>
      </w:r>
    </w:p>
    <w:p w14:paraId="1B6FC5EC" w14:textId="33123AF3" w:rsidR="003A252E" w:rsidRDefault="00127ECE" w:rsidP="00127ECE">
      <w:pPr>
        <w:jc w:val="both"/>
        <w:rPr>
          <w:noProof/>
          <w:sz w:val="22"/>
          <w:szCs w:val="22"/>
        </w:rPr>
      </w:pPr>
      <w:r w:rsidRPr="007D2EB5" w:rsidDel="007F6E56">
        <w:rPr>
          <w:noProof/>
          <w:sz w:val="22"/>
          <w:szCs w:val="22"/>
        </w:rPr>
        <w:t>Victoza</w:t>
      </w:r>
      <w:r w:rsidRPr="007D2EB5" w:rsidDel="007F6E56">
        <w:rPr>
          <w:bCs/>
          <w:iCs/>
          <w:sz w:val="22"/>
          <w:szCs w:val="22"/>
        </w:rPr>
        <w:t xml:space="preserve"> showed no adverse effects on lipid parameters.</w:t>
      </w:r>
    </w:p>
    <w:p w14:paraId="2A08A6DB" w14:textId="77777777" w:rsidR="003A252E" w:rsidRDefault="003A252E" w:rsidP="00416832">
      <w:pPr>
        <w:jc w:val="both"/>
        <w:rPr>
          <w:noProof/>
          <w:sz w:val="22"/>
          <w:szCs w:val="22"/>
        </w:rPr>
      </w:pPr>
    </w:p>
    <w:p w14:paraId="6CA6C3A0" w14:textId="77777777" w:rsidR="00127ECE" w:rsidRPr="007D2EB5" w:rsidRDefault="00127ECE" w:rsidP="00127ECE">
      <w:pPr>
        <w:pStyle w:val="Heading5"/>
        <w:rPr>
          <w:b/>
          <w:sz w:val="22"/>
          <w:szCs w:val="22"/>
        </w:rPr>
      </w:pPr>
      <w:r w:rsidRPr="008A6F3F">
        <w:rPr>
          <w:i w:val="0"/>
          <w:noProof/>
          <w:sz w:val="22"/>
          <w:szCs w:val="22"/>
          <w:u w:val="single"/>
        </w:rPr>
        <w:t>F.ii. Cardiovascular outcomes, phase 3b LEADER trial</w:t>
      </w:r>
      <w:r w:rsidRPr="007D2EB5">
        <w:rPr>
          <w:b/>
          <w:sz w:val="22"/>
          <w:szCs w:val="22"/>
        </w:rPr>
        <w:t xml:space="preserve"> </w:t>
      </w:r>
    </w:p>
    <w:p w14:paraId="153E4E1E" w14:textId="54ABD0E0" w:rsidR="003A252E" w:rsidRDefault="00127ECE" w:rsidP="00127ECE">
      <w:pPr>
        <w:jc w:val="both"/>
        <w:rPr>
          <w:noProof/>
          <w:sz w:val="22"/>
          <w:szCs w:val="22"/>
        </w:rPr>
      </w:pPr>
      <w:r w:rsidRPr="007D2EB5">
        <w:rPr>
          <w:sz w:val="22"/>
          <w:szCs w:val="22"/>
          <w:lang w:val="da-DK"/>
        </w:rPr>
        <w:t>The Liraglutide Effect and Action in Diabetes Evaluation of Cardiovascular Outcome Results (LEADER) trial was a multicentre, placebo-controlled, double-blind clinical trial. 9,340 patients were randomly allocated to either Victoza (4,668) or placebo (4,672), both in addition to standards of care for managing HbA</w:t>
      </w:r>
      <w:r w:rsidRPr="007D2EB5">
        <w:rPr>
          <w:sz w:val="22"/>
          <w:szCs w:val="22"/>
          <w:vertAlign w:val="subscript"/>
          <w:lang w:val="da-DK"/>
        </w:rPr>
        <w:t>1c</w:t>
      </w:r>
      <w:r w:rsidRPr="007D2EB5">
        <w:rPr>
          <w:sz w:val="22"/>
          <w:szCs w:val="22"/>
          <w:lang w:val="da-DK"/>
        </w:rPr>
        <w:t xml:space="preserve"> and cardiovascular (CV) risk factors. Patients had type 2 diabetes and </w:t>
      </w:r>
      <w:r w:rsidRPr="007D2EB5">
        <w:rPr>
          <w:sz w:val="22"/>
          <w:szCs w:val="22"/>
        </w:rPr>
        <w:t>were</w:t>
      </w:r>
      <w:r w:rsidRPr="007D2EB5">
        <w:rPr>
          <w:sz w:val="22"/>
          <w:szCs w:val="22"/>
          <w:lang w:val="en-GB"/>
        </w:rPr>
        <w:t xml:space="preserve"> anti-diabetic medication naïve or treated with one or more OADs or insulin (human NPH insulin, long-acting insulin or premixed insulin – either alone or in combination with OAD(s)) - at baseline (SOC). Patients </w:t>
      </w:r>
      <w:r w:rsidRPr="007D2EB5">
        <w:rPr>
          <w:sz w:val="22"/>
          <w:szCs w:val="22"/>
          <w:lang w:val="da-DK"/>
        </w:rPr>
        <w:t xml:space="preserve">were also at high risk of cardiovascular events, defined as either </w:t>
      </w:r>
      <w:r w:rsidRPr="007D2EB5">
        <w:rPr>
          <w:sz w:val="22"/>
          <w:szCs w:val="22"/>
        </w:rPr>
        <w:t xml:space="preserve">50 years of age and with concomitant cardiovascular, cerebrovascular, peripheral vascular disease, chronic renal failure or chronic heart failure, or 60 years of age and other specified risk factors of vascular disease. </w:t>
      </w:r>
      <w:r w:rsidRPr="007D2EB5">
        <w:rPr>
          <w:sz w:val="22"/>
          <w:szCs w:val="22"/>
          <w:highlight w:val="lightGray"/>
        </w:rPr>
        <w:t xml:space="preserve"> </w:t>
      </w:r>
      <w:r w:rsidRPr="007D2EB5">
        <w:rPr>
          <w:sz w:val="22"/>
          <w:szCs w:val="22"/>
        </w:rPr>
        <w:t xml:space="preserve"> </w:t>
      </w:r>
    </w:p>
    <w:p w14:paraId="12478AB3" w14:textId="77777777" w:rsidR="003A252E" w:rsidRDefault="003A252E" w:rsidP="00416832">
      <w:pPr>
        <w:jc w:val="both"/>
        <w:rPr>
          <w:noProof/>
          <w:sz w:val="22"/>
          <w:szCs w:val="22"/>
        </w:rPr>
      </w:pPr>
    </w:p>
    <w:p w14:paraId="5DA0B889" w14:textId="1EE14F9E" w:rsidR="003A252E" w:rsidRDefault="00127ECE" w:rsidP="00416832">
      <w:pPr>
        <w:jc w:val="both"/>
        <w:rPr>
          <w:noProof/>
          <w:sz w:val="22"/>
          <w:szCs w:val="22"/>
        </w:rPr>
      </w:pPr>
      <w:r w:rsidRPr="007D2EB5">
        <w:rPr>
          <w:iCs/>
          <w:sz w:val="22"/>
          <w:szCs w:val="22"/>
          <w:lang w:val="en-GB"/>
        </w:rPr>
        <w:t xml:space="preserve">Primary outcome or vital status at end of trial was available for 99.7% and 99.6% of participants randomised to </w:t>
      </w:r>
      <w:r w:rsidRPr="007D2EB5">
        <w:rPr>
          <w:iCs/>
          <w:sz w:val="22"/>
          <w:szCs w:val="22"/>
          <w:lang w:val="id-ID"/>
        </w:rPr>
        <w:t>Victoza</w:t>
      </w:r>
      <w:r w:rsidRPr="007D2EB5">
        <w:rPr>
          <w:iCs/>
          <w:sz w:val="22"/>
          <w:szCs w:val="22"/>
          <w:lang w:val="en-GB"/>
        </w:rPr>
        <w:t xml:space="preserve"> and placebo, respectively. The duration of observation was </w:t>
      </w:r>
      <w:proofErr w:type="gramStart"/>
      <w:r w:rsidRPr="007D2EB5">
        <w:rPr>
          <w:iCs/>
          <w:sz w:val="22"/>
          <w:szCs w:val="22"/>
          <w:lang w:val="en-GB"/>
        </w:rPr>
        <w:t>minimum</w:t>
      </w:r>
      <w:proofErr w:type="gramEnd"/>
      <w:r w:rsidRPr="007D2EB5">
        <w:rPr>
          <w:iCs/>
          <w:sz w:val="22"/>
          <w:szCs w:val="22"/>
          <w:lang w:val="en-GB"/>
        </w:rPr>
        <w:t xml:space="preserve"> 3.5</w:t>
      </w:r>
      <w:r>
        <w:rPr>
          <w:iCs/>
          <w:sz w:val="22"/>
          <w:szCs w:val="22"/>
          <w:lang w:val="en-GB"/>
        </w:rPr>
        <w:t xml:space="preserve"> </w:t>
      </w:r>
      <w:r w:rsidRPr="007D2EB5">
        <w:rPr>
          <w:iCs/>
          <w:sz w:val="22"/>
          <w:szCs w:val="22"/>
          <w:lang w:val="en-GB"/>
        </w:rPr>
        <w:t>years and up to a maximum of 5</w:t>
      </w:r>
      <w:r>
        <w:rPr>
          <w:iCs/>
          <w:sz w:val="22"/>
          <w:szCs w:val="22"/>
          <w:lang w:val="en-GB"/>
        </w:rPr>
        <w:t xml:space="preserve"> </w:t>
      </w:r>
      <w:r w:rsidRPr="007D2EB5">
        <w:rPr>
          <w:iCs/>
          <w:sz w:val="22"/>
          <w:szCs w:val="22"/>
          <w:lang w:val="en-GB"/>
        </w:rPr>
        <w:t>years. The study population included patients ≥65</w:t>
      </w:r>
      <w:r>
        <w:rPr>
          <w:iCs/>
          <w:sz w:val="22"/>
          <w:szCs w:val="22"/>
          <w:lang w:val="en-GB"/>
        </w:rPr>
        <w:t xml:space="preserve"> </w:t>
      </w:r>
      <w:r w:rsidRPr="007D2EB5">
        <w:rPr>
          <w:iCs/>
          <w:sz w:val="22"/>
          <w:szCs w:val="22"/>
          <w:lang w:val="en-GB"/>
        </w:rPr>
        <w:t>years (n=4,329) and ≥75</w:t>
      </w:r>
      <w:r>
        <w:rPr>
          <w:iCs/>
          <w:sz w:val="22"/>
          <w:szCs w:val="22"/>
          <w:lang w:val="en-GB"/>
        </w:rPr>
        <w:t xml:space="preserve"> </w:t>
      </w:r>
      <w:r w:rsidRPr="007D2EB5">
        <w:rPr>
          <w:iCs/>
          <w:sz w:val="22"/>
          <w:szCs w:val="22"/>
          <w:lang w:val="en-GB"/>
        </w:rPr>
        <w:t xml:space="preserve">years (n=836), and </w:t>
      </w:r>
      <w:r w:rsidRPr="007D2EB5">
        <w:rPr>
          <w:iCs/>
          <w:sz w:val="22"/>
          <w:szCs w:val="22"/>
        </w:rPr>
        <w:t xml:space="preserve">patients </w:t>
      </w:r>
      <w:r w:rsidRPr="007D2EB5">
        <w:rPr>
          <w:iCs/>
          <w:sz w:val="22"/>
          <w:szCs w:val="22"/>
          <w:lang w:val="en-GB"/>
        </w:rPr>
        <w:t>with mild (n=3,907), moderate (n=1,934) or severe (n=224) renal impairment. The mean age was 64 years and the mean BMI was 32.5</w:t>
      </w:r>
      <w:r>
        <w:rPr>
          <w:iCs/>
          <w:sz w:val="22"/>
          <w:szCs w:val="22"/>
          <w:lang w:val="en-GB"/>
        </w:rPr>
        <w:t xml:space="preserve"> </w:t>
      </w:r>
      <w:r w:rsidRPr="007D2EB5">
        <w:rPr>
          <w:iCs/>
          <w:sz w:val="22"/>
          <w:szCs w:val="22"/>
          <w:lang w:val="en-GB"/>
        </w:rPr>
        <w:t>kg/m². The mean duration of diabetes was 12.8</w:t>
      </w:r>
      <w:r>
        <w:rPr>
          <w:iCs/>
          <w:sz w:val="22"/>
          <w:szCs w:val="22"/>
          <w:lang w:val="en-GB"/>
        </w:rPr>
        <w:t xml:space="preserve"> </w:t>
      </w:r>
      <w:r w:rsidRPr="007D2EB5">
        <w:rPr>
          <w:iCs/>
          <w:sz w:val="22"/>
          <w:szCs w:val="22"/>
          <w:lang w:val="en-GB"/>
        </w:rPr>
        <w:t xml:space="preserve">years. </w:t>
      </w:r>
    </w:p>
    <w:p w14:paraId="79D452DB" w14:textId="77777777" w:rsidR="003A252E" w:rsidRDefault="003A252E" w:rsidP="00416832">
      <w:pPr>
        <w:jc w:val="both"/>
        <w:rPr>
          <w:noProof/>
          <w:sz w:val="22"/>
          <w:szCs w:val="22"/>
        </w:rPr>
      </w:pPr>
    </w:p>
    <w:p w14:paraId="06968C68" w14:textId="77777777" w:rsidR="00127ECE" w:rsidRPr="008A6F3F" w:rsidRDefault="00127ECE" w:rsidP="00127ECE">
      <w:pPr>
        <w:pStyle w:val="Heading6"/>
        <w:rPr>
          <w:i/>
          <w:sz w:val="22"/>
          <w:szCs w:val="22"/>
          <w:lang w:val="en-GB"/>
        </w:rPr>
      </w:pPr>
      <w:r w:rsidRPr="008A6F3F">
        <w:rPr>
          <w:i/>
          <w:sz w:val="22"/>
          <w:szCs w:val="22"/>
          <w:u w:val="none"/>
          <w:lang w:val="da-DK"/>
        </w:rPr>
        <w:t>F.ii.a) Cardiovascular events</w:t>
      </w:r>
    </w:p>
    <w:p w14:paraId="617B9BC2" w14:textId="055DECDE" w:rsidR="003A252E" w:rsidRDefault="00127ECE" w:rsidP="00127ECE">
      <w:pPr>
        <w:jc w:val="both"/>
        <w:rPr>
          <w:noProof/>
          <w:sz w:val="22"/>
          <w:szCs w:val="22"/>
        </w:rPr>
      </w:pPr>
      <w:r w:rsidRPr="007D2EB5">
        <w:rPr>
          <w:iCs/>
          <w:sz w:val="22"/>
          <w:szCs w:val="22"/>
          <w:lang w:val="en-GB"/>
        </w:rPr>
        <w:t>The primary endpoint was the time from randomisation to first occurrence of any major adverse cardiovascular events (MACE): CV</w:t>
      </w:r>
      <w:r w:rsidRPr="007D2EB5">
        <w:rPr>
          <w:iCs/>
          <w:sz w:val="22"/>
          <w:szCs w:val="22"/>
          <w:lang w:val="id-ID"/>
        </w:rPr>
        <w:t xml:space="preserve"> </w:t>
      </w:r>
      <w:r w:rsidRPr="007D2EB5">
        <w:rPr>
          <w:iCs/>
          <w:sz w:val="22"/>
          <w:szCs w:val="22"/>
          <w:lang w:val="en-GB"/>
        </w:rPr>
        <w:t xml:space="preserve">death, non-fatal myocardial infarction, or non-fatal stroke. </w:t>
      </w:r>
      <w:r w:rsidRPr="007D2EB5">
        <w:rPr>
          <w:iCs/>
          <w:sz w:val="22"/>
          <w:szCs w:val="22"/>
          <w:lang w:val="id-ID"/>
        </w:rPr>
        <w:t>Victoza</w:t>
      </w:r>
      <w:r w:rsidRPr="007D2EB5">
        <w:rPr>
          <w:iCs/>
          <w:sz w:val="22"/>
          <w:szCs w:val="22"/>
          <w:lang w:val="en-GB"/>
        </w:rPr>
        <w:t xml:space="preserve"> significantly reduced the risk of MACE vs placebo with an estimated hazard ratio [95% CI] of 0.87 [0.78, 0.97] (p=0.005), corresponding to a relative risk reduction of 13%  (Figure 6). </w:t>
      </w:r>
      <w:r w:rsidR="00CF4211" w:rsidRPr="00CF4211">
        <w:rPr>
          <w:iCs/>
          <w:sz w:val="22"/>
          <w:szCs w:val="22"/>
          <w:lang w:val="en-GB"/>
        </w:rPr>
        <w:t>T</w:t>
      </w:r>
      <w:r w:rsidR="00CF4211" w:rsidRPr="00CF4211">
        <w:rPr>
          <w:iCs/>
          <w:sz w:val="22"/>
          <w:szCs w:val="22"/>
        </w:rPr>
        <w:t xml:space="preserve">he </w:t>
      </w:r>
      <w:proofErr w:type="gramStart"/>
      <w:r w:rsidR="00CF4211" w:rsidRPr="00CF4211">
        <w:rPr>
          <w:iCs/>
          <w:sz w:val="22"/>
          <w:szCs w:val="22"/>
        </w:rPr>
        <w:t>number  of</w:t>
      </w:r>
      <w:proofErr w:type="gramEnd"/>
      <w:r w:rsidR="00CF4211" w:rsidRPr="00CF4211">
        <w:rPr>
          <w:iCs/>
          <w:sz w:val="22"/>
          <w:szCs w:val="22"/>
        </w:rPr>
        <w:t xml:space="preserve"> subjects that needed to be treated with Victoza for 3 years to prevent the first MACE was 66.</w:t>
      </w:r>
      <w:r w:rsidR="00CF4211" w:rsidRPr="00CF4211">
        <w:rPr>
          <w:iCs/>
          <w:sz w:val="22"/>
          <w:szCs w:val="22"/>
          <w:lang w:val="en-GB"/>
        </w:rPr>
        <w:t xml:space="preserve"> </w:t>
      </w:r>
      <w:r w:rsidRPr="007D2EB5">
        <w:rPr>
          <w:iCs/>
          <w:sz w:val="22"/>
          <w:szCs w:val="22"/>
          <w:lang w:val="en-GB"/>
        </w:rPr>
        <w:t xml:space="preserve">The </w:t>
      </w:r>
      <w:r w:rsidRPr="007D2EB5">
        <w:rPr>
          <w:iCs/>
          <w:sz w:val="22"/>
          <w:szCs w:val="22"/>
          <w:lang w:val="id-ID"/>
        </w:rPr>
        <w:t xml:space="preserve">estimated </w:t>
      </w:r>
      <w:r w:rsidRPr="007D2EB5">
        <w:rPr>
          <w:iCs/>
          <w:sz w:val="22"/>
          <w:szCs w:val="22"/>
          <w:lang w:val="en-GB"/>
        </w:rPr>
        <w:t>hazard ratio (HR) was consistently below 1 for all 3 MACE components.</w:t>
      </w:r>
    </w:p>
    <w:p w14:paraId="5E135996" w14:textId="77777777" w:rsidR="003A252E" w:rsidRDefault="003A252E" w:rsidP="00416832">
      <w:pPr>
        <w:jc w:val="both"/>
        <w:rPr>
          <w:noProof/>
          <w:sz w:val="22"/>
          <w:szCs w:val="22"/>
        </w:rPr>
      </w:pPr>
    </w:p>
    <w:bookmarkStart w:id="5" w:name="_MON_1534865364"/>
    <w:bookmarkEnd w:id="5"/>
    <w:p w14:paraId="6CFF83EE" w14:textId="5EC38B5C" w:rsidR="00127ECE" w:rsidRDefault="00127ECE" w:rsidP="00416832">
      <w:pPr>
        <w:jc w:val="both"/>
        <w:rPr>
          <w:noProof/>
          <w:sz w:val="22"/>
          <w:szCs w:val="22"/>
        </w:rPr>
      </w:pPr>
      <w:r>
        <w:rPr>
          <w:rStyle w:val="PageNumber"/>
          <w:sz w:val="22"/>
          <w:szCs w:val="22"/>
        </w:rPr>
        <w:object w:dxaOrig="5670" w:dyaOrig="3633" w14:anchorId="10386691">
          <v:shape id="_x0000_i1029" type="#_x0000_t75" style="width:283.5pt;height:181.5pt" o:ole="">
            <v:imagedata r:id="rId29" o:title=""/>
          </v:shape>
          <o:OLEObject Type="Embed" ProgID="Word.Document.12" ShapeID="_x0000_i1029" DrawAspect="Content" ObjectID="_1624866211" r:id="rId30">
            <o:FieldCodes>\s</o:FieldCodes>
          </o:OLEObject>
        </w:object>
      </w:r>
    </w:p>
    <w:p w14:paraId="21753766" w14:textId="3C6C0F84" w:rsidR="00127ECE" w:rsidRDefault="00127ECE" w:rsidP="00416832">
      <w:pPr>
        <w:jc w:val="both"/>
        <w:rPr>
          <w:noProof/>
          <w:sz w:val="22"/>
          <w:szCs w:val="22"/>
        </w:rPr>
      </w:pPr>
      <w:r w:rsidRPr="00F37766">
        <w:rPr>
          <w:b/>
          <w:sz w:val="22"/>
        </w:rPr>
        <w:t xml:space="preserve">Figure </w:t>
      </w:r>
      <w:r>
        <w:rPr>
          <w:b/>
          <w:sz w:val="22"/>
        </w:rPr>
        <w:t>6</w:t>
      </w:r>
      <w:r w:rsidRPr="00F37766">
        <w:rPr>
          <w:b/>
          <w:sz w:val="22"/>
        </w:rPr>
        <w:tab/>
      </w:r>
      <w:r w:rsidRPr="00C1349A">
        <w:rPr>
          <w:b/>
          <w:sz w:val="22"/>
        </w:rPr>
        <w:t xml:space="preserve">Kaplan Meier plot of time to first MACE </w:t>
      </w:r>
      <w:r>
        <w:rPr>
          <w:b/>
          <w:sz w:val="22"/>
        </w:rPr>
        <w:t>–</w:t>
      </w:r>
      <w:r w:rsidRPr="00C1349A">
        <w:rPr>
          <w:b/>
          <w:sz w:val="22"/>
        </w:rPr>
        <w:t xml:space="preserve"> </w:t>
      </w:r>
      <w:r>
        <w:rPr>
          <w:b/>
          <w:sz w:val="22"/>
        </w:rPr>
        <w:t>Full analysis set (</w:t>
      </w:r>
      <w:r w:rsidRPr="00C1349A">
        <w:rPr>
          <w:b/>
          <w:sz w:val="22"/>
        </w:rPr>
        <w:t>FAS</w:t>
      </w:r>
      <w:r>
        <w:rPr>
          <w:b/>
          <w:sz w:val="22"/>
        </w:rPr>
        <w:t>)</w:t>
      </w:r>
      <w:r w:rsidRPr="00C1349A">
        <w:rPr>
          <w:b/>
          <w:sz w:val="22"/>
        </w:rPr>
        <w:t xml:space="preserve"> population</w:t>
      </w:r>
    </w:p>
    <w:p w14:paraId="28DB1A26" w14:textId="77777777" w:rsidR="00127ECE" w:rsidRDefault="00127ECE" w:rsidP="00416832">
      <w:pPr>
        <w:jc w:val="both"/>
        <w:rPr>
          <w:noProof/>
          <w:sz w:val="22"/>
          <w:szCs w:val="22"/>
        </w:rPr>
      </w:pPr>
    </w:p>
    <w:p w14:paraId="7886F254" w14:textId="2E37087D" w:rsidR="00127ECE" w:rsidRDefault="00127ECE" w:rsidP="00416832">
      <w:pPr>
        <w:jc w:val="both"/>
        <w:rPr>
          <w:noProof/>
          <w:sz w:val="22"/>
          <w:szCs w:val="22"/>
        </w:rPr>
      </w:pPr>
      <w:r w:rsidRPr="00717004">
        <w:rPr>
          <w:iCs/>
          <w:sz w:val="22"/>
          <w:szCs w:val="22"/>
          <w:lang w:val="id-ID"/>
        </w:rPr>
        <w:t>Victoza</w:t>
      </w:r>
      <w:r w:rsidRPr="00717004">
        <w:rPr>
          <w:iCs/>
          <w:sz w:val="22"/>
          <w:szCs w:val="22"/>
        </w:rPr>
        <w:t xml:space="preserve"> also significantly reduced the time to first expanded MACE (primary MACE</w:t>
      </w:r>
      <w:r w:rsidRPr="00717004">
        <w:rPr>
          <w:iCs/>
          <w:sz w:val="22"/>
          <w:szCs w:val="22"/>
          <w:lang w:val="id-ID"/>
        </w:rPr>
        <w:t>,</w:t>
      </w:r>
      <w:r w:rsidRPr="00717004">
        <w:rPr>
          <w:iCs/>
          <w:sz w:val="22"/>
          <w:szCs w:val="22"/>
        </w:rPr>
        <w:t xml:space="preserve"> unstable angina pectoris leading to </w:t>
      </w:r>
      <w:proofErr w:type="spellStart"/>
      <w:r w:rsidRPr="00717004">
        <w:rPr>
          <w:iCs/>
          <w:sz w:val="22"/>
          <w:szCs w:val="22"/>
        </w:rPr>
        <w:t>hospitalisation</w:t>
      </w:r>
      <w:proofErr w:type="spellEnd"/>
      <w:r w:rsidRPr="00717004">
        <w:rPr>
          <w:iCs/>
          <w:sz w:val="22"/>
          <w:szCs w:val="22"/>
        </w:rPr>
        <w:t xml:space="preserve">, coronary </w:t>
      </w:r>
      <w:proofErr w:type="spellStart"/>
      <w:r w:rsidRPr="00717004">
        <w:rPr>
          <w:iCs/>
          <w:sz w:val="22"/>
          <w:szCs w:val="22"/>
        </w:rPr>
        <w:t>revascularisation</w:t>
      </w:r>
      <w:proofErr w:type="spellEnd"/>
      <w:r w:rsidRPr="00717004">
        <w:rPr>
          <w:iCs/>
          <w:sz w:val="22"/>
          <w:szCs w:val="22"/>
        </w:rPr>
        <w:t xml:space="preserve">, </w:t>
      </w:r>
      <w:r w:rsidRPr="00717004">
        <w:rPr>
          <w:iCs/>
          <w:sz w:val="22"/>
          <w:szCs w:val="22"/>
          <w:lang w:val="id-ID"/>
        </w:rPr>
        <w:t>or</w:t>
      </w:r>
      <w:r w:rsidRPr="00717004">
        <w:rPr>
          <w:iCs/>
          <w:sz w:val="22"/>
          <w:szCs w:val="22"/>
        </w:rPr>
        <w:t xml:space="preserve"> hospitalisation due to heart failure) </w:t>
      </w:r>
      <w:r w:rsidRPr="00717004">
        <w:rPr>
          <w:iCs/>
          <w:sz w:val="22"/>
          <w:szCs w:val="22"/>
          <w:lang w:val="id-ID"/>
        </w:rPr>
        <w:t>and other secondary endpoints</w:t>
      </w:r>
      <w:r>
        <w:rPr>
          <w:iCs/>
          <w:sz w:val="22"/>
          <w:szCs w:val="22"/>
          <w:lang w:val="en-AU"/>
        </w:rPr>
        <w:t xml:space="preserve"> </w:t>
      </w:r>
      <w:r w:rsidRPr="00717004">
        <w:rPr>
          <w:iCs/>
          <w:sz w:val="22"/>
          <w:szCs w:val="22"/>
        </w:rPr>
        <w:t xml:space="preserve">(Figure </w:t>
      </w:r>
      <w:r>
        <w:rPr>
          <w:iCs/>
          <w:sz w:val="22"/>
          <w:szCs w:val="22"/>
        </w:rPr>
        <w:t>7</w:t>
      </w:r>
      <w:r w:rsidRPr="00717004">
        <w:rPr>
          <w:iCs/>
          <w:sz w:val="22"/>
          <w:szCs w:val="22"/>
        </w:rPr>
        <w:t>).</w:t>
      </w:r>
    </w:p>
    <w:p w14:paraId="2760AFDA" w14:textId="77777777" w:rsidR="003A252E" w:rsidRDefault="003A252E" w:rsidP="00416832">
      <w:pPr>
        <w:jc w:val="both"/>
        <w:rPr>
          <w:noProof/>
          <w:sz w:val="22"/>
          <w:szCs w:val="22"/>
        </w:rPr>
      </w:pPr>
    </w:p>
    <w:p w14:paraId="4347084D" w14:textId="5A94EAD3" w:rsidR="003A252E" w:rsidRDefault="00127ECE" w:rsidP="00416832">
      <w:pPr>
        <w:jc w:val="both"/>
        <w:rPr>
          <w:noProof/>
          <w:sz w:val="22"/>
          <w:szCs w:val="22"/>
        </w:rPr>
      </w:pPr>
      <w:r>
        <w:rPr>
          <w:rFonts w:ascii="Calibri" w:hAnsi="Calibri"/>
          <w:sz w:val="22"/>
          <w:szCs w:val="22"/>
          <w:lang w:val="en-GB"/>
        </w:rPr>
        <w:object w:dxaOrig="7380" w:dyaOrig="5640" w14:anchorId="179F6FE9">
          <v:shape id="_x0000_i1030" type="#_x0000_t75" style="width:369pt;height:282pt" o:ole="">
            <v:imagedata r:id="rId31" o:title=""/>
          </v:shape>
          <o:OLEObject Type="Embed" ProgID="Word.Document.12" ShapeID="_x0000_i1030" DrawAspect="Content" ObjectID="_1624866212" r:id="rId32">
            <o:FieldCodes>\s</o:FieldCodes>
          </o:OLEObject>
        </w:object>
      </w:r>
    </w:p>
    <w:p w14:paraId="17163E1A" w14:textId="0FC522F9" w:rsidR="003A252E" w:rsidRDefault="00127ECE" w:rsidP="00416832">
      <w:pPr>
        <w:jc w:val="both"/>
        <w:rPr>
          <w:noProof/>
          <w:sz w:val="22"/>
          <w:szCs w:val="22"/>
        </w:rPr>
      </w:pPr>
      <w:r w:rsidRPr="00F37766">
        <w:rPr>
          <w:b/>
          <w:sz w:val="22"/>
        </w:rPr>
        <w:t xml:space="preserve">Figure </w:t>
      </w:r>
      <w:r>
        <w:rPr>
          <w:b/>
          <w:sz w:val="22"/>
        </w:rPr>
        <w:t>7</w:t>
      </w:r>
      <w:r w:rsidRPr="00F37766">
        <w:rPr>
          <w:b/>
          <w:sz w:val="22"/>
        </w:rPr>
        <w:tab/>
      </w:r>
      <w:r w:rsidRPr="006D0E80">
        <w:rPr>
          <w:b/>
          <w:sz w:val="22"/>
          <w:lang w:val="en-GB"/>
        </w:rPr>
        <w:t xml:space="preserve">Forest </w:t>
      </w:r>
      <w:proofErr w:type="gramStart"/>
      <w:r>
        <w:rPr>
          <w:b/>
          <w:sz w:val="22"/>
          <w:lang w:val="en-GB"/>
        </w:rPr>
        <w:t>p</w:t>
      </w:r>
      <w:r w:rsidRPr="006D0E80">
        <w:rPr>
          <w:b/>
          <w:sz w:val="22"/>
          <w:lang w:val="en-GB"/>
        </w:rPr>
        <w:t>lot</w:t>
      </w:r>
      <w:proofErr w:type="gramEnd"/>
      <w:r w:rsidRPr="006D0E80">
        <w:rPr>
          <w:b/>
          <w:sz w:val="22"/>
          <w:lang w:val="en-GB"/>
        </w:rPr>
        <w:t xml:space="preserve"> of </w:t>
      </w:r>
      <w:r>
        <w:rPr>
          <w:b/>
          <w:sz w:val="22"/>
          <w:lang w:val="en-GB"/>
        </w:rPr>
        <w:t>analyses of individual c</w:t>
      </w:r>
      <w:r w:rsidRPr="006D0E80">
        <w:rPr>
          <w:b/>
          <w:sz w:val="22"/>
          <w:lang w:val="en-GB"/>
        </w:rPr>
        <w:t xml:space="preserve">ardiovascular </w:t>
      </w:r>
      <w:r>
        <w:rPr>
          <w:b/>
          <w:sz w:val="22"/>
          <w:lang w:val="en-GB"/>
        </w:rPr>
        <w:t>event type</w:t>
      </w:r>
      <w:r w:rsidRPr="006D0E80">
        <w:rPr>
          <w:b/>
          <w:sz w:val="22"/>
          <w:lang w:val="en-GB"/>
        </w:rPr>
        <w:t>s</w:t>
      </w:r>
      <w:r>
        <w:rPr>
          <w:b/>
          <w:sz w:val="22"/>
          <w:lang w:val="en-GB"/>
        </w:rPr>
        <w:t xml:space="preserve"> – FAS population</w:t>
      </w:r>
    </w:p>
    <w:p w14:paraId="4B5933E7" w14:textId="77777777" w:rsidR="003A252E" w:rsidRDefault="003A252E" w:rsidP="00416832">
      <w:pPr>
        <w:jc w:val="both"/>
        <w:rPr>
          <w:noProof/>
          <w:sz w:val="22"/>
          <w:szCs w:val="22"/>
        </w:rPr>
      </w:pPr>
    </w:p>
    <w:p w14:paraId="2816189B" w14:textId="77777777" w:rsidR="00127ECE" w:rsidRPr="008A6F3F" w:rsidRDefault="00127ECE" w:rsidP="00127ECE">
      <w:pPr>
        <w:pStyle w:val="Heading6"/>
        <w:rPr>
          <w:i/>
          <w:sz w:val="22"/>
          <w:szCs w:val="22"/>
          <w:u w:val="none"/>
          <w:lang w:val="da-DK"/>
        </w:rPr>
      </w:pPr>
      <w:r w:rsidRPr="008A6F3F">
        <w:rPr>
          <w:i/>
          <w:sz w:val="22"/>
          <w:szCs w:val="22"/>
          <w:u w:val="none"/>
          <w:lang w:val="da-DK"/>
        </w:rPr>
        <w:t>F.ii.b) Blood pressure and heart rate</w:t>
      </w:r>
    </w:p>
    <w:p w14:paraId="3828F132" w14:textId="1EC7DDCD" w:rsidR="003A252E" w:rsidRDefault="00127ECE" w:rsidP="00127ECE">
      <w:pPr>
        <w:jc w:val="both"/>
        <w:rPr>
          <w:noProof/>
          <w:sz w:val="22"/>
          <w:szCs w:val="22"/>
        </w:rPr>
      </w:pPr>
      <w:r w:rsidRPr="007D2EB5">
        <w:rPr>
          <w:bCs/>
          <w:iCs/>
          <w:sz w:val="22"/>
          <w:szCs w:val="22"/>
          <w:lang w:val="en-GB"/>
        </w:rPr>
        <w:t xml:space="preserve">In the LEADER trial, systolic blood pressure was reduced with </w:t>
      </w:r>
      <w:r w:rsidRPr="007D2EB5">
        <w:rPr>
          <w:iCs/>
          <w:sz w:val="22"/>
          <w:szCs w:val="22"/>
          <w:lang w:val="id-ID"/>
        </w:rPr>
        <w:t>Victoza</w:t>
      </w:r>
      <w:r w:rsidRPr="007D2EB5">
        <w:rPr>
          <w:bCs/>
          <w:iCs/>
          <w:sz w:val="22"/>
          <w:szCs w:val="22"/>
          <w:vertAlign w:val="superscript"/>
        </w:rPr>
        <w:t xml:space="preserve"> </w:t>
      </w:r>
      <w:r w:rsidRPr="007D2EB5">
        <w:rPr>
          <w:bCs/>
          <w:iCs/>
          <w:sz w:val="22"/>
          <w:szCs w:val="22"/>
          <w:lang w:val="en-GB"/>
        </w:rPr>
        <w:t>vs placebo (-1.</w:t>
      </w:r>
      <w:r w:rsidRPr="007D2EB5">
        <w:rPr>
          <w:bCs/>
          <w:iCs/>
          <w:sz w:val="22"/>
          <w:szCs w:val="22"/>
          <w:lang w:val="id-ID"/>
        </w:rPr>
        <w:t>4</w:t>
      </w:r>
      <w:r w:rsidRPr="007D2EB5">
        <w:rPr>
          <w:bCs/>
          <w:iCs/>
          <w:sz w:val="22"/>
          <w:szCs w:val="22"/>
          <w:lang w:val="en-GB"/>
        </w:rPr>
        <w:t xml:space="preserve"> mmHg vs -0.2 mmHg; </w:t>
      </w:r>
      <w:r w:rsidRPr="007D2EB5">
        <w:rPr>
          <w:sz w:val="22"/>
          <w:szCs w:val="22"/>
        </w:rPr>
        <w:t>estimated treatment difference [</w:t>
      </w:r>
      <w:r w:rsidRPr="007D2EB5">
        <w:rPr>
          <w:bCs/>
          <w:iCs/>
          <w:sz w:val="22"/>
          <w:szCs w:val="22"/>
          <w:lang w:val="en-GB"/>
        </w:rPr>
        <w:t>ETD]: -1.20 mmHg [-1.9</w:t>
      </w:r>
      <w:r w:rsidRPr="007D2EB5">
        <w:rPr>
          <w:bCs/>
          <w:iCs/>
          <w:sz w:val="22"/>
          <w:szCs w:val="22"/>
          <w:lang w:val="id-ID"/>
        </w:rPr>
        <w:t>2</w:t>
      </w:r>
      <w:r w:rsidRPr="007D2EB5">
        <w:rPr>
          <w:bCs/>
          <w:iCs/>
          <w:sz w:val="22"/>
          <w:szCs w:val="22"/>
          <w:lang w:val="en-GB"/>
        </w:rPr>
        <w:t>; -0.</w:t>
      </w:r>
      <w:r w:rsidRPr="007D2EB5">
        <w:rPr>
          <w:bCs/>
          <w:iCs/>
          <w:sz w:val="22"/>
          <w:szCs w:val="22"/>
          <w:lang w:val="id-ID"/>
        </w:rPr>
        <w:t>48</w:t>
      </w:r>
      <w:r w:rsidRPr="007D2EB5">
        <w:rPr>
          <w:bCs/>
          <w:iCs/>
          <w:sz w:val="22"/>
          <w:szCs w:val="22"/>
          <w:lang w:val="en-GB"/>
        </w:rPr>
        <w:t xml:space="preserve">]) whereas diastolic blood pressure decreased less with Victoza vs placebo (-0.8 mmHg vs -1.4 mmHg, respectively, ETD: 0.59 [0.19; 0.99]) after 36 months. A mean increase in heart rate from baseline of 2 to 3 beats per minute has been observed with </w:t>
      </w:r>
      <w:r w:rsidRPr="007D2EB5">
        <w:rPr>
          <w:iCs/>
          <w:sz w:val="22"/>
          <w:szCs w:val="22"/>
          <w:lang w:val="id-ID"/>
        </w:rPr>
        <w:t>Victoza</w:t>
      </w:r>
      <w:r w:rsidRPr="007D2EB5">
        <w:rPr>
          <w:bCs/>
          <w:iCs/>
          <w:sz w:val="22"/>
          <w:szCs w:val="22"/>
          <w:lang w:val="en-GB"/>
        </w:rPr>
        <w:t xml:space="preserve"> in long-term clinical trials including LEADER. In the LEADER trial, </w:t>
      </w:r>
      <w:r w:rsidR="00E97805">
        <w:rPr>
          <w:bCs/>
          <w:iCs/>
          <w:sz w:val="22"/>
          <w:szCs w:val="22"/>
          <w:lang w:val="en-GB"/>
        </w:rPr>
        <w:t xml:space="preserve">although the study was not designed to specifically investigate clinical effects of increased heart rate, </w:t>
      </w:r>
      <w:r w:rsidRPr="007D2EB5">
        <w:rPr>
          <w:bCs/>
          <w:iCs/>
          <w:sz w:val="22"/>
          <w:szCs w:val="22"/>
          <w:lang w:val="en-GB"/>
        </w:rPr>
        <w:t>no long-term clinical impact of increased heart rate on the risk of cardiovascular events was observed.</w:t>
      </w:r>
    </w:p>
    <w:p w14:paraId="15B9E18F" w14:textId="77777777" w:rsidR="003A252E" w:rsidRDefault="003A252E" w:rsidP="00416832">
      <w:pPr>
        <w:jc w:val="both"/>
        <w:rPr>
          <w:noProof/>
          <w:sz w:val="22"/>
          <w:szCs w:val="22"/>
        </w:rPr>
      </w:pPr>
    </w:p>
    <w:p w14:paraId="2D16219C" w14:textId="77777777" w:rsidR="00127ECE" w:rsidRPr="008A6F3F" w:rsidRDefault="00127ECE" w:rsidP="00127ECE">
      <w:pPr>
        <w:pStyle w:val="Heading6"/>
        <w:rPr>
          <w:i/>
          <w:sz w:val="22"/>
          <w:szCs w:val="22"/>
          <w:lang w:val="en-GB"/>
        </w:rPr>
      </w:pPr>
      <w:r w:rsidRPr="008A6F3F">
        <w:rPr>
          <w:i/>
          <w:sz w:val="22"/>
          <w:szCs w:val="22"/>
          <w:u w:val="none"/>
          <w:lang w:val="en-GB"/>
        </w:rPr>
        <w:t>F.ii.c) Microvascular events</w:t>
      </w:r>
    </w:p>
    <w:p w14:paraId="6A1C3B61" w14:textId="4514247B" w:rsidR="00127ECE" w:rsidRDefault="00127ECE" w:rsidP="00127ECE">
      <w:pPr>
        <w:jc w:val="both"/>
        <w:rPr>
          <w:noProof/>
          <w:sz w:val="22"/>
          <w:szCs w:val="22"/>
        </w:rPr>
      </w:pPr>
      <w:r w:rsidRPr="007D2EB5">
        <w:rPr>
          <w:bCs/>
          <w:iCs/>
          <w:sz w:val="22"/>
          <w:szCs w:val="22"/>
          <w:lang w:val="en-GB"/>
        </w:rPr>
        <w:t xml:space="preserve">In the LEADER trial, microvascular events comprised nephropathy </w:t>
      </w:r>
      <w:r w:rsidRPr="007D2EB5">
        <w:rPr>
          <w:sz w:val="22"/>
          <w:szCs w:val="22"/>
          <w:lang w:val="en-GB"/>
        </w:rPr>
        <w:t xml:space="preserve">(new onset of persistent </w:t>
      </w:r>
      <w:proofErr w:type="spellStart"/>
      <w:r w:rsidRPr="007D2EB5">
        <w:rPr>
          <w:sz w:val="22"/>
          <w:szCs w:val="22"/>
          <w:lang w:val="en-GB"/>
        </w:rPr>
        <w:t>macroalbuminuria</w:t>
      </w:r>
      <w:proofErr w:type="spellEnd"/>
      <w:r w:rsidRPr="007D2EB5">
        <w:rPr>
          <w:sz w:val="22"/>
          <w:szCs w:val="22"/>
          <w:lang w:val="en-GB"/>
        </w:rPr>
        <w:t xml:space="preserve">, persistent doubling of serum creatinine and </w:t>
      </w:r>
      <w:proofErr w:type="spellStart"/>
      <w:r w:rsidRPr="007D2EB5">
        <w:rPr>
          <w:sz w:val="22"/>
          <w:szCs w:val="22"/>
          <w:lang w:val="en-GB"/>
        </w:rPr>
        <w:t>eGFR</w:t>
      </w:r>
      <w:proofErr w:type="spellEnd"/>
      <w:r w:rsidRPr="007D2EB5">
        <w:rPr>
          <w:sz w:val="22"/>
          <w:szCs w:val="22"/>
          <w:lang w:val="en-GB"/>
        </w:rPr>
        <w:t xml:space="preserve"> </w:t>
      </w:r>
      <w:r w:rsidRPr="007D2EB5">
        <w:rPr>
          <w:sz w:val="22"/>
          <w:szCs w:val="22"/>
          <w:lang w:val="da-DK"/>
        </w:rPr>
        <w:sym w:font="Symbol" w:char="F0A3"/>
      </w:r>
      <w:r w:rsidRPr="007D2EB5">
        <w:rPr>
          <w:sz w:val="22"/>
          <w:szCs w:val="22"/>
          <w:lang w:val="en-GB"/>
        </w:rPr>
        <w:t xml:space="preserve"> 45 mL/min/1.73 m</w:t>
      </w:r>
      <w:r w:rsidRPr="007D2EB5">
        <w:rPr>
          <w:sz w:val="22"/>
          <w:szCs w:val="22"/>
          <w:vertAlign w:val="superscript"/>
          <w:lang w:val="en-GB"/>
        </w:rPr>
        <w:t>2</w:t>
      </w:r>
      <w:r w:rsidRPr="007D2EB5">
        <w:rPr>
          <w:sz w:val="22"/>
          <w:szCs w:val="22"/>
          <w:lang w:val="en-GB"/>
        </w:rPr>
        <w:t xml:space="preserve"> per Modification of Diet in Renal Disease (MDRD), need for continuous renal replacement therapy and death due to renal disease) </w:t>
      </w:r>
      <w:r w:rsidRPr="007D2EB5">
        <w:rPr>
          <w:bCs/>
          <w:iCs/>
          <w:sz w:val="22"/>
          <w:szCs w:val="22"/>
          <w:lang w:val="en-GB"/>
        </w:rPr>
        <w:t>and retinopathy (need for retinal photocoagulation or treatment with intravitreal agents, vitreous haemorrhage and diabetes-related blindness) outcomes. The analysis of time to first microvascular event for Victoza vs placebo had an HR of 0.84 [0.73, 0.97]. The HR for Victoza vs placebo was 0.78 [0.67, 0.92] for time to first nephropathy event and 1.15 [0.87, 1.52] for time to first retinopathy event.</w:t>
      </w:r>
    </w:p>
    <w:p w14:paraId="581EF12C" w14:textId="77777777" w:rsidR="00127ECE" w:rsidRDefault="00127ECE" w:rsidP="00416832">
      <w:pPr>
        <w:jc w:val="both"/>
        <w:rPr>
          <w:noProof/>
          <w:sz w:val="22"/>
          <w:szCs w:val="22"/>
        </w:rPr>
      </w:pPr>
    </w:p>
    <w:p w14:paraId="36170545" w14:textId="0E75A5ED" w:rsidR="00127ECE" w:rsidRDefault="00127ECE" w:rsidP="00416832">
      <w:pPr>
        <w:jc w:val="both"/>
        <w:rPr>
          <w:noProof/>
          <w:sz w:val="22"/>
          <w:szCs w:val="22"/>
        </w:rPr>
      </w:pPr>
      <w:r w:rsidRPr="007D2EB5">
        <w:rPr>
          <w:bCs/>
          <w:iCs/>
          <w:sz w:val="22"/>
          <w:szCs w:val="22"/>
        </w:rPr>
        <w:t>The estimated treatment ratio for change in urinary albumin/creatinine excretion from baseline to month 36 was 0.81 [0.76, 0.86].</w:t>
      </w:r>
    </w:p>
    <w:p w14:paraId="2C31EB34" w14:textId="77777777" w:rsidR="00127ECE" w:rsidRDefault="00127ECE" w:rsidP="00416832">
      <w:pPr>
        <w:jc w:val="both"/>
        <w:rPr>
          <w:noProof/>
          <w:sz w:val="22"/>
          <w:szCs w:val="22"/>
        </w:rPr>
      </w:pPr>
    </w:p>
    <w:p w14:paraId="05BF56E4" w14:textId="77777777" w:rsidR="00127ECE" w:rsidRPr="008A6F3F" w:rsidRDefault="00127ECE" w:rsidP="00127ECE">
      <w:pPr>
        <w:pStyle w:val="Heading6"/>
        <w:rPr>
          <w:i/>
          <w:sz w:val="22"/>
          <w:szCs w:val="22"/>
          <w:u w:val="none"/>
          <w:lang w:val="en-GB"/>
        </w:rPr>
      </w:pPr>
      <w:r w:rsidRPr="008A6F3F">
        <w:rPr>
          <w:i/>
          <w:sz w:val="22"/>
          <w:szCs w:val="22"/>
          <w:u w:val="none"/>
          <w:lang w:val="en-GB"/>
        </w:rPr>
        <w:t>F.ii.d) Glycaemic control in patients at high cardiovascular risk</w:t>
      </w:r>
    </w:p>
    <w:p w14:paraId="1218FA24" w14:textId="16E21BCA" w:rsidR="00127ECE" w:rsidRDefault="00127ECE" w:rsidP="00127ECE">
      <w:pPr>
        <w:jc w:val="both"/>
        <w:rPr>
          <w:noProof/>
          <w:sz w:val="22"/>
          <w:szCs w:val="22"/>
        </w:rPr>
      </w:pPr>
      <w:r w:rsidRPr="007D2EB5">
        <w:rPr>
          <w:sz w:val="22"/>
          <w:szCs w:val="22"/>
        </w:rPr>
        <w:t>A significant and sustained reduction in HbA</w:t>
      </w:r>
      <w:r w:rsidRPr="007D2EB5">
        <w:rPr>
          <w:sz w:val="22"/>
          <w:szCs w:val="22"/>
          <w:vertAlign w:val="subscript"/>
        </w:rPr>
        <w:t>1c</w:t>
      </w:r>
      <w:r w:rsidRPr="007D2EB5">
        <w:rPr>
          <w:sz w:val="22"/>
          <w:szCs w:val="22"/>
        </w:rPr>
        <w:t xml:space="preserve"> from baseline </w:t>
      </w:r>
      <w:r w:rsidR="003871A7">
        <w:rPr>
          <w:sz w:val="22"/>
          <w:szCs w:val="22"/>
        </w:rPr>
        <w:t>(mean baseline HbA</w:t>
      </w:r>
      <w:r w:rsidR="003871A7" w:rsidRPr="003871A7">
        <w:rPr>
          <w:sz w:val="22"/>
          <w:szCs w:val="22"/>
          <w:vertAlign w:val="subscript"/>
        </w:rPr>
        <w:t>1c</w:t>
      </w:r>
      <w:r w:rsidR="003871A7">
        <w:rPr>
          <w:sz w:val="22"/>
          <w:szCs w:val="22"/>
        </w:rPr>
        <w:t xml:space="preserve"> was 8.7%) </w:t>
      </w:r>
      <w:r w:rsidRPr="007D2EB5">
        <w:rPr>
          <w:sz w:val="22"/>
          <w:szCs w:val="22"/>
        </w:rPr>
        <w:t xml:space="preserve">to month 36 was observed with </w:t>
      </w:r>
      <w:r w:rsidRPr="007D2EB5">
        <w:rPr>
          <w:sz w:val="22"/>
          <w:szCs w:val="22"/>
          <w:lang w:val="id-ID"/>
        </w:rPr>
        <w:t>Victoza</w:t>
      </w:r>
      <w:r w:rsidRPr="007D2EB5">
        <w:rPr>
          <w:sz w:val="22"/>
          <w:szCs w:val="22"/>
        </w:rPr>
        <w:t xml:space="preserve"> vs placebo, in addition to standard of care (-1.16% vs </w:t>
      </w:r>
      <w:r w:rsidRPr="007D2EB5">
        <w:rPr>
          <w:sz w:val="22"/>
          <w:szCs w:val="22"/>
        </w:rPr>
        <w:noBreakHyphen/>
        <w:t xml:space="preserve">0.77%; </w:t>
      </w:r>
      <w:r w:rsidRPr="007D2EB5">
        <w:rPr>
          <w:sz w:val="22"/>
          <w:szCs w:val="22"/>
        </w:rPr>
        <w:lastRenderedPageBreak/>
        <w:t xml:space="preserve">ETD -0.40% [-0.45; -0.34], p&lt;0.001). The need for treatment intensification with insulin was reduced by 48% with </w:t>
      </w:r>
      <w:r w:rsidRPr="007D2EB5">
        <w:rPr>
          <w:sz w:val="22"/>
          <w:szCs w:val="22"/>
          <w:lang w:val="id-ID"/>
        </w:rPr>
        <w:t>Victoza</w:t>
      </w:r>
      <w:r w:rsidRPr="007D2EB5">
        <w:rPr>
          <w:sz w:val="22"/>
          <w:szCs w:val="22"/>
        </w:rPr>
        <w:t xml:space="preserve"> vs placebo in insulin-naive patients </w:t>
      </w:r>
      <w:r w:rsidRPr="007D2EB5">
        <w:rPr>
          <w:sz w:val="22"/>
          <w:szCs w:val="22"/>
          <w:lang w:val="id-ID"/>
        </w:rPr>
        <w:t xml:space="preserve">at baseline </w:t>
      </w:r>
      <w:r w:rsidRPr="007D2EB5">
        <w:rPr>
          <w:sz w:val="22"/>
          <w:szCs w:val="22"/>
        </w:rPr>
        <w:t>(HR 0.52 [0.48; 0.5</w:t>
      </w:r>
      <w:r w:rsidRPr="007D2EB5">
        <w:rPr>
          <w:sz w:val="22"/>
          <w:szCs w:val="22"/>
          <w:lang w:val="id-ID"/>
        </w:rPr>
        <w:t>7</w:t>
      </w:r>
      <w:r w:rsidRPr="007D2EB5">
        <w:rPr>
          <w:sz w:val="22"/>
          <w:szCs w:val="22"/>
        </w:rPr>
        <w:t>]).</w:t>
      </w:r>
    </w:p>
    <w:p w14:paraId="6340FF28" w14:textId="77777777" w:rsidR="00127ECE" w:rsidRDefault="00127ECE" w:rsidP="00416832">
      <w:pPr>
        <w:jc w:val="both"/>
        <w:rPr>
          <w:noProof/>
          <w:sz w:val="22"/>
          <w:szCs w:val="22"/>
        </w:rPr>
      </w:pPr>
    </w:p>
    <w:p w14:paraId="1C00F156" w14:textId="77777777" w:rsidR="00127ECE" w:rsidRPr="008A6F3F" w:rsidRDefault="00127ECE" w:rsidP="00127ECE">
      <w:pPr>
        <w:pStyle w:val="Heading6"/>
        <w:rPr>
          <w:i/>
          <w:sz w:val="22"/>
          <w:szCs w:val="22"/>
          <w:u w:val="none"/>
          <w:lang w:val="en-GB"/>
        </w:rPr>
      </w:pPr>
      <w:r w:rsidRPr="008A6F3F">
        <w:rPr>
          <w:i/>
          <w:sz w:val="22"/>
          <w:szCs w:val="22"/>
          <w:u w:val="none"/>
          <w:lang w:val="en-GB"/>
        </w:rPr>
        <w:t>F.ii.e) Body weight</w:t>
      </w:r>
    </w:p>
    <w:p w14:paraId="4F8997B1" w14:textId="6B372510" w:rsidR="00127ECE" w:rsidRDefault="00127ECE" w:rsidP="00127ECE">
      <w:pPr>
        <w:jc w:val="both"/>
        <w:rPr>
          <w:noProof/>
          <w:sz w:val="22"/>
          <w:szCs w:val="22"/>
        </w:rPr>
      </w:pPr>
      <w:r w:rsidRPr="007D2EB5">
        <w:rPr>
          <w:sz w:val="22"/>
          <w:szCs w:val="22"/>
        </w:rPr>
        <w:t xml:space="preserve">In the LEADER trial, a significant and sustained reduction in body weight from baseline to month 36 was also seen with </w:t>
      </w:r>
      <w:r w:rsidRPr="007D2EB5">
        <w:rPr>
          <w:sz w:val="22"/>
          <w:szCs w:val="22"/>
          <w:lang w:val="id-ID"/>
        </w:rPr>
        <w:t>Victoza</w:t>
      </w:r>
      <w:r w:rsidRPr="007D2EB5">
        <w:rPr>
          <w:sz w:val="22"/>
          <w:szCs w:val="22"/>
          <w:lang w:val="en-AU"/>
        </w:rPr>
        <w:t xml:space="preserve"> </w:t>
      </w:r>
      <w:r w:rsidRPr="007D2EB5">
        <w:rPr>
          <w:sz w:val="22"/>
          <w:szCs w:val="22"/>
        </w:rPr>
        <w:t xml:space="preserve">vs placebo (-2.74 kg vs -0.47 kg, respectively; ETD </w:t>
      </w:r>
      <w:r w:rsidRPr="007D2EB5">
        <w:rPr>
          <w:sz w:val="22"/>
          <w:szCs w:val="22"/>
        </w:rPr>
        <w:noBreakHyphen/>
        <w:t xml:space="preserve">2.26 [-2.54; -1.99]). </w:t>
      </w:r>
    </w:p>
    <w:p w14:paraId="6C8D4C4C" w14:textId="77777777" w:rsidR="00127ECE" w:rsidRDefault="00127ECE" w:rsidP="00416832">
      <w:pPr>
        <w:jc w:val="both"/>
        <w:rPr>
          <w:noProof/>
          <w:sz w:val="22"/>
          <w:szCs w:val="22"/>
        </w:rPr>
      </w:pPr>
    </w:p>
    <w:p w14:paraId="33E3DAAA" w14:textId="77777777" w:rsidR="00127ECE" w:rsidRPr="007D2EB5" w:rsidRDefault="00127ECE" w:rsidP="00127ECE">
      <w:pPr>
        <w:pStyle w:val="Heading4"/>
        <w:rPr>
          <w:i w:val="0"/>
          <w:iCs/>
          <w:sz w:val="22"/>
          <w:szCs w:val="22"/>
        </w:rPr>
      </w:pPr>
      <w:r w:rsidRPr="007D2EB5">
        <w:rPr>
          <w:b/>
          <w:i w:val="0"/>
          <w:sz w:val="22"/>
          <w:szCs w:val="22"/>
          <w:u w:val="single"/>
        </w:rPr>
        <w:t>G. Immunogenicity across trials</w:t>
      </w:r>
    </w:p>
    <w:p w14:paraId="03B4E823" w14:textId="474887FF" w:rsidR="00127ECE" w:rsidRDefault="00127ECE" w:rsidP="00127ECE">
      <w:pPr>
        <w:jc w:val="both"/>
        <w:rPr>
          <w:noProof/>
          <w:sz w:val="22"/>
          <w:szCs w:val="22"/>
        </w:rPr>
      </w:pPr>
      <w:r w:rsidRPr="007D2EB5">
        <w:rPr>
          <w:iCs/>
          <w:sz w:val="22"/>
          <w:szCs w:val="22"/>
        </w:rPr>
        <w:t xml:space="preserve">Consistent with the potentially immunogenic properties of protein and peptide pharmaceuticals, patients may develop anti-liraglutide antibodies following treatment with </w:t>
      </w:r>
      <w:r w:rsidRPr="007D2EB5">
        <w:rPr>
          <w:noProof/>
          <w:sz w:val="22"/>
          <w:szCs w:val="22"/>
        </w:rPr>
        <w:t>Victoza</w:t>
      </w:r>
      <w:r w:rsidRPr="007D2EB5">
        <w:rPr>
          <w:iCs/>
          <w:sz w:val="22"/>
          <w:szCs w:val="22"/>
        </w:rPr>
        <w:t xml:space="preserve">. On average, 8.6% of </w:t>
      </w:r>
      <w:r w:rsidRPr="007D2EB5">
        <w:rPr>
          <w:noProof/>
          <w:sz w:val="22"/>
          <w:szCs w:val="22"/>
        </w:rPr>
        <w:t>subject</w:t>
      </w:r>
      <w:r w:rsidRPr="007D2EB5">
        <w:rPr>
          <w:iCs/>
          <w:sz w:val="22"/>
          <w:szCs w:val="22"/>
        </w:rPr>
        <w:t>s developed antibodies</w:t>
      </w:r>
      <w:r w:rsidRPr="007D2EB5">
        <w:rPr>
          <w:noProof/>
          <w:sz w:val="22"/>
          <w:szCs w:val="22"/>
        </w:rPr>
        <w:t xml:space="preserve">. </w:t>
      </w:r>
      <w:r w:rsidRPr="007D2EB5">
        <w:rPr>
          <w:iCs/>
          <w:sz w:val="22"/>
          <w:szCs w:val="22"/>
        </w:rPr>
        <w:t xml:space="preserve">Antibody formation has not been associated with reduced efficacy of </w:t>
      </w:r>
      <w:r w:rsidRPr="007D2EB5">
        <w:rPr>
          <w:noProof/>
          <w:sz w:val="22"/>
          <w:szCs w:val="22"/>
        </w:rPr>
        <w:t>Victoza</w:t>
      </w:r>
      <w:r w:rsidRPr="007D2EB5">
        <w:rPr>
          <w:iCs/>
          <w:sz w:val="22"/>
          <w:szCs w:val="22"/>
        </w:rPr>
        <w:t>.</w:t>
      </w:r>
    </w:p>
    <w:p w14:paraId="4E3A492D" w14:textId="77777777" w:rsidR="00127ECE" w:rsidRDefault="00127ECE" w:rsidP="00416832">
      <w:pPr>
        <w:jc w:val="both"/>
        <w:rPr>
          <w:noProof/>
          <w:sz w:val="22"/>
          <w:szCs w:val="22"/>
        </w:rPr>
      </w:pPr>
    </w:p>
    <w:p w14:paraId="782D9B2D" w14:textId="77777777" w:rsidR="00127ECE" w:rsidRPr="007D2EB5" w:rsidRDefault="00127ECE" w:rsidP="00127ECE">
      <w:pPr>
        <w:pStyle w:val="Heading4"/>
        <w:rPr>
          <w:b/>
          <w:sz w:val="22"/>
          <w:szCs w:val="22"/>
        </w:rPr>
      </w:pPr>
      <w:r w:rsidRPr="007D2EB5">
        <w:rPr>
          <w:b/>
          <w:i w:val="0"/>
          <w:sz w:val="22"/>
          <w:szCs w:val="22"/>
          <w:u w:val="single"/>
        </w:rPr>
        <w:t>H. Other effects</w:t>
      </w:r>
    </w:p>
    <w:p w14:paraId="44960C1E" w14:textId="08A6F79A" w:rsidR="00127ECE" w:rsidRDefault="00127ECE" w:rsidP="00127ECE">
      <w:pPr>
        <w:jc w:val="both"/>
        <w:rPr>
          <w:noProof/>
          <w:sz w:val="22"/>
          <w:szCs w:val="22"/>
        </w:rPr>
      </w:pPr>
      <w:r w:rsidRPr="007D2EB5">
        <w:rPr>
          <w:noProof/>
          <w:sz w:val="22"/>
          <w:szCs w:val="22"/>
          <w:lang w:eastAsia="en-GB"/>
        </w:rPr>
        <w:t>Victoza</w:t>
      </w:r>
      <w:r w:rsidRPr="007D2EB5">
        <w:rPr>
          <w:bCs/>
          <w:iCs/>
          <w:noProof/>
          <w:sz w:val="22"/>
          <w:szCs w:val="22"/>
          <w:lang w:eastAsia="en-GB"/>
        </w:rPr>
        <w:t xml:space="preserve"> improved insulin sensitivity compared to a sulfonylurea for 52 weeks as assessed by HOMA-IR. The clinical significance of this has not been established. </w:t>
      </w:r>
    </w:p>
    <w:p w14:paraId="4B5BA381" w14:textId="77777777" w:rsidR="00127ECE" w:rsidRDefault="00127ECE" w:rsidP="00416832">
      <w:pPr>
        <w:jc w:val="both"/>
        <w:rPr>
          <w:noProof/>
          <w:sz w:val="22"/>
          <w:szCs w:val="22"/>
        </w:rPr>
      </w:pPr>
    </w:p>
    <w:p w14:paraId="0E12D561" w14:textId="77777777" w:rsidR="00127ECE" w:rsidRPr="007D2EB5" w:rsidRDefault="00127ECE" w:rsidP="00127ECE">
      <w:pPr>
        <w:pStyle w:val="Heading4"/>
        <w:rPr>
          <w:b/>
          <w:i w:val="0"/>
          <w:sz w:val="22"/>
          <w:szCs w:val="22"/>
        </w:rPr>
      </w:pPr>
      <w:r w:rsidRPr="007D2EB5">
        <w:rPr>
          <w:b/>
          <w:i w:val="0"/>
          <w:sz w:val="22"/>
          <w:szCs w:val="22"/>
          <w:u w:val="single"/>
        </w:rPr>
        <w:t>I. Other clinical data</w:t>
      </w:r>
    </w:p>
    <w:p w14:paraId="33C278F4" w14:textId="0390AEBA" w:rsidR="00127ECE" w:rsidRDefault="00127ECE" w:rsidP="00127ECE">
      <w:pPr>
        <w:jc w:val="both"/>
        <w:rPr>
          <w:noProof/>
          <w:sz w:val="22"/>
          <w:szCs w:val="22"/>
        </w:rPr>
      </w:pPr>
      <w:r w:rsidRPr="007D2EB5">
        <w:rPr>
          <w:sz w:val="22"/>
          <w:szCs w:val="22"/>
        </w:rPr>
        <w:t>In an open label study (</w:t>
      </w:r>
      <w:r w:rsidRPr="007D2EB5">
        <w:rPr>
          <w:sz w:val="22"/>
          <w:szCs w:val="22"/>
          <w:lang w:val="da-DK"/>
        </w:rPr>
        <w:t xml:space="preserve">Trial 1860) </w:t>
      </w:r>
      <w:r w:rsidRPr="007D2EB5">
        <w:rPr>
          <w:sz w:val="22"/>
          <w:szCs w:val="22"/>
        </w:rPr>
        <w:t>comparing efficacy and safety of Victoza (1.2 mg and 1.8 mg) and sitagliptin (a DPP-4 inhibitor, 100 mg) in patients inadequately controlled on metformin therapy (mean HbA</w:t>
      </w:r>
      <w:r w:rsidRPr="007D2EB5">
        <w:rPr>
          <w:sz w:val="22"/>
          <w:szCs w:val="22"/>
          <w:vertAlign w:val="subscript"/>
        </w:rPr>
        <w:t>1c</w:t>
      </w:r>
      <w:r w:rsidRPr="007D2EB5">
        <w:rPr>
          <w:sz w:val="22"/>
          <w:szCs w:val="22"/>
        </w:rPr>
        <w:t xml:space="preserve"> 8.5%), Victoza at both doses was statistically superior to sitagliptin treatment in reducing HbA</w:t>
      </w:r>
      <w:r w:rsidRPr="007D2EB5">
        <w:rPr>
          <w:sz w:val="22"/>
          <w:szCs w:val="22"/>
          <w:vertAlign w:val="subscript"/>
        </w:rPr>
        <w:t>1c</w:t>
      </w:r>
      <w:r w:rsidRPr="007D2EB5">
        <w:rPr>
          <w:sz w:val="22"/>
          <w:szCs w:val="22"/>
        </w:rPr>
        <w:t xml:space="preserve"> after 26 weeks (-1.24%, -1.50%, -0.90%, for Victoza 1.2 mg, 1.8 mg and sitagliptin respectively; p&lt;0.0001). Patients treated with Victoza had a significant decrease in body weight compared to that of patients treated with sitagliptin (-2.9 kg, -3.4 kg, -1.0 kg in Victoza 1.2 mg, 1.8 mg and sitagliptin treatment groups, respectively, p&lt;0.0001). Greater proportions of patients treated with Victoza experienced transient nausea compared to patients treated with sitagliptin (20.8%, 27.1%, </w:t>
      </w:r>
      <w:proofErr w:type="gramStart"/>
      <w:r w:rsidRPr="007D2EB5">
        <w:rPr>
          <w:sz w:val="22"/>
          <w:szCs w:val="22"/>
        </w:rPr>
        <w:t>4.6</w:t>
      </w:r>
      <w:proofErr w:type="gramEnd"/>
      <w:r w:rsidRPr="007D2EB5">
        <w:rPr>
          <w:sz w:val="22"/>
          <w:szCs w:val="22"/>
        </w:rPr>
        <w:t>% in Victoza 1.2 mg, 1.8 mg and sitagliptin treatment groups respectively). The reductions in HbA</w:t>
      </w:r>
      <w:r w:rsidRPr="007D2EB5">
        <w:rPr>
          <w:sz w:val="22"/>
          <w:szCs w:val="22"/>
          <w:vertAlign w:val="subscript"/>
        </w:rPr>
        <w:t>1c</w:t>
      </w:r>
      <w:r w:rsidRPr="007D2EB5">
        <w:rPr>
          <w:sz w:val="22"/>
          <w:szCs w:val="22"/>
        </w:rPr>
        <w:t xml:space="preserve"> and superiority vs sitagliptin observed after 26 weeks of Victoza treatment (1.2 mg and 1.8 mg) were sustained after 52 weeks of treatment (-1.29%, -1.51%, -0.88% in Victoza 1.2 mg, 1.8 mg and sitagliptin treatment groups respectively, p&lt;0.0001).</w:t>
      </w:r>
    </w:p>
    <w:p w14:paraId="46A6FDC3" w14:textId="77777777" w:rsidR="00127ECE" w:rsidRDefault="00127ECE" w:rsidP="00416832">
      <w:pPr>
        <w:jc w:val="both"/>
        <w:rPr>
          <w:noProof/>
          <w:sz w:val="22"/>
          <w:szCs w:val="22"/>
        </w:rPr>
      </w:pPr>
    </w:p>
    <w:p w14:paraId="0F61EE02" w14:textId="53D8AAF0" w:rsidR="00127ECE" w:rsidRDefault="00127ECE" w:rsidP="00416832">
      <w:pPr>
        <w:jc w:val="both"/>
        <w:rPr>
          <w:noProof/>
          <w:sz w:val="22"/>
          <w:szCs w:val="22"/>
        </w:rPr>
      </w:pPr>
      <w:r w:rsidRPr="007D2EB5">
        <w:rPr>
          <w:sz w:val="22"/>
          <w:szCs w:val="22"/>
        </w:rPr>
        <w:t>In an open label study (</w:t>
      </w:r>
      <w:r w:rsidRPr="007D2EB5">
        <w:rPr>
          <w:sz w:val="22"/>
          <w:szCs w:val="22"/>
          <w:lang w:val="da-DK"/>
        </w:rPr>
        <w:t xml:space="preserve">Trial 1797) </w:t>
      </w:r>
      <w:r w:rsidRPr="007D2EB5">
        <w:rPr>
          <w:sz w:val="22"/>
          <w:szCs w:val="22"/>
        </w:rPr>
        <w:t xml:space="preserve">comparing efficacy and safety of Victoza 1.8 mg once daily and </w:t>
      </w:r>
      <w:proofErr w:type="spellStart"/>
      <w:r w:rsidRPr="007D2EB5">
        <w:rPr>
          <w:sz w:val="22"/>
          <w:szCs w:val="22"/>
        </w:rPr>
        <w:t>exenatide</w:t>
      </w:r>
      <w:proofErr w:type="spellEnd"/>
      <w:r w:rsidRPr="007D2EB5">
        <w:rPr>
          <w:sz w:val="22"/>
          <w:szCs w:val="22"/>
        </w:rPr>
        <w:t xml:space="preserve"> 10 µg twice daily in patients inadequately controlled on metformin and/or </w:t>
      </w:r>
      <w:proofErr w:type="spellStart"/>
      <w:r w:rsidRPr="007D2EB5">
        <w:rPr>
          <w:sz w:val="22"/>
          <w:szCs w:val="22"/>
        </w:rPr>
        <w:t>sulphonylurea</w:t>
      </w:r>
      <w:proofErr w:type="spellEnd"/>
      <w:r w:rsidRPr="007D2EB5">
        <w:rPr>
          <w:sz w:val="22"/>
          <w:szCs w:val="22"/>
        </w:rPr>
        <w:t xml:space="preserve"> therapy (mean HbA</w:t>
      </w:r>
      <w:r w:rsidRPr="007D2EB5">
        <w:rPr>
          <w:sz w:val="22"/>
          <w:szCs w:val="22"/>
          <w:vertAlign w:val="subscript"/>
        </w:rPr>
        <w:t>1c</w:t>
      </w:r>
      <w:r w:rsidRPr="007D2EB5">
        <w:rPr>
          <w:sz w:val="22"/>
          <w:szCs w:val="22"/>
        </w:rPr>
        <w:t xml:space="preserve"> 8.3%), Victoza was statistically superior to </w:t>
      </w:r>
      <w:proofErr w:type="spellStart"/>
      <w:r w:rsidRPr="007D2EB5">
        <w:rPr>
          <w:sz w:val="22"/>
          <w:szCs w:val="22"/>
        </w:rPr>
        <w:t>exenatide</w:t>
      </w:r>
      <w:proofErr w:type="spellEnd"/>
      <w:r w:rsidRPr="007D2EB5">
        <w:rPr>
          <w:sz w:val="22"/>
          <w:szCs w:val="22"/>
        </w:rPr>
        <w:t xml:space="preserve"> treatment in reducing HbA</w:t>
      </w:r>
      <w:r w:rsidRPr="007D2EB5">
        <w:rPr>
          <w:sz w:val="22"/>
          <w:szCs w:val="22"/>
          <w:vertAlign w:val="subscript"/>
        </w:rPr>
        <w:t>1c</w:t>
      </w:r>
      <w:r w:rsidRPr="007D2EB5">
        <w:rPr>
          <w:sz w:val="22"/>
          <w:szCs w:val="22"/>
        </w:rPr>
        <w:t xml:space="preserve"> after 26 weeks (-1.12% vs - 0.79% respectively, with the estimated treatment difference being -0.33% (95% CI: -0.47% to -0.18%), p&lt;0.0001). More patients achieved HbA</w:t>
      </w:r>
      <w:r w:rsidRPr="007D2EB5">
        <w:rPr>
          <w:sz w:val="22"/>
          <w:szCs w:val="22"/>
          <w:vertAlign w:val="subscript"/>
        </w:rPr>
        <w:t>1c</w:t>
      </w:r>
      <w:r w:rsidRPr="007D2EB5">
        <w:rPr>
          <w:sz w:val="22"/>
          <w:szCs w:val="22"/>
        </w:rPr>
        <w:t xml:space="preserve"> below 7% with </w:t>
      </w:r>
      <w:proofErr w:type="spellStart"/>
      <w:r w:rsidRPr="007D2EB5">
        <w:rPr>
          <w:sz w:val="22"/>
          <w:szCs w:val="22"/>
        </w:rPr>
        <w:t>Victoza</w:t>
      </w:r>
      <w:proofErr w:type="spellEnd"/>
      <w:r w:rsidRPr="007D2EB5">
        <w:rPr>
          <w:sz w:val="22"/>
          <w:szCs w:val="22"/>
        </w:rPr>
        <w:t xml:space="preserve"> compared with </w:t>
      </w:r>
      <w:proofErr w:type="spellStart"/>
      <w:r w:rsidRPr="007D2EB5">
        <w:rPr>
          <w:sz w:val="22"/>
          <w:szCs w:val="22"/>
        </w:rPr>
        <w:t>exenatide</w:t>
      </w:r>
      <w:proofErr w:type="spellEnd"/>
      <w:r w:rsidRPr="007D2EB5">
        <w:rPr>
          <w:sz w:val="22"/>
          <w:szCs w:val="22"/>
        </w:rPr>
        <w:t xml:space="preserve"> (54.2% vs 43.4% respectively, p=0.0015). Both treatments resulted in mean body weight loss of approximately 3 kg. </w:t>
      </w:r>
    </w:p>
    <w:p w14:paraId="3AF47B86" w14:textId="77777777" w:rsidR="00127ECE" w:rsidRDefault="00127ECE" w:rsidP="00416832">
      <w:pPr>
        <w:jc w:val="both"/>
        <w:rPr>
          <w:noProof/>
          <w:sz w:val="22"/>
          <w:szCs w:val="22"/>
        </w:rPr>
      </w:pPr>
    </w:p>
    <w:p w14:paraId="50339161" w14:textId="4FAFF7FD" w:rsidR="00127ECE" w:rsidRDefault="00127ECE" w:rsidP="00416832">
      <w:pPr>
        <w:jc w:val="both"/>
        <w:rPr>
          <w:noProof/>
          <w:sz w:val="22"/>
          <w:szCs w:val="22"/>
        </w:rPr>
      </w:pPr>
      <w:r w:rsidRPr="007D2EB5">
        <w:rPr>
          <w:bCs/>
          <w:iCs/>
          <w:sz w:val="22"/>
          <w:szCs w:val="22"/>
        </w:rPr>
        <w:t xml:space="preserve">In an open label study (Trial 3867) comparing the efficacy and safety of Victoza 1.8 mg with </w:t>
      </w:r>
      <w:proofErr w:type="spellStart"/>
      <w:r w:rsidRPr="007D2EB5">
        <w:rPr>
          <w:bCs/>
          <w:iCs/>
          <w:sz w:val="22"/>
          <w:szCs w:val="22"/>
        </w:rPr>
        <w:t>lixisenatide</w:t>
      </w:r>
      <w:proofErr w:type="spellEnd"/>
      <w:r w:rsidRPr="007D2EB5">
        <w:rPr>
          <w:bCs/>
          <w:iCs/>
          <w:sz w:val="22"/>
          <w:szCs w:val="22"/>
        </w:rPr>
        <w:t xml:space="preserve"> 20 µg in 404 patients inadequately controlled on metformin therapy (mean HbA</w:t>
      </w:r>
      <w:r w:rsidRPr="007D2EB5">
        <w:rPr>
          <w:bCs/>
          <w:iCs/>
          <w:sz w:val="22"/>
          <w:szCs w:val="22"/>
          <w:vertAlign w:val="subscript"/>
        </w:rPr>
        <w:t>1c</w:t>
      </w:r>
      <w:r w:rsidRPr="007D2EB5">
        <w:rPr>
          <w:bCs/>
          <w:iCs/>
          <w:sz w:val="22"/>
          <w:szCs w:val="22"/>
        </w:rPr>
        <w:t xml:space="preserve"> 8.4%), Victoza was superior to </w:t>
      </w:r>
      <w:proofErr w:type="spellStart"/>
      <w:r w:rsidRPr="007D2EB5">
        <w:rPr>
          <w:bCs/>
          <w:iCs/>
          <w:sz w:val="22"/>
          <w:szCs w:val="22"/>
        </w:rPr>
        <w:t>lixisenatide</w:t>
      </w:r>
      <w:proofErr w:type="spellEnd"/>
      <w:r w:rsidRPr="007D2EB5">
        <w:rPr>
          <w:bCs/>
          <w:iCs/>
          <w:sz w:val="22"/>
          <w:szCs w:val="22"/>
        </w:rPr>
        <w:t xml:space="preserve"> in reducing HbA</w:t>
      </w:r>
      <w:r w:rsidRPr="007D2EB5">
        <w:rPr>
          <w:bCs/>
          <w:iCs/>
          <w:sz w:val="22"/>
          <w:szCs w:val="22"/>
          <w:vertAlign w:val="subscript"/>
        </w:rPr>
        <w:t>1c</w:t>
      </w:r>
      <w:r w:rsidRPr="007D2EB5">
        <w:rPr>
          <w:bCs/>
          <w:iCs/>
          <w:sz w:val="22"/>
          <w:szCs w:val="22"/>
        </w:rPr>
        <w:t xml:space="preserve"> after 26 weeks of treatment (-1.83% vs -1.21%, </w:t>
      </w:r>
      <w:r w:rsidRPr="007D2EB5">
        <w:rPr>
          <w:sz w:val="22"/>
          <w:szCs w:val="22"/>
        </w:rPr>
        <w:t xml:space="preserve">with the estimated treatment difference being </w:t>
      </w:r>
      <w:r w:rsidRPr="007D2EB5">
        <w:rPr>
          <w:sz w:val="22"/>
          <w:szCs w:val="22"/>
        </w:rPr>
        <w:br/>
        <w:t xml:space="preserve">-0.62% (95% CI: -0.80% to -0.44%), </w:t>
      </w:r>
      <w:r w:rsidRPr="007D2EB5">
        <w:rPr>
          <w:bCs/>
          <w:iCs/>
          <w:sz w:val="22"/>
          <w:szCs w:val="22"/>
        </w:rPr>
        <w:t>p&lt;0.0001). Significantly more patients achieved HbA</w:t>
      </w:r>
      <w:r w:rsidRPr="007D2EB5">
        <w:rPr>
          <w:bCs/>
          <w:iCs/>
          <w:sz w:val="22"/>
          <w:szCs w:val="22"/>
          <w:vertAlign w:val="subscript"/>
        </w:rPr>
        <w:t>1c</w:t>
      </w:r>
      <w:r w:rsidRPr="007D2EB5">
        <w:rPr>
          <w:bCs/>
          <w:iCs/>
          <w:sz w:val="22"/>
          <w:szCs w:val="22"/>
        </w:rPr>
        <w:t xml:space="preserve"> below 7% with </w:t>
      </w:r>
      <w:proofErr w:type="spellStart"/>
      <w:r w:rsidRPr="007D2EB5">
        <w:rPr>
          <w:bCs/>
          <w:iCs/>
          <w:sz w:val="22"/>
          <w:szCs w:val="22"/>
        </w:rPr>
        <w:t>Victoza</w:t>
      </w:r>
      <w:proofErr w:type="spellEnd"/>
      <w:r w:rsidRPr="007D2EB5">
        <w:rPr>
          <w:bCs/>
          <w:iCs/>
          <w:sz w:val="22"/>
          <w:szCs w:val="22"/>
        </w:rPr>
        <w:t xml:space="preserve"> compared to </w:t>
      </w:r>
      <w:proofErr w:type="spellStart"/>
      <w:r w:rsidRPr="007D2EB5">
        <w:rPr>
          <w:bCs/>
          <w:iCs/>
          <w:sz w:val="22"/>
          <w:szCs w:val="22"/>
        </w:rPr>
        <w:t>lixisenatide</w:t>
      </w:r>
      <w:proofErr w:type="spellEnd"/>
      <w:r w:rsidRPr="007D2EB5">
        <w:rPr>
          <w:bCs/>
          <w:iCs/>
          <w:sz w:val="22"/>
          <w:szCs w:val="22"/>
        </w:rPr>
        <w:t xml:space="preserve"> (74.2% vs 45.5%, p&lt;0.0001), as well as the HbA</w:t>
      </w:r>
      <w:r w:rsidRPr="007D2EB5">
        <w:rPr>
          <w:bCs/>
          <w:iCs/>
          <w:sz w:val="22"/>
          <w:szCs w:val="22"/>
          <w:vertAlign w:val="subscript"/>
        </w:rPr>
        <w:t>1c</w:t>
      </w:r>
      <w:r w:rsidRPr="007D2EB5">
        <w:rPr>
          <w:bCs/>
          <w:iCs/>
          <w:sz w:val="22"/>
          <w:szCs w:val="22"/>
        </w:rPr>
        <w:t xml:space="preserve"> target below or equal to 6.5% (54.6% vs 26.2%, p&lt;0.0001). Significantly greater reduction in fasting plasma glucose was achieved with </w:t>
      </w:r>
      <w:proofErr w:type="spellStart"/>
      <w:r w:rsidRPr="007D2EB5">
        <w:rPr>
          <w:bCs/>
          <w:iCs/>
          <w:sz w:val="22"/>
          <w:szCs w:val="22"/>
        </w:rPr>
        <w:t>Victoza</w:t>
      </w:r>
      <w:proofErr w:type="spellEnd"/>
      <w:r w:rsidRPr="007D2EB5">
        <w:rPr>
          <w:bCs/>
          <w:iCs/>
          <w:sz w:val="22"/>
          <w:szCs w:val="22"/>
        </w:rPr>
        <w:t xml:space="preserve"> than </w:t>
      </w:r>
      <w:proofErr w:type="spellStart"/>
      <w:r w:rsidRPr="007D2EB5">
        <w:rPr>
          <w:bCs/>
          <w:iCs/>
          <w:sz w:val="22"/>
          <w:szCs w:val="22"/>
        </w:rPr>
        <w:t>lixisenatide</w:t>
      </w:r>
      <w:proofErr w:type="spellEnd"/>
      <w:r w:rsidRPr="007D2EB5">
        <w:rPr>
          <w:bCs/>
          <w:iCs/>
          <w:sz w:val="22"/>
          <w:szCs w:val="22"/>
        </w:rPr>
        <w:t xml:space="preserve"> (-2.85 vs </w:t>
      </w:r>
      <w:r w:rsidRPr="007D2EB5">
        <w:rPr>
          <w:bCs/>
          <w:iCs/>
          <w:sz w:val="22"/>
          <w:szCs w:val="22"/>
        </w:rPr>
        <w:noBreakHyphen/>
        <w:t>1.70 </w:t>
      </w:r>
      <w:proofErr w:type="spellStart"/>
      <w:r w:rsidRPr="007D2EB5">
        <w:rPr>
          <w:bCs/>
          <w:iCs/>
          <w:sz w:val="22"/>
          <w:szCs w:val="22"/>
        </w:rPr>
        <w:t>mmol</w:t>
      </w:r>
      <w:proofErr w:type="spellEnd"/>
      <w:r w:rsidRPr="007D2EB5">
        <w:rPr>
          <w:bCs/>
          <w:iCs/>
          <w:sz w:val="22"/>
          <w:szCs w:val="22"/>
        </w:rPr>
        <w:t xml:space="preserve">/L, p&lt;0.0001). Body weight loss was observed in both treatment arms (-4.3 kg with Victoza and -3.7 kg with </w:t>
      </w:r>
      <w:proofErr w:type="spellStart"/>
      <w:r w:rsidRPr="007D2EB5">
        <w:rPr>
          <w:bCs/>
          <w:iCs/>
          <w:sz w:val="22"/>
          <w:szCs w:val="22"/>
        </w:rPr>
        <w:t>lixisenatide</w:t>
      </w:r>
      <w:proofErr w:type="spellEnd"/>
      <w:r w:rsidRPr="007D2EB5">
        <w:rPr>
          <w:bCs/>
          <w:iCs/>
          <w:sz w:val="22"/>
          <w:szCs w:val="22"/>
        </w:rPr>
        <w:t xml:space="preserve">). The safety profiles of </w:t>
      </w:r>
      <w:proofErr w:type="spellStart"/>
      <w:r w:rsidRPr="007D2EB5">
        <w:rPr>
          <w:bCs/>
          <w:iCs/>
          <w:sz w:val="22"/>
          <w:szCs w:val="22"/>
        </w:rPr>
        <w:t>Victoza</w:t>
      </w:r>
      <w:proofErr w:type="spellEnd"/>
      <w:r w:rsidRPr="007D2EB5">
        <w:rPr>
          <w:bCs/>
          <w:iCs/>
          <w:sz w:val="22"/>
          <w:szCs w:val="22"/>
        </w:rPr>
        <w:t xml:space="preserve"> and </w:t>
      </w:r>
      <w:proofErr w:type="spellStart"/>
      <w:r w:rsidRPr="007D2EB5">
        <w:rPr>
          <w:bCs/>
          <w:iCs/>
          <w:sz w:val="22"/>
          <w:szCs w:val="22"/>
        </w:rPr>
        <w:t>lixisenatide</w:t>
      </w:r>
      <w:proofErr w:type="spellEnd"/>
      <w:r w:rsidRPr="007D2EB5">
        <w:rPr>
          <w:bCs/>
          <w:iCs/>
          <w:sz w:val="22"/>
          <w:szCs w:val="22"/>
        </w:rPr>
        <w:t xml:space="preserve"> were overall comparable. However, </w:t>
      </w:r>
      <w:r w:rsidRPr="007D2EB5">
        <w:rPr>
          <w:bCs/>
          <w:iCs/>
          <w:sz w:val="22"/>
          <w:szCs w:val="22"/>
          <w:lang w:val="da-DK"/>
        </w:rPr>
        <w:t xml:space="preserve">gastrointestinal adverse events were more frequently reported with liraglutide treatment (43.6% vs 37.1%). </w:t>
      </w:r>
      <w:r w:rsidRPr="007D2EB5">
        <w:rPr>
          <w:bCs/>
          <w:iCs/>
          <w:sz w:val="22"/>
          <w:szCs w:val="22"/>
        </w:rPr>
        <w:t xml:space="preserve">No new safety information was identified with Victoza. </w:t>
      </w:r>
    </w:p>
    <w:p w14:paraId="655D1DF0" w14:textId="77777777" w:rsidR="00127ECE" w:rsidRDefault="00127ECE" w:rsidP="00416832">
      <w:pPr>
        <w:jc w:val="both"/>
        <w:rPr>
          <w:noProof/>
          <w:sz w:val="22"/>
          <w:szCs w:val="22"/>
        </w:rPr>
      </w:pPr>
    </w:p>
    <w:p w14:paraId="40526903" w14:textId="443A382E" w:rsidR="00127ECE" w:rsidRPr="00127ECE" w:rsidRDefault="00127ECE" w:rsidP="00416832">
      <w:pPr>
        <w:jc w:val="both"/>
        <w:rPr>
          <w:b/>
          <w:noProof/>
          <w:sz w:val="22"/>
          <w:szCs w:val="22"/>
        </w:rPr>
      </w:pPr>
      <w:bookmarkStart w:id="6" w:name="_Toc463020838"/>
      <w:r w:rsidRPr="00127ECE">
        <w:rPr>
          <w:b/>
        </w:rPr>
        <w:t>INDICATIONS</w:t>
      </w:r>
      <w:bookmarkEnd w:id="6"/>
    </w:p>
    <w:p w14:paraId="3493765A" w14:textId="77777777" w:rsidR="00127ECE" w:rsidRDefault="00127ECE" w:rsidP="00416832">
      <w:pPr>
        <w:jc w:val="both"/>
        <w:rPr>
          <w:noProof/>
          <w:sz w:val="22"/>
          <w:szCs w:val="22"/>
        </w:rPr>
      </w:pPr>
    </w:p>
    <w:p w14:paraId="79DDE1E3" w14:textId="77777777" w:rsidR="00127ECE" w:rsidRPr="007D2EB5" w:rsidRDefault="00127ECE" w:rsidP="00127ECE">
      <w:pPr>
        <w:pStyle w:val="Heading4"/>
        <w:rPr>
          <w:b/>
          <w:i w:val="0"/>
          <w:sz w:val="22"/>
          <w:szCs w:val="22"/>
        </w:rPr>
      </w:pPr>
      <w:r w:rsidRPr="007D2EB5">
        <w:rPr>
          <w:b/>
          <w:i w:val="0"/>
          <w:sz w:val="22"/>
          <w:szCs w:val="22"/>
          <w:u w:val="single"/>
        </w:rPr>
        <w:lastRenderedPageBreak/>
        <w:t>Glycaemic control</w:t>
      </w:r>
    </w:p>
    <w:p w14:paraId="18302181" w14:textId="502FB7A0" w:rsidR="00127ECE" w:rsidRDefault="00127ECE" w:rsidP="00127ECE">
      <w:pPr>
        <w:jc w:val="both"/>
        <w:rPr>
          <w:noProof/>
          <w:sz w:val="22"/>
          <w:szCs w:val="22"/>
        </w:rPr>
      </w:pPr>
      <w:r w:rsidRPr="007D2EB5">
        <w:rPr>
          <w:sz w:val="22"/>
          <w:szCs w:val="22"/>
        </w:rPr>
        <w:t xml:space="preserve">Victoza is indicated as an adjunct to diet and exercise for treatment of adults with type 2 diabetes mellitus to achieve </w:t>
      </w:r>
      <w:proofErr w:type="spellStart"/>
      <w:r w:rsidRPr="007D2EB5">
        <w:rPr>
          <w:sz w:val="22"/>
          <w:szCs w:val="22"/>
        </w:rPr>
        <w:t>glycaemic</w:t>
      </w:r>
      <w:proofErr w:type="spellEnd"/>
      <w:r w:rsidRPr="007D2EB5">
        <w:rPr>
          <w:sz w:val="22"/>
          <w:szCs w:val="22"/>
        </w:rPr>
        <w:t xml:space="preserve"> control:</w:t>
      </w:r>
    </w:p>
    <w:p w14:paraId="4B60E2E2" w14:textId="0E86D2A6" w:rsidR="00EF2543" w:rsidRPr="007D2EB5" w:rsidRDefault="00EF2543" w:rsidP="00EF2543">
      <w:pPr>
        <w:numPr>
          <w:ilvl w:val="0"/>
          <w:numId w:val="9"/>
        </w:numPr>
        <w:jc w:val="both"/>
        <w:rPr>
          <w:noProof/>
          <w:sz w:val="22"/>
          <w:szCs w:val="22"/>
        </w:rPr>
      </w:pPr>
      <w:r w:rsidRPr="007D2EB5">
        <w:rPr>
          <w:noProof/>
          <w:sz w:val="22"/>
          <w:szCs w:val="22"/>
          <w:lang w:val="da-DK"/>
        </w:rPr>
        <w:t xml:space="preserve">as monotherapy </w:t>
      </w:r>
      <w:r w:rsidRPr="007D2EB5">
        <w:rPr>
          <w:noProof/>
          <w:sz w:val="22"/>
          <w:szCs w:val="22"/>
          <w:lang w:val="en-GB"/>
        </w:rPr>
        <w:t>when metformin is contraindicated or is not tolerated</w:t>
      </w:r>
    </w:p>
    <w:p w14:paraId="5EDCA1D2" w14:textId="7D94F570" w:rsidR="00127ECE" w:rsidRPr="009065B5" w:rsidRDefault="00EF2543" w:rsidP="009065B5">
      <w:pPr>
        <w:pStyle w:val="ListParagraph"/>
        <w:numPr>
          <w:ilvl w:val="0"/>
          <w:numId w:val="9"/>
        </w:numPr>
        <w:jc w:val="both"/>
        <w:rPr>
          <w:noProof/>
          <w:sz w:val="22"/>
          <w:szCs w:val="22"/>
        </w:rPr>
      </w:pPr>
      <w:r w:rsidRPr="00EF2543">
        <w:rPr>
          <w:noProof/>
          <w:sz w:val="22"/>
          <w:szCs w:val="22"/>
          <w:lang w:val="da-DK"/>
        </w:rPr>
        <w:t>in combination with other glucose lowering medicines.</w:t>
      </w:r>
    </w:p>
    <w:p w14:paraId="5138D1AD" w14:textId="77777777" w:rsidR="00127ECE" w:rsidRDefault="00127ECE" w:rsidP="00416832">
      <w:pPr>
        <w:jc w:val="both"/>
        <w:rPr>
          <w:noProof/>
          <w:sz w:val="22"/>
          <w:szCs w:val="22"/>
        </w:rPr>
      </w:pPr>
    </w:p>
    <w:p w14:paraId="5C661B38" w14:textId="77777777" w:rsidR="00EF2543" w:rsidRPr="007D2EB5" w:rsidRDefault="00EF2543" w:rsidP="00EF2543">
      <w:pPr>
        <w:pStyle w:val="Heading4"/>
        <w:rPr>
          <w:b/>
          <w:i w:val="0"/>
          <w:sz w:val="22"/>
          <w:szCs w:val="22"/>
        </w:rPr>
      </w:pPr>
      <w:r w:rsidRPr="007D2EB5">
        <w:rPr>
          <w:b/>
          <w:i w:val="0"/>
          <w:sz w:val="22"/>
          <w:szCs w:val="22"/>
          <w:u w:val="single"/>
        </w:rPr>
        <w:t>Prevention of cardiovascular events</w:t>
      </w:r>
    </w:p>
    <w:p w14:paraId="0BD0B244" w14:textId="16E8A0F6" w:rsidR="00127ECE" w:rsidRDefault="00EF2543" w:rsidP="00EF2543">
      <w:pPr>
        <w:jc w:val="both"/>
        <w:rPr>
          <w:noProof/>
          <w:sz w:val="22"/>
          <w:szCs w:val="22"/>
        </w:rPr>
      </w:pPr>
      <w:r w:rsidRPr="007D2EB5">
        <w:rPr>
          <w:sz w:val="22"/>
          <w:szCs w:val="22"/>
        </w:rPr>
        <w:t xml:space="preserve">In </w:t>
      </w:r>
      <w:proofErr w:type="gramStart"/>
      <w:r w:rsidRPr="007D2EB5">
        <w:rPr>
          <w:sz w:val="22"/>
          <w:szCs w:val="22"/>
        </w:rPr>
        <w:t>patients  where</w:t>
      </w:r>
      <w:proofErr w:type="gramEnd"/>
      <w:r w:rsidRPr="007D2EB5">
        <w:rPr>
          <w:sz w:val="22"/>
          <w:szCs w:val="22"/>
        </w:rPr>
        <w:t xml:space="preserve"> Victoza is indicated to improve </w:t>
      </w:r>
      <w:proofErr w:type="spellStart"/>
      <w:r w:rsidRPr="007D2EB5">
        <w:rPr>
          <w:sz w:val="22"/>
          <w:szCs w:val="22"/>
        </w:rPr>
        <w:t>glycaemic</w:t>
      </w:r>
      <w:proofErr w:type="spellEnd"/>
      <w:r w:rsidRPr="007D2EB5">
        <w:rPr>
          <w:sz w:val="22"/>
          <w:szCs w:val="22"/>
        </w:rPr>
        <w:t xml:space="preserve"> con</w:t>
      </w:r>
      <w:r w:rsidR="002B7DD2">
        <w:rPr>
          <w:sz w:val="22"/>
          <w:szCs w:val="22"/>
        </w:rPr>
        <w:t>t</w:t>
      </w:r>
      <w:r w:rsidRPr="007D2EB5">
        <w:rPr>
          <w:sz w:val="22"/>
          <w:szCs w:val="22"/>
        </w:rPr>
        <w:t xml:space="preserve">rol, </w:t>
      </w:r>
      <w:proofErr w:type="spellStart"/>
      <w:r w:rsidRPr="007D2EB5">
        <w:rPr>
          <w:sz w:val="22"/>
          <w:szCs w:val="22"/>
        </w:rPr>
        <w:t>Victoza</w:t>
      </w:r>
      <w:proofErr w:type="spellEnd"/>
      <w:r w:rsidRPr="007D2EB5">
        <w:rPr>
          <w:sz w:val="22"/>
          <w:szCs w:val="22"/>
        </w:rPr>
        <w:t xml:space="preserve"> is indicated to reduce the risk of cardiovascular events in those at high cardiovascular risk, as an adjunct to standard of care therapy (see CLINICAL TRIALS).</w:t>
      </w:r>
    </w:p>
    <w:p w14:paraId="60539B11" w14:textId="77777777" w:rsidR="00127ECE" w:rsidRDefault="00127ECE" w:rsidP="00416832">
      <w:pPr>
        <w:jc w:val="both"/>
        <w:rPr>
          <w:noProof/>
          <w:sz w:val="22"/>
          <w:szCs w:val="22"/>
        </w:rPr>
      </w:pPr>
    </w:p>
    <w:p w14:paraId="0270B625" w14:textId="6B74EA6F" w:rsidR="00127ECE" w:rsidRPr="002B7DD2" w:rsidRDefault="002B7DD2" w:rsidP="00416832">
      <w:pPr>
        <w:jc w:val="both"/>
        <w:rPr>
          <w:b/>
          <w:noProof/>
          <w:sz w:val="22"/>
          <w:szCs w:val="22"/>
        </w:rPr>
      </w:pPr>
      <w:bookmarkStart w:id="7" w:name="_Toc463020839"/>
      <w:r w:rsidRPr="002B7DD2">
        <w:rPr>
          <w:b/>
        </w:rPr>
        <w:t>CONTRAINDICATIONS</w:t>
      </w:r>
      <w:bookmarkEnd w:id="7"/>
    </w:p>
    <w:p w14:paraId="39084A30" w14:textId="77777777" w:rsidR="00127ECE" w:rsidRDefault="00127ECE" w:rsidP="00416832">
      <w:pPr>
        <w:jc w:val="both"/>
        <w:rPr>
          <w:noProof/>
          <w:sz w:val="22"/>
          <w:szCs w:val="22"/>
        </w:rPr>
      </w:pPr>
    </w:p>
    <w:p w14:paraId="0C413776" w14:textId="3FCCFCD9" w:rsidR="00EF2543" w:rsidRDefault="002B7DD2" w:rsidP="00416832">
      <w:pPr>
        <w:jc w:val="both"/>
        <w:rPr>
          <w:noProof/>
          <w:sz w:val="22"/>
          <w:szCs w:val="22"/>
        </w:rPr>
      </w:pPr>
      <w:r>
        <w:rPr>
          <w:sz w:val="22"/>
          <w:szCs w:val="22"/>
        </w:rPr>
        <w:t>Victoza</w:t>
      </w:r>
      <w:r w:rsidRPr="000C18BE">
        <w:rPr>
          <w:sz w:val="22"/>
          <w:szCs w:val="22"/>
        </w:rPr>
        <w:t xml:space="preserve"> is not to be used in</w:t>
      </w:r>
      <w:r>
        <w:rPr>
          <w:sz w:val="22"/>
          <w:szCs w:val="22"/>
        </w:rPr>
        <w:t xml:space="preserve"> </w:t>
      </w:r>
      <w:r w:rsidRPr="00214C64">
        <w:rPr>
          <w:sz w:val="22"/>
          <w:szCs w:val="22"/>
        </w:rPr>
        <w:t>patients with hypersensitivity to liraglutide or any of its excipients.</w:t>
      </w:r>
    </w:p>
    <w:p w14:paraId="3CF96C41" w14:textId="77777777" w:rsidR="00EF2543" w:rsidRDefault="00EF2543" w:rsidP="00416832">
      <w:pPr>
        <w:jc w:val="both"/>
        <w:rPr>
          <w:noProof/>
          <w:sz w:val="22"/>
          <w:szCs w:val="22"/>
        </w:rPr>
      </w:pPr>
    </w:p>
    <w:p w14:paraId="47BAD0E8" w14:textId="360CD7A4" w:rsidR="00EF2543" w:rsidRPr="002B7DD2" w:rsidRDefault="002B7DD2" w:rsidP="00416832">
      <w:pPr>
        <w:jc w:val="both"/>
        <w:rPr>
          <w:b/>
        </w:rPr>
      </w:pPr>
      <w:r w:rsidRPr="002B7DD2">
        <w:rPr>
          <w:b/>
        </w:rPr>
        <w:t>PRECAUTIONS</w:t>
      </w:r>
    </w:p>
    <w:p w14:paraId="64ED1F35" w14:textId="77777777" w:rsidR="00EF2543" w:rsidRDefault="00EF2543" w:rsidP="00416832">
      <w:pPr>
        <w:jc w:val="both"/>
        <w:rPr>
          <w:noProof/>
          <w:sz w:val="22"/>
          <w:szCs w:val="22"/>
        </w:rPr>
      </w:pPr>
    </w:p>
    <w:p w14:paraId="77D326AB" w14:textId="4E870BCF" w:rsidR="00EF2543" w:rsidRDefault="002B7DD2" w:rsidP="00416832">
      <w:pPr>
        <w:jc w:val="both"/>
        <w:rPr>
          <w:sz w:val="22"/>
          <w:szCs w:val="22"/>
        </w:rPr>
      </w:pPr>
      <w:r w:rsidRPr="007D2EB5">
        <w:rPr>
          <w:noProof/>
          <w:sz w:val="22"/>
          <w:szCs w:val="22"/>
        </w:rPr>
        <w:t>Victoza</w:t>
      </w:r>
      <w:r w:rsidRPr="007D2EB5">
        <w:rPr>
          <w:sz w:val="22"/>
          <w:szCs w:val="22"/>
        </w:rPr>
        <w:t xml:space="preserve"> should not be used in patients with type 1 diabetes mellitus or for the treatment of diabetic ketoacidosis. Insulin is the correct treatment for these conditions. </w:t>
      </w:r>
    </w:p>
    <w:p w14:paraId="2DDCEF0C" w14:textId="77777777" w:rsidR="002B7DD2" w:rsidRDefault="002B7DD2" w:rsidP="00416832">
      <w:pPr>
        <w:jc w:val="both"/>
        <w:rPr>
          <w:sz w:val="22"/>
          <w:szCs w:val="22"/>
        </w:rPr>
      </w:pPr>
    </w:p>
    <w:p w14:paraId="0FCB79F3" w14:textId="7379CFC5" w:rsidR="002B7DD2" w:rsidRDefault="002B7DD2" w:rsidP="00416832">
      <w:pPr>
        <w:jc w:val="both"/>
        <w:rPr>
          <w:sz w:val="22"/>
          <w:szCs w:val="22"/>
        </w:rPr>
      </w:pPr>
      <w:r w:rsidRPr="007D2EB5">
        <w:rPr>
          <w:sz w:val="22"/>
          <w:szCs w:val="22"/>
        </w:rPr>
        <w:t>Victoza is not a substitute for insulin. Insulin should not be discontinued in patients dependent on insulin.</w:t>
      </w:r>
    </w:p>
    <w:p w14:paraId="0C1229E9" w14:textId="77777777" w:rsidR="002B7DD2" w:rsidRDefault="002B7DD2" w:rsidP="00416832">
      <w:pPr>
        <w:jc w:val="both"/>
        <w:rPr>
          <w:sz w:val="22"/>
          <w:szCs w:val="22"/>
        </w:rPr>
      </w:pPr>
    </w:p>
    <w:p w14:paraId="2FDE7FD3" w14:textId="6E6CE3D0" w:rsidR="002B7DD2" w:rsidRDefault="002B7DD2" w:rsidP="00416832">
      <w:pPr>
        <w:jc w:val="both"/>
        <w:rPr>
          <w:noProof/>
          <w:sz w:val="22"/>
          <w:szCs w:val="22"/>
        </w:rPr>
      </w:pPr>
      <w:r w:rsidRPr="007D2EB5" w:rsidDel="0089508D">
        <w:rPr>
          <w:noProof/>
          <w:sz w:val="22"/>
          <w:szCs w:val="22"/>
        </w:rPr>
        <w:t>Victoza</w:t>
      </w:r>
      <w:r w:rsidRPr="007D2EB5" w:rsidDel="0089508D">
        <w:rPr>
          <w:iCs/>
          <w:sz w:val="22"/>
          <w:szCs w:val="22"/>
          <w:lang w:val="en-AU"/>
        </w:rPr>
        <w:t xml:space="preserve"> </w:t>
      </w:r>
      <w:r w:rsidRPr="007D2EB5">
        <w:rPr>
          <w:iCs/>
          <w:sz w:val="22"/>
          <w:szCs w:val="22"/>
          <w:lang w:val="en-AU"/>
        </w:rPr>
        <w:t>must</w:t>
      </w:r>
      <w:r w:rsidRPr="007D2EB5" w:rsidDel="0089508D">
        <w:rPr>
          <w:sz w:val="22"/>
          <w:szCs w:val="22"/>
          <w:lang w:val="en-AU"/>
        </w:rPr>
        <w:t xml:space="preserve"> </w:t>
      </w:r>
      <w:r w:rsidRPr="007D2EB5" w:rsidDel="0089508D">
        <w:rPr>
          <w:b/>
          <w:sz w:val="22"/>
          <w:szCs w:val="22"/>
          <w:lang w:val="en-AU"/>
        </w:rPr>
        <w:t>not</w:t>
      </w:r>
      <w:r w:rsidRPr="007D2EB5" w:rsidDel="0089508D">
        <w:rPr>
          <w:sz w:val="22"/>
          <w:szCs w:val="22"/>
          <w:lang w:val="en-AU"/>
        </w:rPr>
        <w:t xml:space="preserve"> be administered intravenously or intramuscularly. </w:t>
      </w:r>
    </w:p>
    <w:p w14:paraId="159C6614" w14:textId="77777777" w:rsidR="00127ECE" w:rsidRDefault="00127ECE" w:rsidP="00416832">
      <w:pPr>
        <w:jc w:val="both"/>
        <w:rPr>
          <w:noProof/>
          <w:sz w:val="22"/>
          <w:szCs w:val="22"/>
        </w:rPr>
      </w:pPr>
    </w:p>
    <w:p w14:paraId="626C9DE5" w14:textId="204028D5" w:rsidR="002B7DD2" w:rsidRDefault="002B7DD2" w:rsidP="00416832">
      <w:pPr>
        <w:jc w:val="both"/>
        <w:rPr>
          <w:noProof/>
          <w:sz w:val="22"/>
          <w:szCs w:val="22"/>
        </w:rPr>
      </w:pPr>
      <w:r w:rsidRPr="007D2EB5">
        <w:rPr>
          <w:sz w:val="22"/>
          <w:szCs w:val="22"/>
        </w:rPr>
        <w:t xml:space="preserve">There is no therapeutic experience in patients with congestive heart failure New York Heart Association (NYHA) class IV and </w:t>
      </w:r>
      <w:r w:rsidRPr="007D2EB5">
        <w:rPr>
          <w:sz w:val="22"/>
          <w:szCs w:val="22"/>
          <w:lang w:val="da-DK"/>
        </w:rPr>
        <w:t>Victoza is therefore not recommended for use in these patients</w:t>
      </w:r>
      <w:r w:rsidRPr="007D2EB5">
        <w:rPr>
          <w:sz w:val="22"/>
          <w:szCs w:val="22"/>
        </w:rPr>
        <w:t xml:space="preserve">.  </w:t>
      </w:r>
    </w:p>
    <w:p w14:paraId="7BF23347" w14:textId="77777777" w:rsidR="002B7DD2" w:rsidRDefault="002B7DD2" w:rsidP="00416832">
      <w:pPr>
        <w:jc w:val="both"/>
        <w:rPr>
          <w:noProof/>
          <w:sz w:val="22"/>
          <w:szCs w:val="22"/>
        </w:rPr>
      </w:pPr>
    </w:p>
    <w:p w14:paraId="15A629E0" w14:textId="7D00C355" w:rsidR="002B7DD2" w:rsidRDefault="002B7DD2" w:rsidP="00416832">
      <w:pPr>
        <w:jc w:val="both"/>
        <w:rPr>
          <w:noProof/>
          <w:sz w:val="22"/>
          <w:szCs w:val="22"/>
        </w:rPr>
      </w:pPr>
      <w:r w:rsidRPr="007D2EB5">
        <w:rPr>
          <w:sz w:val="22"/>
          <w:szCs w:val="22"/>
        </w:rPr>
        <w:t xml:space="preserve">There is limited experience in patients </w:t>
      </w:r>
      <w:r w:rsidRPr="007D2EB5">
        <w:rPr>
          <w:bCs/>
          <w:iCs/>
          <w:sz w:val="22"/>
          <w:szCs w:val="22"/>
        </w:rPr>
        <w:t>w</w:t>
      </w:r>
      <w:r w:rsidRPr="007D2EB5">
        <w:rPr>
          <w:sz w:val="22"/>
          <w:szCs w:val="22"/>
        </w:rPr>
        <w:t>ith inflammatory bowel disease and diabetic gastroparesis. Use of Victoza is not recommended in these patients since it is associated with transient gastrointestinal adverse reactions, including nausea, vomiting and diarrhoea.</w:t>
      </w:r>
    </w:p>
    <w:p w14:paraId="22A12C40" w14:textId="77777777" w:rsidR="002B7DD2" w:rsidRDefault="002B7DD2" w:rsidP="00416832">
      <w:pPr>
        <w:jc w:val="both"/>
        <w:rPr>
          <w:noProof/>
          <w:sz w:val="22"/>
          <w:szCs w:val="22"/>
        </w:rPr>
      </w:pPr>
    </w:p>
    <w:p w14:paraId="13990017" w14:textId="77777777" w:rsidR="002B7DD2" w:rsidRPr="007D2EB5" w:rsidRDefault="002B7DD2" w:rsidP="002B7DD2">
      <w:pPr>
        <w:pStyle w:val="Heading4"/>
        <w:rPr>
          <w:color w:val="000000"/>
          <w:sz w:val="22"/>
          <w:szCs w:val="22"/>
        </w:rPr>
      </w:pPr>
      <w:r w:rsidRPr="007D2EB5">
        <w:rPr>
          <w:b/>
          <w:i w:val="0"/>
          <w:sz w:val="22"/>
          <w:szCs w:val="22"/>
          <w:u w:val="single"/>
        </w:rPr>
        <w:t>Dehydration and renal impairment</w:t>
      </w:r>
      <w:r w:rsidRPr="007D2EB5">
        <w:rPr>
          <w:b/>
          <w:sz w:val="22"/>
          <w:szCs w:val="22"/>
          <w:lang w:val="en-US"/>
        </w:rPr>
        <w:t xml:space="preserve"> </w:t>
      </w:r>
    </w:p>
    <w:p w14:paraId="6FA53471" w14:textId="77777777" w:rsidR="002B7DD2" w:rsidRPr="007D2EB5" w:rsidRDefault="002B7DD2" w:rsidP="002B7DD2">
      <w:pPr>
        <w:keepNext/>
        <w:jc w:val="both"/>
        <w:rPr>
          <w:color w:val="000000"/>
          <w:sz w:val="22"/>
          <w:szCs w:val="22"/>
          <w:lang w:val="en-GB"/>
        </w:rPr>
      </w:pPr>
      <w:r w:rsidRPr="007D2EB5">
        <w:rPr>
          <w:color w:val="000000"/>
          <w:sz w:val="22"/>
          <w:szCs w:val="22"/>
          <w:lang w:val="en-GB"/>
        </w:rPr>
        <w:t xml:space="preserve">Signs and symptoms of dehydration, including renal impairment and acute renal failure have been reported in patients treated with GLP-1 receptor agonists. Some of the events occurred in patients with pre-existing renal impairment and/or on medications that affect renal function. Although renal function improved with symptomatic treatment in most patients, some patients have required haemodialysis.  Patients treated with Victoza should be advised of the potential risk of dehydration in relation to gastrointestinal side effects and take precautions to avoid fluid depletion. </w:t>
      </w:r>
    </w:p>
    <w:p w14:paraId="2FD9B4D5" w14:textId="77777777" w:rsidR="002B7DD2" w:rsidRPr="007D2EB5" w:rsidRDefault="002B7DD2" w:rsidP="002B7DD2">
      <w:pPr>
        <w:keepNext/>
        <w:jc w:val="both"/>
        <w:rPr>
          <w:color w:val="000000"/>
          <w:sz w:val="22"/>
          <w:szCs w:val="22"/>
          <w:lang w:val="en-GB"/>
        </w:rPr>
      </w:pPr>
    </w:p>
    <w:p w14:paraId="1C2B5DBB" w14:textId="4DFB2ADE" w:rsidR="002B7DD2" w:rsidRDefault="002B7DD2" w:rsidP="002B7DD2">
      <w:pPr>
        <w:jc w:val="both"/>
        <w:rPr>
          <w:noProof/>
          <w:sz w:val="22"/>
          <w:szCs w:val="22"/>
        </w:rPr>
      </w:pPr>
      <w:r w:rsidRPr="007D2EB5">
        <w:rPr>
          <w:color w:val="000000"/>
          <w:sz w:val="22"/>
          <w:szCs w:val="22"/>
          <w:lang w:val="en-GB"/>
        </w:rPr>
        <w:t xml:space="preserve">There is no therapeutic experience in patients with end-stage renal disease and Victoza is therefore not recommended for use in these patients. </w:t>
      </w:r>
    </w:p>
    <w:p w14:paraId="3C852EEA" w14:textId="77777777" w:rsidR="002B7DD2" w:rsidRDefault="002B7DD2" w:rsidP="00416832">
      <w:pPr>
        <w:jc w:val="both"/>
        <w:rPr>
          <w:noProof/>
          <w:sz w:val="22"/>
          <w:szCs w:val="22"/>
        </w:rPr>
      </w:pPr>
    </w:p>
    <w:p w14:paraId="75FFFDDD" w14:textId="77777777" w:rsidR="002B7DD2" w:rsidRPr="007D2EB5" w:rsidRDefault="002B7DD2" w:rsidP="002B7DD2">
      <w:pPr>
        <w:pStyle w:val="Heading4"/>
        <w:rPr>
          <w:i w:val="0"/>
          <w:sz w:val="22"/>
          <w:szCs w:val="22"/>
          <w:lang w:val="da-DK"/>
        </w:rPr>
      </w:pPr>
      <w:r w:rsidRPr="007D2EB5">
        <w:rPr>
          <w:b/>
          <w:i w:val="0"/>
          <w:sz w:val="22"/>
          <w:szCs w:val="22"/>
          <w:u w:val="single"/>
        </w:rPr>
        <w:t>Thyroid disease</w:t>
      </w:r>
    </w:p>
    <w:p w14:paraId="5C65995A" w14:textId="78BAF20E" w:rsidR="002B7DD2" w:rsidRDefault="002B7DD2" w:rsidP="002B7DD2">
      <w:pPr>
        <w:jc w:val="both"/>
        <w:rPr>
          <w:noProof/>
          <w:sz w:val="22"/>
          <w:szCs w:val="22"/>
        </w:rPr>
      </w:pPr>
      <w:r w:rsidRPr="007D2EB5">
        <w:rPr>
          <w:sz w:val="22"/>
          <w:szCs w:val="22"/>
        </w:rPr>
        <w:t xml:space="preserve">Thyroid adverse events, such as </w:t>
      </w:r>
      <w:proofErr w:type="spellStart"/>
      <w:r w:rsidRPr="007D2EB5">
        <w:rPr>
          <w:sz w:val="22"/>
          <w:szCs w:val="22"/>
        </w:rPr>
        <w:t>goitre</w:t>
      </w:r>
      <w:proofErr w:type="spellEnd"/>
      <w:r w:rsidRPr="007D2EB5">
        <w:rPr>
          <w:sz w:val="22"/>
          <w:szCs w:val="22"/>
        </w:rPr>
        <w:t>, have been reported in clinical trials, in particular in patients with pre-existing thyroid disease</w:t>
      </w:r>
      <w:r w:rsidRPr="007D2EB5">
        <w:rPr>
          <w:sz w:val="22"/>
          <w:szCs w:val="22"/>
          <w:lang w:val="da-DK"/>
        </w:rPr>
        <w:t>, and Victoza should therefore be used with caution in these patients</w:t>
      </w:r>
      <w:r w:rsidRPr="007D2EB5">
        <w:rPr>
          <w:sz w:val="22"/>
          <w:szCs w:val="22"/>
        </w:rPr>
        <w:t>.</w:t>
      </w:r>
      <w:r w:rsidRPr="007D2EB5">
        <w:rPr>
          <w:sz w:val="22"/>
          <w:szCs w:val="22"/>
          <w:lang w:val="da-DK"/>
        </w:rPr>
        <w:t xml:space="preserve"> </w:t>
      </w:r>
    </w:p>
    <w:p w14:paraId="40B90370" w14:textId="77777777" w:rsidR="002B7DD2" w:rsidRDefault="002B7DD2" w:rsidP="00416832">
      <w:pPr>
        <w:jc w:val="both"/>
        <w:rPr>
          <w:noProof/>
          <w:sz w:val="22"/>
          <w:szCs w:val="22"/>
        </w:rPr>
      </w:pPr>
    </w:p>
    <w:p w14:paraId="77A6180E" w14:textId="77777777" w:rsidR="002B7DD2" w:rsidRPr="007D2EB5" w:rsidRDefault="002B7DD2" w:rsidP="002B7DD2">
      <w:pPr>
        <w:pStyle w:val="Heading4"/>
        <w:rPr>
          <w:b/>
          <w:sz w:val="22"/>
          <w:szCs w:val="22"/>
        </w:rPr>
      </w:pPr>
      <w:r w:rsidRPr="007D2EB5">
        <w:rPr>
          <w:b/>
          <w:i w:val="0"/>
          <w:sz w:val="22"/>
          <w:szCs w:val="22"/>
          <w:u w:val="single"/>
        </w:rPr>
        <w:t>Pancreatitis</w:t>
      </w:r>
    </w:p>
    <w:p w14:paraId="14C5AF30" w14:textId="39F5C18E" w:rsidR="002B7DD2" w:rsidRDefault="002B7DD2" w:rsidP="002B7DD2">
      <w:pPr>
        <w:jc w:val="both"/>
        <w:rPr>
          <w:noProof/>
          <w:sz w:val="22"/>
          <w:szCs w:val="22"/>
        </w:rPr>
      </w:pPr>
      <w:r w:rsidRPr="007D2EB5">
        <w:rPr>
          <w:color w:val="000000"/>
          <w:sz w:val="22"/>
          <w:szCs w:val="22"/>
          <w:lang w:val="da-DK"/>
        </w:rPr>
        <w:t xml:space="preserve">Acute pancreatitis has been observed with the use of GLP-1 receptor agonists . Patients should be informed of the characteristic symptoms of acute pancreatitis. If pancreatitis is suspected, Victoza should be discontinued; if acute pancreatitis is confirmed, Victoza should not be restarted. . </w:t>
      </w:r>
      <w:r w:rsidRPr="007D2EB5">
        <w:rPr>
          <w:color w:val="000000"/>
          <w:sz w:val="22"/>
          <w:szCs w:val="22"/>
        </w:rPr>
        <w:t>In the absence of other signs and symptoms of acute pancreatitis, elevations in pancreatic enzymes alone are not predictive of acute pancreatitis.</w:t>
      </w:r>
    </w:p>
    <w:p w14:paraId="7EDE938F" w14:textId="77777777" w:rsidR="002B7DD2" w:rsidRDefault="002B7DD2" w:rsidP="00416832">
      <w:pPr>
        <w:jc w:val="both"/>
        <w:rPr>
          <w:noProof/>
          <w:sz w:val="22"/>
          <w:szCs w:val="22"/>
        </w:rPr>
      </w:pPr>
    </w:p>
    <w:p w14:paraId="3BCFCDF6" w14:textId="2AD496E7" w:rsidR="002B7DD2" w:rsidRDefault="002B7DD2" w:rsidP="00416832">
      <w:pPr>
        <w:jc w:val="both"/>
        <w:rPr>
          <w:noProof/>
          <w:sz w:val="22"/>
          <w:szCs w:val="22"/>
        </w:rPr>
      </w:pPr>
      <w:r w:rsidRPr="007D2EB5">
        <w:rPr>
          <w:color w:val="000000"/>
          <w:sz w:val="22"/>
          <w:szCs w:val="22"/>
        </w:rPr>
        <w:lastRenderedPageBreak/>
        <w:t xml:space="preserve">In </w:t>
      </w:r>
      <w:proofErr w:type="spellStart"/>
      <w:r w:rsidRPr="007D2EB5">
        <w:rPr>
          <w:color w:val="000000"/>
          <w:sz w:val="22"/>
          <w:szCs w:val="22"/>
        </w:rPr>
        <w:t>glycaemic</w:t>
      </w:r>
      <w:proofErr w:type="spellEnd"/>
      <w:r w:rsidRPr="007D2EB5">
        <w:rPr>
          <w:color w:val="000000"/>
          <w:sz w:val="22"/>
          <w:szCs w:val="22"/>
        </w:rPr>
        <w:t xml:space="preserve"> control clinical trials of Victoza in patients with type 2 diabetes, there </w:t>
      </w:r>
      <w:r w:rsidRPr="007D2EB5">
        <w:rPr>
          <w:sz w:val="22"/>
          <w:szCs w:val="22"/>
          <w:lang w:val="en-AU"/>
        </w:rPr>
        <w:t>have been 13</w:t>
      </w:r>
      <w:r w:rsidRPr="007D2EB5">
        <w:rPr>
          <w:color w:val="000000"/>
          <w:sz w:val="22"/>
          <w:szCs w:val="22"/>
        </w:rPr>
        <w:t xml:space="preserve"> cases of pancreatitis among Victoza-treated patients and 1 case </w:t>
      </w:r>
      <w:r w:rsidRPr="007D2EB5">
        <w:rPr>
          <w:sz w:val="22"/>
          <w:szCs w:val="22"/>
          <w:lang w:val="en-AU"/>
        </w:rPr>
        <w:t>in a</w:t>
      </w:r>
      <w:r w:rsidRPr="007D2EB5">
        <w:rPr>
          <w:color w:val="000000"/>
          <w:sz w:val="22"/>
          <w:szCs w:val="22"/>
        </w:rPr>
        <w:t xml:space="preserve"> comparator </w:t>
      </w:r>
      <w:r w:rsidRPr="007D2EB5">
        <w:rPr>
          <w:sz w:val="22"/>
          <w:szCs w:val="22"/>
          <w:lang w:val="en-AU"/>
        </w:rPr>
        <w:t xml:space="preserve">(glimepiride) </w:t>
      </w:r>
      <w:r w:rsidRPr="007D2EB5">
        <w:rPr>
          <w:color w:val="000000"/>
          <w:sz w:val="22"/>
          <w:szCs w:val="22"/>
        </w:rPr>
        <w:t xml:space="preserve">treated patient (2.1 vs 0.7 cases per 1000 patient-years). </w:t>
      </w:r>
      <w:r w:rsidRPr="007D2EB5">
        <w:rPr>
          <w:sz w:val="22"/>
          <w:szCs w:val="22"/>
          <w:lang w:val="en-AU"/>
        </w:rPr>
        <w:t>Nine of the 13</w:t>
      </w:r>
      <w:r w:rsidRPr="007D2EB5">
        <w:rPr>
          <w:color w:val="000000"/>
          <w:sz w:val="22"/>
          <w:szCs w:val="22"/>
        </w:rPr>
        <w:t xml:space="preserve"> cases with Victoza were reported as acute pancreatitis and four were reported as chronic pancreatitis. In one case in a Victoza-treated patient, pancreatitis, with necrosis, was observed and led to death; however clinical causality could not be established.  Some patients had other risk factors for pancreatitis, such as a history of </w:t>
      </w:r>
      <w:proofErr w:type="spellStart"/>
      <w:r w:rsidRPr="007D2EB5">
        <w:rPr>
          <w:color w:val="000000"/>
          <w:sz w:val="22"/>
          <w:szCs w:val="22"/>
        </w:rPr>
        <w:t>cholelithiasis</w:t>
      </w:r>
      <w:proofErr w:type="spellEnd"/>
      <w:r w:rsidRPr="007D2EB5">
        <w:rPr>
          <w:color w:val="000000"/>
          <w:sz w:val="22"/>
          <w:szCs w:val="22"/>
        </w:rPr>
        <w:t xml:space="preserve"> or alcohol abuse. </w:t>
      </w:r>
      <w:r w:rsidRPr="007D2EB5">
        <w:rPr>
          <w:sz w:val="22"/>
          <w:szCs w:val="22"/>
        </w:rPr>
        <w:t xml:space="preserve">In most cases, treatment of pancreatitis has led to recovery. </w:t>
      </w:r>
    </w:p>
    <w:p w14:paraId="2E1D1755" w14:textId="77777777" w:rsidR="002B7DD2" w:rsidRDefault="002B7DD2" w:rsidP="00416832">
      <w:pPr>
        <w:jc w:val="both"/>
        <w:rPr>
          <w:noProof/>
          <w:sz w:val="22"/>
          <w:szCs w:val="22"/>
        </w:rPr>
      </w:pPr>
    </w:p>
    <w:p w14:paraId="2D14DDDD" w14:textId="586FD6B6" w:rsidR="002B7DD2" w:rsidRDefault="002B7DD2" w:rsidP="00416832">
      <w:pPr>
        <w:jc w:val="both"/>
        <w:rPr>
          <w:noProof/>
          <w:sz w:val="22"/>
          <w:szCs w:val="22"/>
        </w:rPr>
      </w:pPr>
      <w:r w:rsidRPr="007D2EB5">
        <w:rPr>
          <w:color w:val="000000"/>
          <w:sz w:val="22"/>
          <w:szCs w:val="22"/>
        </w:rPr>
        <w:t>In the LEADER trial, acute pancreatitis was confirmed by adjudication in 18 Victoza-treated patients (1.1 cases per 1000 patient years of observation) and 23 placebo-treated patients (1.7 cases per 1000 patient years of observation), both on a background of standard of care. In addition, there were no cases of chronic pancreatitis confirmed by adjudication in Victoza-treated patients and 2 cases in placebo-treated patients. The LEADER trial enrolled 267 patients with a medical history of acute or chronic pancreatitis; of these, 2 out of 147 (1.4%) in the Victoza group and 6 out of 120 (5.0%) in the placebo group had a new event of acute pancreatitis confirmed by adjudication.</w:t>
      </w:r>
    </w:p>
    <w:p w14:paraId="149033CA" w14:textId="77777777" w:rsidR="002B7DD2" w:rsidRDefault="002B7DD2" w:rsidP="00416832">
      <w:pPr>
        <w:jc w:val="both"/>
        <w:rPr>
          <w:noProof/>
          <w:sz w:val="22"/>
          <w:szCs w:val="22"/>
        </w:rPr>
      </w:pPr>
    </w:p>
    <w:p w14:paraId="6B3A5D3E" w14:textId="77777777" w:rsidR="002B7DD2" w:rsidRPr="007D2EB5" w:rsidRDefault="002B7DD2" w:rsidP="002B7DD2">
      <w:pPr>
        <w:pStyle w:val="Heading4"/>
        <w:rPr>
          <w:b/>
          <w:sz w:val="22"/>
          <w:szCs w:val="22"/>
        </w:rPr>
      </w:pPr>
      <w:r w:rsidRPr="007D2EB5">
        <w:rPr>
          <w:b/>
          <w:i w:val="0"/>
          <w:sz w:val="22"/>
          <w:szCs w:val="22"/>
          <w:u w:val="single"/>
        </w:rPr>
        <w:t>Hypoglycaemia</w:t>
      </w:r>
    </w:p>
    <w:p w14:paraId="7B1F9150" w14:textId="39181034" w:rsidR="002B7DD2" w:rsidRDefault="002B7DD2" w:rsidP="002B7DD2">
      <w:pPr>
        <w:jc w:val="both"/>
        <w:rPr>
          <w:noProof/>
          <w:sz w:val="22"/>
          <w:szCs w:val="22"/>
        </w:rPr>
      </w:pPr>
      <w:r w:rsidRPr="007D2EB5">
        <w:rPr>
          <w:sz w:val="22"/>
          <w:szCs w:val="22"/>
        </w:rPr>
        <w:t xml:space="preserve">Due to the glucose-dependent </w:t>
      </w:r>
      <w:proofErr w:type="spellStart"/>
      <w:r w:rsidRPr="007D2EB5">
        <w:rPr>
          <w:sz w:val="22"/>
          <w:szCs w:val="22"/>
        </w:rPr>
        <w:t>insulinotropic</w:t>
      </w:r>
      <w:proofErr w:type="spellEnd"/>
      <w:r w:rsidRPr="007D2EB5">
        <w:rPr>
          <w:sz w:val="22"/>
          <w:szCs w:val="22"/>
        </w:rPr>
        <w:t xml:space="preserve"> mechanism of action of </w:t>
      </w:r>
      <w:r w:rsidRPr="007D2EB5">
        <w:rPr>
          <w:noProof/>
          <w:sz w:val="22"/>
          <w:szCs w:val="22"/>
        </w:rPr>
        <w:t>Victoza</w:t>
      </w:r>
      <w:r w:rsidRPr="007D2EB5">
        <w:rPr>
          <w:sz w:val="22"/>
          <w:szCs w:val="22"/>
        </w:rPr>
        <w:t xml:space="preserve">, when used in combination with metformin alone, no increase in the frequency of </w:t>
      </w:r>
      <w:proofErr w:type="spellStart"/>
      <w:r w:rsidRPr="007D2EB5">
        <w:rPr>
          <w:sz w:val="22"/>
          <w:szCs w:val="22"/>
        </w:rPr>
        <w:t>hypoglycaemia</w:t>
      </w:r>
      <w:proofErr w:type="spellEnd"/>
      <w:r w:rsidRPr="007D2EB5">
        <w:rPr>
          <w:sz w:val="22"/>
          <w:szCs w:val="22"/>
        </w:rPr>
        <w:t xml:space="preserve"> was observed over that of placebo in combination with metformin.</w:t>
      </w:r>
    </w:p>
    <w:p w14:paraId="0516AE77" w14:textId="77777777" w:rsidR="002B7DD2" w:rsidRDefault="002B7DD2" w:rsidP="00416832">
      <w:pPr>
        <w:jc w:val="both"/>
        <w:rPr>
          <w:noProof/>
          <w:sz w:val="22"/>
          <w:szCs w:val="22"/>
        </w:rPr>
      </w:pPr>
    </w:p>
    <w:p w14:paraId="522FBD35" w14:textId="79A4B534" w:rsidR="002B7DD2" w:rsidRDefault="002B7DD2" w:rsidP="00416832">
      <w:pPr>
        <w:jc w:val="both"/>
        <w:rPr>
          <w:noProof/>
          <w:sz w:val="22"/>
          <w:szCs w:val="22"/>
        </w:rPr>
      </w:pPr>
      <w:r w:rsidRPr="007D2EB5">
        <w:rPr>
          <w:sz w:val="22"/>
          <w:szCs w:val="22"/>
        </w:rPr>
        <w:t xml:space="preserve">Patients receiving </w:t>
      </w:r>
      <w:r w:rsidRPr="007D2EB5">
        <w:rPr>
          <w:noProof/>
          <w:sz w:val="22"/>
          <w:szCs w:val="22"/>
        </w:rPr>
        <w:t>Victoza</w:t>
      </w:r>
      <w:r w:rsidRPr="007D2EB5">
        <w:rPr>
          <w:sz w:val="22"/>
          <w:szCs w:val="22"/>
        </w:rPr>
        <w:t xml:space="preserve"> in combination with a sulfonylurea </w:t>
      </w:r>
      <w:r w:rsidRPr="007D2EB5">
        <w:rPr>
          <w:bCs/>
          <w:sz w:val="22"/>
          <w:szCs w:val="22"/>
          <w:lang w:val="en-GB"/>
        </w:rPr>
        <w:t>or insulin</w:t>
      </w:r>
      <w:r w:rsidRPr="007D2EB5">
        <w:rPr>
          <w:sz w:val="22"/>
          <w:szCs w:val="22"/>
        </w:rPr>
        <w:t xml:space="preserve"> may have an increased risk of </w:t>
      </w:r>
      <w:proofErr w:type="spellStart"/>
      <w:r w:rsidRPr="007D2EB5">
        <w:rPr>
          <w:sz w:val="22"/>
          <w:szCs w:val="22"/>
        </w:rPr>
        <w:t>hypoglycaemia</w:t>
      </w:r>
      <w:proofErr w:type="spellEnd"/>
      <w:r w:rsidRPr="007D2EB5">
        <w:rPr>
          <w:sz w:val="22"/>
          <w:szCs w:val="22"/>
        </w:rPr>
        <w:t xml:space="preserve"> (see Table 6 in </w:t>
      </w:r>
      <w:r w:rsidRPr="007D2EB5">
        <w:rPr>
          <w:bCs/>
          <w:iCs/>
          <w:sz w:val="22"/>
          <w:szCs w:val="22"/>
        </w:rPr>
        <w:t>ADVERSE EFFECTS</w:t>
      </w:r>
      <w:r w:rsidRPr="007D2EB5">
        <w:rPr>
          <w:sz w:val="22"/>
          <w:szCs w:val="22"/>
        </w:rPr>
        <w:t xml:space="preserve">). The risk of </w:t>
      </w:r>
      <w:proofErr w:type="spellStart"/>
      <w:r w:rsidRPr="007D2EB5">
        <w:rPr>
          <w:sz w:val="22"/>
          <w:szCs w:val="22"/>
        </w:rPr>
        <w:t>hypoglycaemia</w:t>
      </w:r>
      <w:proofErr w:type="spellEnd"/>
      <w:r w:rsidRPr="007D2EB5">
        <w:rPr>
          <w:sz w:val="22"/>
          <w:szCs w:val="22"/>
        </w:rPr>
        <w:t xml:space="preserve"> can be lowered by a reduction in the dose of sulfonylurea </w:t>
      </w:r>
      <w:r w:rsidRPr="007D2EB5">
        <w:rPr>
          <w:sz w:val="22"/>
          <w:szCs w:val="22"/>
          <w:lang w:val="da-DK"/>
        </w:rPr>
        <w:t>or insulin</w:t>
      </w:r>
      <w:r w:rsidRPr="007D2EB5">
        <w:rPr>
          <w:sz w:val="22"/>
          <w:szCs w:val="22"/>
        </w:rPr>
        <w:t>.</w:t>
      </w:r>
    </w:p>
    <w:p w14:paraId="0C7A7A04" w14:textId="77777777" w:rsidR="002B7DD2" w:rsidRDefault="002B7DD2" w:rsidP="00416832">
      <w:pPr>
        <w:jc w:val="both"/>
        <w:rPr>
          <w:noProof/>
          <w:sz w:val="22"/>
          <w:szCs w:val="22"/>
        </w:rPr>
      </w:pPr>
    </w:p>
    <w:p w14:paraId="70DB5BF2" w14:textId="77777777" w:rsidR="002B7DD2" w:rsidRPr="007D2EB5" w:rsidRDefault="002B7DD2" w:rsidP="002B7DD2">
      <w:pPr>
        <w:pStyle w:val="Heading4"/>
        <w:rPr>
          <w:b/>
          <w:i w:val="0"/>
          <w:sz w:val="22"/>
          <w:szCs w:val="22"/>
        </w:rPr>
      </w:pPr>
      <w:r w:rsidRPr="007D2EB5">
        <w:rPr>
          <w:b/>
          <w:i w:val="0"/>
          <w:sz w:val="22"/>
          <w:szCs w:val="22"/>
          <w:u w:val="single"/>
        </w:rPr>
        <w:t>Effects on ability to drive and use machines</w:t>
      </w:r>
    </w:p>
    <w:p w14:paraId="51A7A42C" w14:textId="2A6340D6" w:rsidR="002B7DD2" w:rsidRDefault="002B7DD2" w:rsidP="002B7DD2">
      <w:pPr>
        <w:jc w:val="both"/>
        <w:rPr>
          <w:noProof/>
          <w:sz w:val="22"/>
          <w:szCs w:val="22"/>
        </w:rPr>
      </w:pPr>
      <w:r w:rsidRPr="007D2EB5">
        <w:rPr>
          <w:sz w:val="22"/>
          <w:szCs w:val="22"/>
        </w:rPr>
        <w:t xml:space="preserve">No studies on the effects on the ability to drive and use machines have been performed. It is unlikely that the ability to drive or use machines should be impaired by Victoza. Patients should be advised to take precautions to avoid </w:t>
      </w:r>
      <w:proofErr w:type="spellStart"/>
      <w:r w:rsidRPr="007D2EB5">
        <w:rPr>
          <w:sz w:val="22"/>
          <w:szCs w:val="22"/>
        </w:rPr>
        <w:t>hypoglycaemia</w:t>
      </w:r>
      <w:proofErr w:type="spellEnd"/>
      <w:r w:rsidRPr="007D2EB5">
        <w:rPr>
          <w:sz w:val="22"/>
          <w:szCs w:val="22"/>
        </w:rPr>
        <w:t xml:space="preserve"> while driving and using machines, in particular when Victoza is used in combination with a sulfonylurea </w:t>
      </w:r>
      <w:r w:rsidRPr="007D2EB5">
        <w:rPr>
          <w:bCs/>
          <w:sz w:val="22"/>
          <w:szCs w:val="22"/>
          <w:lang w:val="en-GB"/>
        </w:rPr>
        <w:t>or insulin</w:t>
      </w:r>
      <w:r w:rsidRPr="007D2EB5">
        <w:rPr>
          <w:bCs/>
          <w:sz w:val="22"/>
          <w:szCs w:val="22"/>
        </w:rPr>
        <w:t>.</w:t>
      </w:r>
    </w:p>
    <w:p w14:paraId="57062C5A" w14:textId="77777777" w:rsidR="002B7DD2" w:rsidRDefault="002B7DD2" w:rsidP="00416832">
      <w:pPr>
        <w:jc w:val="both"/>
        <w:rPr>
          <w:noProof/>
          <w:sz w:val="22"/>
          <w:szCs w:val="22"/>
        </w:rPr>
      </w:pPr>
    </w:p>
    <w:p w14:paraId="2DE9E1EC" w14:textId="77777777" w:rsidR="002B7DD2" w:rsidRPr="007D2EB5" w:rsidRDefault="002B7DD2" w:rsidP="002B7DD2">
      <w:pPr>
        <w:pStyle w:val="Heading4"/>
        <w:rPr>
          <w:sz w:val="22"/>
          <w:szCs w:val="22"/>
        </w:rPr>
      </w:pPr>
      <w:r w:rsidRPr="007D2EB5">
        <w:rPr>
          <w:b/>
          <w:i w:val="0"/>
          <w:sz w:val="22"/>
          <w:szCs w:val="22"/>
          <w:u w:val="single"/>
        </w:rPr>
        <w:t>Genotoxicity</w:t>
      </w:r>
    </w:p>
    <w:p w14:paraId="22E07035" w14:textId="008CED29" w:rsidR="002B7DD2" w:rsidRDefault="002B7DD2" w:rsidP="002B7DD2">
      <w:pPr>
        <w:jc w:val="both"/>
        <w:rPr>
          <w:noProof/>
          <w:sz w:val="22"/>
          <w:szCs w:val="22"/>
        </w:rPr>
      </w:pPr>
      <w:r w:rsidRPr="007D2EB5">
        <w:rPr>
          <w:sz w:val="22"/>
          <w:szCs w:val="22"/>
        </w:rPr>
        <w:t xml:space="preserve">Liraglutide was not mutagenic in the bacterial Ames assay, and not clastogenic in human lymphocytes </w:t>
      </w:r>
      <w:r w:rsidRPr="007D2EB5">
        <w:rPr>
          <w:i/>
          <w:sz w:val="22"/>
          <w:szCs w:val="22"/>
        </w:rPr>
        <w:t>in vitro</w:t>
      </w:r>
      <w:r w:rsidRPr="007D2EB5">
        <w:rPr>
          <w:sz w:val="22"/>
          <w:szCs w:val="22"/>
        </w:rPr>
        <w:t xml:space="preserve">, or in rat lymphocytes and bone marrow </w:t>
      </w:r>
      <w:r w:rsidRPr="007D2EB5">
        <w:rPr>
          <w:i/>
          <w:sz w:val="22"/>
          <w:szCs w:val="22"/>
        </w:rPr>
        <w:t>in vivo</w:t>
      </w:r>
      <w:r w:rsidRPr="007D2EB5">
        <w:rPr>
          <w:sz w:val="22"/>
          <w:szCs w:val="22"/>
        </w:rPr>
        <w:t>.</w:t>
      </w:r>
    </w:p>
    <w:p w14:paraId="173D703B" w14:textId="77777777" w:rsidR="002B7DD2" w:rsidRDefault="002B7DD2" w:rsidP="00416832">
      <w:pPr>
        <w:jc w:val="both"/>
        <w:rPr>
          <w:noProof/>
          <w:sz w:val="22"/>
          <w:szCs w:val="22"/>
        </w:rPr>
      </w:pPr>
    </w:p>
    <w:p w14:paraId="5AE9BEA1" w14:textId="77777777" w:rsidR="002B7DD2" w:rsidRPr="007D2EB5" w:rsidRDefault="002B7DD2" w:rsidP="002B7DD2">
      <w:pPr>
        <w:pStyle w:val="Heading4"/>
        <w:rPr>
          <w:sz w:val="22"/>
          <w:szCs w:val="22"/>
        </w:rPr>
      </w:pPr>
      <w:r w:rsidRPr="007D2EB5">
        <w:rPr>
          <w:b/>
          <w:i w:val="0"/>
          <w:sz w:val="22"/>
          <w:szCs w:val="22"/>
          <w:u w:val="single"/>
        </w:rPr>
        <w:t xml:space="preserve">Carcinogenicity </w:t>
      </w:r>
    </w:p>
    <w:p w14:paraId="2B074C25" w14:textId="5442FA55" w:rsidR="002B7DD2" w:rsidRDefault="002B7DD2" w:rsidP="002B7DD2">
      <w:pPr>
        <w:jc w:val="both"/>
        <w:rPr>
          <w:noProof/>
          <w:sz w:val="22"/>
          <w:szCs w:val="22"/>
        </w:rPr>
      </w:pPr>
      <w:r w:rsidRPr="007D2EB5">
        <w:rPr>
          <w:sz w:val="22"/>
          <w:szCs w:val="22"/>
        </w:rPr>
        <w:t xml:space="preserve">Liraglutide caused thyroid C-cell adenomas and carcinomas in two-year studies in mice and rats. C-cell neoplasia was observed in mice at subcutaneous doses ≥1 mg/kg/day (relative exposure based on plasma AUC, ≥7.7) and in rats at all doses tested (≥0.075 mg/kg/day subcutaneously; relative exposure, ≥0.5). </w:t>
      </w:r>
      <w:r w:rsidRPr="007D2EB5">
        <w:rPr>
          <w:iCs/>
          <w:sz w:val="22"/>
          <w:szCs w:val="22"/>
          <w:lang w:val="en-AU" w:eastAsia="en-AU"/>
        </w:rPr>
        <w:t xml:space="preserve">No tumours or other C-cell proliferative changes were seen in monkeys treated with liraglutide for 20 months (≤5 mg/kg/day subcutaneously; relative exposure, ≤64). The findings in mice and rats are mediated by a specific GLP-1 receptor-mediated mechanism to which rodents are particularly sensitive. The relevance for humans is likely to be low but cannot presently be completely excluded. </w:t>
      </w:r>
    </w:p>
    <w:p w14:paraId="5200F092" w14:textId="77777777" w:rsidR="002B7DD2" w:rsidRDefault="002B7DD2" w:rsidP="00416832">
      <w:pPr>
        <w:jc w:val="both"/>
        <w:rPr>
          <w:noProof/>
          <w:sz w:val="22"/>
          <w:szCs w:val="22"/>
        </w:rPr>
      </w:pPr>
    </w:p>
    <w:p w14:paraId="00C40A43" w14:textId="77777777" w:rsidR="002B7DD2" w:rsidRPr="007D2EB5" w:rsidRDefault="002B7DD2" w:rsidP="002B7DD2">
      <w:pPr>
        <w:pStyle w:val="Heading4"/>
        <w:rPr>
          <w:i w:val="0"/>
          <w:sz w:val="22"/>
          <w:szCs w:val="22"/>
        </w:rPr>
      </w:pPr>
      <w:r w:rsidRPr="007D2EB5">
        <w:rPr>
          <w:b/>
          <w:i w:val="0"/>
          <w:sz w:val="22"/>
          <w:szCs w:val="22"/>
          <w:u w:val="single"/>
        </w:rPr>
        <w:t>Effects on fertility</w:t>
      </w:r>
    </w:p>
    <w:p w14:paraId="0919F5AC" w14:textId="7BCA4F8E" w:rsidR="002B7DD2" w:rsidRDefault="002B7DD2" w:rsidP="002B7DD2">
      <w:pPr>
        <w:jc w:val="both"/>
        <w:rPr>
          <w:noProof/>
          <w:sz w:val="22"/>
          <w:szCs w:val="22"/>
        </w:rPr>
      </w:pPr>
      <w:r w:rsidRPr="007D2EB5">
        <w:rPr>
          <w:sz w:val="22"/>
          <w:szCs w:val="22"/>
        </w:rPr>
        <w:t>No adverse effects on fertility were observed in male and female rats given subcutaneous doses of liraglutide at ≤1 mg/kg/day, yielding exposure to liraglutide (plasma AUC) 11-13 times higher than that of patients at the maximum recommended human dose.</w:t>
      </w:r>
    </w:p>
    <w:p w14:paraId="43F278CA" w14:textId="77777777" w:rsidR="002B7DD2" w:rsidRDefault="002B7DD2" w:rsidP="00416832">
      <w:pPr>
        <w:jc w:val="both"/>
        <w:rPr>
          <w:noProof/>
          <w:sz w:val="22"/>
          <w:szCs w:val="22"/>
        </w:rPr>
      </w:pPr>
    </w:p>
    <w:p w14:paraId="610F5DD1" w14:textId="77777777" w:rsidR="002B7DD2" w:rsidRPr="007D2EB5" w:rsidRDefault="002B7DD2" w:rsidP="002B7DD2">
      <w:pPr>
        <w:pStyle w:val="Heading4"/>
        <w:rPr>
          <w:sz w:val="22"/>
          <w:szCs w:val="22"/>
        </w:rPr>
      </w:pPr>
      <w:r w:rsidRPr="007D2EB5">
        <w:rPr>
          <w:b/>
          <w:i w:val="0"/>
          <w:sz w:val="22"/>
          <w:szCs w:val="22"/>
          <w:u w:val="single"/>
        </w:rPr>
        <w:t>Use in pregnancy</w:t>
      </w:r>
    </w:p>
    <w:p w14:paraId="4810A4CA" w14:textId="258F0999" w:rsidR="002B7DD2" w:rsidRDefault="002B7DD2" w:rsidP="002B7DD2">
      <w:pPr>
        <w:jc w:val="both"/>
        <w:rPr>
          <w:noProof/>
          <w:sz w:val="22"/>
          <w:szCs w:val="22"/>
        </w:rPr>
      </w:pPr>
      <w:r w:rsidRPr="007D2EB5">
        <w:rPr>
          <w:sz w:val="22"/>
          <w:szCs w:val="22"/>
        </w:rPr>
        <w:t>Pregnancy Category: B3</w:t>
      </w:r>
    </w:p>
    <w:p w14:paraId="418EB731" w14:textId="77777777" w:rsidR="002B7DD2" w:rsidRDefault="002B7DD2" w:rsidP="00416832">
      <w:pPr>
        <w:jc w:val="both"/>
        <w:rPr>
          <w:noProof/>
          <w:sz w:val="22"/>
          <w:szCs w:val="22"/>
        </w:rPr>
      </w:pPr>
    </w:p>
    <w:p w14:paraId="1B16BC87" w14:textId="5BB1BF2A" w:rsidR="002B7DD2" w:rsidRDefault="002B7DD2" w:rsidP="00416832">
      <w:pPr>
        <w:jc w:val="both"/>
        <w:rPr>
          <w:noProof/>
          <w:sz w:val="22"/>
          <w:szCs w:val="22"/>
        </w:rPr>
      </w:pPr>
      <w:r w:rsidRPr="007D2EB5">
        <w:rPr>
          <w:sz w:val="22"/>
          <w:szCs w:val="22"/>
        </w:rPr>
        <w:t xml:space="preserve">Increased embryofetal death and minor fetal skeletal abnormalities (kinked ribs) were observed in rats given liraglutide at 1 mg/kg/day by subcutaneous injection (yielding 11-times the plasma AUC in </w:t>
      </w:r>
      <w:r w:rsidRPr="007D2EB5">
        <w:rPr>
          <w:sz w:val="22"/>
          <w:szCs w:val="22"/>
        </w:rPr>
        <w:lastRenderedPageBreak/>
        <w:t xml:space="preserve">humans at the maximum recommended clinical dose). In rabbits treated at doses ≥0.01 mg/kg/day (relative exposure, ≥0.2), there was retardation of fetal growth and an increased incidence of several minor skeletal and visceral abnormalities. Postnatal body weight gain was reduced in the offspring of rats treated with liraglutide during gestation and lactation. These findings may have occurred secondary to reduced maternal food consumption. Placental transfer of liraglutide and/or its metabolites was demonstrated in the animal species.  </w:t>
      </w:r>
    </w:p>
    <w:p w14:paraId="524B45D5" w14:textId="77777777" w:rsidR="002B7DD2" w:rsidRDefault="002B7DD2" w:rsidP="00416832">
      <w:pPr>
        <w:jc w:val="both"/>
        <w:rPr>
          <w:noProof/>
          <w:sz w:val="22"/>
          <w:szCs w:val="22"/>
        </w:rPr>
      </w:pPr>
    </w:p>
    <w:p w14:paraId="2CC2DE76" w14:textId="3CE3E265" w:rsidR="002B7DD2" w:rsidRDefault="002B7DD2" w:rsidP="00416832">
      <w:pPr>
        <w:jc w:val="both"/>
        <w:rPr>
          <w:noProof/>
          <w:sz w:val="22"/>
          <w:szCs w:val="22"/>
        </w:rPr>
      </w:pPr>
      <w:r w:rsidRPr="007D2EB5">
        <w:rPr>
          <w:sz w:val="22"/>
          <w:szCs w:val="22"/>
        </w:rPr>
        <w:t xml:space="preserve">There are limited data from the use of liraglutide in pregnant women. Victoza should not be used during pregnancy and the use of insulin is recommended. If a patient wishes to become pregnant, or pregnancy occurs, treatment with Victoza should be discontinued. </w:t>
      </w:r>
    </w:p>
    <w:p w14:paraId="4ADD25CA" w14:textId="77777777" w:rsidR="002B7DD2" w:rsidRDefault="002B7DD2" w:rsidP="00416832">
      <w:pPr>
        <w:jc w:val="both"/>
        <w:rPr>
          <w:noProof/>
          <w:sz w:val="22"/>
          <w:szCs w:val="22"/>
        </w:rPr>
      </w:pPr>
    </w:p>
    <w:p w14:paraId="38127831" w14:textId="77777777" w:rsidR="002B7DD2" w:rsidRPr="007D2EB5" w:rsidRDefault="002B7DD2" w:rsidP="002B7DD2">
      <w:pPr>
        <w:pStyle w:val="Heading4"/>
        <w:rPr>
          <w:b/>
          <w:sz w:val="22"/>
          <w:szCs w:val="22"/>
        </w:rPr>
      </w:pPr>
      <w:r w:rsidRPr="007D2EB5">
        <w:rPr>
          <w:b/>
          <w:i w:val="0"/>
          <w:sz w:val="22"/>
          <w:szCs w:val="22"/>
          <w:u w:val="single"/>
        </w:rPr>
        <w:t>Use in lactation</w:t>
      </w:r>
    </w:p>
    <w:p w14:paraId="20FF96D1" w14:textId="3799B975" w:rsidR="002B7DD2" w:rsidRDefault="002B7DD2" w:rsidP="002B7DD2">
      <w:pPr>
        <w:jc w:val="both"/>
        <w:rPr>
          <w:noProof/>
          <w:sz w:val="22"/>
          <w:szCs w:val="22"/>
        </w:rPr>
      </w:pPr>
      <w:r w:rsidRPr="007D2EB5">
        <w:rPr>
          <w:sz w:val="22"/>
          <w:szCs w:val="22"/>
        </w:rPr>
        <w:t>It is not known whether Victoza is excreted in human milk. Studies in lactating rats have shown that the transfer of Victoza and metabolites of close structural relationship into milk is low. Due to lack of experience, Victoza must not be used during breast-feeding.</w:t>
      </w:r>
    </w:p>
    <w:p w14:paraId="0849A100" w14:textId="77777777" w:rsidR="002B7DD2" w:rsidRDefault="002B7DD2" w:rsidP="00416832">
      <w:pPr>
        <w:jc w:val="both"/>
        <w:rPr>
          <w:noProof/>
          <w:sz w:val="22"/>
          <w:szCs w:val="22"/>
        </w:rPr>
      </w:pPr>
    </w:p>
    <w:p w14:paraId="61FF9E0A" w14:textId="77777777" w:rsidR="002B7DD2" w:rsidRPr="007D2EB5" w:rsidRDefault="002B7DD2" w:rsidP="002B7DD2">
      <w:pPr>
        <w:pStyle w:val="Heading4"/>
        <w:rPr>
          <w:b/>
          <w:sz w:val="22"/>
          <w:szCs w:val="22"/>
        </w:rPr>
      </w:pPr>
      <w:r w:rsidRPr="007D2EB5">
        <w:rPr>
          <w:b/>
          <w:i w:val="0"/>
          <w:sz w:val="22"/>
          <w:szCs w:val="22"/>
          <w:u w:val="single"/>
        </w:rPr>
        <w:t>Incompatibilities</w:t>
      </w:r>
    </w:p>
    <w:p w14:paraId="0BB24502" w14:textId="265ED7E6" w:rsidR="002B7DD2" w:rsidRDefault="002B7DD2" w:rsidP="002B7DD2">
      <w:pPr>
        <w:jc w:val="both"/>
        <w:rPr>
          <w:noProof/>
          <w:sz w:val="22"/>
          <w:szCs w:val="22"/>
        </w:rPr>
      </w:pPr>
      <w:r w:rsidRPr="007D2EB5">
        <w:rPr>
          <w:sz w:val="22"/>
          <w:szCs w:val="22"/>
        </w:rPr>
        <w:t xml:space="preserve">Substances added to </w:t>
      </w:r>
      <w:r w:rsidRPr="007D2EB5">
        <w:rPr>
          <w:noProof/>
          <w:sz w:val="22"/>
          <w:szCs w:val="22"/>
        </w:rPr>
        <w:t>Victoza</w:t>
      </w:r>
      <w:r w:rsidRPr="007D2EB5">
        <w:rPr>
          <w:sz w:val="22"/>
          <w:szCs w:val="22"/>
        </w:rPr>
        <w:t xml:space="preserve"> may cause degradation of liraglutide. </w:t>
      </w:r>
      <w:r w:rsidRPr="007D2EB5">
        <w:rPr>
          <w:noProof/>
          <w:sz w:val="22"/>
          <w:szCs w:val="22"/>
        </w:rPr>
        <w:t>Victoza</w:t>
      </w:r>
      <w:r w:rsidRPr="007D2EB5">
        <w:rPr>
          <w:sz w:val="22"/>
          <w:szCs w:val="22"/>
        </w:rPr>
        <w:t xml:space="preserve"> must not be mixed with other medicinal products, e.g. infusion fluids.</w:t>
      </w:r>
    </w:p>
    <w:p w14:paraId="510E268E" w14:textId="77777777" w:rsidR="002B7DD2" w:rsidRDefault="002B7DD2" w:rsidP="00416832">
      <w:pPr>
        <w:jc w:val="both"/>
        <w:rPr>
          <w:noProof/>
          <w:sz w:val="22"/>
          <w:szCs w:val="22"/>
        </w:rPr>
      </w:pPr>
    </w:p>
    <w:p w14:paraId="26EA04B5" w14:textId="1F8D6C79" w:rsidR="002B7DD2" w:rsidRPr="002B7DD2" w:rsidRDefault="002B7DD2" w:rsidP="00416832">
      <w:pPr>
        <w:jc w:val="both"/>
        <w:rPr>
          <w:b/>
          <w:noProof/>
        </w:rPr>
      </w:pPr>
      <w:r w:rsidRPr="002B7DD2">
        <w:rPr>
          <w:b/>
          <w:noProof/>
        </w:rPr>
        <w:t>INTERACTIONS WITH OTHER MEDICINES</w:t>
      </w:r>
    </w:p>
    <w:p w14:paraId="7AC3558A" w14:textId="77777777" w:rsidR="002B7DD2" w:rsidRDefault="002B7DD2" w:rsidP="00416832">
      <w:pPr>
        <w:jc w:val="both"/>
        <w:rPr>
          <w:noProof/>
          <w:sz w:val="22"/>
          <w:szCs w:val="22"/>
        </w:rPr>
      </w:pPr>
    </w:p>
    <w:p w14:paraId="3F8CE99D" w14:textId="77777777" w:rsidR="002B7DD2" w:rsidRPr="007D2EB5" w:rsidRDefault="002B7DD2" w:rsidP="002B7DD2">
      <w:pPr>
        <w:pStyle w:val="Heading4"/>
        <w:rPr>
          <w:b/>
          <w:i w:val="0"/>
          <w:sz w:val="22"/>
          <w:szCs w:val="22"/>
          <w:u w:val="single"/>
        </w:rPr>
      </w:pPr>
      <w:r w:rsidRPr="007D2EB5">
        <w:rPr>
          <w:b/>
          <w:sz w:val="22"/>
          <w:szCs w:val="22"/>
          <w:u w:val="single"/>
        </w:rPr>
        <w:t xml:space="preserve">In vitro </w:t>
      </w:r>
      <w:r w:rsidRPr="007D2EB5">
        <w:rPr>
          <w:b/>
          <w:i w:val="0"/>
          <w:sz w:val="22"/>
          <w:szCs w:val="22"/>
          <w:u w:val="single"/>
        </w:rPr>
        <w:t>assessment of drug-drug interaction</w:t>
      </w:r>
    </w:p>
    <w:p w14:paraId="32B57B68" w14:textId="1BEB0DD2" w:rsidR="002B7DD2" w:rsidRDefault="002B7DD2" w:rsidP="002B7DD2">
      <w:pPr>
        <w:jc w:val="both"/>
        <w:rPr>
          <w:noProof/>
          <w:sz w:val="22"/>
          <w:szCs w:val="22"/>
        </w:rPr>
      </w:pPr>
      <w:r w:rsidRPr="007D2EB5">
        <w:rPr>
          <w:sz w:val="22"/>
          <w:szCs w:val="22"/>
        </w:rPr>
        <w:t xml:space="preserve">Liraglutide has shown very low potential to be involved in pharmacokinetic interactions </w:t>
      </w:r>
      <w:r w:rsidRPr="007D2EB5">
        <w:rPr>
          <w:sz w:val="22"/>
          <w:szCs w:val="22"/>
          <w:lang w:val="da-DK"/>
        </w:rPr>
        <w:t>with other active substances</w:t>
      </w:r>
      <w:r w:rsidRPr="007D2EB5">
        <w:rPr>
          <w:sz w:val="22"/>
          <w:szCs w:val="22"/>
        </w:rPr>
        <w:t xml:space="preserve"> related to cytochrome P450 (CYP) and plasma protein binding.</w:t>
      </w:r>
    </w:p>
    <w:p w14:paraId="774C0A63" w14:textId="77777777" w:rsidR="002B7DD2" w:rsidRDefault="002B7DD2" w:rsidP="00416832">
      <w:pPr>
        <w:jc w:val="both"/>
        <w:rPr>
          <w:noProof/>
          <w:sz w:val="22"/>
          <w:szCs w:val="22"/>
        </w:rPr>
      </w:pPr>
    </w:p>
    <w:p w14:paraId="26D89977" w14:textId="77777777" w:rsidR="002B7DD2" w:rsidRPr="007D2EB5" w:rsidRDefault="002B7DD2" w:rsidP="002B7DD2">
      <w:pPr>
        <w:pStyle w:val="Heading4"/>
        <w:rPr>
          <w:b/>
          <w:i w:val="0"/>
          <w:sz w:val="22"/>
          <w:szCs w:val="22"/>
          <w:u w:val="single"/>
        </w:rPr>
      </w:pPr>
      <w:r w:rsidRPr="007D2EB5">
        <w:rPr>
          <w:b/>
          <w:sz w:val="22"/>
          <w:szCs w:val="22"/>
          <w:u w:val="single"/>
        </w:rPr>
        <w:t xml:space="preserve">In vivo </w:t>
      </w:r>
      <w:r w:rsidRPr="007D2EB5">
        <w:rPr>
          <w:b/>
          <w:i w:val="0"/>
          <w:sz w:val="22"/>
          <w:szCs w:val="22"/>
          <w:u w:val="single"/>
        </w:rPr>
        <w:t>assessment of drug-drug interaction</w:t>
      </w:r>
    </w:p>
    <w:p w14:paraId="3B376E5A" w14:textId="5E842B7E" w:rsidR="002B7DD2" w:rsidRDefault="002B7DD2" w:rsidP="002B7DD2">
      <w:pPr>
        <w:jc w:val="both"/>
        <w:rPr>
          <w:noProof/>
          <w:sz w:val="22"/>
          <w:szCs w:val="22"/>
        </w:rPr>
      </w:pPr>
      <w:r w:rsidRPr="007D2EB5">
        <w:rPr>
          <w:sz w:val="22"/>
          <w:szCs w:val="22"/>
        </w:rPr>
        <w:t xml:space="preserve">Drug-drug interaction has been investigated using medicines that were carefully selected to represent compounds of various degrees of solubility and permeability properties, including paracetamol (acetaminophen), digoxin, </w:t>
      </w:r>
      <w:proofErr w:type="spellStart"/>
      <w:r w:rsidRPr="007D2EB5">
        <w:rPr>
          <w:sz w:val="22"/>
          <w:szCs w:val="22"/>
        </w:rPr>
        <w:t>lisinopril</w:t>
      </w:r>
      <w:proofErr w:type="spellEnd"/>
      <w:r w:rsidRPr="007D2EB5">
        <w:rPr>
          <w:sz w:val="22"/>
          <w:szCs w:val="22"/>
        </w:rPr>
        <w:t xml:space="preserve">, </w:t>
      </w:r>
      <w:proofErr w:type="spellStart"/>
      <w:r w:rsidRPr="007D2EB5">
        <w:rPr>
          <w:sz w:val="22"/>
          <w:szCs w:val="22"/>
        </w:rPr>
        <w:t>griseofulvin</w:t>
      </w:r>
      <w:proofErr w:type="spellEnd"/>
      <w:r w:rsidRPr="007D2EB5">
        <w:rPr>
          <w:sz w:val="22"/>
          <w:szCs w:val="22"/>
        </w:rPr>
        <w:t xml:space="preserve"> and atorvastatin. In addition, the effect of liraglutide on the absorption of </w:t>
      </w:r>
      <w:proofErr w:type="spellStart"/>
      <w:r w:rsidRPr="007D2EB5">
        <w:rPr>
          <w:sz w:val="22"/>
          <w:szCs w:val="22"/>
        </w:rPr>
        <w:t>ethinylestradiol</w:t>
      </w:r>
      <w:proofErr w:type="spellEnd"/>
      <w:r w:rsidRPr="007D2EB5">
        <w:rPr>
          <w:sz w:val="22"/>
          <w:szCs w:val="22"/>
        </w:rPr>
        <w:t xml:space="preserve"> and </w:t>
      </w:r>
      <w:proofErr w:type="spellStart"/>
      <w:r w:rsidRPr="007D2EB5">
        <w:rPr>
          <w:sz w:val="22"/>
          <w:szCs w:val="22"/>
        </w:rPr>
        <w:t>levonorgestrel</w:t>
      </w:r>
      <w:proofErr w:type="spellEnd"/>
      <w:r w:rsidRPr="007D2EB5">
        <w:rPr>
          <w:sz w:val="22"/>
          <w:szCs w:val="22"/>
        </w:rPr>
        <w:t xml:space="preserve"> administered in an oral combination contraceptive drug has been investigated.</w:t>
      </w:r>
    </w:p>
    <w:p w14:paraId="58914C3C" w14:textId="77777777" w:rsidR="002B7DD2" w:rsidRDefault="002B7DD2" w:rsidP="00416832">
      <w:pPr>
        <w:jc w:val="both"/>
        <w:rPr>
          <w:noProof/>
          <w:sz w:val="22"/>
          <w:szCs w:val="22"/>
        </w:rPr>
      </w:pPr>
    </w:p>
    <w:p w14:paraId="592675F5" w14:textId="3EDF2E5D" w:rsidR="002B7DD2" w:rsidRDefault="002B7DD2" w:rsidP="00416832">
      <w:pPr>
        <w:jc w:val="both"/>
        <w:rPr>
          <w:noProof/>
          <w:sz w:val="22"/>
          <w:szCs w:val="22"/>
        </w:rPr>
      </w:pPr>
      <w:r w:rsidRPr="007D2EB5">
        <w:rPr>
          <w:sz w:val="22"/>
          <w:szCs w:val="22"/>
        </w:rPr>
        <w:t xml:space="preserve">The delay of gastric emptying caused by liraglutide </w:t>
      </w:r>
      <w:r w:rsidRPr="007D2EB5">
        <w:rPr>
          <w:sz w:val="22"/>
          <w:szCs w:val="22"/>
          <w:lang w:val="en-AU" w:eastAsia="en-AU"/>
        </w:rPr>
        <w:t xml:space="preserve">may influence absorption of concomitantly administered oral medicinal products. Interaction studies did not show any clinically relevant delay of absorption of the compounds that were studied, however clinically relevant interactions with other compounds where the effect is dependent on </w:t>
      </w:r>
      <w:proofErr w:type="spellStart"/>
      <w:r w:rsidRPr="007D2EB5">
        <w:rPr>
          <w:sz w:val="22"/>
          <w:szCs w:val="22"/>
          <w:lang w:val="en-AU" w:eastAsia="en-AU"/>
        </w:rPr>
        <w:t>C</w:t>
      </w:r>
      <w:r w:rsidRPr="007D2EB5">
        <w:rPr>
          <w:sz w:val="22"/>
          <w:szCs w:val="22"/>
          <w:vertAlign w:val="subscript"/>
          <w:lang w:val="en-AU" w:eastAsia="en-AU"/>
        </w:rPr>
        <w:t>max</w:t>
      </w:r>
      <w:proofErr w:type="spellEnd"/>
      <w:r w:rsidRPr="007D2EB5">
        <w:rPr>
          <w:sz w:val="22"/>
          <w:szCs w:val="22"/>
          <w:lang w:val="en-AU" w:eastAsia="en-AU"/>
        </w:rPr>
        <w:t xml:space="preserve"> and </w:t>
      </w:r>
      <w:proofErr w:type="spellStart"/>
      <w:r w:rsidRPr="007D2EB5">
        <w:rPr>
          <w:sz w:val="22"/>
          <w:szCs w:val="22"/>
          <w:lang w:val="en-AU" w:eastAsia="en-AU"/>
        </w:rPr>
        <w:t>t</w:t>
      </w:r>
      <w:r w:rsidRPr="007D2EB5">
        <w:rPr>
          <w:sz w:val="22"/>
          <w:szCs w:val="22"/>
          <w:vertAlign w:val="subscript"/>
          <w:lang w:val="en-AU" w:eastAsia="en-AU"/>
        </w:rPr>
        <w:t>max</w:t>
      </w:r>
      <w:proofErr w:type="spellEnd"/>
      <w:r w:rsidRPr="007D2EB5">
        <w:rPr>
          <w:sz w:val="22"/>
          <w:szCs w:val="22"/>
          <w:lang w:val="en-AU" w:eastAsia="en-AU"/>
        </w:rPr>
        <w:t xml:space="preserve">, drugs with narrow therapeutic index, or medications associated with local gastrointestinal irritation (e.g. bisphosphonates, potassium chloride) cannot be excluded. </w:t>
      </w:r>
    </w:p>
    <w:p w14:paraId="338821E1" w14:textId="77777777" w:rsidR="002B7DD2" w:rsidRDefault="002B7DD2" w:rsidP="00416832">
      <w:pPr>
        <w:jc w:val="both"/>
        <w:rPr>
          <w:noProof/>
          <w:sz w:val="22"/>
          <w:szCs w:val="22"/>
        </w:rPr>
      </w:pPr>
    </w:p>
    <w:p w14:paraId="08888178" w14:textId="19E4560F" w:rsidR="002B7DD2" w:rsidRDefault="002B7DD2" w:rsidP="00416832">
      <w:pPr>
        <w:jc w:val="both"/>
        <w:rPr>
          <w:noProof/>
          <w:sz w:val="22"/>
          <w:szCs w:val="22"/>
        </w:rPr>
      </w:pPr>
      <w:r w:rsidRPr="007D2EB5">
        <w:rPr>
          <w:sz w:val="22"/>
          <w:szCs w:val="22"/>
        </w:rPr>
        <w:t>Few patients treated with liraglutide reported at least one episode of severe diarrhoea.</w:t>
      </w:r>
      <w:r w:rsidRPr="007D2EB5">
        <w:rPr>
          <w:rStyle w:val="CommentReference"/>
          <w:color w:val="000000"/>
          <w:sz w:val="22"/>
          <w:szCs w:val="22"/>
          <w:lang w:val="en-GB"/>
        </w:rPr>
        <w:t xml:space="preserve"> D</w:t>
      </w:r>
      <w:proofErr w:type="spellStart"/>
      <w:r w:rsidRPr="007D2EB5">
        <w:rPr>
          <w:sz w:val="22"/>
          <w:szCs w:val="22"/>
        </w:rPr>
        <w:t>iarrhoea</w:t>
      </w:r>
      <w:proofErr w:type="spellEnd"/>
      <w:r w:rsidRPr="007D2EB5">
        <w:rPr>
          <w:sz w:val="22"/>
          <w:szCs w:val="22"/>
        </w:rPr>
        <w:t xml:space="preserve"> may affect the absorption of concomitant oral medicinal products.</w:t>
      </w:r>
    </w:p>
    <w:p w14:paraId="77DB8C11" w14:textId="77777777" w:rsidR="002B7DD2" w:rsidRDefault="002B7DD2" w:rsidP="00416832">
      <w:pPr>
        <w:jc w:val="both"/>
        <w:rPr>
          <w:noProof/>
          <w:sz w:val="22"/>
          <w:szCs w:val="22"/>
        </w:rPr>
      </w:pPr>
    </w:p>
    <w:p w14:paraId="01B8F5AA" w14:textId="77777777" w:rsidR="002B7DD2" w:rsidRPr="009B57B6" w:rsidRDefault="002B7DD2" w:rsidP="002B7DD2">
      <w:pPr>
        <w:pStyle w:val="Heading5"/>
        <w:rPr>
          <w:i w:val="0"/>
          <w:sz w:val="22"/>
          <w:szCs w:val="22"/>
          <w:u w:val="single"/>
          <w:lang w:val="en-AU"/>
        </w:rPr>
      </w:pPr>
      <w:r w:rsidRPr="009B57B6">
        <w:rPr>
          <w:i w:val="0"/>
          <w:noProof/>
          <w:sz w:val="22"/>
          <w:szCs w:val="22"/>
          <w:u w:val="single"/>
        </w:rPr>
        <w:t>Paracetamol (Acetaminophen)</w:t>
      </w:r>
    </w:p>
    <w:p w14:paraId="3C996036" w14:textId="2FB52BB0" w:rsidR="002B7DD2" w:rsidRDefault="002B7DD2" w:rsidP="002B7DD2">
      <w:pPr>
        <w:jc w:val="both"/>
        <w:rPr>
          <w:noProof/>
          <w:sz w:val="22"/>
          <w:szCs w:val="22"/>
        </w:rPr>
      </w:pPr>
      <w:r w:rsidRPr="007D2EB5">
        <w:rPr>
          <w:sz w:val="22"/>
          <w:szCs w:val="22"/>
        </w:rPr>
        <w:t xml:space="preserve">Liraglutide did not change the overall exposure of paracetamol following a single dose of 1000 mg. Paracetamol </w:t>
      </w:r>
      <w:proofErr w:type="spellStart"/>
      <w:r w:rsidRPr="007D2EB5">
        <w:rPr>
          <w:sz w:val="22"/>
          <w:szCs w:val="22"/>
        </w:rPr>
        <w:t>C</w:t>
      </w:r>
      <w:r w:rsidRPr="007D2EB5">
        <w:rPr>
          <w:sz w:val="22"/>
          <w:szCs w:val="22"/>
          <w:vertAlign w:val="subscript"/>
        </w:rPr>
        <w:t>max</w:t>
      </w:r>
      <w:proofErr w:type="spellEnd"/>
      <w:r w:rsidRPr="007D2EB5">
        <w:rPr>
          <w:sz w:val="22"/>
          <w:szCs w:val="22"/>
        </w:rPr>
        <w:t xml:space="preserve"> was decreased by 31% and median </w:t>
      </w:r>
      <w:proofErr w:type="spellStart"/>
      <w:r w:rsidRPr="007D2EB5">
        <w:rPr>
          <w:sz w:val="22"/>
          <w:szCs w:val="22"/>
        </w:rPr>
        <w:t>t</w:t>
      </w:r>
      <w:r w:rsidRPr="007D2EB5">
        <w:rPr>
          <w:sz w:val="22"/>
          <w:szCs w:val="22"/>
          <w:vertAlign w:val="subscript"/>
        </w:rPr>
        <w:t>max</w:t>
      </w:r>
      <w:proofErr w:type="spellEnd"/>
      <w:r w:rsidRPr="007D2EB5">
        <w:rPr>
          <w:sz w:val="22"/>
          <w:szCs w:val="22"/>
        </w:rPr>
        <w:t xml:space="preserve"> was delayed up to 15 min. No dose adjustment for concomitant use of paracetamol is required.</w:t>
      </w:r>
    </w:p>
    <w:p w14:paraId="630CD101" w14:textId="77777777" w:rsidR="002B7DD2" w:rsidRDefault="002B7DD2" w:rsidP="00416832">
      <w:pPr>
        <w:jc w:val="both"/>
        <w:rPr>
          <w:noProof/>
          <w:sz w:val="22"/>
          <w:szCs w:val="22"/>
        </w:rPr>
      </w:pPr>
    </w:p>
    <w:p w14:paraId="15C31DFC" w14:textId="77777777" w:rsidR="002B7DD2" w:rsidRPr="007D2EB5" w:rsidRDefault="002B7DD2" w:rsidP="002B7DD2">
      <w:pPr>
        <w:pStyle w:val="Heading5"/>
        <w:rPr>
          <w:i w:val="0"/>
          <w:sz w:val="22"/>
          <w:szCs w:val="22"/>
          <w:lang w:val="en-AU"/>
        </w:rPr>
      </w:pPr>
      <w:r w:rsidRPr="009B57B6">
        <w:rPr>
          <w:i w:val="0"/>
          <w:noProof/>
          <w:sz w:val="22"/>
          <w:szCs w:val="22"/>
          <w:u w:val="single"/>
        </w:rPr>
        <w:t>Atorvastatin</w:t>
      </w:r>
    </w:p>
    <w:p w14:paraId="7DBB07F3" w14:textId="79620D22" w:rsidR="002B7DD2" w:rsidRDefault="002B7DD2" w:rsidP="002B7DD2">
      <w:pPr>
        <w:jc w:val="both"/>
        <w:rPr>
          <w:noProof/>
          <w:sz w:val="22"/>
          <w:szCs w:val="22"/>
        </w:rPr>
      </w:pPr>
      <w:r w:rsidRPr="007D2EB5">
        <w:rPr>
          <w:sz w:val="22"/>
          <w:szCs w:val="22"/>
        </w:rPr>
        <w:t xml:space="preserve">Liraglutide did not change the overall exposure of atorvastatin to a clinically relevant degree following single dose administration of atorvastatin 40 mg. Therefore, no dose adjustment of atorvastatin is required when given with liraglutide. Atorvastatin </w:t>
      </w:r>
      <w:proofErr w:type="spellStart"/>
      <w:r w:rsidRPr="007D2EB5">
        <w:rPr>
          <w:sz w:val="22"/>
          <w:szCs w:val="22"/>
        </w:rPr>
        <w:t>C</w:t>
      </w:r>
      <w:r w:rsidRPr="007D2EB5">
        <w:rPr>
          <w:sz w:val="22"/>
          <w:szCs w:val="22"/>
          <w:vertAlign w:val="subscript"/>
        </w:rPr>
        <w:t>max</w:t>
      </w:r>
      <w:proofErr w:type="spellEnd"/>
      <w:r w:rsidRPr="007D2EB5">
        <w:rPr>
          <w:sz w:val="22"/>
          <w:szCs w:val="22"/>
        </w:rPr>
        <w:t xml:space="preserve"> was decreased by 38% and median </w:t>
      </w:r>
      <w:proofErr w:type="spellStart"/>
      <w:r w:rsidRPr="007D2EB5">
        <w:rPr>
          <w:sz w:val="22"/>
          <w:szCs w:val="22"/>
        </w:rPr>
        <w:t>t</w:t>
      </w:r>
      <w:r w:rsidRPr="007D2EB5">
        <w:rPr>
          <w:sz w:val="22"/>
          <w:szCs w:val="22"/>
          <w:vertAlign w:val="subscript"/>
        </w:rPr>
        <w:t>max</w:t>
      </w:r>
      <w:proofErr w:type="spellEnd"/>
      <w:r w:rsidRPr="007D2EB5">
        <w:rPr>
          <w:sz w:val="22"/>
          <w:szCs w:val="22"/>
        </w:rPr>
        <w:t xml:space="preserve"> was delayed from 1 h to 3 h with liraglutide.</w:t>
      </w:r>
    </w:p>
    <w:p w14:paraId="0B2CE766" w14:textId="77777777" w:rsidR="002B7DD2" w:rsidRDefault="002B7DD2" w:rsidP="00416832">
      <w:pPr>
        <w:jc w:val="both"/>
        <w:rPr>
          <w:noProof/>
          <w:sz w:val="22"/>
          <w:szCs w:val="22"/>
        </w:rPr>
      </w:pPr>
    </w:p>
    <w:p w14:paraId="40628664" w14:textId="77777777" w:rsidR="002B7DD2" w:rsidRPr="007D2EB5" w:rsidRDefault="002B7DD2" w:rsidP="002B7DD2">
      <w:pPr>
        <w:pStyle w:val="Heading5"/>
        <w:rPr>
          <w:i w:val="0"/>
          <w:sz w:val="22"/>
          <w:szCs w:val="22"/>
          <w:lang w:val="en-AU"/>
        </w:rPr>
      </w:pPr>
      <w:r w:rsidRPr="009B57B6">
        <w:rPr>
          <w:i w:val="0"/>
          <w:noProof/>
          <w:sz w:val="22"/>
          <w:szCs w:val="22"/>
          <w:u w:val="single"/>
        </w:rPr>
        <w:lastRenderedPageBreak/>
        <w:t>Griseofulvin</w:t>
      </w:r>
    </w:p>
    <w:p w14:paraId="54B5D9BE" w14:textId="1ECA9388" w:rsidR="002B7DD2" w:rsidRDefault="002B7DD2" w:rsidP="002B7DD2">
      <w:pPr>
        <w:jc w:val="both"/>
        <w:rPr>
          <w:noProof/>
          <w:sz w:val="22"/>
          <w:szCs w:val="22"/>
        </w:rPr>
      </w:pPr>
      <w:r w:rsidRPr="007D2EB5">
        <w:rPr>
          <w:sz w:val="22"/>
          <w:szCs w:val="22"/>
        </w:rPr>
        <w:t xml:space="preserve">Liraglutide did not change the overall exposure of </w:t>
      </w:r>
      <w:proofErr w:type="spellStart"/>
      <w:r w:rsidRPr="007D2EB5">
        <w:rPr>
          <w:sz w:val="22"/>
          <w:szCs w:val="22"/>
        </w:rPr>
        <w:t>griseofulvin</w:t>
      </w:r>
      <w:proofErr w:type="spellEnd"/>
      <w:r w:rsidRPr="007D2EB5">
        <w:rPr>
          <w:sz w:val="22"/>
          <w:szCs w:val="22"/>
        </w:rPr>
        <w:t xml:space="preserve"> following administration of a single dose of </w:t>
      </w:r>
      <w:proofErr w:type="spellStart"/>
      <w:r w:rsidRPr="007D2EB5">
        <w:rPr>
          <w:sz w:val="22"/>
          <w:szCs w:val="22"/>
        </w:rPr>
        <w:t>griseofulvin</w:t>
      </w:r>
      <w:proofErr w:type="spellEnd"/>
      <w:r w:rsidRPr="007D2EB5">
        <w:rPr>
          <w:sz w:val="22"/>
          <w:szCs w:val="22"/>
        </w:rPr>
        <w:t xml:space="preserve"> 500 mg. </w:t>
      </w:r>
      <w:proofErr w:type="spellStart"/>
      <w:r w:rsidRPr="007D2EB5">
        <w:rPr>
          <w:sz w:val="22"/>
          <w:szCs w:val="22"/>
        </w:rPr>
        <w:t>Griseofulvin</w:t>
      </w:r>
      <w:proofErr w:type="spellEnd"/>
      <w:r w:rsidRPr="007D2EB5">
        <w:rPr>
          <w:sz w:val="22"/>
          <w:szCs w:val="22"/>
        </w:rPr>
        <w:t xml:space="preserve"> </w:t>
      </w:r>
      <w:proofErr w:type="spellStart"/>
      <w:r w:rsidRPr="007D2EB5">
        <w:rPr>
          <w:sz w:val="22"/>
          <w:szCs w:val="22"/>
        </w:rPr>
        <w:t>C</w:t>
      </w:r>
      <w:r w:rsidRPr="007D2EB5">
        <w:rPr>
          <w:sz w:val="22"/>
          <w:szCs w:val="22"/>
          <w:vertAlign w:val="subscript"/>
        </w:rPr>
        <w:t>max</w:t>
      </w:r>
      <w:proofErr w:type="spellEnd"/>
      <w:r w:rsidRPr="007D2EB5">
        <w:rPr>
          <w:sz w:val="22"/>
          <w:szCs w:val="22"/>
        </w:rPr>
        <w:t xml:space="preserve"> increased by 37% while median </w:t>
      </w:r>
      <w:proofErr w:type="spellStart"/>
      <w:r w:rsidRPr="007D2EB5">
        <w:rPr>
          <w:sz w:val="22"/>
          <w:szCs w:val="22"/>
        </w:rPr>
        <w:t>t</w:t>
      </w:r>
      <w:r w:rsidRPr="007D2EB5">
        <w:rPr>
          <w:sz w:val="22"/>
          <w:szCs w:val="22"/>
          <w:vertAlign w:val="subscript"/>
        </w:rPr>
        <w:t>max</w:t>
      </w:r>
      <w:proofErr w:type="spellEnd"/>
      <w:r w:rsidRPr="007D2EB5">
        <w:rPr>
          <w:sz w:val="22"/>
          <w:szCs w:val="22"/>
        </w:rPr>
        <w:t xml:space="preserve"> did not change. Dose adjustments of </w:t>
      </w:r>
      <w:proofErr w:type="spellStart"/>
      <w:r w:rsidRPr="007D2EB5">
        <w:rPr>
          <w:sz w:val="22"/>
          <w:szCs w:val="22"/>
        </w:rPr>
        <w:t>griseofulvin</w:t>
      </w:r>
      <w:proofErr w:type="spellEnd"/>
      <w:r w:rsidRPr="007D2EB5">
        <w:rPr>
          <w:sz w:val="22"/>
          <w:szCs w:val="22"/>
        </w:rPr>
        <w:t xml:space="preserve"> and other compounds with low solubility and high permeability are not required.</w:t>
      </w:r>
    </w:p>
    <w:p w14:paraId="5F6F35DF" w14:textId="77777777" w:rsidR="002B7DD2" w:rsidRDefault="002B7DD2" w:rsidP="00416832">
      <w:pPr>
        <w:jc w:val="both"/>
        <w:rPr>
          <w:noProof/>
          <w:sz w:val="22"/>
          <w:szCs w:val="22"/>
        </w:rPr>
      </w:pPr>
    </w:p>
    <w:p w14:paraId="5655745A" w14:textId="77777777" w:rsidR="002B7DD2" w:rsidRPr="007D2EB5" w:rsidRDefault="002B7DD2" w:rsidP="002B7DD2">
      <w:pPr>
        <w:pStyle w:val="Heading5"/>
        <w:rPr>
          <w:i w:val="0"/>
          <w:sz w:val="22"/>
          <w:szCs w:val="22"/>
          <w:lang w:val="en-AU"/>
        </w:rPr>
      </w:pPr>
      <w:r w:rsidRPr="009B57B6">
        <w:rPr>
          <w:i w:val="0"/>
          <w:noProof/>
          <w:sz w:val="22"/>
          <w:szCs w:val="22"/>
          <w:u w:val="single"/>
        </w:rPr>
        <w:t>Digoxin</w:t>
      </w:r>
    </w:p>
    <w:p w14:paraId="4872A2C6" w14:textId="275D92E3" w:rsidR="002B7DD2" w:rsidRDefault="002B7DD2" w:rsidP="002B7DD2">
      <w:pPr>
        <w:jc w:val="both"/>
        <w:rPr>
          <w:noProof/>
          <w:sz w:val="22"/>
          <w:szCs w:val="22"/>
        </w:rPr>
      </w:pPr>
      <w:r w:rsidRPr="007D2EB5">
        <w:rPr>
          <w:sz w:val="22"/>
          <w:szCs w:val="22"/>
        </w:rPr>
        <w:t xml:space="preserve">A single dose administration of digoxin 1 mg with liraglutide resulted in a reduction of digoxin AUC by 16%; </w:t>
      </w:r>
      <w:proofErr w:type="spellStart"/>
      <w:r w:rsidRPr="007D2EB5">
        <w:rPr>
          <w:sz w:val="22"/>
          <w:szCs w:val="22"/>
        </w:rPr>
        <w:t>C</w:t>
      </w:r>
      <w:r w:rsidRPr="007D2EB5">
        <w:rPr>
          <w:sz w:val="22"/>
          <w:szCs w:val="22"/>
          <w:vertAlign w:val="subscript"/>
        </w:rPr>
        <w:t>max</w:t>
      </w:r>
      <w:proofErr w:type="spellEnd"/>
      <w:r w:rsidRPr="007D2EB5">
        <w:rPr>
          <w:sz w:val="22"/>
          <w:szCs w:val="22"/>
        </w:rPr>
        <w:t xml:space="preserve"> decreased by 31%. Digoxin median time to maximum concentration (</w:t>
      </w:r>
      <w:proofErr w:type="spellStart"/>
      <w:r w:rsidRPr="007D2EB5">
        <w:rPr>
          <w:sz w:val="22"/>
          <w:szCs w:val="22"/>
        </w:rPr>
        <w:t>t</w:t>
      </w:r>
      <w:r w:rsidRPr="007D2EB5">
        <w:rPr>
          <w:sz w:val="22"/>
          <w:szCs w:val="22"/>
          <w:vertAlign w:val="subscript"/>
        </w:rPr>
        <w:t>max</w:t>
      </w:r>
      <w:proofErr w:type="spellEnd"/>
      <w:r w:rsidRPr="007D2EB5">
        <w:rPr>
          <w:sz w:val="22"/>
          <w:szCs w:val="22"/>
        </w:rPr>
        <w:t>) was delayed from 1 h to 1.5 h. No dose adjustment of digoxin is required based on these results.</w:t>
      </w:r>
    </w:p>
    <w:p w14:paraId="5C8A7CC8" w14:textId="77777777" w:rsidR="002B7DD2" w:rsidRDefault="002B7DD2" w:rsidP="00416832">
      <w:pPr>
        <w:jc w:val="both"/>
        <w:rPr>
          <w:noProof/>
          <w:sz w:val="22"/>
          <w:szCs w:val="22"/>
        </w:rPr>
      </w:pPr>
    </w:p>
    <w:p w14:paraId="70D3F26D" w14:textId="77777777" w:rsidR="002B7DD2" w:rsidRPr="007D2EB5" w:rsidRDefault="002B7DD2" w:rsidP="002B7DD2">
      <w:pPr>
        <w:pStyle w:val="Heading5"/>
        <w:rPr>
          <w:i w:val="0"/>
          <w:sz w:val="22"/>
          <w:szCs w:val="22"/>
        </w:rPr>
      </w:pPr>
      <w:r w:rsidRPr="009B57B6">
        <w:rPr>
          <w:i w:val="0"/>
          <w:noProof/>
          <w:sz w:val="22"/>
          <w:szCs w:val="22"/>
          <w:u w:val="single"/>
        </w:rPr>
        <w:t xml:space="preserve">Lisinopril </w:t>
      </w:r>
    </w:p>
    <w:p w14:paraId="47E1DD39" w14:textId="0E0841D4" w:rsidR="002B7DD2" w:rsidRDefault="002B7DD2" w:rsidP="002B7DD2">
      <w:pPr>
        <w:jc w:val="both"/>
        <w:rPr>
          <w:noProof/>
          <w:sz w:val="22"/>
          <w:szCs w:val="22"/>
        </w:rPr>
      </w:pPr>
      <w:r w:rsidRPr="007D2EB5">
        <w:rPr>
          <w:sz w:val="22"/>
          <w:szCs w:val="22"/>
        </w:rPr>
        <w:t xml:space="preserve">A single dose administration of </w:t>
      </w:r>
      <w:proofErr w:type="spellStart"/>
      <w:r w:rsidRPr="007D2EB5">
        <w:rPr>
          <w:sz w:val="22"/>
          <w:szCs w:val="22"/>
        </w:rPr>
        <w:t>lisinopril</w:t>
      </w:r>
      <w:proofErr w:type="spellEnd"/>
      <w:r w:rsidRPr="007D2EB5">
        <w:rPr>
          <w:sz w:val="22"/>
          <w:szCs w:val="22"/>
        </w:rPr>
        <w:t xml:space="preserve"> 20 mg with liraglutide resulted in a reduction of </w:t>
      </w:r>
      <w:proofErr w:type="spellStart"/>
      <w:r w:rsidRPr="007D2EB5">
        <w:rPr>
          <w:sz w:val="22"/>
          <w:szCs w:val="22"/>
        </w:rPr>
        <w:t>lisinopril</w:t>
      </w:r>
      <w:proofErr w:type="spellEnd"/>
      <w:r w:rsidRPr="007D2EB5">
        <w:rPr>
          <w:sz w:val="22"/>
          <w:szCs w:val="22"/>
        </w:rPr>
        <w:t xml:space="preserve"> AUC by 15%; </w:t>
      </w:r>
      <w:proofErr w:type="spellStart"/>
      <w:r w:rsidRPr="007D2EB5">
        <w:rPr>
          <w:sz w:val="22"/>
          <w:szCs w:val="22"/>
        </w:rPr>
        <w:t>C</w:t>
      </w:r>
      <w:r w:rsidRPr="007D2EB5">
        <w:rPr>
          <w:sz w:val="22"/>
          <w:szCs w:val="22"/>
          <w:vertAlign w:val="subscript"/>
        </w:rPr>
        <w:t>max</w:t>
      </w:r>
      <w:proofErr w:type="spellEnd"/>
      <w:r w:rsidRPr="007D2EB5">
        <w:rPr>
          <w:sz w:val="22"/>
          <w:szCs w:val="22"/>
        </w:rPr>
        <w:t xml:space="preserve"> decreased by 27%. Lisinopril median </w:t>
      </w:r>
      <w:proofErr w:type="spellStart"/>
      <w:r w:rsidRPr="007D2EB5">
        <w:rPr>
          <w:sz w:val="22"/>
          <w:szCs w:val="22"/>
        </w:rPr>
        <w:t>t</w:t>
      </w:r>
      <w:r w:rsidRPr="007D2EB5">
        <w:rPr>
          <w:sz w:val="22"/>
          <w:szCs w:val="22"/>
          <w:vertAlign w:val="subscript"/>
        </w:rPr>
        <w:t>max</w:t>
      </w:r>
      <w:proofErr w:type="spellEnd"/>
      <w:r w:rsidRPr="007D2EB5">
        <w:rPr>
          <w:sz w:val="22"/>
          <w:szCs w:val="22"/>
        </w:rPr>
        <w:t xml:space="preserve"> was delayed from 6 h to 8 h with liraglutide. No dose adjustment of </w:t>
      </w:r>
      <w:proofErr w:type="spellStart"/>
      <w:r w:rsidRPr="007D2EB5">
        <w:rPr>
          <w:sz w:val="22"/>
          <w:szCs w:val="22"/>
        </w:rPr>
        <w:t>lisinopril</w:t>
      </w:r>
      <w:proofErr w:type="spellEnd"/>
      <w:r w:rsidRPr="007D2EB5">
        <w:rPr>
          <w:sz w:val="22"/>
          <w:szCs w:val="22"/>
        </w:rPr>
        <w:t xml:space="preserve"> is required based on these results.</w:t>
      </w:r>
    </w:p>
    <w:p w14:paraId="3EF0A202" w14:textId="77777777" w:rsidR="002B7DD2" w:rsidRDefault="002B7DD2" w:rsidP="00416832">
      <w:pPr>
        <w:jc w:val="both"/>
        <w:rPr>
          <w:noProof/>
          <w:sz w:val="22"/>
          <w:szCs w:val="22"/>
        </w:rPr>
      </w:pPr>
    </w:p>
    <w:p w14:paraId="76F8A043" w14:textId="77777777" w:rsidR="002B7DD2" w:rsidRPr="007D2EB5" w:rsidRDefault="002B7DD2" w:rsidP="002B7DD2">
      <w:pPr>
        <w:pStyle w:val="Heading5"/>
        <w:rPr>
          <w:i w:val="0"/>
          <w:sz w:val="22"/>
          <w:szCs w:val="22"/>
        </w:rPr>
      </w:pPr>
      <w:r w:rsidRPr="009B57B6">
        <w:rPr>
          <w:i w:val="0"/>
          <w:noProof/>
          <w:sz w:val="22"/>
          <w:szCs w:val="22"/>
          <w:u w:val="single"/>
        </w:rPr>
        <w:t>Oral contraceptives</w:t>
      </w:r>
    </w:p>
    <w:p w14:paraId="3083F973" w14:textId="3B291770" w:rsidR="002B7DD2" w:rsidRDefault="002B7DD2" w:rsidP="002B7DD2">
      <w:pPr>
        <w:jc w:val="both"/>
        <w:rPr>
          <w:noProof/>
          <w:sz w:val="22"/>
          <w:szCs w:val="22"/>
        </w:rPr>
      </w:pPr>
      <w:proofErr w:type="spellStart"/>
      <w:r w:rsidRPr="007D2EB5">
        <w:rPr>
          <w:sz w:val="22"/>
          <w:szCs w:val="22"/>
        </w:rPr>
        <w:t>Liraglutide</w:t>
      </w:r>
      <w:proofErr w:type="spellEnd"/>
      <w:r w:rsidRPr="007D2EB5">
        <w:rPr>
          <w:sz w:val="22"/>
          <w:szCs w:val="22"/>
        </w:rPr>
        <w:t xml:space="preserve"> lowered </w:t>
      </w:r>
      <w:proofErr w:type="spellStart"/>
      <w:r w:rsidRPr="007D2EB5">
        <w:rPr>
          <w:sz w:val="22"/>
          <w:szCs w:val="22"/>
        </w:rPr>
        <w:t>ethinylestradiol</w:t>
      </w:r>
      <w:proofErr w:type="spellEnd"/>
      <w:r w:rsidRPr="007D2EB5">
        <w:rPr>
          <w:sz w:val="22"/>
          <w:szCs w:val="22"/>
        </w:rPr>
        <w:t xml:space="preserve"> and </w:t>
      </w:r>
      <w:proofErr w:type="spellStart"/>
      <w:r w:rsidRPr="007D2EB5">
        <w:rPr>
          <w:sz w:val="22"/>
          <w:szCs w:val="22"/>
        </w:rPr>
        <w:t>levonorgestrel</w:t>
      </w:r>
      <w:proofErr w:type="spellEnd"/>
      <w:r w:rsidRPr="007D2EB5">
        <w:rPr>
          <w:sz w:val="22"/>
          <w:szCs w:val="22"/>
        </w:rPr>
        <w:t xml:space="preserve"> </w:t>
      </w:r>
      <w:proofErr w:type="spellStart"/>
      <w:r w:rsidRPr="007D2EB5">
        <w:rPr>
          <w:sz w:val="22"/>
          <w:szCs w:val="22"/>
        </w:rPr>
        <w:t>C</w:t>
      </w:r>
      <w:r w:rsidRPr="007D2EB5">
        <w:rPr>
          <w:sz w:val="22"/>
          <w:szCs w:val="22"/>
          <w:vertAlign w:val="subscript"/>
        </w:rPr>
        <w:t>max</w:t>
      </w:r>
      <w:proofErr w:type="spellEnd"/>
      <w:r w:rsidRPr="007D2EB5">
        <w:rPr>
          <w:sz w:val="22"/>
          <w:szCs w:val="22"/>
        </w:rPr>
        <w:t xml:space="preserve"> by 12% and 13%, respectively, following administration of a single dose of an oral contraceptive product. </w:t>
      </w:r>
      <w:proofErr w:type="spellStart"/>
      <w:r w:rsidRPr="007D2EB5">
        <w:rPr>
          <w:sz w:val="22"/>
          <w:szCs w:val="22"/>
        </w:rPr>
        <w:t>T</w:t>
      </w:r>
      <w:r w:rsidRPr="007D2EB5">
        <w:rPr>
          <w:sz w:val="22"/>
          <w:szCs w:val="22"/>
          <w:vertAlign w:val="subscript"/>
        </w:rPr>
        <w:t>max</w:t>
      </w:r>
      <w:proofErr w:type="spellEnd"/>
      <w:r w:rsidRPr="007D2EB5">
        <w:rPr>
          <w:sz w:val="22"/>
          <w:szCs w:val="22"/>
        </w:rPr>
        <w:t xml:space="preserve"> was 1.5 h later with liraglutide for both compounds. There was no clinically relevant effect on the overall exposure of either </w:t>
      </w:r>
      <w:proofErr w:type="spellStart"/>
      <w:r w:rsidRPr="007D2EB5">
        <w:rPr>
          <w:sz w:val="22"/>
          <w:szCs w:val="22"/>
        </w:rPr>
        <w:t>ethinylestradiol</w:t>
      </w:r>
      <w:proofErr w:type="spellEnd"/>
      <w:r w:rsidRPr="007D2EB5">
        <w:rPr>
          <w:sz w:val="22"/>
          <w:szCs w:val="22"/>
        </w:rPr>
        <w:t xml:space="preserve"> or </w:t>
      </w:r>
      <w:proofErr w:type="spellStart"/>
      <w:r w:rsidRPr="007D2EB5">
        <w:rPr>
          <w:sz w:val="22"/>
          <w:szCs w:val="22"/>
        </w:rPr>
        <w:t>levonorgestrel</w:t>
      </w:r>
      <w:proofErr w:type="spellEnd"/>
      <w:r w:rsidRPr="007D2EB5">
        <w:rPr>
          <w:sz w:val="22"/>
          <w:szCs w:val="22"/>
        </w:rPr>
        <w:t>. The contraceptive effect is therefore anticipated to be unaffected when co-administered with liraglutide.</w:t>
      </w:r>
    </w:p>
    <w:p w14:paraId="520578A2" w14:textId="77777777" w:rsidR="002B7DD2" w:rsidRDefault="002B7DD2" w:rsidP="00416832">
      <w:pPr>
        <w:jc w:val="both"/>
        <w:rPr>
          <w:noProof/>
          <w:sz w:val="22"/>
          <w:szCs w:val="22"/>
        </w:rPr>
      </w:pPr>
    </w:p>
    <w:p w14:paraId="7553C68B" w14:textId="77777777" w:rsidR="002B7DD2" w:rsidRPr="007D2EB5" w:rsidRDefault="002B7DD2" w:rsidP="002B7DD2">
      <w:pPr>
        <w:pStyle w:val="Heading5"/>
        <w:rPr>
          <w:sz w:val="22"/>
          <w:szCs w:val="22"/>
        </w:rPr>
      </w:pPr>
      <w:r w:rsidRPr="009B57B6">
        <w:rPr>
          <w:i w:val="0"/>
          <w:noProof/>
          <w:sz w:val="22"/>
          <w:szCs w:val="22"/>
          <w:u w:val="single"/>
        </w:rPr>
        <w:t>Warfarin and other coumarin derivatives</w:t>
      </w:r>
    </w:p>
    <w:p w14:paraId="36F1C01C" w14:textId="29F4B870" w:rsidR="002B7DD2" w:rsidRDefault="002B7DD2" w:rsidP="002B7DD2">
      <w:pPr>
        <w:jc w:val="both"/>
        <w:rPr>
          <w:noProof/>
          <w:sz w:val="22"/>
          <w:szCs w:val="22"/>
        </w:rPr>
      </w:pPr>
      <w:r w:rsidRPr="007D2EB5">
        <w:rPr>
          <w:sz w:val="22"/>
          <w:szCs w:val="22"/>
        </w:rPr>
        <w:t xml:space="preserve">No interaction study has been performed. </w:t>
      </w:r>
      <w:r w:rsidRPr="007D2EB5">
        <w:rPr>
          <w:bCs/>
          <w:sz w:val="22"/>
          <w:szCs w:val="22"/>
          <w:lang w:val="en-GB"/>
        </w:rPr>
        <w:t xml:space="preserve">A clinically relevant interaction with active substances with poor solubility or with narrow therapeutic index such as warfarin cannot be excluded. </w:t>
      </w:r>
      <w:r w:rsidRPr="007D2EB5">
        <w:rPr>
          <w:sz w:val="22"/>
          <w:szCs w:val="22"/>
        </w:rPr>
        <w:t xml:space="preserve">Upon initiation of </w:t>
      </w:r>
      <w:r w:rsidRPr="007D2EB5">
        <w:rPr>
          <w:iCs/>
          <w:sz w:val="22"/>
          <w:szCs w:val="22"/>
        </w:rPr>
        <w:t>Victoza</w:t>
      </w:r>
      <w:r w:rsidRPr="007D2EB5">
        <w:rPr>
          <w:sz w:val="22"/>
          <w:szCs w:val="22"/>
        </w:rPr>
        <w:t xml:space="preserve"> treatment in patients on warfarin or other </w:t>
      </w:r>
      <w:proofErr w:type="spellStart"/>
      <w:r w:rsidRPr="007D2EB5">
        <w:rPr>
          <w:sz w:val="22"/>
          <w:szCs w:val="22"/>
        </w:rPr>
        <w:t>coumarin</w:t>
      </w:r>
      <w:proofErr w:type="spellEnd"/>
      <w:r w:rsidRPr="007D2EB5">
        <w:rPr>
          <w:sz w:val="22"/>
          <w:szCs w:val="22"/>
        </w:rPr>
        <w:t xml:space="preserve"> derivatives, more frequent monitoring of International Normalised Ratio (INR) is recommended.</w:t>
      </w:r>
    </w:p>
    <w:p w14:paraId="7363C32B" w14:textId="77777777" w:rsidR="002B7DD2" w:rsidRDefault="002B7DD2" w:rsidP="00416832">
      <w:pPr>
        <w:jc w:val="both"/>
        <w:rPr>
          <w:noProof/>
          <w:sz w:val="22"/>
          <w:szCs w:val="22"/>
        </w:rPr>
      </w:pPr>
    </w:p>
    <w:p w14:paraId="6A214973" w14:textId="77777777" w:rsidR="002B7DD2" w:rsidRPr="007D2EB5" w:rsidRDefault="002B7DD2" w:rsidP="002B7DD2">
      <w:pPr>
        <w:pStyle w:val="Heading5"/>
        <w:rPr>
          <w:i w:val="0"/>
          <w:sz w:val="22"/>
          <w:szCs w:val="22"/>
        </w:rPr>
      </w:pPr>
      <w:r w:rsidRPr="009B57B6">
        <w:rPr>
          <w:i w:val="0"/>
          <w:noProof/>
          <w:sz w:val="22"/>
          <w:szCs w:val="22"/>
          <w:u w:val="single"/>
        </w:rPr>
        <w:t>Insulin</w:t>
      </w:r>
    </w:p>
    <w:p w14:paraId="55433005" w14:textId="1A0B9FF0" w:rsidR="002B7DD2" w:rsidRDefault="002B7DD2" w:rsidP="002B7DD2">
      <w:pPr>
        <w:jc w:val="both"/>
        <w:rPr>
          <w:noProof/>
          <w:sz w:val="22"/>
          <w:szCs w:val="22"/>
        </w:rPr>
      </w:pPr>
      <w:r w:rsidRPr="007D2EB5">
        <w:rPr>
          <w:sz w:val="22"/>
          <w:szCs w:val="22"/>
        </w:rPr>
        <w:t xml:space="preserve">No pharmacokinetic or pharmacodynamic interactions were observed between </w:t>
      </w:r>
      <w:proofErr w:type="spellStart"/>
      <w:r w:rsidRPr="007D2EB5">
        <w:rPr>
          <w:sz w:val="22"/>
          <w:szCs w:val="22"/>
        </w:rPr>
        <w:t>liraglutide</w:t>
      </w:r>
      <w:proofErr w:type="spellEnd"/>
      <w:r w:rsidRPr="007D2EB5">
        <w:rPr>
          <w:sz w:val="22"/>
          <w:szCs w:val="22"/>
        </w:rPr>
        <w:t xml:space="preserve"> and insulin </w:t>
      </w:r>
      <w:proofErr w:type="spellStart"/>
      <w:r w:rsidRPr="007D2EB5">
        <w:rPr>
          <w:sz w:val="22"/>
          <w:szCs w:val="22"/>
        </w:rPr>
        <w:t>detemir</w:t>
      </w:r>
      <w:proofErr w:type="spellEnd"/>
      <w:r w:rsidRPr="007D2EB5">
        <w:rPr>
          <w:sz w:val="22"/>
          <w:szCs w:val="22"/>
        </w:rPr>
        <w:t xml:space="preserve"> when administering a single dose of insulin </w:t>
      </w:r>
      <w:proofErr w:type="spellStart"/>
      <w:r w:rsidRPr="007D2EB5">
        <w:rPr>
          <w:sz w:val="22"/>
          <w:szCs w:val="22"/>
        </w:rPr>
        <w:t>detemir</w:t>
      </w:r>
      <w:proofErr w:type="spellEnd"/>
      <w:r w:rsidRPr="007D2EB5">
        <w:rPr>
          <w:sz w:val="22"/>
          <w:szCs w:val="22"/>
        </w:rPr>
        <w:t xml:space="preserve"> 0.5 U/kg with liraglutide 1.8 mg at steady state in patients with type 2 diabetes. </w:t>
      </w:r>
    </w:p>
    <w:p w14:paraId="0D962322" w14:textId="77777777" w:rsidR="002B7DD2" w:rsidRDefault="002B7DD2" w:rsidP="00416832">
      <w:pPr>
        <w:jc w:val="both"/>
        <w:rPr>
          <w:noProof/>
          <w:sz w:val="22"/>
          <w:szCs w:val="22"/>
        </w:rPr>
      </w:pPr>
    </w:p>
    <w:p w14:paraId="53CE97BB" w14:textId="4B0387E3" w:rsidR="002B7DD2" w:rsidRPr="002B7DD2" w:rsidRDefault="002B7DD2" w:rsidP="00416832">
      <w:pPr>
        <w:jc w:val="both"/>
        <w:rPr>
          <w:b/>
          <w:noProof/>
        </w:rPr>
      </w:pPr>
      <w:r w:rsidRPr="002B7DD2">
        <w:rPr>
          <w:b/>
          <w:noProof/>
        </w:rPr>
        <w:t>ADVERSE EFFECTS</w:t>
      </w:r>
    </w:p>
    <w:p w14:paraId="379FCC9B" w14:textId="77777777" w:rsidR="002B7DD2" w:rsidRDefault="002B7DD2" w:rsidP="00416832">
      <w:pPr>
        <w:jc w:val="both"/>
        <w:rPr>
          <w:noProof/>
          <w:sz w:val="22"/>
          <w:szCs w:val="22"/>
        </w:rPr>
      </w:pPr>
    </w:p>
    <w:p w14:paraId="3E7E0D70" w14:textId="77777777" w:rsidR="002B7DD2" w:rsidRPr="007D2EB5" w:rsidRDefault="002B7DD2" w:rsidP="002B7DD2">
      <w:pPr>
        <w:pStyle w:val="Heading4"/>
        <w:rPr>
          <w:b/>
          <w:i w:val="0"/>
          <w:sz w:val="22"/>
          <w:szCs w:val="22"/>
        </w:rPr>
      </w:pPr>
      <w:r w:rsidRPr="007D2EB5">
        <w:rPr>
          <w:b/>
          <w:i w:val="0"/>
          <w:sz w:val="22"/>
          <w:szCs w:val="22"/>
          <w:u w:val="single"/>
        </w:rPr>
        <w:t>Summary of safety profile</w:t>
      </w:r>
    </w:p>
    <w:p w14:paraId="087930D3" w14:textId="04D65995" w:rsidR="002B7DD2" w:rsidRDefault="002B7DD2" w:rsidP="002B7DD2">
      <w:pPr>
        <w:jc w:val="both"/>
        <w:rPr>
          <w:noProof/>
          <w:sz w:val="22"/>
          <w:szCs w:val="22"/>
        </w:rPr>
      </w:pPr>
      <w:r w:rsidRPr="007D2EB5">
        <w:rPr>
          <w:sz w:val="22"/>
          <w:szCs w:val="22"/>
        </w:rPr>
        <w:t xml:space="preserve">The most frequently reported adverse </w:t>
      </w:r>
      <w:r w:rsidRPr="007D2EB5">
        <w:rPr>
          <w:bCs/>
          <w:sz w:val="22"/>
          <w:szCs w:val="22"/>
          <w:lang w:val="en-GB"/>
        </w:rPr>
        <w:t>reactions</w:t>
      </w:r>
      <w:r w:rsidRPr="007D2EB5">
        <w:rPr>
          <w:sz w:val="22"/>
          <w:szCs w:val="22"/>
        </w:rPr>
        <w:t xml:space="preserve"> during clinical trials were gastrointestinal   disorders: </w:t>
      </w:r>
      <w:r w:rsidRPr="007D2EB5">
        <w:rPr>
          <w:iCs/>
          <w:sz w:val="22"/>
          <w:szCs w:val="22"/>
        </w:rPr>
        <w:t xml:space="preserve">nausea </w:t>
      </w:r>
      <w:r w:rsidRPr="007D2EB5">
        <w:rPr>
          <w:bCs/>
          <w:iCs/>
          <w:sz w:val="22"/>
          <w:szCs w:val="22"/>
          <w:lang w:val="en-GB"/>
        </w:rPr>
        <w:t>and</w:t>
      </w:r>
      <w:r w:rsidRPr="007D2EB5">
        <w:rPr>
          <w:iCs/>
          <w:sz w:val="22"/>
          <w:szCs w:val="22"/>
        </w:rPr>
        <w:t xml:space="preserve"> diarrhoea </w:t>
      </w:r>
      <w:r w:rsidRPr="007D2EB5">
        <w:rPr>
          <w:bCs/>
          <w:iCs/>
          <w:sz w:val="22"/>
          <w:szCs w:val="22"/>
          <w:lang w:val="en-GB"/>
        </w:rPr>
        <w:t>were very common,</w:t>
      </w:r>
      <w:r w:rsidRPr="007D2EB5">
        <w:rPr>
          <w:iCs/>
          <w:sz w:val="22"/>
          <w:szCs w:val="22"/>
        </w:rPr>
        <w:t xml:space="preserve"> whereas </w:t>
      </w:r>
      <w:proofErr w:type="gramStart"/>
      <w:r w:rsidRPr="007D2EB5">
        <w:rPr>
          <w:iCs/>
          <w:sz w:val="22"/>
          <w:szCs w:val="22"/>
        </w:rPr>
        <w:t>vomiting,</w:t>
      </w:r>
      <w:proofErr w:type="gramEnd"/>
      <w:r w:rsidRPr="007D2EB5">
        <w:rPr>
          <w:iCs/>
          <w:sz w:val="22"/>
          <w:szCs w:val="22"/>
        </w:rPr>
        <w:t xml:space="preserve"> constipation, abdominal pain, and dyspepsia were common. At the beginning of </w:t>
      </w:r>
      <w:r w:rsidRPr="007D2EB5">
        <w:rPr>
          <w:noProof/>
          <w:sz w:val="22"/>
          <w:szCs w:val="22"/>
        </w:rPr>
        <w:t>Victoza</w:t>
      </w:r>
      <w:r w:rsidRPr="007D2EB5">
        <w:rPr>
          <w:iCs/>
          <w:sz w:val="22"/>
          <w:szCs w:val="22"/>
        </w:rPr>
        <w:t xml:space="preserve"> therapy these gastrointestinal adverse </w:t>
      </w:r>
      <w:r w:rsidRPr="007D2EB5">
        <w:rPr>
          <w:bCs/>
          <w:sz w:val="22"/>
          <w:szCs w:val="22"/>
          <w:lang w:val="en-GB"/>
        </w:rPr>
        <w:t>reactions</w:t>
      </w:r>
      <w:r w:rsidRPr="007D2EB5">
        <w:rPr>
          <w:iCs/>
          <w:sz w:val="22"/>
          <w:szCs w:val="22"/>
        </w:rPr>
        <w:t xml:space="preserve"> may occur more frequently; these reactions usually diminish within a few days or weeks on continued treatment. </w:t>
      </w:r>
    </w:p>
    <w:p w14:paraId="2C52D250" w14:textId="77777777" w:rsidR="002B7DD2" w:rsidRDefault="002B7DD2" w:rsidP="00416832">
      <w:pPr>
        <w:jc w:val="both"/>
        <w:rPr>
          <w:noProof/>
          <w:sz w:val="22"/>
          <w:szCs w:val="22"/>
        </w:rPr>
      </w:pPr>
    </w:p>
    <w:p w14:paraId="310B7A0B" w14:textId="28ACDF7C" w:rsidR="002B7DD2" w:rsidRDefault="002B7DD2" w:rsidP="00416832">
      <w:pPr>
        <w:jc w:val="both"/>
        <w:rPr>
          <w:noProof/>
          <w:sz w:val="22"/>
          <w:szCs w:val="22"/>
        </w:rPr>
      </w:pPr>
      <w:r w:rsidRPr="007D2EB5">
        <w:rPr>
          <w:sz w:val="22"/>
          <w:szCs w:val="22"/>
        </w:rPr>
        <w:t xml:space="preserve">Headache and upper respiratory tract infections were also common. Furthermore, </w:t>
      </w:r>
      <w:proofErr w:type="spellStart"/>
      <w:r w:rsidRPr="007D2EB5">
        <w:rPr>
          <w:sz w:val="22"/>
          <w:szCs w:val="22"/>
        </w:rPr>
        <w:t>hypoglycaemia</w:t>
      </w:r>
      <w:proofErr w:type="spellEnd"/>
      <w:r w:rsidRPr="007D2EB5">
        <w:rPr>
          <w:sz w:val="22"/>
          <w:szCs w:val="22"/>
        </w:rPr>
        <w:t xml:space="preserve"> was </w:t>
      </w:r>
      <w:proofErr w:type="gramStart"/>
      <w:r w:rsidRPr="007D2EB5">
        <w:rPr>
          <w:sz w:val="22"/>
          <w:szCs w:val="22"/>
        </w:rPr>
        <w:t>common,</w:t>
      </w:r>
      <w:proofErr w:type="gramEnd"/>
      <w:r w:rsidRPr="007D2EB5">
        <w:rPr>
          <w:sz w:val="22"/>
          <w:szCs w:val="22"/>
        </w:rPr>
        <w:t xml:space="preserve"> and very common when </w:t>
      </w:r>
      <w:r w:rsidRPr="007D2EB5">
        <w:rPr>
          <w:noProof/>
          <w:sz w:val="22"/>
          <w:szCs w:val="22"/>
        </w:rPr>
        <w:t>Victoza</w:t>
      </w:r>
      <w:r w:rsidRPr="007D2EB5">
        <w:rPr>
          <w:sz w:val="22"/>
          <w:szCs w:val="22"/>
        </w:rPr>
        <w:t xml:space="preserve"> was used in combination with sulfonylurea or insulin. Severe </w:t>
      </w:r>
      <w:proofErr w:type="spellStart"/>
      <w:r w:rsidRPr="007D2EB5">
        <w:rPr>
          <w:sz w:val="22"/>
          <w:szCs w:val="22"/>
        </w:rPr>
        <w:t>hypoglycaemia</w:t>
      </w:r>
      <w:proofErr w:type="spellEnd"/>
      <w:r w:rsidRPr="007D2EB5">
        <w:rPr>
          <w:sz w:val="22"/>
          <w:szCs w:val="22"/>
        </w:rPr>
        <w:t xml:space="preserve"> has primarily been observed when combined with a sulfonylurea.</w:t>
      </w:r>
    </w:p>
    <w:p w14:paraId="2055D8BB" w14:textId="77777777" w:rsidR="002B7DD2" w:rsidRDefault="002B7DD2" w:rsidP="00416832">
      <w:pPr>
        <w:jc w:val="both"/>
        <w:rPr>
          <w:noProof/>
          <w:sz w:val="22"/>
          <w:szCs w:val="22"/>
        </w:rPr>
      </w:pPr>
    </w:p>
    <w:p w14:paraId="6B9794FE" w14:textId="77777777" w:rsidR="002B7DD2" w:rsidRPr="007D2EB5" w:rsidRDefault="002B7DD2" w:rsidP="002B7DD2">
      <w:pPr>
        <w:jc w:val="both"/>
        <w:rPr>
          <w:sz w:val="22"/>
          <w:szCs w:val="22"/>
        </w:rPr>
      </w:pPr>
      <w:r w:rsidRPr="007D2EB5">
        <w:rPr>
          <w:sz w:val="22"/>
          <w:szCs w:val="22"/>
        </w:rPr>
        <w:t>Very few of the reported adverse reactions were serious in nature.</w:t>
      </w:r>
    </w:p>
    <w:p w14:paraId="313BD214" w14:textId="77777777" w:rsidR="002B7DD2" w:rsidRPr="007D2EB5" w:rsidRDefault="002B7DD2" w:rsidP="002B7DD2">
      <w:pPr>
        <w:jc w:val="both"/>
        <w:rPr>
          <w:sz w:val="22"/>
          <w:szCs w:val="22"/>
        </w:rPr>
      </w:pPr>
    </w:p>
    <w:p w14:paraId="5EF72234" w14:textId="77777777" w:rsidR="002B7DD2" w:rsidRPr="007D2EB5" w:rsidRDefault="002B7DD2" w:rsidP="002B7DD2">
      <w:pPr>
        <w:pStyle w:val="Heading4"/>
        <w:rPr>
          <w:b/>
          <w:i w:val="0"/>
          <w:sz w:val="22"/>
          <w:szCs w:val="22"/>
        </w:rPr>
      </w:pPr>
      <w:r w:rsidRPr="007D2EB5">
        <w:rPr>
          <w:b/>
          <w:i w:val="0"/>
          <w:sz w:val="22"/>
          <w:szCs w:val="22"/>
          <w:u w:val="single"/>
        </w:rPr>
        <w:t>Tabulated summary of adverse reactions</w:t>
      </w:r>
    </w:p>
    <w:p w14:paraId="18684485" w14:textId="49E81608" w:rsidR="002B7DD2" w:rsidRDefault="002B7DD2" w:rsidP="002B7DD2">
      <w:pPr>
        <w:jc w:val="both"/>
        <w:rPr>
          <w:noProof/>
          <w:sz w:val="22"/>
          <w:szCs w:val="22"/>
        </w:rPr>
      </w:pPr>
      <w:r w:rsidRPr="007D2EB5">
        <w:rPr>
          <w:sz w:val="22"/>
          <w:szCs w:val="22"/>
          <w:u w:color="0000FF"/>
        </w:rPr>
        <w:t xml:space="preserve">Table 5 </w:t>
      </w:r>
      <w:r w:rsidRPr="007D2EB5">
        <w:rPr>
          <w:sz w:val="22"/>
          <w:szCs w:val="22"/>
        </w:rPr>
        <w:t xml:space="preserve">lists adverse reactions reported in long-term phase 3a controlled trials, the LEADER trial and spontaneous (post-marketing) reports.  Frequencies for all events have been calculated based on their incidence in phase 3a clinical trials. The reactions are listed below as </w:t>
      </w:r>
      <w:proofErr w:type="spellStart"/>
      <w:r w:rsidRPr="007D2EB5">
        <w:rPr>
          <w:sz w:val="22"/>
          <w:szCs w:val="22"/>
        </w:rPr>
        <w:t>MedDRA</w:t>
      </w:r>
      <w:proofErr w:type="spellEnd"/>
      <w:r w:rsidRPr="007D2EB5">
        <w:rPr>
          <w:sz w:val="22"/>
          <w:szCs w:val="22"/>
        </w:rPr>
        <w:t xml:space="preserve"> preferred term by system organ class and absolute frequency. Frequencies are defined as: very common (≥1/10), common </w:t>
      </w:r>
      <w:r w:rsidRPr="007D2EB5">
        <w:rPr>
          <w:sz w:val="22"/>
          <w:szCs w:val="22"/>
        </w:rPr>
        <w:lastRenderedPageBreak/>
        <w:t>(≥1/100 to &lt;1/10), uncommon (≥1/1000 to &lt;1/100), rare (≥1/10,000 to &lt;1/1000) and very rare (&lt;1/10,000).</w:t>
      </w:r>
    </w:p>
    <w:p w14:paraId="275BEE54" w14:textId="77777777" w:rsidR="002B7DD2" w:rsidRDefault="002B7DD2" w:rsidP="00416832">
      <w:pPr>
        <w:jc w:val="both"/>
        <w:rPr>
          <w:noProof/>
          <w:sz w:val="22"/>
          <w:szCs w:val="22"/>
        </w:rPr>
      </w:pPr>
    </w:p>
    <w:p w14:paraId="0CD2E47C" w14:textId="6DB0CA31" w:rsidR="002B7DD2" w:rsidRPr="000871A1" w:rsidRDefault="000871A1" w:rsidP="00416832">
      <w:pPr>
        <w:jc w:val="both"/>
        <w:rPr>
          <w:b/>
          <w:noProof/>
          <w:sz w:val="22"/>
          <w:szCs w:val="22"/>
        </w:rPr>
      </w:pPr>
      <w:bookmarkStart w:id="8" w:name="_Ref196728093"/>
      <w:r w:rsidRPr="000871A1">
        <w:rPr>
          <w:b/>
          <w:sz w:val="22"/>
        </w:rPr>
        <w:t>Table</w:t>
      </w:r>
      <w:bookmarkEnd w:id="8"/>
      <w:r w:rsidRPr="000871A1">
        <w:rPr>
          <w:b/>
          <w:sz w:val="22"/>
        </w:rPr>
        <w:t xml:space="preserve"> 5</w:t>
      </w:r>
      <w:r w:rsidRPr="000871A1">
        <w:rPr>
          <w:b/>
          <w:sz w:val="22"/>
        </w:rPr>
        <w:tab/>
      </w:r>
      <w:r>
        <w:rPr>
          <w:b/>
          <w:sz w:val="22"/>
        </w:rPr>
        <w:t xml:space="preserve">  </w:t>
      </w:r>
      <w:r w:rsidRPr="000871A1">
        <w:rPr>
          <w:b/>
          <w:sz w:val="22"/>
        </w:rPr>
        <w:t xml:space="preserve">Adverse reactions reported in long-term phase 3a controlled trials, </w:t>
      </w:r>
      <w:r w:rsidRPr="000871A1">
        <w:rPr>
          <w:b/>
          <w:sz w:val="22"/>
          <w:lang w:val="id-ID"/>
        </w:rPr>
        <w:t>the long-term cardiovascular outcome trial (LEADER</w:t>
      </w:r>
      <w:proofErr w:type="gramStart"/>
      <w:r w:rsidRPr="000871A1">
        <w:rPr>
          <w:b/>
          <w:sz w:val="22"/>
          <w:lang w:val="id-ID"/>
        </w:rPr>
        <w:t>)</w:t>
      </w:r>
      <w:r w:rsidRPr="000871A1">
        <w:rPr>
          <w:b/>
          <w:sz w:val="22"/>
        </w:rPr>
        <w:t xml:space="preserve">  and</w:t>
      </w:r>
      <w:proofErr w:type="gramEnd"/>
      <w:r w:rsidRPr="000871A1">
        <w:rPr>
          <w:b/>
          <w:sz w:val="22"/>
        </w:rPr>
        <w:t xml:space="preserve"> spontaneous (post-marketing) reports</w:t>
      </w:r>
    </w:p>
    <w:tbl>
      <w:tblPr>
        <w:tblW w:w="7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992"/>
        <w:gridCol w:w="1701"/>
        <w:gridCol w:w="1134"/>
        <w:gridCol w:w="992"/>
        <w:gridCol w:w="1134"/>
      </w:tblGrid>
      <w:tr w:rsidR="000871A1" w:rsidRPr="008109F6" w14:paraId="0C91EA34" w14:textId="77777777" w:rsidTr="00A14AF3">
        <w:trPr>
          <w:trHeight w:val="702"/>
        </w:trPr>
        <w:tc>
          <w:tcPr>
            <w:tcW w:w="1555" w:type="dxa"/>
            <w:tcBorders>
              <w:top w:val="single" w:sz="4" w:space="0" w:color="auto"/>
              <w:left w:val="single" w:sz="4" w:space="0" w:color="auto"/>
              <w:bottom w:val="single" w:sz="4" w:space="0" w:color="auto"/>
              <w:right w:val="single" w:sz="4" w:space="0" w:color="auto"/>
            </w:tcBorders>
            <w:vAlign w:val="center"/>
          </w:tcPr>
          <w:p w14:paraId="61CC83AC" w14:textId="77777777" w:rsidR="000871A1" w:rsidRPr="008109F6" w:rsidRDefault="000871A1" w:rsidP="00A14AF3">
            <w:pPr>
              <w:pStyle w:val="BodyText"/>
              <w:rPr>
                <w:b/>
                <w:sz w:val="16"/>
                <w:szCs w:val="16"/>
              </w:rPr>
            </w:pPr>
            <w:proofErr w:type="spellStart"/>
            <w:r w:rsidRPr="008109F6">
              <w:rPr>
                <w:b/>
                <w:sz w:val="16"/>
                <w:szCs w:val="16"/>
              </w:rPr>
              <w:t>MedDRA</w:t>
            </w:r>
            <w:proofErr w:type="spellEnd"/>
          </w:p>
          <w:p w14:paraId="7DE4373F" w14:textId="77777777" w:rsidR="000871A1" w:rsidRPr="008109F6" w:rsidRDefault="000871A1" w:rsidP="00A14AF3">
            <w:pPr>
              <w:pStyle w:val="BodyText"/>
              <w:rPr>
                <w:b/>
                <w:sz w:val="16"/>
                <w:szCs w:val="16"/>
              </w:rPr>
            </w:pPr>
            <w:r w:rsidRPr="008109F6">
              <w:rPr>
                <w:b/>
                <w:sz w:val="16"/>
                <w:szCs w:val="16"/>
              </w:rPr>
              <w:t>system organ</w:t>
            </w:r>
          </w:p>
          <w:p w14:paraId="37285CF4" w14:textId="77777777" w:rsidR="000871A1" w:rsidRPr="008109F6" w:rsidRDefault="000871A1" w:rsidP="00A14AF3">
            <w:pPr>
              <w:pStyle w:val="BodyText"/>
              <w:rPr>
                <w:b/>
                <w:sz w:val="16"/>
                <w:szCs w:val="16"/>
              </w:rPr>
            </w:pPr>
            <w:r w:rsidRPr="008109F6">
              <w:rPr>
                <w:b/>
                <w:sz w:val="16"/>
                <w:szCs w:val="16"/>
              </w:rPr>
              <w:t>class</w:t>
            </w:r>
          </w:p>
        </w:tc>
        <w:tc>
          <w:tcPr>
            <w:tcW w:w="992" w:type="dxa"/>
            <w:tcBorders>
              <w:top w:val="single" w:sz="4" w:space="0" w:color="auto"/>
              <w:left w:val="single" w:sz="4" w:space="0" w:color="auto"/>
              <w:bottom w:val="single" w:sz="4" w:space="0" w:color="auto"/>
              <w:right w:val="single" w:sz="4" w:space="0" w:color="auto"/>
            </w:tcBorders>
            <w:vAlign w:val="center"/>
          </w:tcPr>
          <w:p w14:paraId="2282DA3A" w14:textId="77777777" w:rsidR="000871A1" w:rsidRPr="008109F6" w:rsidRDefault="000871A1" w:rsidP="00A14AF3">
            <w:pPr>
              <w:pStyle w:val="BodyText"/>
              <w:rPr>
                <w:b/>
                <w:sz w:val="16"/>
                <w:szCs w:val="16"/>
              </w:rPr>
            </w:pPr>
            <w:r w:rsidRPr="008109F6">
              <w:rPr>
                <w:b/>
                <w:sz w:val="16"/>
                <w:szCs w:val="16"/>
              </w:rPr>
              <w:t>Very common</w:t>
            </w:r>
          </w:p>
        </w:tc>
        <w:tc>
          <w:tcPr>
            <w:tcW w:w="1701" w:type="dxa"/>
            <w:tcBorders>
              <w:top w:val="single" w:sz="4" w:space="0" w:color="auto"/>
              <w:left w:val="single" w:sz="4" w:space="0" w:color="auto"/>
              <w:bottom w:val="single" w:sz="4" w:space="0" w:color="auto"/>
              <w:right w:val="single" w:sz="4" w:space="0" w:color="auto"/>
            </w:tcBorders>
            <w:vAlign w:val="center"/>
          </w:tcPr>
          <w:p w14:paraId="10FAB7E4" w14:textId="77777777" w:rsidR="000871A1" w:rsidRPr="008109F6" w:rsidRDefault="000871A1" w:rsidP="00A14AF3">
            <w:pPr>
              <w:pStyle w:val="BodyText"/>
              <w:rPr>
                <w:b/>
                <w:sz w:val="16"/>
                <w:szCs w:val="16"/>
              </w:rPr>
            </w:pPr>
            <w:r w:rsidRPr="008109F6">
              <w:rPr>
                <w:b/>
                <w:sz w:val="16"/>
                <w:szCs w:val="16"/>
              </w:rPr>
              <w:t>Common</w:t>
            </w:r>
          </w:p>
        </w:tc>
        <w:tc>
          <w:tcPr>
            <w:tcW w:w="1134" w:type="dxa"/>
            <w:tcBorders>
              <w:top w:val="single" w:sz="4" w:space="0" w:color="auto"/>
              <w:left w:val="single" w:sz="4" w:space="0" w:color="auto"/>
              <w:bottom w:val="single" w:sz="4" w:space="0" w:color="auto"/>
              <w:right w:val="single" w:sz="4" w:space="0" w:color="auto"/>
            </w:tcBorders>
            <w:vAlign w:val="center"/>
          </w:tcPr>
          <w:p w14:paraId="7D6D70FA" w14:textId="77777777" w:rsidR="000871A1" w:rsidRPr="008109F6" w:rsidRDefault="000871A1" w:rsidP="00A14AF3">
            <w:pPr>
              <w:pStyle w:val="BodyText"/>
              <w:rPr>
                <w:b/>
                <w:sz w:val="16"/>
                <w:szCs w:val="16"/>
              </w:rPr>
            </w:pPr>
            <w:r w:rsidRPr="008109F6">
              <w:rPr>
                <w:b/>
                <w:sz w:val="16"/>
                <w:szCs w:val="16"/>
              </w:rPr>
              <w:t>Uncommon</w:t>
            </w:r>
          </w:p>
        </w:tc>
        <w:tc>
          <w:tcPr>
            <w:tcW w:w="992" w:type="dxa"/>
            <w:tcBorders>
              <w:top w:val="single" w:sz="4" w:space="0" w:color="auto"/>
              <w:left w:val="single" w:sz="4" w:space="0" w:color="auto"/>
              <w:bottom w:val="single" w:sz="4" w:space="0" w:color="auto"/>
              <w:right w:val="single" w:sz="4" w:space="0" w:color="auto"/>
            </w:tcBorders>
            <w:vAlign w:val="center"/>
          </w:tcPr>
          <w:p w14:paraId="6A942E23" w14:textId="77777777" w:rsidR="000871A1" w:rsidRPr="008109F6" w:rsidRDefault="000871A1" w:rsidP="00A14AF3">
            <w:pPr>
              <w:pStyle w:val="BodyText"/>
              <w:rPr>
                <w:b/>
                <w:sz w:val="16"/>
                <w:szCs w:val="16"/>
              </w:rPr>
            </w:pPr>
            <w:r w:rsidRPr="008109F6">
              <w:rPr>
                <w:b/>
                <w:sz w:val="16"/>
                <w:szCs w:val="16"/>
              </w:rPr>
              <w:t>Rare</w:t>
            </w:r>
          </w:p>
        </w:tc>
        <w:tc>
          <w:tcPr>
            <w:tcW w:w="1134" w:type="dxa"/>
            <w:tcBorders>
              <w:top w:val="single" w:sz="4" w:space="0" w:color="auto"/>
              <w:left w:val="single" w:sz="4" w:space="0" w:color="auto"/>
              <w:bottom w:val="single" w:sz="4" w:space="0" w:color="auto"/>
              <w:right w:val="single" w:sz="4" w:space="0" w:color="auto"/>
            </w:tcBorders>
            <w:vAlign w:val="center"/>
          </w:tcPr>
          <w:p w14:paraId="51BAF691" w14:textId="77777777" w:rsidR="000871A1" w:rsidRPr="008109F6" w:rsidRDefault="000871A1" w:rsidP="00A14AF3">
            <w:pPr>
              <w:pStyle w:val="BodyText"/>
              <w:rPr>
                <w:b/>
                <w:sz w:val="16"/>
                <w:szCs w:val="16"/>
              </w:rPr>
            </w:pPr>
            <w:r w:rsidRPr="008109F6">
              <w:rPr>
                <w:b/>
                <w:sz w:val="16"/>
                <w:szCs w:val="16"/>
              </w:rPr>
              <w:t>Very rare</w:t>
            </w:r>
          </w:p>
        </w:tc>
      </w:tr>
      <w:tr w:rsidR="000871A1" w:rsidRPr="008109F6" w14:paraId="45F3D3C5" w14:textId="77777777" w:rsidTr="00A14AF3">
        <w:trPr>
          <w:trHeight w:val="484"/>
        </w:trPr>
        <w:tc>
          <w:tcPr>
            <w:tcW w:w="1555" w:type="dxa"/>
            <w:tcBorders>
              <w:top w:val="single" w:sz="4" w:space="0" w:color="auto"/>
              <w:left w:val="single" w:sz="4" w:space="0" w:color="auto"/>
              <w:bottom w:val="single" w:sz="4" w:space="0" w:color="auto"/>
              <w:right w:val="single" w:sz="4" w:space="0" w:color="auto"/>
            </w:tcBorders>
          </w:tcPr>
          <w:p w14:paraId="54D271FB" w14:textId="77777777" w:rsidR="000871A1" w:rsidRPr="008109F6" w:rsidRDefault="000871A1" w:rsidP="00A14AF3">
            <w:pPr>
              <w:pStyle w:val="BodyText"/>
              <w:rPr>
                <w:sz w:val="16"/>
                <w:szCs w:val="16"/>
              </w:rPr>
            </w:pPr>
            <w:r w:rsidRPr="008109F6">
              <w:rPr>
                <w:bCs/>
                <w:sz w:val="16"/>
                <w:szCs w:val="16"/>
              </w:rPr>
              <w:t>Infections and infestations</w:t>
            </w:r>
          </w:p>
        </w:tc>
        <w:tc>
          <w:tcPr>
            <w:tcW w:w="992" w:type="dxa"/>
            <w:tcBorders>
              <w:top w:val="single" w:sz="4" w:space="0" w:color="auto"/>
              <w:left w:val="single" w:sz="4" w:space="0" w:color="auto"/>
              <w:bottom w:val="single" w:sz="4" w:space="0" w:color="auto"/>
              <w:right w:val="single" w:sz="4" w:space="0" w:color="auto"/>
            </w:tcBorders>
          </w:tcPr>
          <w:p w14:paraId="286B80A7" w14:textId="77777777" w:rsidR="000871A1" w:rsidRPr="008109F6" w:rsidRDefault="000871A1" w:rsidP="00A14AF3">
            <w:pPr>
              <w:pStyle w:val="BodyText"/>
              <w:rPr>
                <w:sz w:val="16"/>
                <w:szCs w:val="16"/>
              </w:rPr>
            </w:pPr>
          </w:p>
        </w:tc>
        <w:tc>
          <w:tcPr>
            <w:tcW w:w="1701" w:type="dxa"/>
            <w:tcBorders>
              <w:top w:val="single" w:sz="4" w:space="0" w:color="auto"/>
              <w:left w:val="single" w:sz="4" w:space="0" w:color="auto"/>
              <w:bottom w:val="single" w:sz="4" w:space="0" w:color="auto"/>
              <w:right w:val="single" w:sz="4" w:space="0" w:color="auto"/>
            </w:tcBorders>
          </w:tcPr>
          <w:p w14:paraId="3F3351AC" w14:textId="77777777" w:rsidR="000871A1" w:rsidRPr="008109F6" w:rsidRDefault="000871A1" w:rsidP="00A14AF3">
            <w:pPr>
              <w:pStyle w:val="BodyText"/>
              <w:rPr>
                <w:sz w:val="16"/>
                <w:szCs w:val="16"/>
              </w:rPr>
            </w:pPr>
            <w:r w:rsidRPr="008109F6">
              <w:rPr>
                <w:bCs/>
                <w:sz w:val="16"/>
                <w:szCs w:val="16"/>
              </w:rPr>
              <w:t>Upper respiratory tract infection</w:t>
            </w:r>
          </w:p>
        </w:tc>
        <w:tc>
          <w:tcPr>
            <w:tcW w:w="1134" w:type="dxa"/>
            <w:tcBorders>
              <w:top w:val="single" w:sz="4" w:space="0" w:color="auto"/>
              <w:left w:val="single" w:sz="4" w:space="0" w:color="auto"/>
              <w:bottom w:val="single" w:sz="4" w:space="0" w:color="auto"/>
              <w:right w:val="single" w:sz="4" w:space="0" w:color="auto"/>
            </w:tcBorders>
          </w:tcPr>
          <w:p w14:paraId="2ED10682" w14:textId="77777777" w:rsidR="000871A1" w:rsidRPr="008109F6" w:rsidRDefault="000871A1" w:rsidP="00A14AF3">
            <w:pPr>
              <w:pStyle w:val="BodyText"/>
              <w:rPr>
                <w:sz w:val="16"/>
                <w:szCs w:val="16"/>
              </w:rPr>
            </w:pPr>
          </w:p>
        </w:tc>
        <w:tc>
          <w:tcPr>
            <w:tcW w:w="992" w:type="dxa"/>
            <w:tcBorders>
              <w:top w:val="single" w:sz="4" w:space="0" w:color="auto"/>
              <w:left w:val="single" w:sz="4" w:space="0" w:color="auto"/>
              <w:bottom w:val="single" w:sz="4" w:space="0" w:color="auto"/>
              <w:right w:val="single" w:sz="4" w:space="0" w:color="auto"/>
            </w:tcBorders>
          </w:tcPr>
          <w:p w14:paraId="23F36698" w14:textId="77777777" w:rsidR="000871A1" w:rsidRPr="008109F6" w:rsidRDefault="000871A1" w:rsidP="00A14AF3">
            <w:pPr>
              <w:pStyle w:val="BodyText"/>
              <w:rPr>
                <w:sz w:val="16"/>
                <w:szCs w:val="16"/>
              </w:rPr>
            </w:pPr>
          </w:p>
        </w:tc>
        <w:tc>
          <w:tcPr>
            <w:tcW w:w="1134" w:type="dxa"/>
            <w:tcBorders>
              <w:top w:val="single" w:sz="4" w:space="0" w:color="auto"/>
              <w:left w:val="single" w:sz="4" w:space="0" w:color="auto"/>
              <w:bottom w:val="single" w:sz="4" w:space="0" w:color="auto"/>
              <w:right w:val="single" w:sz="4" w:space="0" w:color="auto"/>
            </w:tcBorders>
          </w:tcPr>
          <w:p w14:paraId="4BB3A5FE" w14:textId="77777777" w:rsidR="000871A1" w:rsidRPr="008109F6" w:rsidRDefault="000871A1" w:rsidP="00A14AF3">
            <w:pPr>
              <w:pStyle w:val="BodyText"/>
              <w:rPr>
                <w:sz w:val="16"/>
                <w:szCs w:val="16"/>
              </w:rPr>
            </w:pPr>
          </w:p>
        </w:tc>
      </w:tr>
      <w:tr w:rsidR="000871A1" w:rsidRPr="008109F6" w14:paraId="4F0EE752" w14:textId="77777777" w:rsidTr="00A14AF3">
        <w:trPr>
          <w:trHeight w:val="414"/>
        </w:trPr>
        <w:tc>
          <w:tcPr>
            <w:tcW w:w="1555" w:type="dxa"/>
            <w:tcBorders>
              <w:top w:val="single" w:sz="4" w:space="0" w:color="auto"/>
              <w:left w:val="single" w:sz="4" w:space="0" w:color="auto"/>
              <w:bottom w:val="single" w:sz="4" w:space="0" w:color="auto"/>
              <w:right w:val="single" w:sz="4" w:space="0" w:color="auto"/>
            </w:tcBorders>
          </w:tcPr>
          <w:p w14:paraId="361005E2" w14:textId="77777777" w:rsidR="000871A1" w:rsidRPr="008109F6" w:rsidRDefault="000871A1" w:rsidP="00A14AF3">
            <w:pPr>
              <w:pStyle w:val="BodyText"/>
              <w:rPr>
                <w:sz w:val="16"/>
                <w:szCs w:val="16"/>
              </w:rPr>
            </w:pPr>
            <w:r w:rsidRPr="008109F6">
              <w:rPr>
                <w:sz w:val="16"/>
                <w:szCs w:val="16"/>
              </w:rPr>
              <w:t>Immune system disorders</w:t>
            </w:r>
          </w:p>
        </w:tc>
        <w:tc>
          <w:tcPr>
            <w:tcW w:w="992" w:type="dxa"/>
            <w:tcBorders>
              <w:top w:val="single" w:sz="4" w:space="0" w:color="auto"/>
              <w:left w:val="single" w:sz="4" w:space="0" w:color="auto"/>
              <w:bottom w:val="single" w:sz="4" w:space="0" w:color="auto"/>
              <w:right w:val="single" w:sz="4" w:space="0" w:color="auto"/>
            </w:tcBorders>
          </w:tcPr>
          <w:p w14:paraId="1FBE765C" w14:textId="77777777" w:rsidR="000871A1" w:rsidRPr="008109F6" w:rsidRDefault="000871A1" w:rsidP="00A14AF3">
            <w:pPr>
              <w:pStyle w:val="BodyText"/>
              <w:rPr>
                <w:sz w:val="16"/>
                <w:szCs w:val="16"/>
              </w:rPr>
            </w:pPr>
          </w:p>
        </w:tc>
        <w:tc>
          <w:tcPr>
            <w:tcW w:w="1701" w:type="dxa"/>
            <w:tcBorders>
              <w:top w:val="single" w:sz="4" w:space="0" w:color="auto"/>
              <w:left w:val="single" w:sz="4" w:space="0" w:color="auto"/>
              <w:bottom w:val="single" w:sz="4" w:space="0" w:color="auto"/>
              <w:right w:val="single" w:sz="4" w:space="0" w:color="auto"/>
            </w:tcBorders>
          </w:tcPr>
          <w:p w14:paraId="68CF774B" w14:textId="77777777" w:rsidR="000871A1" w:rsidRPr="008109F6" w:rsidRDefault="000871A1" w:rsidP="00A14AF3">
            <w:pPr>
              <w:pStyle w:val="BodyText"/>
              <w:rPr>
                <w:sz w:val="16"/>
                <w:szCs w:val="16"/>
              </w:rPr>
            </w:pPr>
          </w:p>
        </w:tc>
        <w:tc>
          <w:tcPr>
            <w:tcW w:w="1134" w:type="dxa"/>
            <w:tcBorders>
              <w:top w:val="single" w:sz="4" w:space="0" w:color="auto"/>
              <w:left w:val="single" w:sz="4" w:space="0" w:color="auto"/>
              <w:bottom w:val="single" w:sz="4" w:space="0" w:color="auto"/>
              <w:right w:val="single" w:sz="4" w:space="0" w:color="auto"/>
            </w:tcBorders>
          </w:tcPr>
          <w:p w14:paraId="7A206A35" w14:textId="77777777" w:rsidR="000871A1" w:rsidRPr="008109F6" w:rsidRDefault="000871A1" w:rsidP="00A14AF3">
            <w:pPr>
              <w:pStyle w:val="BodyText"/>
              <w:rPr>
                <w:sz w:val="16"/>
                <w:szCs w:val="16"/>
              </w:rPr>
            </w:pPr>
          </w:p>
        </w:tc>
        <w:tc>
          <w:tcPr>
            <w:tcW w:w="992" w:type="dxa"/>
            <w:tcBorders>
              <w:top w:val="single" w:sz="4" w:space="0" w:color="auto"/>
              <w:left w:val="single" w:sz="4" w:space="0" w:color="auto"/>
              <w:bottom w:val="single" w:sz="4" w:space="0" w:color="auto"/>
              <w:right w:val="single" w:sz="4" w:space="0" w:color="auto"/>
            </w:tcBorders>
          </w:tcPr>
          <w:p w14:paraId="48977E05" w14:textId="77777777" w:rsidR="000871A1" w:rsidRPr="008109F6" w:rsidRDefault="000871A1" w:rsidP="00A14AF3">
            <w:pPr>
              <w:pStyle w:val="BodyText"/>
              <w:rPr>
                <w:sz w:val="16"/>
                <w:szCs w:val="16"/>
              </w:rPr>
            </w:pPr>
            <w:r w:rsidRPr="008109F6">
              <w:rPr>
                <w:sz w:val="16"/>
                <w:szCs w:val="16"/>
              </w:rPr>
              <w:t>Anaphylactic reactions</w:t>
            </w:r>
          </w:p>
        </w:tc>
        <w:tc>
          <w:tcPr>
            <w:tcW w:w="1134" w:type="dxa"/>
            <w:tcBorders>
              <w:top w:val="single" w:sz="4" w:space="0" w:color="auto"/>
              <w:left w:val="single" w:sz="4" w:space="0" w:color="auto"/>
              <w:bottom w:val="single" w:sz="4" w:space="0" w:color="auto"/>
              <w:right w:val="single" w:sz="4" w:space="0" w:color="auto"/>
            </w:tcBorders>
          </w:tcPr>
          <w:p w14:paraId="76CA6EF0" w14:textId="77777777" w:rsidR="000871A1" w:rsidRPr="008109F6" w:rsidRDefault="000871A1" w:rsidP="00A14AF3">
            <w:pPr>
              <w:pStyle w:val="BodyText"/>
              <w:rPr>
                <w:sz w:val="16"/>
                <w:szCs w:val="16"/>
              </w:rPr>
            </w:pPr>
          </w:p>
        </w:tc>
      </w:tr>
      <w:tr w:rsidR="000871A1" w:rsidRPr="008109F6" w14:paraId="4F1BEBFF" w14:textId="77777777" w:rsidTr="00A14AF3">
        <w:trPr>
          <w:trHeight w:val="414"/>
        </w:trPr>
        <w:tc>
          <w:tcPr>
            <w:tcW w:w="1555" w:type="dxa"/>
            <w:tcBorders>
              <w:top w:val="single" w:sz="4" w:space="0" w:color="auto"/>
              <w:left w:val="single" w:sz="4" w:space="0" w:color="auto"/>
              <w:bottom w:val="single" w:sz="4" w:space="0" w:color="auto"/>
              <w:right w:val="single" w:sz="4" w:space="0" w:color="auto"/>
            </w:tcBorders>
          </w:tcPr>
          <w:p w14:paraId="09CD117B" w14:textId="77777777" w:rsidR="000871A1" w:rsidRPr="008109F6" w:rsidRDefault="000871A1" w:rsidP="00A14AF3">
            <w:pPr>
              <w:pStyle w:val="BodyText"/>
              <w:rPr>
                <w:sz w:val="16"/>
                <w:szCs w:val="16"/>
              </w:rPr>
            </w:pPr>
            <w:r w:rsidRPr="008109F6">
              <w:rPr>
                <w:sz w:val="16"/>
                <w:szCs w:val="16"/>
              </w:rPr>
              <w:t>Metabolism and nutrition disorders</w:t>
            </w:r>
          </w:p>
        </w:tc>
        <w:tc>
          <w:tcPr>
            <w:tcW w:w="992" w:type="dxa"/>
            <w:tcBorders>
              <w:top w:val="single" w:sz="4" w:space="0" w:color="auto"/>
              <w:left w:val="single" w:sz="4" w:space="0" w:color="auto"/>
              <w:bottom w:val="single" w:sz="4" w:space="0" w:color="auto"/>
              <w:right w:val="single" w:sz="4" w:space="0" w:color="auto"/>
            </w:tcBorders>
          </w:tcPr>
          <w:p w14:paraId="1B244340" w14:textId="77777777" w:rsidR="000871A1" w:rsidRPr="008109F6" w:rsidRDefault="000871A1" w:rsidP="00A14AF3">
            <w:pPr>
              <w:pStyle w:val="BodyText"/>
              <w:rPr>
                <w:sz w:val="16"/>
                <w:szCs w:val="16"/>
              </w:rPr>
            </w:pPr>
          </w:p>
        </w:tc>
        <w:tc>
          <w:tcPr>
            <w:tcW w:w="1701" w:type="dxa"/>
            <w:tcBorders>
              <w:top w:val="single" w:sz="4" w:space="0" w:color="auto"/>
              <w:left w:val="single" w:sz="4" w:space="0" w:color="auto"/>
              <w:bottom w:val="single" w:sz="4" w:space="0" w:color="auto"/>
              <w:right w:val="single" w:sz="4" w:space="0" w:color="auto"/>
            </w:tcBorders>
          </w:tcPr>
          <w:p w14:paraId="59349E21" w14:textId="77777777" w:rsidR="000871A1" w:rsidRPr="008109F6" w:rsidRDefault="000871A1" w:rsidP="00A14AF3">
            <w:pPr>
              <w:pStyle w:val="BodyText"/>
              <w:rPr>
                <w:sz w:val="16"/>
                <w:szCs w:val="16"/>
              </w:rPr>
            </w:pPr>
            <w:r w:rsidRPr="008109F6">
              <w:rPr>
                <w:sz w:val="16"/>
                <w:szCs w:val="16"/>
              </w:rPr>
              <w:t>Hypoglycaemia</w:t>
            </w:r>
            <w:r w:rsidRPr="008109F6">
              <w:rPr>
                <w:sz w:val="16"/>
                <w:szCs w:val="16"/>
                <w:vertAlign w:val="superscript"/>
              </w:rPr>
              <w:t>*</w:t>
            </w:r>
          </w:p>
          <w:p w14:paraId="52A33473" w14:textId="77777777" w:rsidR="000871A1" w:rsidRPr="008109F6" w:rsidRDefault="000871A1" w:rsidP="00A14AF3">
            <w:pPr>
              <w:pStyle w:val="BodyText"/>
              <w:rPr>
                <w:sz w:val="16"/>
                <w:szCs w:val="16"/>
              </w:rPr>
            </w:pPr>
            <w:r w:rsidRPr="008109F6">
              <w:rPr>
                <w:sz w:val="16"/>
                <w:szCs w:val="16"/>
              </w:rPr>
              <w:t>Anorexia</w:t>
            </w:r>
          </w:p>
          <w:p w14:paraId="5A1FFF29" w14:textId="77777777" w:rsidR="000871A1" w:rsidRPr="008109F6" w:rsidRDefault="000871A1" w:rsidP="00A14AF3">
            <w:pPr>
              <w:pStyle w:val="BodyText"/>
              <w:rPr>
                <w:sz w:val="16"/>
                <w:szCs w:val="16"/>
              </w:rPr>
            </w:pPr>
            <w:r w:rsidRPr="008109F6">
              <w:rPr>
                <w:sz w:val="16"/>
                <w:szCs w:val="16"/>
              </w:rPr>
              <w:t>Appetite decreased</w:t>
            </w:r>
          </w:p>
        </w:tc>
        <w:tc>
          <w:tcPr>
            <w:tcW w:w="1134" w:type="dxa"/>
            <w:tcBorders>
              <w:top w:val="single" w:sz="4" w:space="0" w:color="auto"/>
              <w:left w:val="single" w:sz="4" w:space="0" w:color="auto"/>
              <w:bottom w:val="single" w:sz="4" w:space="0" w:color="auto"/>
              <w:right w:val="single" w:sz="4" w:space="0" w:color="auto"/>
            </w:tcBorders>
          </w:tcPr>
          <w:p w14:paraId="188CAA81" w14:textId="77777777" w:rsidR="000871A1" w:rsidRPr="008109F6" w:rsidRDefault="000871A1" w:rsidP="00A14AF3">
            <w:pPr>
              <w:pStyle w:val="BodyText"/>
              <w:rPr>
                <w:sz w:val="16"/>
                <w:szCs w:val="16"/>
              </w:rPr>
            </w:pPr>
            <w:r w:rsidRPr="008109F6">
              <w:rPr>
                <w:sz w:val="16"/>
                <w:szCs w:val="16"/>
              </w:rPr>
              <w:t>Dehydration</w:t>
            </w:r>
            <w:r w:rsidRPr="008109F6">
              <w:rPr>
                <w:sz w:val="16"/>
                <w:szCs w:val="16"/>
                <w:vertAlign w:val="superscript"/>
              </w:rPr>
              <w:t>#</w:t>
            </w:r>
          </w:p>
        </w:tc>
        <w:tc>
          <w:tcPr>
            <w:tcW w:w="992" w:type="dxa"/>
            <w:tcBorders>
              <w:top w:val="single" w:sz="4" w:space="0" w:color="auto"/>
              <w:left w:val="single" w:sz="4" w:space="0" w:color="auto"/>
              <w:bottom w:val="single" w:sz="4" w:space="0" w:color="auto"/>
              <w:right w:val="single" w:sz="4" w:space="0" w:color="auto"/>
            </w:tcBorders>
          </w:tcPr>
          <w:p w14:paraId="6775CBD6" w14:textId="77777777" w:rsidR="000871A1" w:rsidRPr="008109F6" w:rsidRDefault="000871A1" w:rsidP="00A14AF3">
            <w:pPr>
              <w:pStyle w:val="BodyText"/>
              <w:rPr>
                <w:sz w:val="16"/>
                <w:szCs w:val="16"/>
              </w:rPr>
            </w:pPr>
          </w:p>
        </w:tc>
        <w:tc>
          <w:tcPr>
            <w:tcW w:w="1134" w:type="dxa"/>
            <w:tcBorders>
              <w:top w:val="single" w:sz="4" w:space="0" w:color="auto"/>
              <w:left w:val="single" w:sz="4" w:space="0" w:color="auto"/>
              <w:bottom w:val="single" w:sz="4" w:space="0" w:color="auto"/>
              <w:right w:val="single" w:sz="4" w:space="0" w:color="auto"/>
            </w:tcBorders>
          </w:tcPr>
          <w:p w14:paraId="2D19BAB1" w14:textId="77777777" w:rsidR="000871A1" w:rsidRPr="008109F6" w:rsidRDefault="000871A1" w:rsidP="00A14AF3">
            <w:pPr>
              <w:pStyle w:val="BodyText"/>
              <w:rPr>
                <w:sz w:val="16"/>
                <w:szCs w:val="16"/>
              </w:rPr>
            </w:pPr>
          </w:p>
        </w:tc>
      </w:tr>
      <w:tr w:rsidR="000871A1" w:rsidRPr="008109F6" w14:paraId="488F9A09" w14:textId="77777777" w:rsidTr="00A14AF3">
        <w:trPr>
          <w:trHeight w:val="501"/>
        </w:trPr>
        <w:tc>
          <w:tcPr>
            <w:tcW w:w="1555" w:type="dxa"/>
            <w:tcBorders>
              <w:top w:val="single" w:sz="4" w:space="0" w:color="auto"/>
              <w:left w:val="single" w:sz="4" w:space="0" w:color="auto"/>
              <w:bottom w:val="single" w:sz="4" w:space="0" w:color="auto"/>
              <w:right w:val="single" w:sz="4" w:space="0" w:color="auto"/>
            </w:tcBorders>
          </w:tcPr>
          <w:p w14:paraId="7D396B5A" w14:textId="77777777" w:rsidR="000871A1" w:rsidRPr="008109F6" w:rsidRDefault="000871A1" w:rsidP="00A14AF3">
            <w:pPr>
              <w:pStyle w:val="BodyText"/>
              <w:rPr>
                <w:sz w:val="16"/>
                <w:szCs w:val="16"/>
              </w:rPr>
            </w:pPr>
            <w:r w:rsidRPr="008109F6">
              <w:rPr>
                <w:sz w:val="16"/>
                <w:szCs w:val="16"/>
              </w:rPr>
              <w:t>Nervous system disorders</w:t>
            </w:r>
          </w:p>
        </w:tc>
        <w:tc>
          <w:tcPr>
            <w:tcW w:w="992" w:type="dxa"/>
            <w:tcBorders>
              <w:top w:val="single" w:sz="4" w:space="0" w:color="auto"/>
              <w:left w:val="single" w:sz="4" w:space="0" w:color="auto"/>
              <w:bottom w:val="single" w:sz="4" w:space="0" w:color="auto"/>
              <w:right w:val="single" w:sz="4" w:space="0" w:color="auto"/>
            </w:tcBorders>
          </w:tcPr>
          <w:p w14:paraId="1ED8541C" w14:textId="77777777" w:rsidR="000871A1" w:rsidRPr="008109F6" w:rsidRDefault="000871A1" w:rsidP="00A14AF3">
            <w:pPr>
              <w:pStyle w:val="BodyText"/>
              <w:rPr>
                <w:sz w:val="16"/>
                <w:szCs w:val="16"/>
              </w:rPr>
            </w:pPr>
          </w:p>
        </w:tc>
        <w:tc>
          <w:tcPr>
            <w:tcW w:w="1701" w:type="dxa"/>
            <w:tcBorders>
              <w:top w:val="single" w:sz="4" w:space="0" w:color="auto"/>
              <w:left w:val="single" w:sz="4" w:space="0" w:color="auto"/>
              <w:bottom w:val="single" w:sz="4" w:space="0" w:color="auto"/>
              <w:right w:val="single" w:sz="4" w:space="0" w:color="auto"/>
            </w:tcBorders>
          </w:tcPr>
          <w:p w14:paraId="6C1F65C0" w14:textId="77777777" w:rsidR="000871A1" w:rsidRPr="008109F6" w:rsidRDefault="000871A1" w:rsidP="00A14AF3">
            <w:pPr>
              <w:pStyle w:val="BodyText"/>
              <w:rPr>
                <w:sz w:val="16"/>
                <w:szCs w:val="16"/>
              </w:rPr>
            </w:pPr>
            <w:r w:rsidRPr="008109F6">
              <w:rPr>
                <w:sz w:val="16"/>
                <w:szCs w:val="16"/>
              </w:rPr>
              <w:t>Headache</w:t>
            </w:r>
          </w:p>
        </w:tc>
        <w:tc>
          <w:tcPr>
            <w:tcW w:w="1134" w:type="dxa"/>
            <w:tcBorders>
              <w:top w:val="single" w:sz="4" w:space="0" w:color="auto"/>
              <w:left w:val="single" w:sz="4" w:space="0" w:color="auto"/>
              <w:bottom w:val="single" w:sz="4" w:space="0" w:color="auto"/>
              <w:right w:val="single" w:sz="4" w:space="0" w:color="auto"/>
            </w:tcBorders>
          </w:tcPr>
          <w:p w14:paraId="0B8F5DB4" w14:textId="77777777" w:rsidR="000871A1" w:rsidRPr="008109F6" w:rsidRDefault="000871A1" w:rsidP="00A14AF3">
            <w:pPr>
              <w:pStyle w:val="BodyText"/>
              <w:rPr>
                <w:sz w:val="16"/>
                <w:szCs w:val="16"/>
              </w:rPr>
            </w:pPr>
          </w:p>
        </w:tc>
        <w:tc>
          <w:tcPr>
            <w:tcW w:w="992" w:type="dxa"/>
            <w:tcBorders>
              <w:top w:val="single" w:sz="4" w:space="0" w:color="auto"/>
              <w:left w:val="single" w:sz="4" w:space="0" w:color="auto"/>
              <w:bottom w:val="single" w:sz="4" w:space="0" w:color="auto"/>
              <w:right w:val="single" w:sz="4" w:space="0" w:color="auto"/>
            </w:tcBorders>
          </w:tcPr>
          <w:p w14:paraId="160A8BE6" w14:textId="77777777" w:rsidR="000871A1" w:rsidRPr="008109F6" w:rsidRDefault="000871A1" w:rsidP="00A14AF3">
            <w:pPr>
              <w:pStyle w:val="BodyText"/>
              <w:rPr>
                <w:sz w:val="16"/>
                <w:szCs w:val="16"/>
              </w:rPr>
            </w:pPr>
          </w:p>
        </w:tc>
        <w:tc>
          <w:tcPr>
            <w:tcW w:w="1134" w:type="dxa"/>
            <w:tcBorders>
              <w:top w:val="single" w:sz="4" w:space="0" w:color="auto"/>
              <w:left w:val="single" w:sz="4" w:space="0" w:color="auto"/>
              <w:bottom w:val="single" w:sz="4" w:space="0" w:color="auto"/>
              <w:right w:val="single" w:sz="4" w:space="0" w:color="auto"/>
            </w:tcBorders>
          </w:tcPr>
          <w:p w14:paraId="2DA5B14D" w14:textId="77777777" w:rsidR="000871A1" w:rsidRPr="008109F6" w:rsidRDefault="000871A1" w:rsidP="00A14AF3">
            <w:pPr>
              <w:pStyle w:val="BodyText"/>
              <w:rPr>
                <w:sz w:val="16"/>
                <w:szCs w:val="16"/>
              </w:rPr>
            </w:pPr>
          </w:p>
        </w:tc>
      </w:tr>
      <w:tr w:rsidR="000871A1" w:rsidRPr="008109F6" w14:paraId="3AAC85D8" w14:textId="77777777" w:rsidTr="00A14AF3">
        <w:trPr>
          <w:trHeight w:val="501"/>
        </w:trPr>
        <w:tc>
          <w:tcPr>
            <w:tcW w:w="1555" w:type="dxa"/>
            <w:tcBorders>
              <w:top w:val="single" w:sz="4" w:space="0" w:color="auto"/>
              <w:left w:val="single" w:sz="4" w:space="0" w:color="auto"/>
              <w:bottom w:val="single" w:sz="4" w:space="0" w:color="auto"/>
              <w:right w:val="single" w:sz="4" w:space="0" w:color="auto"/>
            </w:tcBorders>
          </w:tcPr>
          <w:p w14:paraId="4815148D" w14:textId="77777777" w:rsidR="000871A1" w:rsidRPr="008109F6" w:rsidRDefault="000871A1" w:rsidP="00A14AF3">
            <w:pPr>
              <w:pStyle w:val="BodyText"/>
              <w:rPr>
                <w:sz w:val="16"/>
                <w:szCs w:val="16"/>
              </w:rPr>
            </w:pPr>
            <w:r w:rsidRPr="008109F6">
              <w:rPr>
                <w:sz w:val="16"/>
                <w:szCs w:val="16"/>
              </w:rPr>
              <w:t>Cardiac disorders</w:t>
            </w:r>
          </w:p>
        </w:tc>
        <w:tc>
          <w:tcPr>
            <w:tcW w:w="992" w:type="dxa"/>
            <w:tcBorders>
              <w:top w:val="single" w:sz="4" w:space="0" w:color="auto"/>
              <w:left w:val="single" w:sz="4" w:space="0" w:color="auto"/>
              <w:bottom w:val="single" w:sz="4" w:space="0" w:color="auto"/>
              <w:right w:val="single" w:sz="4" w:space="0" w:color="auto"/>
            </w:tcBorders>
          </w:tcPr>
          <w:p w14:paraId="6BC2316C" w14:textId="77777777" w:rsidR="000871A1" w:rsidRPr="008109F6" w:rsidRDefault="000871A1" w:rsidP="00A14AF3">
            <w:pPr>
              <w:pStyle w:val="BodyText"/>
              <w:rPr>
                <w:sz w:val="16"/>
                <w:szCs w:val="16"/>
              </w:rPr>
            </w:pPr>
          </w:p>
        </w:tc>
        <w:tc>
          <w:tcPr>
            <w:tcW w:w="1701" w:type="dxa"/>
            <w:tcBorders>
              <w:top w:val="single" w:sz="4" w:space="0" w:color="auto"/>
              <w:left w:val="single" w:sz="4" w:space="0" w:color="auto"/>
              <w:bottom w:val="single" w:sz="4" w:space="0" w:color="auto"/>
              <w:right w:val="single" w:sz="4" w:space="0" w:color="auto"/>
            </w:tcBorders>
          </w:tcPr>
          <w:p w14:paraId="13EEF206" w14:textId="77777777" w:rsidR="000871A1" w:rsidRPr="008109F6" w:rsidRDefault="000871A1" w:rsidP="00A14AF3">
            <w:pPr>
              <w:pStyle w:val="BodyText"/>
              <w:rPr>
                <w:sz w:val="16"/>
                <w:szCs w:val="16"/>
              </w:rPr>
            </w:pPr>
            <w:r w:rsidRPr="008109F6">
              <w:rPr>
                <w:sz w:val="16"/>
                <w:szCs w:val="16"/>
              </w:rPr>
              <w:t>Increased heart rate</w:t>
            </w:r>
          </w:p>
        </w:tc>
        <w:tc>
          <w:tcPr>
            <w:tcW w:w="1134" w:type="dxa"/>
            <w:tcBorders>
              <w:top w:val="single" w:sz="4" w:space="0" w:color="auto"/>
              <w:left w:val="single" w:sz="4" w:space="0" w:color="auto"/>
              <w:bottom w:val="single" w:sz="4" w:space="0" w:color="auto"/>
              <w:right w:val="single" w:sz="4" w:space="0" w:color="auto"/>
            </w:tcBorders>
          </w:tcPr>
          <w:p w14:paraId="50C79856" w14:textId="77777777" w:rsidR="000871A1" w:rsidRPr="008109F6" w:rsidRDefault="000871A1" w:rsidP="00A14AF3">
            <w:pPr>
              <w:pStyle w:val="BodyText"/>
              <w:rPr>
                <w:sz w:val="16"/>
                <w:szCs w:val="16"/>
              </w:rPr>
            </w:pPr>
          </w:p>
        </w:tc>
        <w:tc>
          <w:tcPr>
            <w:tcW w:w="992" w:type="dxa"/>
            <w:tcBorders>
              <w:top w:val="single" w:sz="4" w:space="0" w:color="auto"/>
              <w:left w:val="single" w:sz="4" w:space="0" w:color="auto"/>
              <w:bottom w:val="single" w:sz="4" w:space="0" w:color="auto"/>
              <w:right w:val="single" w:sz="4" w:space="0" w:color="auto"/>
            </w:tcBorders>
          </w:tcPr>
          <w:p w14:paraId="142BF203" w14:textId="77777777" w:rsidR="000871A1" w:rsidRPr="008109F6" w:rsidRDefault="000871A1" w:rsidP="00A14AF3">
            <w:pPr>
              <w:pStyle w:val="BodyText"/>
              <w:rPr>
                <w:sz w:val="16"/>
                <w:szCs w:val="16"/>
              </w:rPr>
            </w:pPr>
          </w:p>
        </w:tc>
        <w:tc>
          <w:tcPr>
            <w:tcW w:w="1134" w:type="dxa"/>
            <w:tcBorders>
              <w:top w:val="single" w:sz="4" w:space="0" w:color="auto"/>
              <w:left w:val="single" w:sz="4" w:space="0" w:color="auto"/>
              <w:bottom w:val="single" w:sz="4" w:space="0" w:color="auto"/>
              <w:right w:val="single" w:sz="4" w:space="0" w:color="auto"/>
            </w:tcBorders>
          </w:tcPr>
          <w:p w14:paraId="74F01D9A" w14:textId="77777777" w:rsidR="000871A1" w:rsidRPr="008109F6" w:rsidRDefault="000871A1" w:rsidP="00A14AF3">
            <w:pPr>
              <w:pStyle w:val="BodyText"/>
              <w:rPr>
                <w:sz w:val="16"/>
                <w:szCs w:val="16"/>
              </w:rPr>
            </w:pPr>
          </w:p>
        </w:tc>
      </w:tr>
      <w:tr w:rsidR="000871A1" w:rsidRPr="008109F6" w14:paraId="73C3214F" w14:textId="77777777" w:rsidTr="00A14AF3">
        <w:trPr>
          <w:trHeight w:val="501"/>
        </w:trPr>
        <w:tc>
          <w:tcPr>
            <w:tcW w:w="1555" w:type="dxa"/>
            <w:tcBorders>
              <w:top w:val="single" w:sz="4" w:space="0" w:color="auto"/>
              <w:left w:val="single" w:sz="4" w:space="0" w:color="auto"/>
              <w:bottom w:val="single" w:sz="4" w:space="0" w:color="auto"/>
              <w:right w:val="single" w:sz="4" w:space="0" w:color="auto"/>
            </w:tcBorders>
          </w:tcPr>
          <w:p w14:paraId="079794B3" w14:textId="77777777" w:rsidR="000871A1" w:rsidRPr="008109F6" w:rsidRDefault="000871A1" w:rsidP="00A14AF3">
            <w:pPr>
              <w:pStyle w:val="BodyText"/>
              <w:rPr>
                <w:sz w:val="16"/>
                <w:szCs w:val="16"/>
              </w:rPr>
            </w:pPr>
            <w:r w:rsidRPr="008109F6">
              <w:rPr>
                <w:sz w:val="16"/>
                <w:szCs w:val="16"/>
              </w:rPr>
              <w:t>Gastrointestinal disorders</w:t>
            </w:r>
          </w:p>
        </w:tc>
        <w:tc>
          <w:tcPr>
            <w:tcW w:w="992" w:type="dxa"/>
            <w:tcBorders>
              <w:top w:val="single" w:sz="4" w:space="0" w:color="auto"/>
              <w:left w:val="single" w:sz="4" w:space="0" w:color="auto"/>
              <w:bottom w:val="single" w:sz="4" w:space="0" w:color="auto"/>
              <w:right w:val="single" w:sz="4" w:space="0" w:color="auto"/>
            </w:tcBorders>
          </w:tcPr>
          <w:p w14:paraId="5D3059B6" w14:textId="77777777" w:rsidR="000871A1" w:rsidRPr="008109F6" w:rsidRDefault="000871A1" w:rsidP="00A14AF3">
            <w:pPr>
              <w:pStyle w:val="BodyText"/>
              <w:rPr>
                <w:sz w:val="16"/>
                <w:szCs w:val="16"/>
              </w:rPr>
            </w:pPr>
            <w:r w:rsidRPr="008109F6">
              <w:rPr>
                <w:sz w:val="16"/>
                <w:szCs w:val="16"/>
              </w:rPr>
              <w:t>Nausea</w:t>
            </w:r>
          </w:p>
          <w:p w14:paraId="22EE8E49" w14:textId="77777777" w:rsidR="000871A1" w:rsidRPr="008109F6" w:rsidRDefault="000871A1" w:rsidP="00A14AF3">
            <w:pPr>
              <w:pStyle w:val="BodyText"/>
              <w:rPr>
                <w:sz w:val="16"/>
                <w:szCs w:val="16"/>
              </w:rPr>
            </w:pPr>
            <w:r w:rsidRPr="008109F6">
              <w:rPr>
                <w:sz w:val="16"/>
                <w:szCs w:val="16"/>
              </w:rPr>
              <w:t>Diarrhoea</w:t>
            </w:r>
          </w:p>
        </w:tc>
        <w:tc>
          <w:tcPr>
            <w:tcW w:w="1701" w:type="dxa"/>
            <w:tcBorders>
              <w:top w:val="single" w:sz="4" w:space="0" w:color="auto"/>
              <w:left w:val="single" w:sz="4" w:space="0" w:color="auto"/>
              <w:bottom w:val="single" w:sz="4" w:space="0" w:color="auto"/>
              <w:right w:val="single" w:sz="4" w:space="0" w:color="auto"/>
            </w:tcBorders>
          </w:tcPr>
          <w:p w14:paraId="34D540F7" w14:textId="77777777" w:rsidR="000871A1" w:rsidRPr="008109F6" w:rsidRDefault="000871A1" w:rsidP="00A14AF3">
            <w:pPr>
              <w:pStyle w:val="BodyText"/>
              <w:rPr>
                <w:sz w:val="16"/>
                <w:szCs w:val="16"/>
              </w:rPr>
            </w:pPr>
            <w:r w:rsidRPr="008109F6">
              <w:rPr>
                <w:sz w:val="16"/>
                <w:szCs w:val="16"/>
              </w:rPr>
              <w:t>Vomiting</w:t>
            </w:r>
          </w:p>
          <w:p w14:paraId="742A1147" w14:textId="77777777" w:rsidR="000871A1" w:rsidRPr="008109F6" w:rsidRDefault="000871A1" w:rsidP="00A14AF3">
            <w:pPr>
              <w:pStyle w:val="BodyText"/>
              <w:rPr>
                <w:sz w:val="16"/>
                <w:szCs w:val="16"/>
              </w:rPr>
            </w:pPr>
            <w:r w:rsidRPr="008109F6">
              <w:rPr>
                <w:sz w:val="16"/>
                <w:szCs w:val="16"/>
              </w:rPr>
              <w:t>Dyspepsia</w:t>
            </w:r>
          </w:p>
          <w:p w14:paraId="0CE5D0EC" w14:textId="77777777" w:rsidR="000871A1" w:rsidRPr="008109F6" w:rsidRDefault="000871A1" w:rsidP="00A14AF3">
            <w:pPr>
              <w:pStyle w:val="BodyText"/>
              <w:rPr>
                <w:sz w:val="16"/>
                <w:szCs w:val="16"/>
              </w:rPr>
            </w:pPr>
            <w:r w:rsidRPr="008109F6">
              <w:rPr>
                <w:sz w:val="16"/>
                <w:szCs w:val="16"/>
              </w:rPr>
              <w:t>Abdominal pain upper</w:t>
            </w:r>
          </w:p>
          <w:p w14:paraId="678CB870" w14:textId="77777777" w:rsidR="000871A1" w:rsidRPr="008109F6" w:rsidRDefault="000871A1" w:rsidP="00A14AF3">
            <w:pPr>
              <w:pStyle w:val="BodyText"/>
              <w:rPr>
                <w:sz w:val="16"/>
                <w:szCs w:val="16"/>
              </w:rPr>
            </w:pPr>
            <w:r w:rsidRPr="008109F6">
              <w:rPr>
                <w:sz w:val="16"/>
                <w:szCs w:val="16"/>
              </w:rPr>
              <w:t>Constipation</w:t>
            </w:r>
          </w:p>
          <w:p w14:paraId="1C8C7E33" w14:textId="77777777" w:rsidR="000871A1" w:rsidRPr="008109F6" w:rsidRDefault="000871A1" w:rsidP="00A14AF3">
            <w:pPr>
              <w:pStyle w:val="BodyText"/>
              <w:rPr>
                <w:sz w:val="16"/>
                <w:szCs w:val="16"/>
              </w:rPr>
            </w:pPr>
            <w:r w:rsidRPr="008109F6">
              <w:rPr>
                <w:sz w:val="16"/>
                <w:szCs w:val="16"/>
              </w:rPr>
              <w:t>Gastritis</w:t>
            </w:r>
          </w:p>
          <w:p w14:paraId="54D23860" w14:textId="77777777" w:rsidR="000871A1" w:rsidRPr="008109F6" w:rsidRDefault="000871A1" w:rsidP="00A14AF3">
            <w:pPr>
              <w:pStyle w:val="BodyText"/>
              <w:rPr>
                <w:sz w:val="16"/>
                <w:szCs w:val="16"/>
              </w:rPr>
            </w:pPr>
            <w:r w:rsidRPr="008109F6">
              <w:rPr>
                <w:sz w:val="16"/>
                <w:szCs w:val="16"/>
              </w:rPr>
              <w:t>Flatulence</w:t>
            </w:r>
          </w:p>
          <w:p w14:paraId="1FC9B084" w14:textId="77777777" w:rsidR="000871A1" w:rsidRPr="008109F6" w:rsidRDefault="000871A1" w:rsidP="00A14AF3">
            <w:pPr>
              <w:pStyle w:val="BodyText"/>
              <w:rPr>
                <w:sz w:val="16"/>
                <w:szCs w:val="16"/>
              </w:rPr>
            </w:pPr>
            <w:r w:rsidRPr="008109F6">
              <w:rPr>
                <w:sz w:val="16"/>
                <w:szCs w:val="16"/>
              </w:rPr>
              <w:t>Abdominal distension</w:t>
            </w:r>
          </w:p>
          <w:p w14:paraId="1785722D" w14:textId="77777777" w:rsidR="000871A1" w:rsidRPr="008109F6" w:rsidRDefault="000871A1" w:rsidP="00A14AF3">
            <w:pPr>
              <w:pStyle w:val="BodyText"/>
              <w:rPr>
                <w:sz w:val="16"/>
                <w:szCs w:val="16"/>
              </w:rPr>
            </w:pPr>
            <w:r w:rsidRPr="008109F6">
              <w:rPr>
                <w:sz w:val="16"/>
                <w:szCs w:val="16"/>
              </w:rPr>
              <w:t>Gastroesophageal reflux disease</w:t>
            </w:r>
          </w:p>
          <w:p w14:paraId="7579E0FE" w14:textId="77777777" w:rsidR="000871A1" w:rsidRPr="008109F6" w:rsidRDefault="000871A1" w:rsidP="00A14AF3">
            <w:pPr>
              <w:pStyle w:val="BodyText"/>
              <w:rPr>
                <w:sz w:val="16"/>
                <w:szCs w:val="16"/>
              </w:rPr>
            </w:pPr>
            <w:r w:rsidRPr="008109F6">
              <w:rPr>
                <w:sz w:val="16"/>
                <w:szCs w:val="16"/>
              </w:rPr>
              <w:t>Eructation</w:t>
            </w:r>
          </w:p>
        </w:tc>
        <w:tc>
          <w:tcPr>
            <w:tcW w:w="1134" w:type="dxa"/>
            <w:tcBorders>
              <w:top w:val="single" w:sz="4" w:space="0" w:color="auto"/>
              <w:left w:val="single" w:sz="4" w:space="0" w:color="auto"/>
              <w:bottom w:val="single" w:sz="4" w:space="0" w:color="auto"/>
              <w:right w:val="single" w:sz="4" w:space="0" w:color="auto"/>
            </w:tcBorders>
          </w:tcPr>
          <w:p w14:paraId="5FB95666" w14:textId="77777777" w:rsidR="000871A1" w:rsidRPr="008109F6" w:rsidRDefault="000871A1" w:rsidP="00A14AF3">
            <w:pPr>
              <w:pStyle w:val="BodyText"/>
              <w:rPr>
                <w:sz w:val="16"/>
                <w:szCs w:val="16"/>
              </w:rPr>
            </w:pPr>
          </w:p>
        </w:tc>
        <w:tc>
          <w:tcPr>
            <w:tcW w:w="992" w:type="dxa"/>
            <w:tcBorders>
              <w:top w:val="single" w:sz="4" w:space="0" w:color="auto"/>
              <w:left w:val="single" w:sz="4" w:space="0" w:color="auto"/>
              <w:bottom w:val="single" w:sz="4" w:space="0" w:color="auto"/>
              <w:right w:val="single" w:sz="4" w:space="0" w:color="auto"/>
            </w:tcBorders>
          </w:tcPr>
          <w:p w14:paraId="64347712" w14:textId="77777777" w:rsidR="000871A1" w:rsidRPr="008109F6" w:rsidRDefault="000871A1" w:rsidP="00A14AF3">
            <w:pPr>
              <w:pStyle w:val="BodyText"/>
              <w:rPr>
                <w:sz w:val="16"/>
                <w:szCs w:val="16"/>
              </w:rPr>
            </w:pPr>
          </w:p>
        </w:tc>
        <w:tc>
          <w:tcPr>
            <w:tcW w:w="1134" w:type="dxa"/>
            <w:tcBorders>
              <w:top w:val="single" w:sz="4" w:space="0" w:color="auto"/>
              <w:left w:val="single" w:sz="4" w:space="0" w:color="auto"/>
              <w:bottom w:val="single" w:sz="4" w:space="0" w:color="auto"/>
              <w:right w:val="single" w:sz="4" w:space="0" w:color="auto"/>
            </w:tcBorders>
          </w:tcPr>
          <w:p w14:paraId="4BC8DC95" w14:textId="77777777" w:rsidR="000871A1" w:rsidRPr="008109F6" w:rsidRDefault="000871A1" w:rsidP="00A14AF3">
            <w:pPr>
              <w:pStyle w:val="BodyText"/>
              <w:rPr>
                <w:sz w:val="16"/>
                <w:szCs w:val="16"/>
              </w:rPr>
            </w:pPr>
            <w:r w:rsidRPr="008109F6">
              <w:rPr>
                <w:sz w:val="16"/>
                <w:szCs w:val="16"/>
              </w:rPr>
              <w:t>Pancreatitis (including necrotising pancreatitis)</w:t>
            </w:r>
          </w:p>
        </w:tc>
      </w:tr>
      <w:tr w:rsidR="000871A1" w:rsidRPr="008109F6" w14:paraId="3C6F5195" w14:textId="77777777" w:rsidTr="00A14AF3">
        <w:trPr>
          <w:trHeight w:val="501"/>
        </w:trPr>
        <w:tc>
          <w:tcPr>
            <w:tcW w:w="1555" w:type="dxa"/>
            <w:tcBorders>
              <w:top w:val="single" w:sz="4" w:space="0" w:color="auto"/>
              <w:left w:val="single" w:sz="4" w:space="0" w:color="auto"/>
              <w:bottom w:val="single" w:sz="4" w:space="0" w:color="auto"/>
              <w:right w:val="single" w:sz="4" w:space="0" w:color="auto"/>
            </w:tcBorders>
          </w:tcPr>
          <w:p w14:paraId="1FE1C418" w14:textId="77777777" w:rsidR="000871A1" w:rsidRPr="008109F6" w:rsidRDefault="000871A1" w:rsidP="00A14AF3">
            <w:pPr>
              <w:pStyle w:val="BodyText"/>
              <w:rPr>
                <w:bCs/>
                <w:sz w:val="16"/>
                <w:szCs w:val="16"/>
              </w:rPr>
            </w:pPr>
            <w:r w:rsidRPr="008109F6">
              <w:rPr>
                <w:bCs/>
                <w:sz w:val="16"/>
                <w:szCs w:val="16"/>
              </w:rPr>
              <w:t>Hepatobiliary disorders</w:t>
            </w:r>
          </w:p>
        </w:tc>
        <w:tc>
          <w:tcPr>
            <w:tcW w:w="992" w:type="dxa"/>
            <w:tcBorders>
              <w:top w:val="single" w:sz="4" w:space="0" w:color="auto"/>
              <w:left w:val="single" w:sz="4" w:space="0" w:color="auto"/>
              <w:bottom w:val="single" w:sz="4" w:space="0" w:color="auto"/>
              <w:right w:val="single" w:sz="4" w:space="0" w:color="auto"/>
            </w:tcBorders>
          </w:tcPr>
          <w:p w14:paraId="332C91E1" w14:textId="77777777" w:rsidR="000871A1" w:rsidRPr="008109F6" w:rsidRDefault="000871A1" w:rsidP="00A14AF3">
            <w:pPr>
              <w:pStyle w:val="BodyText"/>
              <w:rPr>
                <w:sz w:val="16"/>
                <w:szCs w:val="16"/>
              </w:rPr>
            </w:pPr>
          </w:p>
        </w:tc>
        <w:tc>
          <w:tcPr>
            <w:tcW w:w="1701" w:type="dxa"/>
            <w:tcBorders>
              <w:top w:val="single" w:sz="4" w:space="0" w:color="auto"/>
              <w:left w:val="single" w:sz="4" w:space="0" w:color="auto"/>
              <w:bottom w:val="single" w:sz="4" w:space="0" w:color="auto"/>
              <w:right w:val="single" w:sz="4" w:space="0" w:color="auto"/>
            </w:tcBorders>
          </w:tcPr>
          <w:p w14:paraId="4FE53150" w14:textId="77777777" w:rsidR="000871A1" w:rsidRPr="008109F6" w:rsidRDefault="000871A1" w:rsidP="00A14AF3">
            <w:pPr>
              <w:pStyle w:val="BodyText"/>
              <w:rPr>
                <w:sz w:val="16"/>
                <w:szCs w:val="16"/>
              </w:rPr>
            </w:pPr>
          </w:p>
        </w:tc>
        <w:tc>
          <w:tcPr>
            <w:tcW w:w="1134" w:type="dxa"/>
            <w:tcBorders>
              <w:top w:val="single" w:sz="4" w:space="0" w:color="auto"/>
              <w:left w:val="single" w:sz="4" w:space="0" w:color="auto"/>
              <w:bottom w:val="single" w:sz="4" w:space="0" w:color="auto"/>
              <w:right w:val="single" w:sz="4" w:space="0" w:color="auto"/>
            </w:tcBorders>
          </w:tcPr>
          <w:p w14:paraId="26A1BC54" w14:textId="77777777" w:rsidR="000871A1" w:rsidRPr="008109F6" w:rsidRDefault="000871A1" w:rsidP="00A14AF3">
            <w:pPr>
              <w:pStyle w:val="BodyText"/>
              <w:rPr>
                <w:sz w:val="16"/>
                <w:szCs w:val="16"/>
              </w:rPr>
            </w:pPr>
            <w:proofErr w:type="spellStart"/>
            <w:r w:rsidRPr="008109F6">
              <w:rPr>
                <w:sz w:val="16"/>
                <w:szCs w:val="16"/>
              </w:rPr>
              <w:t>Cholelithiasis</w:t>
            </w:r>
            <w:proofErr w:type="spellEnd"/>
          </w:p>
          <w:p w14:paraId="25C2BC6E" w14:textId="77777777" w:rsidR="000871A1" w:rsidRPr="008109F6" w:rsidRDefault="000871A1" w:rsidP="00A14AF3">
            <w:pPr>
              <w:pStyle w:val="BodyText"/>
              <w:rPr>
                <w:sz w:val="16"/>
                <w:szCs w:val="16"/>
              </w:rPr>
            </w:pPr>
            <w:r w:rsidRPr="008109F6">
              <w:rPr>
                <w:sz w:val="16"/>
                <w:szCs w:val="16"/>
              </w:rPr>
              <w:t>Cholecystitis</w:t>
            </w:r>
          </w:p>
        </w:tc>
        <w:tc>
          <w:tcPr>
            <w:tcW w:w="992" w:type="dxa"/>
            <w:tcBorders>
              <w:top w:val="single" w:sz="4" w:space="0" w:color="auto"/>
              <w:left w:val="single" w:sz="4" w:space="0" w:color="auto"/>
              <w:bottom w:val="single" w:sz="4" w:space="0" w:color="auto"/>
              <w:right w:val="single" w:sz="4" w:space="0" w:color="auto"/>
            </w:tcBorders>
          </w:tcPr>
          <w:p w14:paraId="3AC3A09A" w14:textId="77777777" w:rsidR="000871A1" w:rsidRPr="008109F6" w:rsidRDefault="000871A1" w:rsidP="00A14AF3">
            <w:pPr>
              <w:pStyle w:val="BodyText"/>
              <w:rPr>
                <w:sz w:val="16"/>
                <w:szCs w:val="16"/>
              </w:rPr>
            </w:pPr>
          </w:p>
        </w:tc>
        <w:tc>
          <w:tcPr>
            <w:tcW w:w="1134" w:type="dxa"/>
            <w:tcBorders>
              <w:top w:val="single" w:sz="4" w:space="0" w:color="auto"/>
              <w:left w:val="single" w:sz="4" w:space="0" w:color="auto"/>
              <w:bottom w:val="single" w:sz="4" w:space="0" w:color="auto"/>
              <w:right w:val="single" w:sz="4" w:space="0" w:color="auto"/>
            </w:tcBorders>
          </w:tcPr>
          <w:p w14:paraId="7DF50936" w14:textId="77777777" w:rsidR="000871A1" w:rsidRPr="008109F6" w:rsidRDefault="000871A1" w:rsidP="00A14AF3">
            <w:pPr>
              <w:pStyle w:val="BodyText"/>
              <w:rPr>
                <w:sz w:val="16"/>
                <w:szCs w:val="16"/>
              </w:rPr>
            </w:pPr>
          </w:p>
        </w:tc>
      </w:tr>
      <w:tr w:rsidR="000871A1" w:rsidRPr="008109F6" w14:paraId="1E085BBF" w14:textId="77777777" w:rsidTr="00A14AF3">
        <w:trPr>
          <w:trHeight w:val="501"/>
        </w:trPr>
        <w:tc>
          <w:tcPr>
            <w:tcW w:w="1555" w:type="dxa"/>
            <w:tcBorders>
              <w:top w:val="single" w:sz="4" w:space="0" w:color="auto"/>
              <w:left w:val="single" w:sz="4" w:space="0" w:color="auto"/>
              <w:bottom w:val="single" w:sz="4" w:space="0" w:color="auto"/>
              <w:right w:val="single" w:sz="4" w:space="0" w:color="auto"/>
            </w:tcBorders>
          </w:tcPr>
          <w:p w14:paraId="15998970" w14:textId="77777777" w:rsidR="000871A1" w:rsidRPr="008109F6" w:rsidRDefault="000871A1" w:rsidP="00A14AF3">
            <w:pPr>
              <w:pStyle w:val="BodyText"/>
              <w:rPr>
                <w:sz w:val="16"/>
                <w:szCs w:val="16"/>
              </w:rPr>
            </w:pPr>
            <w:r w:rsidRPr="008109F6">
              <w:rPr>
                <w:bCs/>
                <w:sz w:val="16"/>
                <w:szCs w:val="16"/>
              </w:rPr>
              <w:t>Skin and subcutaneous tissue disorder</w:t>
            </w:r>
          </w:p>
        </w:tc>
        <w:tc>
          <w:tcPr>
            <w:tcW w:w="992" w:type="dxa"/>
            <w:tcBorders>
              <w:top w:val="single" w:sz="4" w:space="0" w:color="auto"/>
              <w:left w:val="single" w:sz="4" w:space="0" w:color="auto"/>
              <w:bottom w:val="single" w:sz="4" w:space="0" w:color="auto"/>
              <w:right w:val="single" w:sz="4" w:space="0" w:color="auto"/>
            </w:tcBorders>
          </w:tcPr>
          <w:p w14:paraId="3E3A4C07" w14:textId="77777777" w:rsidR="000871A1" w:rsidRPr="008109F6" w:rsidRDefault="000871A1" w:rsidP="00A14AF3">
            <w:pPr>
              <w:pStyle w:val="BodyText"/>
              <w:rPr>
                <w:sz w:val="16"/>
                <w:szCs w:val="16"/>
              </w:rPr>
            </w:pPr>
          </w:p>
        </w:tc>
        <w:tc>
          <w:tcPr>
            <w:tcW w:w="1701" w:type="dxa"/>
            <w:tcBorders>
              <w:top w:val="single" w:sz="4" w:space="0" w:color="auto"/>
              <w:left w:val="single" w:sz="4" w:space="0" w:color="auto"/>
              <w:bottom w:val="single" w:sz="4" w:space="0" w:color="auto"/>
              <w:right w:val="single" w:sz="4" w:space="0" w:color="auto"/>
            </w:tcBorders>
          </w:tcPr>
          <w:p w14:paraId="5D83872D" w14:textId="77777777" w:rsidR="000871A1" w:rsidRPr="008109F6" w:rsidRDefault="000871A1" w:rsidP="00A14AF3">
            <w:pPr>
              <w:pStyle w:val="BodyText"/>
              <w:rPr>
                <w:sz w:val="16"/>
                <w:szCs w:val="16"/>
              </w:rPr>
            </w:pPr>
            <w:r w:rsidRPr="008109F6">
              <w:rPr>
                <w:sz w:val="16"/>
                <w:szCs w:val="16"/>
              </w:rPr>
              <w:t>Rash</w:t>
            </w:r>
          </w:p>
        </w:tc>
        <w:tc>
          <w:tcPr>
            <w:tcW w:w="1134" w:type="dxa"/>
            <w:tcBorders>
              <w:top w:val="single" w:sz="4" w:space="0" w:color="auto"/>
              <w:left w:val="single" w:sz="4" w:space="0" w:color="auto"/>
              <w:bottom w:val="single" w:sz="4" w:space="0" w:color="auto"/>
              <w:right w:val="single" w:sz="4" w:space="0" w:color="auto"/>
            </w:tcBorders>
          </w:tcPr>
          <w:p w14:paraId="19E5B300" w14:textId="77777777" w:rsidR="000871A1" w:rsidRPr="008109F6" w:rsidRDefault="000871A1" w:rsidP="00A14AF3">
            <w:pPr>
              <w:pStyle w:val="BodyText"/>
              <w:rPr>
                <w:sz w:val="16"/>
                <w:szCs w:val="16"/>
              </w:rPr>
            </w:pPr>
            <w:r w:rsidRPr="008109F6">
              <w:rPr>
                <w:sz w:val="16"/>
                <w:szCs w:val="16"/>
              </w:rPr>
              <w:t>Urticaria</w:t>
            </w:r>
          </w:p>
          <w:p w14:paraId="1C10BED3" w14:textId="77777777" w:rsidR="000871A1" w:rsidRPr="008109F6" w:rsidRDefault="000871A1" w:rsidP="00A14AF3">
            <w:pPr>
              <w:pStyle w:val="BodyText"/>
              <w:rPr>
                <w:sz w:val="16"/>
                <w:szCs w:val="16"/>
              </w:rPr>
            </w:pPr>
            <w:r w:rsidRPr="008109F6">
              <w:rPr>
                <w:sz w:val="16"/>
                <w:szCs w:val="16"/>
              </w:rPr>
              <w:t>Pruritus</w:t>
            </w:r>
          </w:p>
        </w:tc>
        <w:tc>
          <w:tcPr>
            <w:tcW w:w="992" w:type="dxa"/>
            <w:tcBorders>
              <w:top w:val="single" w:sz="4" w:space="0" w:color="auto"/>
              <w:left w:val="single" w:sz="4" w:space="0" w:color="auto"/>
              <w:bottom w:val="single" w:sz="4" w:space="0" w:color="auto"/>
              <w:right w:val="single" w:sz="4" w:space="0" w:color="auto"/>
            </w:tcBorders>
          </w:tcPr>
          <w:p w14:paraId="4975647E" w14:textId="77777777" w:rsidR="000871A1" w:rsidRPr="008109F6" w:rsidRDefault="000871A1" w:rsidP="00A14AF3">
            <w:pPr>
              <w:pStyle w:val="BodyText"/>
              <w:rPr>
                <w:sz w:val="16"/>
                <w:szCs w:val="16"/>
              </w:rPr>
            </w:pPr>
          </w:p>
        </w:tc>
        <w:tc>
          <w:tcPr>
            <w:tcW w:w="1134" w:type="dxa"/>
            <w:tcBorders>
              <w:top w:val="single" w:sz="4" w:space="0" w:color="auto"/>
              <w:left w:val="single" w:sz="4" w:space="0" w:color="auto"/>
              <w:bottom w:val="single" w:sz="4" w:space="0" w:color="auto"/>
              <w:right w:val="single" w:sz="4" w:space="0" w:color="auto"/>
            </w:tcBorders>
          </w:tcPr>
          <w:p w14:paraId="379D0652" w14:textId="77777777" w:rsidR="000871A1" w:rsidRPr="008109F6" w:rsidRDefault="000871A1" w:rsidP="00A14AF3">
            <w:pPr>
              <w:pStyle w:val="BodyText"/>
              <w:rPr>
                <w:sz w:val="16"/>
                <w:szCs w:val="16"/>
              </w:rPr>
            </w:pPr>
          </w:p>
        </w:tc>
      </w:tr>
      <w:tr w:rsidR="000871A1" w:rsidRPr="008109F6" w14:paraId="0F1C2177" w14:textId="77777777" w:rsidTr="00A14AF3">
        <w:trPr>
          <w:trHeight w:val="501"/>
        </w:trPr>
        <w:tc>
          <w:tcPr>
            <w:tcW w:w="1555" w:type="dxa"/>
            <w:tcBorders>
              <w:top w:val="single" w:sz="4" w:space="0" w:color="auto"/>
              <w:left w:val="single" w:sz="4" w:space="0" w:color="auto"/>
              <w:bottom w:val="single" w:sz="4" w:space="0" w:color="auto"/>
              <w:right w:val="single" w:sz="4" w:space="0" w:color="auto"/>
            </w:tcBorders>
          </w:tcPr>
          <w:p w14:paraId="41B46DB4" w14:textId="77777777" w:rsidR="000871A1" w:rsidRPr="008109F6" w:rsidRDefault="000871A1" w:rsidP="00A14AF3">
            <w:pPr>
              <w:pStyle w:val="BodyText"/>
              <w:rPr>
                <w:bCs/>
                <w:sz w:val="16"/>
                <w:szCs w:val="16"/>
              </w:rPr>
            </w:pPr>
            <w:r w:rsidRPr="008109F6">
              <w:rPr>
                <w:bCs/>
                <w:sz w:val="16"/>
                <w:szCs w:val="16"/>
              </w:rPr>
              <w:t>Renal and urinary disorders</w:t>
            </w:r>
          </w:p>
        </w:tc>
        <w:tc>
          <w:tcPr>
            <w:tcW w:w="992" w:type="dxa"/>
            <w:tcBorders>
              <w:top w:val="single" w:sz="4" w:space="0" w:color="auto"/>
              <w:left w:val="single" w:sz="4" w:space="0" w:color="auto"/>
              <w:bottom w:val="single" w:sz="4" w:space="0" w:color="auto"/>
              <w:right w:val="single" w:sz="4" w:space="0" w:color="auto"/>
            </w:tcBorders>
          </w:tcPr>
          <w:p w14:paraId="41E15886" w14:textId="77777777" w:rsidR="000871A1" w:rsidRPr="008109F6" w:rsidRDefault="000871A1" w:rsidP="00A14AF3">
            <w:pPr>
              <w:pStyle w:val="BodyText"/>
              <w:rPr>
                <w:sz w:val="16"/>
                <w:szCs w:val="16"/>
              </w:rPr>
            </w:pPr>
          </w:p>
        </w:tc>
        <w:tc>
          <w:tcPr>
            <w:tcW w:w="1701" w:type="dxa"/>
            <w:tcBorders>
              <w:top w:val="single" w:sz="4" w:space="0" w:color="auto"/>
              <w:left w:val="single" w:sz="4" w:space="0" w:color="auto"/>
              <w:bottom w:val="single" w:sz="4" w:space="0" w:color="auto"/>
              <w:right w:val="single" w:sz="4" w:space="0" w:color="auto"/>
            </w:tcBorders>
          </w:tcPr>
          <w:p w14:paraId="7D0DE71D" w14:textId="77777777" w:rsidR="000871A1" w:rsidRPr="008109F6" w:rsidRDefault="000871A1" w:rsidP="00A14AF3">
            <w:pPr>
              <w:pStyle w:val="BodyText"/>
              <w:rPr>
                <w:sz w:val="16"/>
                <w:szCs w:val="16"/>
              </w:rPr>
            </w:pPr>
          </w:p>
        </w:tc>
        <w:tc>
          <w:tcPr>
            <w:tcW w:w="1134" w:type="dxa"/>
            <w:tcBorders>
              <w:top w:val="single" w:sz="4" w:space="0" w:color="auto"/>
              <w:left w:val="single" w:sz="4" w:space="0" w:color="auto"/>
              <w:bottom w:val="single" w:sz="4" w:space="0" w:color="auto"/>
              <w:right w:val="single" w:sz="4" w:space="0" w:color="auto"/>
            </w:tcBorders>
          </w:tcPr>
          <w:p w14:paraId="19684CF5" w14:textId="77777777" w:rsidR="000871A1" w:rsidRPr="008109F6" w:rsidRDefault="000871A1" w:rsidP="00A14AF3">
            <w:pPr>
              <w:pStyle w:val="BodyText"/>
              <w:rPr>
                <w:sz w:val="16"/>
                <w:szCs w:val="16"/>
              </w:rPr>
            </w:pPr>
            <w:r w:rsidRPr="008109F6">
              <w:rPr>
                <w:sz w:val="16"/>
                <w:szCs w:val="16"/>
              </w:rPr>
              <w:t>Renal impairment</w:t>
            </w:r>
            <w:r w:rsidRPr="008109F6">
              <w:rPr>
                <w:sz w:val="16"/>
                <w:szCs w:val="16"/>
                <w:vertAlign w:val="superscript"/>
              </w:rPr>
              <w:t>#</w:t>
            </w:r>
          </w:p>
          <w:p w14:paraId="515D0B6D" w14:textId="77777777" w:rsidR="000871A1" w:rsidRPr="008109F6" w:rsidRDefault="000871A1" w:rsidP="00A14AF3">
            <w:pPr>
              <w:pStyle w:val="BodyText"/>
              <w:rPr>
                <w:sz w:val="16"/>
                <w:szCs w:val="16"/>
              </w:rPr>
            </w:pPr>
            <w:r w:rsidRPr="008109F6">
              <w:rPr>
                <w:sz w:val="16"/>
                <w:szCs w:val="16"/>
              </w:rPr>
              <w:t>Renal failure acute</w:t>
            </w:r>
            <w:r w:rsidRPr="008109F6">
              <w:rPr>
                <w:sz w:val="16"/>
                <w:szCs w:val="16"/>
                <w:vertAlign w:val="superscript"/>
              </w:rPr>
              <w:t>#</w:t>
            </w:r>
          </w:p>
        </w:tc>
        <w:tc>
          <w:tcPr>
            <w:tcW w:w="992" w:type="dxa"/>
            <w:tcBorders>
              <w:top w:val="single" w:sz="4" w:space="0" w:color="auto"/>
              <w:left w:val="single" w:sz="4" w:space="0" w:color="auto"/>
              <w:bottom w:val="single" w:sz="4" w:space="0" w:color="auto"/>
              <w:right w:val="single" w:sz="4" w:space="0" w:color="auto"/>
            </w:tcBorders>
          </w:tcPr>
          <w:p w14:paraId="798C25D1" w14:textId="77777777" w:rsidR="000871A1" w:rsidRPr="008109F6" w:rsidRDefault="000871A1" w:rsidP="00A14AF3">
            <w:pPr>
              <w:pStyle w:val="BodyText"/>
              <w:rPr>
                <w:sz w:val="16"/>
                <w:szCs w:val="16"/>
              </w:rPr>
            </w:pPr>
          </w:p>
        </w:tc>
        <w:tc>
          <w:tcPr>
            <w:tcW w:w="1134" w:type="dxa"/>
            <w:tcBorders>
              <w:top w:val="single" w:sz="4" w:space="0" w:color="auto"/>
              <w:left w:val="single" w:sz="4" w:space="0" w:color="auto"/>
              <w:bottom w:val="single" w:sz="4" w:space="0" w:color="auto"/>
              <w:right w:val="single" w:sz="4" w:space="0" w:color="auto"/>
            </w:tcBorders>
          </w:tcPr>
          <w:p w14:paraId="1093BF3C" w14:textId="77777777" w:rsidR="000871A1" w:rsidRPr="008109F6" w:rsidRDefault="000871A1" w:rsidP="00A14AF3">
            <w:pPr>
              <w:pStyle w:val="BodyText"/>
              <w:rPr>
                <w:sz w:val="16"/>
                <w:szCs w:val="16"/>
              </w:rPr>
            </w:pPr>
          </w:p>
        </w:tc>
      </w:tr>
      <w:tr w:rsidR="000871A1" w:rsidRPr="008109F6" w14:paraId="0B7C5E88" w14:textId="77777777" w:rsidTr="00A14AF3">
        <w:trPr>
          <w:trHeight w:val="501"/>
        </w:trPr>
        <w:tc>
          <w:tcPr>
            <w:tcW w:w="1555" w:type="dxa"/>
            <w:tcBorders>
              <w:top w:val="single" w:sz="4" w:space="0" w:color="auto"/>
              <w:left w:val="single" w:sz="4" w:space="0" w:color="auto"/>
              <w:bottom w:val="single" w:sz="4" w:space="0" w:color="auto"/>
              <w:right w:val="single" w:sz="4" w:space="0" w:color="auto"/>
            </w:tcBorders>
          </w:tcPr>
          <w:p w14:paraId="453C7C57" w14:textId="77777777" w:rsidR="000871A1" w:rsidRPr="008109F6" w:rsidRDefault="000871A1" w:rsidP="00A14AF3">
            <w:pPr>
              <w:pStyle w:val="BodyText"/>
              <w:rPr>
                <w:sz w:val="16"/>
                <w:szCs w:val="16"/>
              </w:rPr>
            </w:pPr>
            <w:r w:rsidRPr="008109F6">
              <w:rPr>
                <w:bCs/>
                <w:sz w:val="16"/>
                <w:szCs w:val="16"/>
              </w:rPr>
              <w:t>General disorders and administration site conditions</w:t>
            </w:r>
          </w:p>
        </w:tc>
        <w:tc>
          <w:tcPr>
            <w:tcW w:w="992" w:type="dxa"/>
            <w:tcBorders>
              <w:top w:val="single" w:sz="4" w:space="0" w:color="auto"/>
              <w:left w:val="single" w:sz="4" w:space="0" w:color="auto"/>
              <w:bottom w:val="single" w:sz="4" w:space="0" w:color="auto"/>
              <w:right w:val="single" w:sz="4" w:space="0" w:color="auto"/>
            </w:tcBorders>
          </w:tcPr>
          <w:p w14:paraId="3C7AF298" w14:textId="77777777" w:rsidR="000871A1" w:rsidRPr="008109F6" w:rsidRDefault="000871A1" w:rsidP="00A14AF3">
            <w:pPr>
              <w:pStyle w:val="BodyText"/>
              <w:rPr>
                <w:sz w:val="16"/>
                <w:szCs w:val="16"/>
              </w:rPr>
            </w:pPr>
          </w:p>
        </w:tc>
        <w:tc>
          <w:tcPr>
            <w:tcW w:w="1701" w:type="dxa"/>
            <w:tcBorders>
              <w:top w:val="single" w:sz="4" w:space="0" w:color="auto"/>
              <w:left w:val="single" w:sz="4" w:space="0" w:color="auto"/>
              <w:bottom w:val="single" w:sz="4" w:space="0" w:color="auto"/>
              <w:right w:val="single" w:sz="4" w:space="0" w:color="auto"/>
            </w:tcBorders>
          </w:tcPr>
          <w:p w14:paraId="53B974A7" w14:textId="77777777" w:rsidR="000871A1" w:rsidRPr="008109F6" w:rsidRDefault="000871A1" w:rsidP="00A14AF3">
            <w:pPr>
              <w:pStyle w:val="BodyText"/>
              <w:rPr>
                <w:sz w:val="16"/>
                <w:szCs w:val="16"/>
                <w:lang w:val="id-ID"/>
              </w:rPr>
            </w:pPr>
            <w:r w:rsidRPr="008109F6">
              <w:rPr>
                <w:sz w:val="16"/>
                <w:szCs w:val="16"/>
                <w:lang w:val="id-ID"/>
              </w:rPr>
              <w:t>Fatigue</w:t>
            </w:r>
          </w:p>
          <w:p w14:paraId="0CBD16CB" w14:textId="77777777" w:rsidR="000871A1" w:rsidRPr="008109F6" w:rsidRDefault="000871A1" w:rsidP="00A14AF3">
            <w:pPr>
              <w:pStyle w:val="BodyText"/>
              <w:rPr>
                <w:sz w:val="16"/>
                <w:szCs w:val="16"/>
              </w:rPr>
            </w:pPr>
            <w:r w:rsidRPr="008109F6">
              <w:rPr>
                <w:sz w:val="16"/>
                <w:szCs w:val="16"/>
              </w:rPr>
              <w:t>Injection site reactions</w:t>
            </w:r>
          </w:p>
        </w:tc>
        <w:tc>
          <w:tcPr>
            <w:tcW w:w="1134" w:type="dxa"/>
            <w:tcBorders>
              <w:top w:val="single" w:sz="4" w:space="0" w:color="auto"/>
              <w:left w:val="single" w:sz="4" w:space="0" w:color="auto"/>
              <w:bottom w:val="single" w:sz="4" w:space="0" w:color="auto"/>
              <w:right w:val="single" w:sz="4" w:space="0" w:color="auto"/>
            </w:tcBorders>
          </w:tcPr>
          <w:p w14:paraId="4D202158" w14:textId="77777777" w:rsidR="000871A1" w:rsidRPr="008109F6" w:rsidRDefault="000871A1" w:rsidP="00A14AF3">
            <w:pPr>
              <w:pStyle w:val="BodyText"/>
              <w:rPr>
                <w:sz w:val="16"/>
                <w:szCs w:val="16"/>
                <w:lang w:val="id-ID"/>
              </w:rPr>
            </w:pPr>
            <w:r w:rsidRPr="008109F6">
              <w:rPr>
                <w:sz w:val="16"/>
                <w:szCs w:val="16"/>
              </w:rPr>
              <w:t>Malaise</w:t>
            </w:r>
          </w:p>
          <w:p w14:paraId="64ABFE44" w14:textId="77777777" w:rsidR="000871A1" w:rsidRPr="008109F6" w:rsidRDefault="000871A1" w:rsidP="00A14AF3">
            <w:pPr>
              <w:pStyle w:val="BodyText"/>
              <w:rPr>
                <w:sz w:val="16"/>
                <w:szCs w:val="16"/>
              </w:rPr>
            </w:pPr>
          </w:p>
        </w:tc>
        <w:tc>
          <w:tcPr>
            <w:tcW w:w="992" w:type="dxa"/>
            <w:tcBorders>
              <w:top w:val="single" w:sz="4" w:space="0" w:color="auto"/>
              <w:left w:val="single" w:sz="4" w:space="0" w:color="auto"/>
              <w:bottom w:val="single" w:sz="4" w:space="0" w:color="auto"/>
              <w:right w:val="single" w:sz="4" w:space="0" w:color="auto"/>
            </w:tcBorders>
          </w:tcPr>
          <w:p w14:paraId="3546539D" w14:textId="77777777" w:rsidR="000871A1" w:rsidRPr="008109F6" w:rsidRDefault="000871A1" w:rsidP="00A14AF3">
            <w:pPr>
              <w:pStyle w:val="BodyText"/>
              <w:rPr>
                <w:sz w:val="16"/>
                <w:szCs w:val="16"/>
              </w:rPr>
            </w:pPr>
          </w:p>
        </w:tc>
        <w:tc>
          <w:tcPr>
            <w:tcW w:w="1134" w:type="dxa"/>
            <w:tcBorders>
              <w:top w:val="single" w:sz="4" w:space="0" w:color="auto"/>
              <w:left w:val="single" w:sz="4" w:space="0" w:color="auto"/>
              <w:bottom w:val="single" w:sz="4" w:space="0" w:color="auto"/>
              <w:right w:val="single" w:sz="4" w:space="0" w:color="auto"/>
            </w:tcBorders>
          </w:tcPr>
          <w:p w14:paraId="660290DD" w14:textId="77777777" w:rsidR="000871A1" w:rsidRPr="008109F6" w:rsidRDefault="000871A1" w:rsidP="00A14AF3">
            <w:pPr>
              <w:pStyle w:val="BodyText"/>
              <w:rPr>
                <w:sz w:val="16"/>
                <w:szCs w:val="16"/>
              </w:rPr>
            </w:pPr>
          </w:p>
        </w:tc>
      </w:tr>
      <w:tr w:rsidR="000871A1" w:rsidRPr="008109F6" w14:paraId="6BAF862C" w14:textId="77777777" w:rsidTr="00A14AF3">
        <w:trPr>
          <w:trHeight w:val="501"/>
        </w:trPr>
        <w:tc>
          <w:tcPr>
            <w:tcW w:w="1555" w:type="dxa"/>
            <w:tcBorders>
              <w:top w:val="single" w:sz="4" w:space="0" w:color="auto"/>
              <w:left w:val="single" w:sz="4" w:space="0" w:color="auto"/>
              <w:bottom w:val="single" w:sz="4" w:space="0" w:color="auto"/>
              <w:right w:val="single" w:sz="4" w:space="0" w:color="auto"/>
            </w:tcBorders>
          </w:tcPr>
          <w:p w14:paraId="3D433EA1" w14:textId="77777777" w:rsidR="000871A1" w:rsidRPr="008109F6" w:rsidRDefault="000871A1" w:rsidP="00A14AF3">
            <w:pPr>
              <w:pStyle w:val="BodyText"/>
              <w:rPr>
                <w:bCs/>
                <w:sz w:val="16"/>
                <w:szCs w:val="16"/>
                <w:lang w:val="en-US"/>
              </w:rPr>
            </w:pPr>
            <w:r w:rsidRPr="008109F6">
              <w:rPr>
                <w:bCs/>
                <w:sz w:val="16"/>
                <w:szCs w:val="16"/>
                <w:lang w:val="en-US"/>
              </w:rPr>
              <w:t>Investigations</w:t>
            </w:r>
          </w:p>
        </w:tc>
        <w:tc>
          <w:tcPr>
            <w:tcW w:w="992" w:type="dxa"/>
            <w:tcBorders>
              <w:top w:val="single" w:sz="4" w:space="0" w:color="auto"/>
              <w:left w:val="single" w:sz="4" w:space="0" w:color="auto"/>
              <w:bottom w:val="single" w:sz="4" w:space="0" w:color="auto"/>
              <w:right w:val="single" w:sz="4" w:space="0" w:color="auto"/>
            </w:tcBorders>
          </w:tcPr>
          <w:p w14:paraId="57C67B4E" w14:textId="77777777" w:rsidR="000871A1" w:rsidRPr="008109F6" w:rsidRDefault="000871A1" w:rsidP="00A14AF3">
            <w:pPr>
              <w:pStyle w:val="BodyText"/>
              <w:rPr>
                <w:sz w:val="16"/>
                <w:szCs w:val="16"/>
              </w:rPr>
            </w:pPr>
          </w:p>
        </w:tc>
        <w:tc>
          <w:tcPr>
            <w:tcW w:w="1701" w:type="dxa"/>
            <w:tcBorders>
              <w:top w:val="single" w:sz="4" w:space="0" w:color="auto"/>
              <w:left w:val="single" w:sz="4" w:space="0" w:color="auto"/>
              <w:bottom w:val="single" w:sz="4" w:space="0" w:color="auto"/>
              <w:right w:val="single" w:sz="4" w:space="0" w:color="auto"/>
            </w:tcBorders>
          </w:tcPr>
          <w:p w14:paraId="747550D9" w14:textId="77777777" w:rsidR="000871A1" w:rsidRPr="008109F6" w:rsidRDefault="000871A1" w:rsidP="00A14AF3">
            <w:pPr>
              <w:pStyle w:val="BodyText"/>
              <w:rPr>
                <w:sz w:val="16"/>
                <w:szCs w:val="16"/>
              </w:rPr>
            </w:pPr>
            <w:r w:rsidRPr="008109F6">
              <w:rPr>
                <w:sz w:val="16"/>
                <w:szCs w:val="16"/>
              </w:rPr>
              <w:t>Increased lipase**</w:t>
            </w:r>
          </w:p>
          <w:p w14:paraId="53AB9C27" w14:textId="77777777" w:rsidR="000871A1" w:rsidRPr="008109F6" w:rsidRDefault="000871A1" w:rsidP="00A14AF3">
            <w:pPr>
              <w:pStyle w:val="BodyText"/>
              <w:rPr>
                <w:sz w:val="16"/>
                <w:szCs w:val="16"/>
                <w:lang w:val="id-ID"/>
              </w:rPr>
            </w:pPr>
            <w:r w:rsidRPr="008109F6">
              <w:rPr>
                <w:sz w:val="16"/>
                <w:szCs w:val="16"/>
              </w:rPr>
              <w:t>Increased amylase**</w:t>
            </w:r>
          </w:p>
        </w:tc>
        <w:tc>
          <w:tcPr>
            <w:tcW w:w="1134" w:type="dxa"/>
            <w:tcBorders>
              <w:top w:val="single" w:sz="4" w:space="0" w:color="auto"/>
              <w:left w:val="single" w:sz="4" w:space="0" w:color="auto"/>
              <w:bottom w:val="single" w:sz="4" w:space="0" w:color="auto"/>
              <w:right w:val="single" w:sz="4" w:space="0" w:color="auto"/>
            </w:tcBorders>
          </w:tcPr>
          <w:p w14:paraId="79925FA7" w14:textId="77777777" w:rsidR="000871A1" w:rsidRPr="008109F6" w:rsidRDefault="000871A1" w:rsidP="00A14AF3">
            <w:pPr>
              <w:pStyle w:val="BodyText"/>
              <w:rPr>
                <w:sz w:val="16"/>
                <w:szCs w:val="16"/>
              </w:rPr>
            </w:pPr>
          </w:p>
        </w:tc>
        <w:tc>
          <w:tcPr>
            <w:tcW w:w="992" w:type="dxa"/>
            <w:tcBorders>
              <w:top w:val="single" w:sz="4" w:space="0" w:color="auto"/>
              <w:left w:val="single" w:sz="4" w:space="0" w:color="auto"/>
              <w:bottom w:val="single" w:sz="4" w:space="0" w:color="auto"/>
              <w:right w:val="single" w:sz="4" w:space="0" w:color="auto"/>
            </w:tcBorders>
          </w:tcPr>
          <w:p w14:paraId="7F6C818D" w14:textId="77777777" w:rsidR="000871A1" w:rsidRPr="008109F6" w:rsidRDefault="000871A1" w:rsidP="00A14AF3">
            <w:pPr>
              <w:pStyle w:val="BodyText"/>
              <w:rPr>
                <w:sz w:val="16"/>
                <w:szCs w:val="16"/>
              </w:rPr>
            </w:pPr>
          </w:p>
        </w:tc>
        <w:tc>
          <w:tcPr>
            <w:tcW w:w="1134" w:type="dxa"/>
            <w:tcBorders>
              <w:top w:val="single" w:sz="4" w:space="0" w:color="auto"/>
              <w:left w:val="single" w:sz="4" w:space="0" w:color="auto"/>
              <w:bottom w:val="single" w:sz="4" w:space="0" w:color="auto"/>
              <w:right w:val="single" w:sz="4" w:space="0" w:color="auto"/>
            </w:tcBorders>
          </w:tcPr>
          <w:p w14:paraId="00B2F00B" w14:textId="77777777" w:rsidR="000871A1" w:rsidRPr="008109F6" w:rsidRDefault="000871A1" w:rsidP="00A14AF3">
            <w:pPr>
              <w:pStyle w:val="BodyText"/>
              <w:rPr>
                <w:sz w:val="16"/>
                <w:szCs w:val="16"/>
              </w:rPr>
            </w:pPr>
          </w:p>
        </w:tc>
      </w:tr>
    </w:tbl>
    <w:p w14:paraId="7CBA2CF5" w14:textId="77777777" w:rsidR="000871A1" w:rsidRPr="00774CE3" w:rsidRDefault="000871A1" w:rsidP="000871A1">
      <w:pPr>
        <w:pStyle w:val="TableText"/>
        <w:rPr>
          <w:sz w:val="16"/>
          <w:szCs w:val="16"/>
        </w:rPr>
      </w:pPr>
      <w:r w:rsidRPr="00774CE3">
        <w:rPr>
          <w:sz w:val="16"/>
          <w:szCs w:val="16"/>
        </w:rPr>
        <w:t xml:space="preserve">N=2501 </w:t>
      </w:r>
      <w:r w:rsidRPr="00774CE3">
        <w:rPr>
          <w:noProof/>
          <w:sz w:val="16"/>
          <w:szCs w:val="16"/>
        </w:rPr>
        <w:t>Victoza</w:t>
      </w:r>
      <w:r w:rsidRPr="00774CE3">
        <w:rPr>
          <w:sz w:val="16"/>
          <w:szCs w:val="16"/>
        </w:rPr>
        <w:t>-treated subjects in phase 3a trials, except for **</w:t>
      </w:r>
    </w:p>
    <w:p w14:paraId="0D5BBC33" w14:textId="77777777" w:rsidR="000871A1" w:rsidRPr="00774CE3" w:rsidRDefault="000871A1" w:rsidP="000871A1">
      <w:pPr>
        <w:pStyle w:val="TableText"/>
        <w:rPr>
          <w:sz w:val="16"/>
          <w:szCs w:val="16"/>
        </w:rPr>
      </w:pPr>
      <w:r w:rsidRPr="00774CE3">
        <w:rPr>
          <w:sz w:val="16"/>
          <w:szCs w:val="16"/>
        </w:rPr>
        <w:t>* Frequency is very common when used in combination with insulin.</w:t>
      </w:r>
    </w:p>
    <w:p w14:paraId="134FBA7C" w14:textId="77777777" w:rsidR="000871A1" w:rsidRPr="00774CE3" w:rsidRDefault="000871A1" w:rsidP="000871A1">
      <w:pPr>
        <w:pStyle w:val="TableText"/>
        <w:rPr>
          <w:sz w:val="16"/>
          <w:szCs w:val="16"/>
        </w:rPr>
      </w:pPr>
      <w:r w:rsidRPr="00774CE3">
        <w:rPr>
          <w:sz w:val="16"/>
          <w:szCs w:val="16"/>
        </w:rPr>
        <w:t>**</w:t>
      </w:r>
      <w:r w:rsidRPr="00774CE3">
        <w:rPr>
          <w:sz w:val="16"/>
          <w:szCs w:val="16"/>
          <w:vertAlign w:val="superscript"/>
          <w:lang w:val="en-US"/>
        </w:rPr>
        <w:t xml:space="preserve"> </w:t>
      </w:r>
      <w:r w:rsidRPr="00774CE3">
        <w:rPr>
          <w:sz w:val="16"/>
          <w:szCs w:val="16"/>
          <w:lang w:val="en-US"/>
        </w:rPr>
        <w:t>From controlled phase 3b and 4 clinical trials only where these were measured.</w:t>
      </w:r>
    </w:p>
    <w:p w14:paraId="119425F7" w14:textId="74B1E53C" w:rsidR="002B7DD2" w:rsidRDefault="000871A1" w:rsidP="000871A1">
      <w:pPr>
        <w:jc w:val="both"/>
        <w:rPr>
          <w:noProof/>
          <w:sz w:val="22"/>
          <w:szCs w:val="22"/>
        </w:rPr>
      </w:pPr>
      <w:r w:rsidRPr="00774CE3">
        <w:rPr>
          <w:sz w:val="16"/>
          <w:szCs w:val="16"/>
          <w:lang w:val="en-GB"/>
        </w:rPr>
        <w:t># See ‘PRECAUTIONS’</w:t>
      </w:r>
    </w:p>
    <w:p w14:paraId="7B81420E" w14:textId="77777777" w:rsidR="002B7DD2" w:rsidRDefault="002B7DD2" w:rsidP="00416832">
      <w:pPr>
        <w:jc w:val="both"/>
        <w:rPr>
          <w:noProof/>
          <w:sz w:val="22"/>
          <w:szCs w:val="22"/>
        </w:rPr>
      </w:pPr>
    </w:p>
    <w:p w14:paraId="28CFFE4F" w14:textId="68AB4AA4" w:rsidR="002B7DD2" w:rsidRPr="00A14AF3" w:rsidRDefault="00A14AF3" w:rsidP="00416832">
      <w:pPr>
        <w:jc w:val="both"/>
        <w:rPr>
          <w:noProof/>
          <w:sz w:val="22"/>
          <w:szCs w:val="22"/>
        </w:rPr>
      </w:pPr>
      <w:r w:rsidRPr="00A14AF3">
        <w:rPr>
          <w:b/>
          <w:sz w:val="22"/>
          <w:szCs w:val="22"/>
          <w:u w:val="single"/>
        </w:rPr>
        <w:t>Description of selected adverse events</w:t>
      </w:r>
    </w:p>
    <w:p w14:paraId="195FF13E" w14:textId="77777777" w:rsidR="00A14AF3" w:rsidRPr="009B57B6" w:rsidRDefault="00A14AF3" w:rsidP="00A14AF3">
      <w:pPr>
        <w:jc w:val="both"/>
        <w:rPr>
          <w:noProof/>
          <w:sz w:val="22"/>
          <w:szCs w:val="22"/>
          <w:u w:val="single"/>
        </w:rPr>
      </w:pPr>
      <w:r w:rsidRPr="009B57B6">
        <w:rPr>
          <w:noProof/>
          <w:sz w:val="22"/>
          <w:szCs w:val="22"/>
          <w:u w:val="single"/>
        </w:rPr>
        <w:t>Hypoglycaemia</w:t>
      </w:r>
    </w:p>
    <w:p w14:paraId="4E5BF3D7" w14:textId="10B6A634" w:rsidR="002B7DD2" w:rsidRDefault="00A14AF3" w:rsidP="00A14AF3">
      <w:pPr>
        <w:jc w:val="both"/>
        <w:rPr>
          <w:noProof/>
          <w:sz w:val="22"/>
          <w:szCs w:val="22"/>
        </w:rPr>
      </w:pPr>
      <w:r w:rsidRPr="007D2EB5">
        <w:rPr>
          <w:sz w:val="22"/>
          <w:szCs w:val="22"/>
        </w:rPr>
        <w:t xml:space="preserve">Most episodes of confirmed </w:t>
      </w:r>
      <w:proofErr w:type="spellStart"/>
      <w:r w:rsidRPr="007D2EB5">
        <w:rPr>
          <w:sz w:val="22"/>
          <w:szCs w:val="22"/>
        </w:rPr>
        <w:t>hypoglycaemia</w:t>
      </w:r>
      <w:proofErr w:type="spellEnd"/>
      <w:r w:rsidRPr="007D2EB5">
        <w:rPr>
          <w:sz w:val="22"/>
          <w:szCs w:val="22"/>
        </w:rPr>
        <w:t xml:space="preserve"> in clinical studies were minor.</w:t>
      </w:r>
    </w:p>
    <w:p w14:paraId="6FEA344F" w14:textId="77777777" w:rsidR="00A14AF3" w:rsidRDefault="00A14AF3" w:rsidP="00416832">
      <w:pPr>
        <w:jc w:val="both"/>
        <w:rPr>
          <w:iCs/>
          <w:sz w:val="22"/>
          <w:szCs w:val="22"/>
        </w:rPr>
      </w:pPr>
    </w:p>
    <w:p w14:paraId="38A66276" w14:textId="7D5A2CA4" w:rsidR="002B7DD2" w:rsidRDefault="00A14AF3" w:rsidP="00416832">
      <w:pPr>
        <w:jc w:val="both"/>
        <w:rPr>
          <w:noProof/>
          <w:sz w:val="22"/>
          <w:szCs w:val="22"/>
        </w:rPr>
      </w:pPr>
      <w:r w:rsidRPr="007D2EB5">
        <w:rPr>
          <w:iCs/>
          <w:sz w:val="22"/>
          <w:szCs w:val="22"/>
        </w:rPr>
        <w:t xml:space="preserve">No episodes of severe </w:t>
      </w:r>
      <w:proofErr w:type="spellStart"/>
      <w:r w:rsidRPr="007D2EB5">
        <w:rPr>
          <w:iCs/>
          <w:sz w:val="22"/>
          <w:szCs w:val="22"/>
        </w:rPr>
        <w:t>hypoglycaemia</w:t>
      </w:r>
      <w:proofErr w:type="spellEnd"/>
      <w:r w:rsidRPr="007D2EB5">
        <w:rPr>
          <w:iCs/>
          <w:sz w:val="22"/>
          <w:szCs w:val="22"/>
        </w:rPr>
        <w:t xml:space="preserve"> were observed in the study with Victoza used as monotherapy. </w:t>
      </w:r>
      <w:r w:rsidRPr="007D2EB5">
        <w:rPr>
          <w:sz w:val="22"/>
          <w:szCs w:val="22"/>
        </w:rPr>
        <w:t xml:space="preserve">Severe </w:t>
      </w:r>
      <w:proofErr w:type="spellStart"/>
      <w:r w:rsidRPr="007D2EB5">
        <w:rPr>
          <w:sz w:val="22"/>
          <w:szCs w:val="22"/>
        </w:rPr>
        <w:t>hypoglycaemia</w:t>
      </w:r>
      <w:proofErr w:type="spellEnd"/>
      <w:r w:rsidRPr="007D2EB5">
        <w:rPr>
          <w:sz w:val="22"/>
          <w:szCs w:val="22"/>
        </w:rPr>
        <w:t xml:space="preserve"> may occur uncommonly and has primarily been observed when </w:t>
      </w:r>
      <w:r w:rsidRPr="007D2EB5">
        <w:rPr>
          <w:noProof/>
          <w:sz w:val="22"/>
          <w:szCs w:val="22"/>
        </w:rPr>
        <w:t>Victoza</w:t>
      </w:r>
      <w:r w:rsidRPr="007D2EB5">
        <w:rPr>
          <w:iCs/>
          <w:sz w:val="22"/>
          <w:szCs w:val="22"/>
        </w:rPr>
        <w:t xml:space="preserve"> is </w:t>
      </w:r>
      <w:r w:rsidRPr="007D2EB5">
        <w:rPr>
          <w:sz w:val="22"/>
          <w:szCs w:val="22"/>
        </w:rPr>
        <w:t>combined with a sulfonylurea (</w:t>
      </w:r>
      <w:r w:rsidRPr="007D2EB5">
        <w:rPr>
          <w:iCs/>
          <w:sz w:val="22"/>
          <w:szCs w:val="22"/>
        </w:rPr>
        <w:t xml:space="preserve">0.02 events/subject </w:t>
      </w:r>
      <w:proofErr w:type="gramStart"/>
      <w:r w:rsidRPr="007D2EB5">
        <w:rPr>
          <w:iCs/>
          <w:sz w:val="22"/>
          <w:szCs w:val="22"/>
        </w:rPr>
        <w:t>year</w:t>
      </w:r>
      <w:proofErr w:type="gramEnd"/>
      <w:r w:rsidRPr="007D2EB5">
        <w:rPr>
          <w:sz w:val="22"/>
          <w:szCs w:val="22"/>
        </w:rPr>
        <w:t xml:space="preserve">). </w:t>
      </w:r>
      <w:r w:rsidRPr="007D2EB5">
        <w:rPr>
          <w:iCs/>
          <w:sz w:val="22"/>
          <w:szCs w:val="22"/>
        </w:rPr>
        <w:t xml:space="preserve">Very few episodes (0.001 events/subject </w:t>
      </w:r>
      <w:proofErr w:type="gramStart"/>
      <w:r w:rsidRPr="007D2EB5">
        <w:rPr>
          <w:iCs/>
          <w:sz w:val="22"/>
          <w:szCs w:val="22"/>
        </w:rPr>
        <w:t>year</w:t>
      </w:r>
      <w:proofErr w:type="gramEnd"/>
      <w:r w:rsidRPr="007D2EB5">
        <w:rPr>
          <w:iCs/>
          <w:sz w:val="22"/>
          <w:szCs w:val="22"/>
        </w:rPr>
        <w:t xml:space="preserve">) were observed with administration of </w:t>
      </w:r>
      <w:r w:rsidRPr="007D2EB5">
        <w:rPr>
          <w:noProof/>
          <w:sz w:val="22"/>
          <w:szCs w:val="22"/>
        </w:rPr>
        <w:t>Victoza</w:t>
      </w:r>
      <w:r w:rsidRPr="007D2EB5">
        <w:rPr>
          <w:iCs/>
          <w:sz w:val="22"/>
          <w:szCs w:val="22"/>
        </w:rPr>
        <w:t xml:space="preserve"> in combination with a non-sulfonylurea. </w:t>
      </w:r>
      <w:r w:rsidRPr="007D2EB5">
        <w:rPr>
          <w:iCs/>
          <w:sz w:val="22"/>
          <w:szCs w:val="22"/>
          <w:lang w:val="id-ID"/>
        </w:rPr>
        <w:t xml:space="preserve">In the LEADER trial, severe hypoglycaemic episodes were reported at a lower rate with </w:t>
      </w:r>
      <w:r w:rsidRPr="007D2EB5">
        <w:rPr>
          <w:iCs/>
          <w:sz w:val="22"/>
          <w:szCs w:val="22"/>
          <w:lang w:val="en-AU"/>
        </w:rPr>
        <w:t>Victoza</w:t>
      </w:r>
      <w:r w:rsidRPr="007D2EB5">
        <w:rPr>
          <w:iCs/>
          <w:sz w:val="22"/>
          <w:szCs w:val="22"/>
          <w:lang w:val="id-ID"/>
        </w:rPr>
        <w:t xml:space="preserve"> vs placebo (</w:t>
      </w:r>
      <w:r w:rsidRPr="007D2EB5">
        <w:rPr>
          <w:iCs/>
          <w:sz w:val="22"/>
          <w:szCs w:val="22"/>
          <w:lang w:val="en-AU"/>
        </w:rPr>
        <w:t>0.01</w:t>
      </w:r>
      <w:r w:rsidRPr="007D2EB5">
        <w:rPr>
          <w:iCs/>
          <w:sz w:val="22"/>
          <w:szCs w:val="22"/>
          <w:lang w:val="id-ID"/>
        </w:rPr>
        <w:t xml:space="preserve"> vs </w:t>
      </w:r>
      <w:r w:rsidRPr="007D2EB5">
        <w:rPr>
          <w:iCs/>
          <w:sz w:val="22"/>
          <w:szCs w:val="22"/>
          <w:lang w:val="en-AU"/>
        </w:rPr>
        <w:t>0.015</w:t>
      </w:r>
      <w:r w:rsidRPr="007D2EB5">
        <w:rPr>
          <w:iCs/>
          <w:sz w:val="22"/>
          <w:szCs w:val="22"/>
          <w:lang w:val="id-ID"/>
        </w:rPr>
        <w:t> events per patient year; estimated rate ratio 0.69 [0.51 to 0.</w:t>
      </w:r>
      <w:r w:rsidRPr="007D2EB5">
        <w:rPr>
          <w:iCs/>
          <w:sz w:val="22"/>
          <w:szCs w:val="22"/>
        </w:rPr>
        <w:t>93</w:t>
      </w:r>
      <w:r w:rsidRPr="007D2EB5">
        <w:rPr>
          <w:iCs/>
          <w:sz w:val="22"/>
          <w:szCs w:val="22"/>
          <w:lang w:val="id-ID"/>
        </w:rPr>
        <w:t xml:space="preserve">]) (see </w:t>
      </w:r>
      <w:r w:rsidRPr="007D2EB5">
        <w:rPr>
          <w:iCs/>
          <w:sz w:val="22"/>
          <w:szCs w:val="22"/>
        </w:rPr>
        <w:t>CLINICAL TRIALS</w:t>
      </w:r>
      <w:r w:rsidRPr="007D2EB5">
        <w:rPr>
          <w:iCs/>
          <w:sz w:val="22"/>
          <w:szCs w:val="22"/>
          <w:lang w:val="id-ID"/>
        </w:rPr>
        <w:t>).</w:t>
      </w:r>
    </w:p>
    <w:p w14:paraId="621C1D29" w14:textId="77777777" w:rsidR="002B7DD2" w:rsidRDefault="002B7DD2" w:rsidP="00416832">
      <w:pPr>
        <w:jc w:val="both"/>
        <w:rPr>
          <w:noProof/>
          <w:sz w:val="22"/>
          <w:szCs w:val="22"/>
        </w:rPr>
      </w:pPr>
    </w:p>
    <w:p w14:paraId="27521915" w14:textId="524B6385" w:rsidR="002B7DD2" w:rsidRDefault="00A14AF3" w:rsidP="00416832">
      <w:pPr>
        <w:jc w:val="both"/>
        <w:rPr>
          <w:noProof/>
          <w:sz w:val="22"/>
          <w:szCs w:val="22"/>
        </w:rPr>
      </w:pPr>
      <w:r>
        <w:rPr>
          <w:iCs/>
          <w:sz w:val="22"/>
          <w:szCs w:val="22"/>
        </w:rPr>
        <w:t xml:space="preserve">Table 6 presents the </w:t>
      </w:r>
      <w:r>
        <w:rPr>
          <w:sz w:val="22"/>
          <w:szCs w:val="22"/>
          <w:lang w:val="en-GB" w:eastAsia="en-AU"/>
        </w:rPr>
        <w:t>incidence of confirmed hypoglycaemic episodes (number of episodes divided by subject years of exposure).</w:t>
      </w:r>
    </w:p>
    <w:p w14:paraId="4AF4EE07" w14:textId="77777777" w:rsidR="00A14AF3" w:rsidRDefault="00A14AF3" w:rsidP="00416832">
      <w:pPr>
        <w:jc w:val="both"/>
        <w:rPr>
          <w:noProof/>
          <w:sz w:val="22"/>
          <w:szCs w:val="22"/>
        </w:rPr>
      </w:pPr>
    </w:p>
    <w:p w14:paraId="315C720A" w14:textId="0E8CB3AD" w:rsidR="00A14AF3" w:rsidRPr="00A14AF3" w:rsidRDefault="00A14AF3" w:rsidP="00416832">
      <w:pPr>
        <w:jc w:val="both"/>
        <w:rPr>
          <w:b/>
          <w:noProof/>
          <w:sz w:val="22"/>
          <w:szCs w:val="22"/>
        </w:rPr>
      </w:pPr>
      <w:r w:rsidRPr="00A14AF3">
        <w:rPr>
          <w:b/>
          <w:sz w:val="22"/>
          <w:szCs w:val="22"/>
        </w:rPr>
        <w:t>Table 6</w:t>
      </w:r>
      <w:r w:rsidRPr="00A14AF3">
        <w:rPr>
          <w:b/>
          <w:sz w:val="22"/>
          <w:szCs w:val="22"/>
        </w:rPr>
        <w:tab/>
      </w:r>
      <w:r>
        <w:rPr>
          <w:b/>
          <w:sz w:val="22"/>
          <w:szCs w:val="22"/>
        </w:rPr>
        <w:t xml:space="preserve">  </w:t>
      </w:r>
      <w:proofErr w:type="spellStart"/>
      <w:r w:rsidRPr="00A14AF3">
        <w:rPr>
          <w:b/>
          <w:sz w:val="22"/>
          <w:szCs w:val="22"/>
        </w:rPr>
        <w:t>Hypoglycaemia</w:t>
      </w:r>
      <w:proofErr w:type="spellEnd"/>
      <w:r w:rsidRPr="00A14AF3">
        <w:rPr>
          <w:b/>
          <w:sz w:val="22"/>
          <w:szCs w:val="22"/>
        </w:rPr>
        <w:t xml:space="preserve"> in long-term controlled clinical studies of </w:t>
      </w:r>
      <w:r w:rsidRPr="00A14AF3">
        <w:rPr>
          <w:b/>
          <w:noProof/>
          <w:sz w:val="22"/>
          <w:szCs w:val="22"/>
        </w:rPr>
        <w:t>Victoza</w:t>
      </w:r>
      <w:r w:rsidRPr="00A14AF3">
        <w:rPr>
          <w:b/>
          <w:sz w:val="22"/>
          <w:szCs w:val="22"/>
        </w:rPr>
        <w:t xml:space="preserve"> monotherapy or combinations with oral antidiabetic drugs (OAD)*</w:t>
      </w:r>
    </w:p>
    <w:tbl>
      <w:tblPr>
        <w:tblW w:w="7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23"/>
        <w:gridCol w:w="2126"/>
        <w:gridCol w:w="1843"/>
      </w:tblGrid>
      <w:tr w:rsidR="00A14AF3" w:rsidRPr="00AD43A0" w14:paraId="450DC3C1" w14:textId="77777777" w:rsidTr="00A14AF3">
        <w:trPr>
          <w:cantSplit/>
          <w:trHeight w:val="290"/>
        </w:trPr>
        <w:tc>
          <w:tcPr>
            <w:tcW w:w="3823" w:type="dxa"/>
          </w:tcPr>
          <w:p w14:paraId="77B44B10" w14:textId="77777777" w:rsidR="00A14AF3" w:rsidRPr="000F1848" w:rsidRDefault="00A14AF3" w:rsidP="00A14AF3">
            <w:pPr>
              <w:rPr>
                <w:sz w:val="16"/>
                <w:szCs w:val="16"/>
              </w:rPr>
            </w:pPr>
          </w:p>
        </w:tc>
        <w:tc>
          <w:tcPr>
            <w:tcW w:w="3969" w:type="dxa"/>
            <w:gridSpan w:val="2"/>
            <w:tcMar>
              <w:left w:w="57" w:type="dxa"/>
              <w:right w:w="57" w:type="dxa"/>
            </w:tcMar>
          </w:tcPr>
          <w:p w14:paraId="5AB0A098" w14:textId="77777777" w:rsidR="00A14AF3" w:rsidRPr="00AD43A0" w:rsidRDefault="00A14AF3" w:rsidP="00A14AF3">
            <w:pPr>
              <w:keepNext/>
              <w:spacing w:before="100" w:beforeAutospacing="1" w:after="100" w:afterAutospacing="1"/>
              <w:rPr>
                <w:b/>
                <w:sz w:val="16"/>
                <w:szCs w:val="16"/>
              </w:rPr>
            </w:pPr>
            <w:r w:rsidRPr="00AD43A0">
              <w:rPr>
                <w:b/>
                <w:bCs/>
                <w:sz w:val="16"/>
                <w:szCs w:val="16"/>
              </w:rPr>
              <w:t>Number of episodes divided by subject years of exposure</w:t>
            </w:r>
          </w:p>
        </w:tc>
      </w:tr>
      <w:tr w:rsidR="00A14AF3" w:rsidRPr="00AD43A0" w14:paraId="1A721C87" w14:textId="77777777" w:rsidTr="00A14AF3">
        <w:trPr>
          <w:cantSplit/>
        </w:trPr>
        <w:tc>
          <w:tcPr>
            <w:tcW w:w="3823" w:type="dxa"/>
          </w:tcPr>
          <w:p w14:paraId="3C1BA977" w14:textId="77777777" w:rsidR="00A14AF3" w:rsidRPr="000F1848" w:rsidRDefault="00A14AF3" w:rsidP="00A14AF3">
            <w:pPr>
              <w:rPr>
                <w:b/>
                <w:sz w:val="16"/>
                <w:szCs w:val="16"/>
              </w:rPr>
            </w:pPr>
            <w:r w:rsidRPr="000F1848">
              <w:rPr>
                <w:b/>
                <w:sz w:val="16"/>
                <w:szCs w:val="16"/>
              </w:rPr>
              <w:t xml:space="preserve">Monotherapy </w:t>
            </w:r>
          </w:p>
          <w:p w14:paraId="0C4118B8" w14:textId="77777777" w:rsidR="00A14AF3" w:rsidRPr="000F1848" w:rsidRDefault="00A14AF3" w:rsidP="00A14AF3">
            <w:pPr>
              <w:rPr>
                <w:b/>
                <w:sz w:val="16"/>
                <w:szCs w:val="16"/>
              </w:rPr>
            </w:pPr>
            <w:r w:rsidRPr="000F1848">
              <w:rPr>
                <w:b/>
                <w:sz w:val="16"/>
                <w:szCs w:val="16"/>
              </w:rPr>
              <w:t>(LEAD 3)</w:t>
            </w:r>
          </w:p>
        </w:tc>
        <w:tc>
          <w:tcPr>
            <w:tcW w:w="2126" w:type="dxa"/>
            <w:tcBorders>
              <w:bottom w:val="single" w:sz="4" w:space="0" w:color="auto"/>
            </w:tcBorders>
          </w:tcPr>
          <w:p w14:paraId="385E0032" w14:textId="77777777" w:rsidR="00A14AF3" w:rsidRPr="00AD43A0" w:rsidRDefault="00A14AF3" w:rsidP="00A14AF3">
            <w:pPr>
              <w:keepNext/>
              <w:spacing w:before="100" w:beforeAutospacing="1" w:after="100" w:afterAutospacing="1"/>
              <w:rPr>
                <w:b/>
                <w:sz w:val="16"/>
                <w:szCs w:val="16"/>
              </w:rPr>
            </w:pPr>
            <w:r w:rsidRPr="00AD43A0">
              <w:rPr>
                <w:b/>
                <w:sz w:val="16"/>
                <w:szCs w:val="16"/>
              </w:rPr>
              <w:t>Liraglutide</w:t>
            </w:r>
          </w:p>
        </w:tc>
        <w:tc>
          <w:tcPr>
            <w:tcW w:w="1843" w:type="dxa"/>
          </w:tcPr>
          <w:p w14:paraId="093A3E3B" w14:textId="77777777" w:rsidR="00A14AF3" w:rsidRPr="00AD43A0" w:rsidRDefault="00A14AF3" w:rsidP="00A14AF3">
            <w:pPr>
              <w:keepNext/>
              <w:spacing w:before="100" w:beforeAutospacing="1" w:after="100" w:afterAutospacing="1"/>
              <w:rPr>
                <w:b/>
                <w:sz w:val="16"/>
                <w:szCs w:val="16"/>
              </w:rPr>
            </w:pPr>
            <w:r w:rsidRPr="00AD43A0">
              <w:rPr>
                <w:b/>
                <w:sz w:val="16"/>
                <w:szCs w:val="16"/>
              </w:rPr>
              <w:t>Placebo + Sulfonylurea</w:t>
            </w:r>
          </w:p>
        </w:tc>
      </w:tr>
      <w:tr w:rsidR="00A14AF3" w:rsidRPr="00AD43A0" w14:paraId="0944421E" w14:textId="77777777" w:rsidTr="00A14AF3">
        <w:trPr>
          <w:cantSplit/>
        </w:trPr>
        <w:tc>
          <w:tcPr>
            <w:tcW w:w="3823" w:type="dxa"/>
          </w:tcPr>
          <w:p w14:paraId="26BD1846" w14:textId="77777777" w:rsidR="00A14AF3" w:rsidRPr="000F1848" w:rsidRDefault="00A14AF3" w:rsidP="00A14AF3">
            <w:pPr>
              <w:rPr>
                <w:sz w:val="16"/>
                <w:szCs w:val="16"/>
              </w:rPr>
            </w:pPr>
            <w:r w:rsidRPr="000F1848">
              <w:rPr>
                <w:sz w:val="16"/>
                <w:szCs w:val="16"/>
              </w:rPr>
              <w:t>(52 week study)</w:t>
            </w:r>
          </w:p>
        </w:tc>
        <w:tc>
          <w:tcPr>
            <w:tcW w:w="2126" w:type="dxa"/>
            <w:tcBorders>
              <w:bottom w:val="single" w:sz="4" w:space="0" w:color="auto"/>
            </w:tcBorders>
          </w:tcPr>
          <w:p w14:paraId="3F58F5DE" w14:textId="77777777" w:rsidR="00A14AF3" w:rsidRPr="00AD43A0" w:rsidRDefault="00A14AF3" w:rsidP="00A14AF3">
            <w:pPr>
              <w:keepNext/>
              <w:spacing w:before="100" w:beforeAutospacing="1" w:after="100" w:afterAutospacing="1"/>
              <w:rPr>
                <w:sz w:val="16"/>
                <w:szCs w:val="16"/>
              </w:rPr>
            </w:pPr>
            <w:r w:rsidRPr="00AD43A0">
              <w:rPr>
                <w:sz w:val="16"/>
                <w:szCs w:val="16"/>
              </w:rPr>
              <w:t>0.27</w:t>
            </w:r>
          </w:p>
        </w:tc>
        <w:tc>
          <w:tcPr>
            <w:tcW w:w="1843" w:type="dxa"/>
          </w:tcPr>
          <w:p w14:paraId="52DD2794" w14:textId="77777777" w:rsidR="00A14AF3" w:rsidRPr="00AD43A0" w:rsidRDefault="00A14AF3" w:rsidP="00A14AF3">
            <w:pPr>
              <w:keepNext/>
              <w:spacing w:before="100" w:beforeAutospacing="1" w:after="100" w:afterAutospacing="1"/>
              <w:rPr>
                <w:sz w:val="16"/>
                <w:szCs w:val="16"/>
              </w:rPr>
            </w:pPr>
            <w:r w:rsidRPr="00AD43A0">
              <w:rPr>
                <w:sz w:val="16"/>
                <w:szCs w:val="16"/>
              </w:rPr>
              <w:t>1.70</w:t>
            </w:r>
          </w:p>
        </w:tc>
      </w:tr>
      <w:tr w:rsidR="00A14AF3" w:rsidRPr="00AD43A0" w14:paraId="264C21A0" w14:textId="77777777" w:rsidTr="00A14AF3">
        <w:trPr>
          <w:cantSplit/>
        </w:trPr>
        <w:tc>
          <w:tcPr>
            <w:tcW w:w="3823" w:type="dxa"/>
            <w:tcBorders>
              <w:right w:val="nil"/>
            </w:tcBorders>
          </w:tcPr>
          <w:p w14:paraId="1AA93B36" w14:textId="77777777" w:rsidR="00A14AF3" w:rsidRPr="000F1848" w:rsidRDefault="00A14AF3" w:rsidP="00A14AF3">
            <w:pPr>
              <w:rPr>
                <w:i/>
                <w:sz w:val="16"/>
                <w:szCs w:val="16"/>
              </w:rPr>
            </w:pPr>
            <w:r w:rsidRPr="000F1848">
              <w:rPr>
                <w:sz w:val="16"/>
                <w:szCs w:val="16"/>
              </w:rPr>
              <w:t xml:space="preserve">    </w:t>
            </w:r>
          </w:p>
        </w:tc>
        <w:tc>
          <w:tcPr>
            <w:tcW w:w="2126" w:type="dxa"/>
            <w:tcBorders>
              <w:top w:val="single" w:sz="4" w:space="0" w:color="auto"/>
              <w:left w:val="nil"/>
              <w:bottom w:val="single" w:sz="4" w:space="0" w:color="auto"/>
              <w:right w:val="nil"/>
            </w:tcBorders>
          </w:tcPr>
          <w:p w14:paraId="695156F0" w14:textId="77777777" w:rsidR="00A14AF3" w:rsidRPr="00AD43A0" w:rsidRDefault="00A14AF3" w:rsidP="00A14AF3">
            <w:pPr>
              <w:keepNext/>
              <w:spacing w:before="100" w:beforeAutospacing="1" w:after="100" w:afterAutospacing="1"/>
              <w:rPr>
                <w:sz w:val="16"/>
                <w:szCs w:val="16"/>
              </w:rPr>
            </w:pPr>
            <w:r w:rsidRPr="00AD43A0">
              <w:rPr>
                <w:sz w:val="16"/>
                <w:szCs w:val="16"/>
              </w:rPr>
              <w:t xml:space="preserve"> </w:t>
            </w:r>
          </w:p>
        </w:tc>
        <w:tc>
          <w:tcPr>
            <w:tcW w:w="1843" w:type="dxa"/>
            <w:tcBorders>
              <w:left w:val="nil"/>
            </w:tcBorders>
          </w:tcPr>
          <w:p w14:paraId="70812A99" w14:textId="77777777" w:rsidR="00A14AF3" w:rsidRPr="00AD43A0" w:rsidRDefault="00A14AF3" w:rsidP="00A14AF3">
            <w:pPr>
              <w:keepNext/>
              <w:spacing w:before="100" w:beforeAutospacing="1" w:after="100" w:afterAutospacing="1"/>
              <w:rPr>
                <w:sz w:val="16"/>
                <w:szCs w:val="16"/>
              </w:rPr>
            </w:pPr>
            <w:r w:rsidRPr="00AD43A0">
              <w:rPr>
                <w:sz w:val="16"/>
                <w:szCs w:val="16"/>
              </w:rPr>
              <w:t xml:space="preserve"> </w:t>
            </w:r>
          </w:p>
        </w:tc>
      </w:tr>
      <w:tr w:rsidR="00A14AF3" w:rsidRPr="00AD43A0" w14:paraId="551A68C5" w14:textId="77777777" w:rsidTr="00A14AF3">
        <w:trPr>
          <w:cantSplit/>
        </w:trPr>
        <w:tc>
          <w:tcPr>
            <w:tcW w:w="3823" w:type="dxa"/>
          </w:tcPr>
          <w:p w14:paraId="51B2BC22" w14:textId="77777777" w:rsidR="00A14AF3" w:rsidRPr="000F1848" w:rsidRDefault="00A14AF3" w:rsidP="00A14AF3">
            <w:pPr>
              <w:rPr>
                <w:b/>
                <w:sz w:val="16"/>
                <w:szCs w:val="16"/>
              </w:rPr>
            </w:pPr>
            <w:r w:rsidRPr="000F1848">
              <w:rPr>
                <w:b/>
                <w:sz w:val="16"/>
                <w:szCs w:val="16"/>
              </w:rPr>
              <w:t xml:space="preserve">Combination with Metformin </w:t>
            </w:r>
          </w:p>
          <w:p w14:paraId="50E8495B" w14:textId="77777777" w:rsidR="00A14AF3" w:rsidRPr="000F1848" w:rsidRDefault="00A14AF3" w:rsidP="00A14AF3">
            <w:pPr>
              <w:rPr>
                <w:b/>
                <w:sz w:val="16"/>
                <w:szCs w:val="16"/>
              </w:rPr>
            </w:pPr>
            <w:r w:rsidRPr="000F1848">
              <w:rPr>
                <w:b/>
                <w:sz w:val="16"/>
                <w:szCs w:val="16"/>
              </w:rPr>
              <w:t>(LEAD 2)</w:t>
            </w:r>
          </w:p>
        </w:tc>
        <w:tc>
          <w:tcPr>
            <w:tcW w:w="2126" w:type="dxa"/>
            <w:tcBorders>
              <w:top w:val="single" w:sz="4" w:space="0" w:color="auto"/>
              <w:bottom w:val="single" w:sz="4" w:space="0" w:color="auto"/>
            </w:tcBorders>
          </w:tcPr>
          <w:p w14:paraId="7A52FC33" w14:textId="77777777" w:rsidR="00A14AF3" w:rsidRPr="00AD43A0" w:rsidRDefault="00A14AF3" w:rsidP="00A14AF3">
            <w:pPr>
              <w:keepNext/>
              <w:spacing w:before="100" w:beforeAutospacing="1" w:after="100" w:afterAutospacing="1"/>
              <w:rPr>
                <w:b/>
                <w:sz w:val="16"/>
                <w:szCs w:val="16"/>
              </w:rPr>
            </w:pPr>
            <w:r w:rsidRPr="00AD43A0">
              <w:rPr>
                <w:b/>
                <w:sz w:val="16"/>
                <w:szCs w:val="16"/>
              </w:rPr>
              <w:t>Liraglutide + Metformin</w:t>
            </w:r>
          </w:p>
        </w:tc>
        <w:tc>
          <w:tcPr>
            <w:tcW w:w="1843" w:type="dxa"/>
          </w:tcPr>
          <w:p w14:paraId="5CA2300E" w14:textId="77777777" w:rsidR="00A14AF3" w:rsidRPr="00AD43A0" w:rsidRDefault="00A14AF3" w:rsidP="00A14AF3">
            <w:pPr>
              <w:keepNext/>
              <w:spacing w:before="100" w:beforeAutospacing="1" w:after="100" w:afterAutospacing="1"/>
              <w:rPr>
                <w:b/>
                <w:sz w:val="16"/>
                <w:szCs w:val="16"/>
              </w:rPr>
            </w:pPr>
            <w:r w:rsidRPr="00AD43A0">
              <w:rPr>
                <w:b/>
                <w:sz w:val="16"/>
                <w:szCs w:val="16"/>
              </w:rPr>
              <w:t>Metformin + Sulfonylurea</w:t>
            </w:r>
          </w:p>
        </w:tc>
      </w:tr>
      <w:tr w:rsidR="00A14AF3" w:rsidRPr="00AD43A0" w14:paraId="49D0EBD7" w14:textId="77777777" w:rsidTr="00A14AF3">
        <w:trPr>
          <w:cantSplit/>
        </w:trPr>
        <w:tc>
          <w:tcPr>
            <w:tcW w:w="3823" w:type="dxa"/>
          </w:tcPr>
          <w:p w14:paraId="713225AE" w14:textId="77777777" w:rsidR="00A14AF3" w:rsidRPr="000F1848" w:rsidRDefault="00A14AF3" w:rsidP="00A14AF3">
            <w:pPr>
              <w:rPr>
                <w:sz w:val="16"/>
                <w:szCs w:val="16"/>
              </w:rPr>
            </w:pPr>
            <w:r w:rsidRPr="000F1848">
              <w:rPr>
                <w:sz w:val="16"/>
                <w:szCs w:val="16"/>
              </w:rPr>
              <w:t>(26 week study)</w:t>
            </w:r>
          </w:p>
        </w:tc>
        <w:tc>
          <w:tcPr>
            <w:tcW w:w="2126" w:type="dxa"/>
            <w:tcBorders>
              <w:bottom w:val="single" w:sz="4" w:space="0" w:color="auto"/>
            </w:tcBorders>
          </w:tcPr>
          <w:p w14:paraId="2BDC756E" w14:textId="77777777" w:rsidR="00A14AF3" w:rsidRPr="00AD43A0" w:rsidRDefault="00A14AF3" w:rsidP="00A14AF3">
            <w:pPr>
              <w:keepNext/>
              <w:spacing w:before="100" w:beforeAutospacing="1" w:after="100" w:afterAutospacing="1"/>
              <w:rPr>
                <w:sz w:val="16"/>
                <w:szCs w:val="16"/>
              </w:rPr>
            </w:pPr>
            <w:r w:rsidRPr="00AD43A0">
              <w:rPr>
                <w:sz w:val="16"/>
                <w:szCs w:val="16"/>
              </w:rPr>
              <w:t>0.05</w:t>
            </w:r>
          </w:p>
        </w:tc>
        <w:tc>
          <w:tcPr>
            <w:tcW w:w="1843" w:type="dxa"/>
          </w:tcPr>
          <w:p w14:paraId="4391C21F" w14:textId="77777777" w:rsidR="00A14AF3" w:rsidRPr="00AD43A0" w:rsidRDefault="00A14AF3" w:rsidP="00A14AF3">
            <w:pPr>
              <w:keepNext/>
              <w:spacing w:before="100" w:beforeAutospacing="1" w:after="100" w:afterAutospacing="1"/>
              <w:rPr>
                <w:sz w:val="16"/>
                <w:szCs w:val="16"/>
              </w:rPr>
            </w:pPr>
            <w:r w:rsidRPr="00AD43A0">
              <w:rPr>
                <w:sz w:val="16"/>
                <w:szCs w:val="16"/>
              </w:rPr>
              <w:t>0.87</w:t>
            </w:r>
          </w:p>
        </w:tc>
      </w:tr>
      <w:tr w:rsidR="00A14AF3" w:rsidRPr="00AD43A0" w14:paraId="03343A9E" w14:textId="77777777" w:rsidTr="00A14AF3">
        <w:trPr>
          <w:cantSplit/>
        </w:trPr>
        <w:tc>
          <w:tcPr>
            <w:tcW w:w="3823" w:type="dxa"/>
            <w:tcBorders>
              <w:right w:val="nil"/>
            </w:tcBorders>
          </w:tcPr>
          <w:p w14:paraId="6EF46301" w14:textId="77777777" w:rsidR="00A14AF3" w:rsidRPr="000F1848" w:rsidRDefault="00A14AF3" w:rsidP="00A14AF3">
            <w:pPr>
              <w:rPr>
                <w:i/>
                <w:sz w:val="16"/>
                <w:szCs w:val="16"/>
              </w:rPr>
            </w:pPr>
            <w:r w:rsidRPr="000F1848">
              <w:rPr>
                <w:sz w:val="16"/>
                <w:szCs w:val="16"/>
              </w:rPr>
              <w:t xml:space="preserve">    </w:t>
            </w:r>
          </w:p>
        </w:tc>
        <w:tc>
          <w:tcPr>
            <w:tcW w:w="2126" w:type="dxa"/>
            <w:tcBorders>
              <w:top w:val="single" w:sz="4" w:space="0" w:color="auto"/>
              <w:left w:val="nil"/>
              <w:bottom w:val="single" w:sz="4" w:space="0" w:color="auto"/>
              <w:right w:val="nil"/>
            </w:tcBorders>
          </w:tcPr>
          <w:p w14:paraId="30871DA4" w14:textId="77777777" w:rsidR="00A14AF3" w:rsidRPr="00AD43A0" w:rsidRDefault="00A14AF3" w:rsidP="00A14AF3">
            <w:pPr>
              <w:keepNext/>
              <w:spacing w:before="100" w:beforeAutospacing="1" w:after="100" w:afterAutospacing="1"/>
              <w:rPr>
                <w:sz w:val="16"/>
                <w:szCs w:val="16"/>
              </w:rPr>
            </w:pPr>
            <w:r w:rsidRPr="00AD43A0">
              <w:rPr>
                <w:sz w:val="16"/>
                <w:szCs w:val="16"/>
              </w:rPr>
              <w:t xml:space="preserve"> </w:t>
            </w:r>
          </w:p>
        </w:tc>
        <w:tc>
          <w:tcPr>
            <w:tcW w:w="1843" w:type="dxa"/>
            <w:tcBorders>
              <w:left w:val="nil"/>
            </w:tcBorders>
          </w:tcPr>
          <w:p w14:paraId="4A88F538" w14:textId="77777777" w:rsidR="00A14AF3" w:rsidRPr="00AD43A0" w:rsidRDefault="00A14AF3" w:rsidP="00A14AF3">
            <w:pPr>
              <w:keepNext/>
              <w:spacing w:before="100" w:beforeAutospacing="1" w:after="100" w:afterAutospacing="1"/>
              <w:rPr>
                <w:sz w:val="16"/>
                <w:szCs w:val="16"/>
              </w:rPr>
            </w:pPr>
            <w:r w:rsidRPr="00AD43A0">
              <w:rPr>
                <w:sz w:val="16"/>
                <w:szCs w:val="16"/>
              </w:rPr>
              <w:t xml:space="preserve"> </w:t>
            </w:r>
          </w:p>
        </w:tc>
      </w:tr>
      <w:tr w:rsidR="00A14AF3" w:rsidRPr="00AD43A0" w14:paraId="0B411211" w14:textId="77777777" w:rsidTr="00A14AF3">
        <w:trPr>
          <w:cantSplit/>
        </w:trPr>
        <w:tc>
          <w:tcPr>
            <w:tcW w:w="3823" w:type="dxa"/>
          </w:tcPr>
          <w:p w14:paraId="05B967A4" w14:textId="77777777" w:rsidR="00A14AF3" w:rsidRPr="000F1848" w:rsidRDefault="00A14AF3" w:rsidP="00A14AF3">
            <w:pPr>
              <w:rPr>
                <w:b/>
                <w:sz w:val="16"/>
                <w:szCs w:val="16"/>
              </w:rPr>
            </w:pPr>
            <w:r w:rsidRPr="000F1848">
              <w:rPr>
                <w:b/>
                <w:sz w:val="16"/>
                <w:szCs w:val="16"/>
              </w:rPr>
              <w:t xml:space="preserve">Combination with Sulfonylurea </w:t>
            </w:r>
          </w:p>
          <w:p w14:paraId="34C9A073" w14:textId="77777777" w:rsidR="00A14AF3" w:rsidRPr="000F1848" w:rsidRDefault="00A14AF3" w:rsidP="00A14AF3">
            <w:pPr>
              <w:rPr>
                <w:b/>
                <w:sz w:val="16"/>
                <w:szCs w:val="16"/>
              </w:rPr>
            </w:pPr>
            <w:r w:rsidRPr="000F1848">
              <w:rPr>
                <w:b/>
                <w:sz w:val="16"/>
                <w:szCs w:val="16"/>
              </w:rPr>
              <w:t>(LEAD 1)</w:t>
            </w:r>
          </w:p>
        </w:tc>
        <w:tc>
          <w:tcPr>
            <w:tcW w:w="2126" w:type="dxa"/>
            <w:tcBorders>
              <w:top w:val="single" w:sz="4" w:space="0" w:color="auto"/>
              <w:bottom w:val="single" w:sz="4" w:space="0" w:color="auto"/>
            </w:tcBorders>
          </w:tcPr>
          <w:p w14:paraId="361D2A26" w14:textId="77777777" w:rsidR="00A14AF3" w:rsidRPr="00AD43A0" w:rsidRDefault="00A14AF3" w:rsidP="00A14AF3">
            <w:pPr>
              <w:keepNext/>
              <w:spacing w:before="100" w:beforeAutospacing="1" w:after="100" w:afterAutospacing="1"/>
              <w:rPr>
                <w:b/>
                <w:sz w:val="16"/>
                <w:szCs w:val="16"/>
              </w:rPr>
            </w:pPr>
            <w:r w:rsidRPr="00AD43A0">
              <w:rPr>
                <w:b/>
                <w:sz w:val="16"/>
                <w:szCs w:val="16"/>
              </w:rPr>
              <w:t>Liraglutide + Sulfonylurea</w:t>
            </w:r>
          </w:p>
        </w:tc>
        <w:tc>
          <w:tcPr>
            <w:tcW w:w="1843" w:type="dxa"/>
          </w:tcPr>
          <w:p w14:paraId="17E6C5DB" w14:textId="77777777" w:rsidR="00A14AF3" w:rsidRPr="00AD43A0" w:rsidRDefault="00A14AF3" w:rsidP="00A14AF3">
            <w:pPr>
              <w:keepNext/>
              <w:spacing w:before="100" w:beforeAutospacing="1" w:after="100" w:afterAutospacing="1"/>
              <w:rPr>
                <w:b/>
                <w:sz w:val="16"/>
                <w:szCs w:val="16"/>
              </w:rPr>
            </w:pPr>
            <w:r w:rsidRPr="00AD43A0">
              <w:rPr>
                <w:b/>
                <w:sz w:val="16"/>
                <w:szCs w:val="16"/>
              </w:rPr>
              <w:t>Sulfonylurea + Rosiglitazone</w:t>
            </w:r>
          </w:p>
        </w:tc>
      </w:tr>
      <w:tr w:rsidR="00A14AF3" w:rsidRPr="00AD43A0" w14:paraId="3EA8547E" w14:textId="77777777" w:rsidTr="00A14AF3">
        <w:trPr>
          <w:cantSplit/>
        </w:trPr>
        <w:tc>
          <w:tcPr>
            <w:tcW w:w="3823" w:type="dxa"/>
          </w:tcPr>
          <w:p w14:paraId="5A5ECFCB" w14:textId="77777777" w:rsidR="00A14AF3" w:rsidRPr="000F1848" w:rsidRDefault="00A14AF3" w:rsidP="00A14AF3">
            <w:pPr>
              <w:rPr>
                <w:sz w:val="16"/>
                <w:szCs w:val="16"/>
              </w:rPr>
            </w:pPr>
            <w:r w:rsidRPr="000F1848">
              <w:rPr>
                <w:sz w:val="16"/>
                <w:szCs w:val="16"/>
              </w:rPr>
              <w:t>(26 week study)</w:t>
            </w:r>
          </w:p>
        </w:tc>
        <w:tc>
          <w:tcPr>
            <w:tcW w:w="2126" w:type="dxa"/>
            <w:tcBorders>
              <w:bottom w:val="single" w:sz="4" w:space="0" w:color="auto"/>
            </w:tcBorders>
          </w:tcPr>
          <w:p w14:paraId="025692BD" w14:textId="77777777" w:rsidR="00A14AF3" w:rsidRPr="00AD43A0" w:rsidRDefault="00A14AF3" w:rsidP="00A14AF3">
            <w:pPr>
              <w:keepNext/>
              <w:spacing w:before="100" w:beforeAutospacing="1" w:after="100" w:afterAutospacing="1"/>
              <w:rPr>
                <w:sz w:val="16"/>
                <w:szCs w:val="16"/>
              </w:rPr>
            </w:pPr>
            <w:r w:rsidRPr="00AD43A0">
              <w:rPr>
                <w:sz w:val="16"/>
                <w:szCs w:val="16"/>
              </w:rPr>
              <w:t>0.43</w:t>
            </w:r>
          </w:p>
        </w:tc>
        <w:tc>
          <w:tcPr>
            <w:tcW w:w="1843" w:type="dxa"/>
          </w:tcPr>
          <w:p w14:paraId="4E481707" w14:textId="77777777" w:rsidR="00A14AF3" w:rsidRPr="00AD43A0" w:rsidRDefault="00A14AF3" w:rsidP="00A14AF3">
            <w:pPr>
              <w:keepNext/>
              <w:spacing w:before="100" w:beforeAutospacing="1" w:after="100" w:afterAutospacing="1"/>
              <w:rPr>
                <w:sz w:val="16"/>
                <w:szCs w:val="16"/>
              </w:rPr>
            </w:pPr>
            <w:r w:rsidRPr="00AD43A0">
              <w:rPr>
                <w:sz w:val="16"/>
                <w:szCs w:val="16"/>
              </w:rPr>
              <w:t>0.14</w:t>
            </w:r>
          </w:p>
        </w:tc>
      </w:tr>
      <w:tr w:rsidR="00A14AF3" w:rsidRPr="00AD43A0" w14:paraId="15FAD30D" w14:textId="77777777" w:rsidTr="00A14AF3">
        <w:trPr>
          <w:cantSplit/>
        </w:trPr>
        <w:tc>
          <w:tcPr>
            <w:tcW w:w="3823" w:type="dxa"/>
            <w:tcBorders>
              <w:right w:val="nil"/>
            </w:tcBorders>
          </w:tcPr>
          <w:p w14:paraId="5ABE344C" w14:textId="77777777" w:rsidR="00A14AF3" w:rsidRPr="000F1848" w:rsidRDefault="00A14AF3" w:rsidP="00A14AF3">
            <w:pPr>
              <w:rPr>
                <w:i/>
                <w:sz w:val="16"/>
                <w:szCs w:val="16"/>
              </w:rPr>
            </w:pPr>
          </w:p>
        </w:tc>
        <w:tc>
          <w:tcPr>
            <w:tcW w:w="2126" w:type="dxa"/>
            <w:tcBorders>
              <w:top w:val="single" w:sz="4" w:space="0" w:color="auto"/>
              <w:left w:val="nil"/>
              <w:bottom w:val="single" w:sz="4" w:space="0" w:color="auto"/>
              <w:right w:val="nil"/>
            </w:tcBorders>
          </w:tcPr>
          <w:p w14:paraId="4DE92F3C" w14:textId="77777777" w:rsidR="00A14AF3" w:rsidRPr="00AD43A0" w:rsidRDefault="00A14AF3" w:rsidP="00A14AF3">
            <w:pPr>
              <w:keepNext/>
              <w:spacing w:before="100" w:beforeAutospacing="1" w:after="100" w:afterAutospacing="1"/>
              <w:rPr>
                <w:sz w:val="16"/>
                <w:szCs w:val="16"/>
              </w:rPr>
            </w:pPr>
            <w:r w:rsidRPr="00AD43A0">
              <w:rPr>
                <w:sz w:val="16"/>
                <w:szCs w:val="16"/>
              </w:rPr>
              <w:t xml:space="preserve"> </w:t>
            </w:r>
          </w:p>
        </w:tc>
        <w:tc>
          <w:tcPr>
            <w:tcW w:w="1843" w:type="dxa"/>
            <w:tcBorders>
              <w:left w:val="nil"/>
            </w:tcBorders>
          </w:tcPr>
          <w:p w14:paraId="05C5F2A8" w14:textId="77777777" w:rsidR="00A14AF3" w:rsidRPr="00AD43A0" w:rsidRDefault="00A14AF3" w:rsidP="00A14AF3">
            <w:pPr>
              <w:keepNext/>
              <w:spacing w:before="100" w:beforeAutospacing="1" w:after="100" w:afterAutospacing="1"/>
              <w:rPr>
                <w:sz w:val="16"/>
                <w:szCs w:val="16"/>
              </w:rPr>
            </w:pPr>
            <w:r w:rsidRPr="00AD43A0">
              <w:rPr>
                <w:sz w:val="16"/>
                <w:szCs w:val="16"/>
              </w:rPr>
              <w:t xml:space="preserve"> </w:t>
            </w:r>
          </w:p>
        </w:tc>
      </w:tr>
      <w:tr w:rsidR="00A14AF3" w:rsidRPr="00AD43A0" w14:paraId="2E6DD8E6" w14:textId="77777777" w:rsidTr="00A14AF3">
        <w:trPr>
          <w:cantSplit/>
        </w:trPr>
        <w:tc>
          <w:tcPr>
            <w:tcW w:w="3823" w:type="dxa"/>
          </w:tcPr>
          <w:p w14:paraId="527F6028" w14:textId="77777777" w:rsidR="00A14AF3" w:rsidRPr="000F1848" w:rsidRDefault="00A14AF3" w:rsidP="00A14AF3">
            <w:pPr>
              <w:rPr>
                <w:b/>
                <w:sz w:val="16"/>
                <w:szCs w:val="16"/>
              </w:rPr>
            </w:pPr>
            <w:r w:rsidRPr="000F1848">
              <w:rPr>
                <w:b/>
                <w:sz w:val="16"/>
                <w:szCs w:val="16"/>
              </w:rPr>
              <w:t>Combination with Metformin + Rosiglitazone (LEAD 4)</w:t>
            </w:r>
          </w:p>
        </w:tc>
        <w:tc>
          <w:tcPr>
            <w:tcW w:w="2126" w:type="dxa"/>
            <w:tcBorders>
              <w:top w:val="single" w:sz="4" w:space="0" w:color="auto"/>
              <w:bottom w:val="single" w:sz="4" w:space="0" w:color="auto"/>
            </w:tcBorders>
          </w:tcPr>
          <w:p w14:paraId="7B98AE7A" w14:textId="77777777" w:rsidR="00A14AF3" w:rsidRPr="00AD43A0" w:rsidRDefault="00A14AF3" w:rsidP="00A14AF3">
            <w:pPr>
              <w:keepNext/>
              <w:spacing w:before="100" w:beforeAutospacing="1" w:after="100" w:afterAutospacing="1"/>
              <w:rPr>
                <w:b/>
                <w:sz w:val="16"/>
                <w:szCs w:val="16"/>
              </w:rPr>
            </w:pPr>
            <w:r w:rsidRPr="00AD43A0">
              <w:rPr>
                <w:b/>
                <w:sz w:val="16"/>
                <w:szCs w:val="16"/>
              </w:rPr>
              <w:t>Liraglutide + Metformin + Rosiglitazone</w:t>
            </w:r>
          </w:p>
        </w:tc>
        <w:tc>
          <w:tcPr>
            <w:tcW w:w="1843" w:type="dxa"/>
          </w:tcPr>
          <w:p w14:paraId="2B6A7742" w14:textId="77777777" w:rsidR="00A14AF3" w:rsidRPr="00AD43A0" w:rsidRDefault="00A14AF3" w:rsidP="00A14AF3">
            <w:pPr>
              <w:keepNext/>
              <w:spacing w:before="100" w:beforeAutospacing="1" w:after="100" w:afterAutospacing="1"/>
              <w:rPr>
                <w:b/>
                <w:sz w:val="16"/>
                <w:szCs w:val="16"/>
              </w:rPr>
            </w:pPr>
            <w:r w:rsidRPr="00AD43A0">
              <w:rPr>
                <w:b/>
                <w:sz w:val="16"/>
                <w:szCs w:val="16"/>
              </w:rPr>
              <w:t>Placebo + Metformin + Rosiglitazone</w:t>
            </w:r>
          </w:p>
        </w:tc>
      </w:tr>
      <w:tr w:rsidR="00A14AF3" w:rsidRPr="00AD43A0" w14:paraId="5A322522" w14:textId="77777777" w:rsidTr="00A14AF3">
        <w:trPr>
          <w:cantSplit/>
        </w:trPr>
        <w:tc>
          <w:tcPr>
            <w:tcW w:w="3823" w:type="dxa"/>
          </w:tcPr>
          <w:p w14:paraId="4726B2B1" w14:textId="77777777" w:rsidR="00A14AF3" w:rsidRPr="000F1848" w:rsidRDefault="00A14AF3" w:rsidP="00A14AF3">
            <w:pPr>
              <w:rPr>
                <w:sz w:val="16"/>
                <w:szCs w:val="16"/>
              </w:rPr>
            </w:pPr>
            <w:r w:rsidRPr="000F1848">
              <w:rPr>
                <w:sz w:val="16"/>
                <w:szCs w:val="16"/>
              </w:rPr>
              <w:t>(26 week study)</w:t>
            </w:r>
          </w:p>
        </w:tc>
        <w:tc>
          <w:tcPr>
            <w:tcW w:w="2126" w:type="dxa"/>
            <w:tcBorders>
              <w:bottom w:val="single" w:sz="4" w:space="0" w:color="auto"/>
            </w:tcBorders>
          </w:tcPr>
          <w:p w14:paraId="32A2008D" w14:textId="77777777" w:rsidR="00A14AF3" w:rsidRPr="00AD43A0" w:rsidRDefault="00A14AF3" w:rsidP="00A14AF3">
            <w:pPr>
              <w:keepNext/>
              <w:spacing w:before="100" w:beforeAutospacing="1" w:after="100" w:afterAutospacing="1"/>
              <w:rPr>
                <w:sz w:val="16"/>
                <w:szCs w:val="16"/>
              </w:rPr>
            </w:pPr>
            <w:r w:rsidRPr="00AD43A0">
              <w:rPr>
                <w:sz w:val="16"/>
                <w:szCs w:val="16"/>
              </w:rPr>
              <w:t>0.50</w:t>
            </w:r>
          </w:p>
        </w:tc>
        <w:tc>
          <w:tcPr>
            <w:tcW w:w="1843" w:type="dxa"/>
          </w:tcPr>
          <w:p w14:paraId="0BFBE94F" w14:textId="77777777" w:rsidR="00A14AF3" w:rsidRPr="00AD43A0" w:rsidRDefault="00A14AF3" w:rsidP="00A14AF3">
            <w:pPr>
              <w:keepNext/>
              <w:spacing w:before="100" w:beforeAutospacing="1" w:after="100" w:afterAutospacing="1"/>
              <w:rPr>
                <w:sz w:val="16"/>
                <w:szCs w:val="16"/>
              </w:rPr>
            </w:pPr>
            <w:r w:rsidRPr="00AD43A0">
              <w:rPr>
                <w:sz w:val="16"/>
                <w:szCs w:val="16"/>
              </w:rPr>
              <w:t>0.18</w:t>
            </w:r>
          </w:p>
        </w:tc>
      </w:tr>
      <w:tr w:rsidR="00A14AF3" w:rsidRPr="00AD43A0" w14:paraId="303731FE" w14:textId="77777777" w:rsidTr="00A14AF3">
        <w:trPr>
          <w:cantSplit/>
        </w:trPr>
        <w:tc>
          <w:tcPr>
            <w:tcW w:w="3823" w:type="dxa"/>
            <w:tcBorders>
              <w:right w:val="nil"/>
            </w:tcBorders>
          </w:tcPr>
          <w:p w14:paraId="50C77459" w14:textId="77777777" w:rsidR="00A14AF3" w:rsidRPr="000F1848" w:rsidRDefault="00A14AF3" w:rsidP="00A14AF3">
            <w:pPr>
              <w:rPr>
                <w:sz w:val="16"/>
                <w:szCs w:val="16"/>
              </w:rPr>
            </w:pPr>
          </w:p>
        </w:tc>
        <w:tc>
          <w:tcPr>
            <w:tcW w:w="2126" w:type="dxa"/>
            <w:tcBorders>
              <w:top w:val="single" w:sz="4" w:space="0" w:color="auto"/>
              <w:left w:val="nil"/>
              <w:bottom w:val="single" w:sz="4" w:space="0" w:color="auto"/>
              <w:right w:val="nil"/>
            </w:tcBorders>
          </w:tcPr>
          <w:p w14:paraId="0EC762DC" w14:textId="77777777" w:rsidR="00A14AF3" w:rsidRPr="00AD43A0" w:rsidRDefault="00A14AF3" w:rsidP="00A14AF3">
            <w:pPr>
              <w:keepNext/>
              <w:spacing w:before="100" w:beforeAutospacing="1" w:after="100" w:afterAutospacing="1"/>
              <w:rPr>
                <w:sz w:val="16"/>
                <w:szCs w:val="16"/>
              </w:rPr>
            </w:pPr>
          </w:p>
        </w:tc>
        <w:tc>
          <w:tcPr>
            <w:tcW w:w="1843" w:type="dxa"/>
            <w:tcBorders>
              <w:left w:val="nil"/>
            </w:tcBorders>
          </w:tcPr>
          <w:p w14:paraId="12285450" w14:textId="77777777" w:rsidR="00A14AF3" w:rsidRPr="00AD43A0" w:rsidRDefault="00A14AF3" w:rsidP="00A14AF3">
            <w:pPr>
              <w:keepNext/>
              <w:spacing w:before="100" w:beforeAutospacing="1" w:after="100" w:afterAutospacing="1"/>
              <w:rPr>
                <w:sz w:val="16"/>
                <w:szCs w:val="16"/>
              </w:rPr>
            </w:pPr>
          </w:p>
        </w:tc>
      </w:tr>
      <w:tr w:rsidR="00A14AF3" w:rsidRPr="00AD43A0" w14:paraId="2D440DF2" w14:textId="77777777" w:rsidTr="00A14AF3">
        <w:trPr>
          <w:cantSplit/>
        </w:trPr>
        <w:tc>
          <w:tcPr>
            <w:tcW w:w="3823" w:type="dxa"/>
          </w:tcPr>
          <w:p w14:paraId="5085A833" w14:textId="77777777" w:rsidR="00A14AF3" w:rsidRPr="000F1848" w:rsidRDefault="00A14AF3" w:rsidP="00A14AF3">
            <w:pPr>
              <w:rPr>
                <w:b/>
                <w:sz w:val="16"/>
                <w:szCs w:val="16"/>
              </w:rPr>
            </w:pPr>
            <w:r w:rsidRPr="000F1848">
              <w:rPr>
                <w:b/>
                <w:sz w:val="16"/>
                <w:szCs w:val="16"/>
              </w:rPr>
              <w:t>Combination with Metformin + Sulfonylurea</w:t>
            </w:r>
          </w:p>
          <w:p w14:paraId="32929EF2" w14:textId="77777777" w:rsidR="00A14AF3" w:rsidRPr="000F1848" w:rsidRDefault="00A14AF3" w:rsidP="00A14AF3">
            <w:pPr>
              <w:rPr>
                <w:sz w:val="16"/>
                <w:szCs w:val="16"/>
              </w:rPr>
            </w:pPr>
            <w:r w:rsidRPr="000F1848">
              <w:rPr>
                <w:b/>
                <w:sz w:val="16"/>
                <w:szCs w:val="16"/>
              </w:rPr>
              <w:t>(LEAD 5)</w:t>
            </w:r>
          </w:p>
        </w:tc>
        <w:tc>
          <w:tcPr>
            <w:tcW w:w="2126" w:type="dxa"/>
            <w:tcBorders>
              <w:top w:val="single" w:sz="4" w:space="0" w:color="auto"/>
            </w:tcBorders>
          </w:tcPr>
          <w:p w14:paraId="3DE86B67" w14:textId="77777777" w:rsidR="00A14AF3" w:rsidRPr="00AD43A0" w:rsidRDefault="00A14AF3" w:rsidP="00A14AF3">
            <w:pPr>
              <w:keepNext/>
              <w:spacing w:before="100" w:beforeAutospacing="1" w:after="100" w:afterAutospacing="1"/>
              <w:rPr>
                <w:sz w:val="16"/>
                <w:szCs w:val="16"/>
              </w:rPr>
            </w:pPr>
            <w:r w:rsidRPr="00AD43A0">
              <w:rPr>
                <w:b/>
                <w:sz w:val="16"/>
                <w:szCs w:val="16"/>
              </w:rPr>
              <w:t>Liraglutide + Metformin + Sulfonylurea</w:t>
            </w:r>
          </w:p>
        </w:tc>
        <w:tc>
          <w:tcPr>
            <w:tcW w:w="1843" w:type="dxa"/>
          </w:tcPr>
          <w:p w14:paraId="186D1ED2" w14:textId="77777777" w:rsidR="00A14AF3" w:rsidRPr="00AD43A0" w:rsidRDefault="00A14AF3" w:rsidP="00A14AF3">
            <w:pPr>
              <w:keepNext/>
              <w:spacing w:before="100" w:beforeAutospacing="1" w:after="100" w:afterAutospacing="1"/>
              <w:rPr>
                <w:sz w:val="16"/>
                <w:szCs w:val="16"/>
              </w:rPr>
            </w:pPr>
            <w:r w:rsidRPr="00AD43A0">
              <w:rPr>
                <w:b/>
                <w:sz w:val="16"/>
                <w:szCs w:val="16"/>
              </w:rPr>
              <w:t>Insulin glargine +   Metformin + Sulfonylurea</w:t>
            </w:r>
          </w:p>
        </w:tc>
      </w:tr>
      <w:tr w:rsidR="00A14AF3" w:rsidRPr="00AD43A0" w14:paraId="2081C3E6" w14:textId="77777777" w:rsidTr="00A14AF3">
        <w:trPr>
          <w:cantSplit/>
        </w:trPr>
        <w:tc>
          <w:tcPr>
            <w:tcW w:w="3823" w:type="dxa"/>
          </w:tcPr>
          <w:p w14:paraId="26D7C479" w14:textId="77777777" w:rsidR="00A14AF3" w:rsidRPr="000F1848" w:rsidRDefault="00A14AF3" w:rsidP="00A14AF3">
            <w:pPr>
              <w:rPr>
                <w:sz w:val="16"/>
                <w:szCs w:val="16"/>
              </w:rPr>
            </w:pPr>
            <w:r w:rsidRPr="000F1848">
              <w:rPr>
                <w:sz w:val="16"/>
                <w:szCs w:val="16"/>
              </w:rPr>
              <w:t>(26 week study)</w:t>
            </w:r>
          </w:p>
        </w:tc>
        <w:tc>
          <w:tcPr>
            <w:tcW w:w="2126" w:type="dxa"/>
          </w:tcPr>
          <w:p w14:paraId="3E991B57" w14:textId="77777777" w:rsidR="00A14AF3" w:rsidRPr="00AD43A0" w:rsidRDefault="00A14AF3" w:rsidP="00A14AF3">
            <w:pPr>
              <w:keepNext/>
              <w:spacing w:before="100" w:beforeAutospacing="1" w:after="100" w:afterAutospacing="1"/>
              <w:rPr>
                <w:sz w:val="16"/>
                <w:szCs w:val="16"/>
              </w:rPr>
            </w:pPr>
            <w:r w:rsidRPr="00AD43A0">
              <w:rPr>
                <w:sz w:val="16"/>
                <w:szCs w:val="16"/>
              </w:rPr>
              <w:t>1.21</w:t>
            </w:r>
          </w:p>
        </w:tc>
        <w:tc>
          <w:tcPr>
            <w:tcW w:w="1843" w:type="dxa"/>
          </w:tcPr>
          <w:p w14:paraId="12BABA17" w14:textId="77777777" w:rsidR="00A14AF3" w:rsidRPr="00AD43A0" w:rsidRDefault="00A14AF3" w:rsidP="00A14AF3">
            <w:pPr>
              <w:keepNext/>
              <w:spacing w:before="100" w:beforeAutospacing="1" w:after="100" w:afterAutospacing="1"/>
              <w:rPr>
                <w:sz w:val="16"/>
                <w:szCs w:val="16"/>
              </w:rPr>
            </w:pPr>
            <w:r w:rsidRPr="00AD43A0">
              <w:rPr>
                <w:sz w:val="16"/>
                <w:szCs w:val="16"/>
              </w:rPr>
              <w:t>1.33</w:t>
            </w:r>
          </w:p>
        </w:tc>
      </w:tr>
    </w:tbl>
    <w:p w14:paraId="6390E4E9" w14:textId="77777777" w:rsidR="00A14AF3" w:rsidRPr="000F1848" w:rsidRDefault="00A14AF3" w:rsidP="00A14AF3">
      <w:pPr>
        <w:rPr>
          <w:noProof/>
          <w:sz w:val="16"/>
          <w:szCs w:val="16"/>
        </w:rPr>
      </w:pPr>
      <w:r w:rsidRPr="000F1848">
        <w:rPr>
          <w:noProof/>
          <w:sz w:val="16"/>
          <w:szCs w:val="16"/>
        </w:rPr>
        <w:t>*Phase 3a trials only i.e. not including LEADER phase 3b cardiovascular outcomes trial</w:t>
      </w:r>
    </w:p>
    <w:p w14:paraId="48AABD7F" w14:textId="77777777" w:rsidR="00A14AF3" w:rsidRPr="00BF613A" w:rsidRDefault="00A14AF3" w:rsidP="00A14AF3">
      <w:pPr>
        <w:rPr>
          <w:lang w:val="en-GB"/>
        </w:rPr>
      </w:pPr>
    </w:p>
    <w:p w14:paraId="59349ED5" w14:textId="77777777" w:rsidR="00A14AF3" w:rsidRPr="009B57B6" w:rsidRDefault="00A14AF3" w:rsidP="00A14AF3">
      <w:pPr>
        <w:jc w:val="both"/>
        <w:rPr>
          <w:noProof/>
          <w:sz w:val="22"/>
          <w:szCs w:val="22"/>
          <w:u w:val="single"/>
        </w:rPr>
      </w:pPr>
      <w:r w:rsidRPr="009B57B6">
        <w:rPr>
          <w:noProof/>
          <w:sz w:val="22"/>
          <w:szCs w:val="22"/>
          <w:u w:val="single"/>
        </w:rPr>
        <w:t>Gastrointestinal adverse events</w:t>
      </w:r>
    </w:p>
    <w:p w14:paraId="428FA7E6" w14:textId="52BE2838" w:rsidR="00A14AF3" w:rsidRDefault="00A14AF3" w:rsidP="00A14AF3">
      <w:pPr>
        <w:jc w:val="both"/>
        <w:rPr>
          <w:noProof/>
          <w:sz w:val="22"/>
          <w:szCs w:val="22"/>
        </w:rPr>
      </w:pPr>
      <w:r w:rsidRPr="007D2EB5">
        <w:rPr>
          <w:sz w:val="22"/>
          <w:szCs w:val="22"/>
        </w:rPr>
        <w:t>Most episodes of nausea were mild to moderate, transient and rarely led to discontinuation of therapy (Figure 6). In long-term clinical trials, some patients (0.6%) reported decreased weight as an adverse event.</w:t>
      </w:r>
      <w:r>
        <w:rPr>
          <w:sz w:val="22"/>
          <w:szCs w:val="22"/>
        </w:rPr>
        <w:t xml:space="preserve"> </w:t>
      </w:r>
    </w:p>
    <w:p w14:paraId="1C28FA39" w14:textId="77777777" w:rsidR="00A14AF3" w:rsidRDefault="00A14AF3" w:rsidP="00416832">
      <w:pPr>
        <w:jc w:val="both"/>
        <w:rPr>
          <w:noProof/>
          <w:sz w:val="22"/>
          <w:szCs w:val="22"/>
        </w:rPr>
      </w:pPr>
    </w:p>
    <w:p w14:paraId="6B14241D" w14:textId="4CAF2992" w:rsidR="00A14AF3" w:rsidRDefault="00A14AF3" w:rsidP="00416832">
      <w:pPr>
        <w:jc w:val="both"/>
        <w:rPr>
          <w:noProof/>
          <w:sz w:val="22"/>
          <w:szCs w:val="22"/>
        </w:rPr>
      </w:pPr>
      <w:r w:rsidRPr="00AD43A0">
        <w:rPr>
          <w:noProof/>
          <w:sz w:val="16"/>
          <w:szCs w:val="16"/>
          <w:lang w:val="en-AU" w:eastAsia="en-AU"/>
        </w:rPr>
        <w:drawing>
          <wp:inline distT="0" distB="0" distL="0" distR="0" wp14:anchorId="76DA9383" wp14:editId="3A5A01C0">
            <wp:extent cx="5686425" cy="354330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86425" cy="3543300"/>
                    </a:xfrm>
                    <a:prstGeom prst="rect">
                      <a:avLst/>
                    </a:prstGeom>
                    <a:noFill/>
                    <a:ln>
                      <a:noFill/>
                    </a:ln>
                  </pic:spPr>
                </pic:pic>
              </a:graphicData>
            </a:graphic>
          </wp:inline>
        </w:drawing>
      </w:r>
    </w:p>
    <w:p w14:paraId="09CA05C2" w14:textId="187C64F3" w:rsidR="00A14AF3" w:rsidRDefault="00A14AF3" w:rsidP="00416832">
      <w:pPr>
        <w:jc w:val="both"/>
        <w:rPr>
          <w:noProof/>
          <w:sz w:val="22"/>
          <w:szCs w:val="22"/>
        </w:rPr>
      </w:pPr>
      <w:r w:rsidRPr="00774CE3">
        <w:rPr>
          <w:b/>
          <w:sz w:val="22"/>
          <w:szCs w:val="22"/>
        </w:rPr>
        <w:t>Figure 6</w:t>
      </w:r>
      <w:r w:rsidRPr="00774CE3">
        <w:rPr>
          <w:b/>
          <w:sz w:val="22"/>
          <w:szCs w:val="22"/>
        </w:rPr>
        <w:tab/>
        <w:t>Percentage of subjects with nausea adverse events by week and treatment - all long-term trials - safety analysis set</w:t>
      </w:r>
    </w:p>
    <w:p w14:paraId="264B94DB" w14:textId="77777777" w:rsidR="00A14AF3" w:rsidRDefault="00A14AF3" w:rsidP="00416832">
      <w:pPr>
        <w:jc w:val="both"/>
        <w:rPr>
          <w:noProof/>
          <w:sz w:val="22"/>
          <w:szCs w:val="22"/>
        </w:rPr>
      </w:pPr>
    </w:p>
    <w:p w14:paraId="3C9A63EF" w14:textId="149BE019" w:rsidR="00A14AF3" w:rsidRDefault="00A14AF3" w:rsidP="00416832">
      <w:pPr>
        <w:jc w:val="both"/>
        <w:rPr>
          <w:noProof/>
          <w:sz w:val="22"/>
          <w:szCs w:val="22"/>
        </w:rPr>
      </w:pPr>
      <w:r>
        <w:rPr>
          <w:iCs/>
          <w:sz w:val="22"/>
          <w:szCs w:val="22"/>
        </w:rPr>
        <w:t xml:space="preserve">In subjects treated with </w:t>
      </w:r>
      <w:r>
        <w:rPr>
          <w:noProof/>
          <w:sz w:val="22"/>
          <w:szCs w:val="22"/>
        </w:rPr>
        <w:t>Victoza</w:t>
      </w:r>
      <w:r>
        <w:rPr>
          <w:iCs/>
          <w:sz w:val="22"/>
          <w:szCs w:val="22"/>
        </w:rPr>
        <w:t xml:space="preserve"> combined with metformin, 20.7% reported at least one episode of nausea, </w:t>
      </w:r>
      <w:r>
        <w:rPr>
          <w:bCs/>
          <w:iCs/>
          <w:sz w:val="22"/>
          <w:szCs w:val="22"/>
        </w:rPr>
        <w:t>and</w:t>
      </w:r>
      <w:r>
        <w:rPr>
          <w:iCs/>
          <w:sz w:val="22"/>
          <w:szCs w:val="22"/>
        </w:rPr>
        <w:t xml:space="preserve"> 12.6% reported at least one episode of diarrhoea, respectively. When combining </w:t>
      </w:r>
      <w:r>
        <w:rPr>
          <w:noProof/>
          <w:sz w:val="22"/>
          <w:szCs w:val="22"/>
        </w:rPr>
        <w:t>Victoza</w:t>
      </w:r>
      <w:r>
        <w:rPr>
          <w:iCs/>
          <w:sz w:val="22"/>
          <w:szCs w:val="22"/>
        </w:rPr>
        <w:t xml:space="preserve"> </w:t>
      </w:r>
      <w:r>
        <w:rPr>
          <w:iCs/>
          <w:sz w:val="22"/>
          <w:szCs w:val="22"/>
        </w:rPr>
        <w:lastRenderedPageBreak/>
        <w:t>with a sulfonylurea 9.1% of subjects reported at least one episode of nausea and 7.9% of subjects reported at least one episode of diarrhoea.</w:t>
      </w:r>
    </w:p>
    <w:p w14:paraId="09F8A184" w14:textId="77777777" w:rsidR="00A14AF3" w:rsidRDefault="00A14AF3" w:rsidP="00416832">
      <w:pPr>
        <w:jc w:val="both"/>
        <w:rPr>
          <w:noProof/>
          <w:sz w:val="22"/>
          <w:szCs w:val="22"/>
        </w:rPr>
      </w:pPr>
    </w:p>
    <w:p w14:paraId="225908B1" w14:textId="72FC1138" w:rsidR="00A14AF3" w:rsidRDefault="00A14AF3" w:rsidP="00416832">
      <w:pPr>
        <w:jc w:val="both"/>
        <w:rPr>
          <w:noProof/>
          <w:sz w:val="22"/>
          <w:szCs w:val="22"/>
        </w:rPr>
      </w:pPr>
      <w:r>
        <w:rPr>
          <w:iCs/>
          <w:sz w:val="22"/>
          <w:szCs w:val="22"/>
        </w:rPr>
        <w:t xml:space="preserve">The incidence of withdrawal due to adverse events was 7.8% for </w:t>
      </w:r>
      <w:r>
        <w:rPr>
          <w:noProof/>
          <w:sz w:val="22"/>
          <w:szCs w:val="22"/>
        </w:rPr>
        <w:t>Victoza</w:t>
      </w:r>
      <w:r>
        <w:rPr>
          <w:iCs/>
          <w:sz w:val="22"/>
          <w:szCs w:val="22"/>
        </w:rPr>
        <w:t xml:space="preserve">-treated </w:t>
      </w:r>
      <w:r>
        <w:rPr>
          <w:sz w:val="22"/>
          <w:szCs w:val="22"/>
        </w:rPr>
        <w:t>subjects</w:t>
      </w:r>
      <w:r>
        <w:rPr>
          <w:iCs/>
          <w:sz w:val="22"/>
          <w:szCs w:val="22"/>
        </w:rPr>
        <w:t xml:space="preserve"> and 3.4% for comparator treated </w:t>
      </w:r>
      <w:r>
        <w:rPr>
          <w:sz w:val="22"/>
          <w:szCs w:val="22"/>
        </w:rPr>
        <w:t>subjects</w:t>
      </w:r>
      <w:r>
        <w:rPr>
          <w:iCs/>
          <w:sz w:val="22"/>
          <w:szCs w:val="22"/>
        </w:rPr>
        <w:t xml:space="preserve"> in the long-term controlled trials (26 weeks or longer). The most common adverse events leading to withdrawal for </w:t>
      </w:r>
      <w:r>
        <w:rPr>
          <w:noProof/>
          <w:sz w:val="22"/>
          <w:szCs w:val="22"/>
        </w:rPr>
        <w:t>Victoza</w:t>
      </w:r>
      <w:r>
        <w:rPr>
          <w:iCs/>
          <w:sz w:val="22"/>
          <w:szCs w:val="22"/>
        </w:rPr>
        <w:t xml:space="preserve">-treated </w:t>
      </w:r>
      <w:r>
        <w:rPr>
          <w:sz w:val="22"/>
          <w:szCs w:val="22"/>
        </w:rPr>
        <w:t>subjects</w:t>
      </w:r>
      <w:r>
        <w:rPr>
          <w:iCs/>
          <w:sz w:val="22"/>
          <w:szCs w:val="22"/>
        </w:rPr>
        <w:t xml:space="preserve"> were nausea (2.8% of </w:t>
      </w:r>
      <w:r>
        <w:rPr>
          <w:sz w:val="22"/>
          <w:szCs w:val="22"/>
        </w:rPr>
        <w:t>subjects</w:t>
      </w:r>
      <w:r>
        <w:rPr>
          <w:iCs/>
          <w:sz w:val="22"/>
          <w:szCs w:val="22"/>
        </w:rPr>
        <w:t>) and vomiting (1.5%).</w:t>
      </w:r>
    </w:p>
    <w:p w14:paraId="7EBA4A58" w14:textId="77777777" w:rsidR="00A14AF3" w:rsidRDefault="00A14AF3" w:rsidP="00416832">
      <w:pPr>
        <w:jc w:val="both"/>
        <w:rPr>
          <w:noProof/>
          <w:sz w:val="22"/>
          <w:szCs w:val="22"/>
        </w:rPr>
      </w:pPr>
    </w:p>
    <w:p w14:paraId="4BC2FBB1" w14:textId="0540A4C2" w:rsidR="00A14AF3" w:rsidRDefault="00A14AF3" w:rsidP="00416832">
      <w:pPr>
        <w:jc w:val="both"/>
        <w:rPr>
          <w:noProof/>
          <w:sz w:val="22"/>
          <w:szCs w:val="22"/>
        </w:rPr>
      </w:pPr>
      <w:r w:rsidRPr="006A790A">
        <w:rPr>
          <w:sz w:val="22"/>
          <w:szCs w:val="22"/>
        </w:rPr>
        <w:t xml:space="preserve">Patients &gt;70 years may experience more gastrointestinal effects when treated with Victoza. Patients with mild and moderate renal impairment (creatinine clearance 60-90 mL/min and 30−59 mL/min, respectively) may experience more gastrointestinal effects when treated with Victoza. </w:t>
      </w:r>
    </w:p>
    <w:p w14:paraId="123E9A88" w14:textId="77777777" w:rsidR="00A14AF3" w:rsidRDefault="00A14AF3" w:rsidP="00416832">
      <w:pPr>
        <w:jc w:val="both"/>
        <w:rPr>
          <w:noProof/>
          <w:sz w:val="22"/>
          <w:szCs w:val="22"/>
        </w:rPr>
      </w:pPr>
    </w:p>
    <w:p w14:paraId="2449D0E3" w14:textId="77777777" w:rsidR="00A14AF3" w:rsidRPr="006A790A" w:rsidRDefault="00A14AF3" w:rsidP="00A14AF3">
      <w:pPr>
        <w:jc w:val="both"/>
        <w:rPr>
          <w:i/>
          <w:sz w:val="22"/>
          <w:szCs w:val="22"/>
          <w:lang w:val="en-AU"/>
        </w:rPr>
      </w:pPr>
      <w:r w:rsidRPr="009B57B6">
        <w:rPr>
          <w:noProof/>
          <w:sz w:val="22"/>
          <w:szCs w:val="22"/>
          <w:u w:val="single"/>
        </w:rPr>
        <w:t>Cholelithiasis and cholecystitis</w:t>
      </w:r>
    </w:p>
    <w:p w14:paraId="1BFD5995" w14:textId="3EDF6CCE" w:rsidR="00A14AF3" w:rsidRDefault="00A14AF3" w:rsidP="00A14AF3">
      <w:pPr>
        <w:jc w:val="both"/>
        <w:rPr>
          <w:noProof/>
          <w:sz w:val="22"/>
          <w:szCs w:val="22"/>
        </w:rPr>
      </w:pPr>
      <w:r w:rsidRPr="006A790A">
        <w:rPr>
          <w:sz w:val="22"/>
          <w:szCs w:val="22"/>
        </w:rPr>
        <w:t xml:space="preserve">Few cases of </w:t>
      </w:r>
      <w:proofErr w:type="spellStart"/>
      <w:r w:rsidRPr="006A790A">
        <w:rPr>
          <w:sz w:val="22"/>
          <w:szCs w:val="22"/>
        </w:rPr>
        <w:t>cholelithiasis</w:t>
      </w:r>
      <w:proofErr w:type="spellEnd"/>
      <w:r w:rsidRPr="006A790A">
        <w:rPr>
          <w:sz w:val="22"/>
          <w:szCs w:val="22"/>
        </w:rPr>
        <w:t xml:space="preserve"> (0.4%) and cholecystitis (0.1%) have been reported during long-term, controlled phase 3a clinical trials with Victoza. In the LEADER trial, the frequency of </w:t>
      </w:r>
      <w:proofErr w:type="spellStart"/>
      <w:r w:rsidRPr="006A790A">
        <w:rPr>
          <w:sz w:val="22"/>
          <w:szCs w:val="22"/>
        </w:rPr>
        <w:t>cholelithiasis</w:t>
      </w:r>
      <w:proofErr w:type="spellEnd"/>
      <w:r w:rsidRPr="006A790A">
        <w:rPr>
          <w:sz w:val="22"/>
          <w:szCs w:val="22"/>
        </w:rPr>
        <w:t xml:space="preserve"> and cholecystitis was 1.5% and 1.1% for Victoza and 1.1% and 0.7% for placebo, respectively (see CLINICAL TRIALS).</w:t>
      </w:r>
    </w:p>
    <w:p w14:paraId="616257F5" w14:textId="77777777" w:rsidR="00A14AF3" w:rsidRDefault="00A14AF3" w:rsidP="00416832">
      <w:pPr>
        <w:jc w:val="both"/>
        <w:rPr>
          <w:noProof/>
          <w:sz w:val="22"/>
          <w:szCs w:val="22"/>
        </w:rPr>
      </w:pPr>
    </w:p>
    <w:p w14:paraId="463D2129" w14:textId="77777777" w:rsidR="00A14AF3" w:rsidRPr="006A790A" w:rsidRDefault="00A14AF3" w:rsidP="00A14AF3">
      <w:pPr>
        <w:jc w:val="both"/>
        <w:rPr>
          <w:i/>
          <w:sz w:val="22"/>
          <w:szCs w:val="22"/>
          <w:lang w:val="en-AU"/>
        </w:rPr>
      </w:pPr>
      <w:r w:rsidRPr="009B57B6">
        <w:rPr>
          <w:noProof/>
          <w:sz w:val="22"/>
          <w:szCs w:val="22"/>
          <w:u w:val="single"/>
        </w:rPr>
        <w:t>Injection site reactions</w:t>
      </w:r>
    </w:p>
    <w:p w14:paraId="14D54000" w14:textId="322E0AA5" w:rsidR="00A14AF3" w:rsidRDefault="00A14AF3" w:rsidP="00A14AF3">
      <w:pPr>
        <w:jc w:val="both"/>
        <w:rPr>
          <w:noProof/>
          <w:sz w:val="22"/>
          <w:szCs w:val="22"/>
        </w:rPr>
      </w:pPr>
      <w:r w:rsidRPr="006A790A">
        <w:rPr>
          <w:sz w:val="22"/>
          <w:szCs w:val="22"/>
        </w:rPr>
        <w:t>Injection site reactions have been reported in approximately</w:t>
      </w:r>
      <w:r w:rsidRPr="006A790A">
        <w:rPr>
          <w:i/>
          <w:sz w:val="22"/>
          <w:szCs w:val="22"/>
        </w:rPr>
        <w:t xml:space="preserve"> </w:t>
      </w:r>
      <w:r w:rsidRPr="006A790A">
        <w:rPr>
          <w:sz w:val="22"/>
          <w:szCs w:val="22"/>
        </w:rPr>
        <w:t>2</w:t>
      </w:r>
      <w:r w:rsidRPr="006A790A">
        <w:rPr>
          <w:i/>
          <w:sz w:val="22"/>
          <w:szCs w:val="22"/>
        </w:rPr>
        <w:t xml:space="preserve">% </w:t>
      </w:r>
      <w:r w:rsidRPr="006A790A">
        <w:rPr>
          <w:sz w:val="22"/>
          <w:szCs w:val="22"/>
        </w:rPr>
        <w:t xml:space="preserve">of subjects who received </w:t>
      </w:r>
      <w:r w:rsidRPr="006A790A">
        <w:rPr>
          <w:noProof/>
          <w:sz w:val="22"/>
          <w:szCs w:val="22"/>
        </w:rPr>
        <w:t>Victoza</w:t>
      </w:r>
      <w:r w:rsidRPr="006A790A">
        <w:rPr>
          <w:sz w:val="22"/>
          <w:szCs w:val="22"/>
        </w:rPr>
        <w:t xml:space="preserve"> in long-term controlled trials (26 weeks or longer). The majority of these reactions were mild.</w:t>
      </w:r>
    </w:p>
    <w:p w14:paraId="54050C5A" w14:textId="77777777" w:rsidR="00A14AF3" w:rsidRDefault="00A14AF3" w:rsidP="00416832">
      <w:pPr>
        <w:jc w:val="both"/>
        <w:rPr>
          <w:noProof/>
          <w:sz w:val="22"/>
          <w:szCs w:val="22"/>
        </w:rPr>
      </w:pPr>
    </w:p>
    <w:p w14:paraId="6313CB3A" w14:textId="77777777" w:rsidR="00A14AF3" w:rsidRPr="000F1848" w:rsidRDefault="00A14AF3" w:rsidP="00A14AF3">
      <w:pPr>
        <w:jc w:val="both"/>
        <w:rPr>
          <w:i/>
          <w:sz w:val="22"/>
          <w:szCs w:val="22"/>
          <w:lang w:val="en-AU"/>
        </w:rPr>
      </w:pPr>
      <w:r w:rsidRPr="009B57B6">
        <w:rPr>
          <w:noProof/>
          <w:sz w:val="22"/>
          <w:szCs w:val="22"/>
          <w:u w:val="single"/>
        </w:rPr>
        <w:t>Pancreatitis</w:t>
      </w:r>
    </w:p>
    <w:p w14:paraId="06BB1619" w14:textId="09686B08" w:rsidR="00A14AF3" w:rsidRDefault="00A14AF3" w:rsidP="00A14AF3">
      <w:pPr>
        <w:jc w:val="both"/>
        <w:rPr>
          <w:noProof/>
          <w:sz w:val="22"/>
          <w:szCs w:val="22"/>
        </w:rPr>
      </w:pPr>
      <w:r>
        <w:rPr>
          <w:sz w:val="22"/>
          <w:szCs w:val="22"/>
        </w:rPr>
        <w:t xml:space="preserve">Few cases of acute pancreatitis (&lt;0.2%) have been reported during long-term, controlled phase 3 clinical trials with </w:t>
      </w:r>
      <w:proofErr w:type="gramStart"/>
      <w:r>
        <w:rPr>
          <w:noProof/>
          <w:sz w:val="22"/>
          <w:szCs w:val="22"/>
        </w:rPr>
        <w:t>Victoza</w:t>
      </w:r>
      <w:r>
        <w:rPr>
          <w:sz w:val="22"/>
          <w:szCs w:val="22"/>
        </w:rPr>
        <w:t xml:space="preserve"> </w:t>
      </w:r>
      <w:r w:rsidRPr="004F1DE6">
        <w:rPr>
          <w:sz w:val="22"/>
          <w:szCs w:val="22"/>
        </w:rPr>
        <w:t xml:space="preserve"> (</w:t>
      </w:r>
      <w:proofErr w:type="gramEnd"/>
      <w:r w:rsidRPr="004F1DE6">
        <w:rPr>
          <w:sz w:val="22"/>
          <w:szCs w:val="22"/>
        </w:rPr>
        <w:t>see PRECAUTIONS).</w:t>
      </w:r>
      <w:r w:rsidRPr="005E6D77">
        <w:rPr>
          <w:b/>
        </w:rPr>
        <w:t xml:space="preserve"> </w:t>
      </w:r>
      <w:r w:rsidRPr="005E6D77">
        <w:rPr>
          <w:sz w:val="22"/>
          <w:szCs w:val="22"/>
        </w:rPr>
        <w:t>Pancreatitis was also reported from marketed use.</w:t>
      </w:r>
      <w:r>
        <w:rPr>
          <w:sz w:val="22"/>
          <w:szCs w:val="22"/>
        </w:rPr>
        <w:t xml:space="preserve"> In t</w:t>
      </w:r>
      <w:r w:rsidRPr="0080255C">
        <w:rPr>
          <w:sz w:val="22"/>
          <w:szCs w:val="22"/>
        </w:rPr>
        <w:t xml:space="preserve">he LEADER trial, the frequency of acute pancreatitis confirmed by adjudication was 0.4% for </w:t>
      </w:r>
      <w:r>
        <w:rPr>
          <w:sz w:val="22"/>
          <w:szCs w:val="22"/>
        </w:rPr>
        <w:t>Victoza</w:t>
      </w:r>
      <w:r w:rsidRPr="0080255C">
        <w:rPr>
          <w:sz w:val="22"/>
          <w:szCs w:val="22"/>
        </w:rPr>
        <w:t xml:space="preserve"> and 0.5% for placebo, respectively (see </w:t>
      </w:r>
      <w:r>
        <w:rPr>
          <w:sz w:val="22"/>
          <w:szCs w:val="22"/>
        </w:rPr>
        <w:t>CLINICAL TRIALS</w:t>
      </w:r>
      <w:r w:rsidRPr="0080255C">
        <w:rPr>
          <w:sz w:val="22"/>
          <w:szCs w:val="22"/>
        </w:rPr>
        <w:t>).</w:t>
      </w:r>
    </w:p>
    <w:p w14:paraId="3412146F" w14:textId="77777777" w:rsidR="00A14AF3" w:rsidRDefault="00A14AF3" w:rsidP="00416832">
      <w:pPr>
        <w:jc w:val="both"/>
        <w:rPr>
          <w:noProof/>
          <w:sz w:val="22"/>
          <w:szCs w:val="22"/>
        </w:rPr>
      </w:pPr>
    </w:p>
    <w:p w14:paraId="0F1D025D" w14:textId="77777777" w:rsidR="00A14AF3" w:rsidRPr="000F1848" w:rsidRDefault="00A14AF3" w:rsidP="00A14AF3">
      <w:pPr>
        <w:jc w:val="both"/>
        <w:rPr>
          <w:i/>
          <w:u w:val="single"/>
        </w:rPr>
      </w:pPr>
      <w:r w:rsidRPr="009B57B6">
        <w:rPr>
          <w:noProof/>
          <w:sz w:val="22"/>
          <w:szCs w:val="22"/>
          <w:u w:val="single"/>
        </w:rPr>
        <w:t>Allergic reactions</w:t>
      </w:r>
    </w:p>
    <w:p w14:paraId="34A6BC58" w14:textId="66F05444" w:rsidR="00A14AF3" w:rsidRDefault="00A14AF3" w:rsidP="00A14AF3">
      <w:pPr>
        <w:jc w:val="both"/>
        <w:rPr>
          <w:noProof/>
          <w:sz w:val="22"/>
          <w:szCs w:val="22"/>
        </w:rPr>
      </w:pPr>
      <w:r w:rsidRPr="00D506FA">
        <w:rPr>
          <w:sz w:val="22"/>
          <w:szCs w:val="22"/>
        </w:rPr>
        <w:t xml:space="preserve">Allergic reactions including urticaria, rash and pruritus have been reported for marketed use of Victoza. Few cases of anaphylactic reactions with additional symptoms such as hypotension, palpitations, </w:t>
      </w:r>
      <w:proofErr w:type="spellStart"/>
      <w:r w:rsidRPr="00D506FA">
        <w:rPr>
          <w:sz w:val="22"/>
          <w:szCs w:val="22"/>
        </w:rPr>
        <w:t>dyspnoea</w:t>
      </w:r>
      <w:proofErr w:type="spellEnd"/>
      <w:r w:rsidRPr="00D506FA">
        <w:rPr>
          <w:sz w:val="22"/>
          <w:szCs w:val="22"/>
        </w:rPr>
        <w:t xml:space="preserve"> and </w:t>
      </w:r>
      <w:proofErr w:type="spellStart"/>
      <w:r w:rsidRPr="00D506FA">
        <w:rPr>
          <w:sz w:val="22"/>
          <w:szCs w:val="22"/>
        </w:rPr>
        <w:t>oedema</w:t>
      </w:r>
      <w:proofErr w:type="spellEnd"/>
      <w:r w:rsidRPr="00D506FA">
        <w:rPr>
          <w:sz w:val="22"/>
          <w:szCs w:val="22"/>
        </w:rPr>
        <w:t xml:space="preserve"> have been reported with marketed use of Victoza.</w:t>
      </w:r>
    </w:p>
    <w:p w14:paraId="7B944386" w14:textId="77777777" w:rsidR="00A14AF3" w:rsidRDefault="00A14AF3" w:rsidP="00416832">
      <w:pPr>
        <w:jc w:val="both"/>
        <w:rPr>
          <w:noProof/>
          <w:sz w:val="22"/>
          <w:szCs w:val="22"/>
        </w:rPr>
      </w:pPr>
    </w:p>
    <w:p w14:paraId="01EF576E" w14:textId="2CDDB488" w:rsidR="00A14AF3" w:rsidRPr="00A14AF3" w:rsidRDefault="00A14AF3" w:rsidP="00416832">
      <w:pPr>
        <w:jc w:val="both"/>
        <w:rPr>
          <w:b/>
          <w:noProof/>
        </w:rPr>
      </w:pPr>
      <w:r w:rsidRPr="00A14AF3">
        <w:rPr>
          <w:b/>
          <w:noProof/>
        </w:rPr>
        <w:t>DOSAGE AND ADMINISTRATION</w:t>
      </w:r>
    </w:p>
    <w:p w14:paraId="55F9D214" w14:textId="77777777" w:rsidR="00A14AF3" w:rsidRDefault="00A14AF3" w:rsidP="00416832">
      <w:pPr>
        <w:jc w:val="both"/>
        <w:rPr>
          <w:noProof/>
          <w:sz w:val="22"/>
          <w:szCs w:val="22"/>
        </w:rPr>
      </w:pPr>
    </w:p>
    <w:p w14:paraId="7DA0DA4B" w14:textId="77777777" w:rsidR="00A14AF3" w:rsidRPr="000C18BE" w:rsidRDefault="00A14AF3" w:rsidP="00A14AF3">
      <w:pPr>
        <w:pStyle w:val="Heading4"/>
        <w:rPr>
          <w:b/>
        </w:rPr>
      </w:pPr>
      <w:r w:rsidRPr="007D2EB5">
        <w:rPr>
          <w:b/>
          <w:i w:val="0"/>
          <w:sz w:val="22"/>
          <w:szCs w:val="22"/>
          <w:u w:val="single"/>
        </w:rPr>
        <w:t>Administration</w:t>
      </w:r>
    </w:p>
    <w:p w14:paraId="6BFD2F2B" w14:textId="1EE362CA" w:rsidR="00A14AF3" w:rsidRDefault="00A14AF3" w:rsidP="00A14AF3">
      <w:pPr>
        <w:jc w:val="both"/>
        <w:rPr>
          <w:noProof/>
          <w:sz w:val="22"/>
          <w:szCs w:val="22"/>
        </w:rPr>
      </w:pPr>
      <w:r>
        <w:rPr>
          <w:noProof/>
          <w:sz w:val="22"/>
          <w:szCs w:val="22"/>
        </w:rPr>
        <w:t>Victoza</w:t>
      </w:r>
      <w:r>
        <w:rPr>
          <w:iCs/>
          <w:sz w:val="22"/>
          <w:szCs w:val="22"/>
        </w:rPr>
        <w:t xml:space="preserve"> is administered once daily at any time, independent of meals, and can be</w:t>
      </w:r>
      <w:r>
        <w:rPr>
          <w:sz w:val="22"/>
          <w:szCs w:val="22"/>
        </w:rPr>
        <w:t xml:space="preserve"> injected subcutaneously in the abdomen, in the thigh or in the upper arm. T</w:t>
      </w:r>
      <w:r>
        <w:rPr>
          <w:iCs/>
          <w:sz w:val="22"/>
          <w:szCs w:val="22"/>
        </w:rPr>
        <w:t xml:space="preserve">he injection site and timing </w:t>
      </w:r>
      <w:r>
        <w:rPr>
          <w:sz w:val="22"/>
          <w:szCs w:val="22"/>
        </w:rPr>
        <w:t>can be changed</w:t>
      </w:r>
      <w:r>
        <w:rPr>
          <w:iCs/>
          <w:sz w:val="22"/>
          <w:szCs w:val="22"/>
        </w:rPr>
        <w:t xml:space="preserve"> without dose adjustment. However, it is preferable that Victoza is injected around the same time each day, when the most convenient time of the day has been chosen.  </w:t>
      </w:r>
    </w:p>
    <w:p w14:paraId="6B0776A9" w14:textId="77777777" w:rsidR="00A14AF3" w:rsidRDefault="00A14AF3" w:rsidP="00416832">
      <w:pPr>
        <w:jc w:val="both"/>
        <w:rPr>
          <w:noProof/>
          <w:sz w:val="22"/>
          <w:szCs w:val="22"/>
        </w:rPr>
      </w:pPr>
    </w:p>
    <w:p w14:paraId="18601CC5" w14:textId="698B6339" w:rsidR="00A14AF3" w:rsidRDefault="00A14AF3" w:rsidP="00416832">
      <w:pPr>
        <w:jc w:val="both"/>
        <w:rPr>
          <w:noProof/>
          <w:sz w:val="22"/>
          <w:szCs w:val="22"/>
        </w:rPr>
      </w:pPr>
      <w:r>
        <w:rPr>
          <w:iCs/>
          <w:sz w:val="22"/>
          <w:szCs w:val="22"/>
        </w:rPr>
        <w:t xml:space="preserve">Victoza must </w:t>
      </w:r>
      <w:r>
        <w:rPr>
          <w:b/>
          <w:iCs/>
          <w:sz w:val="22"/>
          <w:szCs w:val="22"/>
        </w:rPr>
        <w:t>not</w:t>
      </w:r>
      <w:r>
        <w:rPr>
          <w:iCs/>
          <w:sz w:val="22"/>
          <w:szCs w:val="22"/>
        </w:rPr>
        <w:t xml:space="preserve"> be administered intravenously or intramuscularly.</w:t>
      </w:r>
    </w:p>
    <w:p w14:paraId="3A3C7048" w14:textId="77777777" w:rsidR="00A14AF3" w:rsidRDefault="00A14AF3" w:rsidP="00416832">
      <w:pPr>
        <w:jc w:val="both"/>
        <w:rPr>
          <w:noProof/>
          <w:sz w:val="22"/>
          <w:szCs w:val="22"/>
        </w:rPr>
      </w:pPr>
    </w:p>
    <w:p w14:paraId="3BAC5545" w14:textId="0C771E30" w:rsidR="00A14AF3" w:rsidRDefault="00A14AF3" w:rsidP="00416832">
      <w:pPr>
        <w:jc w:val="both"/>
        <w:rPr>
          <w:noProof/>
          <w:sz w:val="22"/>
          <w:szCs w:val="22"/>
        </w:rPr>
      </w:pPr>
      <w:r w:rsidRPr="006A0429">
        <w:rPr>
          <w:iCs/>
          <w:sz w:val="22"/>
          <w:szCs w:val="22"/>
        </w:rPr>
        <w:t>In case of a missed dose, Victoza should be administered as soon as possible within 12 hours from the time of the planned dose. If the dose is missed for more than 12 hours, Victoza should be taken as planned on the next day. An extra dose or an increased dose of Victoza must not be administered on the following day to make up for the missed dose.</w:t>
      </w:r>
    </w:p>
    <w:p w14:paraId="57C42FEA" w14:textId="77777777" w:rsidR="00A14AF3" w:rsidRDefault="00A14AF3" w:rsidP="00416832">
      <w:pPr>
        <w:jc w:val="both"/>
        <w:rPr>
          <w:noProof/>
          <w:sz w:val="22"/>
          <w:szCs w:val="22"/>
        </w:rPr>
      </w:pPr>
    </w:p>
    <w:p w14:paraId="2F28E9CF" w14:textId="77777777" w:rsidR="00A14AF3" w:rsidRPr="000C18BE" w:rsidRDefault="00A14AF3" w:rsidP="00A14AF3">
      <w:pPr>
        <w:pStyle w:val="Heading4"/>
        <w:rPr>
          <w:b/>
          <w:iCs/>
          <w:highlight w:val="yellow"/>
        </w:rPr>
      </w:pPr>
      <w:r w:rsidRPr="007D2EB5">
        <w:rPr>
          <w:b/>
          <w:i w:val="0"/>
          <w:sz w:val="22"/>
          <w:szCs w:val="22"/>
          <w:u w:val="single"/>
        </w:rPr>
        <w:t>Dosage</w:t>
      </w:r>
    </w:p>
    <w:p w14:paraId="1C6F0B7C" w14:textId="4F9E8397" w:rsidR="00A14AF3" w:rsidRDefault="00A14AF3" w:rsidP="00A14AF3">
      <w:pPr>
        <w:jc w:val="both"/>
        <w:rPr>
          <w:noProof/>
          <w:sz w:val="22"/>
          <w:szCs w:val="22"/>
        </w:rPr>
      </w:pPr>
      <w:r w:rsidRPr="00015CAD">
        <w:rPr>
          <w:bCs/>
          <w:iCs/>
          <w:sz w:val="22"/>
          <w:szCs w:val="22"/>
          <w:lang w:val="en-GB"/>
        </w:rPr>
        <w:t>To improve gastrointestinal tolerability,</w:t>
      </w:r>
      <w:r w:rsidRPr="0052416F">
        <w:rPr>
          <w:iCs/>
          <w:sz w:val="22"/>
          <w:szCs w:val="22"/>
        </w:rPr>
        <w:t xml:space="preserve"> </w:t>
      </w:r>
      <w:r w:rsidRPr="0052416F">
        <w:rPr>
          <w:noProof/>
          <w:sz w:val="22"/>
          <w:szCs w:val="22"/>
        </w:rPr>
        <w:t xml:space="preserve">the starting </w:t>
      </w:r>
      <w:r w:rsidRPr="0052416F">
        <w:rPr>
          <w:iCs/>
          <w:sz w:val="22"/>
          <w:szCs w:val="22"/>
        </w:rPr>
        <w:t xml:space="preserve">dose is 0.6 mg </w:t>
      </w:r>
      <w:r>
        <w:rPr>
          <w:iCs/>
          <w:sz w:val="22"/>
          <w:szCs w:val="22"/>
        </w:rPr>
        <w:t>Victoza</w:t>
      </w:r>
      <w:r w:rsidRPr="0052416F">
        <w:rPr>
          <w:iCs/>
          <w:sz w:val="22"/>
          <w:szCs w:val="22"/>
        </w:rPr>
        <w:t xml:space="preserve"> daily.</w:t>
      </w:r>
      <w:r>
        <w:rPr>
          <w:iCs/>
          <w:sz w:val="22"/>
          <w:szCs w:val="22"/>
        </w:rPr>
        <w:t xml:space="preserve"> After at least one week, the dose should be increased to 1.2 mg. Based on clinical response and tolerability, and after at least one week, the dose can be increased to 1.8 mg to achieve maximum efficacy. Daily doses higher than 1.8 mg are not recommended. </w:t>
      </w:r>
    </w:p>
    <w:p w14:paraId="6B1867F7" w14:textId="77777777" w:rsidR="00A14AF3" w:rsidRDefault="00A14AF3" w:rsidP="00416832">
      <w:pPr>
        <w:jc w:val="both"/>
        <w:rPr>
          <w:noProof/>
          <w:sz w:val="22"/>
          <w:szCs w:val="22"/>
        </w:rPr>
      </w:pPr>
    </w:p>
    <w:p w14:paraId="2259595B" w14:textId="365914A6" w:rsidR="00A14AF3" w:rsidRPr="00A14AF3" w:rsidRDefault="00A14AF3" w:rsidP="00416832">
      <w:pPr>
        <w:jc w:val="both"/>
        <w:rPr>
          <w:noProof/>
          <w:sz w:val="22"/>
          <w:szCs w:val="22"/>
        </w:rPr>
      </w:pPr>
      <w:r w:rsidRPr="00A14AF3">
        <w:rPr>
          <w:sz w:val="22"/>
          <w:szCs w:val="22"/>
        </w:rPr>
        <w:lastRenderedPageBreak/>
        <w:t xml:space="preserve">Victoza may be used when previous therapies provide insufficient </w:t>
      </w:r>
      <w:proofErr w:type="spellStart"/>
      <w:r w:rsidRPr="00A14AF3">
        <w:rPr>
          <w:sz w:val="22"/>
          <w:szCs w:val="22"/>
        </w:rPr>
        <w:t>glycaemic</w:t>
      </w:r>
      <w:proofErr w:type="spellEnd"/>
      <w:r w:rsidRPr="00A14AF3">
        <w:rPr>
          <w:sz w:val="22"/>
          <w:szCs w:val="22"/>
        </w:rPr>
        <w:t xml:space="preserve"> control: in dual combination with metformin or a sulfonylurea; or in triple combination with metformin and sulfonylurea; or in combination with insulin with or without metformin.</w:t>
      </w:r>
    </w:p>
    <w:p w14:paraId="58C5BDD1" w14:textId="77777777" w:rsidR="00A14AF3" w:rsidRDefault="00A14AF3" w:rsidP="00416832">
      <w:pPr>
        <w:jc w:val="both"/>
        <w:rPr>
          <w:noProof/>
          <w:sz w:val="22"/>
          <w:szCs w:val="22"/>
        </w:rPr>
      </w:pPr>
    </w:p>
    <w:p w14:paraId="350FD8E3" w14:textId="440CCB06" w:rsidR="00A14AF3" w:rsidRPr="00A14AF3" w:rsidRDefault="00A14AF3" w:rsidP="00416832">
      <w:pPr>
        <w:jc w:val="both"/>
        <w:rPr>
          <w:noProof/>
          <w:sz w:val="22"/>
          <w:szCs w:val="22"/>
        </w:rPr>
      </w:pPr>
      <w:r w:rsidRPr="00A14AF3">
        <w:rPr>
          <w:noProof/>
          <w:sz w:val="22"/>
          <w:szCs w:val="22"/>
        </w:rPr>
        <w:t>When Victoza</w:t>
      </w:r>
      <w:r w:rsidRPr="00A14AF3">
        <w:rPr>
          <w:iCs/>
          <w:sz w:val="22"/>
          <w:szCs w:val="22"/>
        </w:rPr>
        <w:t xml:space="preserve"> is added to existing metformin therapy</w:t>
      </w:r>
      <w:r w:rsidRPr="00A14AF3">
        <w:rPr>
          <w:sz w:val="22"/>
          <w:szCs w:val="22"/>
        </w:rPr>
        <w:t>,</w:t>
      </w:r>
      <w:r w:rsidRPr="00A14AF3">
        <w:rPr>
          <w:iCs/>
          <w:sz w:val="22"/>
          <w:szCs w:val="22"/>
        </w:rPr>
        <w:t xml:space="preserve"> the current dose of metformin can be continued unchanged.</w:t>
      </w:r>
    </w:p>
    <w:p w14:paraId="3C004DC3" w14:textId="77777777" w:rsidR="00A14AF3" w:rsidRPr="00A14AF3" w:rsidRDefault="00A14AF3" w:rsidP="00416832">
      <w:pPr>
        <w:jc w:val="both"/>
        <w:rPr>
          <w:noProof/>
          <w:sz w:val="22"/>
          <w:szCs w:val="22"/>
        </w:rPr>
      </w:pPr>
    </w:p>
    <w:p w14:paraId="72B40EC0" w14:textId="1485AC82" w:rsidR="00A14AF3" w:rsidRPr="00A14AF3" w:rsidRDefault="00A14AF3" w:rsidP="00416832">
      <w:pPr>
        <w:jc w:val="both"/>
        <w:rPr>
          <w:noProof/>
          <w:sz w:val="22"/>
          <w:szCs w:val="22"/>
        </w:rPr>
      </w:pPr>
      <w:r w:rsidRPr="00A14AF3">
        <w:rPr>
          <w:iCs/>
          <w:sz w:val="22"/>
          <w:szCs w:val="22"/>
          <w:lang w:val="en-AU"/>
        </w:rPr>
        <w:t xml:space="preserve">When Victoza is added to sulfonylurea therapy </w:t>
      </w:r>
      <w:r w:rsidRPr="00A14AF3">
        <w:rPr>
          <w:iCs/>
          <w:sz w:val="22"/>
          <w:szCs w:val="22"/>
        </w:rPr>
        <w:t>or to</w:t>
      </w:r>
      <w:r w:rsidRPr="00A14AF3">
        <w:rPr>
          <w:sz w:val="22"/>
          <w:szCs w:val="22"/>
        </w:rPr>
        <w:t xml:space="preserve"> a </w:t>
      </w:r>
      <w:r w:rsidRPr="00A14AF3">
        <w:rPr>
          <w:iCs/>
          <w:sz w:val="22"/>
          <w:szCs w:val="22"/>
        </w:rPr>
        <w:t xml:space="preserve">combination of metformin and sulfonylurea therapy </w:t>
      </w:r>
      <w:r w:rsidRPr="00A14AF3">
        <w:rPr>
          <w:iCs/>
          <w:sz w:val="22"/>
          <w:szCs w:val="22"/>
          <w:lang w:val="en-AU"/>
        </w:rPr>
        <w:t xml:space="preserve">or insulin, a reduction in the dose of sulfonylurea or insulin should be considered to reduce the risk of hypoglycaemia (see </w:t>
      </w:r>
      <w:r w:rsidRPr="00A14AF3">
        <w:rPr>
          <w:sz w:val="22"/>
          <w:szCs w:val="22"/>
          <w:lang w:val="en-GB" w:eastAsia="en-AU"/>
        </w:rPr>
        <w:t>PRECAUTIONS</w:t>
      </w:r>
      <w:r w:rsidRPr="00A14AF3">
        <w:rPr>
          <w:iCs/>
          <w:sz w:val="22"/>
          <w:szCs w:val="22"/>
          <w:lang w:val="en-AU"/>
        </w:rPr>
        <w:t>).</w:t>
      </w:r>
      <w:r w:rsidRPr="00A14AF3">
        <w:rPr>
          <w:iCs/>
          <w:sz w:val="22"/>
          <w:szCs w:val="22"/>
        </w:rPr>
        <w:t xml:space="preserve"> </w:t>
      </w:r>
      <w:r w:rsidRPr="00A14AF3">
        <w:rPr>
          <w:iCs/>
          <w:sz w:val="22"/>
          <w:szCs w:val="22"/>
          <w:lang w:val="en-AU"/>
        </w:rPr>
        <w:t>During clinical trials physicians were advised, at their discretion, to lower the dose of the sulfonylurea by approximately half to minimise the risk of unacceptable hypoglycaemia.</w:t>
      </w:r>
      <w:r w:rsidRPr="00A14AF3">
        <w:rPr>
          <w:iCs/>
          <w:sz w:val="22"/>
          <w:szCs w:val="22"/>
        </w:rPr>
        <w:t xml:space="preserve"> </w:t>
      </w:r>
    </w:p>
    <w:p w14:paraId="00A6BE96" w14:textId="77777777" w:rsidR="00A14AF3" w:rsidRPr="00A14AF3" w:rsidRDefault="00A14AF3" w:rsidP="00416832">
      <w:pPr>
        <w:jc w:val="both"/>
        <w:rPr>
          <w:noProof/>
          <w:sz w:val="22"/>
          <w:szCs w:val="22"/>
        </w:rPr>
      </w:pPr>
    </w:p>
    <w:p w14:paraId="17EA2416" w14:textId="01D3FFEB" w:rsidR="00A14AF3" w:rsidRDefault="00A14AF3" w:rsidP="00416832">
      <w:pPr>
        <w:jc w:val="both"/>
        <w:rPr>
          <w:noProof/>
          <w:sz w:val="22"/>
          <w:szCs w:val="22"/>
        </w:rPr>
      </w:pPr>
      <w:r w:rsidRPr="00A14AF3">
        <w:rPr>
          <w:iCs/>
          <w:sz w:val="22"/>
          <w:szCs w:val="22"/>
        </w:rPr>
        <w:t xml:space="preserve">Self-monitoring of blood glucose is not needed in order to adjust the dose of </w:t>
      </w:r>
      <w:r w:rsidRPr="00A14AF3">
        <w:rPr>
          <w:noProof/>
          <w:sz w:val="22"/>
          <w:szCs w:val="22"/>
        </w:rPr>
        <w:t>Victoza</w:t>
      </w:r>
      <w:r w:rsidRPr="00A14AF3">
        <w:rPr>
          <w:iCs/>
          <w:sz w:val="22"/>
          <w:szCs w:val="22"/>
        </w:rPr>
        <w:t xml:space="preserve">. However, when initiating treatment with </w:t>
      </w:r>
      <w:r w:rsidRPr="00A14AF3">
        <w:rPr>
          <w:noProof/>
          <w:sz w:val="22"/>
          <w:szCs w:val="22"/>
        </w:rPr>
        <w:t>Victoza</w:t>
      </w:r>
      <w:r w:rsidRPr="00A14AF3">
        <w:rPr>
          <w:iCs/>
          <w:sz w:val="22"/>
          <w:szCs w:val="22"/>
        </w:rPr>
        <w:t xml:space="preserve"> in combination with a sulfonylurea or </w:t>
      </w:r>
      <w:proofErr w:type="gramStart"/>
      <w:r w:rsidRPr="00A14AF3">
        <w:rPr>
          <w:iCs/>
          <w:sz w:val="22"/>
          <w:szCs w:val="22"/>
        </w:rPr>
        <w:t xml:space="preserve">an </w:t>
      </w:r>
      <w:r w:rsidRPr="00A14AF3">
        <w:rPr>
          <w:iCs/>
          <w:sz w:val="22"/>
          <w:szCs w:val="22"/>
          <w:lang w:val="da-DK"/>
        </w:rPr>
        <w:t>insulin</w:t>
      </w:r>
      <w:proofErr w:type="gramEnd"/>
      <w:r w:rsidRPr="00A14AF3">
        <w:rPr>
          <w:iCs/>
          <w:sz w:val="22"/>
          <w:szCs w:val="22"/>
        </w:rPr>
        <w:t xml:space="preserve">, blood glucose self-monitoring may become necessary to adjust the dose of the sulfonylurea or the </w:t>
      </w:r>
      <w:r w:rsidRPr="00A14AF3">
        <w:rPr>
          <w:iCs/>
          <w:sz w:val="22"/>
          <w:szCs w:val="22"/>
          <w:lang w:val="da-DK"/>
        </w:rPr>
        <w:t>insulin</w:t>
      </w:r>
    </w:p>
    <w:p w14:paraId="64266F83" w14:textId="77777777" w:rsidR="00A14AF3" w:rsidRDefault="00A14AF3" w:rsidP="00416832">
      <w:pPr>
        <w:jc w:val="both"/>
        <w:rPr>
          <w:noProof/>
          <w:sz w:val="22"/>
          <w:szCs w:val="22"/>
        </w:rPr>
      </w:pPr>
    </w:p>
    <w:p w14:paraId="3190D2ED" w14:textId="0AA40E1E" w:rsidR="00A14AF3" w:rsidRDefault="00A14AF3" w:rsidP="00416832">
      <w:pPr>
        <w:jc w:val="both"/>
        <w:rPr>
          <w:noProof/>
          <w:sz w:val="22"/>
          <w:szCs w:val="22"/>
        </w:rPr>
      </w:pPr>
      <w:r w:rsidRPr="00314A8B">
        <w:rPr>
          <w:iCs/>
          <w:color w:val="000000"/>
          <w:sz w:val="22"/>
          <w:szCs w:val="22"/>
          <w:lang w:val="en-GB"/>
        </w:rPr>
        <w:t>Victoza</w:t>
      </w:r>
      <w:r>
        <w:rPr>
          <w:iCs/>
          <w:color w:val="000000"/>
          <w:sz w:val="22"/>
          <w:szCs w:val="22"/>
          <w:lang w:val="en-GB"/>
        </w:rPr>
        <w:t xml:space="preserve"> </w:t>
      </w:r>
      <w:r w:rsidRPr="00314A8B">
        <w:rPr>
          <w:iCs/>
          <w:color w:val="000000"/>
          <w:sz w:val="22"/>
          <w:szCs w:val="22"/>
          <w:lang w:val="en-GB"/>
        </w:rPr>
        <w:t xml:space="preserve">should not be used in combination with another GLP-1 receptor agonist. </w:t>
      </w:r>
    </w:p>
    <w:p w14:paraId="1BF89BE0" w14:textId="77777777" w:rsidR="00A14AF3" w:rsidRDefault="00A14AF3" w:rsidP="00416832">
      <w:pPr>
        <w:jc w:val="both"/>
        <w:rPr>
          <w:noProof/>
          <w:sz w:val="22"/>
          <w:szCs w:val="22"/>
        </w:rPr>
      </w:pPr>
    </w:p>
    <w:p w14:paraId="72AF0814" w14:textId="77777777" w:rsidR="00A14AF3" w:rsidRPr="009B57B6" w:rsidRDefault="00A14AF3" w:rsidP="00A14AF3">
      <w:pPr>
        <w:pStyle w:val="Heading5"/>
        <w:jc w:val="both"/>
        <w:rPr>
          <w:b/>
          <w:i w:val="0"/>
          <w:sz w:val="22"/>
          <w:szCs w:val="22"/>
          <w:u w:val="single"/>
        </w:rPr>
      </w:pPr>
      <w:r w:rsidRPr="009B57B6">
        <w:rPr>
          <w:i w:val="0"/>
          <w:sz w:val="22"/>
          <w:szCs w:val="22"/>
          <w:u w:val="single"/>
        </w:rPr>
        <w:t>Specific patient groups</w:t>
      </w:r>
    </w:p>
    <w:p w14:paraId="3FD5D3FD" w14:textId="77777777" w:rsidR="00A14AF3" w:rsidRPr="009B57B6" w:rsidRDefault="00A14AF3" w:rsidP="00A14AF3">
      <w:pPr>
        <w:keepNext/>
        <w:numPr>
          <w:ilvl w:val="12"/>
          <w:numId w:val="0"/>
        </w:numPr>
        <w:jc w:val="both"/>
        <w:rPr>
          <w:i/>
          <w:iCs/>
          <w:sz w:val="22"/>
          <w:szCs w:val="22"/>
          <w:lang w:val="da-DK"/>
        </w:rPr>
      </w:pPr>
      <w:r w:rsidRPr="009B57B6">
        <w:rPr>
          <w:i/>
          <w:iCs/>
          <w:sz w:val="22"/>
          <w:szCs w:val="22"/>
          <w:lang w:val="da-DK"/>
        </w:rPr>
        <w:t xml:space="preserve">Elderly </w:t>
      </w:r>
      <w:r w:rsidRPr="009B57B6">
        <w:rPr>
          <w:i/>
          <w:iCs/>
          <w:sz w:val="22"/>
          <w:szCs w:val="22"/>
        </w:rPr>
        <w:t>(&gt;65 years old)</w:t>
      </w:r>
    </w:p>
    <w:p w14:paraId="52BE3FE8" w14:textId="093259F8" w:rsidR="00A14AF3" w:rsidRDefault="00A14AF3" w:rsidP="00A14AF3">
      <w:pPr>
        <w:jc w:val="both"/>
        <w:rPr>
          <w:noProof/>
          <w:sz w:val="22"/>
          <w:szCs w:val="22"/>
        </w:rPr>
      </w:pPr>
      <w:r>
        <w:rPr>
          <w:iCs/>
          <w:sz w:val="22"/>
          <w:szCs w:val="22"/>
        </w:rPr>
        <w:t>No dose adjustment is required based on age (see Pharmacokinetics).</w:t>
      </w:r>
    </w:p>
    <w:p w14:paraId="67A68B29" w14:textId="77777777" w:rsidR="00A14AF3" w:rsidRDefault="00A14AF3" w:rsidP="00416832">
      <w:pPr>
        <w:jc w:val="both"/>
        <w:rPr>
          <w:noProof/>
          <w:sz w:val="22"/>
          <w:szCs w:val="22"/>
        </w:rPr>
      </w:pPr>
    </w:p>
    <w:p w14:paraId="4AB9A79A" w14:textId="77777777" w:rsidR="00A14AF3" w:rsidRPr="00214C64" w:rsidRDefault="00A14AF3" w:rsidP="00A14AF3">
      <w:pPr>
        <w:keepNext/>
        <w:numPr>
          <w:ilvl w:val="12"/>
          <w:numId w:val="0"/>
        </w:numPr>
        <w:jc w:val="both"/>
        <w:rPr>
          <w:iCs/>
          <w:sz w:val="22"/>
          <w:szCs w:val="22"/>
          <w:u w:val="single"/>
          <w:lang w:val="en-AU"/>
        </w:rPr>
      </w:pPr>
      <w:r w:rsidRPr="009B57B6">
        <w:rPr>
          <w:i/>
          <w:iCs/>
          <w:sz w:val="22"/>
          <w:szCs w:val="22"/>
          <w:lang w:val="da-DK"/>
        </w:rPr>
        <w:t>Patients with hepatic impairment</w:t>
      </w:r>
    </w:p>
    <w:p w14:paraId="7B35829A" w14:textId="4F5FAE10" w:rsidR="00A14AF3" w:rsidRDefault="00A14AF3" w:rsidP="00A14AF3">
      <w:pPr>
        <w:jc w:val="both"/>
        <w:rPr>
          <w:noProof/>
          <w:sz w:val="22"/>
          <w:szCs w:val="22"/>
        </w:rPr>
      </w:pPr>
      <w:r>
        <w:rPr>
          <w:sz w:val="22"/>
          <w:szCs w:val="22"/>
          <w:lang w:val="en-GB" w:eastAsia="en-AU"/>
        </w:rPr>
        <w:t>No dose adjustment is required for patients with hepatic impairment (see Pharmacokinetics).</w:t>
      </w:r>
    </w:p>
    <w:p w14:paraId="4EE03E90" w14:textId="77777777" w:rsidR="00A14AF3" w:rsidRDefault="00A14AF3" w:rsidP="00416832">
      <w:pPr>
        <w:jc w:val="both"/>
        <w:rPr>
          <w:noProof/>
          <w:sz w:val="22"/>
          <w:szCs w:val="22"/>
        </w:rPr>
      </w:pPr>
    </w:p>
    <w:p w14:paraId="40203C84" w14:textId="77777777" w:rsidR="00A14AF3" w:rsidRPr="00214C64" w:rsidRDefault="00A14AF3" w:rsidP="00A14AF3">
      <w:pPr>
        <w:keepNext/>
        <w:numPr>
          <w:ilvl w:val="12"/>
          <w:numId w:val="0"/>
        </w:numPr>
        <w:jc w:val="both"/>
        <w:rPr>
          <w:iCs/>
          <w:sz w:val="22"/>
          <w:szCs w:val="22"/>
          <w:u w:val="single"/>
          <w:lang w:val="en-AU"/>
        </w:rPr>
      </w:pPr>
      <w:r w:rsidRPr="009B57B6">
        <w:rPr>
          <w:i/>
          <w:iCs/>
          <w:sz w:val="22"/>
          <w:szCs w:val="22"/>
          <w:lang w:val="da-DK"/>
        </w:rPr>
        <w:t>Patients with renal impairment</w:t>
      </w:r>
    </w:p>
    <w:p w14:paraId="0BCCF474" w14:textId="2FBE6FBE" w:rsidR="00A14AF3" w:rsidRDefault="00A14AF3" w:rsidP="00A14AF3">
      <w:pPr>
        <w:jc w:val="both"/>
        <w:rPr>
          <w:noProof/>
          <w:sz w:val="22"/>
          <w:szCs w:val="22"/>
        </w:rPr>
      </w:pPr>
      <w:r>
        <w:rPr>
          <w:sz w:val="22"/>
          <w:szCs w:val="22"/>
          <w:lang w:val="en-GB" w:eastAsia="en-AU"/>
        </w:rPr>
        <w:t xml:space="preserve">No dose adjustment is required for patients with mild, </w:t>
      </w:r>
      <w:r w:rsidRPr="005E64F0">
        <w:rPr>
          <w:iCs/>
          <w:sz w:val="22"/>
          <w:szCs w:val="22"/>
          <w:lang w:val="da-DK" w:eastAsia="en-AU"/>
        </w:rPr>
        <w:t xml:space="preserve">moderate </w:t>
      </w:r>
      <w:r>
        <w:rPr>
          <w:iCs/>
          <w:sz w:val="22"/>
          <w:szCs w:val="22"/>
          <w:lang w:val="da-DK" w:eastAsia="en-AU"/>
        </w:rPr>
        <w:t xml:space="preserve">or severe </w:t>
      </w:r>
      <w:r>
        <w:rPr>
          <w:sz w:val="22"/>
          <w:szCs w:val="22"/>
          <w:lang w:val="en-GB" w:eastAsia="en-AU"/>
        </w:rPr>
        <w:t xml:space="preserve">renal impairment. </w:t>
      </w:r>
      <w:r w:rsidRPr="005E64F0">
        <w:rPr>
          <w:iCs/>
          <w:sz w:val="22"/>
          <w:szCs w:val="22"/>
          <w:lang w:val="da-DK" w:eastAsia="en-AU"/>
        </w:rPr>
        <w:t xml:space="preserve">There is no therapeutic experience in patients with </w:t>
      </w:r>
      <w:r>
        <w:rPr>
          <w:sz w:val="22"/>
          <w:szCs w:val="22"/>
          <w:lang w:val="en-GB" w:eastAsia="en-AU"/>
        </w:rPr>
        <w:t>end</w:t>
      </w:r>
      <w:r>
        <w:rPr>
          <w:sz w:val="22"/>
          <w:szCs w:val="22"/>
          <w:lang w:val="en-GB" w:eastAsia="en-AU"/>
        </w:rPr>
        <w:noBreakHyphen/>
        <w:t xml:space="preserve">stage renal disease </w:t>
      </w:r>
      <w:r>
        <w:rPr>
          <w:iCs/>
          <w:sz w:val="22"/>
          <w:szCs w:val="22"/>
          <w:lang w:val="da-DK" w:eastAsia="en-AU"/>
        </w:rPr>
        <w:t xml:space="preserve">and </w:t>
      </w:r>
      <w:r>
        <w:rPr>
          <w:sz w:val="22"/>
          <w:szCs w:val="22"/>
          <w:lang w:val="en-GB" w:eastAsia="en-AU"/>
        </w:rPr>
        <w:t xml:space="preserve">Victoza is therefore not recommended for use in these patients(see Pharmacokinetics </w:t>
      </w:r>
      <w:r w:rsidRPr="007D494F">
        <w:rPr>
          <w:sz w:val="22"/>
          <w:szCs w:val="22"/>
          <w:lang w:val="en-GB" w:eastAsia="en-AU"/>
        </w:rPr>
        <w:t>and PRECAUTIONS</w:t>
      </w:r>
      <w:r>
        <w:rPr>
          <w:sz w:val="22"/>
          <w:szCs w:val="22"/>
          <w:lang w:val="en-GB" w:eastAsia="en-AU"/>
        </w:rPr>
        <w:t>).</w:t>
      </w:r>
    </w:p>
    <w:p w14:paraId="50CACD52" w14:textId="77777777" w:rsidR="00A14AF3" w:rsidRDefault="00A14AF3" w:rsidP="00416832">
      <w:pPr>
        <w:jc w:val="both"/>
        <w:rPr>
          <w:noProof/>
          <w:sz w:val="22"/>
          <w:szCs w:val="22"/>
        </w:rPr>
      </w:pPr>
    </w:p>
    <w:p w14:paraId="6EA57981" w14:textId="77777777" w:rsidR="00A14AF3" w:rsidRPr="00A14AF3" w:rsidRDefault="00A14AF3" w:rsidP="00A14AF3">
      <w:pPr>
        <w:keepNext/>
        <w:numPr>
          <w:ilvl w:val="12"/>
          <w:numId w:val="0"/>
        </w:numPr>
        <w:jc w:val="both"/>
        <w:rPr>
          <w:iCs/>
          <w:sz w:val="22"/>
          <w:szCs w:val="22"/>
          <w:u w:val="single"/>
          <w:lang w:val="en-AU"/>
        </w:rPr>
      </w:pPr>
      <w:r w:rsidRPr="00A14AF3">
        <w:rPr>
          <w:i/>
          <w:iCs/>
          <w:sz w:val="22"/>
          <w:szCs w:val="22"/>
          <w:lang w:val="da-DK"/>
        </w:rPr>
        <w:t>Children and adolescents</w:t>
      </w:r>
    </w:p>
    <w:p w14:paraId="0F33B210" w14:textId="5D333516" w:rsidR="00A14AF3" w:rsidRPr="00A14AF3" w:rsidRDefault="00A14AF3" w:rsidP="00A14AF3">
      <w:pPr>
        <w:jc w:val="both"/>
        <w:rPr>
          <w:noProof/>
          <w:sz w:val="22"/>
          <w:szCs w:val="22"/>
        </w:rPr>
      </w:pPr>
      <w:r w:rsidRPr="00A14AF3">
        <w:rPr>
          <w:iCs/>
          <w:sz w:val="22"/>
          <w:szCs w:val="22"/>
        </w:rPr>
        <w:t xml:space="preserve">Victoza is not recommended for use in children below 18 years of age. </w:t>
      </w:r>
      <w:r w:rsidRPr="00A14AF3">
        <w:rPr>
          <w:iCs/>
          <w:sz w:val="22"/>
          <w:szCs w:val="22"/>
          <w:lang w:val="da-DK"/>
        </w:rPr>
        <w:t>The safety and efficacy of Victoza in children and adolescents below age 18 have not been established. No data are available.</w:t>
      </w:r>
    </w:p>
    <w:p w14:paraId="4D42B92C" w14:textId="77777777" w:rsidR="00A14AF3" w:rsidRPr="00A14AF3" w:rsidRDefault="00A14AF3" w:rsidP="00416832">
      <w:pPr>
        <w:jc w:val="both"/>
        <w:rPr>
          <w:noProof/>
          <w:sz w:val="22"/>
          <w:szCs w:val="22"/>
        </w:rPr>
      </w:pPr>
    </w:p>
    <w:p w14:paraId="4F91AC4F" w14:textId="77777777" w:rsidR="00A14AF3" w:rsidRPr="00A14AF3" w:rsidRDefault="00A14AF3" w:rsidP="00A14AF3">
      <w:pPr>
        <w:pStyle w:val="Heading4"/>
        <w:rPr>
          <w:b/>
          <w:sz w:val="22"/>
          <w:szCs w:val="22"/>
        </w:rPr>
      </w:pPr>
      <w:r w:rsidRPr="00A14AF3">
        <w:rPr>
          <w:b/>
          <w:i w:val="0"/>
          <w:sz w:val="22"/>
          <w:szCs w:val="22"/>
          <w:u w:val="single"/>
        </w:rPr>
        <w:t>Special precautions for disposal and other handling</w:t>
      </w:r>
    </w:p>
    <w:p w14:paraId="13C6B104" w14:textId="228C2B91" w:rsidR="00A14AF3" w:rsidRPr="00A14AF3" w:rsidRDefault="00A14AF3" w:rsidP="00A14AF3">
      <w:pPr>
        <w:jc w:val="both"/>
        <w:rPr>
          <w:noProof/>
          <w:sz w:val="22"/>
          <w:szCs w:val="22"/>
        </w:rPr>
      </w:pPr>
      <w:r w:rsidRPr="00A14AF3">
        <w:rPr>
          <w:noProof/>
          <w:sz w:val="22"/>
          <w:szCs w:val="22"/>
        </w:rPr>
        <w:t>The Victoza pen is for use by one person only.</w:t>
      </w:r>
    </w:p>
    <w:p w14:paraId="4881ACBC" w14:textId="77777777" w:rsidR="00A14AF3" w:rsidRPr="00A14AF3" w:rsidRDefault="00A14AF3" w:rsidP="00416832">
      <w:pPr>
        <w:jc w:val="both"/>
        <w:rPr>
          <w:noProof/>
          <w:sz w:val="22"/>
          <w:szCs w:val="22"/>
        </w:rPr>
      </w:pPr>
    </w:p>
    <w:p w14:paraId="31CC90AC" w14:textId="0CEE16F3" w:rsidR="00A14AF3" w:rsidRPr="00A14AF3" w:rsidRDefault="00A14AF3" w:rsidP="00416832">
      <w:pPr>
        <w:jc w:val="both"/>
        <w:rPr>
          <w:noProof/>
          <w:sz w:val="22"/>
          <w:szCs w:val="22"/>
        </w:rPr>
      </w:pPr>
      <w:r w:rsidRPr="00A14AF3">
        <w:rPr>
          <w:noProof/>
          <w:sz w:val="22"/>
          <w:szCs w:val="22"/>
        </w:rPr>
        <w:t>Victoza</w:t>
      </w:r>
      <w:r w:rsidRPr="00A14AF3">
        <w:rPr>
          <w:sz w:val="22"/>
          <w:szCs w:val="22"/>
        </w:rPr>
        <w:t xml:space="preserve"> should not be used if it does not appear clear and </w:t>
      </w:r>
      <w:proofErr w:type="spellStart"/>
      <w:r w:rsidRPr="00A14AF3">
        <w:rPr>
          <w:sz w:val="22"/>
          <w:szCs w:val="22"/>
        </w:rPr>
        <w:t>colourless</w:t>
      </w:r>
      <w:proofErr w:type="spellEnd"/>
      <w:r w:rsidRPr="00A14AF3">
        <w:rPr>
          <w:iCs/>
          <w:sz w:val="22"/>
          <w:szCs w:val="22"/>
        </w:rPr>
        <w:t xml:space="preserve">, or almost </w:t>
      </w:r>
      <w:proofErr w:type="spellStart"/>
      <w:r w:rsidRPr="00A14AF3">
        <w:rPr>
          <w:iCs/>
          <w:sz w:val="22"/>
          <w:szCs w:val="22"/>
        </w:rPr>
        <w:t>colourless</w:t>
      </w:r>
      <w:proofErr w:type="spellEnd"/>
      <w:r w:rsidRPr="00A14AF3">
        <w:rPr>
          <w:sz w:val="22"/>
          <w:szCs w:val="22"/>
        </w:rPr>
        <w:t>.</w:t>
      </w:r>
    </w:p>
    <w:p w14:paraId="0FD6F14D" w14:textId="77777777" w:rsidR="00A14AF3" w:rsidRPr="00A14AF3" w:rsidRDefault="00A14AF3" w:rsidP="00416832">
      <w:pPr>
        <w:jc w:val="both"/>
        <w:rPr>
          <w:noProof/>
          <w:sz w:val="22"/>
          <w:szCs w:val="22"/>
        </w:rPr>
      </w:pPr>
    </w:p>
    <w:p w14:paraId="43F3D025" w14:textId="69C3C585" w:rsidR="00A14AF3" w:rsidRPr="00A14AF3" w:rsidRDefault="00A14AF3" w:rsidP="00416832">
      <w:pPr>
        <w:jc w:val="both"/>
        <w:rPr>
          <w:noProof/>
          <w:sz w:val="22"/>
          <w:szCs w:val="22"/>
        </w:rPr>
      </w:pPr>
      <w:r w:rsidRPr="00A14AF3">
        <w:rPr>
          <w:noProof/>
          <w:sz w:val="22"/>
          <w:szCs w:val="22"/>
        </w:rPr>
        <w:t>Victoza</w:t>
      </w:r>
      <w:r w:rsidRPr="00A14AF3">
        <w:rPr>
          <w:sz w:val="22"/>
          <w:szCs w:val="22"/>
        </w:rPr>
        <w:t xml:space="preserve"> should not be used if it has been frozen.</w:t>
      </w:r>
    </w:p>
    <w:p w14:paraId="7B84E59E" w14:textId="77777777" w:rsidR="00A14AF3" w:rsidRPr="00A14AF3" w:rsidRDefault="00A14AF3" w:rsidP="00416832">
      <w:pPr>
        <w:jc w:val="both"/>
        <w:rPr>
          <w:noProof/>
          <w:sz w:val="22"/>
          <w:szCs w:val="22"/>
        </w:rPr>
      </w:pPr>
    </w:p>
    <w:p w14:paraId="3469D7DC" w14:textId="7199BE52" w:rsidR="00A14AF3" w:rsidRDefault="00A14AF3" w:rsidP="00416832">
      <w:pPr>
        <w:jc w:val="both"/>
        <w:rPr>
          <w:noProof/>
          <w:sz w:val="22"/>
          <w:szCs w:val="22"/>
        </w:rPr>
      </w:pPr>
      <w:r w:rsidRPr="00A14AF3">
        <w:rPr>
          <w:noProof/>
          <w:sz w:val="22"/>
          <w:szCs w:val="22"/>
        </w:rPr>
        <w:t>Victoza</w:t>
      </w:r>
      <w:r w:rsidRPr="00A14AF3">
        <w:rPr>
          <w:sz w:val="22"/>
          <w:szCs w:val="22"/>
        </w:rPr>
        <w:t xml:space="preserve"> can be administered with needles up to a length of 8 mm and as thin as 32G. The pen is designed to be used with </w:t>
      </w:r>
      <w:proofErr w:type="spellStart"/>
      <w:r w:rsidRPr="00A14AF3">
        <w:rPr>
          <w:sz w:val="22"/>
          <w:szCs w:val="22"/>
        </w:rPr>
        <w:t>NovoFine</w:t>
      </w:r>
      <w:proofErr w:type="spellEnd"/>
      <w:r w:rsidRPr="00A14AF3">
        <w:rPr>
          <w:sz w:val="22"/>
          <w:szCs w:val="22"/>
          <w:vertAlign w:val="superscript"/>
        </w:rPr>
        <w:t>®</w:t>
      </w:r>
      <w:r w:rsidRPr="00A14AF3">
        <w:rPr>
          <w:sz w:val="22"/>
          <w:szCs w:val="22"/>
        </w:rPr>
        <w:t xml:space="preserve"> disposable needles. </w:t>
      </w:r>
      <w:r w:rsidRPr="00A14AF3">
        <w:rPr>
          <w:bCs/>
          <w:sz w:val="22"/>
          <w:szCs w:val="22"/>
          <w:lang w:val="da-DK"/>
        </w:rPr>
        <w:t>Needles are not included.</w:t>
      </w:r>
    </w:p>
    <w:p w14:paraId="5B8AD754" w14:textId="77777777" w:rsidR="00A14AF3" w:rsidRDefault="00A14AF3" w:rsidP="00416832">
      <w:pPr>
        <w:jc w:val="both"/>
        <w:rPr>
          <w:noProof/>
          <w:sz w:val="22"/>
          <w:szCs w:val="22"/>
        </w:rPr>
      </w:pPr>
    </w:p>
    <w:p w14:paraId="7873AB7F" w14:textId="584D9C5B" w:rsidR="00A14AF3" w:rsidRPr="00A14AF3" w:rsidRDefault="00A14AF3" w:rsidP="00416832">
      <w:pPr>
        <w:jc w:val="both"/>
        <w:rPr>
          <w:noProof/>
          <w:sz w:val="22"/>
          <w:szCs w:val="22"/>
        </w:rPr>
      </w:pPr>
      <w:r w:rsidRPr="00A14AF3">
        <w:rPr>
          <w:sz w:val="22"/>
          <w:szCs w:val="22"/>
        </w:rPr>
        <w:t>The patient should be advised to discard the injection needle in accordance with local requirements after each injection and to store the Victoza pen without the injection needle attached. This prevents contamination, infection and leakage. It also ensures that dosing is accurate.</w:t>
      </w:r>
    </w:p>
    <w:p w14:paraId="08871C41" w14:textId="77777777" w:rsidR="00A14AF3" w:rsidRDefault="00A14AF3" w:rsidP="00416832">
      <w:pPr>
        <w:jc w:val="both"/>
        <w:rPr>
          <w:noProof/>
          <w:sz w:val="22"/>
          <w:szCs w:val="22"/>
        </w:rPr>
      </w:pPr>
    </w:p>
    <w:p w14:paraId="4253997E" w14:textId="3474424D" w:rsidR="00A14AF3" w:rsidRPr="00A14AF3" w:rsidRDefault="00A14AF3" w:rsidP="00416832">
      <w:pPr>
        <w:jc w:val="both"/>
        <w:rPr>
          <w:b/>
          <w:noProof/>
        </w:rPr>
      </w:pPr>
      <w:r w:rsidRPr="00A14AF3">
        <w:rPr>
          <w:b/>
          <w:noProof/>
        </w:rPr>
        <w:t>OVERDOSAGE</w:t>
      </w:r>
    </w:p>
    <w:p w14:paraId="2B80A8AF" w14:textId="77777777" w:rsidR="00A14AF3" w:rsidRDefault="00A14AF3" w:rsidP="00416832">
      <w:pPr>
        <w:jc w:val="both"/>
        <w:rPr>
          <w:noProof/>
          <w:sz w:val="22"/>
          <w:szCs w:val="22"/>
        </w:rPr>
      </w:pPr>
    </w:p>
    <w:p w14:paraId="5D500D1C" w14:textId="4E3A7849" w:rsidR="00A14AF3" w:rsidRDefault="00A14AF3" w:rsidP="00416832">
      <w:pPr>
        <w:jc w:val="both"/>
        <w:rPr>
          <w:noProof/>
          <w:sz w:val="22"/>
          <w:szCs w:val="22"/>
        </w:rPr>
      </w:pPr>
      <w:r w:rsidRPr="00CD4017">
        <w:rPr>
          <w:sz w:val="22"/>
          <w:szCs w:val="22"/>
        </w:rPr>
        <w:t>For information on the management of overdose, contact the Poison Information Centre on 131126 (Australia).</w:t>
      </w:r>
    </w:p>
    <w:p w14:paraId="6B204562" w14:textId="77777777" w:rsidR="00A14AF3" w:rsidRDefault="00A14AF3" w:rsidP="00416832">
      <w:pPr>
        <w:jc w:val="both"/>
        <w:rPr>
          <w:noProof/>
          <w:sz w:val="22"/>
          <w:szCs w:val="22"/>
        </w:rPr>
      </w:pPr>
    </w:p>
    <w:p w14:paraId="5012B065" w14:textId="3F7B1C73" w:rsidR="00A14AF3" w:rsidRDefault="00A14AF3" w:rsidP="00416832">
      <w:pPr>
        <w:jc w:val="both"/>
        <w:rPr>
          <w:noProof/>
          <w:sz w:val="22"/>
          <w:szCs w:val="22"/>
        </w:rPr>
      </w:pPr>
      <w:r w:rsidRPr="00F76B78">
        <w:rPr>
          <w:sz w:val="22"/>
          <w:szCs w:val="22"/>
        </w:rPr>
        <w:lastRenderedPageBreak/>
        <w:t>From clinical trials and post-market use, deliberate or accidental administration of dose</w:t>
      </w:r>
      <w:r>
        <w:rPr>
          <w:sz w:val="22"/>
          <w:szCs w:val="22"/>
        </w:rPr>
        <w:t>s</w:t>
      </w:r>
      <w:r w:rsidRPr="00F76B78">
        <w:rPr>
          <w:sz w:val="22"/>
          <w:szCs w:val="22"/>
        </w:rPr>
        <w:t xml:space="preserve"> up to 40 times the recommended maintenance dose (72 mg) have been reported</w:t>
      </w:r>
      <w:r>
        <w:rPr>
          <w:sz w:val="22"/>
          <w:szCs w:val="22"/>
        </w:rPr>
        <w:t>, including o</w:t>
      </w:r>
      <w:r w:rsidRPr="00F76B78">
        <w:rPr>
          <w:sz w:val="22"/>
          <w:szCs w:val="22"/>
        </w:rPr>
        <w:t>ne case of a 10-fold overdose (18 mg daily) given for 7 months. These included instances where patients needed hospitalisation either due to severe events of vomiting</w:t>
      </w:r>
      <w:r>
        <w:rPr>
          <w:sz w:val="22"/>
          <w:szCs w:val="22"/>
        </w:rPr>
        <w:t>,</w:t>
      </w:r>
      <w:r w:rsidRPr="00F76B78">
        <w:rPr>
          <w:sz w:val="22"/>
          <w:szCs w:val="22"/>
        </w:rPr>
        <w:t xml:space="preserve"> nausea</w:t>
      </w:r>
      <w:r>
        <w:rPr>
          <w:sz w:val="22"/>
          <w:szCs w:val="22"/>
        </w:rPr>
        <w:t xml:space="preserve"> and </w:t>
      </w:r>
      <w:r w:rsidRPr="00F76B78">
        <w:rPr>
          <w:sz w:val="22"/>
          <w:szCs w:val="22"/>
        </w:rPr>
        <w:t>diarrhoea</w:t>
      </w:r>
      <w:r>
        <w:rPr>
          <w:sz w:val="22"/>
          <w:szCs w:val="22"/>
        </w:rPr>
        <w:t xml:space="preserve"> </w:t>
      </w:r>
      <w:r w:rsidRPr="00F76B78">
        <w:rPr>
          <w:sz w:val="22"/>
          <w:szCs w:val="22"/>
        </w:rPr>
        <w:t xml:space="preserve">or as a precaution. In some reports glucose infusion was administered but none were associated with severe </w:t>
      </w:r>
      <w:proofErr w:type="spellStart"/>
      <w:r w:rsidRPr="00F76B78">
        <w:rPr>
          <w:sz w:val="22"/>
          <w:szCs w:val="22"/>
        </w:rPr>
        <w:t>hypoglycaemia</w:t>
      </w:r>
      <w:proofErr w:type="spellEnd"/>
      <w:r w:rsidRPr="00F76B78">
        <w:rPr>
          <w:sz w:val="22"/>
          <w:szCs w:val="22"/>
        </w:rPr>
        <w:t>. All patients were reported to have recovered from the events without complications.</w:t>
      </w:r>
      <w:r w:rsidRPr="00F76B78">
        <w:rPr>
          <w:b/>
          <w:iCs/>
          <w:sz w:val="22"/>
          <w:szCs w:val="22"/>
        </w:rPr>
        <w:t xml:space="preserve"> </w:t>
      </w:r>
    </w:p>
    <w:p w14:paraId="7805ECD4" w14:textId="77777777" w:rsidR="00A14AF3" w:rsidRDefault="00A14AF3" w:rsidP="00416832">
      <w:pPr>
        <w:jc w:val="both"/>
        <w:rPr>
          <w:noProof/>
          <w:sz w:val="22"/>
          <w:szCs w:val="22"/>
        </w:rPr>
      </w:pPr>
    </w:p>
    <w:p w14:paraId="3F0D291B" w14:textId="35B37310" w:rsidR="00A14AF3" w:rsidRDefault="00A14AF3" w:rsidP="00416832">
      <w:pPr>
        <w:jc w:val="both"/>
        <w:rPr>
          <w:noProof/>
          <w:sz w:val="22"/>
          <w:szCs w:val="22"/>
        </w:rPr>
      </w:pPr>
      <w:r w:rsidRPr="00F76B78">
        <w:rPr>
          <w:sz w:val="22"/>
          <w:szCs w:val="22"/>
        </w:rPr>
        <w:t>In the event of overdosage, appropriate supportive treatment should be initiated according to the patient’s clinical signs and symptoms.</w:t>
      </w:r>
    </w:p>
    <w:p w14:paraId="76EEC733" w14:textId="77777777" w:rsidR="00A14AF3" w:rsidRDefault="00A14AF3" w:rsidP="00416832">
      <w:pPr>
        <w:jc w:val="both"/>
        <w:rPr>
          <w:noProof/>
          <w:sz w:val="22"/>
          <w:szCs w:val="22"/>
        </w:rPr>
      </w:pPr>
    </w:p>
    <w:p w14:paraId="415CD9ED" w14:textId="45CDF13B" w:rsidR="00A14AF3" w:rsidRPr="00A14AF3" w:rsidRDefault="00A14AF3" w:rsidP="00416832">
      <w:pPr>
        <w:jc w:val="both"/>
        <w:rPr>
          <w:b/>
          <w:noProof/>
          <w:sz w:val="22"/>
          <w:szCs w:val="22"/>
        </w:rPr>
      </w:pPr>
      <w:bookmarkStart w:id="9" w:name="_Toc463020845"/>
      <w:r w:rsidRPr="00A14AF3">
        <w:rPr>
          <w:b/>
        </w:rPr>
        <w:t>PRESENTATION AND STORAGE CONDITIONS</w:t>
      </w:r>
      <w:bookmarkEnd w:id="9"/>
    </w:p>
    <w:p w14:paraId="2221303E" w14:textId="77777777" w:rsidR="00A14AF3" w:rsidRDefault="00A14AF3" w:rsidP="00416832">
      <w:pPr>
        <w:jc w:val="both"/>
        <w:rPr>
          <w:noProof/>
          <w:sz w:val="22"/>
          <w:szCs w:val="22"/>
        </w:rPr>
      </w:pPr>
    </w:p>
    <w:p w14:paraId="65F4766A" w14:textId="77777777" w:rsidR="00A14AF3" w:rsidRDefault="00A14AF3" w:rsidP="00A14AF3">
      <w:pPr>
        <w:pStyle w:val="Heading4"/>
        <w:rPr>
          <w:b/>
          <w:i w:val="0"/>
          <w:szCs w:val="22"/>
        </w:rPr>
      </w:pPr>
      <w:r w:rsidRPr="007D2EB5">
        <w:rPr>
          <w:b/>
          <w:i w:val="0"/>
          <w:sz w:val="22"/>
          <w:szCs w:val="22"/>
          <w:u w:val="single"/>
        </w:rPr>
        <w:t>Presentations</w:t>
      </w:r>
    </w:p>
    <w:p w14:paraId="6E6F9D31" w14:textId="77777777" w:rsidR="00A14AF3" w:rsidRPr="00A14AF3" w:rsidRDefault="00A14AF3" w:rsidP="00A14AF3">
      <w:pPr>
        <w:pStyle w:val="BodyText"/>
        <w:jc w:val="both"/>
        <w:rPr>
          <w:szCs w:val="22"/>
        </w:rPr>
      </w:pPr>
      <w:r w:rsidRPr="00A14AF3">
        <w:rPr>
          <w:szCs w:val="22"/>
        </w:rPr>
        <w:t>Cartridge (type 1 glass) with a plunger (</w:t>
      </w:r>
      <w:proofErr w:type="spellStart"/>
      <w:r w:rsidRPr="00A14AF3">
        <w:rPr>
          <w:szCs w:val="22"/>
        </w:rPr>
        <w:t>bromobutyl</w:t>
      </w:r>
      <w:proofErr w:type="spellEnd"/>
      <w:r w:rsidRPr="00A14AF3">
        <w:rPr>
          <w:szCs w:val="22"/>
        </w:rPr>
        <w:t>) and a laminate rubber sheet (</w:t>
      </w:r>
      <w:proofErr w:type="spellStart"/>
      <w:r w:rsidRPr="00A14AF3">
        <w:rPr>
          <w:szCs w:val="22"/>
        </w:rPr>
        <w:t>bromobutyl</w:t>
      </w:r>
      <w:proofErr w:type="spellEnd"/>
      <w:r w:rsidRPr="00A14AF3">
        <w:rPr>
          <w:szCs w:val="22"/>
        </w:rPr>
        <w:t>/</w:t>
      </w:r>
      <w:proofErr w:type="spellStart"/>
      <w:r w:rsidRPr="00A14AF3">
        <w:rPr>
          <w:szCs w:val="22"/>
        </w:rPr>
        <w:t>polyisoprene</w:t>
      </w:r>
      <w:proofErr w:type="spellEnd"/>
      <w:r w:rsidRPr="00A14AF3">
        <w:rPr>
          <w:szCs w:val="22"/>
        </w:rPr>
        <w:t xml:space="preserve">) contained in a pre-filled </w:t>
      </w:r>
      <w:proofErr w:type="spellStart"/>
      <w:r w:rsidRPr="00A14AF3">
        <w:rPr>
          <w:szCs w:val="22"/>
        </w:rPr>
        <w:t>multidose</w:t>
      </w:r>
      <w:proofErr w:type="spellEnd"/>
      <w:r w:rsidRPr="00A14AF3">
        <w:rPr>
          <w:szCs w:val="22"/>
        </w:rPr>
        <w:t xml:space="preserve"> disposable pen made of polyolefin and </w:t>
      </w:r>
      <w:proofErr w:type="spellStart"/>
      <w:r w:rsidRPr="00A14AF3">
        <w:rPr>
          <w:szCs w:val="22"/>
        </w:rPr>
        <w:t>polyacetal</w:t>
      </w:r>
      <w:proofErr w:type="spellEnd"/>
      <w:r w:rsidRPr="00A14AF3">
        <w:rPr>
          <w:szCs w:val="22"/>
        </w:rPr>
        <w:t xml:space="preserve">. </w:t>
      </w:r>
    </w:p>
    <w:p w14:paraId="6E447783" w14:textId="77777777" w:rsidR="00A14AF3" w:rsidRPr="00A14AF3" w:rsidRDefault="00A14AF3" w:rsidP="00416832">
      <w:pPr>
        <w:jc w:val="both"/>
        <w:rPr>
          <w:noProof/>
          <w:sz w:val="22"/>
          <w:szCs w:val="22"/>
        </w:rPr>
      </w:pPr>
    </w:p>
    <w:p w14:paraId="53A9D73F" w14:textId="0F9FAF0C" w:rsidR="00A14AF3" w:rsidRPr="00A14AF3" w:rsidRDefault="00A14AF3" w:rsidP="00416832">
      <w:pPr>
        <w:jc w:val="both"/>
        <w:rPr>
          <w:noProof/>
          <w:sz w:val="22"/>
          <w:szCs w:val="22"/>
        </w:rPr>
      </w:pPr>
      <w:r w:rsidRPr="00A14AF3">
        <w:rPr>
          <w:sz w:val="22"/>
          <w:szCs w:val="22"/>
        </w:rPr>
        <w:t xml:space="preserve">Each pen contains 3 mL solution, delivering 30 doses of 0.6 mg, 15 doses of 1.2 mg or 10 doses of 1.8 mg. </w:t>
      </w:r>
    </w:p>
    <w:p w14:paraId="165B6E90" w14:textId="77777777" w:rsidR="00A14AF3" w:rsidRPr="00A14AF3" w:rsidRDefault="00A14AF3" w:rsidP="00416832">
      <w:pPr>
        <w:jc w:val="both"/>
        <w:rPr>
          <w:noProof/>
          <w:sz w:val="22"/>
          <w:szCs w:val="22"/>
        </w:rPr>
      </w:pPr>
    </w:p>
    <w:p w14:paraId="6B8CF8C8" w14:textId="065D23FA" w:rsidR="00A14AF3" w:rsidRDefault="00A14AF3" w:rsidP="00416832">
      <w:pPr>
        <w:jc w:val="both"/>
        <w:rPr>
          <w:noProof/>
          <w:sz w:val="22"/>
          <w:szCs w:val="22"/>
        </w:rPr>
      </w:pPr>
      <w:r w:rsidRPr="00A14AF3">
        <w:rPr>
          <w:sz w:val="22"/>
          <w:szCs w:val="22"/>
        </w:rPr>
        <w:t>Pack sizes of 1, 2, 3, 5 or 10 pre-filled pens.  Not all pack sizes may be marketed.</w:t>
      </w:r>
    </w:p>
    <w:p w14:paraId="1A310AB8" w14:textId="77777777" w:rsidR="00A14AF3" w:rsidRDefault="00A14AF3" w:rsidP="00416832">
      <w:pPr>
        <w:jc w:val="both"/>
        <w:rPr>
          <w:noProof/>
          <w:sz w:val="22"/>
          <w:szCs w:val="22"/>
        </w:rPr>
      </w:pPr>
    </w:p>
    <w:p w14:paraId="24F7A424" w14:textId="77777777" w:rsidR="00A14AF3" w:rsidRDefault="00A14AF3" w:rsidP="00A14AF3">
      <w:pPr>
        <w:pStyle w:val="Heading4"/>
        <w:rPr>
          <w:b/>
          <w:i w:val="0"/>
          <w:szCs w:val="22"/>
        </w:rPr>
      </w:pPr>
      <w:r w:rsidRPr="007D2EB5">
        <w:rPr>
          <w:b/>
          <w:i w:val="0"/>
          <w:sz w:val="22"/>
          <w:szCs w:val="22"/>
          <w:u w:val="single"/>
        </w:rPr>
        <w:t>Storage conditions</w:t>
      </w:r>
    </w:p>
    <w:p w14:paraId="6674E445" w14:textId="4B60B612" w:rsidR="00A14AF3" w:rsidRPr="00A14AF3" w:rsidRDefault="00A14AF3" w:rsidP="00A14AF3">
      <w:pPr>
        <w:jc w:val="both"/>
        <w:rPr>
          <w:noProof/>
          <w:sz w:val="22"/>
          <w:szCs w:val="22"/>
        </w:rPr>
      </w:pPr>
      <w:proofErr w:type="gramStart"/>
      <w:r w:rsidRPr="00A14AF3">
        <w:rPr>
          <w:sz w:val="22"/>
          <w:szCs w:val="22"/>
        </w:rPr>
        <w:t>Store in a refrigerator (2°C to 8°C).</w:t>
      </w:r>
      <w:proofErr w:type="gramEnd"/>
      <w:r w:rsidRPr="00A14AF3">
        <w:rPr>
          <w:sz w:val="22"/>
          <w:szCs w:val="22"/>
        </w:rPr>
        <w:t xml:space="preserve"> Keep away from the cooling element. Do not freeze </w:t>
      </w:r>
      <w:r w:rsidRPr="00A14AF3">
        <w:rPr>
          <w:noProof/>
          <w:sz w:val="22"/>
          <w:szCs w:val="22"/>
        </w:rPr>
        <w:t>Victoza</w:t>
      </w:r>
      <w:r w:rsidRPr="00A14AF3">
        <w:rPr>
          <w:sz w:val="22"/>
          <w:szCs w:val="22"/>
        </w:rPr>
        <w:t xml:space="preserve"> and do not use </w:t>
      </w:r>
      <w:r w:rsidRPr="00A14AF3">
        <w:rPr>
          <w:noProof/>
          <w:sz w:val="22"/>
          <w:szCs w:val="22"/>
        </w:rPr>
        <w:t>Victoza</w:t>
      </w:r>
      <w:r w:rsidRPr="00A14AF3">
        <w:rPr>
          <w:sz w:val="22"/>
          <w:szCs w:val="22"/>
        </w:rPr>
        <w:t xml:space="preserve"> if it has been frozen.</w:t>
      </w:r>
    </w:p>
    <w:p w14:paraId="2D662A72" w14:textId="77777777" w:rsidR="00A14AF3" w:rsidRPr="00A14AF3" w:rsidRDefault="00A14AF3" w:rsidP="00416832">
      <w:pPr>
        <w:jc w:val="both"/>
        <w:rPr>
          <w:noProof/>
          <w:sz w:val="22"/>
          <w:szCs w:val="22"/>
        </w:rPr>
      </w:pPr>
    </w:p>
    <w:p w14:paraId="43772929" w14:textId="7843D12B" w:rsidR="00A14AF3" w:rsidRPr="00A14AF3" w:rsidRDefault="00A14AF3" w:rsidP="00416832">
      <w:pPr>
        <w:jc w:val="both"/>
        <w:rPr>
          <w:noProof/>
          <w:sz w:val="22"/>
          <w:szCs w:val="22"/>
        </w:rPr>
      </w:pPr>
      <w:r w:rsidRPr="00A14AF3">
        <w:rPr>
          <w:iCs/>
          <w:sz w:val="22"/>
          <w:szCs w:val="22"/>
        </w:rPr>
        <w:t xml:space="preserve">After first use of the </w:t>
      </w:r>
      <w:r w:rsidRPr="00A14AF3">
        <w:rPr>
          <w:noProof/>
          <w:sz w:val="22"/>
          <w:szCs w:val="22"/>
        </w:rPr>
        <w:t>Victoza</w:t>
      </w:r>
      <w:r w:rsidRPr="00A14AF3">
        <w:rPr>
          <w:iCs/>
          <w:sz w:val="22"/>
          <w:szCs w:val="22"/>
        </w:rPr>
        <w:t xml:space="preserve"> pen, the product can be stored for 1 month at room temperature (not above 30°C) or in a refrigerator (2</w:t>
      </w:r>
      <w:r w:rsidRPr="00A14AF3">
        <w:rPr>
          <w:sz w:val="22"/>
          <w:szCs w:val="22"/>
        </w:rPr>
        <w:t>°C</w:t>
      </w:r>
      <w:r w:rsidRPr="00A14AF3">
        <w:rPr>
          <w:iCs/>
          <w:sz w:val="22"/>
          <w:szCs w:val="22"/>
        </w:rPr>
        <w:t xml:space="preserve"> to 8°C).</w:t>
      </w:r>
    </w:p>
    <w:p w14:paraId="5835A4D5" w14:textId="77777777" w:rsidR="00A14AF3" w:rsidRPr="00A14AF3" w:rsidRDefault="00A14AF3" w:rsidP="00416832">
      <w:pPr>
        <w:jc w:val="both"/>
        <w:rPr>
          <w:noProof/>
          <w:sz w:val="22"/>
          <w:szCs w:val="22"/>
        </w:rPr>
      </w:pPr>
    </w:p>
    <w:p w14:paraId="1D01667C" w14:textId="1C19C2B8" w:rsidR="00A14AF3" w:rsidRPr="00A14AF3" w:rsidRDefault="00A14AF3" w:rsidP="00416832">
      <w:pPr>
        <w:jc w:val="both"/>
        <w:rPr>
          <w:noProof/>
          <w:sz w:val="22"/>
          <w:szCs w:val="22"/>
        </w:rPr>
      </w:pPr>
      <w:r w:rsidRPr="00A14AF3">
        <w:rPr>
          <w:sz w:val="22"/>
          <w:szCs w:val="22"/>
        </w:rPr>
        <w:t xml:space="preserve">Keep the pen cap on when the </w:t>
      </w:r>
      <w:r w:rsidRPr="00A14AF3">
        <w:rPr>
          <w:noProof/>
          <w:sz w:val="22"/>
          <w:szCs w:val="22"/>
        </w:rPr>
        <w:t>Victoza</w:t>
      </w:r>
      <w:r w:rsidRPr="00A14AF3">
        <w:rPr>
          <w:iCs/>
          <w:sz w:val="22"/>
          <w:szCs w:val="22"/>
        </w:rPr>
        <w:t xml:space="preserve"> pen</w:t>
      </w:r>
      <w:r w:rsidRPr="00A14AF3">
        <w:rPr>
          <w:sz w:val="22"/>
          <w:szCs w:val="22"/>
        </w:rPr>
        <w:t xml:space="preserve"> is not in use in order to </w:t>
      </w:r>
      <w:r w:rsidRPr="00A14AF3">
        <w:rPr>
          <w:iCs/>
          <w:sz w:val="22"/>
          <w:szCs w:val="22"/>
        </w:rPr>
        <w:t>protect from light.</w:t>
      </w:r>
      <w:r w:rsidRPr="00A14AF3">
        <w:rPr>
          <w:sz w:val="22"/>
          <w:szCs w:val="22"/>
        </w:rPr>
        <w:t xml:space="preserve"> </w:t>
      </w:r>
    </w:p>
    <w:p w14:paraId="59C55420" w14:textId="77777777" w:rsidR="00A14AF3" w:rsidRPr="00A14AF3" w:rsidRDefault="00A14AF3" w:rsidP="00416832">
      <w:pPr>
        <w:jc w:val="both"/>
        <w:rPr>
          <w:noProof/>
          <w:sz w:val="22"/>
          <w:szCs w:val="22"/>
        </w:rPr>
      </w:pPr>
    </w:p>
    <w:p w14:paraId="0239287E" w14:textId="78558117" w:rsidR="00A14AF3" w:rsidRPr="00A14AF3" w:rsidRDefault="00A14AF3" w:rsidP="00416832">
      <w:pPr>
        <w:jc w:val="both"/>
        <w:rPr>
          <w:noProof/>
          <w:sz w:val="22"/>
          <w:szCs w:val="22"/>
        </w:rPr>
      </w:pPr>
      <w:r w:rsidRPr="00A14AF3">
        <w:rPr>
          <w:noProof/>
          <w:sz w:val="22"/>
          <w:szCs w:val="22"/>
        </w:rPr>
        <w:t>Victoza</w:t>
      </w:r>
      <w:r w:rsidRPr="00A14AF3">
        <w:rPr>
          <w:sz w:val="22"/>
          <w:szCs w:val="22"/>
        </w:rPr>
        <w:t xml:space="preserve"> should be protected from excessive heat and sunlight. </w:t>
      </w:r>
    </w:p>
    <w:p w14:paraId="65D32D95" w14:textId="77777777" w:rsidR="00A14AF3" w:rsidRPr="00A14AF3" w:rsidRDefault="00A14AF3" w:rsidP="00416832">
      <w:pPr>
        <w:jc w:val="both"/>
        <w:rPr>
          <w:noProof/>
          <w:sz w:val="22"/>
          <w:szCs w:val="22"/>
        </w:rPr>
      </w:pPr>
    </w:p>
    <w:p w14:paraId="718895BA" w14:textId="0CAAE887" w:rsidR="00A14AF3" w:rsidRDefault="00A14AF3" w:rsidP="00416832">
      <w:pPr>
        <w:jc w:val="both"/>
        <w:rPr>
          <w:noProof/>
          <w:sz w:val="22"/>
          <w:szCs w:val="22"/>
        </w:rPr>
      </w:pPr>
      <w:r w:rsidRPr="00A14AF3">
        <w:rPr>
          <w:sz w:val="22"/>
          <w:szCs w:val="22"/>
        </w:rPr>
        <w:t xml:space="preserve">Always remove the injection needle after each injection and store the </w:t>
      </w:r>
      <w:r w:rsidRPr="00A14AF3">
        <w:rPr>
          <w:noProof/>
          <w:sz w:val="22"/>
          <w:szCs w:val="22"/>
        </w:rPr>
        <w:t>Victoza</w:t>
      </w:r>
      <w:r w:rsidRPr="00A14AF3">
        <w:rPr>
          <w:iCs/>
          <w:sz w:val="22"/>
          <w:szCs w:val="22"/>
        </w:rPr>
        <w:t xml:space="preserve"> pen</w:t>
      </w:r>
      <w:r w:rsidRPr="00A14AF3">
        <w:rPr>
          <w:sz w:val="22"/>
          <w:szCs w:val="22"/>
        </w:rPr>
        <w:t xml:space="preserve"> without an injection needle attached. This prevents contamination, infection, and leakage. It also ensures that the dosing is accurate.</w:t>
      </w:r>
    </w:p>
    <w:p w14:paraId="1FE5074B" w14:textId="77777777" w:rsidR="00A14AF3" w:rsidRDefault="00A14AF3" w:rsidP="00416832">
      <w:pPr>
        <w:jc w:val="both"/>
        <w:rPr>
          <w:noProof/>
          <w:sz w:val="22"/>
          <w:szCs w:val="22"/>
        </w:rPr>
      </w:pPr>
    </w:p>
    <w:p w14:paraId="3055925A" w14:textId="31B9F9BB" w:rsidR="00A14AF3" w:rsidRPr="00A14AF3" w:rsidRDefault="00A14AF3" w:rsidP="00416832">
      <w:pPr>
        <w:jc w:val="both"/>
        <w:rPr>
          <w:noProof/>
          <w:sz w:val="22"/>
          <w:szCs w:val="22"/>
        </w:rPr>
      </w:pPr>
      <w:r w:rsidRPr="00A14AF3">
        <w:rPr>
          <w:noProof/>
          <w:sz w:val="22"/>
          <w:szCs w:val="22"/>
        </w:rPr>
        <w:t xml:space="preserve">The shelf-life for Victoza is 30 months. The in-use time is 1 month. </w:t>
      </w:r>
    </w:p>
    <w:p w14:paraId="4D72EA40" w14:textId="77777777" w:rsidR="00A14AF3" w:rsidRDefault="00A14AF3" w:rsidP="00416832">
      <w:pPr>
        <w:jc w:val="both"/>
        <w:rPr>
          <w:noProof/>
          <w:sz w:val="22"/>
          <w:szCs w:val="22"/>
        </w:rPr>
      </w:pPr>
    </w:p>
    <w:p w14:paraId="4C9189B8" w14:textId="35512B08" w:rsidR="00A14AF3" w:rsidRPr="00A14AF3" w:rsidRDefault="00A14AF3" w:rsidP="00416832">
      <w:pPr>
        <w:jc w:val="both"/>
        <w:rPr>
          <w:b/>
          <w:noProof/>
          <w:sz w:val="22"/>
          <w:szCs w:val="22"/>
        </w:rPr>
      </w:pPr>
      <w:bookmarkStart w:id="10" w:name="_Toc463020846"/>
      <w:r w:rsidRPr="00A14AF3">
        <w:rPr>
          <w:b/>
        </w:rPr>
        <w:t>NAME AND ADDRESS OF THE SPONSOR</w:t>
      </w:r>
      <w:bookmarkEnd w:id="10"/>
    </w:p>
    <w:p w14:paraId="46AE4E8E" w14:textId="77777777" w:rsidR="00A14AF3" w:rsidRDefault="00A14AF3" w:rsidP="00416832">
      <w:pPr>
        <w:jc w:val="both"/>
        <w:rPr>
          <w:noProof/>
          <w:sz w:val="22"/>
          <w:szCs w:val="22"/>
        </w:rPr>
      </w:pPr>
    </w:p>
    <w:p w14:paraId="7652F721" w14:textId="77777777" w:rsidR="00A14AF3" w:rsidRPr="007D2EB5" w:rsidRDefault="00A14AF3" w:rsidP="00A14AF3">
      <w:pPr>
        <w:jc w:val="both"/>
        <w:rPr>
          <w:sz w:val="22"/>
          <w:szCs w:val="22"/>
        </w:rPr>
      </w:pPr>
      <w:r w:rsidRPr="007D2EB5">
        <w:rPr>
          <w:sz w:val="22"/>
          <w:szCs w:val="22"/>
        </w:rPr>
        <w:t>Novo Nordisk Pharmaceuticals Pty Limited</w:t>
      </w:r>
    </w:p>
    <w:p w14:paraId="67DFA865" w14:textId="77777777" w:rsidR="00A14AF3" w:rsidRDefault="00A14AF3" w:rsidP="00A14AF3">
      <w:pPr>
        <w:jc w:val="both"/>
        <w:rPr>
          <w:noProof/>
          <w:sz w:val="22"/>
          <w:szCs w:val="22"/>
        </w:rPr>
      </w:pPr>
      <w:r>
        <w:rPr>
          <w:noProof/>
          <w:sz w:val="22"/>
          <w:szCs w:val="22"/>
        </w:rPr>
        <w:t>Level 3</w:t>
      </w:r>
    </w:p>
    <w:p w14:paraId="0A4C0AD4" w14:textId="77777777" w:rsidR="00A14AF3" w:rsidRDefault="00A14AF3" w:rsidP="00A14AF3">
      <w:pPr>
        <w:jc w:val="both"/>
        <w:rPr>
          <w:noProof/>
          <w:sz w:val="22"/>
          <w:szCs w:val="22"/>
        </w:rPr>
      </w:pPr>
      <w:r>
        <w:rPr>
          <w:noProof/>
          <w:sz w:val="22"/>
          <w:szCs w:val="22"/>
        </w:rPr>
        <w:t>21 Solent Circuit</w:t>
      </w:r>
    </w:p>
    <w:p w14:paraId="28086C56" w14:textId="22481C38" w:rsidR="00A14AF3" w:rsidRDefault="00A14AF3" w:rsidP="00A14AF3">
      <w:pPr>
        <w:jc w:val="both"/>
        <w:rPr>
          <w:noProof/>
          <w:sz w:val="22"/>
          <w:szCs w:val="22"/>
        </w:rPr>
      </w:pPr>
      <w:r w:rsidRPr="004F1DE6">
        <w:rPr>
          <w:noProof/>
          <w:sz w:val="22"/>
          <w:szCs w:val="22"/>
        </w:rPr>
        <w:t xml:space="preserve">Baulkham Hills </w:t>
      </w:r>
      <w:r>
        <w:rPr>
          <w:noProof/>
          <w:sz w:val="22"/>
          <w:szCs w:val="22"/>
        </w:rPr>
        <w:t xml:space="preserve">NSW </w:t>
      </w:r>
      <w:r w:rsidRPr="004F1DE6">
        <w:rPr>
          <w:noProof/>
          <w:sz w:val="22"/>
          <w:szCs w:val="22"/>
        </w:rPr>
        <w:t>2153</w:t>
      </w:r>
    </w:p>
    <w:p w14:paraId="6630F568" w14:textId="77777777" w:rsidR="00A14AF3" w:rsidRDefault="00A14AF3" w:rsidP="00416832">
      <w:pPr>
        <w:jc w:val="both"/>
        <w:rPr>
          <w:noProof/>
          <w:sz w:val="22"/>
          <w:szCs w:val="22"/>
        </w:rPr>
      </w:pPr>
    </w:p>
    <w:p w14:paraId="170DFB0E" w14:textId="03B77323" w:rsidR="00A14AF3" w:rsidRPr="00A14AF3" w:rsidRDefault="00A14AF3" w:rsidP="00416832">
      <w:pPr>
        <w:jc w:val="both"/>
        <w:rPr>
          <w:b/>
          <w:noProof/>
          <w:sz w:val="22"/>
          <w:szCs w:val="22"/>
        </w:rPr>
      </w:pPr>
      <w:bookmarkStart w:id="11" w:name="_Toc463020847"/>
      <w:r w:rsidRPr="00A14AF3">
        <w:rPr>
          <w:b/>
        </w:rPr>
        <w:t>POISON SCHEDULE OF THE MEDICINE</w:t>
      </w:r>
      <w:bookmarkEnd w:id="11"/>
    </w:p>
    <w:p w14:paraId="0E650681" w14:textId="77777777" w:rsidR="00A14AF3" w:rsidRDefault="00A14AF3" w:rsidP="00416832">
      <w:pPr>
        <w:jc w:val="both"/>
        <w:rPr>
          <w:noProof/>
          <w:sz w:val="22"/>
          <w:szCs w:val="22"/>
        </w:rPr>
      </w:pPr>
    </w:p>
    <w:p w14:paraId="54B7421A" w14:textId="7D25D8AB" w:rsidR="00A14AF3" w:rsidRDefault="00A14AF3" w:rsidP="00416832">
      <w:pPr>
        <w:jc w:val="both"/>
        <w:rPr>
          <w:noProof/>
          <w:sz w:val="22"/>
          <w:szCs w:val="22"/>
        </w:rPr>
      </w:pPr>
      <w:r>
        <w:rPr>
          <w:noProof/>
          <w:sz w:val="22"/>
          <w:szCs w:val="22"/>
        </w:rPr>
        <w:t>S4</w:t>
      </w:r>
    </w:p>
    <w:p w14:paraId="156FC4FA" w14:textId="77777777" w:rsidR="00A14AF3" w:rsidRDefault="00A14AF3" w:rsidP="00416832">
      <w:pPr>
        <w:jc w:val="both"/>
        <w:rPr>
          <w:noProof/>
          <w:sz w:val="22"/>
          <w:szCs w:val="22"/>
        </w:rPr>
      </w:pPr>
    </w:p>
    <w:p w14:paraId="7BE46303" w14:textId="2563296F" w:rsidR="00A14AF3" w:rsidRPr="00A14AF3" w:rsidRDefault="00A14AF3" w:rsidP="00416832">
      <w:pPr>
        <w:jc w:val="both"/>
        <w:rPr>
          <w:b/>
          <w:noProof/>
          <w:sz w:val="22"/>
          <w:szCs w:val="22"/>
        </w:rPr>
      </w:pPr>
      <w:bookmarkStart w:id="12" w:name="_Toc463020848"/>
      <w:r w:rsidRPr="00A14AF3">
        <w:rPr>
          <w:b/>
        </w:rPr>
        <w:t>DATE OF FIRST INCLUSION IN THE AUSTRALIAN REGISTER OF THERAPEUTIC GOODS (THE ARTG)</w:t>
      </w:r>
      <w:bookmarkEnd w:id="12"/>
    </w:p>
    <w:p w14:paraId="034EE88E" w14:textId="77777777" w:rsidR="00A14AF3" w:rsidRDefault="00A14AF3" w:rsidP="00416832">
      <w:pPr>
        <w:jc w:val="both"/>
        <w:rPr>
          <w:noProof/>
          <w:sz w:val="22"/>
          <w:szCs w:val="22"/>
        </w:rPr>
      </w:pPr>
    </w:p>
    <w:p w14:paraId="053C397A" w14:textId="3BFC6AE5" w:rsidR="00A14AF3" w:rsidRDefault="00A14AF3" w:rsidP="00416832">
      <w:pPr>
        <w:jc w:val="both"/>
        <w:rPr>
          <w:noProof/>
          <w:sz w:val="22"/>
          <w:szCs w:val="22"/>
        </w:rPr>
      </w:pPr>
      <w:r>
        <w:rPr>
          <w:sz w:val="22"/>
          <w:szCs w:val="22"/>
        </w:rPr>
        <w:t>26 August 2010</w:t>
      </w:r>
    </w:p>
    <w:p w14:paraId="72759F0A" w14:textId="77777777" w:rsidR="00A14AF3" w:rsidRDefault="00A14AF3" w:rsidP="00416832">
      <w:pPr>
        <w:jc w:val="both"/>
        <w:rPr>
          <w:noProof/>
          <w:sz w:val="22"/>
          <w:szCs w:val="22"/>
        </w:rPr>
      </w:pPr>
    </w:p>
    <w:p w14:paraId="7F4392A2" w14:textId="118907AF" w:rsidR="00A14AF3" w:rsidRPr="00A14AF3" w:rsidRDefault="00A14AF3" w:rsidP="00416832">
      <w:pPr>
        <w:jc w:val="both"/>
        <w:rPr>
          <w:b/>
          <w:noProof/>
          <w:sz w:val="22"/>
          <w:szCs w:val="22"/>
        </w:rPr>
      </w:pPr>
      <w:bookmarkStart w:id="13" w:name="_Toc463020849"/>
      <w:r w:rsidRPr="00A14AF3">
        <w:rPr>
          <w:b/>
        </w:rPr>
        <w:t>DATE OF MOST RECENT AMENDMENT</w:t>
      </w:r>
      <w:bookmarkEnd w:id="13"/>
    </w:p>
    <w:p w14:paraId="14462822" w14:textId="77777777" w:rsidR="00A14AF3" w:rsidRDefault="00A14AF3" w:rsidP="00416832">
      <w:pPr>
        <w:jc w:val="both"/>
        <w:rPr>
          <w:noProof/>
          <w:sz w:val="22"/>
          <w:szCs w:val="22"/>
        </w:rPr>
      </w:pPr>
    </w:p>
    <w:p w14:paraId="627E5D0B" w14:textId="3ADF540A" w:rsidR="00A14AF3" w:rsidRPr="00763417" w:rsidRDefault="008E141C" w:rsidP="00416832">
      <w:pPr>
        <w:jc w:val="both"/>
        <w:rPr>
          <w:noProof/>
          <w:sz w:val="22"/>
          <w:szCs w:val="22"/>
        </w:rPr>
      </w:pPr>
      <w:r>
        <w:rPr>
          <w:sz w:val="22"/>
          <w:szCs w:val="22"/>
        </w:rPr>
        <w:t>05 January 2018</w:t>
      </w:r>
    </w:p>
    <w:p w14:paraId="1EDDFE2E" w14:textId="4793CB5B" w:rsidR="000938C3" w:rsidRDefault="000938C3" w:rsidP="00F35C45">
      <w:pPr>
        <w:pStyle w:val="BodyText"/>
        <w:jc w:val="both"/>
        <w:rPr>
          <w:iCs/>
          <w:szCs w:val="22"/>
        </w:rPr>
      </w:pPr>
    </w:p>
    <w:sectPr w:rsidR="000938C3" w:rsidSect="001A5852">
      <w:headerReference w:type="default" r:id="rId34"/>
      <w:pgSz w:w="11906" w:h="16838"/>
      <w:pgMar w:top="1440" w:right="1469" w:bottom="993" w:left="1259" w:header="709" w:footer="543" w:gutter="0"/>
      <w:paperSrc w:first="7" w:other="7"/>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9FFD641" w14:textId="77777777" w:rsidR="00324BA8" w:rsidRDefault="00324BA8">
      <w:r>
        <w:separator/>
      </w:r>
    </w:p>
  </w:endnote>
  <w:endnote w:type="continuationSeparator" w:id="0">
    <w:p w14:paraId="71E1F194" w14:textId="77777777" w:rsidR="00324BA8" w:rsidRDefault="00324B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5CD3C7A" w14:textId="77777777" w:rsidR="00324BA8" w:rsidRDefault="00324BA8">
      <w:r>
        <w:separator/>
      </w:r>
    </w:p>
  </w:footnote>
  <w:footnote w:type="continuationSeparator" w:id="0">
    <w:p w14:paraId="50F491FB" w14:textId="77777777" w:rsidR="00324BA8" w:rsidRDefault="00324BA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shd w:val="clear" w:color="auto" w:fill="E4F2E0"/>
      <w:tblLook w:val="04A0" w:firstRow="1" w:lastRow="0" w:firstColumn="1" w:lastColumn="0" w:noHBand="0" w:noVBand="1"/>
    </w:tblPr>
    <w:tblGrid>
      <w:gridCol w:w="8720"/>
    </w:tblGrid>
    <w:tr w:rsidR="00A44939" w:rsidRPr="002E7F61" w14:paraId="0EBCC3CE" w14:textId="77777777" w:rsidTr="00AA4C43">
      <w:trPr>
        <w:trHeight w:val="590"/>
      </w:trPr>
      <w:tc>
        <w:tcPr>
          <w:tcW w:w="8720" w:type="dxa"/>
          <w:shd w:val="clear" w:color="auto" w:fill="E4F2E0"/>
        </w:tcPr>
        <w:p w14:paraId="5B0FF87D" w14:textId="77777777" w:rsidR="00A44939" w:rsidRPr="002E7F61" w:rsidRDefault="00A44939" w:rsidP="00AA4C43">
          <w:pPr>
            <w:pStyle w:val="Footer"/>
            <w:rPr>
              <w:b/>
              <w:sz w:val="18"/>
              <w:szCs w:val="18"/>
            </w:rPr>
          </w:pPr>
          <w:r w:rsidRPr="002E7F61">
            <w:rPr>
              <w:b/>
              <w:sz w:val="18"/>
              <w:szCs w:val="18"/>
            </w:rPr>
            <w:t xml:space="preserve">Attachment 1: Product information </w:t>
          </w:r>
          <w:r w:rsidRPr="004459E5">
            <w:rPr>
              <w:b/>
              <w:sz w:val="18"/>
              <w:szCs w:val="18"/>
            </w:rPr>
            <w:t xml:space="preserve">AusPAR VICTOZA, SAXENDA </w:t>
          </w:r>
          <w:proofErr w:type="spellStart"/>
          <w:r w:rsidRPr="004459E5">
            <w:rPr>
              <w:b/>
              <w:sz w:val="18"/>
              <w:szCs w:val="18"/>
            </w:rPr>
            <w:t>liraglutide</w:t>
          </w:r>
          <w:proofErr w:type="spellEnd"/>
          <w:r w:rsidRPr="004459E5">
            <w:rPr>
              <w:b/>
              <w:sz w:val="18"/>
              <w:szCs w:val="18"/>
            </w:rPr>
            <w:t xml:space="preserve"> Novo Nordisk Pharmaceuticals Pty. Ltd. - PM-2016-003931-1-5 - FINAL 29 April 2019</w:t>
          </w:r>
          <w:r>
            <w:rPr>
              <w:b/>
              <w:sz w:val="18"/>
              <w:szCs w:val="18"/>
            </w:rPr>
            <w:t xml:space="preserve">. </w:t>
          </w:r>
          <w:r w:rsidRPr="00FF2AA4">
            <w:rPr>
              <w:b/>
              <w:sz w:val="18"/>
              <w:szCs w:val="18"/>
            </w:rPr>
            <w:t>This is the Product Information that was approved with the submission described in this AusPAR. It may have been superseded. For the most recent PI, please refer to the TGA website at &lt;</w:t>
          </w:r>
          <w:hyperlink r:id="rId1" w:history="1">
            <w:r w:rsidRPr="00FF2AA4">
              <w:rPr>
                <w:rStyle w:val="Hyperlink"/>
                <w:b/>
                <w:sz w:val="18"/>
                <w:szCs w:val="18"/>
              </w:rPr>
              <w:t>https://www.tga.gov.au/product-information-pi</w:t>
            </w:r>
          </w:hyperlink>
          <w:r w:rsidRPr="00FF2AA4">
            <w:rPr>
              <w:b/>
              <w:sz w:val="18"/>
              <w:szCs w:val="18"/>
              <w:u w:val="single"/>
            </w:rPr>
            <w:t>&gt;</w:t>
          </w:r>
        </w:p>
      </w:tc>
    </w:tr>
  </w:tbl>
  <w:p w14:paraId="1EDDFE82" w14:textId="24CBDCB1" w:rsidR="00324BA8" w:rsidRPr="000B56E3" w:rsidRDefault="00324BA8" w:rsidP="000B56E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4122369E"/>
    <w:lvl w:ilvl="0">
      <w:start w:val="1"/>
      <w:numFmt w:val="bullet"/>
      <w:pStyle w:val="ListBullet"/>
      <w:lvlText w:val=""/>
      <w:lvlJc w:val="left"/>
      <w:pPr>
        <w:tabs>
          <w:tab w:val="num" w:pos="360"/>
        </w:tabs>
        <w:ind w:left="360" w:hanging="360"/>
      </w:pPr>
      <w:rPr>
        <w:rFonts w:ascii="Symbol" w:hAnsi="Symbol" w:hint="default"/>
        <w:sz w:val="22"/>
        <w:szCs w:val="22"/>
      </w:rPr>
    </w:lvl>
  </w:abstractNum>
  <w:abstractNum w:abstractNumId="1">
    <w:nsid w:val="FFFFFFFE"/>
    <w:multiLevelType w:val="singleLevel"/>
    <w:tmpl w:val="25465408"/>
    <w:lvl w:ilvl="0">
      <w:numFmt w:val="decimal"/>
      <w:lvlText w:val="*"/>
      <w:lvlJc w:val="left"/>
    </w:lvl>
  </w:abstractNum>
  <w:abstractNum w:abstractNumId="2">
    <w:nsid w:val="00AF5716"/>
    <w:multiLevelType w:val="hybridMultilevel"/>
    <w:tmpl w:val="28A496D6"/>
    <w:lvl w:ilvl="0" w:tplc="73B2FC9A">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4001CE4"/>
    <w:multiLevelType w:val="hybridMultilevel"/>
    <w:tmpl w:val="1F08D858"/>
    <w:lvl w:ilvl="0" w:tplc="E208F584">
      <w:start w:val="1"/>
      <w:numFmt w:val="bullet"/>
      <w:lvlText w:val=""/>
      <w:legacy w:legacy="1" w:legacySpace="0" w:legacyIndent="283"/>
      <w:lvlJc w:val="left"/>
      <w:pPr>
        <w:ind w:left="1003" w:hanging="283"/>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826400E"/>
    <w:multiLevelType w:val="hybridMultilevel"/>
    <w:tmpl w:val="09B8579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0D2D17D1"/>
    <w:multiLevelType w:val="hybridMultilevel"/>
    <w:tmpl w:val="6A7A5396"/>
    <w:lvl w:ilvl="0" w:tplc="BB7AD282">
      <w:start w:val="1"/>
      <w:numFmt w:val="bullet"/>
      <w:pStyle w:val="BulletList10pt"/>
      <w:lvlText w:val=""/>
      <w:lvlJc w:val="left"/>
      <w:pPr>
        <w:tabs>
          <w:tab w:val="num" w:pos="227"/>
        </w:tabs>
        <w:ind w:left="227" w:hanging="227"/>
      </w:pPr>
      <w:rPr>
        <w:rFonts w:ascii="Symbol" w:hAnsi="Symbol" w:hint="default"/>
        <w:b w:val="0"/>
        <w:i w:val="0"/>
        <w:sz w:val="20"/>
      </w:rPr>
    </w:lvl>
    <w:lvl w:ilvl="1" w:tplc="B280678A">
      <w:start w:val="1"/>
      <w:numFmt w:val="bullet"/>
      <w:pStyle w:val="BulletList10pt"/>
      <w:lvlText w:val=""/>
      <w:lvlJc w:val="left"/>
      <w:pPr>
        <w:tabs>
          <w:tab w:val="num" w:pos="1307"/>
        </w:tabs>
        <w:ind w:left="1307" w:hanging="227"/>
      </w:pPr>
      <w:rPr>
        <w:rFonts w:ascii="Symbol" w:hAnsi="Symbol" w:hint="default"/>
        <w:b w:val="0"/>
        <w:i w:val="0"/>
        <w:sz w:val="20"/>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6">
    <w:nsid w:val="18FB7B3C"/>
    <w:multiLevelType w:val="multilevel"/>
    <w:tmpl w:val="040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7">
    <w:nsid w:val="2C340993"/>
    <w:multiLevelType w:val="hybridMultilevel"/>
    <w:tmpl w:val="FA6EE89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8">
    <w:nsid w:val="2E9A7F17"/>
    <w:multiLevelType w:val="hybridMultilevel"/>
    <w:tmpl w:val="E2080C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EB75953"/>
    <w:multiLevelType w:val="hybridMultilevel"/>
    <w:tmpl w:val="1A4C1F6C"/>
    <w:lvl w:ilvl="0" w:tplc="E8AA63AC">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3FDE6FE5"/>
    <w:multiLevelType w:val="hybridMultilevel"/>
    <w:tmpl w:val="FF04DE5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nsid w:val="43932AD8"/>
    <w:multiLevelType w:val="hybridMultilevel"/>
    <w:tmpl w:val="C898E22E"/>
    <w:lvl w:ilvl="0" w:tplc="6ED42AC8">
      <w:start w:val="1"/>
      <w:numFmt w:val="bullet"/>
      <w:pStyle w:val="BulletIndent"/>
      <w:lvlText w:val=""/>
      <w:lvlJc w:val="left"/>
      <w:pPr>
        <w:tabs>
          <w:tab w:val="num" w:pos="357"/>
        </w:tabs>
        <w:ind w:left="714" w:hanging="357"/>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2">
    <w:nsid w:val="655D75A9"/>
    <w:multiLevelType w:val="hybridMultilevel"/>
    <w:tmpl w:val="E8603B78"/>
    <w:lvl w:ilvl="0" w:tplc="0C090001">
      <w:start w:val="1"/>
      <w:numFmt w:val="bullet"/>
      <w:lvlText w:val=""/>
      <w:lvlJc w:val="left"/>
      <w:pPr>
        <w:tabs>
          <w:tab w:val="num" w:pos="990"/>
        </w:tabs>
        <w:ind w:left="990" w:hanging="360"/>
      </w:pPr>
      <w:rPr>
        <w:rFonts w:ascii="Symbol" w:hAnsi="Symbol" w:hint="default"/>
      </w:rPr>
    </w:lvl>
    <w:lvl w:ilvl="1" w:tplc="0C090003" w:tentative="1">
      <w:start w:val="1"/>
      <w:numFmt w:val="bullet"/>
      <w:lvlText w:val="o"/>
      <w:lvlJc w:val="left"/>
      <w:pPr>
        <w:tabs>
          <w:tab w:val="num" w:pos="1710"/>
        </w:tabs>
        <w:ind w:left="1710" w:hanging="360"/>
      </w:pPr>
      <w:rPr>
        <w:rFonts w:ascii="Courier New" w:hAnsi="Courier New" w:cs="Courier New" w:hint="default"/>
      </w:rPr>
    </w:lvl>
    <w:lvl w:ilvl="2" w:tplc="0C090005" w:tentative="1">
      <w:start w:val="1"/>
      <w:numFmt w:val="bullet"/>
      <w:lvlText w:val=""/>
      <w:lvlJc w:val="left"/>
      <w:pPr>
        <w:tabs>
          <w:tab w:val="num" w:pos="2430"/>
        </w:tabs>
        <w:ind w:left="2430" w:hanging="360"/>
      </w:pPr>
      <w:rPr>
        <w:rFonts w:ascii="Wingdings" w:hAnsi="Wingdings" w:hint="default"/>
      </w:rPr>
    </w:lvl>
    <w:lvl w:ilvl="3" w:tplc="0C090001" w:tentative="1">
      <w:start w:val="1"/>
      <w:numFmt w:val="bullet"/>
      <w:lvlText w:val=""/>
      <w:lvlJc w:val="left"/>
      <w:pPr>
        <w:tabs>
          <w:tab w:val="num" w:pos="3150"/>
        </w:tabs>
        <w:ind w:left="3150" w:hanging="360"/>
      </w:pPr>
      <w:rPr>
        <w:rFonts w:ascii="Symbol" w:hAnsi="Symbol" w:hint="default"/>
      </w:rPr>
    </w:lvl>
    <w:lvl w:ilvl="4" w:tplc="0C090003" w:tentative="1">
      <w:start w:val="1"/>
      <w:numFmt w:val="bullet"/>
      <w:lvlText w:val="o"/>
      <w:lvlJc w:val="left"/>
      <w:pPr>
        <w:tabs>
          <w:tab w:val="num" w:pos="3870"/>
        </w:tabs>
        <w:ind w:left="3870" w:hanging="360"/>
      </w:pPr>
      <w:rPr>
        <w:rFonts w:ascii="Courier New" w:hAnsi="Courier New" w:cs="Courier New" w:hint="default"/>
      </w:rPr>
    </w:lvl>
    <w:lvl w:ilvl="5" w:tplc="0C090005" w:tentative="1">
      <w:start w:val="1"/>
      <w:numFmt w:val="bullet"/>
      <w:lvlText w:val=""/>
      <w:lvlJc w:val="left"/>
      <w:pPr>
        <w:tabs>
          <w:tab w:val="num" w:pos="4590"/>
        </w:tabs>
        <w:ind w:left="4590" w:hanging="360"/>
      </w:pPr>
      <w:rPr>
        <w:rFonts w:ascii="Wingdings" w:hAnsi="Wingdings" w:hint="default"/>
      </w:rPr>
    </w:lvl>
    <w:lvl w:ilvl="6" w:tplc="0C090001" w:tentative="1">
      <w:start w:val="1"/>
      <w:numFmt w:val="bullet"/>
      <w:lvlText w:val=""/>
      <w:lvlJc w:val="left"/>
      <w:pPr>
        <w:tabs>
          <w:tab w:val="num" w:pos="5310"/>
        </w:tabs>
        <w:ind w:left="5310" w:hanging="360"/>
      </w:pPr>
      <w:rPr>
        <w:rFonts w:ascii="Symbol" w:hAnsi="Symbol" w:hint="default"/>
      </w:rPr>
    </w:lvl>
    <w:lvl w:ilvl="7" w:tplc="0C090003" w:tentative="1">
      <w:start w:val="1"/>
      <w:numFmt w:val="bullet"/>
      <w:lvlText w:val="o"/>
      <w:lvlJc w:val="left"/>
      <w:pPr>
        <w:tabs>
          <w:tab w:val="num" w:pos="6030"/>
        </w:tabs>
        <w:ind w:left="6030" w:hanging="360"/>
      </w:pPr>
      <w:rPr>
        <w:rFonts w:ascii="Courier New" w:hAnsi="Courier New" w:cs="Courier New" w:hint="default"/>
      </w:rPr>
    </w:lvl>
    <w:lvl w:ilvl="8" w:tplc="0C090005" w:tentative="1">
      <w:start w:val="1"/>
      <w:numFmt w:val="bullet"/>
      <w:lvlText w:val=""/>
      <w:lvlJc w:val="left"/>
      <w:pPr>
        <w:tabs>
          <w:tab w:val="num" w:pos="6750"/>
        </w:tabs>
        <w:ind w:left="6750" w:hanging="360"/>
      </w:pPr>
      <w:rPr>
        <w:rFonts w:ascii="Wingdings" w:hAnsi="Wingdings" w:hint="default"/>
      </w:rPr>
    </w:lvl>
  </w:abstractNum>
  <w:abstractNum w:abstractNumId="13">
    <w:nsid w:val="79A74F38"/>
    <w:multiLevelType w:val="hybridMultilevel"/>
    <w:tmpl w:val="CC8A67AE"/>
    <w:lvl w:ilvl="0" w:tplc="FFFFFFFF">
      <w:start w:val="1"/>
      <w:numFmt w:val="bullet"/>
      <w:pStyle w:val="BulletList"/>
      <w:lvlText w:val=""/>
      <w:lvlJc w:val="left"/>
      <w:pPr>
        <w:tabs>
          <w:tab w:val="num" w:pos="357"/>
        </w:tabs>
        <w:ind w:left="357" w:hanging="357"/>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nsid w:val="7C9400DD"/>
    <w:multiLevelType w:val="hybridMultilevel"/>
    <w:tmpl w:val="95263D34"/>
    <w:lvl w:ilvl="0" w:tplc="0C090001">
      <w:start w:val="1"/>
      <w:numFmt w:val="bullet"/>
      <w:lvlText w:val=""/>
      <w:lvlJc w:val="left"/>
      <w:pPr>
        <w:tabs>
          <w:tab w:val="num" w:pos="780"/>
        </w:tabs>
        <w:ind w:left="780" w:hanging="360"/>
      </w:pPr>
      <w:rPr>
        <w:rFonts w:ascii="Symbol" w:hAnsi="Symbol" w:hint="default"/>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15">
    <w:nsid w:val="7DC3701A"/>
    <w:multiLevelType w:val="hybridMultilevel"/>
    <w:tmpl w:val="857431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0"/>
  </w:num>
  <w:num w:numId="3">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 w:numId="4">
    <w:abstractNumId w:val="3"/>
  </w:num>
  <w:num w:numId="5">
    <w:abstractNumId w:val="5"/>
  </w:num>
  <w:num w:numId="6">
    <w:abstractNumId w:val="11"/>
  </w:num>
  <w:num w:numId="7">
    <w:abstractNumId w:val="6"/>
  </w:num>
  <w:num w:numId="8">
    <w:abstractNumId w:val="13"/>
  </w:num>
  <w:num w:numId="9">
    <w:abstractNumId w:val="14"/>
  </w:num>
  <w:num w:numId="10">
    <w:abstractNumId w:val="12"/>
  </w:num>
  <w:num w:numId="11">
    <w:abstractNumId w:val="10"/>
  </w:num>
  <w:num w:numId="12">
    <w:abstractNumId w:val="9"/>
  </w:num>
  <w:num w:numId="13">
    <w:abstractNumId w:val="4"/>
  </w:num>
  <w:num w:numId="14">
    <w:abstractNumId w:val="8"/>
  </w:num>
  <w:num w:numId="15">
    <w:abstractNumId w:val="2"/>
  </w:num>
  <w:num w:numId="16">
    <w:abstractNumId w:val="7"/>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778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3DA3"/>
    <w:rsid w:val="0000125B"/>
    <w:rsid w:val="0000454B"/>
    <w:rsid w:val="0000570C"/>
    <w:rsid w:val="00005908"/>
    <w:rsid w:val="00005AEB"/>
    <w:rsid w:val="000061C3"/>
    <w:rsid w:val="00006F07"/>
    <w:rsid w:val="00007BF0"/>
    <w:rsid w:val="000105BA"/>
    <w:rsid w:val="00011A25"/>
    <w:rsid w:val="00011C5F"/>
    <w:rsid w:val="000155ED"/>
    <w:rsid w:val="00015CAD"/>
    <w:rsid w:val="00015D02"/>
    <w:rsid w:val="00017596"/>
    <w:rsid w:val="00020B47"/>
    <w:rsid w:val="00021849"/>
    <w:rsid w:val="000221D6"/>
    <w:rsid w:val="000223AD"/>
    <w:rsid w:val="0003027A"/>
    <w:rsid w:val="00032750"/>
    <w:rsid w:val="00033571"/>
    <w:rsid w:val="000366BF"/>
    <w:rsid w:val="000368FF"/>
    <w:rsid w:val="00041FF5"/>
    <w:rsid w:val="00042B20"/>
    <w:rsid w:val="00050411"/>
    <w:rsid w:val="0005074E"/>
    <w:rsid w:val="000514E4"/>
    <w:rsid w:val="00052597"/>
    <w:rsid w:val="00054083"/>
    <w:rsid w:val="0005409F"/>
    <w:rsid w:val="00055D90"/>
    <w:rsid w:val="00056524"/>
    <w:rsid w:val="00057A07"/>
    <w:rsid w:val="00060005"/>
    <w:rsid w:val="00064E05"/>
    <w:rsid w:val="00066C0B"/>
    <w:rsid w:val="000676A8"/>
    <w:rsid w:val="0007041B"/>
    <w:rsid w:val="0007314B"/>
    <w:rsid w:val="00073A82"/>
    <w:rsid w:val="00074EB3"/>
    <w:rsid w:val="00075D8C"/>
    <w:rsid w:val="0008035D"/>
    <w:rsid w:val="00082525"/>
    <w:rsid w:val="00086C42"/>
    <w:rsid w:val="00086FD2"/>
    <w:rsid w:val="000871A1"/>
    <w:rsid w:val="00087EB7"/>
    <w:rsid w:val="000906BA"/>
    <w:rsid w:val="00092182"/>
    <w:rsid w:val="000938C3"/>
    <w:rsid w:val="00094C59"/>
    <w:rsid w:val="00095836"/>
    <w:rsid w:val="000A04FA"/>
    <w:rsid w:val="000A1800"/>
    <w:rsid w:val="000A34DC"/>
    <w:rsid w:val="000A3C4E"/>
    <w:rsid w:val="000A41E8"/>
    <w:rsid w:val="000A6D86"/>
    <w:rsid w:val="000A788D"/>
    <w:rsid w:val="000B3471"/>
    <w:rsid w:val="000B46BF"/>
    <w:rsid w:val="000B4818"/>
    <w:rsid w:val="000B56E3"/>
    <w:rsid w:val="000B792F"/>
    <w:rsid w:val="000C18BE"/>
    <w:rsid w:val="000C1E84"/>
    <w:rsid w:val="000C1FFB"/>
    <w:rsid w:val="000C22AE"/>
    <w:rsid w:val="000C47AA"/>
    <w:rsid w:val="000C59D4"/>
    <w:rsid w:val="000C6F0D"/>
    <w:rsid w:val="000C7DC7"/>
    <w:rsid w:val="000D454A"/>
    <w:rsid w:val="000E0608"/>
    <w:rsid w:val="000E38C1"/>
    <w:rsid w:val="000E3F46"/>
    <w:rsid w:val="000E4025"/>
    <w:rsid w:val="000E59F3"/>
    <w:rsid w:val="000E7CBD"/>
    <w:rsid w:val="000F090C"/>
    <w:rsid w:val="000F1848"/>
    <w:rsid w:val="000F3F42"/>
    <w:rsid w:val="000F48DB"/>
    <w:rsid w:val="00100797"/>
    <w:rsid w:val="001015C2"/>
    <w:rsid w:val="0010709A"/>
    <w:rsid w:val="00107816"/>
    <w:rsid w:val="00111244"/>
    <w:rsid w:val="00111866"/>
    <w:rsid w:val="001135A1"/>
    <w:rsid w:val="00113DB5"/>
    <w:rsid w:val="0011698B"/>
    <w:rsid w:val="00121B45"/>
    <w:rsid w:val="001237A5"/>
    <w:rsid w:val="00127ECE"/>
    <w:rsid w:val="001301F3"/>
    <w:rsid w:val="001304D8"/>
    <w:rsid w:val="00131B83"/>
    <w:rsid w:val="00132984"/>
    <w:rsid w:val="00133264"/>
    <w:rsid w:val="0013344A"/>
    <w:rsid w:val="00134331"/>
    <w:rsid w:val="0013473F"/>
    <w:rsid w:val="00135284"/>
    <w:rsid w:val="00141449"/>
    <w:rsid w:val="001414E2"/>
    <w:rsid w:val="0014594E"/>
    <w:rsid w:val="00150D7F"/>
    <w:rsid w:val="00150FB7"/>
    <w:rsid w:val="00151027"/>
    <w:rsid w:val="00153998"/>
    <w:rsid w:val="00155C3F"/>
    <w:rsid w:val="001560AB"/>
    <w:rsid w:val="00156765"/>
    <w:rsid w:val="001575BA"/>
    <w:rsid w:val="001605FA"/>
    <w:rsid w:val="001612EE"/>
    <w:rsid w:val="001622BF"/>
    <w:rsid w:val="00162DC9"/>
    <w:rsid w:val="00164CD4"/>
    <w:rsid w:val="00166AAF"/>
    <w:rsid w:val="0016717B"/>
    <w:rsid w:val="001708C6"/>
    <w:rsid w:val="00171447"/>
    <w:rsid w:val="00171917"/>
    <w:rsid w:val="001724BC"/>
    <w:rsid w:val="00172AE4"/>
    <w:rsid w:val="00173426"/>
    <w:rsid w:val="00175745"/>
    <w:rsid w:val="00176336"/>
    <w:rsid w:val="00177A9B"/>
    <w:rsid w:val="001808B7"/>
    <w:rsid w:val="00183970"/>
    <w:rsid w:val="0018500D"/>
    <w:rsid w:val="00185FD6"/>
    <w:rsid w:val="001870B3"/>
    <w:rsid w:val="00187523"/>
    <w:rsid w:val="00191FF9"/>
    <w:rsid w:val="0019278E"/>
    <w:rsid w:val="00192E20"/>
    <w:rsid w:val="0019316E"/>
    <w:rsid w:val="00195B4E"/>
    <w:rsid w:val="0019798A"/>
    <w:rsid w:val="001A15DF"/>
    <w:rsid w:val="001A1D5C"/>
    <w:rsid w:val="001A1F50"/>
    <w:rsid w:val="001A3BF6"/>
    <w:rsid w:val="001A488F"/>
    <w:rsid w:val="001A4909"/>
    <w:rsid w:val="001A4936"/>
    <w:rsid w:val="001A5211"/>
    <w:rsid w:val="001A5852"/>
    <w:rsid w:val="001B3866"/>
    <w:rsid w:val="001B3B8C"/>
    <w:rsid w:val="001B40F8"/>
    <w:rsid w:val="001B6837"/>
    <w:rsid w:val="001B78A8"/>
    <w:rsid w:val="001B7CE5"/>
    <w:rsid w:val="001C0E1E"/>
    <w:rsid w:val="001C3789"/>
    <w:rsid w:val="001C4582"/>
    <w:rsid w:val="001C459C"/>
    <w:rsid w:val="001C66CA"/>
    <w:rsid w:val="001D06C2"/>
    <w:rsid w:val="001D25C3"/>
    <w:rsid w:val="001D28F4"/>
    <w:rsid w:val="001D583B"/>
    <w:rsid w:val="001E0614"/>
    <w:rsid w:val="001E1877"/>
    <w:rsid w:val="001E295D"/>
    <w:rsid w:val="001E2FD1"/>
    <w:rsid w:val="001E52E5"/>
    <w:rsid w:val="001E5A49"/>
    <w:rsid w:val="001E6514"/>
    <w:rsid w:val="001F1BDF"/>
    <w:rsid w:val="001F37F9"/>
    <w:rsid w:val="001F54DA"/>
    <w:rsid w:val="001F5ABB"/>
    <w:rsid w:val="001F6223"/>
    <w:rsid w:val="001F66AE"/>
    <w:rsid w:val="001F74E4"/>
    <w:rsid w:val="002004B3"/>
    <w:rsid w:val="00200712"/>
    <w:rsid w:val="00200BC8"/>
    <w:rsid w:val="002055FE"/>
    <w:rsid w:val="002058C9"/>
    <w:rsid w:val="0020677F"/>
    <w:rsid w:val="002106D7"/>
    <w:rsid w:val="00210F0F"/>
    <w:rsid w:val="002119F2"/>
    <w:rsid w:val="0021275E"/>
    <w:rsid w:val="002140CF"/>
    <w:rsid w:val="0021439D"/>
    <w:rsid w:val="00214C64"/>
    <w:rsid w:val="00215C30"/>
    <w:rsid w:val="00216261"/>
    <w:rsid w:val="00216D30"/>
    <w:rsid w:val="00217129"/>
    <w:rsid w:val="00220D43"/>
    <w:rsid w:val="002215C8"/>
    <w:rsid w:val="002247F6"/>
    <w:rsid w:val="00227071"/>
    <w:rsid w:val="00230F9D"/>
    <w:rsid w:val="002312D7"/>
    <w:rsid w:val="002321BB"/>
    <w:rsid w:val="00234511"/>
    <w:rsid w:val="00242728"/>
    <w:rsid w:val="00245398"/>
    <w:rsid w:val="002468EC"/>
    <w:rsid w:val="00246A3E"/>
    <w:rsid w:val="00247857"/>
    <w:rsid w:val="00252A26"/>
    <w:rsid w:val="002530C4"/>
    <w:rsid w:val="00255650"/>
    <w:rsid w:val="00262F38"/>
    <w:rsid w:val="00263DC5"/>
    <w:rsid w:val="00266334"/>
    <w:rsid w:val="00270164"/>
    <w:rsid w:val="0027095D"/>
    <w:rsid w:val="00274DC1"/>
    <w:rsid w:val="00274F69"/>
    <w:rsid w:val="0027577E"/>
    <w:rsid w:val="00275ECB"/>
    <w:rsid w:val="0028317A"/>
    <w:rsid w:val="00283E2E"/>
    <w:rsid w:val="00287A67"/>
    <w:rsid w:val="00287EA7"/>
    <w:rsid w:val="00296B67"/>
    <w:rsid w:val="002A1032"/>
    <w:rsid w:val="002A6A9A"/>
    <w:rsid w:val="002A756C"/>
    <w:rsid w:val="002A7CA7"/>
    <w:rsid w:val="002B27D8"/>
    <w:rsid w:val="002B2EA4"/>
    <w:rsid w:val="002B2F8E"/>
    <w:rsid w:val="002B3101"/>
    <w:rsid w:val="002B3CE1"/>
    <w:rsid w:val="002B4785"/>
    <w:rsid w:val="002B5B1B"/>
    <w:rsid w:val="002B66E0"/>
    <w:rsid w:val="002B7DD2"/>
    <w:rsid w:val="002B7F15"/>
    <w:rsid w:val="002C3192"/>
    <w:rsid w:val="002C49AA"/>
    <w:rsid w:val="002D2326"/>
    <w:rsid w:val="002D46A6"/>
    <w:rsid w:val="002D561E"/>
    <w:rsid w:val="002D6F0B"/>
    <w:rsid w:val="002E6576"/>
    <w:rsid w:val="002F1409"/>
    <w:rsid w:val="002F56C0"/>
    <w:rsid w:val="002F5819"/>
    <w:rsid w:val="002F6334"/>
    <w:rsid w:val="002F7117"/>
    <w:rsid w:val="002F7D24"/>
    <w:rsid w:val="0030048F"/>
    <w:rsid w:val="00301F76"/>
    <w:rsid w:val="00303105"/>
    <w:rsid w:val="00303D8A"/>
    <w:rsid w:val="00304CE4"/>
    <w:rsid w:val="00313DC8"/>
    <w:rsid w:val="00314A8B"/>
    <w:rsid w:val="00316867"/>
    <w:rsid w:val="00316CCB"/>
    <w:rsid w:val="003208E8"/>
    <w:rsid w:val="00320C92"/>
    <w:rsid w:val="00323BBE"/>
    <w:rsid w:val="00324BA8"/>
    <w:rsid w:val="00325095"/>
    <w:rsid w:val="0032599E"/>
    <w:rsid w:val="00331373"/>
    <w:rsid w:val="00332155"/>
    <w:rsid w:val="00332410"/>
    <w:rsid w:val="003360B8"/>
    <w:rsid w:val="003414BE"/>
    <w:rsid w:val="003417A0"/>
    <w:rsid w:val="00342E26"/>
    <w:rsid w:val="003441F8"/>
    <w:rsid w:val="0034596F"/>
    <w:rsid w:val="00345C4E"/>
    <w:rsid w:val="00350586"/>
    <w:rsid w:val="00354268"/>
    <w:rsid w:val="00354770"/>
    <w:rsid w:val="003554DF"/>
    <w:rsid w:val="00357720"/>
    <w:rsid w:val="003614BD"/>
    <w:rsid w:val="0036285E"/>
    <w:rsid w:val="003643FB"/>
    <w:rsid w:val="00365756"/>
    <w:rsid w:val="00365A58"/>
    <w:rsid w:val="00367AE3"/>
    <w:rsid w:val="00371EF8"/>
    <w:rsid w:val="003735D7"/>
    <w:rsid w:val="0037773B"/>
    <w:rsid w:val="00377BC0"/>
    <w:rsid w:val="00380E17"/>
    <w:rsid w:val="00380F49"/>
    <w:rsid w:val="00381097"/>
    <w:rsid w:val="00382F4F"/>
    <w:rsid w:val="00384CE3"/>
    <w:rsid w:val="0038601D"/>
    <w:rsid w:val="003866DF"/>
    <w:rsid w:val="003869C1"/>
    <w:rsid w:val="003871A7"/>
    <w:rsid w:val="00394290"/>
    <w:rsid w:val="00396F9C"/>
    <w:rsid w:val="003973DD"/>
    <w:rsid w:val="003A085A"/>
    <w:rsid w:val="003A170F"/>
    <w:rsid w:val="003A190A"/>
    <w:rsid w:val="003A252E"/>
    <w:rsid w:val="003A3E1E"/>
    <w:rsid w:val="003A4366"/>
    <w:rsid w:val="003A4805"/>
    <w:rsid w:val="003A4895"/>
    <w:rsid w:val="003A4F68"/>
    <w:rsid w:val="003A51CA"/>
    <w:rsid w:val="003A66D2"/>
    <w:rsid w:val="003A6E56"/>
    <w:rsid w:val="003B5C87"/>
    <w:rsid w:val="003B694D"/>
    <w:rsid w:val="003B6B3A"/>
    <w:rsid w:val="003B7778"/>
    <w:rsid w:val="003C1699"/>
    <w:rsid w:val="003C5C92"/>
    <w:rsid w:val="003C6EC6"/>
    <w:rsid w:val="003C7499"/>
    <w:rsid w:val="003D52F6"/>
    <w:rsid w:val="003D60C4"/>
    <w:rsid w:val="003E43DD"/>
    <w:rsid w:val="003E6B6F"/>
    <w:rsid w:val="003E7521"/>
    <w:rsid w:val="003F14BA"/>
    <w:rsid w:val="003F3066"/>
    <w:rsid w:val="003F3C27"/>
    <w:rsid w:val="003F54EE"/>
    <w:rsid w:val="00400AA3"/>
    <w:rsid w:val="0040118A"/>
    <w:rsid w:val="00401F71"/>
    <w:rsid w:val="00402098"/>
    <w:rsid w:val="0040327E"/>
    <w:rsid w:val="00403C91"/>
    <w:rsid w:val="00413626"/>
    <w:rsid w:val="004140A5"/>
    <w:rsid w:val="004140D2"/>
    <w:rsid w:val="00414C57"/>
    <w:rsid w:val="00416832"/>
    <w:rsid w:val="00416B5E"/>
    <w:rsid w:val="00416F0D"/>
    <w:rsid w:val="0041760D"/>
    <w:rsid w:val="00420274"/>
    <w:rsid w:val="00421DC7"/>
    <w:rsid w:val="0042230F"/>
    <w:rsid w:val="004244FC"/>
    <w:rsid w:val="00430C79"/>
    <w:rsid w:val="00430EB5"/>
    <w:rsid w:val="0043424C"/>
    <w:rsid w:val="00437391"/>
    <w:rsid w:val="00442A4C"/>
    <w:rsid w:val="00443CEE"/>
    <w:rsid w:val="00444183"/>
    <w:rsid w:val="00444715"/>
    <w:rsid w:val="00450089"/>
    <w:rsid w:val="00452611"/>
    <w:rsid w:val="00452BD4"/>
    <w:rsid w:val="00456E44"/>
    <w:rsid w:val="0045708F"/>
    <w:rsid w:val="0045751F"/>
    <w:rsid w:val="00457A02"/>
    <w:rsid w:val="00462CF1"/>
    <w:rsid w:val="004638C4"/>
    <w:rsid w:val="00466BA7"/>
    <w:rsid w:val="00470FB6"/>
    <w:rsid w:val="00472D2D"/>
    <w:rsid w:val="00473860"/>
    <w:rsid w:val="0047427A"/>
    <w:rsid w:val="00476591"/>
    <w:rsid w:val="00477BAA"/>
    <w:rsid w:val="00477F51"/>
    <w:rsid w:val="004844D4"/>
    <w:rsid w:val="0048691B"/>
    <w:rsid w:val="00490EA4"/>
    <w:rsid w:val="004931AE"/>
    <w:rsid w:val="00493860"/>
    <w:rsid w:val="00494661"/>
    <w:rsid w:val="00494CB6"/>
    <w:rsid w:val="00495439"/>
    <w:rsid w:val="004954DD"/>
    <w:rsid w:val="00496B9D"/>
    <w:rsid w:val="0049795F"/>
    <w:rsid w:val="004A21CD"/>
    <w:rsid w:val="004A25DF"/>
    <w:rsid w:val="004A2876"/>
    <w:rsid w:val="004A2E59"/>
    <w:rsid w:val="004A38DE"/>
    <w:rsid w:val="004A3BEC"/>
    <w:rsid w:val="004A4461"/>
    <w:rsid w:val="004A51FD"/>
    <w:rsid w:val="004A5C71"/>
    <w:rsid w:val="004A6CB0"/>
    <w:rsid w:val="004A79EB"/>
    <w:rsid w:val="004B656A"/>
    <w:rsid w:val="004B6610"/>
    <w:rsid w:val="004B74AD"/>
    <w:rsid w:val="004C180F"/>
    <w:rsid w:val="004C56D7"/>
    <w:rsid w:val="004D1DCA"/>
    <w:rsid w:val="004D3C2E"/>
    <w:rsid w:val="004D5A9B"/>
    <w:rsid w:val="004E0D32"/>
    <w:rsid w:val="004E0EEA"/>
    <w:rsid w:val="004E1B50"/>
    <w:rsid w:val="004E4345"/>
    <w:rsid w:val="004E4CB1"/>
    <w:rsid w:val="004E7C42"/>
    <w:rsid w:val="004F11ED"/>
    <w:rsid w:val="004F1DE6"/>
    <w:rsid w:val="004F2056"/>
    <w:rsid w:val="004F2D6B"/>
    <w:rsid w:val="004F54B2"/>
    <w:rsid w:val="004F6B00"/>
    <w:rsid w:val="00500562"/>
    <w:rsid w:val="005042E6"/>
    <w:rsid w:val="00505AB1"/>
    <w:rsid w:val="00506120"/>
    <w:rsid w:val="00506CA2"/>
    <w:rsid w:val="005104A7"/>
    <w:rsid w:val="00510A40"/>
    <w:rsid w:val="00510DAD"/>
    <w:rsid w:val="0051130D"/>
    <w:rsid w:val="005115A2"/>
    <w:rsid w:val="00512D09"/>
    <w:rsid w:val="00514F55"/>
    <w:rsid w:val="00520839"/>
    <w:rsid w:val="00520971"/>
    <w:rsid w:val="005228F6"/>
    <w:rsid w:val="005229DA"/>
    <w:rsid w:val="0052416F"/>
    <w:rsid w:val="00531C3A"/>
    <w:rsid w:val="00532E0B"/>
    <w:rsid w:val="005355AF"/>
    <w:rsid w:val="005373D8"/>
    <w:rsid w:val="005400C6"/>
    <w:rsid w:val="00540524"/>
    <w:rsid w:val="00541255"/>
    <w:rsid w:val="00541C01"/>
    <w:rsid w:val="00541D3E"/>
    <w:rsid w:val="00542D30"/>
    <w:rsid w:val="005431D6"/>
    <w:rsid w:val="00544441"/>
    <w:rsid w:val="00547634"/>
    <w:rsid w:val="005503BE"/>
    <w:rsid w:val="005552D7"/>
    <w:rsid w:val="005569C4"/>
    <w:rsid w:val="00561693"/>
    <w:rsid w:val="00564978"/>
    <w:rsid w:val="0057168A"/>
    <w:rsid w:val="00572FA0"/>
    <w:rsid w:val="005735D7"/>
    <w:rsid w:val="00575A4F"/>
    <w:rsid w:val="00575D29"/>
    <w:rsid w:val="00576178"/>
    <w:rsid w:val="0057648D"/>
    <w:rsid w:val="0057770E"/>
    <w:rsid w:val="00581E06"/>
    <w:rsid w:val="005831F4"/>
    <w:rsid w:val="00584E47"/>
    <w:rsid w:val="00590CFE"/>
    <w:rsid w:val="00593182"/>
    <w:rsid w:val="005942F3"/>
    <w:rsid w:val="005A0114"/>
    <w:rsid w:val="005A167D"/>
    <w:rsid w:val="005A2FEB"/>
    <w:rsid w:val="005A585F"/>
    <w:rsid w:val="005A5A0C"/>
    <w:rsid w:val="005A5AAC"/>
    <w:rsid w:val="005A606D"/>
    <w:rsid w:val="005A69F3"/>
    <w:rsid w:val="005B00C4"/>
    <w:rsid w:val="005B7B88"/>
    <w:rsid w:val="005C1705"/>
    <w:rsid w:val="005C2384"/>
    <w:rsid w:val="005C5594"/>
    <w:rsid w:val="005C5916"/>
    <w:rsid w:val="005C5CDE"/>
    <w:rsid w:val="005D4772"/>
    <w:rsid w:val="005D657A"/>
    <w:rsid w:val="005D7511"/>
    <w:rsid w:val="005E222A"/>
    <w:rsid w:val="005E40C4"/>
    <w:rsid w:val="005E5D61"/>
    <w:rsid w:val="005E64F0"/>
    <w:rsid w:val="005E68B7"/>
    <w:rsid w:val="005E6D77"/>
    <w:rsid w:val="005E7637"/>
    <w:rsid w:val="005E7EF3"/>
    <w:rsid w:val="005F367B"/>
    <w:rsid w:val="005F5053"/>
    <w:rsid w:val="005F62FC"/>
    <w:rsid w:val="00600880"/>
    <w:rsid w:val="00601BBE"/>
    <w:rsid w:val="006029AD"/>
    <w:rsid w:val="006044D1"/>
    <w:rsid w:val="006059B6"/>
    <w:rsid w:val="006145F9"/>
    <w:rsid w:val="00617F7B"/>
    <w:rsid w:val="006201F3"/>
    <w:rsid w:val="006202D0"/>
    <w:rsid w:val="00620B3D"/>
    <w:rsid w:val="00621353"/>
    <w:rsid w:val="0062267A"/>
    <w:rsid w:val="00623D26"/>
    <w:rsid w:val="00624E3B"/>
    <w:rsid w:val="00626930"/>
    <w:rsid w:val="00626F6B"/>
    <w:rsid w:val="006313CB"/>
    <w:rsid w:val="006314CB"/>
    <w:rsid w:val="006315A2"/>
    <w:rsid w:val="00631FFB"/>
    <w:rsid w:val="00634963"/>
    <w:rsid w:val="00637302"/>
    <w:rsid w:val="0064269F"/>
    <w:rsid w:val="006431F8"/>
    <w:rsid w:val="00645049"/>
    <w:rsid w:val="00646785"/>
    <w:rsid w:val="0065078E"/>
    <w:rsid w:val="00652E6D"/>
    <w:rsid w:val="0065390E"/>
    <w:rsid w:val="00655629"/>
    <w:rsid w:val="00656A92"/>
    <w:rsid w:val="00662271"/>
    <w:rsid w:val="00662719"/>
    <w:rsid w:val="00662A6E"/>
    <w:rsid w:val="00662EDB"/>
    <w:rsid w:val="00664786"/>
    <w:rsid w:val="00671775"/>
    <w:rsid w:val="00676A16"/>
    <w:rsid w:val="00681439"/>
    <w:rsid w:val="006835B7"/>
    <w:rsid w:val="00683BC2"/>
    <w:rsid w:val="00686E2C"/>
    <w:rsid w:val="00692C00"/>
    <w:rsid w:val="00696E44"/>
    <w:rsid w:val="00696E6D"/>
    <w:rsid w:val="00697158"/>
    <w:rsid w:val="006A0429"/>
    <w:rsid w:val="006A1602"/>
    <w:rsid w:val="006A1C7B"/>
    <w:rsid w:val="006A21B9"/>
    <w:rsid w:val="006A3640"/>
    <w:rsid w:val="006A6D8E"/>
    <w:rsid w:val="006A790A"/>
    <w:rsid w:val="006A7F39"/>
    <w:rsid w:val="006B092F"/>
    <w:rsid w:val="006B1DD6"/>
    <w:rsid w:val="006B369D"/>
    <w:rsid w:val="006B48FB"/>
    <w:rsid w:val="006B5E38"/>
    <w:rsid w:val="006C0272"/>
    <w:rsid w:val="006C136D"/>
    <w:rsid w:val="006C2A8F"/>
    <w:rsid w:val="006C31D1"/>
    <w:rsid w:val="006C3991"/>
    <w:rsid w:val="006C50AD"/>
    <w:rsid w:val="006C6C06"/>
    <w:rsid w:val="006C6E53"/>
    <w:rsid w:val="006D0E80"/>
    <w:rsid w:val="006D151A"/>
    <w:rsid w:val="006D1802"/>
    <w:rsid w:val="006D190D"/>
    <w:rsid w:val="006D1A98"/>
    <w:rsid w:val="006D31D7"/>
    <w:rsid w:val="006D5072"/>
    <w:rsid w:val="006D662B"/>
    <w:rsid w:val="006D7F68"/>
    <w:rsid w:val="006E006E"/>
    <w:rsid w:val="006E4E50"/>
    <w:rsid w:val="006E7097"/>
    <w:rsid w:val="006F02C4"/>
    <w:rsid w:val="006F0FD8"/>
    <w:rsid w:val="006F1118"/>
    <w:rsid w:val="006F3582"/>
    <w:rsid w:val="006F49F8"/>
    <w:rsid w:val="006F4E44"/>
    <w:rsid w:val="00700A36"/>
    <w:rsid w:val="00700D96"/>
    <w:rsid w:val="00701804"/>
    <w:rsid w:val="00701DE9"/>
    <w:rsid w:val="007021D2"/>
    <w:rsid w:val="007038A3"/>
    <w:rsid w:val="00705364"/>
    <w:rsid w:val="00712E3B"/>
    <w:rsid w:val="00713A61"/>
    <w:rsid w:val="0071561D"/>
    <w:rsid w:val="00716FBF"/>
    <w:rsid w:val="00717004"/>
    <w:rsid w:val="0072043C"/>
    <w:rsid w:val="007205FB"/>
    <w:rsid w:val="007242EF"/>
    <w:rsid w:val="007248BA"/>
    <w:rsid w:val="00727187"/>
    <w:rsid w:val="0073130B"/>
    <w:rsid w:val="00733817"/>
    <w:rsid w:val="0073399A"/>
    <w:rsid w:val="00741F5F"/>
    <w:rsid w:val="00742AF6"/>
    <w:rsid w:val="00743CD0"/>
    <w:rsid w:val="00747FC2"/>
    <w:rsid w:val="007529A2"/>
    <w:rsid w:val="00753356"/>
    <w:rsid w:val="00754D38"/>
    <w:rsid w:val="00756DEC"/>
    <w:rsid w:val="007629D9"/>
    <w:rsid w:val="00763417"/>
    <w:rsid w:val="0076579B"/>
    <w:rsid w:val="007666FA"/>
    <w:rsid w:val="00766F8B"/>
    <w:rsid w:val="007703B7"/>
    <w:rsid w:val="00770DBF"/>
    <w:rsid w:val="007738B6"/>
    <w:rsid w:val="00774CE3"/>
    <w:rsid w:val="007805CF"/>
    <w:rsid w:val="007810E8"/>
    <w:rsid w:val="0078175F"/>
    <w:rsid w:val="00784603"/>
    <w:rsid w:val="00790D9B"/>
    <w:rsid w:val="00794000"/>
    <w:rsid w:val="007954D9"/>
    <w:rsid w:val="007A0288"/>
    <w:rsid w:val="007A06B7"/>
    <w:rsid w:val="007A1AB1"/>
    <w:rsid w:val="007A290F"/>
    <w:rsid w:val="007A3C1F"/>
    <w:rsid w:val="007A6D10"/>
    <w:rsid w:val="007A76B9"/>
    <w:rsid w:val="007B4C68"/>
    <w:rsid w:val="007B5762"/>
    <w:rsid w:val="007B7145"/>
    <w:rsid w:val="007B7239"/>
    <w:rsid w:val="007C01E1"/>
    <w:rsid w:val="007C021E"/>
    <w:rsid w:val="007C0436"/>
    <w:rsid w:val="007C0A20"/>
    <w:rsid w:val="007C11CE"/>
    <w:rsid w:val="007C1300"/>
    <w:rsid w:val="007C4C5F"/>
    <w:rsid w:val="007C66DA"/>
    <w:rsid w:val="007D06A3"/>
    <w:rsid w:val="007D2EB5"/>
    <w:rsid w:val="007D494F"/>
    <w:rsid w:val="007D4B78"/>
    <w:rsid w:val="007D5E5D"/>
    <w:rsid w:val="007D5ED0"/>
    <w:rsid w:val="007D7ED5"/>
    <w:rsid w:val="007E0FA4"/>
    <w:rsid w:val="007E1C30"/>
    <w:rsid w:val="007E24E3"/>
    <w:rsid w:val="007E3112"/>
    <w:rsid w:val="007E7680"/>
    <w:rsid w:val="007E76E6"/>
    <w:rsid w:val="007F624D"/>
    <w:rsid w:val="007F6E56"/>
    <w:rsid w:val="007F752F"/>
    <w:rsid w:val="007F75AD"/>
    <w:rsid w:val="008008E0"/>
    <w:rsid w:val="0080205B"/>
    <w:rsid w:val="0080255C"/>
    <w:rsid w:val="008033D6"/>
    <w:rsid w:val="00805559"/>
    <w:rsid w:val="00805B9A"/>
    <w:rsid w:val="008109F6"/>
    <w:rsid w:val="00813F63"/>
    <w:rsid w:val="00815024"/>
    <w:rsid w:val="00815409"/>
    <w:rsid w:val="00815611"/>
    <w:rsid w:val="00816AD8"/>
    <w:rsid w:val="008172B8"/>
    <w:rsid w:val="0083072C"/>
    <w:rsid w:val="00830A5B"/>
    <w:rsid w:val="0083104C"/>
    <w:rsid w:val="00831B0E"/>
    <w:rsid w:val="00831EF8"/>
    <w:rsid w:val="008321EC"/>
    <w:rsid w:val="0083327A"/>
    <w:rsid w:val="00833727"/>
    <w:rsid w:val="008340A3"/>
    <w:rsid w:val="008357DA"/>
    <w:rsid w:val="0083600F"/>
    <w:rsid w:val="008405D1"/>
    <w:rsid w:val="0084158C"/>
    <w:rsid w:val="008418E5"/>
    <w:rsid w:val="0084214D"/>
    <w:rsid w:val="00842DAD"/>
    <w:rsid w:val="00844405"/>
    <w:rsid w:val="00845FB5"/>
    <w:rsid w:val="008466F3"/>
    <w:rsid w:val="00847201"/>
    <w:rsid w:val="00847CAF"/>
    <w:rsid w:val="00853A41"/>
    <w:rsid w:val="008541F7"/>
    <w:rsid w:val="00854802"/>
    <w:rsid w:val="00857388"/>
    <w:rsid w:val="00863F80"/>
    <w:rsid w:val="00866132"/>
    <w:rsid w:val="0086770A"/>
    <w:rsid w:val="00874AC3"/>
    <w:rsid w:val="008766A8"/>
    <w:rsid w:val="00876DE7"/>
    <w:rsid w:val="0087752D"/>
    <w:rsid w:val="0087755C"/>
    <w:rsid w:val="00881BF7"/>
    <w:rsid w:val="00882E95"/>
    <w:rsid w:val="008832B2"/>
    <w:rsid w:val="00884C42"/>
    <w:rsid w:val="00886E08"/>
    <w:rsid w:val="00887D63"/>
    <w:rsid w:val="0089175F"/>
    <w:rsid w:val="00893F84"/>
    <w:rsid w:val="0089508D"/>
    <w:rsid w:val="008967B3"/>
    <w:rsid w:val="008A6F3F"/>
    <w:rsid w:val="008B008D"/>
    <w:rsid w:val="008B0696"/>
    <w:rsid w:val="008B7672"/>
    <w:rsid w:val="008C05BF"/>
    <w:rsid w:val="008C0818"/>
    <w:rsid w:val="008C0AF7"/>
    <w:rsid w:val="008C0E95"/>
    <w:rsid w:val="008C0F87"/>
    <w:rsid w:val="008C1A93"/>
    <w:rsid w:val="008C7770"/>
    <w:rsid w:val="008C7C96"/>
    <w:rsid w:val="008D05D3"/>
    <w:rsid w:val="008D2CD9"/>
    <w:rsid w:val="008D2F4A"/>
    <w:rsid w:val="008D39AB"/>
    <w:rsid w:val="008D4D67"/>
    <w:rsid w:val="008E0043"/>
    <w:rsid w:val="008E0BFC"/>
    <w:rsid w:val="008E141C"/>
    <w:rsid w:val="008E1A9A"/>
    <w:rsid w:val="008E1CEF"/>
    <w:rsid w:val="008E214E"/>
    <w:rsid w:val="008E3207"/>
    <w:rsid w:val="008E385B"/>
    <w:rsid w:val="008E3977"/>
    <w:rsid w:val="008E480B"/>
    <w:rsid w:val="008E4E77"/>
    <w:rsid w:val="008E600D"/>
    <w:rsid w:val="008E7818"/>
    <w:rsid w:val="008F17E8"/>
    <w:rsid w:val="008F36BE"/>
    <w:rsid w:val="008F5780"/>
    <w:rsid w:val="008F71E4"/>
    <w:rsid w:val="009005E7"/>
    <w:rsid w:val="0090143D"/>
    <w:rsid w:val="00902020"/>
    <w:rsid w:val="00903D33"/>
    <w:rsid w:val="00906354"/>
    <w:rsid w:val="009065B5"/>
    <w:rsid w:val="00907BCE"/>
    <w:rsid w:val="009112A2"/>
    <w:rsid w:val="009118D6"/>
    <w:rsid w:val="009156DA"/>
    <w:rsid w:val="00916525"/>
    <w:rsid w:val="00921193"/>
    <w:rsid w:val="00932B6F"/>
    <w:rsid w:val="00940B7E"/>
    <w:rsid w:val="009412FB"/>
    <w:rsid w:val="00942DF5"/>
    <w:rsid w:val="00944D70"/>
    <w:rsid w:val="00945D1B"/>
    <w:rsid w:val="00947936"/>
    <w:rsid w:val="0095012A"/>
    <w:rsid w:val="00951A9B"/>
    <w:rsid w:val="00953C58"/>
    <w:rsid w:val="009565C4"/>
    <w:rsid w:val="00957047"/>
    <w:rsid w:val="009628CB"/>
    <w:rsid w:val="009629E2"/>
    <w:rsid w:val="00963C17"/>
    <w:rsid w:val="00964815"/>
    <w:rsid w:val="00966BC3"/>
    <w:rsid w:val="00970A3F"/>
    <w:rsid w:val="00970F61"/>
    <w:rsid w:val="00973BDC"/>
    <w:rsid w:val="00975768"/>
    <w:rsid w:val="0098002E"/>
    <w:rsid w:val="009808E9"/>
    <w:rsid w:val="0098214F"/>
    <w:rsid w:val="0098243A"/>
    <w:rsid w:val="00982562"/>
    <w:rsid w:val="0098267F"/>
    <w:rsid w:val="0098309B"/>
    <w:rsid w:val="00983322"/>
    <w:rsid w:val="00983F1C"/>
    <w:rsid w:val="00984B16"/>
    <w:rsid w:val="009862E7"/>
    <w:rsid w:val="00986620"/>
    <w:rsid w:val="00987122"/>
    <w:rsid w:val="00987FBD"/>
    <w:rsid w:val="00990F02"/>
    <w:rsid w:val="009918F4"/>
    <w:rsid w:val="00991E00"/>
    <w:rsid w:val="00992C74"/>
    <w:rsid w:val="00992E7C"/>
    <w:rsid w:val="00994707"/>
    <w:rsid w:val="00995096"/>
    <w:rsid w:val="00995413"/>
    <w:rsid w:val="009A1D6B"/>
    <w:rsid w:val="009A26B4"/>
    <w:rsid w:val="009A29B9"/>
    <w:rsid w:val="009A322D"/>
    <w:rsid w:val="009A585A"/>
    <w:rsid w:val="009A5CEB"/>
    <w:rsid w:val="009A6EA9"/>
    <w:rsid w:val="009A79F0"/>
    <w:rsid w:val="009B0B36"/>
    <w:rsid w:val="009B303A"/>
    <w:rsid w:val="009B451E"/>
    <w:rsid w:val="009B49CA"/>
    <w:rsid w:val="009B55E4"/>
    <w:rsid w:val="009B57B6"/>
    <w:rsid w:val="009C4CE4"/>
    <w:rsid w:val="009C653E"/>
    <w:rsid w:val="009C680E"/>
    <w:rsid w:val="009C6A42"/>
    <w:rsid w:val="009C7998"/>
    <w:rsid w:val="009D0365"/>
    <w:rsid w:val="009D3A93"/>
    <w:rsid w:val="009D42FB"/>
    <w:rsid w:val="009D49D7"/>
    <w:rsid w:val="009E37D5"/>
    <w:rsid w:val="009E47F9"/>
    <w:rsid w:val="009E59D1"/>
    <w:rsid w:val="009E6AC3"/>
    <w:rsid w:val="009E7BA0"/>
    <w:rsid w:val="009F0301"/>
    <w:rsid w:val="009F0365"/>
    <w:rsid w:val="009F0AFA"/>
    <w:rsid w:val="009F0B26"/>
    <w:rsid w:val="009F2B34"/>
    <w:rsid w:val="009F2B41"/>
    <w:rsid w:val="009F7CD2"/>
    <w:rsid w:val="00A00B0C"/>
    <w:rsid w:val="00A021C5"/>
    <w:rsid w:val="00A051C3"/>
    <w:rsid w:val="00A05DDF"/>
    <w:rsid w:val="00A06C61"/>
    <w:rsid w:val="00A06F9D"/>
    <w:rsid w:val="00A10F03"/>
    <w:rsid w:val="00A13285"/>
    <w:rsid w:val="00A14AF3"/>
    <w:rsid w:val="00A158C4"/>
    <w:rsid w:val="00A15A81"/>
    <w:rsid w:val="00A21690"/>
    <w:rsid w:val="00A228A4"/>
    <w:rsid w:val="00A22C21"/>
    <w:rsid w:val="00A234E5"/>
    <w:rsid w:val="00A2392D"/>
    <w:rsid w:val="00A268E8"/>
    <w:rsid w:val="00A33454"/>
    <w:rsid w:val="00A3387D"/>
    <w:rsid w:val="00A34BE9"/>
    <w:rsid w:val="00A44328"/>
    <w:rsid w:val="00A44939"/>
    <w:rsid w:val="00A44A2E"/>
    <w:rsid w:val="00A51835"/>
    <w:rsid w:val="00A521E2"/>
    <w:rsid w:val="00A53341"/>
    <w:rsid w:val="00A534B4"/>
    <w:rsid w:val="00A54457"/>
    <w:rsid w:val="00A55826"/>
    <w:rsid w:val="00A56213"/>
    <w:rsid w:val="00A5663A"/>
    <w:rsid w:val="00A5762B"/>
    <w:rsid w:val="00A60DD5"/>
    <w:rsid w:val="00A626AE"/>
    <w:rsid w:val="00A676A8"/>
    <w:rsid w:val="00A70C97"/>
    <w:rsid w:val="00A72749"/>
    <w:rsid w:val="00A73FA0"/>
    <w:rsid w:val="00A76DE2"/>
    <w:rsid w:val="00A821F9"/>
    <w:rsid w:val="00A85A45"/>
    <w:rsid w:val="00A86DE7"/>
    <w:rsid w:val="00A86DF4"/>
    <w:rsid w:val="00A87409"/>
    <w:rsid w:val="00A90AE9"/>
    <w:rsid w:val="00A912F0"/>
    <w:rsid w:val="00A91E7B"/>
    <w:rsid w:val="00A9317B"/>
    <w:rsid w:val="00A9384F"/>
    <w:rsid w:val="00A93C5D"/>
    <w:rsid w:val="00A943CD"/>
    <w:rsid w:val="00A9553F"/>
    <w:rsid w:val="00A95DC8"/>
    <w:rsid w:val="00A96069"/>
    <w:rsid w:val="00A96397"/>
    <w:rsid w:val="00A97831"/>
    <w:rsid w:val="00AA1E6F"/>
    <w:rsid w:val="00AA28F4"/>
    <w:rsid w:val="00AA4346"/>
    <w:rsid w:val="00AA50FF"/>
    <w:rsid w:val="00AB1859"/>
    <w:rsid w:val="00AB1C50"/>
    <w:rsid w:val="00AB1CE9"/>
    <w:rsid w:val="00AB21C3"/>
    <w:rsid w:val="00AB2C7B"/>
    <w:rsid w:val="00AB4427"/>
    <w:rsid w:val="00AB5653"/>
    <w:rsid w:val="00AB6011"/>
    <w:rsid w:val="00AC0245"/>
    <w:rsid w:val="00AC1478"/>
    <w:rsid w:val="00AC150D"/>
    <w:rsid w:val="00AC217B"/>
    <w:rsid w:val="00AC30FA"/>
    <w:rsid w:val="00AC4361"/>
    <w:rsid w:val="00AC4DFA"/>
    <w:rsid w:val="00AD0136"/>
    <w:rsid w:val="00AD020D"/>
    <w:rsid w:val="00AD15D7"/>
    <w:rsid w:val="00AD272F"/>
    <w:rsid w:val="00AD3C66"/>
    <w:rsid w:val="00AD3D95"/>
    <w:rsid w:val="00AD43A0"/>
    <w:rsid w:val="00AD46CC"/>
    <w:rsid w:val="00AD4FBC"/>
    <w:rsid w:val="00AD75E1"/>
    <w:rsid w:val="00AE00A7"/>
    <w:rsid w:val="00AE0722"/>
    <w:rsid w:val="00AE20EA"/>
    <w:rsid w:val="00AE49E9"/>
    <w:rsid w:val="00AE54FB"/>
    <w:rsid w:val="00AE5542"/>
    <w:rsid w:val="00AE5BD6"/>
    <w:rsid w:val="00AF34C4"/>
    <w:rsid w:val="00AF3E0E"/>
    <w:rsid w:val="00AF5EA0"/>
    <w:rsid w:val="00B00469"/>
    <w:rsid w:val="00B00C6B"/>
    <w:rsid w:val="00B047AD"/>
    <w:rsid w:val="00B04ED4"/>
    <w:rsid w:val="00B05570"/>
    <w:rsid w:val="00B1016C"/>
    <w:rsid w:val="00B11AFF"/>
    <w:rsid w:val="00B12A51"/>
    <w:rsid w:val="00B12E72"/>
    <w:rsid w:val="00B13F61"/>
    <w:rsid w:val="00B16E35"/>
    <w:rsid w:val="00B20E1E"/>
    <w:rsid w:val="00B234AC"/>
    <w:rsid w:val="00B24C44"/>
    <w:rsid w:val="00B251E4"/>
    <w:rsid w:val="00B25423"/>
    <w:rsid w:val="00B2565F"/>
    <w:rsid w:val="00B25CF7"/>
    <w:rsid w:val="00B26E40"/>
    <w:rsid w:val="00B26EAF"/>
    <w:rsid w:val="00B33EF7"/>
    <w:rsid w:val="00B34BD5"/>
    <w:rsid w:val="00B35480"/>
    <w:rsid w:val="00B3567B"/>
    <w:rsid w:val="00B36DED"/>
    <w:rsid w:val="00B37106"/>
    <w:rsid w:val="00B41897"/>
    <w:rsid w:val="00B4195E"/>
    <w:rsid w:val="00B440CE"/>
    <w:rsid w:val="00B46044"/>
    <w:rsid w:val="00B50228"/>
    <w:rsid w:val="00B529C7"/>
    <w:rsid w:val="00B53F90"/>
    <w:rsid w:val="00B543E6"/>
    <w:rsid w:val="00B54F63"/>
    <w:rsid w:val="00B60A85"/>
    <w:rsid w:val="00B61F64"/>
    <w:rsid w:val="00B62BF3"/>
    <w:rsid w:val="00B62C82"/>
    <w:rsid w:val="00B65F69"/>
    <w:rsid w:val="00B6714B"/>
    <w:rsid w:val="00B70AC8"/>
    <w:rsid w:val="00B71E60"/>
    <w:rsid w:val="00B80EB9"/>
    <w:rsid w:val="00B80F19"/>
    <w:rsid w:val="00B82749"/>
    <w:rsid w:val="00B833AB"/>
    <w:rsid w:val="00B8451E"/>
    <w:rsid w:val="00B91A50"/>
    <w:rsid w:val="00B9513D"/>
    <w:rsid w:val="00B951ED"/>
    <w:rsid w:val="00B96031"/>
    <w:rsid w:val="00B96F92"/>
    <w:rsid w:val="00BA1492"/>
    <w:rsid w:val="00BA2333"/>
    <w:rsid w:val="00BA3005"/>
    <w:rsid w:val="00BA536D"/>
    <w:rsid w:val="00BA5F70"/>
    <w:rsid w:val="00BA7877"/>
    <w:rsid w:val="00BB13E6"/>
    <w:rsid w:val="00BC407D"/>
    <w:rsid w:val="00BC4F62"/>
    <w:rsid w:val="00BC5083"/>
    <w:rsid w:val="00BC6F5E"/>
    <w:rsid w:val="00BC7A4B"/>
    <w:rsid w:val="00BD3B77"/>
    <w:rsid w:val="00BD4A00"/>
    <w:rsid w:val="00BD74F1"/>
    <w:rsid w:val="00BE1454"/>
    <w:rsid w:val="00BE2AF8"/>
    <w:rsid w:val="00BE3160"/>
    <w:rsid w:val="00BE7990"/>
    <w:rsid w:val="00BE7D94"/>
    <w:rsid w:val="00BF4303"/>
    <w:rsid w:val="00BF613A"/>
    <w:rsid w:val="00BF660E"/>
    <w:rsid w:val="00BF6772"/>
    <w:rsid w:val="00C0020A"/>
    <w:rsid w:val="00C00EE4"/>
    <w:rsid w:val="00C02F11"/>
    <w:rsid w:val="00C03FEC"/>
    <w:rsid w:val="00C04574"/>
    <w:rsid w:val="00C045A9"/>
    <w:rsid w:val="00C04C0A"/>
    <w:rsid w:val="00C1121D"/>
    <w:rsid w:val="00C123BE"/>
    <w:rsid w:val="00C1349A"/>
    <w:rsid w:val="00C15640"/>
    <w:rsid w:val="00C1734E"/>
    <w:rsid w:val="00C17359"/>
    <w:rsid w:val="00C2031F"/>
    <w:rsid w:val="00C2081B"/>
    <w:rsid w:val="00C210CD"/>
    <w:rsid w:val="00C242D5"/>
    <w:rsid w:val="00C26D05"/>
    <w:rsid w:val="00C27163"/>
    <w:rsid w:val="00C308F1"/>
    <w:rsid w:val="00C31BEC"/>
    <w:rsid w:val="00C34CB5"/>
    <w:rsid w:val="00C35865"/>
    <w:rsid w:val="00C36E66"/>
    <w:rsid w:val="00C3729E"/>
    <w:rsid w:val="00C40B0A"/>
    <w:rsid w:val="00C41496"/>
    <w:rsid w:val="00C4237A"/>
    <w:rsid w:val="00C47409"/>
    <w:rsid w:val="00C5068B"/>
    <w:rsid w:val="00C56DB9"/>
    <w:rsid w:val="00C57493"/>
    <w:rsid w:val="00C57906"/>
    <w:rsid w:val="00C60EC0"/>
    <w:rsid w:val="00C61969"/>
    <w:rsid w:val="00C6206D"/>
    <w:rsid w:val="00C62515"/>
    <w:rsid w:val="00C631B4"/>
    <w:rsid w:val="00C6435A"/>
    <w:rsid w:val="00C659A1"/>
    <w:rsid w:val="00C65C69"/>
    <w:rsid w:val="00C65FE2"/>
    <w:rsid w:val="00C70D91"/>
    <w:rsid w:val="00C71F16"/>
    <w:rsid w:val="00C7249C"/>
    <w:rsid w:val="00C72AE4"/>
    <w:rsid w:val="00C7472A"/>
    <w:rsid w:val="00C77174"/>
    <w:rsid w:val="00C816FD"/>
    <w:rsid w:val="00C8243C"/>
    <w:rsid w:val="00C83563"/>
    <w:rsid w:val="00C839A3"/>
    <w:rsid w:val="00C869EC"/>
    <w:rsid w:val="00C87129"/>
    <w:rsid w:val="00C9325B"/>
    <w:rsid w:val="00C95C70"/>
    <w:rsid w:val="00C96076"/>
    <w:rsid w:val="00CA0F91"/>
    <w:rsid w:val="00CA2647"/>
    <w:rsid w:val="00CA2773"/>
    <w:rsid w:val="00CB0CED"/>
    <w:rsid w:val="00CB15F0"/>
    <w:rsid w:val="00CB1961"/>
    <w:rsid w:val="00CB2D0E"/>
    <w:rsid w:val="00CB4D10"/>
    <w:rsid w:val="00CB59DC"/>
    <w:rsid w:val="00CB6C36"/>
    <w:rsid w:val="00CB7178"/>
    <w:rsid w:val="00CB7354"/>
    <w:rsid w:val="00CB78D9"/>
    <w:rsid w:val="00CC094E"/>
    <w:rsid w:val="00CC3FFC"/>
    <w:rsid w:val="00CC5461"/>
    <w:rsid w:val="00CC61E5"/>
    <w:rsid w:val="00CC7F2F"/>
    <w:rsid w:val="00CD033A"/>
    <w:rsid w:val="00CD4017"/>
    <w:rsid w:val="00CD6507"/>
    <w:rsid w:val="00CD6EB8"/>
    <w:rsid w:val="00CD704C"/>
    <w:rsid w:val="00CE0353"/>
    <w:rsid w:val="00CE3BC6"/>
    <w:rsid w:val="00CE57D7"/>
    <w:rsid w:val="00CE5BCE"/>
    <w:rsid w:val="00CE714E"/>
    <w:rsid w:val="00CF01D7"/>
    <w:rsid w:val="00CF0926"/>
    <w:rsid w:val="00CF17B9"/>
    <w:rsid w:val="00CF3158"/>
    <w:rsid w:val="00CF4211"/>
    <w:rsid w:val="00CF5A31"/>
    <w:rsid w:val="00CF77E9"/>
    <w:rsid w:val="00CF7900"/>
    <w:rsid w:val="00D019E8"/>
    <w:rsid w:val="00D04035"/>
    <w:rsid w:val="00D100D9"/>
    <w:rsid w:val="00D108F5"/>
    <w:rsid w:val="00D11215"/>
    <w:rsid w:val="00D11D24"/>
    <w:rsid w:val="00D1269F"/>
    <w:rsid w:val="00D12C84"/>
    <w:rsid w:val="00D141F9"/>
    <w:rsid w:val="00D235A3"/>
    <w:rsid w:val="00D23B52"/>
    <w:rsid w:val="00D23DA3"/>
    <w:rsid w:val="00D265F3"/>
    <w:rsid w:val="00D3393B"/>
    <w:rsid w:val="00D33C40"/>
    <w:rsid w:val="00D3450B"/>
    <w:rsid w:val="00D35A32"/>
    <w:rsid w:val="00D36AA5"/>
    <w:rsid w:val="00D377F0"/>
    <w:rsid w:val="00D41D85"/>
    <w:rsid w:val="00D428E1"/>
    <w:rsid w:val="00D506FA"/>
    <w:rsid w:val="00D50A8D"/>
    <w:rsid w:val="00D50BA1"/>
    <w:rsid w:val="00D57869"/>
    <w:rsid w:val="00D65E0B"/>
    <w:rsid w:val="00D67223"/>
    <w:rsid w:val="00D678CE"/>
    <w:rsid w:val="00D67C32"/>
    <w:rsid w:val="00D7089E"/>
    <w:rsid w:val="00D7593A"/>
    <w:rsid w:val="00D76ACD"/>
    <w:rsid w:val="00D83627"/>
    <w:rsid w:val="00D84F02"/>
    <w:rsid w:val="00D87F00"/>
    <w:rsid w:val="00D93C5B"/>
    <w:rsid w:val="00D952B5"/>
    <w:rsid w:val="00D97D89"/>
    <w:rsid w:val="00D97ECD"/>
    <w:rsid w:val="00DA09B0"/>
    <w:rsid w:val="00DA0D91"/>
    <w:rsid w:val="00DA2CB9"/>
    <w:rsid w:val="00DA2E6C"/>
    <w:rsid w:val="00DA5E9D"/>
    <w:rsid w:val="00DA750E"/>
    <w:rsid w:val="00DA788E"/>
    <w:rsid w:val="00DA7AB5"/>
    <w:rsid w:val="00DA7E0B"/>
    <w:rsid w:val="00DB0F2D"/>
    <w:rsid w:val="00DB1AEF"/>
    <w:rsid w:val="00DB1B30"/>
    <w:rsid w:val="00DB2AB7"/>
    <w:rsid w:val="00DB38E9"/>
    <w:rsid w:val="00DB42B7"/>
    <w:rsid w:val="00DB59C6"/>
    <w:rsid w:val="00DB5F36"/>
    <w:rsid w:val="00DB7D31"/>
    <w:rsid w:val="00DB7E78"/>
    <w:rsid w:val="00DC126F"/>
    <w:rsid w:val="00DC12C9"/>
    <w:rsid w:val="00DC16E8"/>
    <w:rsid w:val="00DC3D4E"/>
    <w:rsid w:val="00DC4CFA"/>
    <w:rsid w:val="00DC62BF"/>
    <w:rsid w:val="00DC710B"/>
    <w:rsid w:val="00DD003D"/>
    <w:rsid w:val="00DD18BA"/>
    <w:rsid w:val="00DD39A3"/>
    <w:rsid w:val="00DD47B2"/>
    <w:rsid w:val="00DD5051"/>
    <w:rsid w:val="00DD7988"/>
    <w:rsid w:val="00DE0EA1"/>
    <w:rsid w:val="00DE1650"/>
    <w:rsid w:val="00DE1A3C"/>
    <w:rsid w:val="00DE5421"/>
    <w:rsid w:val="00DE550D"/>
    <w:rsid w:val="00DE7278"/>
    <w:rsid w:val="00DE7432"/>
    <w:rsid w:val="00DF0B58"/>
    <w:rsid w:val="00DF3CF8"/>
    <w:rsid w:val="00E03348"/>
    <w:rsid w:val="00E04C31"/>
    <w:rsid w:val="00E10E93"/>
    <w:rsid w:val="00E13E24"/>
    <w:rsid w:val="00E173C4"/>
    <w:rsid w:val="00E17AB1"/>
    <w:rsid w:val="00E21232"/>
    <w:rsid w:val="00E248EF"/>
    <w:rsid w:val="00E26F08"/>
    <w:rsid w:val="00E30374"/>
    <w:rsid w:val="00E343FF"/>
    <w:rsid w:val="00E34B2A"/>
    <w:rsid w:val="00E3555E"/>
    <w:rsid w:val="00E404E3"/>
    <w:rsid w:val="00E405F0"/>
    <w:rsid w:val="00E40F38"/>
    <w:rsid w:val="00E42198"/>
    <w:rsid w:val="00E45F94"/>
    <w:rsid w:val="00E5071D"/>
    <w:rsid w:val="00E53E89"/>
    <w:rsid w:val="00E60B76"/>
    <w:rsid w:val="00E65193"/>
    <w:rsid w:val="00E6543D"/>
    <w:rsid w:val="00E70F0F"/>
    <w:rsid w:val="00E71304"/>
    <w:rsid w:val="00E75D75"/>
    <w:rsid w:val="00E81232"/>
    <w:rsid w:val="00E84503"/>
    <w:rsid w:val="00E90EBF"/>
    <w:rsid w:val="00E9163E"/>
    <w:rsid w:val="00E91945"/>
    <w:rsid w:val="00E91B42"/>
    <w:rsid w:val="00E91DC7"/>
    <w:rsid w:val="00E920CE"/>
    <w:rsid w:val="00E94297"/>
    <w:rsid w:val="00E9474E"/>
    <w:rsid w:val="00E948F7"/>
    <w:rsid w:val="00E9537D"/>
    <w:rsid w:val="00E97805"/>
    <w:rsid w:val="00EA0A70"/>
    <w:rsid w:val="00EA1A4B"/>
    <w:rsid w:val="00EA2F7A"/>
    <w:rsid w:val="00EB0A2A"/>
    <w:rsid w:val="00EB1602"/>
    <w:rsid w:val="00EB573C"/>
    <w:rsid w:val="00EC0096"/>
    <w:rsid w:val="00EC01DF"/>
    <w:rsid w:val="00EC03DF"/>
    <w:rsid w:val="00EC1CF8"/>
    <w:rsid w:val="00EC2070"/>
    <w:rsid w:val="00EC355F"/>
    <w:rsid w:val="00EC51E0"/>
    <w:rsid w:val="00EC7057"/>
    <w:rsid w:val="00ED02CD"/>
    <w:rsid w:val="00ED10D8"/>
    <w:rsid w:val="00ED1401"/>
    <w:rsid w:val="00ED20E3"/>
    <w:rsid w:val="00ED674D"/>
    <w:rsid w:val="00EE1B1F"/>
    <w:rsid w:val="00EE1D17"/>
    <w:rsid w:val="00EE55F7"/>
    <w:rsid w:val="00EE5DF0"/>
    <w:rsid w:val="00EE608A"/>
    <w:rsid w:val="00EE671C"/>
    <w:rsid w:val="00EE7570"/>
    <w:rsid w:val="00EE7E7C"/>
    <w:rsid w:val="00EE7E95"/>
    <w:rsid w:val="00EF0421"/>
    <w:rsid w:val="00EF1F51"/>
    <w:rsid w:val="00EF2543"/>
    <w:rsid w:val="00EF44A6"/>
    <w:rsid w:val="00EF5E40"/>
    <w:rsid w:val="00EF5E90"/>
    <w:rsid w:val="00EF7892"/>
    <w:rsid w:val="00F002D3"/>
    <w:rsid w:val="00F01A57"/>
    <w:rsid w:val="00F02693"/>
    <w:rsid w:val="00F02879"/>
    <w:rsid w:val="00F035F2"/>
    <w:rsid w:val="00F050B7"/>
    <w:rsid w:val="00F0685A"/>
    <w:rsid w:val="00F12590"/>
    <w:rsid w:val="00F205EF"/>
    <w:rsid w:val="00F20639"/>
    <w:rsid w:val="00F30E9E"/>
    <w:rsid w:val="00F310D2"/>
    <w:rsid w:val="00F31241"/>
    <w:rsid w:val="00F325F1"/>
    <w:rsid w:val="00F33696"/>
    <w:rsid w:val="00F33976"/>
    <w:rsid w:val="00F34354"/>
    <w:rsid w:val="00F35C45"/>
    <w:rsid w:val="00F36C63"/>
    <w:rsid w:val="00F36E26"/>
    <w:rsid w:val="00F37766"/>
    <w:rsid w:val="00F4157D"/>
    <w:rsid w:val="00F42268"/>
    <w:rsid w:val="00F441A9"/>
    <w:rsid w:val="00F44567"/>
    <w:rsid w:val="00F45BC8"/>
    <w:rsid w:val="00F4654A"/>
    <w:rsid w:val="00F46C1D"/>
    <w:rsid w:val="00F472AF"/>
    <w:rsid w:val="00F53232"/>
    <w:rsid w:val="00F549BD"/>
    <w:rsid w:val="00F627E8"/>
    <w:rsid w:val="00F64840"/>
    <w:rsid w:val="00F64E44"/>
    <w:rsid w:val="00F66375"/>
    <w:rsid w:val="00F66CB8"/>
    <w:rsid w:val="00F66EAA"/>
    <w:rsid w:val="00F7036F"/>
    <w:rsid w:val="00F71448"/>
    <w:rsid w:val="00F71494"/>
    <w:rsid w:val="00F71DDA"/>
    <w:rsid w:val="00F764EA"/>
    <w:rsid w:val="00F76859"/>
    <w:rsid w:val="00F76B78"/>
    <w:rsid w:val="00F80DE8"/>
    <w:rsid w:val="00F81192"/>
    <w:rsid w:val="00F817BD"/>
    <w:rsid w:val="00F86CD6"/>
    <w:rsid w:val="00F86D83"/>
    <w:rsid w:val="00F90CFA"/>
    <w:rsid w:val="00F918E8"/>
    <w:rsid w:val="00FA3FEB"/>
    <w:rsid w:val="00FA436B"/>
    <w:rsid w:val="00FA4E66"/>
    <w:rsid w:val="00FA5133"/>
    <w:rsid w:val="00FA753A"/>
    <w:rsid w:val="00FA7E97"/>
    <w:rsid w:val="00FB269F"/>
    <w:rsid w:val="00FB342A"/>
    <w:rsid w:val="00FB5DE0"/>
    <w:rsid w:val="00FB7A56"/>
    <w:rsid w:val="00FC2327"/>
    <w:rsid w:val="00FC5F7D"/>
    <w:rsid w:val="00FC63AA"/>
    <w:rsid w:val="00FC6474"/>
    <w:rsid w:val="00FD0E36"/>
    <w:rsid w:val="00FD13C9"/>
    <w:rsid w:val="00FD3DB1"/>
    <w:rsid w:val="00FD3F3F"/>
    <w:rsid w:val="00FD451F"/>
    <w:rsid w:val="00FD5385"/>
    <w:rsid w:val="00FD7388"/>
    <w:rsid w:val="00FD7C88"/>
    <w:rsid w:val="00FE1A04"/>
    <w:rsid w:val="00FE32DD"/>
    <w:rsid w:val="00FE674D"/>
    <w:rsid w:val="00FF24C0"/>
    <w:rsid w:val="00FF4192"/>
    <w:rsid w:val="00FF4B56"/>
    <w:rsid w:val="00FF4FAB"/>
    <w:rsid w:val="00FF695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7825"/>
    <o:shapelayout v:ext="edit">
      <o:idmap v:ext="edit" data="1"/>
    </o:shapelayout>
  </w:shapeDefaults>
  <w:decimalSymbol w:val="."/>
  <w:listSeparator w:val=","/>
  <w14:docId w14:val="1EDDFB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2" w:uiPriority="39"/>
    <w:lsdException w:name="annotation text" w:uiPriority="99"/>
    <w:lsdException w:name="header" w:uiPriority="99"/>
    <w:lsdException w:name="caption" w:qFormat="1"/>
    <w:lsdException w:name="page number" w:uiPriority="5"/>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val="en-US" w:eastAsia="en-US"/>
    </w:rPr>
  </w:style>
  <w:style w:type="paragraph" w:styleId="Heading1">
    <w:name w:val="heading 1"/>
    <w:basedOn w:val="Normal"/>
    <w:next w:val="Normal"/>
    <w:qFormat/>
    <w:pPr>
      <w:keepNext/>
      <w:overflowPunct w:val="0"/>
      <w:autoSpaceDE w:val="0"/>
      <w:autoSpaceDN w:val="0"/>
      <w:adjustRightInd w:val="0"/>
      <w:textAlignment w:val="baseline"/>
      <w:outlineLvl w:val="0"/>
    </w:pPr>
    <w:rPr>
      <w:b/>
      <w:sz w:val="22"/>
      <w:szCs w:val="20"/>
      <w:lang w:val="en-GB"/>
    </w:rPr>
  </w:style>
  <w:style w:type="paragraph" w:styleId="Heading2">
    <w:name w:val="heading 2"/>
    <w:basedOn w:val="Normal"/>
    <w:next w:val="Normal"/>
    <w:qFormat/>
    <w:pPr>
      <w:keepNext/>
      <w:overflowPunct w:val="0"/>
      <w:autoSpaceDE w:val="0"/>
      <w:autoSpaceDN w:val="0"/>
      <w:adjustRightInd w:val="0"/>
      <w:spacing w:before="480" w:after="240"/>
      <w:textAlignment w:val="baseline"/>
      <w:outlineLvl w:val="1"/>
    </w:pPr>
    <w:rPr>
      <w:b/>
      <w:color w:val="000000"/>
      <w:szCs w:val="20"/>
      <w:lang w:val="en-GB"/>
    </w:rPr>
  </w:style>
  <w:style w:type="paragraph" w:styleId="Heading3">
    <w:name w:val="heading 3"/>
    <w:basedOn w:val="Normal"/>
    <w:next w:val="Normal"/>
    <w:qFormat/>
    <w:pPr>
      <w:keepNext/>
      <w:overflowPunct w:val="0"/>
      <w:autoSpaceDE w:val="0"/>
      <w:autoSpaceDN w:val="0"/>
      <w:adjustRightInd w:val="0"/>
      <w:jc w:val="both"/>
      <w:textAlignment w:val="baseline"/>
      <w:outlineLvl w:val="2"/>
    </w:pPr>
    <w:rPr>
      <w:b/>
      <w:szCs w:val="20"/>
      <w:lang w:val="en-AU"/>
    </w:rPr>
  </w:style>
  <w:style w:type="paragraph" w:styleId="Heading4">
    <w:name w:val="heading 4"/>
    <w:basedOn w:val="Normal"/>
    <w:next w:val="Normal"/>
    <w:qFormat/>
    <w:pPr>
      <w:keepNext/>
      <w:overflowPunct w:val="0"/>
      <w:autoSpaceDE w:val="0"/>
      <w:autoSpaceDN w:val="0"/>
      <w:adjustRightInd w:val="0"/>
      <w:jc w:val="both"/>
      <w:textAlignment w:val="baseline"/>
      <w:outlineLvl w:val="3"/>
    </w:pPr>
    <w:rPr>
      <w:i/>
      <w:szCs w:val="20"/>
      <w:lang w:val="en-AU"/>
    </w:rPr>
  </w:style>
  <w:style w:type="paragraph" w:styleId="Heading5">
    <w:name w:val="heading 5"/>
    <w:basedOn w:val="Normal"/>
    <w:next w:val="Normal"/>
    <w:qFormat/>
    <w:pPr>
      <w:keepNext/>
      <w:overflowPunct w:val="0"/>
      <w:autoSpaceDE w:val="0"/>
      <w:autoSpaceDN w:val="0"/>
      <w:adjustRightInd w:val="0"/>
      <w:textAlignment w:val="baseline"/>
      <w:outlineLvl w:val="4"/>
    </w:pPr>
    <w:rPr>
      <w:i/>
      <w:szCs w:val="20"/>
      <w:lang w:val="en-GB"/>
    </w:rPr>
  </w:style>
  <w:style w:type="paragraph" w:styleId="Heading6">
    <w:name w:val="heading 6"/>
    <w:basedOn w:val="Normal"/>
    <w:next w:val="Normal"/>
    <w:qFormat/>
    <w:rsid w:val="009F0301"/>
    <w:pPr>
      <w:jc w:val="both"/>
      <w:outlineLvl w:val="5"/>
    </w:pPr>
    <w:rPr>
      <w:noProof/>
      <w:u w:val="single"/>
    </w:rPr>
  </w:style>
  <w:style w:type="paragraph" w:styleId="Heading7">
    <w:name w:val="heading 7"/>
    <w:aliases w:val="TemplateHeading 7"/>
    <w:basedOn w:val="Normal"/>
    <w:next w:val="Normal"/>
    <w:link w:val="Heading7Char"/>
    <w:qFormat/>
    <w:pPr>
      <w:keepNext/>
      <w:jc w:val="center"/>
      <w:outlineLvl w:val="6"/>
    </w:pPr>
    <w:rPr>
      <w:rFonts w:ascii="Arial" w:hAnsi="Arial"/>
      <w:b/>
      <w:bCs/>
      <w:sz w:val="32"/>
      <w:lang w:val="en-AU"/>
    </w:rPr>
  </w:style>
  <w:style w:type="paragraph" w:styleId="Heading8">
    <w:name w:val="heading 8"/>
    <w:aliases w:val="TemplateHeading 8"/>
    <w:basedOn w:val="Normal"/>
    <w:next w:val="Normal"/>
    <w:link w:val="Heading8Char"/>
    <w:qFormat/>
    <w:pPr>
      <w:keepNext/>
      <w:jc w:val="center"/>
      <w:outlineLvl w:val="7"/>
    </w:pPr>
    <w:rPr>
      <w:rFonts w:ascii="Arial" w:hAnsi="Arial" w:cs="Arial"/>
      <w:b/>
      <w:bCs/>
      <w:sz w:val="36"/>
      <w:lang w:val="en-AU"/>
    </w:rPr>
  </w:style>
  <w:style w:type="paragraph" w:styleId="Heading9">
    <w:name w:val="heading 9"/>
    <w:aliases w:val="TemplateHeading 9"/>
    <w:basedOn w:val="Normal"/>
    <w:next w:val="Normal"/>
    <w:link w:val="Heading9Char"/>
    <w:qFormat/>
    <w:pPr>
      <w:keepNext/>
      <w:jc w:val="center"/>
      <w:outlineLvl w:val="8"/>
    </w:pPr>
    <w:rPr>
      <w:rFonts w:ascii="Arial" w:hAnsi="Arial" w:cs="Arial"/>
      <w:b/>
      <w:bCs/>
      <w:sz w:val="22"/>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overflowPunct w:val="0"/>
      <w:autoSpaceDE w:val="0"/>
      <w:autoSpaceDN w:val="0"/>
      <w:adjustRightInd w:val="0"/>
      <w:jc w:val="center"/>
      <w:textAlignment w:val="baseline"/>
    </w:pPr>
    <w:rPr>
      <w:b/>
      <w:noProof/>
      <w:sz w:val="22"/>
      <w:szCs w:val="20"/>
      <w:lang w:val="en-GB"/>
    </w:rPr>
  </w:style>
  <w:style w:type="paragraph" w:styleId="TOC1">
    <w:name w:val="toc 1"/>
    <w:aliases w:val="CMI TOC1"/>
    <w:basedOn w:val="Normal"/>
    <w:next w:val="Normal"/>
    <w:autoRedefine/>
    <w:semiHidden/>
    <w:pPr>
      <w:tabs>
        <w:tab w:val="left" w:pos="2693"/>
      </w:tabs>
      <w:overflowPunct w:val="0"/>
      <w:autoSpaceDE w:val="0"/>
      <w:autoSpaceDN w:val="0"/>
      <w:adjustRightInd w:val="0"/>
      <w:spacing w:before="120" w:after="80"/>
      <w:textAlignment w:val="baseline"/>
    </w:pPr>
    <w:rPr>
      <w:b/>
      <w:sz w:val="20"/>
      <w:szCs w:val="20"/>
      <w:lang w:val="en-AU"/>
    </w:rPr>
  </w:style>
  <w:style w:type="paragraph" w:customStyle="1" w:styleId="CMIheading1">
    <w:name w:val="CMI heading 1"/>
    <w:basedOn w:val="Normal"/>
    <w:pPr>
      <w:keepNext/>
      <w:pBdr>
        <w:top w:val="single" w:sz="6" w:space="1" w:color="auto"/>
        <w:bottom w:val="single" w:sz="6" w:space="1" w:color="auto"/>
      </w:pBdr>
      <w:overflowPunct w:val="0"/>
      <w:autoSpaceDE w:val="0"/>
      <w:autoSpaceDN w:val="0"/>
      <w:adjustRightInd w:val="0"/>
      <w:spacing w:before="260" w:after="180"/>
      <w:textAlignment w:val="baseline"/>
    </w:pPr>
    <w:rPr>
      <w:rFonts w:ascii="Arial" w:hAnsi="Arial"/>
      <w:b/>
      <w:sz w:val="26"/>
      <w:szCs w:val="20"/>
      <w:lang w:val="en-AU"/>
    </w:rPr>
  </w:style>
  <w:style w:type="paragraph" w:customStyle="1" w:styleId="CMIheading2">
    <w:name w:val="CMI heading 2"/>
    <w:basedOn w:val="Normal"/>
    <w:pPr>
      <w:keepNext/>
      <w:overflowPunct w:val="0"/>
      <w:autoSpaceDE w:val="0"/>
      <w:autoSpaceDN w:val="0"/>
      <w:adjustRightInd w:val="0"/>
      <w:spacing w:before="200" w:after="80"/>
      <w:textAlignment w:val="baseline"/>
    </w:pPr>
    <w:rPr>
      <w:rFonts w:ascii="Arial" w:hAnsi="Arial"/>
      <w:b/>
      <w:i/>
      <w:sz w:val="22"/>
      <w:szCs w:val="20"/>
      <w:lang w:val="en-AU"/>
    </w:rPr>
  </w:style>
  <w:style w:type="paragraph" w:styleId="BodyText">
    <w:name w:val="Body Text"/>
    <w:basedOn w:val="Normal"/>
    <w:pPr>
      <w:overflowPunct w:val="0"/>
      <w:autoSpaceDE w:val="0"/>
      <w:autoSpaceDN w:val="0"/>
      <w:adjustRightInd w:val="0"/>
      <w:textAlignment w:val="baseline"/>
    </w:pPr>
    <w:rPr>
      <w:color w:val="000000"/>
      <w:sz w:val="22"/>
      <w:szCs w:val="20"/>
      <w:lang w:val="en-GB"/>
    </w:rPr>
  </w:style>
  <w:style w:type="paragraph" w:styleId="BodyText3">
    <w:name w:val="Body Text 3"/>
    <w:basedOn w:val="Normal"/>
    <w:pPr>
      <w:overflowPunct w:val="0"/>
      <w:autoSpaceDE w:val="0"/>
      <w:autoSpaceDN w:val="0"/>
      <w:adjustRightInd w:val="0"/>
      <w:textAlignment w:val="baseline"/>
    </w:pPr>
    <w:rPr>
      <w:sz w:val="22"/>
      <w:szCs w:val="20"/>
      <w:lang w:val="en-GB"/>
    </w:rPr>
  </w:style>
  <w:style w:type="paragraph" w:styleId="BodyText2">
    <w:name w:val="Body Text 2"/>
    <w:basedOn w:val="Normal"/>
    <w:pPr>
      <w:tabs>
        <w:tab w:val="left" w:pos="1134"/>
      </w:tabs>
      <w:overflowPunct w:val="0"/>
      <w:autoSpaceDE w:val="0"/>
      <w:autoSpaceDN w:val="0"/>
      <w:adjustRightInd w:val="0"/>
      <w:ind w:left="1134" w:hanging="1134"/>
      <w:textAlignment w:val="baseline"/>
    </w:pPr>
    <w:rPr>
      <w:b/>
      <w:color w:val="000000"/>
      <w:sz w:val="20"/>
      <w:szCs w:val="20"/>
      <w:lang w:val="en-GB"/>
    </w:rPr>
  </w:style>
  <w:style w:type="paragraph" w:styleId="CommentText">
    <w:name w:val="annotation text"/>
    <w:basedOn w:val="Normal"/>
    <w:link w:val="CommentTextChar"/>
    <w:uiPriority w:val="99"/>
    <w:semiHidden/>
    <w:pPr>
      <w:overflowPunct w:val="0"/>
      <w:autoSpaceDE w:val="0"/>
      <w:autoSpaceDN w:val="0"/>
      <w:adjustRightInd w:val="0"/>
      <w:textAlignment w:val="baseline"/>
    </w:pPr>
    <w:rPr>
      <w:color w:val="000000"/>
      <w:sz w:val="20"/>
      <w:szCs w:val="20"/>
      <w:lang w:val="en-GB"/>
    </w:rPr>
  </w:style>
  <w:style w:type="paragraph" w:styleId="Footer">
    <w:name w:val="footer"/>
    <w:basedOn w:val="Normal"/>
    <w:link w:val="FooterChar"/>
    <w:pPr>
      <w:tabs>
        <w:tab w:val="center" w:pos="4153"/>
        <w:tab w:val="right" w:pos="8306"/>
      </w:tabs>
      <w:overflowPunct w:val="0"/>
      <w:autoSpaceDE w:val="0"/>
      <w:autoSpaceDN w:val="0"/>
      <w:adjustRightInd w:val="0"/>
      <w:textAlignment w:val="baseline"/>
    </w:pPr>
    <w:rPr>
      <w:color w:val="000000"/>
      <w:szCs w:val="20"/>
      <w:lang w:val="en-GB"/>
    </w:rPr>
  </w:style>
  <w:style w:type="paragraph" w:styleId="Header">
    <w:name w:val="header"/>
    <w:basedOn w:val="Normal"/>
    <w:link w:val="HeaderChar"/>
    <w:uiPriority w:val="99"/>
    <w:pPr>
      <w:tabs>
        <w:tab w:val="center" w:pos="4153"/>
        <w:tab w:val="right" w:pos="8306"/>
      </w:tabs>
      <w:overflowPunct w:val="0"/>
      <w:autoSpaceDE w:val="0"/>
      <w:autoSpaceDN w:val="0"/>
      <w:adjustRightInd w:val="0"/>
      <w:textAlignment w:val="baseline"/>
    </w:pPr>
    <w:rPr>
      <w:color w:val="000000"/>
      <w:szCs w:val="20"/>
      <w:lang w:val="en-GB"/>
    </w:rPr>
  </w:style>
  <w:style w:type="paragraph" w:customStyle="1" w:styleId="rk2linie1">
    <w:name w:val="rk2linie1"/>
    <w:basedOn w:val="Normal"/>
    <w:next w:val="Normal"/>
    <w:pPr>
      <w:overflowPunct w:val="0"/>
      <w:autoSpaceDE w:val="0"/>
      <w:autoSpaceDN w:val="0"/>
      <w:adjustRightInd w:val="0"/>
      <w:spacing w:before="280"/>
      <w:jc w:val="center"/>
      <w:textAlignment w:val="baseline"/>
    </w:pPr>
    <w:rPr>
      <w:rFonts w:ascii="Arial" w:hAnsi="Arial"/>
      <w:b/>
      <w:sz w:val="28"/>
      <w:szCs w:val="20"/>
      <w:lang w:val="en-GB"/>
    </w:rPr>
  </w:style>
  <w:style w:type="paragraph" w:styleId="EndnoteText">
    <w:name w:val="endnote text"/>
    <w:basedOn w:val="Normal"/>
    <w:semiHidden/>
    <w:pPr>
      <w:tabs>
        <w:tab w:val="left" w:pos="567"/>
      </w:tabs>
    </w:pPr>
    <w:rPr>
      <w:sz w:val="22"/>
      <w:szCs w:val="20"/>
      <w:lang w:val="en-GB"/>
    </w:rPr>
  </w:style>
  <w:style w:type="paragraph" w:styleId="BalloonText">
    <w:name w:val="Balloon Text"/>
    <w:basedOn w:val="Normal"/>
    <w:semiHidden/>
    <w:rPr>
      <w:rFonts w:ascii="Tahoma" w:hAnsi="Tahoma" w:cs="Tahoma"/>
      <w:sz w:val="16"/>
      <w:szCs w:val="16"/>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semiHidden/>
    <w:rPr>
      <w:sz w:val="16"/>
      <w:szCs w:val="16"/>
    </w:rPr>
  </w:style>
  <w:style w:type="paragraph" w:styleId="CommentSubject">
    <w:name w:val="annotation subject"/>
    <w:basedOn w:val="CommentText"/>
    <w:next w:val="CommentText"/>
    <w:semiHidden/>
    <w:pPr>
      <w:overflowPunct/>
      <w:autoSpaceDE/>
      <w:autoSpaceDN/>
      <w:adjustRightInd/>
      <w:textAlignment w:val="auto"/>
    </w:pPr>
    <w:rPr>
      <w:b/>
      <w:bCs/>
      <w:color w:val="auto"/>
      <w:lang w:val="en-US"/>
    </w:rPr>
  </w:style>
  <w:style w:type="paragraph" w:customStyle="1" w:styleId="TableText">
    <w:name w:val="Table Text"/>
    <w:link w:val="TableTextChar"/>
    <w:pPr>
      <w:keepNext/>
      <w:keepLines/>
      <w:spacing w:after="20"/>
    </w:pPr>
    <w:rPr>
      <w:lang w:val="en-GB" w:eastAsia="en-US"/>
    </w:rPr>
  </w:style>
  <w:style w:type="character" w:customStyle="1" w:styleId="TableTextChar">
    <w:name w:val="Table Text Char"/>
    <w:link w:val="TableText"/>
    <w:rPr>
      <w:lang w:val="en-GB" w:eastAsia="en-US" w:bidi="ar-SA"/>
    </w:rPr>
  </w:style>
  <w:style w:type="paragraph" w:styleId="Caption">
    <w:name w:val="caption"/>
    <w:next w:val="BodyText"/>
    <w:qFormat/>
    <w:pPr>
      <w:tabs>
        <w:tab w:val="left" w:pos="1134"/>
      </w:tabs>
      <w:suppressAutoHyphens/>
      <w:spacing w:before="120" w:after="60"/>
      <w:ind w:left="1134" w:hanging="1134"/>
    </w:pPr>
    <w:rPr>
      <w:b/>
      <w:bCs/>
      <w:sz w:val="24"/>
      <w:lang w:val="en-GB" w:eastAsia="en-US"/>
    </w:rPr>
  </w:style>
  <w:style w:type="paragraph" w:customStyle="1" w:styleId="BulletList10pt">
    <w:name w:val="Bullet List 10 pt"/>
    <w:pPr>
      <w:numPr>
        <w:ilvl w:val="1"/>
        <w:numId w:val="5"/>
      </w:numPr>
      <w:tabs>
        <w:tab w:val="clear" w:pos="1307"/>
        <w:tab w:val="num" w:pos="360"/>
      </w:tabs>
      <w:suppressAutoHyphens/>
      <w:ind w:left="0" w:firstLine="0"/>
    </w:pPr>
    <w:rPr>
      <w:szCs w:val="24"/>
      <w:lang w:val="en-GB" w:eastAsia="en-US"/>
    </w:rPr>
  </w:style>
  <w:style w:type="paragraph" w:customStyle="1" w:styleId="BulletIndent">
    <w:name w:val="Bullet Indent"/>
    <w:basedOn w:val="Normal"/>
    <w:uiPriority w:val="99"/>
    <w:pPr>
      <w:numPr>
        <w:numId w:val="6"/>
      </w:numPr>
      <w:tabs>
        <w:tab w:val="clear" w:pos="357"/>
        <w:tab w:val="num" w:pos="360"/>
      </w:tabs>
      <w:suppressAutoHyphens/>
      <w:spacing w:line="264" w:lineRule="auto"/>
      <w:ind w:left="0" w:firstLine="0"/>
    </w:pPr>
    <w:rPr>
      <w:szCs w:val="20"/>
      <w:lang w:val="en-GB"/>
    </w:rPr>
  </w:style>
  <w:style w:type="paragraph" w:customStyle="1" w:styleId="TableFootnoteFormat">
    <w:name w:val="Table Footnote Format"/>
    <w:basedOn w:val="TableText"/>
    <w:pPr>
      <w:keepNext w:val="0"/>
      <w:keepLines w:val="0"/>
      <w:spacing w:before="40" w:after="40"/>
    </w:pPr>
  </w:style>
  <w:style w:type="numbering" w:styleId="111111">
    <w:name w:val="Outline List 2"/>
    <w:basedOn w:val="NoList"/>
    <w:semiHidden/>
    <w:pPr>
      <w:numPr>
        <w:numId w:val="7"/>
      </w:numPr>
    </w:pPr>
  </w:style>
  <w:style w:type="table" w:customStyle="1" w:styleId="TableHeader">
    <w:name w:val="TableHeader"/>
    <w:basedOn w:val="TableNormal"/>
    <w:rPr>
      <w:sz w:val="18"/>
    </w:rPr>
    <w:tblPr>
      <w:tblBorders>
        <w:insideV w:val="single" w:sz="4" w:space="0" w:color="auto"/>
      </w:tblBorders>
    </w:tblPr>
  </w:style>
  <w:style w:type="paragraph" w:customStyle="1" w:styleId="BulletList">
    <w:name w:val="Bullet List"/>
    <w:basedOn w:val="BodyText"/>
    <w:link w:val="BulletListChar"/>
    <w:pPr>
      <w:numPr>
        <w:numId w:val="8"/>
      </w:numPr>
      <w:suppressAutoHyphens/>
      <w:overflowPunct/>
      <w:autoSpaceDE/>
      <w:autoSpaceDN/>
      <w:adjustRightInd/>
      <w:spacing w:line="264" w:lineRule="auto"/>
      <w:textAlignment w:val="auto"/>
    </w:pPr>
    <w:rPr>
      <w:color w:val="auto"/>
      <w:sz w:val="24"/>
    </w:rPr>
  </w:style>
  <w:style w:type="character" w:customStyle="1" w:styleId="BulletListChar">
    <w:name w:val="Bullet List Char"/>
    <w:link w:val="BulletList"/>
    <w:rPr>
      <w:sz w:val="24"/>
      <w:lang w:val="en-GB" w:eastAsia="en-US" w:bidi="ar-SA"/>
    </w:rPr>
  </w:style>
  <w:style w:type="paragraph" w:styleId="NormalWeb">
    <w:name w:val="Normal (Web)"/>
    <w:basedOn w:val="Normal"/>
    <w:pPr>
      <w:spacing w:before="100" w:beforeAutospacing="1" w:after="100" w:afterAutospacing="1"/>
    </w:pPr>
    <w:rPr>
      <w:lang w:val="en-AU" w:eastAsia="en-AU"/>
    </w:rPr>
  </w:style>
  <w:style w:type="character" w:styleId="Strong">
    <w:name w:val="Strong"/>
    <w:qFormat/>
    <w:rPr>
      <w:b/>
      <w:bCs/>
    </w:rPr>
  </w:style>
  <w:style w:type="character" w:styleId="Hyperlink">
    <w:name w:val="Hyperlink"/>
    <w:uiPriority w:val="99"/>
    <w:rPr>
      <w:color w:val="0000FF"/>
      <w:u w:val="single"/>
    </w:rPr>
  </w:style>
  <w:style w:type="paragraph" w:customStyle="1" w:styleId="CM12">
    <w:name w:val="CM12"/>
    <w:basedOn w:val="Normal"/>
    <w:next w:val="Normal"/>
    <w:pPr>
      <w:autoSpaceDE w:val="0"/>
      <w:autoSpaceDN w:val="0"/>
      <w:adjustRightInd w:val="0"/>
      <w:spacing w:line="278" w:lineRule="atLeast"/>
    </w:pPr>
    <w:rPr>
      <w:lang w:val="en-AU" w:eastAsia="en-AU"/>
    </w:rPr>
  </w:style>
  <w:style w:type="character" w:customStyle="1" w:styleId="dpro">
    <w:name w:val="dpro"/>
    <w:semiHidden/>
    <w:rPr>
      <w:rFonts w:ascii="Verdana" w:hAnsi="Verdana"/>
      <w:b w:val="0"/>
      <w:bCs w:val="0"/>
      <w:i w:val="0"/>
      <w:iCs w:val="0"/>
      <w:strike w:val="0"/>
      <w:color w:val="0000FF"/>
      <w:sz w:val="20"/>
      <w:szCs w:val="20"/>
      <w:u w:val="none"/>
    </w:rPr>
  </w:style>
  <w:style w:type="character" w:customStyle="1" w:styleId="CommentTextChar">
    <w:name w:val="Comment Text Char"/>
    <w:link w:val="CommentText"/>
    <w:uiPriority w:val="99"/>
    <w:semiHidden/>
    <w:locked/>
    <w:rsid w:val="0019278E"/>
    <w:rPr>
      <w:color w:val="000000"/>
      <w:lang w:val="en-GB" w:eastAsia="en-US"/>
    </w:rPr>
  </w:style>
  <w:style w:type="character" w:styleId="PageNumber">
    <w:name w:val="page number"/>
    <w:basedOn w:val="DefaultParagraphFont"/>
    <w:uiPriority w:val="5"/>
    <w:rsid w:val="002B2F8E"/>
  </w:style>
  <w:style w:type="paragraph" w:customStyle="1" w:styleId="Manufacturer">
    <w:name w:val="Manufacturer"/>
    <w:basedOn w:val="Normal"/>
    <w:rsid w:val="007810E8"/>
    <w:pPr>
      <w:spacing w:before="20" w:after="20" w:line="260" w:lineRule="exact"/>
      <w:jc w:val="both"/>
    </w:pPr>
    <w:rPr>
      <w:color w:val="000000"/>
      <w:sz w:val="20"/>
      <w:szCs w:val="20"/>
      <w:lang w:val="pt-BR"/>
    </w:rPr>
  </w:style>
  <w:style w:type="character" w:customStyle="1" w:styleId="Heading7Char">
    <w:name w:val="Heading 7 Char"/>
    <w:aliases w:val="TemplateHeading 7 Char"/>
    <w:link w:val="Heading7"/>
    <w:rsid w:val="0040118A"/>
    <w:rPr>
      <w:rFonts w:ascii="Arial" w:hAnsi="Arial"/>
      <w:b/>
      <w:bCs/>
      <w:sz w:val="32"/>
      <w:szCs w:val="24"/>
      <w:lang w:eastAsia="en-US"/>
    </w:rPr>
  </w:style>
  <w:style w:type="character" w:customStyle="1" w:styleId="Heading8Char">
    <w:name w:val="Heading 8 Char"/>
    <w:aliases w:val="TemplateHeading 8 Char"/>
    <w:link w:val="Heading8"/>
    <w:rsid w:val="0040118A"/>
    <w:rPr>
      <w:rFonts w:ascii="Arial" w:hAnsi="Arial" w:cs="Arial"/>
      <w:b/>
      <w:bCs/>
      <w:sz w:val="36"/>
      <w:szCs w:val="24"/>
      <w:lang w:eastAsia="en-US"/>
    </w:rPr>
  </w:style>
  <w:style w:type="character" w:customStyle="1" w:styleId="Heading9Char">
    <w:name w:val="Heading 9 Char"/>
    <w:aliases w:val="TemplateHeading 9 Char"/>
    <w:link w:val="Heading9"/>
    <w:rsid w:val="0040118A"/>
    <w:rPr>
      <w:rFonts w:ascii="Arial" w:hAnsi="Arial" w:cs="Arial"/>
      <w:b/>
      <w:bCs/>
      <w:sz w:val="22"/>
      <w:szCs w:val="24"/>
      <w:lang w:eastAsia="en-US"/>
    </w:rPr>
  </w:style>
  <w:style w:type="character" w:customStyle="1" w:styleId="HeaderChar">
    <w:name w:val="Header Char"/>
    <w:link w:val="Header"/>
    <w:uiPriority w:val="99"/>
    <w:rsid w:val="0040118A"/>
    <w:rPr>
      <w:color w:val="000000"/>
      <w:sz w:val="24"/>
      <w:lang w:val="en-GB" w:eastAsia="en-US"/>
    </w:rPr>
  </w:style>
  <w:style w:type="paragraph" w:styleId="ListBullet">
    <w:name w:val="List Bullet"/>
    <w:basedOn w:val="Normal"/>
    <w:rsid w:val="000C18BE"/>
    <w:pPr>
      <w:numPr>
        <w:numId w:val="2"/>
      </w:numPr>
      <w:contextualSpacing/>
    </w:pPr>
  </w:style>
  <w:style w:type="paragraph" w:styleId="Revision">
    <w:name w:val="Revision"/>
    <w:hidden/>
    <w:uiPriority w:val="99"/>
    <w:semiHidden/>
    <w:rsid w:val="00FA436B"/>
    <w:rPr>
      <w:sz w:val="24"/>
      <w:szCs w:val="24"/>
      <w:lang w:val="en-US" w:eastAsia="en-US"/>
    </w:rPr>
  </w:style>
  <w:style w:type="paragraph" w:styleId="TOC2">
    <w:name w:val="toc 2"/>
    <w:basedOn w:val="Normal"/>
    <w:next w:val="Normal"/>
    <w:autoRedefine/>
    <w:uiPriority w:val="39"/>
    <w:rsid w:val="009565C4"/>
    <w:pPr>
      <w:spacing w:after="100"/>
      <w:ind w:left="240"/>
    </w:pPr>
  </w:style>
  <w:style w:type="character" w:styleId="FollowedHyperlink">
    <w:name w:val="FollowedHyperlink"/>
    <w:basedOn w:val="DefaultParagraphFont"/>
    <w:rsid w:val="004F2056"/>
    <w:rPr>
      <w:color w:val="800080" w:themeColor="followedHyperlink"/>
      <w:u w:val="single"/>
    </w:rPr>
  </w:style>
  <w:style w:type="paragraph" w:styleId="ListParagraph">
    <w:name w:val="List Paragraph"/>
    <w:basedOn w:val="Normal"/>
    <w:uiPriority w:val="34"/>
    <w:qFormat/>
    <w:rsid w:val="00EF2543"/>
    <w:pPr>
      <w:ind w:left="720"/>
      <w:contextualSpacing/>
    </w:pPr>
  </w:style>
  <w:style w:type="character" w:customStyle="1" w:styleId="FooterChar">
    <w:name w:val="Footer Char"/>
    <w:basedOn w:val="DefaultParagraphFont"/>
    <w:link w:val="Footer"/>
    <w:rsid w:val="00A44939"/>
    <w:rPr>
      <w:color w:val="000000"/>
      <w:sz w:val="24"/>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2" w:uiPriority="39"/>
    <w:lsdException w:name="annotation text" w:uiPriority="99"/>
    <w:lsdException w:name="header" w:uiPriority="99"/>
    <w:lsdException w:name="caption" w:qFormat="1"/>
    <w:lsdException w:name="page number" w:uiPriority="5"/>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val="en-US" w:eastAsia="en-US"/>
    </w:rPr>
  </w:style>
  <w:style w:type="paragraph" w:styleId="Heading1">
    <w:name w:val="heading 1"/>
    <w:basedOn w:val="Normal"/>
    <w:next w:val="Normal"/>
    <w:qFormat/>
    <w:pPr>
      <w:keepNext/>
      <w:overflowPunct w:val="0"/>
      <w:autoSpaceDE w:val="0"/>
      <w:autoSpaceDN w:val="0"/>
      <w:adjustRightInd w:val="0"/>
      <w:textAlignment w:val="baseline"/>
      <w:outlineLvl w:val="0"/>
    </w:pPr>
    <w:rPr>
      <w:b/>
      <w:sz w:val="22"/>
      <w:szCs w:val="20"/>
      <w:lang w:val="en-GB"/>
    </w:rPr>
  </w:style>
  <w:style w:type="paragraph" w:styleId="Heading2">
    <w:name w:val="heading 2"/>
    <w:basedOn w:val="Normal"/>
    <w:next w:val="Normal"/>
    <w:qFormat/>
    <w:pPr>
      <w:keepNext/>
      <w:overflowPunct w:val="0"/>
      <w:autoSpaceDE w:val="0"/>
      <w:autoSpaceDN w:val="0"/>
      <w:adjustRightInd w:val="0"/>
      <w:spacing w:before="480" w:after="240"/>
      <w:textAlignment w:val="baseline"/>
      <w:outlineLvl w:val="1"/>
    </w:pPr>
    <w:rPr>
      <w:b/>
      <w:color w:val="000000"/>
      <w:szCs w:val="20"/>
      <w:lang w:val="en-GB"/>
    </w:rPr>
  </w:style>
  <w:style w:type="paragraph" w:styleId="Heading3">
    <w:name w:val="heading 3"/>
    <w:basedOn w:val="Normal"/>
    <w:next w:val="Normal"/>
    <w:qFormat/>
    <w:pPr>
      <w:keepNext/>
      <w:overflowPunct w:val="0"/>
      <w:autoSpaceDE w:val="0"/>
      <w:autoSpaceDN w:val="0"/>
      <w:adjustRightInd w:val="0"/>
      <w:jc w:val="both"/>
      <w:textAlignment w:val="baseline"/>
      <w:outlineLvl w:val="2"/>
    </w:pPr>
    <w:rPr>
      <w:b/>
      <w:szCs w:val="20"/>
      <w:lang w:val="en-AU"/>
    </w:rPr>
  </w:style>
  <w:style w:type="paragraph" w:styleId="Heading4">
    <w:name w:val="heading 4"/>
    <w:basedOn w:val="Normal"/>
    <w:next w:val="Normal"/>
    <w:qFormat/>
    <w:pPr>
      <w:keepNext/>
      <w:overflowPunct w:val="0"/>
      <w:autoSpaceDE w:val="0"/>
      <w:autoSpaceDN w:val="0"/>
      <w:adjustRightInd w:val="0"/>
      <w:jc w:val="both"/>
      <w:textAlignment w:val="baseline"/>
      <w:outlineLvl w:val="3"/>
    </w:pPr>
    <w:rPr>
      <w:i/>
      <w:szCs w:val="20"/>
      <w:lang w:val="en-AU"/>
    </w:rPr>
  </w:style>
  <w:style w:type="paragraph" w:styleId="Heading5">
    <w:name w:val="heading 5"/>
    <w:basedOn w:val="Normal"/>
    <w:next w:val="Normal"/>
    <w:qFormat/>
    <w:pPr>
      <w:keepNext/>
      <w:overflowPunct w:val="0"/>
      <w:autoSpaceDE w:val="0"/>
      <w:autoSpaceDN w:val="0"/>
      <w:adjustRightInd w:val="0"/>
      <w:textAlignment w:val="baseline"/>
      <w:outlineLvl w:val="4"/>
    </w:pPr>
    <w:rPr>
      <w:i/>
      <w:szCs w:val="20"/>
      <w:lang w:val="en-GB"/>
    </w:rPr>
  </w:style>
  <w:style w:type="paragraph" w:styleId="Heading6">
    <w:name w:val="heading 6"/>
    <w:basedOn w:val="Normal"/>
    <w:next w:val="Normal"/>
    <w:qFormat/>
    <w:rsid w:val="009F0301"/>
    <w:pPr>
      <w:jc w:val="both"/>
      <w:outlineLvl w:val="5"/>
    </w:pPr>
    <w:rPr>
      <w:noProof/>
      <w:u w:val="single"/>
    </w:rPr>
  </w:style>
  <w:style w:type="paragraph" w:styleId="Heading7">
    <w:name w:val="heading 7"/>
    <w:aliases w:val="TemplateHeading 7"/>
    <w:basedOn w:val="Normal"/>
    <w:next w:val="Normal"/>
    <w:link w:val="Heading7Char"/>
    <w:qFormat/>
    <w:pPr>
      <w:keepNext/>
      <w:jc w:val="center"/>
      <w:outlineLvl w:val="6"/>
    </w:pPr>
    <w:rPr>
      <w:rFonts w:ascii="Arial" w:hAnsi="Arial"/>
      <w:b/>
      <w:bCs/>
      <w:sz w:val="32"/>
      <w:lang w:val="en-AU"/>
    </w:rPr>
  </w:style>
  <w:style w:type="paragraph" w:styleId="Heading8">
    <w:name w:val="heading 8"/>
    <w:aliases w:val="TemplateHeading 8"/>
    <w:basedOn w:val="Normal"/>
    <w:next w:val="Normal"/>
    <w:link w:val="Heading8Char"/>
    <w:qFormat/>
    <w:pPr>
      <w:keepNext/>
      <w:jc w:val="center"/>
      <w:outlineLvl w:val="7"/>
    </w:pPr>
    <w:rPr>
      <w:rFonts w:ascii="Arial" w:hAnsi="Arial" w:cs="Arial"/>
      <w:b/>
      <w:bCs/>
      <w:sz w:val="36"/>
      <w:lang w:val="en-AU"/>
    </w:rPr>
  </w:style>
  <w:style w:type="paragraph" w:styleId="Heading9">
    <w:name w:val="heading 9"/>
    <w:aliases w:val="TemplateHeading 9"/>
    <w:basedOn w:val="Normal"/>
    <w:next w:val="Normal"/>
    <w:link w:val="Heading9Char"/>
    <w:qFormat/>
    <w:pPr>
      <w:keepNext/>
      <w:jc w:val="center"/>
      <w:outlineLvl w:val="8"/>
    </w:pPr>
    <w:rPr>
      <w:rFonts w:ascii="Arial" w:hAnsi="Arial" w:cs="Arial"/>
      <w:b/>
      <w:bCs/>
      <w:sz w:val="22"/>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overflowPunct w:val="0"/>
      <w:autoSpaceDE w:val="0"/>
      <w:autoSpaceDN w:val="0"/>
      <w:adjustRightInd w:val="0"/>
      <w:jc w:val="center"/>
      <w:textAlignment w:val="baseline"/>
    </w:pPr>
    <w:rPr>
      <w:b/>
      <w:noProof/>
      <w:sz w:val="22"/>
      <w:szCs w:val="20"/>
      <w:lang w:val="en-GB"/>
    </w:rPr>
  </w:style>
  <w:style w:type="paragraph" w:styleId="TOC1">
    <w:name w:val="toc 1"/>
    <w:aliases w:val="CMI TOC1"/>
    <w:basedOn w:val="Normal"/>
    <w:next w:val="Normal"/>
    <w:autoRedefine/>
    <w:semiHidden/>
    <w:pPr>
      <w:tabs>
        <w:tab w:val="left" w:pos="2693"/>
      </w:tabs>
      <w:overflowPunct w:val="0"/>
      <w:autoSpaceDE w:val="0"/>
      <w:autoSpaceDN w:val="0"/>
      <w:adjustRightInd w:val="0"/>
      <w:spacing w:before="120" w:after="80"/>
      <w:textAlignment w:val="baseline"/>
    </w:pPr>
    <w:rPr>
      <w:b/>
      <w:sz w:val="20"/>
      <w:szCs w:val="20"/>
      <w:lang w:val="en-AU"/>
    </w:rPr>
  </w:style>
  <w:style w:type="paragraph" w:customStyle="1" w:styleId="CMIheading1">
    <w:name w:val="CMI heading 1"/>
    <w:basedOn w:val="Normal"/>
    <w:pPr>
      <w:keepNext/>
      <w:pBdr>
        <w:top w:val="single" w:sz="6" w:space="1" w:color="auto"/>
        <w:bottom w:val="single" w:sz="6" w:space="1" w:color="auto"/>
      </w:pBdr>
      <w:overflowPunct w:val="0"/>
      <w:autoSpaceDE w:val="0"/>
      <w:autoSpaceDN w:val="0"/>
      <w:adjustRightInd w:val="0"/>
      <w:spacing w:before="260" w:after="180"/>
      <w:textAlignment w:val="baseline"/>
    </w:pPr>
    <w:rPr>
      <w:rFonts w:ascii="Arial" w:hAnsi="Arial"/>
      <w:b/>
      <w:sz w:val="26"/>
      <w:szCs w:val="20"/>
      <w:lang w:val="en-AU"/>
    </w:rPr>
  </w:style>
  <w:style w:type="paragraph" w:customStyle="1" w:styleId="CMIheading2">
    <w:name w:val="CMI heading 2"/>
    <w:basedOn w:val="Normal"/>
    <w:pPr>
      <w:keepNext/>
      <w:overflowPunct w:val="0"/>
      <w:autoSpaceDE w:val="0"/>
      <w:autoSpaceDN w:val="0"/>
      <w:adjustRightInd w:val="0"/>
      <w:spacing w:before="200" w:after="80"/>
      <w:textAlignment w:val="baseline"/>
    </w:pPr>
    <w:rPr>
      <w:rFonts w:ascii="Arial" w:hAnsi="Arial"/>
      <w:b/>
      <w:i/>
      <w:sz w:val="22"/>
      <w:szCs w:val="20"/>
      <w:lang w:val="en-AU"/>
    </w:rPr>
  </w:style>
  <w:style w:type="paragraph" w:styleId="BodyText">
    <w:name w:val="Body Text"/>
    <w:basedOn w:val="Normal"/>
    <w:pPr>
      <w:overflowPunct w:val="0"/>
      <w:autoSpaceDE w:val="0"/>
      <w:autoSpaceDN w:val="0"/>
      <w:adjustRightInd w:val="0"/>
      <w:textAlignment w:val="baseline"/>
    </w:pPr>
    <w:rPr>
      <w:color w:val="000000"/>
      <w:sz w:val="22"/>
      <w:szCs w:val="20"/>
      <w:lang w:val="en-GB"/>
    </w:rPr>
  </w:style>
  <w:style w:type="paragraph" w:styleId="BodyText3">
    <w:name w:val="Body Text 3"/>
    <w:basedOn w:val="Normal"/>
    <w:pPr>
      <w:overflowPunct w:val="0"/>
      <w:autoSpaceDE w:val="0"/>
      <w:autoSpaceDN w:val="0"/>
      <w:adjustRightInd w:val="0"/>
      <w:textAlignment w:val="baseline"/>
    </w:pPr>
    <w:rPr>
      <w:sz w:val="22"/>
      <w:szCs w:val="20"/>
      <w:lang w:val="en-GB"/>
    </w:rPr>
  </w:style>
  <w:style w:type="paragraph" w:styleId="BodyText2">
    <w:name w:val="Body Text 2"/>
    <w:basedOn w:val="Normal"/>
    <w:pPr>
      <w:tabs>
        <w:tab w:val="left" w:pos="1134"/>
      </w:tabs>
      <w:overflowPunct w:val="0"/>
      <w:autoSpaceDE w:val="0"/>
      <w:autoSpaceDN w:val="0"/>
      <w:adjustRightInd w:val="0"/>
      <w:ind w:left="1134" w:hanging="1134"/>
      <w:textAlignment w:val="baseline"/>
    </w:pPr>
    <w:rPr>
      <w:b/>
      <w:color w:val="000000"/>
      <w:sz w:val="20"/>
      <w:szCs w:val="20"/>
      <w:lang w:val="en-GB"/>
    </w:rPr>
  </w:style>
  <w:style w:type="paragraph" w:styleId="CommentText">
    <w:name w:val="annotation text"/>
    <w:basedOn w:val="Normal"/>
    <w:link w:val="CommentTextChar"/>
    <w:uiPriority w:val="99"/>
    <w:semiHidden/>
    <w:pPr>
      <w:overflowPunct w:val="0"/>
      <w:autoSpaceDE w:val="0"/>
      <w:autoSpaceDN w:val="0"/>
      <w:adjustRightInd w:val="0"/>
      <w:textAlignment w:val="baseline"/>
    </w:pPr>
    <w:rPr>
      <w:color w:val="000000"/>
      <w:sz w:val="20"/>
      <w:szCs w:val="20"/>
      <w:lang w:val="en-GB"/>
    </w:rPr>
  </w:style>
  <w:style w:type="paragraph" w:styleId="Footer">
    <w:name w:val="footer"/>
    <w:basedOn w:val="Normal"/>
    <w:link w:val="FooterChar"/>
    <w:pPr>
      <w:tabs>
        <w:tab w:val="center" w:pos="4153"/>
        <w:tab w:val="right" w:pos="8306"/>
      </w:tabs>
      <w:overflowPunct w:val="0"/>
      <w:autoSpaceDE w:val="0"/>
      <w:autoSpaceDN w:val="0"/>
      <w:adjustRightInd w:val="0"/>
      <w:textAlignment w:val="baseline"/>
    </w:pPr>
    <w:rPr>
      <w:color w:val="000000"/>
      <w:szCs w:val="20"/>
      <w:lang w:val="en-GB"/>
    </w:rPr>
  </w:style>
  <w:style w:type="paragraph" w:styleId="Header">
    <w:name w:val="header"/>
    <w:basedOn w:val="Normal"/>
    <w:link w:val="HeaderChar"/>
    <w:uiPriority w:val="99"/>
    <w:pPr>
      <w:tabs>
        <w:tab w:val="center" w:pos="4153"/>
        <w:tab w:val="right" w:pos="8306"/>
      </w:tabs>
      <w:overflowPunct w:val="0"/>
      <w:autoSpaceDE w:val="0"/>
      <w:autoSpaceDN w:val="0"/>
      <w:adjustRightInd w:val="0"/>
      <w:textAlignment w:val="baseline"/>
    </w:pPr>
    <w:rPr>
      <w:color w:val="000000"/>
      <w:szCs w:val="20"/>
      <w:lang w:val="en-GB"/>
    </w:rPr>
  </w:style>
  <w:style w:type="paragraph" w:customStyle="1" w:styleId="rk2linie1">
    <w:name w:val="rk2linie1"/>
    <w:basedOn w:val="Normal"/>
    <w:next w:val="Normal"/>
    <w:pPr>
      <w:overflowPunct w:val="0"/>
      <w:autoSpaceDE w:val="0"/>
      <w:autoSpaceDN w:val="0"/>
      <w:adjustRightInd w:val="0"/>
      <w:spacing w:before="280"/>
      <w:jc w:val="center"/>
      <w:textAlignment w:val="baseline"/>
    </w:pPr>
    <w:rPr>
      <w:rFonts w:ascii="Arial" w:hAnsi="Arial"/>
      <w:b/>
      <w:sz w:val="28"/>
      <w:szCs w:val="20"/>
      <w:lang w:val="en-GB"/>
    </w:rPr>
  </w:style>
  <w:style w:type="paragraph" w:styleId="EndnoteText">
    <w:name w:val="endnote text"/>
    <w:basedOn w:val="Normal"/>
    <w:semiHidden/>
    <w:pPr>
      <w:tabs>
        <w:tab w:val="left" w:pos="567"/>
      </w:tabs>
    </w:pPr>
    <w:rPr>
      <w:sz w:val="22"/>
      <w:szCs w:val="20"/>
      <w:lang w:val="en-GB"/>
    </w:rPr>
  </w:style>
  <w:style w:type="paragraph" w:styleId="BalloonText">
    <w:name w:val="Balloon Text"/>
    <w:basedOn w:val="Normal"/>
    <w:semiHidden/>
    <w:rPr>
      <w:rFonts w:ascii="Tahoma" w:hAnsi="Tahoma" w:cs="Tahoma"/>
      <w:sz w:val="16"/>
      <w:szCs w:val="16"/>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semiHidden/>
    <w:rPr>
      <w:sz w:val="16"/>
      <w:szCs w:val="16"/>
    </w:rPr>
  </w:style>
  <w:style w:type="paragraph" w:styleId="CommentSubject">
    <w:name w:val="annotation subject"/>
    <w:basedOn w:val="CommentText"/>
    <w:next w:val="CommentText"/>
    <w:semiHidden/>
    <w:pPr>
      <w:overflowPunct/>
      <w:autoSpaceDE/>
      <w:autoSpaceDN/>
      <w:adjustRightInd/>
      <w:textAlignment w:val="auto"/>
    </w:pPr>
    <w:rPr>
      <w:b/>
      <w:bCs/>
      <w:color w:val="auto"/>
      <w:lang w:val="en-US"/>
    </w:rPr>
  </w:style>
  <w:style w:type="paragraph" w:customStyle="1" w:styleId="TableText">
    <w:name w:val="Table Text"/>
    <w:link w:val="TableTextChar"/>
    <w:pPr>
      <w:keepNext/>
      <w:keepLines/>
      <w:spacing w:after="20"/>
    </w:pPr>
    <w:rPr>
      <w:lang w:val="en-GB" w:eastAsia="en-US"/>
    </w:rPr>
  </w:style>
  <w:style w:type="character" w:customStyle="1" w:styleId="TableTextChar">
    <w:name w:val="Table Text Char"/>
    <w:link w:val="TableText"/>
    <w:rPr>
      <w:lang w:val="en-GB" w:eastAsia="en-US" w:bidi="ar-SA"/>
    </w:rPr>
  </w:style>
  <w:style w:type="paragraph" w:styleId="Caption">
    <w:name w:val="caption"/>
    <w:next w:val="BodyText"/>
    <w:qFormat/>
    <w:pPr>
      <w:tabs>
        <w:tab w:val="left" w:pos="1134"/>
      </w:tabs>
      <w:suppressAutoHyphens/>
      <w:spacing w:before="120" w:after="60"/>
      <w:ind w:left="1134" w:hanging="1134"/>
    </w:pPr>
    <w:rPr>
      <w:b/>
      <w:bCs/>
      <w:sz w:val="24"/>
      <w:lang w:val="en-GB" w:eastAsia="en-US"/>
    </w:rPr>
  </w:style>
  <w:style w:type="paragraph" w:customStyle="1" w:styleId="BulletList10pt">
    <w:name w:val="Bullet List 10 pt"/>
    <w:pPr>
      <w:numPr>
        <w:ilvl w:val="1"/>
        <w:numId w:val="5"/>
      </w:numPr>
      <w:tabs>
        <w:tab w:val="clear" w:pos="1307"/>
        <w:tab w:val="num" w:pos="360"/>
      </w:tabs>
      <w:suppressAutoHyphens/>
      <w:ind w:left="0" w:firstLine="0"/>
    </w:pPr>
    <w:rPr>
      <w:szCs w:val="24"/>
      <w:lang w:val="en-GB" w:eastAsia="en-US"/>
    </w:rPr>
  </w:style>
  <w:style w:type="paragraph" w:customStyle="1" w:styleId="BulletIndent">
    <w:name w:val="Bullet Indent"/>
    <w:basedOn w:val="Normal"/>
    <w:uiPriority w:val="99"/>
    <w:pPr>
      <w:numPr>
        <w:numId w:val="6"/>
      </w:numPr>
      <w:tabs>
        <w:tab w:val="clear" w:pos="357"/>
        <w:tab w:val="num" w:pos="360"/>
      </w:tabs>
      <w:suppressAutoHyphens/>
      <w:spacing w:line="264" w:lineRule="auto"/>
      <w:ind w:left="0" w:firstLine="0"/>
    </w:pPr>
    <w:rPr>
      <w:szCs w:val="20"/>
      <w:lang w:val="en-GB"/>
    </w:rPr>
  </w:style>
  <w:style w:type="paragraph" w:customStyle="1" w:styleId="TableFootnoteFormat">
    <w:name w:val="Table Footnote Format"/>
    <w:basedOn w:val="TableText"/>
    <w:pPr>
      <w:keepNext w:val="0"/>
      <w:keepLines w:val="0"/>
      <w:spacing w:before="40" w:after="40"/>
    </w:pPr>
  </w:style>
  <w:style w:type="numbering" w:styleId="111111">
    <w:name w:val="Outline List 2"/>
    <w:basedOn w:val="NoList"/>
    <w:semiHidden/>
    <w:pPr>
      <w:numPr>
        <w:numId w:val="7"/>
      </w:numPr>
    </w:pPr>
  </w:style>
  <w:style w:type="table" w:customStyle="1" w:styleId="TableHeader">
    <w:name w:val="TableHeader"/>
    <w:basedOn w:val="TableNormal"/>
    <w:rPr>
      <w:sz w:val="18"/>
    </w:rPr>
    <w:tblPr>
      <w:tblBorders>
        <w:insideV w:val="single" w:sz="4" w:space="0" w:color="auto"/>
      </w:tblBorders>
    </w:tblPr>
  </w:style>
  <w:style w:type="paragraph" w:customStyle="1" w:styleId="BulletList">
    <w:name w:val="Bullet List"/>
    <w:basedOn w:val="BodyText"/>
    <w:link w:val="BulletListChar"/>
    <w:pPr>
      <w:numPr>
        <w:numId w:val="8"/>
      </w:numPr>
      <w:suppressAutoHyphens/>
      <w:overflowPunct/>
      <w:autoSpaceDE/>
      <w:autoSpaceDN/>
      <w:adjustRightInd/>
      <w:spacing w:line="264" w:lineRule="auto"/>
      <w:textAlignment w:val="auto"/>
    </w:pPr>
    <w:rPr>
      <w:color w:val="auto"/>
      <w:sz w:val="24"/>
    </w:rPr>
  </w:style>
  <w:style w:type="character" w:customStyle="1" w:styleId="BulletListChar">
    <w:name w:val="Bullet List Char"/>
    <w:link w:val="BulletList"/>
    <w:rPr>
      <w:sz w:val="24"/>
      <w:lang w:val="en-GB" w:eastAsia="en-US" w:bidi="ar-SA"/>
    </w:rPr>
  </w:style>
  <w:style w:type="paragraph" w:styleId="NormalWeb">
    <w:name w:val="Normal (Web)"/>
    <w:basedOn w:val="Normal"/>
    <w:pPr>
      <w:spacing w:before="100" w:beforeAutospacing="1" w:after="100" w:afterAutospacing="1"/>
    </w:pPr>
    <w:rPr>
      <w:lang w:val="en-AU" w:eastAsia="en-AU"/>
    </w:rPr>
  </w:style>
  <w:style w:type="character" w:styleId="Strong">
    <w:name w:val="Strong"/>
    <w:qFormat/>
    <w:rPr>
      <w:b/>
      <w:bCs/>
    </w:rPr>
  </w:style>
  <w:style w:type="character" w:styleId="Hyperlink">
    <w:name w:val="Hyperlink"/>
    <w:uiPriority w:val="99"/>
    <w:rPr>
      <w:color w:val="0000FF"/>
      <w:u w:val="single"/>
    </w:rPr>
  </w:style>
  <w:style w:type="paragraph" w:customStyle="1" w:styleId="CM12">
    <w:name w:val="CM12"/>
    <w:basedOn w:val="Normal"/>
    <w:next w:val="Normal"/>
    <w:pPr>
      <w:autoSpaceDE w:val="0"/>
      <w:autoSpaceDN w:val="0"/>
      <w:adjustRightInd w:val="0"/>
      <w:spacing w:line="278" w:lineRule="atLeast"/>
    </w:pPr>
    <w:rPr>
      <w:lang w:val="en-AU" w:eastAsia="en-AU"/>
    </w:rPr>
  </w:style>
  <w:style w:type="character" w:customStyle="1" w:styleId="dpro">
    <w:name w:val="dpro"/>
    <w:semiHidden/>
    <w:rPr>
      <w:rFonts w:ascii="Verdana" w:hAnsi="Verdana"/>
      <w:b w:val="0"/>
      <w:bCs w:val="0"/>
      <w:i w:val="0"/>
      <w:iCs w:val="0"/>
      <w:strike w:val="0"/>
      <w:color w:val="0000FF"/>
      <w:sz w:val="20"/>
      <w:szCs w:val="20"/>
      <w:u w:val="none"/>
    </w:rPr>
  </w:style>
  <w:style w:type="character" w:customStyle="1" w:styleId="CommentTextChar">
    <w:name w:val="Comment Text Char"/>
    <w:link w:val="CommentText"/>
    <w:uiPriority w:val="99"/>
    <w:semiHidden/>
    <w:locked/>
    <w:rsid w:val="0019278E"/>
    <w:rPr>
      <w:color w:val="000000"/>
      <w:lang w:val="en-GB" w:eastAsia="en-US"/>
    </w:rPr>
  </w:style>
  <w:style w:type="character" w:styleId="PageNumber">
    <w:name w:val="page number"/>
    <w:basedOn w:val="DefaultParagraphFont"/>
    <w:uiPriority w:val="5"/>
    <w:rsid w:val="002B2F8E"/>
  </w:style>
  <w:style w:type="paragraph" w:customStyle="1" w:styleId="Manufacturer">
    <w:name w:val="Manufacturer"/>
    <w:basedOn w:val="Normal"/>
    <w:rsid w:val="007810E8"/>
    <w:pPr>
      <w:spacing w:before="20" w:after="20" w:line="260" w:lineRule="exact"/>
      <w:jc w:val="both"/>
    </w:pPr>
    <w:rPr>
      <w:color w:val="000000"/>
      <w:sz w:val="20"/>
      <w:szCs w:val="20"/>
      <w:lang w:val="pt-BR"/>
    </w:rPr>
  </w:style>
  <w:style w:type="character" w:customStyle="1" w:styleId="Heading7Char">
    <w:name w:val="Heading 7 Char"/>
    <w:aliases w:val="TemplateHeading 7 Char"/>
    <w:link w:val="Heading7"/>
    <w:rsid w:val="0040118A"/>
    <w:rPr>
      <w:rFonts w:ascii="Arial" w:hAnsi="Arial"/>
      <w:b/>
      <w:bCs/>
      <w:sz w:val="32"/>
      <w:szCs w:val="24"/>
      <w:lang w:eastAsia="en-US"/>
    </w:rPr>
  </w:style>
  <w:style w:type="character" w:customStyle="1" w:styleId="Heading8Char">
    <w:name w:val="Heading 8 Char"/>
    <w:aliases w:val="TemplateHeading 8 Char"/>
    <w:link w:val="Heading8"/>
    <w:rsid w:val="0040118A"/>
    <w:rPr>
      <w:rFonts w:ascii="Arial" w:hAnsi="Arial" w:cs="Arial"/>
      <w:b/>
      <w:bCs/>
      <w:sz w:val="36"/>
      <w:szCs w:val="24"/>
      <w:lang w:eastAsia="en-US"/>
    </w:rPr>
  </w:style>
  <w:style w:type="character" w:customStyle="1" w:styleId="Heading9Char">
    <w:name w:val="Heading 9 Char"/>
    <w:aliases w:val="TemplateHeading 9 Char"/>
    <w:link w:val="Heading9"/>
    <w:rsid w:val="0040118A"/>
    <w:rPr>
      <w:rFonts w:ascii="Arial" w:hAnsi="Arial" w:cs="Arial"/>
      <w:b/>
      <w:bCs/>
      <w:sz w:val="22"/>
      <w:szCs w:val="24"/>
      <w:lang w:eastAsia="en-US"/>
    </w:rPr>
  </w:style>
  <w:style w:type="character" w:customStyle="1" w:styleId="HeaderChar">
    <w:name w:val="Header Char"/>
    <w:link w:val="Header"/>
    <w:uiPriority w:val="99"/>
    <w:rsid w:val="0040118A"/>
    <w:rPr>
      <w:color w:val="000000"/>
      <w:sz w:val="24"/>
      <w:lang w:val="en-GB" w:eastAsia="en-US"/>
    </w:rPr>
  </w:style>
  <w:style w:type="paragraph" w:styleId="ListBullet">
    <w:name w:val="List Bullet"/>
    <w:basedOn w:val="Normal"/>
    <w:rsid w:val="000C18BE"/>
    <w:pPr>
      <w:numPr>
        <w:numId w:val="2"/>
      </w:numPr>
      <w:contextualSpacing/>
    </w:pPr>
  </w:style>
  <w:style w:type="paragraph" w:styleId="Revision">
    <w:name w:val="Revision"/>
    <w:hidden/>
    <w:uiPriority w:val="99"/>
    <w:semiHidden/>
    <w:rsid w:val="00FA436B"/>
    <w:rPr>
      <w:sz w:val="24"/>
      <w:szCs w:val="24"/>
      <w:lang w:val="en-US" w:eastAsia="en-US"/>
    </w:rPr>
  </w:style>
  <w:style w:type="paragraph" w:styleId="TOC2">
    <w:name w:val="toc 2"/>
    <w:basedOn w:val="Normal"/>
    <w:next w:val="Normal"/>
    <w:autoRedefine/>
    <w:uiPriority w:val="39"/>
    <w:rsid w:val="009565C4"/>
    <w:pPr>
      <w:spacing w:after="100"/>
      <w:ind w:left="240"/>
    </w:pPr>
  </w:style>
  <w:style w:type="character" w:styleId="FollowedHyperlink">
    <w:name w:val="FollowedHyperlink"/>
    <w:basedOn w:val="DefaultParagraphFont"/>
    <w:rsid w:val="004F2056"/>
    <w:rPr>
      <w:color w:val="800080" w:themeColor="followedHyperlink"/>
      <w:u w:val="single"/>
    </w:rPr>
  </w:style>
  <w:style w:type="paragraph" w:styleId="ListParagraph">
    <w:name w:val="List Paragraph"/>
    <w:basedOn w:val="Normal"/>
    <w:uiPriority w:val="34"/>
    <w:qFormat/>
    <w:rsid w:val="00EF2543"/>
    <w:pPr>
      <w:ind w:left="720"/>
      <w:contextualSpacing/>
    </w:pPr>
  </w:style>
  <w:style w:type="character" w:customStyle="1" w:styleId="FooterChar">
    <w:name w:val="Footer Char"/>
    <w:basedOn w:val="DefaultParagraphFont"/>
    <w:link w:val="Footer"/>
    <w:rsid w:val="00A44939"/>
    <w:rPr>
      <w:color w:val="000000"/>
      <w:sz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00806">
      <w:bodyDiv w:val="1"/>
      <w:marLeft w:val="0"/>
      <w:marRight w:val="0"/>
      <w:marTop w:val="0"/>
      <w:marBottom w:val="0"/>
      <w:divBdr>
        <w:top w:val="none" w:sz="0" w:space="0" w:color="auto"/>
        <w:left w:val="none" w:sz="0" w:space="0" w:color="auto"/>
        <w:bottom w:val="none" w:sz="0" w:space="0" w:color="auto"/>
        <w:right w:val="none" w:sz="0" w:space="0" w:color="auto"/>
      </w:divBdr>
    </w:div>
    <w:div w:id="395781670">
      <w:bodyDiv w:val="1"/>
      <w:marLeft w:val="0"/>
      <w:marRight w:val="0"/>
      <w:marTop w:val="0"/>
      <w:marBottom w:val="0"/>
      <w:divBdr>
        <w:top w:val="none" w:sz="0" w:space="0" w:color="auto"/>
        <w:left w:val="none" w:sz="0" w:space="0" w:color="auto"/>
        <w:bottom w:val="none" w:sz="0" w:space="0" w:color="auto"/>
        <w:right w:val="none" w:sz="0" w:space="0" w:color="auto"/>
      </w:divBdr>
    </w:div>
    <w:div w:id="442504518">
      <w:bodyDiv w:val="1"/>
      <w:marLeft w:val="0"/>
      <w:marRight w:val="0"/>
      <w:marTop w:val="0"/>
      <w:marBottom w:val="0"/>
      <w:divBdr>
        <w:top w:val="none" w:sz="0" w:space="0" w:color="auto"/>
        <w:left w:val="none" w:sz="0" w:space="0" w:color="auto"/>
        <w:bottom w:val="none" w:sz="0" w:space="0" w:color="auto"/>
        <w:right w:val="none" w:sz="0" w:space="0" w:color="auto"/>
      </w:divBdr>
    </w:div>
    <w:div w:id="505170171">
      <w:bodyDiv w:val="1"/>
      <w:marLeft w:val="0"/>
      <w:marRight w:val="0"/>
      <w:marTop w:val="0"/>
      <w:marBottom w:val="0"/>
      <w:divBdr>
        <w:top w:val="none" w:sz="0" w:space="0" w:color="auto"/>
        <w:left w:val="none" w:sz="0" w:space="0" w:color="auto"/>
        <w:bottom w:val="none" w:sz="0" w:space="0" w:color="auto"/>
        <w:right w:val="none" w:sz="0" w:space="0" w:color="auto"/>
      </w:divBdr>
    </w:div>
    <w:div w:id="567032468">
      <w:bodyDiv w:val="1"/>
      <w:marLeft w:val="0"/>
      <w:marRight w:val="0"/>
      <w:marTop w:val="0"/>
      <w:marBottom w:val="0"/>
      <w:divBdr>
        <w:top w:val="none" w:sz="0" w:space="0" w:color="auto"/>
        <w:left w:val="none" w:sz="0" w:space="0" w:color="auto"/>
        <w:bottom w:val="none" w:sz="0" w:space="0" w:color="auto"/>
        <w:right w:val="none" w:sz="0" w:space="0" w:color="auto"/>
      </w:divBdr>
    </w:div>
    <w:div w:id="609093312">
      <w:bodyDiv w:val="1"/>
      <w:marLeft w:val="0"/>
      <w:marRight w:val="0"/>
      <w:marTop w:val="0"/>
      <w:marBottom w:val="0"/>
      <w:divBdr>
        <w:top w:val="none" w:sz="0" w:space="0" w:color="auto"/>
        <w:left w:val="none" w:sz="0" w:space="0" w:color="auto"/>
        <w:bottom w:val="none" w:sz="0" w:space="0" w:color="auto"/>
        <w:right w:val="none" w:sz="0" w:space="0" w:color="auto"/>
      </w:divBdr>
      <w:divsChild>
        <w:div w:id="539561400">
          <w:marLeft w:val="0"/>
          <w:marRight w:val="0"/>
          <w:marTop w:val="0"/>
          <w:marBottom w:val="0"/>
          <w:divBdr>
            <w:top w:val="none" w:sz="0" w:space="0" w:color="auto"/>
            <w:left w:val="none" w:sz="0" w:space="0" w:color="auto"/>
            <w:bottom w:val="none" w:sz="0" w:space="0" w:color="auto"/>
            <w:right w:val="none" w:sz="0" w:space="0" w:color="auto"/>
          </w:divBdr>
        </w:div>
        <w:div w:id="1486967271">
          <w:marLeft w:val="0"/>
          <w:marRight w:val="0"/>
          <w:marTop w:val="0"/>
          <w:marBottom w:val="0"/>
          <w:divBdr>
            <w:top w:val="none" w:sz="0" w:space="0" w:color="auto"/>
            <w:left w:val="none" w:sz="0" w:space="0" w:color="auto"/>
            <w:bottom w:val="none" w:sz="0" w:space="0" w:color="auto"/>
            <w:right w:val="none" w:sz="0" w:space="0" w:color="auto"/>
          </w:divBdr>
        </w:div>
      </w:divsChild>
    </w:div>
    <w:div w:id="742606054">
      <w:bodyDiv w:val="1"/>
      <w:marLeft w:val="0"/>
      <w:marRight w:val="0"/>
      <w:marTop w:val="0"/>
      <w:marBottom w:val="0"/>
      <w:divBdr>
        <w:top w:val="none" w:sz="0" w:space="0" w:color="auto"/>
        <w:left w:val="none" w:sz="0" w:space="0" w:color="auto"/>
        <w:bottom w:val="none" w:sz="0" w:space="0" w:color="auto"/>
        <w:right w:val="none" w:sz="0" w:space="0" w:color="auto"/>
      </w:divBdr>
    </w:div>
    <w:div w:id="750473224">
      <w:bodyDiv w:val="1"/>
      <w:marLeft w:val="0"/>
      <w:marRight w:val="0"/>
      <w:marTop w:val="0"/>
      <w:marBottom w:val="0"/>
      <w:divBdr>
        <w:top w:val="none" w:sz="0" w:space="0" w:color="auto"/>
        <w:left w:val="none" w:sz="0" w:space="0" w:color="auto"/>
        <w:bottom w:val="none" w:sz="0" w:space="0" w:color="auto"/>
        <w:right w:val="none" w:sz="0" w:space="0" w:color="auto"/>
      </w:divBdr>
    </w:div>
    <w:div w:id="995256073">
      <w:bodyDiv w:val="1"/>
      <w:marLeft w:val="0"/>
      <w:marRight w:val="0"/>
      <w:marTop w:val="0"/>
      <w:marBottom w:val="0"/>
      <w:divBdr>
        <w:top w:val="none" w:sz="0" w:space="0" w:color="auto"/>
        <w:left w:val="none" w:sz="0" w:space="0" w:color="auto"/>
        <w:bottom w:val="none" w:sz="0" w:space="0" w:color="auto"/>
        <w:right w:val="none" w:sz="0" w:space="0" w:color="auto"/>
      </w:divBdr>
    </w:div>
    <w:div w:id="1224491682">
      <w:bodyDiv w:val="1"/>
      <w:marLeft w:val="0"/>
      <w:marRight w:val="0"/>
      <w:marTop w:val="0"/>
      <w:marBottom w:val="0"/>
      <w:divBdr>
        <w:top w:val="none" w:sz="0" w:space="0" w:color="auto"/>
        <w:left w:val="none" w:sz="0" w:space="0" w:color="auto"/>
        <w:bottom w:val="none" w:sz="0" w:space="0" w:color="auto"/>
        <w:right w:val="none" w:sz="0" w:space="0" w:color="auto"/>
      </w:divBdr>
      <w:divsChild>
        <w:div w:id="642661699">
          <w:marLeft w:val="0"/>
          <w:marRight w:val="0"/>
          <w:marTop w:val="0"/>
          <w:marBottom w:val="0"/>
          <w:divBdr>
            <w:top w:val="none" w:sz="0" w:space="0" w:color="auto"/>
            <w:left w:val="none" w:sz="0" w:space="0" w:color="auto"/>
            <w:bottom w:val="none" w:sz="0" w:space="0" w:color="auto"/>
            <w:right w:val="none" w:sz="0" w:space="0" w:color="auto"/>
          </w:divBdr>
          <w:divsChild>
            <w:div w:id="1442845878">
              <w:marLeft w:val="0"/>
              <w:marRight w:val="0"/>
              <w:marTop w:val="0"/>
              <w:marBottom w:val="0"/>
              <w:divBdr>
                <w:top w:val="none" w:sz="0" w:space="0" w:color="auto"/>
                <w:left w:val="none" w:sz="0" w:space="0" w:color="auto"/>
                <w:bottom w:val="none" w:sz="0" w:space="0" w:color="auto"/>
                <w:right w:val="none" w:sz="0" w:space="0" w:color="auto"/>
              </w:divBdr>
              <w:divsChild>
                <w:div w:id="1243100793">
                  <w:marLeft w:val="0"/>
                  <w:marRight w:val="0"/>
                  <w:marTop w:val="300"/>
                  <w:marBottom w:val="0"/>
                  <w:divBdr>
                    <w:top w:val="none" w:sz="0" w:space="0" w:color="auto"/>
                    <w:left w:val="none" w:sz="0" w:space="0" w:color="auto"/>
                    <w:bottom w:val="none" w:sz="0" w:space="0" w:color="auto"/>
                    <w:right w:val="none" w:sz="0" w:space="0" w:color="auto"/>
                  </w:divBdr>
                  <w:divsChild>
                    <w:div w:id="1201436736">
                      <w:blockQuote w:val="1"/>
                      <w:marLeft w:val="48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1235624598">
      <w:bodyDiv w:val="1"/>
      <w:marLeft w:val="0"/>
      <w:marRight w:val="0"/>
      <w:marTop w:val="0"/>
      <w:marBottom w:val="0"/>
      <w:divBdr>
        <w:top w:val="none" w:sz="0" w:space="0" w:color="auto"/>
        <w:left w:val="none" w:sz="0" w:space="0" w:color="auto"/>
        <w:bottom w:val="none" w:sz="0" w:space="0" w:color="auto"/>
        <w:right w:val="none" w:sz="0" w:space="0" w:color="auto"/>
      </w:divBdr>
      <w:divsChild>
        <w:div w:id="294988154">
          <w:marLeft w:val="0"/>
          <w:marRight w:val="0"/>
          <w:marTop w:val="0"/>
          <w:marBottom w:val="0"/>
          <w:divBdr>
            <w:top w:val="none" w:sz="0" w:space="0" w:color="auto"/>
            <w:left w:val="none" w:sz="0" w:space="0" w:color="auto"/>
            <w:bottom w:val="none" w:sz="0" w:space="0" w:color="auto"/>
            <w:right w:val="none" w:sz="0" w:space="0" w:color="auto"/>
          </w:divBdr>
          <w:divsChild>
            <w:div w:id="884677908">
              <w:marLeft w:val="0"/>
              <w:marRight w:val="0"/>
              <w:marTop w:val="0"/>
              <w:marBottom w:val="0"/>
              <w:divBdr>
                <w:top w:val="none" w:sz="0" w:space="0" w:color="auto"/>
                <w:left w:val="none" w:sz="0" w:space="0" w:color="auto"/>
                <w:bottom w:val="none" w:sz="0" w:space="0" w:color="auto"/>
                <w:right w:val="none" w:sz="0" w:space="0" w:color="auto"/>
              </w:divBdr>
              <w:divsChild>
                <w:div w:id="996032891">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452244542">
      <w:bodyDiv w:val="1"/>
      <w:marLeft w:val="0"/>
      <w:marRight w:val="0"/>
      <w:marTop w:val="0"/>
      <w:marBottom w:val="0"/>
      <w:divBdr>
        <w:top w:val="none" w:sz="0" w:space="0" w:color="auto"/>
        <w:left w:val="none" w:sz="0" w:space="0" w:color="auto"/>
        <w:bottom w:val="none" w:sz="0" w:space="0" w:color="auto"/>
        <w:right w:val="none" w:sz="0" w:space="0" w:color="auto"/>
      </w:divBdr>
      <w:divsChild>
        <w:div w:id="1928343691">
          <w:marLeft w:val="0"/>
          <w:marRight w:val="0"/>
          <w:marTop w:val="0"/>
          <w:marBottom w:val="0"/>
          <w:divBdr>
            <w:top w:val="none" w:sz="0" w:space="0" w:color="auto"/>
            <w:left w:val="none" w:sz="0" w:space="0" w:color="auto"/>
            <w:bottom w:val="none" w:sz="0" w:space="0" w:color="auto"/>
            <w:right w:val="none" w:sz="0" w:space="0" w:color="auto"/>
          </w:divBdr>
          <w:divsChild>
            <w:div w:id="1460806198">
              <w:marLeft w:val="0"/>
              <w:marRight w:val="0"/>
              <w:marTop w:val="0"/>
              <w:marBottom w:val="0"/>
              <w:divBdr>
                <w:top w:val="none" w:sz="0" w:space="0" w:color="auto"/>
                <w:left w:val="none" w:sz="0" w:space="0" w:color="auto"/>
                <w:bottom w:val="none" w:sz="0" w:space="0" w:color="auto"/>
                <w:right w:val="none" w:sz="0" w:space="0" w:color="auto"/>
              </w:divBdr>
              <w:divsChild>
                <w:div w:id="1677531887">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507861609">
      <w:bodyDiv w:val="1"/>
      <w:marLeft w:val="0"/>
      <w:marRight w:val="0"/>
      <w:marTop w:val="0"/>
      <w:marBottom w:val="0"/>
      <w:divBdr>
        <w:top w:val="none" w:sz="0" w:space="0" w:color="auto"/>
        <w:left w:val="none" w:sz="0" w:space="0" w:color="auto"/>
        <w:bottom w:val="none" w:sz="0" w:space="0" w:color="auto"/>
        <w:right w:val="none" w:sz="0" w:space="0" w:color="auto"/>
      </w:divBdr>
    </w:div>
    <w:div w:id="1528059429">
      <w:bodyDiv w:val="1"/>
      <w:marLeft w:val="0"/>
      <w:marRight w:val="0"/>
      <w:marTop w:val="0"/>
      <w:marBottom w:val="0"/>
      <w:divBdr>
        <w:top w:val="none" w:sz="0" w:space="0" w:color="auto"/>
        <w:left w:val="none" w:sz="0" w:space="0" w:color="auto"/>
        <w:bottom w:val="none" w:sz="0" w:space="0" w:color="auto"/>
        <w:right w:val="none" w:sz="0" w:space="0" w:color="auto"/>
      </w:divBdr>
    </w:div>
    <w:div w:id="1543908990">
      <w:bodyDiv w:val="1"/>
      <w:marLeft w:val="0"/>
      <w:marRight w:val="0"/>
      <w:marTop w:val="0"/>
      <w:marBottom w:val="0"/>
      <w:divBdr>
        <w:top w:val="none" w:sz="0" w:space="0" w:color="auto"/>
        <w:left w:val="none" w:sz="0" w:space="0" w:color="auto"/>
        <w:bottom w:val="none" w:sz="0" w:space="0" w:color="auto"/>
        <w:right w:val="none" w:sz="0" w:space="0" w:color="auto"/>
      </w:divBdr>
      <w:divsChild>
        <w:div w:id="1688681018">
          <w:marLeft w:val="0"/>
          <w:marRight w:val="0"/>
          <w:marTop w:val="0"/>
          <w:marBottom w:val="0"/>
          <w:divBdr>
            <w:top w:val="none" w:sz="0" w:space="0" w:color="auto"/>
            <w:left w:val="none" w:sz="0" w:space="0" w:color="auto"/>
            <w:bottom w:val="none" w:sz="0" w:space="0" w:color="auto"/>
            <w:right w:val="none" w:sz="0" w:space="0" w:color="auto"/>
          </w:divBdr>
          <w:divsChild>
            <w:div w:id="1355615002">
              <w:marLeft w:val="0"/>
              <w:marRight w:val="0"/>
              <w:marTop w:val="0"/>
              <w:marBottom w:val="0"/>
              <w:divBdr>
                <w:top w:val="none" w:sz="0" w:space="0" w:color="auto"/>
                <w:left w:val="none" w:sz="0" w:space="0" w:color="auto"/>
                <w:bottom w:val="none" w:sz="0" w:space="0" w:color="auto"/>
                <w:right w:val="none" w:sz="0" w:space="0" w:color="auto"/>
              </w:divBdr>
              <w:divsChild>
                <w:div w:id="380791290">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553081665">
      <w:bodyDiv w:val="1"/>
      <w:marLeft w:val="0"/>
      <w:marRight w:val="0"/>
      <w:marTop w:val="0"/>
      <w:marBottom w:val="0"/>
      <w:divBdr>
        <w:top w:val="none" w:sz="0" w:space="0" w:color="auto"/>
        <w:left w:val="none" w:sz="0" w:space="0" w:color="auto"/>
        <w:bottom w:val="none" w:sz="0" w:space="0" w:color="auto"/>
        <w:right w:val="none" w:sz="0" w:space="0" w:color="auto"/>
      </w:divBdr>
    </w:div>
    <w:div w:id="1736589852">
      <w:bodyDiv w:val="1"/>
      <w:marLeft w:val="0"/>
      <w:marRight w:val="0"/>
      <w:marTop w:val="0"/>
      <w:marBottom w:val="0"/>
      <w:divBdr>
        <w:top w:val="none" w:sz="0" w:space="0" w:color="auto"/>
        <w:left w:val="none" w:sz="0" w:space="0" w:color="auto"/>
        <w:bottom w:val="none" w:sz="0" w:space="0" w:color="auto"/>
        <w:right w:val="none" w:sz="0" w:space="0" w:color="auto"/>
      </w:divBdr>
    </w:div>
    <w:div w:id="1880892319">
      <w:bodyDiv w:val="1"/>
      <w:marLeft w:val="0"/>
      <w:marRight w:val="0"/>
      <w:marTop w:val="0"/>
      <w:marBottom w:val="0"/>
      <w:divBdr>
        <w:top w:val="none" w:sz="0" w:space="0" w:color="auto"/>
        <w:left w:val="none" w:sz="0" w:space="0" w:color="auto"/>
        <w:bottom w:val="none" w:sz="0" w:space="0" w:color="auto"/>
        <w:right w:val="none" w:sz="0" w:space="0" w:color="auto"/>
      </w:divBdr>
    </w:div>
    <w:div w:id="2050371845">
      <w:bodyDiv w:val="1"/>
      <w:marLeft w:val="0"/>
      <w:marRight w:val="0"/>
      <w:marTop w:val="0"/>
      <w:marBottom w:val="0"/>
      <w:divBdr>
        <w:top w:val="none" w:sz="0" w:space="0" w:color="auto"/>
        <w:left w:val="none" w:sz="0" w:space="0" w:color="auto"/>
        <w:bottom w:val="none" w:sz="0" w:space="0" w:color="auto"/>
        <w:right w:val="none" w:sz="0" w:space="0" w:color="auto"/>
      </w:divBdr>
      <w:divsChild>
        <w:div w:id="1418206743">
          <w:marLeft w:val="0"/>
          <w:marRight w:val="0"/>
          <w:marTop w:val="0"/>
          <w:marBottom w:val="0"/>
          <w:divBdr>
            <w:top w:val="none" w:sz="0" w:space="0" w:color="auto"/>
            <w:left w:val="none" w:sz="0" w:space="0" w:color="auto"/>
            <w:bottom w:val="none" w:sz="0" w:space="0" w:color="auto"/>
            <w:right w:val="none" w:sz="0" w:space="0" w:color="auto"/>
          </w:divBdr>
          <w:divsChild>
            <w:div w:id="1992323546">
              <w:marLeft w:val="0"/>
              <w:marRight w:val="0"/>
              <w:marTop w:val="0"/>
              <w:marBottom w:val="0"/>
              <w:divBdr>
                <w:top w:val="none" w:sz="0" w:space="0" w:color="auto"/>
                <w:left w:val="none" w:sz="0" w:space="0" w:color="auto"/>
                <w:bottom w:val="none" w:sz="0" w:space="0" w:color="auto"/>
                <w:right w:val="none" w:sz="0" w:space="0" w:color="auto"/>
              </w:divBdr>
              <w:divsChild>
                <w:div w:id="993410102">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2065134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emf"/><Relationship Id="rId18" Type="http://schemas.openxmlformats.org/officeDocument/2006/relationships/image" Target="media/image4.emf"/><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6.emf"/><Relationship Id="rId34" Type="http://schemas.openxmlformats.org/officeDocument/2006/relationships/header" Target="header1.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oleObject" Target="embeddings/oleObject2.bin"/><Relationship Id="rId25" Type="http://schemas.openxmlformats.org/officeDocument/2006/relationships/image" Target="media/image9.png"/><Relationship Id="rId33" Type="http://schemas.openxmlformats.org/officeDocument/2006/relationships/image" Target="media/image15.emf"/><Relationship Id="rId2" Type="http://schemas.openxmlformats.org/officeDocument/2006/relationships/customXml" Target="../customXml/item2.xml"/><Relationship Id="rId16" Type="http://schemas.openxmlformats.org/officeDocument/2006/relationships/image" Target="media/image3.wmf"/><Relationship Id="rId20" Type="http://schemas.openxmlformats.org/officeDocument/2006/relationships/oleObject" Target="embeddings/oleObject3.bin"/><Relationship Id="rId29"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image" Target="media/image8.emf"/><Relationship Id="rId32" Type="http://schemas.openxmlformats.org/officeDocument/2006/relationships/package" Target="embeddings/Microsoft_Word_Document2.docx"/><Relationship Id="rId5" Type="http://schemas.openxmlformats.org/officeDocument/2006/relationships/customXml" Target="../customXml/item5.xml"/><Relationship Id="rId15" Type="http://schemas.openxmlformats.org/officeDocument/2006/relationships/oleObject" Target="embeddings/oleObject1.bin"/><Relationship Id="rId23" Type="http://schemas.openxmlformats.org/officeDocument/2006/relationships/image" Target="media/image7.png"/><Relationship Id="rId28" Type="http://schemas.openxmlformats.org/officeDocument/2006/relationships/image" Target="media/image12.emf"/><Relationship Id="rId36"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image" Target="media/image5.wmf"/><Relationship Id="rId31" Type="http://schemas.openxmlformats.org/officeDocument/2006/relationships/image" Target="media/image14.wmf"/><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wmf"/><Relationship Id="rId22" Type="http://schemas.openxmlformats.org/officeDocument/2006/relationships/oleObject" Target="embeddings/oleObject4.bin"/><Relationship Id="rId27" Type="http://schemas.openxmlformats.org/officeDocument/2006/relationships/image" Target="media/image11.emf"/><Relationship Id="rId30" Type="http://schemas.openxmlformats.org/officeDocument/2006/relationships/package" Target="embeddings/Microsoft_Word_Document1.docx"/><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hyperlink" Target="https://www.tga.gov.au/product-information-p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LongProperties xmlns="http://schemas.microsoft.com/office/2006/metadata/long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39DE61388F65745877FEAC2433E5836" ma:contentTypeVersion="11" ma:contentTypeDescription="Create a new document." ma:contentTypeScope="" ma:versionID="6e6dd88e699d1acf50ff8d7242114994">
  <xsd:schema xmlns:xsd="http://www.w3.org/2001/XMLSchema" xmlns:xs="http://www.w3.org/2001/XMLSchema" xmlns:p="http://schemas.microsoft.com/office/2006/metadata/properties" targetNamespace="http://schemas.microsoft.com/office/2006/metadata/properties" ma:root="true" ma:fieldsID="6c96ba11fc0b0f11135d6dc28d8a2ff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C9A4D6-38A8-4D82-9238-E4C248A89FF4}">
  <ds:schemaRefs>
    <ds:schemaRef ds:uri="http://schemas.microsoft.com/sharepoint/v3/contenttype/forms"/>
  </ds:schemaRefs>
</ds:datastoreItem>
</file>

<file path=customXml/itemProps2.xml><?xml version="1.0" encoding="utf-8"?>
<ds:datastoreItem xmlns:ds="http://schemas.openxmlformats.org/officeDocument/2006/customXml" ds:itemID="{3B6AA3B7-0417-4F62-96C4-50758CEA56B4}">
  <ds:schemaRefs>
    <ds:schemaRef ds:uri="http://schemas.microsoft.com/office/2006/documentManagement/types"/>
    <ds:schemaRef ds:uri="http://purl.org/dc/elements/1.1/"/>
    <ds:schemaRef ds:uri="http://schemas.microsoft.com/office/2006/metadata/properties"/>
    <ds:schemaRef ds:uri="http://purl.org/dc/terms/"/>
    <ds:schemaRef ds:uri="http://schemas.microsoft.com/office/infopath/2007/PartnerControls"/>
    <ds:schemaRef ds:uri="http://purl.org/dc/dcmitype/"/>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4FE01B28-7B5D-438F-A665-DCABB886FC2B}">
  <ds:schemaRefs>
    <ds:schemaRef ds:uri="http://schemas.microsoft.com/office/2006/metadata/longProperties"/>
  </ds:schemaRefs>
</ds:datastoreItem>
</file>

<file path=customXml/itemProps4.xml><?xml version="1.0" encoding="utf-8"?>
<ds:datastoreItem xmlns:ds="http://schemas.openxmlformats.org/officeDocument/2006/customXml" ds:itemID="{95EB10A7-CA4C-4E42-9E32-CC183B5B71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5.xml><?xml version="1.0" encoding="utf-8"?>
<ds:datastoreItem xmlns:ds="http://schemas.openxmlformats.org/officeDocument/2006/customXml" ds:itemID="{0895EA5E-70E1-4978-8583-1A4349ABF7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23</Pages>
  <Words>8914</Words>
  <Characters>51573</Characters>
  <Application>Microsoft Office Word</Application>
  <DocSecurity>0</DocSecurity>
  <Lines>1031</Lines>
  <Paragraphs>508</Paragraphs>
  <ScaleCrop>false</ScaleCrop>
  <HeadingPairs>
    <vt:vector size="2" baseType="variant">
      <vt:variant>
        <vt:lpstr>Title</vt:lpstr>
      </vt:variant>
      <vt:variant>
        <vt:i4>1</vt:i4>
      </vt:variant>
    </vt:vector>
  </HeadingPairs>
  <TitlesOfParts>
    <vt:vector size="1" baseType="lpstr">
      <vt:lpstr>Victoza pi8.docx</vt:lpstr>
    </vt:vector>
  </TitlesOfParts>
  <Company>novo</Company>
  <LinksUpToDate>false</LinksUpToDate>
  <CharactersWithSpaces>59979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Attachment: Product Information: Liraglutide</dc:title>
  <dc:subject>prescription medicines</dc:subject>
  <dc:creator>ROWO (Rowan O'Brien)</dc:creator>
  <cp:keywords>AusPARs</cp:keywords>
  <dc:description/>
  <cp:lastModifiedBy>LACK, Janet</cp:lastModifiedBy>
  <cp:revision>4</cp:revision>
  <cp:lastPrinted>2018-01-12T02:58:00Z</cp:lastPrinted>
  <dcterms:created xsi:type="dcterms:W3CDTF">2019-07-16T23:59:00Z</dcterms:created>
  <dcterms:modified xsi:type="dcterms:W3CDTF">2019-07-17T00:56:00Z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y fmtid="{D5CDD505-2E9C-101B-9397-08002B2CF9AE}" pid="3" name="ContentTypeId">
    <vt:lpwstr>0x010100539DE61388F65745877FEAC2433E5836</vt:lpwstr>
  </property>
</Properties>
</file>