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C3" w:rsidRPr="00FA5961" w:rsidRDefault="000938C3">
      <w:pPr>
        <w:jc w:val="center"/>
        <w:rPr>
          <w:b/>
          <w:noProof/>
          <w:lang w:val="en-AU"/>
        </w:rPr>
      </w:pPr>
      <w:bookmarkStart w:id="0" w:name="_GoBack"/>
      <w:bookmarkEnd w:id="0"/>
      <w:r w:rsidRPr="00FA5961">
        <w:rPr>
          <w:b/>
          <w:noProof/>
          <w:lang w:val="en-AU"/>
        </w:rPr>
        <w:t>PRODUCT INFORMATION</w:t>
      </w:r>
    </w:p>
    <w:p w:rsidR="00804D58" w:rsidRPr="00FA5961" w:rsidRDefault="00804D58">
      <w:pPr>
        <w:jc w:val="center"/>
        <w:rPr>
          <w:b/>
          <w:noProof/>
          <w:lang w:val="en-AU"/>
        </w:rPr>
      </w:pPr>
    </w:p>
    <w:p w:rsidR="000938C3" w:rsidRPr="00FA5961" w:rsidRDefault="008921D0">
      <w:pPr>
        <w:jc w:val="center"/>
        <w:rPr>
          <w:b/>
          <w:noProof/>
          <w:sz w:val="28"/>
          <w:szCs w:val="28"/>
          <w:lang w:val="en-AU"/>
        </w:rPr>
      </w:pPr>
      <w:r w:rsidRPr="00FA5961">
        <w:rPr>
          <w:b/>
          <w:noProof/>
          <w:sz w:val="28"/>
          <w:szCs w:val="28"/>
          <w:lang w:val="en-AU"/>
        </w:rPr>
        <w:t>SAXENDA</w:t>
      </w:r>
      <w:r w:rsidR="00B570E0" w:rsidRPr="004E3688">
        <w:rPr>
          <w:b/>
          <w:noProof/>
          <w:sz w:val="28"/>
          <w:szCs w:val="28"/>
          <w:vertAlign w:val="superscript"/>
          <w:lang w:val="en-AU"/>
        </w:rPr>
        <w:t>®</w:t>
      </w:r>
    </w:p>
    <w:p w:rsidR="00804D58" w:rsidRPr="00FA5961" w:rsidRDefault="00804D58">
      <w:pPr>
        <w:jc w:val="center"/>
        <w:rPr>
          <w:b/>
          <w:noProof/>
          <w:lang w:val="en-AU"/>
        </w:rPr>
      </w:pPr>
    </w:p>
    <w:p w:rsidR="000938C3" w:rsidRPr="00FA5961" w:rsidRDefault="00804D58">
      <w:pPr>
        <w:jc w:val="center"/>
        <w:rPr>
          <w:b/>
          <w:noProof/>
          <w:sz w:val="22"/>
          <w:lang w:val="en-AU"/>
        </w:rPr>
      </w:pPr>
      <w:r w:rsidRPr="00FA5961">
        <w:rPr>
          <w:b/>
          <w:noProof/>
          <w:lang w:val="en-AU"/>
        </w:rPr>
        <w:t>liraglutide</w:t>
      </w:r>
    </w:p>
    <w:p w:rsidR="000938C3" w:rsidRDefault="000938C3">
      <w:pPr>
        <w:jc w:val="center"/>
        <w:rPr>
          <w:b/>
          <w:noProof/>
          <w:sz w:val="28"/>
          <w:szCs w:val="28"/>
          <w:lang w:val="en-AU"/>
        </w:rPr>
      </w:pPr>
    </w:p>
    <w:tbl>
      <w:tblPr>
        <w:tblW w:w="9377" w:type="dxa"/>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77"/>
      </w:tblGrid>
      <w:tr w:rsidR="003B05DB" w:rsidRPr="00393E99" w:rsidTr="008B5D49">
        <w:trPr>
          <w:trHeight w:val="1445"/>
        </w:trPr>
        <w:tc>
          <w:tcPr>
            <w:tcW w:w="9377" w:type="dxa"/>
          </w:tcPr>
          <w:p w:rsidR="003B05DB" w:rsidRPr="00103875" w:rsidRDefault="003B05DB" w:rsidP="008B5D49">
            <w:pPr>
              <w:pStyle w:val="Heading2"/>
              <w:spacing w:before="240"/>
              <w:jc w:val="both"/>
              <w:rPr>
                <w:b w:val="0"/>
              </w:rPr>
            </w:pPr>
            <w:r w:rsidRPr="00103875">
              <w:rPr>
                <w:b w:val="0"/>
              </w:rPr>
              <w:t xml:space="preserve">SAXENDA increases heart rate. The clinical significance of the increase in heart rate with SAXENDA is unclear. The effects of SAXENDA on cardiovascular morbidity and mortality have not been established. [See PRECAUTIONS] </w:t>
            </w:r>
          </w:p>
        </w:tc>
      </w:tr>
    </w:tbl>
    <w:p w:rsidR="003B05DB" w:rsidRPr="00FA5961" w:rsidRDefault="003B05DB">
      <w:pPr>
        <w:jc w:val="center"/>
        <w:rPr>
          <w:b/>
          <w:noProof/>
          <w:sz w:val="28"/>
          <w:szCs w:val="28"/>
          <w:lang w:val="en-AU"/>
        </w:rPr>
      </w:pPr>
    </w:p>
    <w:p w:rsidR="00813A9D" w:rsidRPr="00F11A86" w:rsidRDefault="003B05DB" w:rsidP="003B05DB">
      <w:pPr>
        <w:jc w:val="both"/>
        <w:rPr>
          <w:b/>
        </w:rPr>
      </w:pPr>
      <w:bookmarkStart w:id="1" w:name="_Toc463020834"/>
      <w:bookmarkStart w:id="2" w:name="_Toc464639444"/>
      <w:r w:rsidRPr="00F11A86">
        <w:rPr>
          <w:b/>
        </w:rPr>
        <w:t>NAME OF THE MEDICINE</w:t>
      </w:r>
      <w:bookmarkEnd w:id="1"/>
      <w:bookmarkEnd w:id="2"/>
    </w:p>
    <w:p w:rsidR="003B05DB" w:rsidRDefault="003B05DB" w:rsidP="003B05DB">
      <w:pPr>
        <w:jc w:val="both"/>
      </w:pPr>
    </w:p>
    <w:p w:rsidR="003B05DB" w:rsidRDefault="003B05DB" w:rsidP="003B05DB">
      <w:pPr>
        <w:jc w:val="both"/>
      </w:pPr>
      <w:r w:rsidRPr="00103875">
        <w:rPr>
          <w:noProof/>
          <w:lang w:val="en-AU"/>
        </w:rPr>
        <w:t>SAXENDA 6</w:t>
      </w:r>
      <w:r>
        <w:rPr>
          <w:noProof/>
          <w:lang w:val="en-AU"/>
        </w:rPr>
        <w:t xml:space="preserve"> </w:t>
      </w:r>
      <w:r w:rsidRPr="00103875">
        <w:rPr>
          <w:noProof/>
          <w:lang w:val="en-AU"/>
        </w:rPr>
        <w:t>mg/mL (liraglutide (rys)), solution for injection in a pre-filled pen.</w:t>
      </w:r>
    </w:p>
    <w:p w:rsidR="003B05DB" w:rsidRDefault="003B05DB" w:rsidP="003B05DB">
      <w:pPr>
        <w:jc w:val="both"/>
      </w:pPr>
    </w:p>
    <w:p w:rsidR="003B05DB" w:rsidRDefault="003B05DB" w:rsidP="003B05DB">
      <w:pPr>
        <w:jc w:val="both"/>
      </w:pPr>
      <w:proofErr w:type="spellStart"/>
      <w:r w:rsidRPr="00103875">
        <w:rPr>
          <w:lang w:val="en-AU"/>
        </w:rPr>
        <w:t>Liraglutide</w:t>
      </w:r>
      <w:proofErr w:type="spellEnd"/>
      <w:r w:rsidRPr="00103875">
        <w:rPr>
          <w:lang w:val="en-AU"/>
        </w:rPr>
        <w:t xml:space="preserve"> (</w:t>
      </w:r>
      <w:proofErr w:type="spellStart"/>
      <w:r w:rsidRPr="00103875">
        <w:rPr>
          <w:lang w:val="en-AU"/>
        </w:rPr>
        <w:t>rys</w:t>
      </w:r>
      <w:proofErr w:type="spellEnd"/>
      <w:r w:rsidRPr="00103875">
        <w:rPr>
          <w:lang w:val="en-AU"/>
        </w:rPr>
        <w:t>) has the molecular formula C</w:t>
      </w:r>
      <w:r w:rsidRPr="00103875">
        <w:rPr>
          <w:vertAlign w:val="subscript"/>
          <w:lang w:val="en-AU"/>
        </w:rPr>
        <w:t>172</w:t>
      </w:r>
      <w:r w:rsidRPr="00103875">
        <w:rPr>
          <w:lang w:val="en-AU"/>
        </w:rPr>
        <w:t>H</w:t>
      </w:r>
      <w:r w:rsidRPr="00103875">
        <w:rPr>
          <w:vertAlign w:val="subscript"/>
          <w:lang w:val="en-AU"/>
        </w:rPr>
        <w:t>265</w:t>
      </w:r>
      <w:r w:rsidRPr="00103875">
        <w:rPr>
          <w:lang w:val="en-AU"/>
        </w:rPr>
        <w:t>N</w:t>
      </w:r>
      <w:r w:rsidRPr="00103875">
        <w:rPr>
          <w:vertAlign w:val="subscript"/>
          <w:lang w:val="en-AU"/>
        </w:rPr>
        <w:t>43</w:t>
      </w:r>
      <w:r w:rsidRPr="00103875">
        <w:rPr>
          <w:lang w:val="en-AU"/>
        </w:rPr>
        <w:t>O</w:t>
      </w:r>
      <w:r w:rsidRPr="00103875">
        <w:rPr>
          <w:vertAlign w:val="subscript"/>
          <w:lang w:val="en-AU"/>
        </w:rPr>
        <w:t>51</w:t>
      </w:r>
      <w:r w:rsidRPr="00103875">
        <w:rPr>
          <w:lang w:val="en-AU"/>
        </w:rPr>
        <w:t xml:space="preserve"> and a molecular weight of 3751.20 </w:t>
      </w:r>
      <w:proofErr w:type="spellStart"/>
      <w:r w:rsidRPr="00103875">
        <w:rPr>
          <w:lang w:val="en-AU"/>
        </w:rPr>
        <w:t>daltons</w:t>
      </w:r>
      <w:proofErr w:type="spellEnd"/>
      <w:r w:rsidRPr="00103875">
        <w:rPr>
          <w:lang w:val="en-AU"/>
        </w:rPr>
        <w:t>.</w:t>
      </w:r>
    </w:p>
    <w:p w:rsidR="003B05DB" w:rsidRDefault="001D660E" w:rsidP="003B05DB">
      <w:pPr>
        <w:jc w:val="both"/>
      </w:pPr>
      <w:r>
        <w:rPr>
          <w:noProof/>
          <w:sz w:val="20"/>
          <w:lang w:val="en-AU" w:eastAsia="en-AU"/>
        </w:rPr>
        <w:drawing>
          <wp:inline distT="0" distB="0" distL="0" distR="0">
            <wp:extent cx="47434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43450" cy="1647825"/>
                    </a:xfrm>
                    <a:prstGeom prst="rect">
                      <a:avLst/>
                    </a:prstGeom>
                    <a:noFill/>
                    <a:ln>
                      <a:noFill/>
                    </a:ln>
                  </pic:spPr>
                </pic:pic>
              </a:graphicData>
            </a:graphic>
          </wp:inline>
        </w:drawing>
      </w:r>
    </w:p>
    <w:p w:rsidR="003B05DB" w:rsidRDefault="003B05DB" w:rsidP="003B05DB">
      <w:pPr>
        <w:jc w:val="both"/>
      </w:pPr>
    </w:p>
    <w:p w:rsidR="003B05DB" w:rsidRDefault="003B05DB" w:rsidP="003B05DB">
      <w:pPr>
        <w:jc w:val="both"/>
        <w:rPr>
          <w:sz w:val="22"/>
          <w:lang w:val="en-AU"/>
        </w:rPr>
      </w:pPr>
      <w:r w:rsidRPr="00F940A4">
        <w:rPr>
          <w:sz w:val="22"/>
          <w:lang w:val="en-AU"/>
        </w:rPr>
        <w:t>CAS No.: 204656-20-2</w:t>
      </w:r>
    </w:p>
    <w:p w:rsidR="003B05DB" w:rsidRDefault="003B05DB" w:rsidP="003B05DB">
      <w:pPr>
        <w:jc w:val="both"/>
        <w:rPr>
          <w:sz w:val="22"/>
          <w:lang w:val="en-AU"/>
        </w:rPr>
      </w:pPr>
    </w:p>
    <w:p w:rsidR="003B05DB" w:rsidRPr="00F11A86" w:rsidRDefault="003B05DB" w:rsidP="003B05DB">
      <w:pPr>
        <w:jc w:val="both"/>
        <w:rPr>
          <w:b/>
        </w:rPr>
      </w:pPr>
      <w:bookmarkStart w:id="3" w:name="_Toc464639445"/>
      <w:r w:rsidRPr="00F11A86">
        <w:rPr>
          <w:b/>
        </w:rPr>
        <w:t>DESCRIPTION</w:t>
      </w:r>
      <w:bookmarkEnd w:id="3"/>
    </w:p>
    <w:p w:rsidR="003B05DB" w:rsidRDefault="003B05DB" w:rsidP="003B05DB">
      <w:pPr>
        <w:jc w:val="both"/>
      </w:pPr>
    </w:p>
    <w:p w:rsidR="003B05DB" w:rsidRDefault="003B05DB" w:rsidP="003B05DB">
      <w:pPr>
        <w:jc w:val="both"/>
        <w:rPr>
          <w:lang w:val="en-AU"/>
        </w:rPr>
      </w:pPr>
      <w:r w:rsidRPr="00F940A4">
        <w:rPr>
          <w:bCs/>
          <w:lang w:val="en-AU"/>
        </w:rPr>
        <w:t xml:space="preserve">SAXENDA contains </w:t>
      </w:r>
      <w:proofErr w:type="spellStart"/>
      <w:r w:rsidRPr="00F940A4">
        <w:rPr>
          <w:bCs/>
          <w:lang w:val="en-AU"/>
        </w:rPr>
        <w:t>liraglutide</w:t>
      </w:r>
      <w:proofErr w:type="spellEnd"/>
      <w:r w:rsidRPr="00F940A4">
        <w:rPr>
          <w:bCs/>
          <w:lang w:val="en-AU"/>
        </w:rPr>
        <w:t xml:space="preserve">, a human </w:t>
      </w:r>
      <w:r>
        <w:rPr>
          <w:bCs/>
          <w:lang w:val="en-AU"/>
        </w:rPr>
        <w:t>g</w:t>
      </w:r>
      <w:r w:rsidRPr="00F940A4">
        <w:rPr>
          <w:bCs/>
          <w:lang w:val="en-AU"/>
        </w:rPr>
        <w:t>lucagon-</w:t>
      </w:r>
      <w:r>
        <w:rPr>
          <w:bCs/>
          <w:lang w:val="en-AU"/>
        </w:rPr>
        <w:t>l</w:t>
      </w:r>
      <w:r w:rsidRPr="00F940A4">
        <w:rPr>
          <w:bCs/>
          <w:lang w:val="en-AU"/>
        </w:rPr>
        <w:t xml:space="preserve">ike </w:t>
      </w:r>
      <w:r>
        <w:rPr>
          <w:bCs/>
          <w:lang w:val="en-AU"/>
        </w:rPr>
        <w:t>p</w:t>
      </w:r>
      <w:r w:rsidRPr="00F940A4">
        <w:rPr>
          <w:bCs/>
          <w:lang w:val="en-AU"/>
        </w:rPr>
        <w:t xml:space="preserve">eptide-1 (GLP-1) analogue that binds to and activates the GLP-1 receptor (GLP-1R). </w:t>
      </w:r>
      <w:proofErr w:type="spellStart"/>
      <w:r w:rsidRPr="00F940A4">
        <w:rPr>
          <w:lang w:val="en-AU"/>
        </w:rPr>
        <w:t>Liraglutide</w:t>
      </w:r>
      <w:proofErr w:type="spellEnd"/>
      <w:r w:rsidRPr="00F940A4">
        <w:rPr>
          <w:lang w:val="en-AU"/>
        </w:rPr>
        <w:t xml:space="preserve"> is produced by recombinant DNA technology using </w:t>
      </w:r>
      <w:r w:rsidRPr="00F940A4">
        <w:rPr>
          <w:i/>
          <w:lang w:val="en-AU"/>
        </w:rPr>
        <w:t>Saccharomyces cerevisiae</w:t>
      </w:r>
      <w:r w:rsidRPr="00F940A4">
        <w:rPr>
          <w:lang w:val="en-AU"/>
        </w:rPr>
        <w:t xml:space="preserve">. </w:t>
      </w:r>
      <w:r w:rsidRPr="00F940A4">
        <w:rPr>
          <w:bCs/>
          <w:lang w:val="en-AU"/>
        </w:rPr>
        <w:t xml:space="preserve">In </w:t>
      </w:r>
      <w:proofErr w:type="spellStart"/>
      <w:r w:rsidRPr="00F940A4">
        <w:rPr>
          <w:bCs/>
          <w:lang w:val="en-AU"/>
        </w:rPr>
        <w:t>liraglutide</w:t>
      </w:r>
      <w:proofErr w:type="spellEnd"/>
      <w:r w:rsidRPr="00F940A4">
        <w:rPr>
          <w:bCs/>
          <w:lang w:val="en-AU"/>
        </w:rPr>
        <w:t xml:space="preserve">, the </w:t>
      </w:r>
      <w:r w:rsidRPr="00F940A4">
        <w:rPr>
          <w:lang w:val="en-AU"/>
        </w:rPr>
        <w:t xml:space="preserve">lysine at position 34 has been replaced with arginine, and a palmitic acid has been attached via a </w:t>
      </w:r>
      <w:proofErr w:type="spellStart"/>
      <w:r w:rsidRPr="00F940A4">
        <w:rPr>
          <w:lang w:val="en-AU"/>
        </w:rPr>
        <w:t>glutamoyl</w:t>
      </w:r>
      <w:proofErr w:type="spellEnd"/>
      <w:r w:rsidRPr="00F940A4">
        <w:rPr>
          <w:lang w:val="en-AU"/>
        </w:rPr>
        <w:t xml:space="preserve"> spacer to lysine at position 26.</w:t>
      </w:r>
    </w:p>
    <w:p w:rsidR="003B05DB" w:rsidRDefault="003B05DB" w:rsidP="003B05DB">
      <w:pPr>
        <w:jc w:val="both"/>
        <w:rPr>
          <w:lang w:val="en-AU"/>
        </w:rPr>
      </w:pPr>
    </w:p>
    <w:p w:rsidR="003B05DB" w:rsidRDefault="003B05DB" w:rsidP="003B05DB">
      <w:pPr>
        <w:jc w:val="both"/>
        <w:rPr>
          <w:lang w:val="en-AU"/>
        </w:rPr>
      </w:pPr>
      <w:r w:rsidRPr="00F940A4">
        <w:rPr>
          <w:noProof/>
          <w:lang w:val="en-AU"/>
        </w:rPr>
        <w:t>SAXENDA</w:t>
      </w:r>
      <w:r w:rsidRPr="00F940A4">
        <w:rPr>
          <w:lang w:val="en-AU"/>
        </w:rPr>
        <w:t xml:space="preserve"> is a sterile, clear, colourless, isotonic solution of </w:t>
      </w:r>
      <w:proofErr w:type="spellStart"/>
      <w:r w:rsidRPr="00F940A4">
        <w:rPr>
          <w:lang w:val="en-AU"/>
        </w:rPr>
        <w:t>liraglutide</w:t>
      </w:r>
      <w:proofErr w:type="spellEnd"/>
      <w:r w:rsidRPr="00F940A4">
        <w:rPr>
          <w:lang w:val="en-AU"/>
        </w:rPr>
        <w:t xml:space="preserve"> 6 mg/mL (pH=8.15). </w:t>
      </w:r>
      <w:r w:rsidRPr="00F940A4">
        <w:rPr>
          <w:noProof/>
          <w:lang w:val="en-AU"/>
        </w:rPr>
        <w:t>SAXENDA</w:t>
      </w:r>
      <w:r w:rsidRPr="00F940A4">
        <w:rPr>
          <w:lang w:val="en-AU"/>
        </w:rPr>
        <w:t xml:space="preserve"> is a solution for injection in a pre-filled pen. One mL contains 6 mg salt-free anhydrous </w:t>
      </w:r>
      <w:proofErr w:type="spellStart"/>
      <w:r w:rsidRPr="00F940A4">
        <w:rPr>
          <w:lang w:val="en-AU"/>
        </w:rPr>
        <w:t>liraglutide</w:t>
      </w:r>
      <w:proofErr w:type="spellEnd"/>
      <w:r w:rsidRPr="00F940A4">
        <w:rPr>
          <w:lang w:val="en-AU"/>
        </w:rPr>
        <w:t xml:space="preserve">. One pre-filled pen contains 18 mg </w:t>
      </w:r>
      <w:proofErr w:type="spellStart"/>
      <w:r w:rsidRPr="00F940A4">
        <w:rPr>
          <w:lang w:val="en-AU"/>
        </w:rPr>
        <w:t>liraglutide</w:t>
      </w:r>
      <w:proofErr w:type="spellEnd"/>
      <w:r w:rsidRPr="00F940A4">
        <w:rPr>
          <w:lang w:val="en-AU"/>
        </w:rPr>
        <w:t xml:space="preserve"> in 3 </w:t>
      </w:r>
      <w:proofErr w:type="spellStart"/>
      <w:r w:rsidRPr="00F940A4">
        <w:rPr>
          <w:lang w:val="en-AU"/>
        </w:rPr>
        <w:t>mL.</w:t>
      </w:r>
      <w:proofErr w:type="spellEnd"/>
    </w:p>
    <w:p w:rsidR="003B05DB" w:rsidRDefault="003B05DB" w:rsidP="003B05DB">
      <w:pPr>
        <w:jc w:val="both"/>
        <w:rPr>
          <w:lang w:val="en-AU"/>
        </w:rPr>
      </w:pPr>
    </w:p>
    <w:p w:rsidR="003B05DB" w:rsidRDefault="003B05DB" w:rsidP="003B05DB">
      <w:pPr>
        <w:jc w:val="both"/>
        <w:rPr>
          <w:noProof/>
          <w:lang w:val="en-AU"/>
        </w:rPr>
      </w:pPr>
      <w:r w:rsidRPr="00F940A4">
        <w:rPr>
          <w:lang w:val="en-AU"/>
        </w:rPr>
        <w:t xml:space="preserve">Each mL of </w:t>
      </w:r>
      <w:r w:rsidRPr="00F940A4">
        <w:rPr>
          <w:noProof/>
          <w:lang w:val="en-AU"/>
        </w:rPr>
        <w:t xml:space="preserve">SAXENDA also contains the following inactive ingredients: 1.42 mg </w:t>
      </w:r>
      <w:r w:rsidRPr="00F940A4">
        <w:rPr>
          <w:lang w:val="en-AU"/>
        </w:rPr>
        <w:t xml:space="preserve">dibasic sodium phosphate </w:t>
      </w:r>
      <w:proofErr w:type="spellStart"/>
      <w:r w:rsidRPr="00F940A4">
        <w:rPr>
          <w:lang w:val="en-AU"/>
        </w:rPr>
        <w:t>dihydrate</w:t>
      </w:r>
      <w:proofErr w:type="spellEnd"/>
      <w:r w:rsidRPr="00F940A4">
        <w:rPr>
          <w:lang w:val="en-AU"/>
        </w:rPr>
        <w:t>,</w:t>
      </w:r>
      <w:r w:rsidRPr="00F940A4">
        <w:rPr>
          <w:noProof/>
          <w:lang w:val="en-AU"/>
        </w:rPr>
        <w:t xml:space="preserve"> 14.0 mg propylene glycol, 5.5 mg phenol, hydrochloric acid q.s., sodium hydroxide q.s. and water for injections to 1 mL.</w:t>
      </w:r>
    </w:p>
    <w:p w:rsidR="003B05DB" w:rsidRDefault="003B05DB" w:rsidP="003B05DB">
      <w:pPr>
        <w:jc w:val="both"/>
        <w:rPr>
          <w:noProof/>
          <w:lang w:val="en-AU"/>
        </w:rPr>
      </w:pPr>
    </w:p>
    <w:p w:rsidR="003B05DB" w:rsidRPr="00F11A86" w:rsidRDefault="003B05DB" w:rsidP="003B05DB">
      <w:pPr>
        <w:jc w:val="both"/>
        <w:rPr>
          <w:b/>
          <w:noProof/>
        </w:rPr>
      </w:pPr>
      <w:bookmarkStart w:id="4" w:name="_Toc464639446"/>
      <w:r w:rsidRPr="00F11A86">
        <w:rPr>
          <w:b/>
          <w:noProof/>
        </w:rPr>
        <w:t>PHARMACOLOGY</w:t>
      </w:r>
      <w:bookmarkEnd w:id="4"/>
    </w:p>
    <w:p w:rsidR="003B05DB" w:rsidRDefault="003B05DB" w:rsidP="003B05DB">
      <w:pPr>
        <w:jc w:val="both"/>
        <w:rPr>
          <w:noProof/>
        </w:rPr>
      </w:pPr>
    </w:p>
    <w:p w:rsidR="003B05DB" w:rsidRPr="00F940A4" w:rsidRDefault="003B05DB" w:rsidP="003B05DB">
      <w:pPr>
        <w:keepNext/>
        <w:jc w:val="both"/>
        <w:rPr>
          <w:b/>
          <w:i/>
          <w:lang w:val="en-AU"/>
        </w:rPr>
      </w:pPr>
      <w:r w:rsidRPr="00F940A4">
        <w:rPr>
          <w:b/>
          <w:i/>
          <w:lang w:val="en-AU"/>
        </w:rPr>
        <w:lastRenderedPageBreak/>
        <w:t>Mechanism of action</w:t>
      </w:r>
    </w:p>
    <w:p w:rsidR="003B05DB" w:rsidRDefault="003B05DB" w:rsidP="003B05DB">
      <w:pPr>
        <w:jc w:val="both"/>
        <w:rPr>
          <w:noProof/>
        </w:rPr>
      </w:pPr>
      <w:proofErr w:type="spellStart"/>
      <w:r w:rsidRPr="00F940A4">
        <w:rPr>
          <w:bCs/>
          <w:lang w:val="en-AU"/>
        </w:rPr>
        <w:t>Liraglutide</w:t>
      </w:r>
      <w:proofErr w:type="spellEnd"/>
      <w:r w:rsidRPr="00F940A4">
        <w:rPr>
          <w:bCs/>
          <w:lang w:val="en-AU"/>
        </w:rPr>
        <w:t xml:space="preserve"> is an </w:t>
      </w:r>
      <w:proofErr w:type="spellStart"/>
      <w:r w:rsidRPr="00F940A4">
        <w:rPr>
          <w:bCs/>
          <w:lang w:val="en-AU"/>
        </w:rPr>
        <w:t>acylated</w:t>
      </w:r>
      <w:proofErr w:type="spellEnd"/>
      <w:r w:rsidRPr="00F940A4">
        <w:rPr>
          <w:bCs/>
          <w:lang w:val="en-AU"/>
        </w:rPr>
        <w:t xml:space="preserve"> human GLP-1 analogue with 97% amino acid sequence homology to endogenous human GLP-1. Like endogenous GLP-1, </w:t>
      </w:r>
      <w:proofErr w:type="spellStart"/>
      <w:r w:rsidRPr="00F940A4">
        <w:rPr>
          <w:bCs/>
          <w:lang w:val="en-AU"/>
        </w:rPr>
        <w:t>liraglutide</w:t>
      </w:r>
      <w:proofErr w:type="spellEnd"/>
      <w:r w:rsidRPr="00F940A4">
        <w:rPr>
          <w:bCs/>
          <w:lang w:val="en-AU"/>
        </w:rPr>
        <w:t xml:space="preserve"> binds to and activates the GLP-1R. </w:t>
      </w:r>
      <w:proofErr w:type="spellStart"/>
      <w:r w:rsidRPr="00F940A4">
        <w:rPr>
          <w:bCs/>
          <w:lang w:val="en-AU"/>
        </w:rPr>
        <w:t>Liraglutide</w:t>
      </w:r>
      <w:proofErr w:type="spellEnd"/>
      <w:r w:rsidRPr="00F940A4">
        <w:rPr>
          <w:bCs/>
          <w:lang w:val="en-AU"/>
        </w:rPr>
        <w:t xml:space="preserve"> is relatively stable against metabolic degradation and has a plasma half-life of 13 hours after subcutaneous administration. </w:t>
      </w:r>
    </w:p>
    <w:p w:rsidR="003B05DB" w:rsidRDefault="003B05DB" w:rsidP="003B05DB">
      <w:pPr>
        <w:jc w:val="both"/>
        <w:rPr>
          <w:noProof/>
        </w:rPr>
      </w:pPr>
    </w:p>
    <w:p w:rsidR="003B05DB" w:rsidRDefault="003B05DB" w:rsidP="003B05DB">
      <w:pPr>
        <w:jc w:val="both"/>
        <w:rPr>
          <w:bCs/>
          <w:lang w:val="en-AU"/>
        </w:rPr>
      </w:pPr>
      <w:r w:rsidRPr="00F940A4">
        <w:rPr>
          <w:bCs/>
          <w:lang w:val="en-AU"/>
        </w:rPr>
        <w:t xml:space="preserve">Unlike native GLP-1, </w:t>
      </w:r>
      <w:proofErr w:type="spellStart"/>
      <w:r w:rsidRPr="00F940A4">
        <w:rPr>
          <w:bCs/>
          <w:lang w:val="en-AU"/>
        </w:rPr>
        <w:t>liraglutide</w:t>
      </w:r>
      <w:proofErr w:type="spellEnd"/>
      <w:r w:rsidRPr="00F940A4">
        <w:rPr>
          <w:bCs/>
          <w:lang w:val="en-AU"/>
        </w:rPr>
        <w:t xml:space="preserve"> has a pharmacokinetic and </w:t>
      </w:r>
      <w:proofErr w:type="spellStart"/>
      <w:r w:rsidRPr="00F940A4">
        <w:rPr>
          <w:bCs/>
          <w:lang w:val="en-AU"/>
        </w:rPr>
        <w:t>pharmacodynamic</w:t>
      </w:r>
      <w:proofErr w:type="spellEnd"/>
      <w:r w:rsidRPr="00F940A4">
        <w:rPr>
          <w:bCs/>
          <w:lang w:val="en-AU"/>
        </w:rPr>
        <w:t xml:space="preserve"> profile in </w:t>
      </w:r>
      <w:proofErr w:type="gramStart"/>
      <w:r w:rsidRPr="00F940A4">
        <w:rPr>
          <w:bCs/>
          <w:lang w:val="en-AU"/>
        </w:rPr>
        <w:t>humans</w:t>
      </w:r>
      <w:proofErr w:type="gramEnd"/>
      <w:r w:rsidRPr="00F940A4">
        <w:rPr>
          <w:bCs/>
          <w:lang w:val="en-AU"/>
        </w:rPr>
        <w:t xml:space="preserve"> suitable for once daily administration.</w:t>
      </w:r>
      <w:r w:rsidRPr="00F940A4">
        <w:rPr>
          <w:lang w:val="en-AU"/>
        </w:rPr>
        <w:t xml:space="preserve"> </w:t>
      </w:r>
      <w:r w:rsidRPr="00F940A4">
        <w:rPr>
          <w:bCs/>
          <w:lang w:val="en-AU"/>
        </w:rPr>
        <w:t xml:space="preserve">Following subcutaneous administration, the protracted action profile is based on three mechanisms: self-association (which results in slow absorption), binding to albumin and enzymatic stability towards the dipeptidyl peptidase (DPP-IV) and neutral endopeptidase (NEP) enzymes, resulting in a long plasma half-life. </w:t>
      </w:r>
    </w:p>
    <w:p w:rsidR="003B05DB" w:rsidRDefault="003B05DB" w:rsidP="003B05DB">
      <w:pPr>
        <w:jc w:val="both"/>
        <w:rPr>
          <w:bCs/>
          <w:lang w:val="en-AU"/>
        </w:rPr>
      </w:pPr>
    </w:p>
    <w:p w:rsidR="003B05DB" w:rsidRDefault="003B05DB" w:rsidP="003B05DB">
      <w:pPr>
        <w:jc w:val="both"/>
        <w:rPr>
          <w:bCs/>
          <w:lang w:val="en-AU"/>
        </w:rPr>
      </w:pPr>
      <w:r w:rsidRPr="00F940A4">
        <w:rPr>
          <w:bCs/>
          <w:lang w:val="en-AU"/>
        </w:rPr>
        <w:t xml:space="preserve">GLP-1 is a physiological regulator of appetite and </w:t>
      </w:r>
      <w:r>
        <w:rPr>
          <w:bCs/>
          <w:lang w:val="en-AU"/>
        </w:rPr>
        <w:t>food</w:t>
      </w:r>
      <w:r w:rsidRPr="00F940A4">
        <w:rPr>
          <w:bCs/>
          <w:lang w:val="en-AU"/>
        </w:rPr>
        <w:t xml:space="preserve"> intake and GLP-1R is present in several areas of the brain involved in appetite regulation as well as the intestine. In animal studies, peripheral administration of </w:t>
      </w:r>
      <w:proofErr w:type="spellStart"/>
      <w:r w:rsidRPr="00F940A4">
        <w:rPr>
          <w:bCs/>
          <w:lang w:val="en-AU"/>
        </w:rPr>
        <w:t>liraglutide</w:t>
      </w:r>
      <w:proofErr w:type="spellEnd"/>
      <w:r w:rsidRPr="00F940A4">
        <w:rPr>
          <w:bCs/>
          <w:lang w:val="en-AU"/>
        </w:rPr>
        <w:t xml:space="preserve"> led to uptake in specific brain regions including the hypothalamus, where </w:t>
      </w:r>
      <w:proofErr w:type="spellStart"/>
      <w:r w:rsidRPr="00F940A4">
        <w:rPr>
          <w:bCs/>
          <w:lang w:val="en-AU"/>
        </w:rPr>
        <w:t>liraglutide</w:t>
      </w:r>
      <w:proofErr w:type="spellEnd"/>
      <w:r w:rsidRPr="00F940A4">
        <w:rPr>
          <w:bCs/>
          <w:lang w:val="en-AU"/>
        </w:rPr>
        <w:t>, via specific activation of the GLP-1R, increased key satiety and decreased key hunger signals. Transient inhibition of gastric emptying was also observed.</w:t>
      </w:r>
    </w:p>
    <w:p w:rsidR="003B05DB" w:rsidRDefault="003B05DB" w:rsidP="003B05DB">
      <w:pPr>
        <w:jc w:val="both"/>
        <w:rPr>
          <w:bCs/>
          <w:lang w:val="en-AU"/>
        </w:rPr>
      </w:pPr>
    </w:p>
    <w:p w:rsidR="003B05DB" w:rsidRDefault="003B05DB" w:rsidP="003B05DB">
      <w:pPr>
        <w:jc w:val="both"/>
        <w:rPr>
          <w:noProof/>
        </w:rPr>
      </w:pPr>
      <w:proofErr w:type="spellStart"/>
      <w:r w:rsidRPr="00F940A4">
        <w:rPr>
          <w:bCs/>
          <w:lang w:val="en-AU"/>
        </w:rPr>
        <w:t>Liraglutide</w:t>
      </w:r>
      <w:proofErr w:type="spellEnd"/>
      <w:r w:rsidRPr="00F940A4">
        <w:rPr>
          <w:bCs/>
          <w:lang w:val="en-AU"/>
        </w:rPr>
        <w:t xml:space="preserve"> lowers body weight through decreased </w:t>
      </w:r>
      <w:r>
        <w:rPr>
          <w:bCs/>
          <w:lang w:val="en-AU"/>
        </w:rPr>
        <w:t>food</w:t>
      </w:r>
      <w:r w:rsidRPr="00F940A4">
        <w:rPr>
          <w:bCs/>
          <w:lang w:val="en-AU"/>
        </w:rPr>
        <w:t xml:space="preserve"> intake and loss of predominantly fat mass. </w:t>
      </w:r>
      <w:proofErr w:type="spellStart"/>
      <w:r w:rsidRPr="00F940A4">
        <w:rPr>
          <w:bCs/>
          <w:lang w:val="en-AU"/>
        </w:rPr>
        <w:t>Liraglutide</w:t>
      </w:r>
      <w:proofErr w:type="spellEnd"/>
      <w:r w:rsidRPr="00F940A4">
        <w:rPr>
          <w:bCs/>
          <w:lang w:val="en-AU"/>
        </w:rPr>
        <w:t xml:space="preserve"> does not increase 24-hour energy expenditure. </w:t>
      </w:r>
      <w:proofErr w:type="spellStart"/>
      <w:r w:rsidRPr="00F940A4">
        <w:rPr>
          <w:bCs/>
          <w:lang w:val="en-AU"/>
        </w:rPr>
        <w:t>Liraglutide</w:t>
      </w:r>
      <w:proofErr w:type="spellEnd"/>
      <w:r w:rsidRPr="00F940A4">
        <w:rPr>
          <w:bCs/>
          <w:lang w:val="en-AU"/>
        </w:rPr>
        <w:t xml:space="preserve"> affects the four main components of appetite. </w:t>
      </w:r>
      <w:proofErr w:type="spellStart"/>
      <w:r w:rsidRPr="00F940A4">
        <w:rPr>
          <w:bCs/>
          <w:lang w:val="en-AU"/>
        </w:rPr>
        <w:t>Liraglutide</w:t>
      </w:r>
      <w:proofErr w:type="spellEnd"/>
      <w:r w:rsidRPr="00F940A4">
        <w:rPr>
          <w:bCs/>
          <w:lang w:val="en-AU"/>
        </w:rPr>
        <w:t xml:space="preserve"> regulates appetite by increasing feelings of fullness and satiety, while lowering feelings of hunger and prospective food consumption</w:t>
      </w:r>
      <w:r>
        <w:rPr>
          <w:bCs/>
          <w:lang w:val="en-AU"/>
        </w:rPr>
        <w:t>.</w:t>
      </w:r>
    </w:p>
    <w:p w:rsidR="003B05DB" w:rsidRDefault="003B05DB" w:rsidP="003B05DB">
      <w:pPr>
        <w:jc w:val="both"/>
        <w:rPr>
          <w:noProof/>
        </w:rPr>
      </w:pPr>
    </w:p>
    <w:p w:rsidR="003B05DB" w:rsidRDefault="003B05DB" w:rsidP="003B05DB">
      <w:pPr>
        <w:jc w:val="both"/>
        <w:rPr>
          <w:bCs/>
          <w:lang w:val="en-AU"/>
        </w:rPr>
      </w:pPr>
      <w:proofErr w:type="spellStart"/>
      <w:r w:rsidRPr="00F940A4">
        <w:rPr>
          <w:bCs/>
          <w:lang w:val="en-AU"/>
        </w:rPr>
        <w:t>Liraglutide</w:t>
      </w:r>
      <w:proofErr w:type="spellEnd"/>
      <w:r w:rsidRPr="00F940A4">
        <w:rPr>
          <w:bCs/>
          <w:lang w:val="en-AU"/>
        </w:rPr>
        <w:t xml:space="preserve"> also has effects on glucose homeostasis, resulting in lowering of fasting and post-prandial glucose. </w:t>
      </w:r>
      <w:proofErr w:type="spellStart"/>
      <w:r w:rsidRPr="00F940A4">
        <w:rPr>
          <w:bCs/>
          <w:lang w:val="en-AU"/>
        </w:rPr>
        <w:t>Liraglutide</w:t>
      </w:r>
      <w:proofErr w:type="spellEnd"/>
      <w:r w:rsidRPr="00F940A4">
        <w:rPr>
          <w:bCs/>
          <w:lang w:val="en-AU"/>
        </w:rPr>
        <w:t xml:space="preserve"> stimulates insulin secretion, lowers inappropriately high glucagon secretion in a glucose-dependent manner and improves beta-cell function. The mechanism of blood glucose lowering also may involve a minor delay in gastric emptying. [</w:t>
      </w:r>
      <w:proofErr w:type="gramStart"/>
      <w:r w:rsidRPr="00F940A4">
        <w:rPr>
          <w:bCs/>
          <w:lang w:val="en-AU"/>
        </w:rPr>
        <w:t>see</w:t>
      </w:r>
      <w:proofErr w:type="gramEnd"/>
      <w:r w:rsidRPr="00F940A4">
        <w:rPr>
          <w:bCs/>
          <w:lang w:val="en-AU"/>
        </w:rPr>
        <w:t xml:space="preserve"> INTERACTIONS WITH OTHER MEDICINES]. </w:t>
      </w:r>
    </w:p>
    <w:p w:rsidR="003B05DB" w:rsidRDefault="003B05DB" w:rsidP="003B05DB">
      <w:pPr>
        <w:jc w:val="both"/>
        <w:rPr>
          <w:bCs/>
          <w:lang w:val="en-AU"/>
        </w:rPr>
      </w:pPr>
    </w:p>
    <w:p w:rsidR="003B05DB" w:rsidRPr="00F940A4" w:rsidRDefault="003B05DB" w:rsidP="003B05DB">
      <w:pPr>
        <w:jc w:val="both"/>
        <w:rPr>
          <w:i/>
          <w:lang w:val="en-AU"/>
        </w:rPr>
      </w:pPr>
      <w:r w:rsidRPr="00F940A4">
        <w:rPr>
          <w:b/>
          <w:i/>
          <w:lang w:val="en-AU"/>
        </w:rPr>
        <w:t>Pharmacodynamics</w:t>
      </w:r>
    </w:p>
    <w:p w:rsidR="003B05DB" w:rsidRDefault="003B05DB" w:rsidP="003B05DB">
      <w:pPr>
        <w:jc w:val="both"/>
        <w:rPr>
          <w:bCs/>
          <w:lang w:val="en-AU"/>
        </w:rPr>
      </w:pPr>
      <w:proofErr w:type="gramStart"/>
      <w:r w:rsidRPr="00F940A4">
        <w:rPr>
          <w:bCs/>
          <w:lang w:val="en-AU"/>
        </w:rPr>
        <w:t>In long term clinical trials involving overweight and obese patients SAXENDA, in conjunction with reduced calorie intake and increased physical activity, significantly lowered body weight.</w:t>
      </w:r>
      <w:proofErr w:type="gramEnd"/>
      <w:r w:rsidRPr="00F940A4">
        <w:rPr>
          <w:bCs/>
          <w:lang w:val="en-AU"/>
        </w:rPr>
        <w:t xml:space="preserve"> </w:t>
      </w:r>
    </w:p>
    <w:p w:rsidR="003B05DB" w:rsidRDefault="003B05DB" w:rsidP="003B05DB">
      <w:pPr>
        <w:jc w:val="both"/>
        <w:rPr>
          <w:bCs/>
          <w:lang w:val="en-AU"/>
        </w:rPr>
      </w:pPr>
    </w:p>
    <w:p w:rsidR="003B05DB" w:rsidRPr="00F940A4" w:rsidRDefault="003B05DB" w:rsidP="003B05DB">
      <w:pPr>
        <w:jc w:val="both"/>
        <w:rPr>
          <w:bCs/>
          <w:i/>
          <w:lang w:val="en-AU"/>
        </w:rPr>
      </w:pPr>
      <w:r w:rsidRPr="00F940A4">
        <w:rPr>
          <w:bCs/>
          <w:i/>
          <w:lang w:val="en-AU"/>
        </w:rPr>
        <w:t>Distribution of weight loss</w:t>
      </w:r>
    </w:p>
    <w:p w:rsidR="003B05DB" w:rsidRDefault="003B05DB" w:rsidP="003B05DB">
      <w:pPr>
        <w:jc w:val="both"/>
        <w:rPr>
          <w:bCs/>
          <w:lang w:val="en-AU"/>
        </w:rPr>
      </w:pPr>
      <w:r w:rsidRPr="00F940A4">
        <w:rPr>
          <w:bCs/>
          <w:iCs/>
          <w:lang w:val="en-AU"/>
        </w:rPr>
        <w:t>In a sub-study of obese (BMI 30-40</w:t>
      </w:r>
      <w:r w:rsidRPr="00F940A4">
        <w:rPr>
          <w:lang w:val="en-AU"/>
        </w:rPr>
        <w:t> </w:t>
      </w:r>
      <w:r w:rsidRPr="00F940A4">
        <w:rPr>
          <w:bCs/>
          <w:iCs/>
          <w:lang w:val="en-AU"/>
        </w:rPr>
        <w:t>kg/m</w:t>
      </w:r>
      <w:r w:rsidRPr="00F940A4">
        <w:rPr>
          <w:bCs/>
          <w:iCs/>
          <w:vertAlign w:val="superscript"/>
          <w:lang w:val="en-AU"/>
        </w:rPr>
        <w:t>2</w:t>
      </w:r>
      <w:r w:rsidRPr="00F940A4">
        <w:rPr>
          <w:bCs/>
          <w:iCs/>
          <w:lang w:val="en-AU"/>
        </w:rPr>
        <w:t xml:space="preserve">), non-diabetic patients, DEXA analysis and CT scans were performed at baseline and at Week 20 for 15 patients on SAXENDA and 14 patients on placebo. In the sub-study, weight loss was predominantly from fat mass rather than from lean body mass for both treatment groups. Mean visceral and subcutaneous adipose tissue area was reduced after 20 weeks of treatment compared to baseline. Moreover, with SAXENDA, relative reductions in visceral fat were greater than in subcutaneous fat. </w:t>
      </w:r>
    </w:p>
    <w:p w:rsidR="003B05DB" w:rsidRDefault="003B05DB" w:rsidP="003B05DB">
      <w:pPr>
        <w:jc w:val="both"/>
        <w:rPr>
          <w:noProof/>
        </w:rPr>
      </w:pPr>
    </w:p>
    <w:p w:rsidR="003B05DB" w:rsidRPr="00F940A4" w:rsidRDefault="003B05DB" w:rsidP="003B05DB">
      <w:pPr>
        <w:jc w:val="both"/>
        <w:rPr>
          <w:bCs/>
          <w:i/>
          <w:lang w:val="en-AU"/>
        </w:rPr>
      </w:pPr>
      <w:r w:rsidRPr="00F940A4">
        <w:rPr>
          <w:bCs/>
          <w:i/>
          <w:lang w:val="en-AU"/>
        </w:rPr>
        <w:t>Effects on appetite sensations, calorie intake and energy expenditure, gastric emptying, and fasting and postprandial glycaemia</w:t>
      </w:r>
    </w:p>
    <w:p w:rsidR="003B05DB" w:rsidRDefault="003B05DB" w:rsidP="003B05DB">
      <w:pPr>
        <w:jc w:val="both"/>
        <w:rPr>
          <w:bCs/>
          <w:iCs/>
          <w:lang w:val="en-AU"/>
        </w:rPr>
      </w:pPr>
      <w:r w:rsidRPr="00F940A4">
        <w:rPr>
          <w:bCs/>
          <w:iCs/>
          <w:lang w:val="en-AU"/>
        </w:rPr>
        <w:t>A five week clinical pharmacology trial was conducted in 49 obese (BMI 30-40</w:t>
      </w:r>
      <w:r w:rsidRPr="00F940A4">
        <w:rPr>
          <w:lang w:val="en-AU"/>
        </w:rPr>
        <w:t> </w:t>
      </w:r>
      <w:r w:rsidRPr="00F940A4">
        <w:rPr>
          <w:bCs/>
          <w:iCs/>
          <w:lang w:val="en-AU"/>
        </w:rPr>
        <w:t>kg/m</w:t>
      </w:r>
      <w:r w:rsidRPr="00F940A4">
        <w:rPr>
          <w:bCs/>
          <w:iCs/>
          <w:vertAlign w:val="superscript"/>
          <w:lang w:val="en-AU"/>
        </w:rPr>
        <w:t>2</w:t>
      </w:r>
      <w:r w:rsidRPr="00F940A4">
        <w:rPr>
          <w:bCs/>
          <w:iCs/>
          <w:lang w:val="en-AU"/>
        </w:rPr>
        <w:t xml:space="preserve">) non-diabetic patients to investigate </w:t>
      </w:r>
      <w:r>
        <w:rPr>
          <w:bCs/>
          <w:iCs/>
          <w:lang w:val="en-AU"/>
        </w:rPr>
        <w:t xml:space="preserve">the </w:t>
      </w:r>
      <w:proofErr w:type="spellStart"/>
      <w:r w:rsidRPr="00F940A4">
        <w:rPr>
          <w:bCs/>
          <w:iCs/>
          <w:lang w:val="en-AU"/>
        </w:rPr>
        <w:t>pharmacodynamic</w:t>
      </w:r>
      <w:proofErr w:type="spellEnd"/>
      <w:r w:rsidRPr="00F940A4">
        <w:rPr>
          <w:bCs/>
          <w:iCs/>
          <w:lang w:val="en-AU"/>
        </w:rPr>
        <w:t xml:space="preserve"> effects of </w:t>
      </w:r>
      <w:proofErr w:type="spellStart"/>
      <w:r w:rsidRPr="00F940A4">
        <w:rPr>
          <w:bCs/>
          <w:iCs/>
          <w:lang w:val="en-AU"/>
        </w:rPr>
        <w:t>liraglutide</w:t>
      </w:r>
      <w:proofErr w:type="spellEnd"/>
      <w:r w:rsidRPr="00F940A4">
        <w:rPr>
          <w:bCs/>
          <w:iCs/>
          <w:lang w:val="en-AU"/>
        </w:rPr>
        <w:t>.</w:t>
      </w:r>
      <w:r w:rsidRPr="00FA5961">
        <w:rPr>
          <w:bCs/>
          <w:iCs/>
          <w:lang w:val="en-AU"/>
        </w:rPr>
        <w:t xml:space="preserve"> </w:t>
      </w:r>
    </w:p>
    <w:p w:rsidR="003B05DB" w:rsidRDefault="003B05DB" w:rsidP="003B05DB">
      <w:pPr>
        <w:jc w:val="both"/>
        <w:rPr>
          <w:bCs/>
          <w:iCs/>
          <w:lang w:val="en-AU"/>
        </w:rPr>
      </w:pPr>
    </w:p>
    <w:p w:rsidR="003B05DB" w:rsidRPr="00F940A4" w:rsidRDefault="003B05DB" w:rsidP="003B05DB">
      <w:pPr>
        <w:jc w:val="both"/>
        <w:rPr>
          <w:bCs/>
          <w:i/>
          <w:iCs/>
          <w:lang w:val="en-AU"/>
        </w:rPr>
      </w:pPr>
      <w:r w:rsidRPr="00F940A4">
        <w:rPr>
          <w:bCs/>
          <w:i/>
          <w:iCs/>
          <w:lang w:val="en-AU"/>
        </w:rPr>
        <w:t>Appetite sensations, calorie intake, and energy expenditure</w:t>
      </w:r>
    </w:p>
    <w:p w:rsidR="003B05DB" w:rsidRDefault="003B05DB" w:rsidP="003B05DB">
      <w:pPr>
        <w:jc w:val="both"/>
        <w:rPr>
          <w:bCs/>
          <w:iCs/>
          <w:lang w:val="en-AU"/>
        </w:rPr>
      </w:pPr>
      <w:r w:rsidRPr="00F940A4">
        <w:rPr>
          <w:bCs/>
          <w:iCs/>
          <w:lang w:val="en-AU"/>
        </w:rPr>
        <w:t xml:space="preserve">The weight loss effect of </w:t>
      </w:r>
      <w:proofErr w:type="spellStart"/>
      <w:r w:rsidRPr="00F940A4">
        <w:rPr>
          <w:bCs/>
          <w:iCs/>
          <w:lang w:val="en-AU"/>
        </w:rPr>
        <w:t>liraglutide</w:t>
      </w:r>
      <w:proofErr w:type="spellEnd"/>
      <w:r w:rsidRPr="00F940A4">
        <w:rPr>
          <w:bCs/>
          <w:iCs/>
          <w:lang w:val="en-AU"/>
        </w:rPr>
        <w:t xml:space="preserve"> is considered to be mediated by regulation of appetite and food intake. Appetite sensations were assessed before and up to five hours after a standardised breakfast meal, and </w:t>
      </w:r>
      <w:r w:rsidRPr="00F940A4">
        <w:rPr>
          <w:bCs/>
          <w:i/>
          <w:iCs/>
          <w:lang w:val="en-AU"/>
        </w:rPr>
        <w:t>ad libitum</w:t>
      </w:r>
      <w:r w:rsidRPr="00F940A4">
        <w:rPr>
          <w:bCs/>
          <w:iCs/>
          <w:lang w:val="en-AU"/>
        </w:rPr>
        <w:t xml:space="preserve"> food intake was assessed during the subsequent lunch meal. </w:t>
      </w:r>
      <w:r w:rsidRPr="00F940A4">
        <w:rPr>
          <w:bCs/>
          <w:iCs/>
          <w:lang w:val="en-AU"/>
        </w:rPr>
        <w:lastRenderedPageBreak/>
        <w:t xml:space="preserve">Compared to placebo, SAXENDA increased post-prandial satiety and fullness ratings, reduced hunger and prospective food consumption ratings and decreased </w:t>
      </w:r>
      <w:r w:rsidRPr="00F940A4">
        <w:rPr>
          <w:bCs/>
          <w:i/>
          <w:iCs/>
          <w:lang w:val="en-AU"/>
        </w:rPr>
        <w:t>ad libitum</w:t>
      </w:r>
      <w:r w:rsidRPr="00F940A4">
        <w:rPr>
          <w:bCs/>
          <w:iCs/>
          <w:lang w:val="en-AU"/>
        </w:rPr>
        <w:t xml:space="preserve"> food intake. No treatment-related increase in 24-hour energy expenditure was observed as assessed in a respiratory chamber. </w:t>
      </w:r>
    </w:p>
    <w:p w:rsidR="003B05DB" w:rsidRDefault="003B05DB" w:rsidP="003B05DB">
      <w:pPr>
        <w:jc w:val="both"/>
        <w:rPr>
          <w:bCs/>
          <w:iCs/>
          <w:lang w:val="en-AU"/>
        </w:rPr>
      </w:pPr>
    </w:p>
    <w:p w:rsidR="003B05DB" w:rsidRPr="00F940A4" w:rsidRDefault="003B05DB" w:rsidP="003B05DB">
      <w:pPr>
        <w:jc w:val="both"/>
        <w:rPr>
          <w:bCs/>
          <w:i/>
          <w:iCs/>
          <w:lang w:val="en-AU"/>
        </w:rPr>
      </w:pPr>
      <w:r w:rsidRPr="00F940A4">
        <w:rPr>
          <w:bCs/>
          <w:i/>
          <w:iCs/>
          <w:lang w:val="en-AU"/>
        </w:rPr>
        <w:t>Gastric emptying</w:t>
      </w:r>
    </w:p>
    <w:p w:rsidR="003B05DB" w:rsidRDefault="003B05DB" w:rsidP="003B05DB">
      <w:pPr>
        <w:jc w:val="both"/>
        <w:rPr>
          <w:bCs/>
          <w:iCs/>
          <w:lang w:val="en-AU"/>
        </w:rPr>
      </w:pPr>
      <w:r w:rsidRPr="00F940A4">
        <w:rPr>
          <w:iCs/>
          <w:lang w:val="en-AU"/>
        </w:rPr>
        <w:t>SAXENDA caused a minor delay in gastric emptying during the first hour after the meal, thereby reducing the rate as well as the total level of postprandial glucose that appeared in the circulation</w:t>
      </w:r>
      <w:r w:rsidRPr="00F940A4">
        <w:rPr>
          <w:bCs/>
          <w:iCs/>
          <w:lang w:val="en-AU"/>
        </w:rPr>
        <w:t>.</w:t>
      </w:r>
    </w:p>
    <w:p w:rsidR="003B05DB" w:rsidRDefault="003B05DB" w:rsidP="003B05DB">
      <w:pPr>
        <w:jc w:val="both"/>
        <w:rPr>
          <w:noProof/>
        </w:rPr>
      </w:pPr>
    </w:p>
    <w:p w:rsidR="003B05DB" w:rsidRPr="00F940A4" w:rsidRDefault="003B05DB" w:rsidP="003B05DB">
      <w:pPr>
        <w:jc w:val="both"/>
        <w:rPr>
          <w:bCs/>
          <w:i/>
          <w:iCs/>
          <w:sz w:val="22"/>
          <w:szCs w:val="22"/>
          <w:lang w:val="en-AU"/>
        </w:rPr>
      </w:pPr>
      <w:r w:rsidRPr="00F940A4">
        <w:rPr>
          <w:bCs/>
          <w:i/>
          <w:iCs/>
          <w:lang w:val="en-AU"/>
        </w:rPr>
        <w:t>Fasting and postprandial glucose, insulin and glucagon</w:t>
      </w:r>
    </w:p>
    <w:p w:rsidR="003B05DB" w:rsidRDefault="003B05DB" w:rsidP="003B05DB">
      <w:pPr>
        <w:jc w:val="both"/>
        <w:rPr>
          <w:lang w:val="en-AU"/>
        </w:rPr>
      </w:pPr>
      <w:r w:rsidRPr="00F940A4">
        <w:rPr>
          <w:lang w:val="en-AU"/>
        </w:rPr>
        <w:t>Fasting and postprandial glucose, insulin and glucagon concentrations were assessed before and up to five hours after a standardised meal test. Compared to placebo, SAXENDA reduced fasting glucose and postprandial glucose (AUC</w:t>
      </w:r>
      <w:r w:rsidRPr="00F940A4">
        <w:rPr>
          <w:vertAlign w:val="subscript"/>
          <w:lang w:val="en-AU"/>
        </w:rPr>
        <w:t>0-60 min</w:t>
      </w:r>
      <w:r w:rsidRPr="00F940A4">
        <w:rPr>
          <w:lang w:val="en-AU"/>
        </w:rPr>
        <w:t>) in the first hour after the meal, and also reduced 5-hour glucose AUC and incremental glucose (AUC</w:t>
      </w:r>
      <w:r w:rsidRPr="00F940A4">
        <w:rPr>
          <w:vertAlign w:val="subscript"/>
          <w:lang w:val="en-AU"/>
        </w:rPr>
        <w:t>0-300 min</w:t>
      </w:r>
      <w:r w:rsidRPr="00F940A4">
        <w:rPr>
          <w:lang w:val="en-AU"/>
        </w:rPr>
        <w:t>). In addition, SAXENDA decreased postprandial glucagon (AUC</w:t>
      </w:r>
      <w:r w:rsidRPr="00F940A4">
        <w:rPr>
          <w:vertAlign w:val="subscript"/>
          <w:lang w:val="en-AU"/>
        </w:rPr>
        <w:t>0-300 min</w:t>
      </w:r>
      <w:r w:rsidRPr="00F940A4">
        <w:rPr>
          <w:lang w:val="en-AU"/>
        </w:rPr>
        <w:t>) and postprandial insulin (AUC</w:t>
      </w:r>
      <w:r w:rsidRPr="00F940A4">
        <w:rPr>
          <w:vertAlign w:val="subscript"/>
          <w:lang w:val="en-AU"/>
        </w:rPr>
        <w:t>0-60 min</w:t>
      </w:r>
      <w:r w:rsidRPr="00F940A4">
        <w:rPr>
          <w:lang w:val="en-AU"/>
        </w:rPr>
        <w:t>) and incremental insulin (iAUC</w:t>
      </w:r>
      <w:r w:rsidRPr="00F940A4">
        <w:rPr>
          <w:vertAlign w:val="subscript"/>
          <w:lang w:val="en-AU"/>
        </w:rPr>
        <w:t>0-60 min</w:t>
      </w:r>
      <w:r w:rsidRPr="00F940A4">
        <w:rPr>
          <w:lang w:val="en-AU"/>
        </w:rPr>
        <w:t>) after the meal compared with placebo.</w:t>
      </w:r>
    </w:p>
    <w:p w:rsidR="003B05DB" w:rsidRDefault="003B05DB" w:rsidP="003B05DB">
      <w:pPr>
        <w:jc w:val="both"/>
        <w:rPr>
          <w:lang w:val="en-AU"/>
        </w:rPr>
      </w:pPr>
    </w:p>
    <w:p w:rsidR="003B05DB" w:rsidRDefault="003B05DB" w:rsidP="003B05DB">
      <w:pPr>
        <w:jc w:val="both"/>
        <w:rPr>
          <w:noProof/>
          <w:lang w:val="en-AU"/>
        </w:rPr>
      </w:pPr>
      <w:r w:rsidRPr="00F940A4">
        <w:rPr>
          <w:noProof/>
          <w:lang w:val="en-AU"/>
        </w:rPr>
        <w:t xml:space="preserve">Fasting and incremental glucose and insulin concentrations were also assessed during a 75-g oral glucose tolerance test (OGTT) before and after </w:t>
      </w:r>
      <w:r>
        <w:rPr>
          <w:noProof/>
          <w:lang w:val="en-AU"/>
        </w:rPr>
        <w:t>56 weeks</w:t>
      </w:r>
      <w:r w:rsidRPr="00F940A4">
        <w:rPr>
          <w:noProof/>
          <w:lang w:val="en-AU"/>
        </w:rPr>
        <w:t xml:space="preserve"> of treatment in 3,731 overweight and obese patients with and without pre-diabetes [See CLINICAL TRIALS, SCALE-Obesity and Pre-diabetes]. Compared to placebo, SAXENDA reduced fasting and incremental glucose </w:t>
      </w:r>
      <w:r w:rsidRPr="00411739">
        <w:rPr>
          <w:noProof/>
          <w:lang w:val="en-AU"/>
        </w:rPr>
        <w:t>concentrations (Figure 1).</w:t>
      </w:r>
      <w:r w:rsidRPr="00F940A4">
        <w:rPr>
          <w:noProof/>
          <w:lang w:val="en-AU"/>
        </w:rPr>
        <w:t xml:space="preserve"> The effect was more pronounced in patients with pre-diabetes. In addition, SAXENDA reduced fasting insulin and increased incremental insulin concentrations compared to placebo.</w:t>
      </w:r>
    </w:p>
    <w:p w:rsidR="003B05DB" w:rsidRDefault="003B05DB" w:rsidP="003B05DB">
      <w:pPr>
        <w:jc w:val="both"/>
        <w:rPr>
          <w:noProof/>
          <w:lang w:val="en-AU"/>
        </w:rPr>
      </w:pPr>
    </w:p>
    <w:p w:rsidR="003B05DB" w:rsidRDefault="003B05DB" w:rsidP="003B05DB">
      <w:pPr>
        <w:jc w:val="both"/>
        <w:rPr>
          <w:noProof/>
          <w:lang w:val="en-AU"/>
        </w:rPr>
      </w:pPr>
      <w:r w:rsidRPr="00271659">
        <w:rPr>
          <w:noProof/>
          <w:lang w:val="en-AU"/>
        </w:rPr>
        <w:t>Compared to baseline levels, the week 160 post-challenge plasma glucose AUC was reduced with SAXENDA, while on treatment, but remained unchanged with placebo. Additionally, post-challenge insulin AUC remained relatively stable with SAXENDA during the 160-week treatment period, while declining in the placebo group. The estimated treatment effects were all statistically significant in favour of SAXENDA.</w:t>
      </w:r>
    </w:p>
    <w:p w:rsidR="00F11A86" w:rsidRPr="005768E4" w:rsidRDefault="00F11A86" w:rsidP="003B05DB">
      <w:pPr>
        <w:jc w:val="both"/>
        <w:rPr>
          <w:color w:val="82786F"/>
          <w:lang w:val="en-AU"/>
        </w:rPr>
      </w:pPr>
    </w:p>
    <w:bookmarkStart w:id="5" w:name="_MON_1447484925"/>
    <w:bookmarkEnd w:id="5"/>
    <w:p w:rsidR="003B05DB" w:rsidRPr="005768E4" w:rsidRDefault="003B05DB" w:rsidP="003B05DB">
      <w:pPr>
        <w:jc w:val="both"/>
        <w:rPr>
          <w:color w:val="82786F"/>
          <w:lang w:val="en-AU"/>
        </w:rPr>
      </w:pPr>
      <w:r w:rsidRPr="005768E4">
        <w:rPr>
          <w:color w:val="82786F"/>
          <w:lang w:val="en-AU"/>
        </w:rPr>
        <w:object w:dxaOrig="4640" w:dyaOrig="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60.5pt" o:ole="">
            <v:imagedata r:id="rId16" o:title=""/>
          </v:shape>
          <o:OLEObject Type="Embed" ProgID="Word.Document.12" ShapeID="_x0000_i1025" DrawAspect="Content" ObjectID="_1624866365" r:id="rId17">
            <o:FieldCodes>\s</o:FieldCodes>
          </o:OLEObject>
        </w:object>
      </w:r>
    </w:p>
    <w:p w:rsidR="003B05DB" w:rsidRDefault="003B05DB" w:rsidP="003B05DB">
      <w:pPr>
        <w:jc w:val="both"/>
        <w:rPr>
          <w:lang w:val="en-AU"/>
        </w:rPr>
      </w:pPr>
      <w:r w:rsidRPr="005768E4">
        <w:rPr>
          <w:b/>
          <w:iCs/>
          <w:lang w:val="en-AU"/>
        </w:rPr>
        <w:t xml:space="preserve">Figure 1: </w:t>
      </w:r>
      <w:r w:rsidRPr="005768E4">
        <w:rPr>
          <w:b/>
          <w:bCs/>
          <w:lang w:val="en-AU"/>
        </w:rPr>
        <w:t>Oral glucose tolerance test - plasma glucose at week -1 and one-year – mean plot – Full Analysis Set</w:t>
      </w:r>
    </w:p>
    <w:p w:rsidR="003B05DB" w:rsidRDefault="003B05DB" w:rsidP="003B05DB">
      <w:pPr>
        <w:jc w:val="both"/>
        <w:rPr>
          <w:noProof/>
          <w:lang w:val="en-AU"/>
        </w:rPr>
      </w:pPr>
    </w:p>
    <w:p w:rsidR="003B05DB" w:rsidRPr="00F940A4" w:rsidRDefault="003B05DB" w:rsidP="003B05DB">
      <w:pPr>
        <w:jc w:val="both"/>
        <w:rPr>
          <w:i/>
          <w:lang w:val="en-AU"/>
        </w:rPr>
      </w:pPr>
      <w:r w:rsidRPr="00F940A4">
        <w:rPr>
          <w:i/>
          <w:lang w:val="en-AU"/>
        </w:rPr>
        <w:t>Effects on fasting and postprandial glucose increment in overweight and obese patients with type 2 diabetes</w:t>
      </w:r>
    </w:p>
    <w:p w:rsidR="003B05DB" w:rsidRDefault="003B05DB" w:rsidP="003B05DB">
      <w:pPr>
        <w:jc w:val="both"/>
        <w:rPr>
          <w:bCs/>
          <w:iCs/>
          <w:lang w:val="en-AU"/>
        </w:rPr>
      </w:pPr>
      <w:r w:rsidRPr="00F940A4">
        <w:rPr>
          <w:bCs/>
          <w:iCs/>
          <w:lang w:val="en-AU"/>
        </w:rPr>
        <w:t>SAXENDA reduced fasting glucose and mean postprandial glucose increment (90 minutes after the meal, average over 3 daily meals), compared to placebo.</w:t>
      </w:r>
    </w:p>
    <w:p w:rsidR="003B05DB" w:rsidRDefault="003B05DB" w:rsidP="003B05DB">
      <w:pPr>
        <w:jc w:val="both"/>
        <w:rPr>
          <w:bCs/>
          <w:iCs/>
          <w:lang w:val="en-AU"/>
        </w:rPr>
      </w:pPr>
    </w:p>
    <w:p w:rsidR="003B05DB" w:rsidRPr="00F940A4" w:rsidRDefault="003B05DB" w:rsidP="003B05DB">
      <w:pPr>
        <w:jc w:val="both"/>
        <w:rPr>
          <w:bCs/>
          <w:iCs/>
          <w:lang w:val="en-AU"/>
        </w:rPr>
      </w:pPr>
      <w:r w:rsidRPr="00F940A4">
        <w:rPr>
          <w:i/>
          <w:lang w:val="en-AU"/>
        </w:rPr>
        <w:lastRenderedPageBreak/>
        <w:t>Beta-cell function</w:t>
      </w:r>
    </w:p>
    <w:p w:rsidR="003B05DB" w:rsidRDefault="003B05DB" w:rsidP="003B05DB">
      <w:pPr>
        <w:jc w:val="both"/>
        <w:rPr>
          <w:bCs/>
          <w:iCs/>
          <w:lang w:val="en-AU"/>
        </w:rPr>
      </w:pPr>
      <w:r w:rsidRPr="00F940A4">
        <w:rPr>
          <w:bCs/>
          <w:iCs/>
          <w:lang w:val="en-AU"/>
        </w:rPr>
        <w:t>Clinical studies up to 52 weeks with SAXENDA in overweight and obese patients with and without diabetes mellitus have shown a durable secretagogue effect, as well as improvements from baseline in the homeostasis model assessment for beta-cell function (HOMA-B) and the proinsulin to insulin ratio.</w:t>
      </w:r>
    </w:p>
    <w:p w:rsidR="003B05DB" w:rsidRDefault="003B05DB" w:rsidP="003B05DB">
      <w:pPr>
        <w:jc w:val="both"/>
        <w:rPr>
          <w:bCs/>
          <w:iCs/>
          <w:lang w:val="en-AU"/>
        </w:rPr>
      </w:pPr>
    </w:p>
    <w:p w:rsidR="003B05DB" w:rsidRPr="00F940A4" w:rsidRDefault="003B05DB" w:rsidP="003B05DB">
      <w:pPr>
        <w:keepNext/>
        <w:jc w:val="both"/>
        <w:rPr>
          <w:i/>
          <w:iCs/>
          <w:lang w:val="en-AU"/>
        </w:rPr>
      </w:pPr>
      <w:r w:rsidRPr="00F940A4">
        <w:rPr>
          <w:i/>
          <w:iCs/>
          <w:lang w:val="en-AU"/>
        </w:rPr>
        <w:t>Cardiac Electrophysiology (QTc)</w:t>
      </w:r>
    </w:p>
    <w:p w:rsidR="003B05DB" w:rsidRDefault="003B05DB" w:rsidP="003B05DB">
      <w:pPr>
        <w:jc w:val="both"/>
        <w:rPr>
          <w:bCs/>
          <w:iCs/>
          <w:lang w:val="en-AU"/>
        </w:rPr>
      </w:pPr>
      <w:r w:rsidRPr="00F940A4">
        <w:rPr>
          <w:bCs/>
          <w:iCs/>
          <w:lang w:val="en-AU"/>
        </w:rPr>
        <w:t>In a cardiac repolarisation study, liraglutide at steady state concentrations with daily doses up to 1.8 mg did not produce QTc prolongation. The liraglutide exposure for overweight and obese subjects treated with SAXENDA is comparable to the exposure evaluated in the liraglutide QTc study.</w:t>
      </w:r>
    </w:p>
    <w:p w:rsidR="003B05DB" w:rsidRDefault="003B05DB" w:rsidP="003B05DB">
      <w:pPr>
        <w:jc w:val="both"/>
        <w:rPr>
          <w:bCs/>
          <w:iCs/>
          <w:lang w:val="en-AU"/>
        </w:rPr>
      </w:pPr>
    </w:p>
    <w:p w:rsidR="003B05DB" w:rsidRPr="00F940A4" w:rsidRDefault="003B05DB" w:rsidP="003B05DB">
      <w:pPr>
        <w:pStyle w:val="Heading4"/>
        <w:rPr>
          <w:b/>
          <w:szCs w:val="24"/>
        </w:rPr>
      </w:pPr>
      <w:r w:rsidRPr="00F940A4">
        <w:rPr>
          <w:b/>
        </w:rPr>
        <w:t>Pharmacokinetics</w:t>
      </w:r>
    </w:p>
    <w:p w:rsidR="003B05DB" w:rsidRPr="00F940A4" w:rsidRDefault="003B05DB" w:rsidP="003B05DB">
      <w:pPr>
        <w:keepNext/>
        <w:jc w:val="both"/>
        <w:rPr>
          <w:b/>
          <w:lang w:val="en-AU"/>
        </w:rPr>
      </w:pPr>
      <w:r w:rsidRPr="00F940A4">
        <w:rPr>
          <w:i/>
          <w:lang w:val="en-AU"/>
        </w:rPr>
        <w:t>Absorption</w:t>
      </w:r>
    </w:p>
    <w:p w:rsidR="003B05DB" w:rsidRDefault="003B05DB" w:rsidP="003B05DB">
      <w:pPr>
        <w:jc w:val="both"/>
        <w:rPr>
          <w:lang w:val="en-AU"/>
        </w:rPr>
      </w:pPr>
      <w:r w:rsidRPr="00F940A4">
        <w:rPr>
          <w:lang w:val="en-AU"/>
        </w:rPr>
        <w:t xml:space="preserve">The absorption of liraglutide following subcutaneous administration is slow, reaching maximum concentration approximately 11 hours post dosing. </w:t>
      </w:r>
      <w:r w:rsidRPr="00F940A4">
        <w:rPr>
          <w:iCs/>
          <w:lang w:val="en-AU"/>
        </w:rPr>
        <w:t>The</w:t>
      </w:r>
      <w:r w:rsidRPr="00F940A4">
        <w:rPr>
          <w:lang w:val="en-AU"/>
        </w:rPr>
        <w:t xml:space="preserve"> average steady state concentration of liraglutide (AUC</w:t>
      </w:r>
      <w:r w:rsidRPr="00F940A4">
        <w:rPr>
          <w:vertAlign w:val="subscript"/>
          <w:lang w:val="en-AU"/>
        </w:rPr>
        <w:t>τ/24</w:t>
      </w:r>
      <w:r w:rsidRPr="00F940A4">
        <w:rPr>
          <w:lang w:val="en-AU"/>
        </w:rPr>
        <w:t>) reached approximately 31 nmol/L in obese (BMI 30-40 kg/m</w:t>
      </w:r>
      <w:r w:rsidRPr="00F940A4">
        <w:rPr>
          <w:vertAlign w:val="superscript"/>
          <w:lang w:val="en-AU"/>
        </w:rPr>
        <w:t>2</w:t>
      </w:r>
      <w:r w:rsidRPr="00F940A4">
        <w:rPr>
          <w:lang w:val="en-AU"/>
        </w:rPr>
        <w:t>) subjects following administration of liraglutide 3.0 mg</w:t>
      </w:r>
      <w:r w:rsidRPr="00F940A4">
        <w:rPr>
          <w:iCs/>
          <w:lang w:val="en-AU"/>
        </w:rPr>
        <w:t xml:space="preserve">. </w:t>
      </w:r>
      <w:r w:rsidRPr="00F940A4">
        <w:rPr>
          <w:lang w:val="en-AU"/>
        </w:rPr>
        <w:t>Liraglutide exposure increased proportionally with dose</w:t>
      </w:r>
      <w:r>
        <w:rPr>
          <w:lang w:val="en-AU"/>
        </w:rPr>
        <w:t xml:space="preserve"> </w:t>
      </w:r>
      <w:r w:rsidRPr="00F940A4">
        <w:rPr>
          <w:lang w:val="en-AU"/>
        </w:rPr>
        <w:t>in the dose range of 0.6 to 3.0 mg. SAXENDA can be administered subcutaneously in the abdomen, thigh, or upper arm.</w:t>
      </w:r>
    </w:p>
    <w:p w:rsidR="003B05DB" w:rsidRDefault="003B05DB" w:rsidP="003B05DB">
      <w:pPr>
        <w:jc w:val="both"/>
        <w:rPr>
          <w:lang w:val="en-AU"/>
        </w:rPr>
      </w:pPr>
    </w:p>
    <w:p w:rsidR="003B05DB" w:rsidRPr="00F940A4" w:rsidRDefault="003B05DB" w:rsidP="003B05DB">
      <w:pPr>
        <w:jc w:val="both"/>
        <w:rPr>
          <w:i/>
          <w:lang w:val="en-AU"/>
        </w:rPr>
      </w:pPr>
      <w:r w:rsidRPr="00F940A4">
        <w:rPr>
          <w:i/>
          <w:lang w:val="en-AU"/>
        </w:rPr>
        <w:t>Distribution</w:t>
      </w:r>
    </w:p>
    <w:p w:rsidR="003B05DB" w:rsidRDefault="003B05DB" w:rsidP="003B05DB">
      <w:pPr>
        <w:jc w:val="both"/>
        <w:rPr>
          <w:lang w:val="en-AU"/>
        </w:rPr>
      </w:pPr>
      <w:r w:rsidRPr="00F940A4">
        <w:rPr>
          <w:lang w:val="en-AU"/>
        </w:rPr>
        <w:t xml:space="preserve">The mean apparent volume of distribution after subcutaneous administration </w:t>
      </w:r>
      <w:r>
        <w:rPr>
          <w:lang w:val="en-AU"/>
        </w:rPr>
        <w:t>of a</w:t>
      </w:r>
      <w:r w:rsidRPr="00F940A4">
        <w:rPr>
          <w:lang w:val="en-AU"/>
        </w:rPr>
        <w:t xml:space="preserve"> liraglutide 3.0 mg is 20-25 L (for a person weighing approximately 100 kg). The mean volume of distribution after intravenous administration of liraglutide is 0.07 L/kg.</w:t>
      </w:r>
      <w:r w:rsidRPr="00F940A4">
        <w:rPr>
          <w:i/>
          <w:iCs/>
          <w:lang w:val="en-AU"/>
        </w:rPr>
        <w:t xml:space="preserve"> </w:t>
      </w:r>
      <w:r w:rsidRPr="00F940A4">
        <w:rPr>
          <w:lang w:val="en-AU"/>
        </w:rPr>
        <w:t xml:space="preserve">Liraglutide is extensively bound to plasma protein </w:t>
      </w:r>
      <w:r w:rsidRPr="00413681">
        <w:rPr>
          <w:iCs/>
          <w:lang w:val="en-AU"/>
        </w:rPr>
        <w:t>(&gt;98%).</w:t>
      </w:r>
    </w:p>
    <w:p w:rsidR="003B05DB" w:rsidRDefault="003B05DB" w:rsidP="003B05DB">
      <w:pPr>
        <w:jc w:val="both"/>
        <w:rPr>
          <w:lang w:val="en-AU"/>
        </w:rPr>
      </w:pPr>
    </w:p>
    <w:p w:rsidR="003B05DB" w:rsidRPr="00F940A4" w:rsidRDefault="003B05DB" w:rsidP="003B05DB">
      <w:pPr>
        <w:jc w:val="both"/>
        <w:rPr>
          <w:i/>
          <w:lang w:val="en-AU"/>
        </w:rPr>
      </w:pPr>
      <w:r w:rsidRPr="00F940A4">
        <w:rPr>
          <w:i/>
          <w:lang w:val="en-AU"/>
        </w:rPr>
        <w:t>Metabolism/biotransformation</w:t>
      </w:r>
    </w:p>
    <w:p w:rsidR="003B05DB" w:rsidRDefault="003B05DB" w:rsidP="003B05DB">
      <w:pPr>
        <w:jc w:val="both"/>
        <w:rPr>
          <w:lang w:val="en-AU"/>
        </w:rPr>
      </w:pPr>
      <w:r w:rsidRPr="00F940A4">
        <w:rPr>
          <w:iCs/>
          <w:lang w:val="en-AU"/>
        </w:rPr>
        <w:t>During the 24 hours following administration of a single [</w:t>
      </w:r>
      <w:r w:rsidRPr="00F940A4">
        <w:rPr>
          <w:iCs/>
          <w:vertAlign w:val="superscript"/>
          <w:lang w:val="en-AU"/>
        </w:rPr>
        <w:t>3</w:t>
      </w:r>
      <w:r w:rsidRPr="00F940A4">
        <w:rPr>
          <w:iCs/>
          <w:lang w:val="en-AU"/>
        </w:rPr>
        <w:t>H]-liraglutide dose to healthy subjects, the major component in plasma was intact liraglutide. Two minor plasma metabolites were detected (</w:t>
      </w:r>
      <w:r w:rsidRPr="00F940A4">
        <w:rPr>
          <w:iCs/>
          <w:lang w:val="en-AU"/>
        </w:rPr>
        <w:sym w:font="Symbol" w:char="F0A3"/>
      </w:r>
      <w:r w:rsidRPr="00F940A4">
        <w:rPr>
          <w:iCs/>
          <w:lang w:val="en-AU"/>
        </w:rPr>
        <w:t xml:space="preserve"> 9 % and </w:t>
      </w:r>
      <w:r w:rsidRPr="00F940A4">
        <w:rPr>
          <w:iCs/>
          <w:lang w:val="en-AU"/>
        </w:rPr>
        <w:sym w:font="Symbol" w:char="F0A3"/>
      </w:r>
      <w:r w:rsidRPr="00F940A4">
        <w:rPr>
          <w:iCs/>
          <w:lang w:val="en-AU"/>
        </w:rPr>
        <w:t xml:space="preserve"> 5% of total plasma radioactivity exposure). </w:t>
      </w:r>
    </w:p>
    <w:p w:rsidR="003B05DB" w:rsidRDefault="003B05DB" w:rsidP="003B05DB">
      <w:pPr>
        <w:jc w:val="both"/>
        <w:rPr>
          <w:lang w:val="en-AU"/>
        </w:rPr>
      </w:pPr>
    </w:p>
    <w:p w:rsidR="003B05DB" w:rsidRPr="00F940A4" w:rsidRDefault="003B05DB" w:rsidP="003B05DB">
      <w:pPr>
        <w:keepNext/>
        <w:jc w:val="both"/>
        <w:rPr>
          <w:b/>
          <w:lang w:val="en-AU"/>
        </w:rPr>
      </w:pPr>
      <w:r w:rsidRPr="00F940A4">
        <w:rPr>
          <w:i/>
          <w:iCs/>
          <w:lang w:val="en-AU"/>
        </w:rPr>
        <w:t>Elimination</w:t>
      </w:r>
    </w:p>
    <w:p w:rsidR="003B05DB" w:rsidRDefault="003B05DB" w:rsidP="003B05DB">
      <w:pPr>
        <w:jc w:val="both"/>
        <w:rPr>
          <w:bCs/>
          <w:iCs/>
          <w:lang w:val="en-AU"/>
        </w:rPr>
      </w:pPr>
      <w:r w:rsidRPr="00F940A4">
        <w:rPr>
          <w:iCs/>
          <w:lang w:val="en-AU"/>
        </w:rPr>
        <w:t>Liraglutide is endogenously metabolised in a similar manner to large proteins without a specific organ as major route of elimination. Following a [</w:t>
      </w:r>
      <w:r w:rsidRPr="00F940A4">
        <w:rPr>
          <w:iCs/>
          <w:vertAlign w:val="superscript"/>
          <w:lang w:val="en-AU"/>
        </w:rPr>
        <w:t>3</w:t>
      </w:r>
      <w:r w:rsidRPr="00F940A4">
        <w:rPr>
          <w:iCs/>
          <w:lang w:val="en-AU"/>
        </w:rPr>
        <w:t>H]-liraglutide dose, intact liraglutide was not detected in urine or faeces. Only a minor part of the administered radioactivity was excreted as liraglutide-related metabolites in urine or faeces (6% and 5%, respectively). The urine and faeces radioactivity was mainly excreted during the first 6-8 days, and corresponded to three minor metabolites.</w:t>
      </w:r>
    </w:p>
    <w:p w:rsidR="003B05DB" w:rsidRDefault="003B05DB" w:rsidP="003B05DB">
      <w:pPr>
        <w:jc w:val="both"/>
        <w:rPr>
          <w:bCs/>
          <w:iCs/>
          <w:lang w:val="en-AU"/>
        </w:rPr>
      </w:pPr>
    </w:p>
    <w:p w:rsidR="003B05DB" w:rsidRDefault="003B05DB" w:rsidP="003B05DB">
      <w:pPr>
        <w:jc w:val="both"/>
        <w:rPr>
          <w:bCs/>
          <w:iCs/>
          <w:lang w:val="en-AU"/>
        </w:rPr>
      </w:pPr>
      <w:r w:rsidRPr="00F940A4">
        <w:rPr>
          <w:lang w:val="en-AU"/>
        </w:rPr>
        <w:t>The apparent clearance following sub-cutaneous administration of liraglutide 3.0 mg is approximately 0.9-1.4 L/h with an elimination half-life of approximately 13 hours.</w:t>
      </w:r>
    </w:p>
    <w:p w:rsidR="003B05DB" w:rsidRDefault="003B05DB" w:rsidP="003B05DB">
      <w:pPr>
        <w:jc w:val="both"/>
        <w:rPr>
          <w:bCs/>
          <w:iCs/>
          <w:lang w:val="en-AU"/>
        </w:rPr>
      </w:pPr>
    </w:p>
    <w:p w:rsidR="003B05DB" w:rsidRPr="00F940A4" w:rsidRDefault="003B05DB" w:rsidP="003B05DB">
      <w:pPr>
        <w:keepNext/>
        <w:jc w:val="both"/>
        <w:rPr>
          <w:i/>
          <w:sz w:val="22"/>
          <w:szCs w:val="22"/>
          <w:lang w:val="en-AU"/>
        </w:rPr>
      </w:pPr>
      <w:r w:rsidRPr="00F940A4">
        <w:rPr>
          <w:i/>
          <w:lang w:val="en-AU"/>
        </w:rPr>
        <w:t>Special populations</w:t>
      </w:r>
    </w:p>
    <w:p w:rsidR="003B05DB" w:rsidRPr="00F940A4" w:rsidRDefault="003B05DB" w:rsidP="003B05DB">
      <w:pPr>
        <w:jc w:val="both"/>
        <w:rPr>
          <w:i/>
          <w:iCs/>
          <w:sz w:val="22"/>
          <w:szCs w:val="22"/>
          <w:lang w:val="en-AU"/>
        </w:rPr>
      </w:pPr>
      <w:r w:rsidRPr="003C79B9">
        <w:rPr>
          <w:iCs/>
          <w:szCs w:val="22"/>
          <w:u w:val="single"/>
          <w:lang w:val="en-AU"/>
        </w:rPr>
        <w:t>Elderly</w:t>
      </w:r>
    </w:p>
    <w:p w:rsidR="003B05DB" w:rsidRDefault="003B05DB" w:rsidP="003B05DB">
      <w:pPr>
        <w:jc w:val="both"/>
        <w:rPr>
          <w:noProof/>
          <w:lang w:val="en-AU"/>
        </w:rPr>
      </w:pPr>
      <w:r w:rsidRPr="00F940A4">
        <w:rPr>
          <w:lang w:val="en-AU"/>
        </w:rPr>
        <w:t xml:space="preserve">No dosage adjustment is required based on age. Age had no clinically relevant effect on the pharmacokinetics of </w:t>
      </w:r>
      <w:r w:rsidRPr="00F940A4">
        <w:rPr>
          <w:noProof/>
          <w:lang w:val="en-AU"/>
        </w:rPr>
        <w:t>liraglutide 3.0 mg</w:t>
      </w:r>
      <w:r w:rsidRPr="00F940A4">
        <w:rPr>
          <w:lang w:val="en-AU"/>
        </w:rPr>
        <w:t xml:space="preserve"> based on </w:t>
      </w:r>
      <w:r>
        <w:rPr>
          <w:lang w:val="en-AU"/>
        </w:rPr>
        <w:t>a</w:t>
      </w:r>
      <w:r w:rsidRPr="00F940A4">
        <w:rPr>
          <w:lang w:val="en-AU"/>
        </w:rPr>
        <w:t xml:space="preserve"> population pharmacokinetic analysis </w:t>
      </w:r>
      <w:r>
        <w:rPr>
          <w:lang w:val="en-AU"/>
        </w:rPr>
        <w:t>that included</w:t>
      </w:r>
      <w:r w:rsidRPr="00F940A4">
        <w:rPr>
          <w:lang w:val="en-AU"/>
        </w:rPr>
        <w:t xml:space="preserve"> overweight and obese subjects (18 to 82 years).</w:t>
      </w:r>
    </w:p>
    <w:p w:rsidR="003B05DB" w:rsidRDefault="003B05DB" w:rsidP="003B05DB">
      <w:pPr>
        <w:jc w:val="both"/>
        <w:rPr>
          <w:noProof/>
          <w:lang w:val="en-AU"/>
        </w:rPr>
      </w:pPr>
    </w:p>
    <w:p w:rsidR="00214AD3" w:rsidRDefault="00214AD3" w:rsidP="003B05DB">
      <w:pPr>
        <w:jc w:val="both"/>
        <w:rPr>
          <w:u w:val="single"/>
          <w:lang w:val="en-AU"/>
        </w:rPr>
      </w:pPr>
    </w:p>
    <w:p w:rsidR="00214AD3" w:rsidRDefault="00214AD3" w:rsidP="003B05DB">
      <w:pPr>
        <w:jc w:val="both"/>
        <w:rPr>
          <w:u w:val="single"/>
          <w:lang w:val="en-AU"/>
        </w:rPr>
      </w:pPr>
    </w:p>
    <w:p w:rsidR="003B05DB" w:rsidRPr="00F940A4" w:rsidRDefault="003B05DB" w:rsidP="003B05DB">
      <w:pPr>
        <w:jc w:val="both"/>
        <w:rPr>
          <w:u w:val="single"/>
          <w:lang w:val="en-AU"/>
        </w:rPr>
      </w:pPr>
      <w:r w:rsidRPr="00F940A4">
        <w:rPr>
          <w:u w:val="single"/>
          <w:lang w:val="en-AU"/>
        </w:rPr>
        <w:lastRenderedPageBreak/>
        <w:t>Gender</w:t>
      </w:r>
    </w:p>
    <w:p w:rsidR="003B05DB" w:rsidRDefault="003B05DB" w:rsidP="003B05DB">
      <w:pPr>
        <w:jc w:val="both"/>
        <w:rPr>
          <w:lang w:val="en-AU"/>
        </w:rPr>
      </w:pPr>
      <w:r w:rsidRPr="00F940A4">
        <w:rPr>
          <w:lang w:val="en-AU"/>
        </w:rPr>
        <w:t>Based on results of population pharmacokinetic analyses, females have 24% lower weight adjusted clearance of liraglutide 3.0 mg compared to males. Based on the exposure response data, no dosage adjustment is required based on gender.</w:t>
      </w:r>
    </w:p>
    <w:p w:rsidR="003B05DB" w:rsidRDefault="003B05DB" w:rsidP="003B05DB">
      <w:pPr>
        <w:jc w:val="both"/>
        <w:rPr>
          <w:lang w:val="en-AU"/>
        </w:rPr>
      </w:pPr>
    </w:p>
    <w:p w:rsidR="003B05DB" w:rsidRPr="00F940A4" w:rsidRDefault="003B05DB" w:rsidP="003B05DB">
      <w:pPr>
        <w:jc w:val="both"/>
        <w:rPr>
          <w:u w:val="single"/>
          <w:lang w:val="en-AU"/>
        </w:rPr>
      </w:pPr>
      <w:r w:rsidRPr="00F940A4">
        <w:rPr>
          <w:u w:val="single"/>
          <w:lang w:val="en-AU"/>
        </w:rPr>
        <w:t>Ethnicity</w:t>
      </w:r>
    </w:p>
    <w:p w:rsidR="003B05DB" w:rsidRDefault="003B05DB" w:rsidP="003B05DB">
      <w:pPr>
        <w:jc w:val="both"/>
        <w:rPr>
          <w:lang w:val="en-AU"/>
        </w:rPr>
      </w:pPr>
      <w:r w:rsidRPr="00F940A4">
        <w:rPr>
          <w:lang w:val="en-AU"/>
        </w:rPr>
        <w:t xml:space="preserve">No dosage adjustment is required based on ethnicity. Ethnicity had no clinically relevant effect on the pharmacokinetics of </w:t>
      </w:r>
      <w:r w:rsidRPr="00F940A4">
        <w:rPr>
          <w:noProof/>
          <w:lang w:val="en-AU"/>
        </w:rPr>
        <w:t>liraglutide 3.0 mg</w:t>
      </w:r>
      <w:r w:rsidRPr="00F940A4">
        <w:rPr>
          <w:lang w:val="en-AU"/>
        </w:rPr>
        <w:t xml:space="preserve"> based on the results of a population pharmacokinetic analysis which included overweight and obese patients.</w:t>
      </w:r>
    </w:p>
    <w:p w:rsidR="003B05DB" w:rsidRDefault="003B05DB" w:rsidP="003B05DB">
      <w:pPr>
        <w:jc w:val="both"/>
        <w:rPr>
          <w:lang w:val="en-AU"/>
        </w:rPr>
      </w:pPr>
    </w:p>
    <w:p w:rsidR="003B05DB" w:rsidRPr="00F940A4" w:rsidRDefault="003B05DB" w:rsidP="003B05DB">
      <w:pPr>
        <w:jc w:val="both"/>
        <w:rPr>
          <w:u w:val="single"/>
          <w:lang w:val="en-AU"/>
        </w:rPr>
      </w:pPr>
      <w:r w:rsidRPr="00F940A4">
        <w:rPr>
          <w:u w:val="single"/>
          <w:lang w:val="en-AU"/>
        </w:rPr>
        <w:t>Body weight</w:t>
      </w:r>
    </w:p>
    <w:p w:rsidR="003B05DB" w:rsidRDefault="003B05DB" w:rsidP="003B05DB">
      <w:pPr>
        <w:jc w:val="both"/>
        <w:rPr>
          <w:lang w:val="en-AU"/>
        </w:rPr>
      </w:pPr>
      <w:r w:rsidRPr="00F940A4">
        <w:rPr>
          <w:lang w:val="en-AU"/>
        </w:rPr>
        <w:t>The exposure of liraglutide decreases with an increase in baseline body weight. The 3</w:t>
      </w:r>
      <w:r>
        <w:rPr>
          <w:lang w:val="en-AU"/>
        </w:rPr>
        <w:t>.0</w:t>
      </w:r>
      <w:r w:rsidRPr="00F940A4">
        <w:rPr>
          <w:lang w:val="en-AU"/>
        </w:rPr>
        <w:t xml:space="preserve"> mg daily dose of liraglutide provided adequate systemic exposure over the body weight range of 60-234 kg evaluated for exposure response in the clinical trial. Liraglutide exposure was not studied in subjects with body weight &gt;234 kg. </w:t>
      </w:r>
    </w:p>
    <w:p w:rsidR="003B05DB" w:rsidRDefault="003B05DB" w:rsidP="003B05DB">
      <w:pPr>
        <w:jc w:val="both"/>
        <w:rPr>
          <w:lang w:val="en-AU"/>
        </w:rPr>
      </w:pPr>
    </w:p>
    <w:p w:rsidR="003B05DB" w:rsidRPr="00F940A4" w:rsidRDefault="003B05DB" w:rsidP="003B05DB">
      <w:pPr>
        <w:jc w:val="both"/>
        <w:rPr>
          <w:u w:val="single"/>
          <w:lang w:val="en-AU"/>
        </w:rPr>
      </w:pPr>
      <w:r w:rsidRPr="00F940A4">
        <w:rPr>
          <w:u w:val="single"/>
          <w:lang w:val="en-AU"/>
        </w:rPr>
        <w:t>Hepatic impairment</w:t>
      </w:r>
    </w:p>
    <w:p w:rsidR="003B05DB" w:rsidRDefault="003B05DB" w:rsidP="003B05DB">
      <w:pPr>
        <w:jc w:val="both"/>
        <w:rPr>
          <w:lang w:val="en-AU"/>
        </w:rPr>
      </w:pPr>
      <w:r w:rsidRPr="00F940A4">
        <w:rPr>
          <w:lang w:val="en-AU"/>
        </w:rPr>
        <w:t xml:space="preserve">The pharmacokinetics of liraglutide </w:t>
      </w:r>
      <w:r>
        <w:rPr>
          <w:lang w:val="en-AU"/>
        </w:rPr>
        <w:t>were</w:t>
      </w:r>
      <w:r w:rsidRPr="00F940A4">
        <w:rPr>
          <w:lang w:val="en-AU"/>
        </w:rPr>
        <w:t xml:space="preserve"> evaluated in subjects with varying degree</w:t>
      </w:r>
      <w:r>
        <w:rPr>
          <w:lang w:val="en-AU"/>
        </w:rPr>
        <w:t>s</w:t>
      </w:r>
      <w:r w:rsidRPr="00F940A4">
        <w:rPr>
          <w:lang w:val="en-AU"/>
        </w:rPr>
        <w:t xml:space="preserve"> of hepatic impairment in a single-dose trial (0.75 mg). </w:t>
      </w:r>
      <w:r w:rsidRPr="00F940A4">
        <w:rPr>
          <w:lang w:val="en-AU" w:eastAsia="en-AU"/>
        </w:rPr>
        <w:t>Liraglutide exposure was decreased by 23% and 13% in subjects with mild or moderate hepatic impairment respectively, compared to healthy subjects. Exposure was significantly lower (44%) in subjects with severe hepatic impairment (Child Pugh score</w:t>
      </w:r>
      <w:r>
        <w:rPr>
          <w:lang w:val="en-AU" w:eastAsia="en-AU"/>
        </w:rPr>
        <w:t xml:space="preserve"> </w:t>
      </w:r>
      <w:r w:rsidRPr="00F940A4">
        <w:rPr>
          <w:lang w:val="en-AU" w:eastAsia="en-AU"/>
        </w:rPr>
        <w:t>&gt;9).</w:t>
      </w:r>
    </w:p>
    <w:p w:rsidR="003B05DB" w:rsidRDefault="003B05DB" w:rsidP="003B05DB">
      <w:pPr>
        <w:jc w:val="both"/>
        <w:rPr>
          <w:lang w:val="en-AU"/>
        </w:rPr>
      </w:pPr>
    </w:p>
    <w:p w:rsidR="003B05DB" w:rsidRPr="00F940A4" w:rsidRDefault="003B05DB" w:rsidP="003B05DB">
      <w:pPr>
        <w:jc w:val="both"/>
        <w:rPr>
          <w:u w:val="single"/>
          <w:lang w:val="en-AU"/>
        </w:rPr>
      </w:pPr>
      <w:r w:rsidRPr="00F940A4">
        <w:rPr>
          <w:u w:val="single"/>
          <w:lang w:val="en-AU"/>
        </w:rPr>
        <w:t>Renal impairment</w:t>
      </w:r>
    </w:p>
    <w:p w:rsidR="003B05DB" w:rsidRDefault="003B05DB" w:rsidP="003B05DB">
      <w:pPr>
        <w:jc w:val="both"/>
        <w:rPr>
          <w:lang w:val="en-AU"/>
        </w:rPr>
      </w:pPr>
      <w:r w:rsidRPr="00F940A4">
        <w:rPr>
          <w:lang w:val="en-AU" w:eastAsia="en-AU"/>
        </w:rPr>
        <w:t>Liraglutide exposure was mildly reduced in subjects with renal impairment compared to individuals with normal renal function in a single-dose trial (0.75 mg). Liraglutide exposure was lowered by 33%, 14%, 27% and 26%, in subjects with mild (creatinine clearance, CrCL 50-80</w:t>
      </w:r>
      <w:r>
        <w:rPr>
          <w:lang w:val="en-AU" w:eastAsia="en-AU"/>
        </w:rPr>
        <w:t xml:space="preserve"> </w:t>
      </w:r>
      <w:r w:rsidRPr="00F940A4">
        <w:rPr>
          <w:lang w:val="en-AU" w:eastAsia="en-AU"/>
        </w:rPr>
        <w:t>mL/min), moderate (CrCL 30-50</w:t>
      </w:r>
      <w:r>
        <w:rPr>
          <w:lang w:val="en-AU" w:eastAsia="en-AU"/>
        </w:rPr>
        <w:t xml:space="preserve"> </w:t>
      </w:r>
      <w:r w:rsidRPr="00F940A4">
        <w:rPr>
          <w:lang w:val="en-AU" w:eastAsia="en-AU"/>
        </w:rPr>
        <w:t>mL/min), and severe (CrCL &lt;30</w:t>
      </w:r>
      <w:r>
        <w:rPr>
          <w:lang w:val="en-AU" w:eastAsia="en-AU"/>
        </w:rPr>
        <w:t xml:space="preserve"> </w:t>
      </w:r>
      <w:r w:rsidRPr="00F940A4">
        <w:rPr>
          <w:lang w:val="en-AU" w:eastAsia="en-AU"/>
        </w:rPr>
        <w:t>mL/min) renal impairment and in end</w:t>
      </w:r>
      <w:r w:rsidRPr="00F940A4">
        <w:rPr>
          <w:lang w:val="en-AU" w:eastAsia="en-AU"/>
        </w:rPr>
        <w:noBreakHyphen/>
        <w:t>stage renal disease requiring dialysis, respectively.</w:t>
      </w:r>
    </w:p>
    <w:p w:rsidR="003B05DB" w:rsidRDefault="003B05DB" w:rsidP="003B05DB">
      <w:pPr>
        <w:jc w:val="both"/>
        <w:rPr>
          <w:lang w:val="en-AU"/>
        </w:rPr>
      </w:pPr>
    </w:p>
    <w:p w:rsidR="003B05DB" w:rsidRPr="00F940A4" w:rsidRDefault="003B05DB" w:rsidP="003B05DB">
      <w:pPr>
        <w:jc w:val="both"/>
        <w:rPr>
          <w:bCs/>
          <w:iCs/>
          <w:sz w:val="22"/>
          <w:szCs w:val="22"/>
          <w:u w:val="single"/>
          <w:lang w:val="en-AU"/>
        </w:rPr>
      </w:pPr>
      <w:r w:rsidRPr="00F940A4">
        <w:rPr>
          <w:u w:val="single"/>
          <w:lang w:val="en-AU"/>
        </w:rPr>
        <w:t>Paediatrics</w:t>
      </w:r>
    </w:p>
    <w:p w:rsidR="003B05DB" w:rsidRDefault="003B05DB" w:rsidP="003B05DB">
      <w:pPr>
        <w:jc w:val="both"/>
        <w:rPr>
          <w:sz w:val="22"/>
          <w:szCs w:val="22"/>
          <w:lang w:val="en-AU"/>
        </w:rPr>
      </w:pPr>
      <w:r w:rsidRPr="00F940A4">
        <w:rPr>
          <w:noProof/>
          <w:lang w:val="en-AU"/>
        </w:rPr>
        <w:t>SAXENDA</w:t>
      </w:r>
      <w:r w:rsidRPr="00F940A4">
        <w:rPr>
          <w:lang w:val="en-AU"/>
        </w:rPr>
        <w:t xml:space="preserve"> has not been studied in paediatric subjects</w:t>
      </w:r>
      <w:r w:rsidRPr="00F940A4">
        <w:rPr>
          <w:sz w:val="22"/>
          <w:szCs w:val="22"/>
          <w:lang w:val="en-AU"/>
        </w:rPr>
        <w:t>.</w:t>
      </w:r>
    </w:p>
    <w:p w:rsidR="003B05DB" w:rsidRDefault="003B05DB" w:rsidP="003B05DB">
      <w:pPr>
        <w:jc w:val="both"/>
        <w:rPr>
          <w:sz w:val="22"/>
          <w:szCs w:val="22"/>
          <w:lang w:val="en-AU"/>
        </w:rPr>
      </w:pPr>
    </w:p>
    <w:p w:rsidR="003B05DB" w:rsidRPr="00F11A86" w:rsidRDefault="003B05DB" w:rsidP="003B05DB">
      <w:pPr>
        <w:jc w:val="both"/>
        <w:rPr>
          <w:b/>
          <w:sz w:val="22"/>
          <w:szCs w:val="22"/>
          <w:lang w:val="en-AU"/>
        </w:rPr>
      </w:pPr>
      <w:bookmarkStart w:id="6" w:name="_Toc464639447"/>
      <w:r w:rsidRPr="00F11A86">
        <w:rPr>
          <w:b/>
        </w:rPr>
        <w:t>CLINICAL</w:t>
      </w:r>
      <w:r w:rsidRPr="00F11A86">
        <w:rPr>
          <w:b/>
          <w:sz w:val="22"/>
          <w:szCs w:val="22"/>
        </w:rPr>
        <w:t xml:space="preserve"> </w:t>
      </w:r>
      <w:r w:rsidRPr="00F11A86">
        <w:rPr>
          <w:b/>
        </w:rPr>
        <w:t>TRIALS</w:t>
      </w:r>
      <w:bookmarkEnd w:id="6"/>
    </w:p>
    <w:p w:rsidR="003B05DB" w:rsidRDefault="003B05DB" w:rsidP="003B05DB">
      <w:pPr>
        <w:jc w:val="both"/>
        <w:rPr>
          <w:sz w:val="22"/>
          <w:szCs w:val="22"/>
          <w:lang w:val="en-AU"/>
        </w:rPr>
      </w:pPr>
    </w:p>
    <w:p w:rsidR="003B05DB" w:rsidRDefault="003B05DB" w:rsidP="003B05DB">
      <w:pPr>
        <w:jc w:val="both"/>
        <w:rPr>
          <w:noProof/>
          <w:lang w:val="en-AU"/>
        </w:rPr>
      </w:pPr>
      <w:r w:rsidRPr="00F940A4">
        <w:rPr>
          <w:lang w:val="en-AU" w:eastAsia="en-AU"/>
        </w:rPr>
        <w:t xml:space="preserve">The safety and efficacy of SAXENDA for weight management in conjunction with reduced caloric intake and increased physical activity were studied in four phase 3 randomised, double-blind, placebo-controlled trials which included a total of 5,358 patients. </w:t>
      </w:r>
    </w:p>
    <w:p w:rsidR="003B05DB" w:rsidRDefault="003B05DB" w:rsidP="003B05DB">
      <w:pPr>
        <w:jc w:val="both"/>
        <w:rPr>
          <w:noProof/>
          <w:lang w:val="en-AU"/>
        </w:rPr>
      </w:pPr>
    </w:p>
    <w:p w:rsidR="003B05DB" w:rsidRDefault="003B05DB" w:rsidP="003B05DB">
      <w:pPr>
        <w:jc w:val="both"/>
        <w:rPr>
          <w:szCs w:val="20"/>
        </w:rPr>
      </w:pPr>
      <w:r w:rsidRPr="00103875">
        <w:rPr>
          <w:bCs/>
          <w:spacing w:val="-1"/>
          <w:szCs w:val="20"/>
        </w:rPr>
        <w:t xml:space="preserve">Long term safety data for SAXENDA </w:t>
      </w:r>
      <w:r>
        <w:rPr>
          <w:bCs/>
          <w:spacing w:val="-1"/>
          <w:szCs w:val="20"/>
        </w:rPr>
        <w:t>are</w:t>
      </w:r>
      <w:r w:rsidRPr="00103875">
        <w:rPr>
          <w:bCs/>
          <w:spacing w:val="-1"/>
          <w:szCs w:val="20"/>
        </w:rPr>
        <w:t xml:space="preserve"> limited. In the SAXENDA clinical development program, about </w:t>
      </w:r>
      <w:r w:rsidRPr="00103875">
        <w:rPr>
          <w:szCs w:val="20"/>
        </w:rPr>
        <w:t xml:space="preserve">900 patients had been exposed to </w:t>
      </w:r>
      <w:r w:rsidRPr="00103875">
        <w:rPr>
          <w:bCs/>
          <w:spacing w:val="-1"/>
          <w:szCs w:val="20"/>
        </w:rPr>
        <w:t>SAXENDA</w:t>
      </w:r>
      <w:r w:rsidRPr="00103875">
        <w:rPr>
          <w:szCs w:val="20"/>
        </w:rPr>
        <w:t xml:space="preserve"> (liraglutide 3.0 mg) for at least 24 months; about 700 patients had been exposed to </w:t>
      </w:r>
      <w:r w:rsidRPr="00103875">
        <w:rPr>
          <w:bCs/>
          <w:spacing w:val="-1"/>
          <w:szCs w:val="20"/>
        </w:rPr>
        <w:t>SAXENDA</w:t>
      </w:r>
      <w:r w:rsidRPr="00103875">
        <w:rPr>
          <w:szCs w:val="20"/>
        </w:rPr>
        <w:t xml:space="preserve"> (liraglutide 3.0 mg) for at least 36 months. </w:t>
      </w:r>
    </w:p>
    <w:p w:rsidR="003B05DB" w:rsidRDefault="003B05DB" w:rsidP="003B05DB">
      <w:pPr>
        <w:jc w:val="both"/>
        <w:rPr>
          <w:szCs w:val="20"/>
        </w:rPr>
      </w:pPr>
    </w:p>
    <w:p w:rsidR="003B05DB" w:rsidRPr="003B05DB" w:rsidRDefault="003B05DB" w:rsidP="003B05DB">
      <w:pPr>
        <w:pStyle w:val="ListParagraph"/>
        <w:numPr>
          <w:ilvl w:val="0"/>
          <w:numId w:val="39"/>
        </w:numPr>
        <w:jc w:val="both"/>
        <w:rPr>
          <w:szCs w:val="20"/>
        </w:rPr>
      </w:pPr>
      <w:r w:rsidRPr="003B05DB">
        <w:rPr>
          <w:b/>
          <w:lang w:val="en-AU" w:eastAsia="en-AU"/>
        </w:rPr>
        <w:t>SCALE-Obesity and Pre-diabetes (NN8022-1839):</w:t>
      </w:r>
      <w:r w:rsidRPr="003B05DB">
        <w:rPr>
          <w:lang w:val="en-AU" w:eastAsia="en-AU"/>
        </w:rPr>
        <w:t xml:space="preserve"> In this trial, a total of 3,731 patients with obesity (BMI ≥30 kg/m</w:t>
      </w:r>
      <w:r w:rsidRPr="003B05DB">
        <w:rPr>
          <w:vertAlign w:val="superscript"/>
          <w:lang w:val="en-AU" w:eastAsia="en-AU"/>
        </w:rPr>
        <w:t>2</w:t>
      </w:r>
      <w:r w:rsidRPr="003B05DB">
        <w:rPr>
          <w:lang w:val="en-AU" w:eastAsia="en-AU"/>
        </w:rPr>
        <w:t>), or overweight (BMI ≥27 kg/m</w:t>
      </w:r>
      <w:r w:rsidRPr="003B05DB">
        <w:rPr>
          <w:vertAlign w:val="superscript"/>
          <w:lang w:val="en-AU" w:eastAsia="en-AU"/>
        </w:rPr>
        <w:t>2</w:t>
      </w:r>
      <w:r w:rsidRPr="003B05DB">
        <w:rPr>
          <w:lang w:val="en-AU" w:eastAsia="en-AU"/>
        </w:rPr>
        <w:t>) with dyslipidaemia and/or hypertension, were stratified according to pre-diabetes status at screening and BMI at baseline (≥ 30 kg/m</w:t>
      </w:r>
      <w:r w:rsidRPr="003B05DB">
        <w:rPr>
          <w:vertAlign w:val="superscript"/>
          <w:lang w:val="en-AU" w:eastAsia="en-AU"/>
        </w:rPr>
        <w:t>2</w:t>
      </w:r>
      <w:r w:rsidRPr="003B05DB">
        <w:rPr>
          <w:lang w:val="en-AU" w:eastAsia="en-AU"/>
        </w:rPr>
        <w:t xml:space="preserve"> or &lt; 30 kg/m</w:t>
      </w:r>
      <w:r w:rsidRPr="003B05DB">
        <w:rPr>
          <w:vertAlign w:val="superscript"/>
          <w:lang w:val="en-AU" w:eastAsia="en-AU"/>
        </w:rPr>
        <w:t>2</w:t>
      </w:r>
      <w:r w:rsidRPr="003B05DB">
        <w:rPr>
          <w:lang w:val="en-AU" w:eastAsia="en-AU"/>
        </w:rPr>
        <w:t xml:space="preserve">). All 3,731 patients were randomised to 56 weeks of treatment and the 2,254 patients with pre-diabetes at screening were randomised to 160 weeks of treatment followed by a 12-week off medication/placebo observational follow-up period. Lifestyle intervention in the form </w:t>
      </w:r>
      <w:r w:rsidRPr="003B05DB">
        <w:rPr>
          <w:lang w:val="en-AU" w:eastAsia="en-AU"/>
        </w:rPr>
        <w:lastRenderedPageBreak/>
        <w:t>of an energy-restricted diet and exercise counselling was background therapy for all patients. The 56 week part of this trial assessed body weight loss in all the 3,731 randomised patients (2,590 completers). The 160 week part of this trial assessed time to onset of type 2 diabetes in the 2,254 randomised patients with pre-diabetes (1,128 completers).</w:t>
      </w:r>
    </w:p>
    <w:p w:rsidR="003B05DB" w:rsidRPr="003B05DB" w:rsidRDefault="003B05DB" w:rsidP="003B05DB">
      <w:pPr>
        <w:pStyle w:val="ListParagraph"/>
        <w:numPr>
          <w:ilvl w:val="0"/>
          <w:numId w:val="39"/>
        </w:numPr>
        <w:jc w:val="both"/>
        <w:rPr>
          <w:szCs w:val="20"/>
        </w:rPr>
      </w:pPr>
      <w:r w:rsidRPr="00F940A4">
        <w:rPr>
          <w:b/>
          <w:lang w:val="en-AU" w:eastAsia="en-AU"/>
        </w:rPr>
        <w:t>SCALE-</w:t>
      </w:r>
      <w:r w:rsidRPr="00F940A4">
        <w:rPr>
          <w:b/>
          <w:lang w:val="en-AU"/>
        </w:rPr>
        <w:t>Diabetes</w:t>
      </w:r>
      <w:r w:rsidRPr="00F940A4">
        <w:rPr>
          <w:b/>
          <w:lang w:val="en-AU" w:eastAsia="en-AU"/>
        </w:rPr>
        <w:t xml:space="preserve"> (NN8022-1922):</w:t>
      </w:r>
      <w:r w:rsidRPr="00F940A4">
        <w:rPr>
          <w:lang w:val="en-AU" w:eastAsia="en-AU"/>
        </w:rPr>
        <w:t xml:space="preserve"> A 56-week trial assessing body weight loss in 846 randomised (628 completers) obese and overweight patients with insufficiently controlled type 2 diabetes (HbA</w:t>
      </w:r>
      <w:r w:rsidRPr="00F940A4">
        <w:rPr>
          <w:vertAlign w:val="subscript"/>
          <w:lang w:val="en-AU" w:eastAsia="en-AU"/>
        </w:rPr>
        <w:t xml:space="preserve">1c </w:t>
      </w:r>
      <w:r w:rsidRPr="00F940A4">
        <w:rPr>
          <w:lang w:val="en-AU" w:eastAsia="en-AU"/>
        </w:rPr>
        <w:t xml:space="preserve">range 7-10%). The background treatment at trial start was either diet and exercise alone, metformin, a sulfonylurea, a glitazone as single agents or any combination hereof. </w:t>
      </w:r>
    </w:p>
    <w:p w:rsidR="003B05DB" w:rsidRPr="003B05DB" w:rsidRDefault="003B05DB" w:rsidP="003B05DB">
      <w:pPr>
        <w:pStyle w:val="ListParagraph"/>
        <w:numPr>
          <w:ilvl w:val="0"/>
          <w:numId w:val="39"/>
        </w:numPr>
        <w:jc w:val="both"/>
        <w:rPr>
          <w:szCs w:val="20"/>
        </w:rPr>
      </w:pPr>
      <w:r w:rsidRPr="00F940A4">
        <w:rPr>
          <w:b/>
          <w:lang w:val="en-AU" w:eastAsia="en-AU"/>
        </w:rPr>
        <w:t>SCALE-Sleep Apnoea (NN8022-3970):</w:t>
      </w:r>
      <w:r w:rsidRPr="00F940A4">
        <w:rPr>
          <w:lang w:val="en-AU" w:eastAsia="en-AU"/>
        </w:rPr>
        <w:t xml:space="preserve"> </w:t>
      </w:r>
      <w:r>
        <w:rPr>
          <w:lang w:val="en-AU" w:eastAsia="en-AU"/>
        </w:rPr>
        <w:t xml:space="preserve">A </w:t>
      </w:r>
      <w:r w:rsidRPr="00F940A4">
        <w:rPr>
          <w:lang w:val="en-AU" w:eastAsia="en-AU"/>
        </w:rPr>
        <w:t xml:space="preserve">32 week trial assessing sleep apnoea severity and body weight loss in 359 randomised (276 completers) obese patients with moderate or severe obstructive sleep apnoea (OSA). </w:t>
      </w:r>
    </w:p>
    <w:p w:rsidR="003B05DB" w:rsidRPr="003B05DB" w:rsidRDefault="003B05DB" w:rsidP="003B05DB">
      <w:pPr>
        <w:pStyle w:val="ListParagraph"/>
        <w:numPr>
          <w:ilvl w:val="0"/>
          <w:numId w:val="39"/>
        </w:numPr>
        <w:jc w:val="both"/>
        <w:rPr>
          <w:szCs w:val="20"/>
        </w:rPr>
      </w:pPr>
      <w:r w:rsidRPr="00F940A4">
        <w:rPr>
          <w:b/>
          <w:lang w:val="en-AU" w:eastAsia="en-AU"/>
        </w:rPr>
        <w:t>SCALE-Maintenance (NN8022-1923):</w:t>
      </w:r>
      <w:r w:rsidRPr="00F940A4">
        <w:rPr>
          <w:lang w:val="en-AU" w:eastAsia="en-AU"/>
        </w:rPr>
        <w:t xml:space="preserve"> A 56-week trial assessing body weight maintenance and weight loss in 422 randomised (305 completers) obese or overweight patients, with hypertension or dyslipidaemia, after a preceding ≥5% weight loss induced by a low caloric diet. </w:t>
      </w:r>
    </w:p>
    <w:p w:rsidR="003B05DB" w:rsidRDefault="003B05DB" w:rsidP="003B05DB">
      <w:pPr>
        <w:jc w:val="both"/>
        <w:rPr>
          <w:szCs w:val="20"/>
        </w:rPr>
      </w:pPr>
    </w:p>
    <w:p w:rsidR="003B05DB" w:rsidRDefault="003B05DB" w:rsidP="003B05DB">
      <w:pPr>
        <w:jc w:val="both"/>
        <w:rPr>
          <w:szCs w:val="20"/>
        </w:rPr>
      </w:pPr>
      <w:r w:rsidRPr="00F940A4">
        <w:rPr>
          <w:lang w:val="en-AU" w:eastAsia="en-AU"/>
        </w:rPr>
        <w:t>In all studies, patients received one-on-one instruction for a reduced calorie diet (approximately 500 kcal/day (2090 kJ/day) deficit) and exercise counselling (recommended increase in physical activity of minimum 150 mins/week) that began with the first dose of study medication or placebo and continued throughout the trial.</w:t>
      </w:r>
    </w:p>
    <w:p w:rsidR="003B05DB" w:rsidRDefault="003B05DB" w:rsidP="003B05DB">
      <w:pPr>
        <w:jc w:val="both"/>
        <w:rPr>
          <w:szCs w:val="20"/>
        </w:rPr>
      </w:pPr>
    </w:p>
    <w:p w:rsidR="003B05DB" w:rsidRPr="00F940A4" w:rsidRDefault="003B05DB" w:rsidP="003B05DB">
      <w:pPr>
        <w:autoSpaceDE w:val="0"/>
        <w:autoSpaceDN w:val="0"/>
        <w:adjustRightInd w:val="0"/>
        <w:rPr>
          <w:i/>
          <w:u w:val="single"/>
          <w:lang w:val="en-AU" w:eastAsia="en-AU"/>
        </w:rPr>
      </w:pPr>
      <w:r w:rsidRPr="00F940A4">
        <w:rPr>
          <w:i/>
          <w:u w:val="single"/>
          <w:lang w:val="en-AU" w:eastAsia="en-AU"/>
        </w:rPr>
        <w:t>Body weight</w:t>
      </w:r>
    </w:p>
    <w:p w:rsidR="003B05DB" w:rsidRPr="00F940A4" w:rsidRDefault="003B05DB" w:rsidP="003B05DB">
      <w:pPr>
        <w:tabs>
          <w:tab w:val="left" w:pos="7264"/>
        </w:tabs>
        <w:autoSpaceDE w:val="0"/>
        <w:autoSpaceDN w:val="0"/>
        <w:adjustRightInd w:val="0"/>
        <w:jc w:val="both"/>
        <w:rPr>
          <w:lang w:val="en-AU" w:eastAsia="en-AU"/>
        </w:rPr>
      </w:pPr>
      <w:r w:rsidRPr="00F940A4">
        <w:rPr>
          <w:lang w:val="en-AU" w:eastAsia="en-AU"/>
        </w:rPr>
        <w:t>Superior weight loss was achieved with SAXENDA compared to placebo in obese/overweight patients in all groups studied including those with and without pre-diabetes, type 2 diabetes and moderate or severe obstructive sleep apnoea. Across the trial populations, greater proportions of the patients achieved ≥5% and &gt;10% weight loss with SAXENDA than with placebo (</w:t>
      </w:r>
      <w:r>
        <w:rPr>
          <w:lang w:val="en-AU" w:eastAsia="en-AU"/>
        </w:rPr>
        <w:t>T</w:t>
      </w:r>
      <w:r w:rsidRPr="00F940A4">
        <w:rPr>
          <w:lang w:val="en-AU" w:eastAsia="en-AU"/>
        </w:rPr>
        <w:t>ables 1-</w:t>
      </w:r>
      <w:r w:rsidR="00F11A86">
        <w:rPr>
          <w:lang w:val="en-AU" w:eastAsia="en-AU"/>
        </w:rPr>
        <w:t>3</w:t>
      </w:r>
      <w:r w:rsidRPr="00F940A4">
        <w:rPr>
          <w:lang w:val="en-AU" w:eastAsia="en-AU"/>
        </w:rPr>
        <w:t>). A significant body weight reduction was also observed in SCALE-Maintenance, where patients had achieved a mean weight loss of 6.0% on a low-calorie diet during a 12 week run-in period prior to treatment with SAXENDA. In SCALE-Maintenance, more patients maintained the weight loss achieved prior to treatment initiation with SAXENDA than with placebo (81.4% and 48.9%, respectively). Specific data on weight loss</w:t>
      </w:r>
      <w:r w:rsidR="00762F5F">
        <w:rPr>
          <w:lang w:val="en-AU" w:eastAsia="en-AU"/>
        </w:rPr>
        <w:t xml:space="preserve"> </w:t>
      </w:r>
      <w:r w:rsidRPr="00F940A4">
        <w:rPr>
          <w:lang w:val="en-AU" w:eastAsia="en-AU"/>
        </w:rPr>
        <w:t>responders</w:t>
      </w:r>
      <w:r w:rsidR="00FE019E">
        <w:rPr>
          <w:lang w:val="en-AU" w:eastAsia="en-AU"/>
        </w:rPr>
        <w:t xml:space="preserve"> and</w:t>
      </w:r>
      <w:r w:rsidRPr="00F940A4">
        <w:rPr>
          <w:lang w:val="en-AU" w:eastAsia="en-AU"/>
        </w:rPr>
        <w:t xml:space="preserve"> time course for all 4 trials are presented in </w:t>
      </w:r>
      <w:r>
        <w:rPr>
          <w:lang w:val="en-AU" w:eastAsia="en-AU"/>
        </w:rPr>
        <w:t>T</w:t>
      </w:r>
      <w:r w:rsidRPr="00F940A4">
        <w:rPr>
          <w:lang w:val="en-AU" w:eastAsia="en-AU"/>
        </w:rPr>
        <w:t>ables 1-</w:t>
      </w:r>
      <w:r w:rsidR="00F11A86">
        <w:rPr>
          <w:lang w:val="en-AU" w:eastAsia="en-AU"/>
        </w:rPr>
        <w:t>4</w:t>
      </w:r>
      <w:r w:rsidR="00F11A86" w:rsidRPr="00F940A4">
        <w:rPr>
          <w:lang w:val="en-AU" w:eastAsia="en-AU"/>
        </w:rPr>
        <w:t xml:space="preserve"> </w:t>
      </w:r>
      <w:r w:rsidRPr="00F940A4">
        <w:rPr>
          <w:lang w:val="en-AU" w:eastAsia="en-AU"/>
        </w:rPr>
        <w:t xml:space="preserve">and </w:t>
      </w:r>
      <w:r>
        <w:rPr>
          <w:lang w:val="en-AU" w:eastAsia="en-AU"/>
        </w:rPr>
        <w:t>F</w:t>
      </w:r>
      <w:r w:rsidRPr="00F940A4">
        <w:rPr>
          <w:lang w:val="en-AU" w:eastAsia="en-AU"/>
        </w:rPr>
        <w:t xml:space="preserve">igures </w:t>
      </w:r>
      <w:r w:rsidR="00411739">
        <w:rPr>
          <w:lang w:val="en-AU" w:eastAsia="en-AU"/>
        </w:rPr>
        <w:t>2</w:t>
      </w:r>
      <w:r w:rsidR="00FE019E">
        <w:rPr>
          <w:lang w:val="en-AU" w:eastAsia="en-AU"/>
        </w:rPr>
        <w:t>-3</w:t>
      </w:r>
      <w:r w:rsidRPr="00F940A4">
        <w:rPr>
          <w:lang w:val="en-AU" w:eastAsia="en-AU"/>
        </w:rPr>
        <w:t>.</w:t>
      </w:r>
    </w:p>
    <w:p w:rsidR="003B05DB" w:rsidRDefault="003B05DB" w:rsidP="003B05DB">
      <w:pPr>
        <w:jc w:val="both"/>
        <w:rPr>
          <w:szCs w:val="20"/>
        </w:rPr>
      </w:pPr>
    </w:p>
    <w:p w:rsidR="003B05DB" w:rsidRDefault="003B05DB" w:rsidP="003B05DB">
      <w:pPr>
        <w:jc w:val="both"/>
        <w:rPr>
          <w:noProof/>
          <w:lang w:val="en-AU"/>
        </w:rPr>
      </w:pPr>
      <w:r w:rsidRPr="00925912">
        <w:rPr>
          <w:lang w:eastAsia="en-AU"/>
        </w:rPr>
        <w:t xml:space="preserve">In </w:t>
      </w:r>
      <w:r w:rsidRPr="00F940A4">
        <w:rPr>
          <w:lang w:val="en-AU" w:eastAsia="en-AU"/>
        </w:rPr>
        <w:t>SCALE-Obesity and Pre-diabetes</w:t>
      </w:r>
      <w:r w:rsidRPr="00925912">
        <w:rPr>
          <w:lang w:eastAsia="en-AU"/>
        </w:rPr>
        <w:t>, patients treated with SAXENDA achieved a greater weight loss, as compared to placebo. The weight loss occurred mainly in the first year</w:t>
      </w:r>
      <w:r>
        <w:rPr>
          <w:lang w:eastAsia="en-AU"/>
        </w:rPr>
        <w:t>.T</w:t>
      </w:r>
      <w:r w:rsidRPr="00925912">
        <w:rPr>
          <w:lang w:val="da-DK" w:eastAsia="en-AU"/>
        </w:rPr>
        <w:t>he mean percent change in body weight and the proportions of patients achieving greater than or equal to 5% and greater than 10% weight loss from baseline to week 160 were also significant compared to placebo</w:t>
      </w:r>
      <w:r>
        <w:rPr>
          <w:lang w:val="da-DK" w:eastAsia="en-AU"/>
        </w:rPr>
        <w:t xml:space="preserve"> in this trial</w:t>
      </w:r>
      <w:r w:rsidRPr="00925912">
        <w:rPr>
          <w:lang w:val="da-DK" w:eastAsia="en-AU"/>
        </w:rPr>
        <w:t xml:space="preserve"> </w:t>
      </w:r>
      <w:r>
        <w:rPr>
          <w:lang w:val="da-DK" w:eastAsia="en-AU"/>
        </w:rPr>
        <w:t xml:space="preserve">(Table </w:t>
      </w:r>
      <w:r w:rsidR="00F11A86">
        <w:rPr>
          <w:lang w:val="da-DK" w:eastAsia="en-AU"/>
        </w:rPr>
        <w:t>1</w:t>
      </w:r>
      <w:r>
        <w:rPr>
          <w:lang w:val="da-DK" w:eastAsia="en-AU"/>
        </w:rPr>
        <w:t>)</w:t>
      </w:r>
    </w:p>
    <w:p w:rsidR="003B05DB" w:rsidRDefault="003B05DB" w:rsidP="003B05DB">
      <w:pPr>
        <w:jc w:val="both"/>
        <w:rPr>
          <w:noProof/>
          <w:lang w:val="en-AU"/>
        </w:rPr>
      </w:pPr>
    </w:p>
    <w:p w:rsidR="003B05DB" w:rsidRPr="00F940A4" w:rsidRDefault="003B05DB" w:rsidP="003B05DB">
      <w:pPr>
        <w:autoSpaceDE w:val="0"/>
        <w:autoSpaceDN w:val="0"/>
        <w:adjustRightInd w:val="0"/>
        <w:jc w:val="both"/>
        <w:rPr>
          <w:i/>
          <w:u w:val="single"/>
          <w:lang w:val="en-AU" w:eastAsia="en-AU"/>
        </w:rPr>
      </w:pPr>
      <w:r w:rsidRPr="00F940A4">
        <w:rPr>
          <w:i/>
          <w:u w:val="single"/>
          <w:lang w:val="en-AU" w:eastAsia="en-AU"/>
        </w:rPr>
        <w:t>Weight loss response after 12 weeks with SAXENDA (liraglutide 3.0 mg) treatment</w:t>
      </w:r>
    </w:p>
    <w:p w:rsidR="003B05DB" w:rsidRDefault="003B05DB" w:rsidP="003B05DB">
      <w:pPr>
        <w:jc w:val="both"/>
        <w:rPr>
          <w:lang w:val="en-AU" w:eastAsia="en-AU"/>
        </w:rPr>
      </w:pPr>
      <w:r w:rsidRPr="00F940A4">
        <w:rPr>
          <w:lang w:val="en-AU" w:eastAsia="en-AU"/>
        </w:rPr>
        <w:t xml:space="preserve">Early responders were defined as patients who achieved a weight loss of ≥5% after 12 weeks on maintenance dose of SAXENDA (4 weeks of dose escalation and 12 weeks on maintenance dose). In </w:t>
      </w:r>
      <w:r>
        <w:rPr>
          <w:lang w:val="en-AU" w:eastAsia="en-AU"/>
        </w:rPr>
        <w:t xml:space="preserve">the 56-week part of </w:t>
      </w:r>
      <w:r w:rsidRPr="00F940A4">
        <w:rPr>
          <w:lang w:val="en-AU" w:eastAsia="en-AU"/>
        </w:rPr>
        <w:t xml:space="preserve">SCALE-Obesity and Pre-diabetes, 67.5% of the patients achieved ≥5% weight loss after 12 weeks. In SCALE-Diabetes, 50.4% of patients achieved ≥5% weight loss after 12 weeks. With continued treatment with SAXENDA, 86.2% of these early responders achieved a weight loss of ≥5% and 51% achieved a weight loss of ≥10% after one year of treatment. The mean weight loss in early responders who completed 1 year of treatment was 11.2% of their baseline body weight. For patients who achieved a weight loss of &lt;5% after </w:t>
      </w:r>
      <w:r w:rsidRPr="00F940A4">
        <w:rPr>
          <w:lang w:val="en-AU" w:eastAsia="en-AU"/>
        </w:rPr>
        <w:lastRenderedPageBreak/>
        <w:t>12 weeks on maintenance dose and completed 1 year of treatment, the mean weight loss was 3.8% after 1 year.</w:t>
      </w:r>
    </w:p>
    <w:p w:rsidR="003B05DB" w:rsidRDefault="003B05DB" w:rsidP="003B05DB">
      <w:pPr>
        <w:jc w:val="both"/>
        <w:rPr>
          <w:lang w:val="en-AU" w:eastAsia="en-AU"/>
        </w:rPr>
      </w:pPr>
    </w:p>
    <w:p w:rsidR="003B05DB" w:rsidRPr="00F940A4" w:rsidRDefault="003B05DB" w:rsidP="003B05DB">
      <w:pPr>
        <w:autoSpaceDE w:val="0"/>
        <w:autoSpaceDN w:val="0"/>
        <w:adjustRightInd w:val="0"/>
        <w:jc w:val="both"/>
        <w:rPr>
          <w:i/>
          <w:u w:val="single"/>
          <w:lang w:val="en-AU" w:eastAsia="en-AU"/>
        </w:rPr>
      </w:pPr>
      <w:r w:rsidRPr="00F940A4">
        <w:rPr>
          <w:i/>
          <w:u w:val="single"/>
          <w:lang w:val="en-AU" w:eastAsia="en-AU"/>
        </w:rPr>
        <w:t>Glycaemic control</w:t>
      </w:r>
    </w:p>
    <w:p w:rsidR="003B05DB" w:rsidRDefault="003B05DB" w:rsidP="003B05DB">
      <w:pPr>
        <w:autoSpaceDE w:val="0"/>
        <w:autoSpaceDN w:val="0"/>
        <w:adjustRightInd w:val="0"/>
        <w:jc w:val="both"/>
        <w:rPr>
          <w:lang w:val="en-AU" w:eastAsia="en-AU"/>
        </w:rPr>
      </w:pPr>
      <w:r w:rsidRPr="00F940A4">
        <w:rPr>
          <w:lang w:val="en-AU" w:eastAsia="en-AU"/>
        </w:rPr>
        <w:t xml:space="preserve">Treatment with liraglutide significantly improved glycaemic parameters across sub-populations with normoglycaemia, pre-diabetes and type 2 diabetes. </w:t>
      </w:r>
    </w:p>
    <w:p w:rsidR="003B05DB" w:rsidRDefault="003B05DB" w:rsidP="003B05DB">
      <w:pPr>
        <w:autoSpaceDE w:val="0"/>
        <w:autoSpaceDN w:val="0"/>
        <w:adjustRightInd w:val="0"/>
        <w:jc w:val="both"/>
        <w:rPr>
          <w:lang w:val="en-AU" w:eastAsia="en-AU"/>
        </w:rPr>
      </w:pPr>
    </w:p>
    <w:p w:rsidR="00AA36B0" w:rsidRDefault="003B05DB" w:rsidP="003B05DB">
      <w:pPr>
        <w:autoSpaceDE w:val="0"/>
        <w:autoSpaceDN w:val="0"/>
        <w:adjustRightInd w:val="0"/>
        <w:jc w:val="both"/>
        <w:rPr>
          <w:bCs/>
          <w:lang w:val="da-DK" w:eastAsia="en-AU"/>
        </w:rPr>
      </w:pPr>
      <w:r w:rsidRPr="00F940A4">
        <w:rPr>
          <w:lang w:val="en-AU" w:eastAsia="en-AU"/>
        </w:rPr>
        <w:t>In</w:t>
      </w:r>
      <w:r>
        <w:rPr>
          <w:lang w:val="en-AU" w:eastAsia="en-AU"/>
        </w:rPr>
        <w:t xml:space="preserve"> the 56-week part of</w:t>
      </w:r>
      <w:r w:rsidRPr="00F940A4">
        <w:rPr>
          <w:lang w:val="en-AU" w:eastAsia="en-AU"/>
        </w:rPr>
        <w:t xml:space="preserve"> SCALE-Obesity and Pre-diabetes, fewer patients treated with SAXENDA had developed type 2 diabetes compared to patients treated with placebo (0.2% vs. 1.1%). More patients with pre-diabetes at baseline had reversed their pre-diabetes compared to patients treated with placebo (69.2% vs. 32.7%). </w:t>
      </w:r>
      <w:r w:rsidRPr="00E06C94">
        <w:rPr>
          <w:lang w:eastAsia="en-AU"/>
        </w:rPr>
        <w:t xml:space="preserve">In the 160 week part of </w:t>
      </w:r>
      <w:r w:rsidRPr="00F940A4">
        <w:rPr>
          <w:lang w:val="en-AU" w:eastAsia="en-AU"/>
        </w:rPr>
        <w:t>SCALE-Obesity and Pre-diabetes</w:t>
      </w:r>
      <w:r>
        <w:rPr>
          <w:lang w:val="en-AU" w:eastAsia="en-AU"/>
        </w:rPr>
        <w:t>,</w:t>
      </w:r>
      <w:r w:rsidRPr="00E06C94">
        <w:rPr>
          <w:lang w:eastAsia="en-AU"/>
        </w:rPr>
        <w:t xml:space="preserve"> the primary efficacy endpoint was the proportion of patients with onset of type 2 diabetes evaluated as time to onset. </w:t>
      </w:r>
      <w:r w:rsidRPr="00E06C94">
        <w:rPr>
          <w:bCs/>
          <w:lang w:eastAsia="en-AU"/>
        </w:rPr>
        <w:t xml:space="preserve">At week 160, while on treatment, 3% treated with </w:t>
      </w:r>
      <w:r>
        <w:rPr>
          <w:bCs/>
          <w:lang w:eastAsia="en-AU"/>
        </w:rPr>
        <w:t>SAXENDA</w:t>
      </w:r>
      <w:r w:rsidRPr="00E06C94">
        <w:rPr>
          <w:bCs/>
          <w:lang w:eastAsia="en-AU"/>
        </w:rPr>
        <w:t xml:space="preserve"> and 11% treated with placebo were diagnosed with type 2 diabetes. </w:t>
      </w:r>
      <w:r w:rsidRPr="00E06C94">
        <w:rPr>
          <w:bCs/>
          <w:lang w:val="da-DK" w:eastAsia="en-AU"/>
        </w:rPr>
        <w:t xml:space="preserve">More patients in the </w:t>
      </w:r>
      <w:r>
        <w:rPr>
          <w:bCs/>
          <w:lang w:eastAsia="en-AU"/>
        </w:rPr>
        <w:t>SAXENDA</w:t>
      </w:r>
      <w:r w:rsidRPr="00E06C94">
        <w:rPr>
          <w:bCs/>
          <w:lang w:eastAsia="en-AU"/>
        </w:rPr>
        <w:t xml:space="preserve"> </w:t>
      </w:r>
      <w:r w:rsidRPr="00E06C94">
        <w:rPr>
          <w:bCs/>
          <w:lang w:val="da-DK" w:eastAsia="en-AU"/>
        </w:rPr>
        <w:t>3.0 mg group (65.9%) than the placebo group (36.3%) had regressed their pre-diabetes to normoglycaemia by week 160 (odds ratio 3.6 [95% CI</w:t>
      </w:r>
      <w:r>
        <w:rPr>
          <w:bCs/>
          <w:lang w:val="da-DK" w:eastAsia="en-AU"/>
        </w:rPr>
        <w:t>:</w:t>
      </w:r>
      <w:r w:rsidRPr="00E06C94">
        <w:rPr>
          <w:bCs/>
          <w:lang w:val="da-DK" w:eastAsia="en-AU"/>
        </w:rPr>
        <w:t xml:space="preserve"> 3.0 to 4.4], </w:t>
      </w:r>
      <w:r>
        <w:rPr>
          <w:bCs/>
          <w:lang w:val="da-DK" w:eastAsia="en-AU"/>
        </w:rPr>
        <w:t>p</w:t>
      </w:r>
      <w:r w:rsidRPr="00E06C94">
        <w:rPr>
          <w:bCs/>
          <w:lang w:val="da-DK" w:eastAsia="en-AU"/>
        </w:rPr>
        <w:t>&lt;0.001).</w:t>
      </w:r>
      <w:r w:rsidRPr="00E06C94">
        <w:rPr>
          <w:bCs/>
          <w:lang w:eastAsia="en-AU"/>
        </w:rPr>
        <w:t xml:space="preserve"> The estimated time to onset of type 2 diabetes for patients treated with </w:t>
      </w:r>
      <w:r>
        <w:rPr>
          <w:bCs/>
          <w:lang w:eastAsia="en-AU"/>
        </w:rPr>
        <w:t>SAXENDA</w:t>
      </w:r>
      <w:r w:rsidRPr="00E06C94">
        <w:rPr>
          <w:bCs/>
          <w:lang w:eastAsia="en-AU"/>
        </w:rPr>
        <w:t xml:space="preserve"> 3.0 mg was 2.7 times</w:t>
      </w:r>
      <w:r>
        <w:rPr>
          <w:bCs/>
          <w:lang w:eastAsia="en-AU"/>
        </w:rPr>
        <w:t>’</w:t>
      </w:r>
      <w:r w:rsidRPr="00E06C94">
        <w:rPr>
          <w:bCs/>
          <w:lang w:eastAsia="en-AU"/>
        </w:rPr>
        <w:t xml:space="preserve"> longer (with a 95% confidence interval of [1.9, 3.9]), and the hazard ratio for risk of developing type 2 diabetes was 0.2 for </w:t>
      </w:r>
      <w:r>
        <w:rPr>
          <w:bCs/>
          <w:lang w:eastAsia="en-AU"/>
        </w:rPr>
        <w:t>SAXENDA</w:t>
      </w:r>
      <w:r w:rsidRPr="00E06C94">
        <w:rPr>
          <w:bCs/>
          <w:lang w:eastAsia="en-AU"/>
        </w:rPr>
        <w:t xml:space="preserve"> versus placebo</w:t>
      </w:r>
      <w:r w:rsidRPr="00E06C94">
        <w:rPr>
          <w:bCs/>
          <w:lang w:val="da-DK" w:eastAsia="en-AU"/>
        </w:rPr>
        <w:t>.</w:t>
      </w:r>
      <w:r w:rsidR="00AA36B0">
        <w:rPr>
          <w:bCs/>
          <w:lang w:val="da-DK" w:eastAsia="en-AU"/>
        </w:rPr>
        <w:t xml:space="preserve"> </w:t>
      </w:r>
    </w:p>
    <w:p w:rsidR="00AA36B0" w:rsidRDefault="00AA36B0" w:rsidP="003B05DB">
      <w:pPr>
        <w:autoSpaceDE w:val="0"/>
        <w:autoSpaceDN w:val="0"/>
        <w:adjustRightInd w:val="0"/>
        <w:jc w:val="both"/>
        <w:rPr>
          <w:bCs/>
          <w:lang w:val="da-DK" w:eastAsia="en-AU"/>
        </w:rPr>
      </w:pPr>
    </w:p>
    <w:p w:rsidR="003B05DB" w:rsidRDefault="00AA36B0" w:rsidP="003B05DB">
      <w:pPr>
        <w:autoSpaceDE w:val="0"/>
        <w:autoSpaceDN w:val="0"/>
        <w:adjustRightInd w:val="0"/>
        <w:jc w:val="both"/>
        <w:rPr>
          <w:bCs/>
          <w:lang w:eastAsia="en-AU"/>
        </w:rPr>
      </w:pPr>
      <w:r w:rsidRPr="00AA36B0">
        <w:rPr>
          <w:bCs/>
          <w:lang w:val="en-GB" w:eastAsia="en-AU"/>
        </w:rPr>
        <w:t>During the entire 160</w:t>
      </w:r>
      <w:r>
        <w:rPr>
          <w:bCs/>
          <w:lang w:val="en-GB" w:eastAsia="en-AU"/>
        </w:rPr>
        <w:t xml:space="preserve"> </w:t>
      </w:r>
      <w:r w:rsidRPr="00AA36B0">
        <w:rPr>
          <w:bCs/>
          <w:lang w:val="en-GB" w:eastAsia="en-AU"/>
        </w:rPr>
        <w:t>week treatment period, HbA</w:t>
      </w:r>
      <w:r w:rsidRPr="00AA36B0">
        <w:rPr>
          <w:bCs/>
          <w:vertAlign w:val="subscript"/>
          <w:lang w:val="en-GB" w:eastAsia="en-AU"/>
        </w:rPr>
        <w:t>1c</w:t>
      </w:r>
      <w:r w:rsidRPr="00AA36B0">
        <w:rPr>
          <w:bCs/>
          <w:lang w:val="en-GB" w:eastAsia="en-AU"/>
        </w:rPr>
        <w:t xml:space="preserve"> was lower in the Saxenda group than in the placebo group with a statistically significant estimated treatment difference of -0.21% [</w:t>
      </w:r>
      <w:r w:rsidRPr="00AA36B0">
        <w:rPr>
          <w:bCs/>
          <w:lang w:val="en-GB" w:eastAsia="en-AU"/>
        </w:rPr>
        <w:noBreakHyphen/>
        <w:t xml:space="preserve">0.24; </w:t>
      </w:r>
      <w:r w:rsidRPr="00AA36B0">
        <w:rPr>
          <w:bCs/>
          <w:lang w:val="en-GB" w:eastAsia="en-AU"/>
        </w:rPr>
        <w:noBreakHyphen/>
        <w:t>0.18]</w:t>
      </w:r>
      <w:r w:rsidRPr="00AA36B0">
        <w:rPr>
          <w:bCs/>
          <w:vertAlign w:val="subscript"/>
          <w:lang w:val="en-GB" w:eastAsia="en-AU"/>
        </w:rPr>
        <w:t>95% C.I</w:t>
      </w:r>
      <w:r w:rsidRPr="00AA36B0">
        <w:rPr>
          <w:bCs/>
          <w:lang w:val="en-GB" w:eastAsia="en-AU"/>
        </w:rPr>
        <w:t>, p&lt;0.0001 at 160 weeks. After being off treatment for 12 weeks (week 172) a steep increase in HbA</w:t>
      </w:r>
      <w:r w:rsidRPr="00AA36B0">
        <w:rPr>
          <w:bCs/>
          <w:vertAlign w:val="subscript"/>
          <w:lang w:val="en-GB" w:eastAsia="en-AU"/>
        </w:rPr>
        <w:t>1c</w:t>
      </w:r>
      <w:r w:rsidRPr="00AA36B0">
        <w:rPr>
          <w:bCs/>
          <w:lang w:val="en-GB" w:eastAsia="en-AU"/>
        </w:rPr>
        <w:t xml:space="preserve"> was observed in the Saxenda group, while a more modest increase was seen in the placebo group. The same pattern was observed with fasting plasma glucose (FPG). During the entire trial FPG was lower with Saxenda than with placebo, and immediately after treatment cessation FPG reversed to baseline level in the Saxenda group, while no change was observed in the placebo group.</w:t>
      </w:r>
    </w:p>
    <w:p w:rsidR="003B05DB" w:rsidRDefault="003B05DB" w:rsidP="003B05DB">
      <w:pPr>
        <w:autoSpaceDE w:val="0"/>
        <w:autoSpaceDN w:val="0"/>
        <w:adjustRightInd w:val="0"/>
        <w:jc w:val="both"/>
        <w:rPr>
          <w:lang w:val="en-AU" w:eastAsia="en-AU"/>
        </w:rPr>
      </w:pPr>
    </w:p>
    <w:p w:rsidR="003B05DB" w:rsidRDefault="003B05DB" w:rsidP="003B05DB">
      <w:pPr>
        <w:jc w:val="both"/>
        <w:rPr>
          <w:lang w:val="en-AU" w:eastAsia="en-AU"/>
        </w:rPr>
      </w:pPr>
      <w:r w:rsidRPr="00F940A4">
        <w:rPr>
          <w:lang w:val="en-AU" w:eastAsia="en-AU"/>
        </w:rPr>
        <w:t>In SCALE-Diabetes, 69.2% of obese patients with type 2 diabetes treated with SAXENDA achieved an HbA</w:t>
      </w:r>
      <w:r w:rsidRPr="00F940A4">
        <w:rPr>
          <w:vertAlign w:val="subscript"/>
          <w:lang w:val="en-AU" w:eastAsia="en-AU"/>
        </w:rPr>
        <w:t>1c</w:t>
      </w:r>
      <w:r w:rsidRPr="00F940A4">
        <w:rPr>
          <w:lang w:val="en-AU" w:eastAsia="en-AU"/>
        </w:rPr>
        <w:t>&lt;7% (ADA) target compared to 27.2% for placebo and 56.5% of obese patients with type 2 diabetes treated with SAXENDA achieved an HbA</w:t>
      </w:r>
      <w:r w:rsidRPr="00F940A4">
        <w:rPr>
          <w:vertAlign w:val="subscript"/>
          <w:lang w:val="en-AU" w:eastAsia="en-AU"/>
        </w:rPr>
        <w:t>1c</w:t>
      </w:r>
      <w:r w:rsidRPr="00F940A4">
        <w:rPr>
          <w:lang w:val="en-AU" w:eastAsia="en-AU"/>
        </w:rPr>
        <w:t>≤6.5% (IDF) target compared to 15.0% for placebo.</w:t>
      </w:r>
    </w:p>
    <w:p w:rsidR="003B05DB" w:rsidRDefault="003B05DB" w:rsidP="003B05DB">
      <w:pPr>
        <w:jc w:val="both"/>
        <w:rPr>
          <w:lang w:val="en-AU" w:eastAsia="en-AU"/>
        </w:rPr>
      </w:pPr>
    </w:p>
    <w:p w:rsidR="003B05DB" w:rsidRPr="00F940A4" w:rsidRDefault="003B05DB" w:rsidP="003B05DB">
      <w:pPr>
        <w:autoSpaceDE w:val="0"/>
        <w:autoSpaceDN w:val="0"/>
        <w:adjustRightInd w:val="0"/>
        <w:jc w:val="both"/>
        <w:rPr>
          <w:i/>
          <w:u w:val="single"/>
          <w:lang w:val="en-AU" w:eastAsia="en-AU"/>
        </w:rPr>
      </w:pPr>
      <w:r w:rsidRPr="00F940A4">
        <w:rPr>
          <w:i/>
          <w:u w:val="single"/>
          <w:lang w:val="en-AU" w:eastAsia="en-AU"/>
        </w:rPr>
        <w:t>Cardiometabolic risk factors</w:t>
      </w:r>
    </w:p>
    <w:p w:rsidR="003B05DB" w:rsidRDefault="003B05DB" w:rsidP="003B05DB">
      <w:pPr>
        <w:jc w:val="both"/>
        <w:rPr>
          <w:lang w:val="en-AU" w:eastAsia="en-AU"/>
        </w:rPr>
      </w:pPr>
      <w:r w:rsidRPr="00F940A4">
        <w:rPr>
          <w:lang w:val="en-AU" w:eastAsia="en-AU"/>
        </w:rPr>
        <w:t>Treatment with SAXENDA significantly improved systolic blood pressure and waist circumference and fasting lipids compared with placebo (</w:t>
      </w:r>
      <w:r>
        <w:rPr>
          <w:lang w:val="en-AU" w:eastAsia="en-AU"/>
        </w:rPr>
        <w:t>T</w:t>
      </w:r>
      <w:r w:rsidRPr="00F940A4">
        <w:rPr>
          <w:lang w:val="en-AU" w:eastAsia="en-AU"/>
        </w:rPr>
        <w:t>ables 1</w:t>
      </w:r>
      <w:r w:rsidR="00F11A86">
        <w:rPr>
          <w:lang w:val="en-AU" w:eastAsia="en-AU"/>
        </w:rPr>
        <w:t xml:space="preserve"> and</w:t>
      </w:r>
      <w:r>
        <w:rPr>
          <w:lang w:val="en-AU" w:eastAsia="en-AU"/>
        </w:rPr>
        <w:t xml:space="preserve"> 2</w:t>
      </w:r>
      <w:r w:rsidRPr="00F940A4">
        <w:rPr>
          <w:lang w:val="en-AU" w:eastAsia="en-AU"/>
        </w:rPr>
        <w:t xml:space="preserve">). </w:t>
      </w:r>
    </w:p>
    <w:p w:rsidR="003B05DB" w:rsidRDefault="003B05DB" w:rsidP="003B05DB">
      <w:pPr>
        <w:jc w:val="both"/>
        <w:rPr>
          <w:lang w:val="en-AU" w:eastAsia="en-AU"/>
        </w:rPr>
      </w:pPr>
    </w:p>
    <w:p w:rsidR="003B05DB" w:rsidRPr="00F940A4" w:rsidRDefault="003B05DB" w:rsidP="003B05DB">
      <w:pPr>
        <w:autoSpaceDE w:val="0"/>
        <w:autoSpaceDN w:val="0"/>
        <w:adjustRightInd w:val="0"/>
        <w:jc w:val="both"/>
        <w:rPr>
          <w:i/>
          <w:u w:val="single"/>
          <w:lang w:val="en-AU" w:eastAsia="en-AU"/>
        </w:rPr>
      </w:pPr>
      <w:r w:rsidRPr="00F940A4">
        <w:rPr>
          <w:i/>
          <w:u w:val="single"/>
          <w:lang w:val="en-AU" w:eastAsia="en-AU"/>
        </w:rPr>
        <w:t>Apnoea-Hypopnoea Index (AHI)</w:t>
      </w:r>
    </w:p>
    <w:p w:rsidR="003B05DB" w:rsidRDefault="003B05DB" w:rsidP="003B05DB">
      <w:pPr>
        <w:jc w:val="both"/>
        <w:rPr>
          <w:lang w:val="en-AU" w:eastAsia="en-AU"/>
        </w:rPr>
      </w:pPr>
      <w:r w:rsidRPr="00F940A4">
        <w:rPr>
          <w:lang w:val="en-AU" w:eastAsia="en-AU"/>
        </w:rPr>
        <w:t>Treatment with SAXENDA significantly reduced the severity of obstructive sleep apnoea as assessed by change from baseline in the AHI compared with placebo (</w:t>
      </w:r>
      <w:r>
        <w:rPr>
          <w:lang w:val="en-AU" w:eastAsia="en-AU"/>
        </w:rPr>
        <w:t>T</w:t>
      </w:r>
      <w:r w:rsidRPr="00F940A4">
        <w:rPr>
          <w:lang w:val="en-AU" w:eastAsia="en-AU"/>
        </w:rPr>
        <w:t xml:space="preserve">able </w:t>
      </w:r>
      <w:r w:rsidR="00F11A86">
        <w:rPr>
          <w:lang w:val="en-AU" w:eastAsia="en-AU"/>
        </w:rPr>
        <w:t>3</w:t>
      </w:r>
      <w:r w:rsidRPr="00F940A4">
        <w:rPr>
          <w:lang w:val="en-AU" w:eastAsia="en-AU"/>
        </w:rPr>
        <w:t>).</w:t>
      </w:r>
    </w:p>
    <w:p w:rsidR="003B05DB" w:rsidRDefault="003B05DB" w:rsidP="003B05DB">
      <w:pPr>
        <w:jc w:val="both"/>
        <w:rPr>
          <w:lang w:val="en-AU" w:eastAsia="en-AU"/>
        </w:rPr>
      </w:pPr>
    </w:p>
    <w:p w:rsidR="003B05DB" w:rsidRPr="00F940A4" w:rsidRDefault="003B05DB" w:rsidP="003B05DB">
      <w:pPr>
        <w:pStyle w:val="BodyText"/>
        <w:rPr>
          <w:b/>
          <w:bCs/>
          <w:i/>
          <w:iCs/>
          <w:sz w:val="24"/>
          <w:szCs w:val="24"/>
          <w:lang w:val="en-AU"/>
        </w:rPr>
      </w:pPr>
      <w:r w:rsidRPr="00F940A4">
        <w:rPr>
          <w:b/>
          <w:bCs/>
          <w:i/>
          <w:iCs/>
          <w:sz w:val="24"/>
          <w:szCs w:val="24"/>
          <w:lang w:val="en-AU"/>
        </w:rPr>
        <w:t>SCALE-Obesity and Pre-diabetes: Weight management in obese and overweight patients with or without pre-diabetes</w:t>
      </w:r>
    </w:p>
    <w:p w:rsidR="003B05DB" w:rsidRPr="00F940A4" w:rsidRDefault="003B05DB" w:rsidP="003B05DB">
      <w:pPr>
        <w:pStyle w:val="BodyText"/>
        <w:tabs>
          <w:tab w:val="left" w:pos="5222"/>
        </w:tabs>
        <w:rPr>
          <w:noProof/>
          <w:color w:val="auto"/>
          <w:sz w:val="24"/>
          <w:szCs w:val="24"/>
          <w:lang w:val="en-AU" w:eastAsia="en-GB"/>
        </w:rPr>
      </w:pPr>
      <w:r w:rsidRPr="00F940A4">
        <w:rPr>
          <w:color w:val="82786F"/>
          <w:szCs w:val="22"/>
          <w:lang w:val="en-AU"/>
        </w:rPr>
        <w:object w:dxaOrig="4535" w:dyaOrig="2730">
          <v:shape id="_x0000_i1026" type="#_x0000_t75" style="width:226.5pt;height:136.5pt" o:ole="">
            <v:imagedata r:id="rId18" o:title=""/>
          </v:shape>
          <o:OLEObject Type="Embed" ProgID="Word.Document.12" ShapeID="_x0000_i1026" DrawAspect="Content" ObjectID="_1624866366" r:id="rId19">
            <o:FieldCodes>\s</o:FieldCodes>
          </o:OLEObject>
        </w:object>
      </w:r>
      <w:r w:rsidRPr="00F940A4">
        <w:rPr>
          <w:noProof/>
          <w:color w:val="auto"/>
          <w:sz w:val="24"/>
          <w:szCs w:val="24"/>
          <w:lang w:val="en-AU" w:eastAsia="en-GB"/>
        </w:rPr>
        <w:tab/>
      </w:r>
    </w:p>
    <w:p w:rsidR="003B05DB" w:rsidRDefault="003B05DB" w:rsidP="003B05DB">
      <w:pPr>
        <w:jc w:val="both"/>
        <w:rPr>
          <w:lang w:val="en-AU" w:eastAsia="en-AU"/>
        </w:rPr>
      </w:pPr>
      <w:r w:rsidRPr="00F940A4">
        <w:rPr>
          <w:b/>
          <w:bCs/>
          <w:sz w:val="20"/>
          <w:lang w:val="en-AU"/>
        </w:rPr>
        <w:t xml:space="preserve">Figure 2: Change from baseline in body weight (%) by time in SCALE-Obesity and Pre-diabetes </w:t>
      </w:r>
      <w:r>
        <w:rPr>
          <w:b/>
          <w:bCs/>
          <w:sz w:val="20"/>
          <w:lang w:val="en-AU"/>
        </w:rPr>
        <w:t>(0-56 weeks)</w:t>
      </w:r>
    </w:p>
    <w:p w:rsidR="003B05DB" w:rsidRDefault="003B05DB" w:rsidP="003B05DB">
      <w:pPr>
        <w:jc w:val="both"/>
        <w:rPr>
          <w:lang w:val="en-AU" w:eastAsia="en-AU"/>
        </w:rPr>
      </w:pPr>
    </w:p>
    <w:p w:rsidR="003B05DB" w:rsidRDefault="003B05DB" w:rsidP="003B05DB">
      <w:pPr>
        <w:jc w:val="both"/>
        <w:rPr>
          <w:lang w:val="en-AU" w:eastAsia="en-AU"/>
        </w:rPr>
      </w:pPr>
    </w:p>
    <w:p w:rsidR="003B05DB" w:rsidRDefault="003B05DB" w:rsidP="003B05DB">
      <w:pPr>
        <w:jc w:val="both"/>
        <w:rPr>
          <w:lang w:val="en-AU" w:eastAsia="en-AU"/>
        </w:rPr>
      </w:pPr>
    </w:p>
    <w:p w:rsidR="003B05DB" w:rsidRDefault="003B05DB" w:rsidP="003B05DB">
      <w:pPr>
        <w:jc w:val="both"/>
        <w:rPr>
          <w:lang w:val="en-AU" w:eastAsia="en-AU"/>
        </w:rPr>
      </w:pPr>
      <w:bookmarkStart w:id="7" w:name="_Ref417886083"/>
      <w:bookmarkStart w:id="8" w:name="_Toc416961891"/>
      <w:r w:rsidRPr="00F940A4">
        <w:rPr>
          <w:b/>
          <w:bCs/>
          <w:iCs/>
          <w:szCs w:val="22"/>
        </w:rPr>
        <w:t xml:space="preserve">Table </w:t>
      </w:r>
      <w:bookmarkEnd w:id="7"/>
      <w:r w:rsidRPr="00F940A4">
        <w:rPr>
          <w:b/>
          <w:bCs/>
          <w:iCs/>
          <w:szCs w:val="22"/>
        </w:rPr>
        <w:t>1: SCALE-Obesity and Pre-diabetes: Changes from baseline in body weight, glycaemia and cardiometabolic parameters</w:t>
      </w:r>
      <w:bookmarkEnd w:id="8"/>
    </w:p>
    <w:tbl>
      <w:tblPr>
        <w:tblW w:w="5000" w:type="pct"/>
        <w:tblLayout w:type="fixed"/>
        <w:tblLook w:val="04A0" w:firstRow="1" w:lastRow="0" w:firstColumn="1" w:lastColumn="0" w:noHBand="0" w:noVBand="1"/>
      </w:tblPr>
      <w:tblGrid>
        <w:gridCol w:w="1279"/>
        <w:gridCol w:w="765"/>
        <w:gridCol w:w="695"/>
        <w:gridCol w:w="705"/>
        <w:gridCol w:w="823"/>
        <w:gridCol w:w="832"/>
        <w:gridCol w:w="695"/>
        <w:gridCol w:w="152"/>
        <w:gridCol w:w="821"/>
        <w:gridCol w:w="971"/>
        <w:gridCol w:w="829"/>
        <w:gridCol w:w="827"/>
      </w:tblGrid>
      <w:tr w:rsidR="003B05DB" w:rsidRPr="005276D9" w:rsidTr="003B05DB">
        <w:trPr>
          <w:cantSplit/>
        </w:trPr>
        <w:tc>
          <w:tcPr>
            <w:tcW w:w="681" w:type="pct"/>
            <w:tcBorders>
              <w:top w:val="single" w:sz="4" w:space="0" w:color="auto"/>
              <w:left w:val="single" w:sz="4" w:space="0" w:color="auto"/>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2033" w:type="pct"/>
            <w:gridSpan w:val="5"/>
            <w:tcBorders>
              <w:top w:val="single" w:sz="4" w:space="0" w:color="auto"/>
              <w:left w:val="nil"/>
              <w:bottom w:val="single" w:sz="4" w:space="0" w:color="auto"/>
              <w:right w:val="single" w:sz="4" w:space="0" w:color="auto"/>
            </w:tcBorders>
          </w:tcPr>
          <w:p w:rsidR="003B05DB" w:rsidRPr="00DE6059" w:rsidRDefault="003B05DB" w:rsidP="008B5D49">
            <w:pPr>
              <w:overflowPunct w:val="0"/>
              <w:autoSpaceDE w:val="0"/>
              <w:autoSpaceDN w:val="0"/>
              <w:adjustRightInd w:val="0"/>
              <w:jc w:val="center"/>
              <w:textAlignment w:val="baseline"/>
              <w:rPr>
                <w:b/>
                <w:bCs/>
                <w:iCs/>
                <w:color w:val="000000"/>
                <w:sz w:val="18"/>
                <w:szCs w:val="18"/>
              </w:rPr>
            </w:pPr>
            <w:r w:rsidRPr="00DE6059">
              <w:rPr>
                <w:b/>
                <w:bCs/>
                <w:iCs/>
                <w:color w:val="000000"/>
                <w:sz w:val="18"/>
                <w:szCs w:val="18"/>
              </w:rPr>
              <w:t>Results at week 56</w:t>
            </w:r>
          </w:p>
        </w:tc>
        <w:tc>
          <w:tcPr>
            <w:tcW w:w="2286" w:type="pct"/>
            <w:gridSpan w:val="6"/>
            <w:tcBorders>
              <w:top w:val="single" w:sz="4" w:space="0" w:color="auto"/>
              <w:left w:val="single" w:sz="4" w:space="0" w:color="auto"/>
              <w:bottom w:val="single" w:sz="4" w:space="0" w:color="auto"/>
              <w:right w:val="single" w:sz="4" w:space="0" w:color="auto"/>
            </w:tcBorders>
          </w:tcPr>
          <w:p w:rsidR="003B05DB" w:rsidRPr="00DE6059" w:rsidRDefault="003B05DB" w:rsidP="008B5D49">
            <w:pPr>
              <w:overflowPunct w:val="0"/>
              <w:autoSpaceDE w:val="0"/>
              <w:autoSpaceDN w:val="0"/>
              <w:adjustRightInd w:val="0"/>
              <w:jc w:val="center"/>
              <w:textAlignment w:val="baseline"/>
              <w:rPr>
                <w:b/>
                <w:bCs/>
                <w:iCs/>
                <w:color w:val="000000"/>
                <w:sz w:val="18"/>
                <w:szCs w:val="18"/>
              </w:rPr>
            </w:pPr>
            <w:r w:rsidRPr="00DE6059">
              <w:rPr>
                <w:b/>
                <w:bCs/>
                <w:iCs/>
                <w:color w:val="000000"/>
                <w:sz w:val="18"/>
                <w:szCs w:val="18"/>
              </w:rPr>
              <w:t>Results at week 160</w:t>
            </w:r>
            <w:r w:rsidR="003A5CAC" w:rsidRPr="00D75255">
              <w:rPr>
                <w:b/>
                <w:bCs/>
                <w:iCs/>
                <w:color w:val="000000"/>
                <w:sz w:val="18"/>
                <w:szCs w:val="18"/>
                <w:vertAlign w:val="superscript"/>
              </w:rPr>
              <w:t>1</w:t>
            </w:r>
          </w:p>
        </w:tc>
      </w:tr>
      <w:tr w:rsidR="003B05DB" w:rsidRPr="005276D9" w:rsidTr="003B05DB">
        <w:trPr>
          <w:cantSplit/>
        </w:trPr>
        <w:tc>
          <w:tcPr>
            <w:tcW w:w="681" w:type="pct"/>
            <w:tcBorders>
              <w:top w:val="single" w:sz="4" w:space="0" w:color="auto"/>
              <w:left w:val="single" w:sz="4" w:space="0" w:color="auto"/>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777" w:type="pct"/>
            <w:gridSpan w:val="2"/>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
                <w:bCs/>
                <w:iCs/>
                <w:color w:val="000000"/>
                <w:sz w:val="16"/>
                <w:szCs w:val="16"/>
              </w:rPr>
            </w:pPr>
            <w:r w:rsidRPr="005276D9">
              <w:rPr>
                <w:b/>
                <w:bCs/>
                <w:iCs/>
                <w:color w:val="000000"/>
                <w:sz w:val="16"/>
                <w:szCs w:val="16"/>
              </w:rPr>
              <w:t>Saxenda (N=2437)</w:t>
            </w:r>
          </w:p>
        </w:tc>
        <w:tc>
          <w:tcPr>
            <w:tcW w:w="813" w:type="pct"/>
            <w:gridSpan w:val="2"/>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
                <w:bCs/>
                <w:iCs/>
                <w:color w:val="000000"/>
                <w:sz w:val="16"/>
                <w:szCs w:val="16"/>
              </w:rPr>
            </w:pPr>
            <w:r w:rsidRPr="005276D9">
              <w:rPr>
                <w:b/>
                <w:bCs/>
                <w:iCs/>
                <w:color w:val="000000"/>
                <w:sz w:val="16"/>
                <w:szCs w:val="16"/>
              </w:rPr>
              <w:t>Placebo (N=1225)</w:t>
            </w:r>
          </w:p>
        </w:tc>
        <w:tc>
          <w:tcPr>
            <w:tcW w:w="443" w:type="pct"/>
            <w:tcBorders>
              <w:top w:val="single" w:sz="4" w:space="0" w:color="auto"/>
              <w:left w:val="nil"/>
              <w:bottom w:val="single" w:sz="4" w:space="0" w:color="auto"/>
              <w:right w:val="single" w:sz="4" w:space="0" w:color="auto"/>
            </w:tcBorders>
            <w:hideMark/>
          </w:tcPr>
          <w:p w:rsidR="003B05DB" w:rsidRPr="005276D9" w:rsidRDefault="003B05DB" w:rsidP="008B5D49">
            <w:pPr>
              <w:overflowPunct w:val="0"/>
              <w:autoSpaceDE w:val="0"/>
              <w:autoSpaceDN w:val="0"/>
              <w:adjustRightInd w:val="0"/>
              <w:jc w:val="both"/>
              <w:textAlignment w:val="baseline"/>
              <w:rPr>
                <w:b/>
                <w:bCs/>
                <w:iCs/>
                <w:color w:val="000000"/>
                <w:sz w:val="16"/>
                <w:szCs w:val="16"/>
              </w:rPr>
            </w:pPr>
            <w:r w:rsidRPr="005276D9">
              <w:rPr>
                <w:b/>
                <w:bCs/>
                <w:iCs/>
                <w:color w:val="000000"/>
                <w:sz w:val="16"/>
                <w:szCs w:val="16"/>
              </w:rPr>
              <w:t>Saxenda vs. placebo</w:t>
            </w:r>
          </w:p>
        </w:tc>
        <w:tc>
          <w:tcPr>
            <w:tcW w:w="888" w:type="pct"/>
            <w:gridSpan w:val="3"/>
            <w:tcBorders>
              <w:top w:val="single" w:sz="4" w:space="0" w:color="auto"/>
              <w:left w:val="single" w:sz="4" w:space="0" w:color="auto"/>
              <w:bottom w:val="single" w:sz="4" w:space="0" w:color="auto"/>
              <w:right w:val="nil"/>
            </w:tcBorders>
          </w:tcPr>
          <w:p w:rsidR="003B05DB" w:rsidRPr="00DE6059" w:rsidRDefault="003B05DB" w:rsidP="008B5D49">
            <w:pPr>
              <w:overflowPunct w:val="0"/>
              <w:autoSpaceDE w:val="0"/>
              <w:autoSpaceDN w:val="0"/>
              <w:adjustRightInd w:val="0"/>
              <w:jc w:val="both"/>
              <w:textAlignment w:val="baseline"/>
              <w:rPr>
                <w:b/>
                <w:bCs/>
                <w:iCs/>
                <w:color w:val="000000"/>
                <w:sz w:val="16"/>
                <w:szCs w:val="16"/>
              </w:rPr>
            </w:pPr>
            <w:r w:rsidRPr="005276D9">
              <w:rPr>
                <w:b/>
                <w:color w:val="000000"/>
                <w:sz w:val="16"/>
                <w:szCs w:val="16"/>
              </w:rPr>
              <w:t>Saxenda (N=1472)</w:t>
            </w:r>
          </w:p>
        </w:tc>
        <w:tc>
          <w:tcPr>
            <w:tcW w:w="958" w:type="pct"/>
            <w:gridSpan w:val="2"/>
            <w:tcBorders>
              <w:top w:val="single" w:sz="4" w:space="0" w:color="auto"/>
              <w:left w:val="nil"/>
              <w:bottom w:val="single" w:sz="4" w:space="0" w:color="auto"/>
              <w:right w:val="nil"/>
            </w:tcBorders>
          </w:tcPr>
          <w:p w:rsidR="003B05DB" w:rsidRPr="00DE6059" w:rsidRDefault="003B05DB" w:rsidP="008B5D49">
            <w:pPr>
              <w:overflowPunct w:val="0"/>
              <w:autoSpaceDE w:val="0"/>
              <w:autoSpaceDN w:val="0"/>
              <w:adjustRightInd w:val="0"/>
              <w:jc w:val="both"/>
              <w:textAlignment w:val="baseline"/>
              <w:rPr>
                <w:b/>
                <w:bCs/>
                <w:iCs/>
                <w:color w:val="000000"/>
                <w:sz w:val="16"/>
                <w:szCs w:val="16"/>
              </w:rPr>
            </w:pPr>
            <w:r w:rsidRPr="005276D9">
              <w:rPr>
                <w:b/>
                <w:color w:val="000000"/>
                <w:sz w:val="16"/>
                <w:szCs w:val="16"/>
              </w:rPr>
              <w:t>Placebo (N=738)</w:t>
            </w:r>
          </w:p>
          <w:p w:rsidR="003B05DB" w:rsidRPr="00DE6059" w:rsidRDefault="003B05DB" w:rsidP="008B5D49">
            <w:pPr>
              <w:overflowPunct w:val="0"/>
              <w:autoSpaceDE w:val="0"/>
              <w:autoSpaceDN w:val="0"/>
              <w:adjustRightInd w:val="0"/>
              <w:jc w:val="both"/>
              <w:textAlignment w:val="baseline"/>
              <w:rPr>
                <w:b/>
                <w:bCs/>
                <w:iCs/>
                <w:color w:val="000000"/>
                <w:sz w:val="16"/>
                <w:szCs w:val="16"/>
              </w:rPr>
            </w:pPr>
          </w:p>
        </w:tc>
        <w:tc>
          <w:tcPr>
            <w:tcW w:w="440" w:type="pct"/>
            <w:tcBorders>
              <w:top w:val="single" w:sz="4" w:space="0" w:color="auto"/>
              <w:left w:val="nil"/>
              <w:bottom w:val="single" w:sz="4" w:space="0" w:color="auto"/>
              <w:right w:val="single" w:sz="4" w:space="0" w:color="auto"/>
            </w:tcBorders>
          </w:tcPr>
          <w:p w:rsidR="003B05DB" w:rsidRPr="005276D9" w:rsidRDefault="003B05DB" w:rsidP="008B5D49">
            <w:pPr>
              <w:overflowPunct w:val="0"/>
              <w:autoSpaceDE w:val="0"/>
              <w:autoSpaceDN w:val="0"/>
              <w:adjustRightInd w:val="0"/>
              <w:jc w:val="both"/>
              <w:textAlignment w:val="baseline"/>
              <w:rPr>
                <w:b/>
                <w:color w:val="000000"/>
                <w:sz w:val="16"/>
                <w:szCs w:val="16"/>
              </w:rPr>
            </w:pPr>
            <w:r w:rsidRPr="005276D9">
              <w:rPr>
                <w:b/>
                <w:color w:val="000000"/>
                <w:sz w:val="16"/>
                <w:szCs w:val="16"/>
              </w:rPr>
              <w:t>Saxenda vs. placebo</w:t>
            </w:r>
          </w:p>
        </w:tc>
      </w:tr>
      <w:tr w:rsidR="003B05DB" w:rsidRPr="005276D9" w:rsidTr="003B05DB">
        <w:trPr>
          <w:cantSplit/>
        </w:trPr>
        <w:tc>
          <w:tcPr>
            <w:tcW w:w="681" w:type="pct"/>
            <w:tcBorders>
              <w:top w:val="single" w:sz="4" w:space="0" w:color="auto"/>
              <w:left w:val="single" w:sz="4" w:space="0" w:color="auto"/>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
                <w:bCs/>
                <w:iCs/>
                <w:color w:val="000000"/>
                <w:sz w:val="18"/>
                <w:szCs w:val="18"/>
              </w:rPr>
            </w:pPr>
            <w:r w:rsidRPr="005276D9">
              <w:rPr>
                <w:b/>
                <w:bCs/>
                <w:iCs/>
                <w:color w:val="000000"/>
                <w:sz w:val="18"/>
                <w:szCs w:val="18"/>
              </w:rPr>
              <w:t>Body weight</w:t>
            </w:r>
          </w:p>
        </w:tc>
        <w:tc>
          <w:tcPr>
            <w:tcW w:w="777" w:type="pct"/>
            <w:gridSpan w:val="2"/>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813" w:type="pct"/>
            <w:gridSpan w:val="2"/>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43" w:type="pct"/>
            <w:tcBorders>
              <w:top w:val="single" w:sz="4" w:space="0" w:color="auto"/>
              <w:left w:val="nil"/>
              <w:bottom w:val="single" w:sz="4" w:space="0" w:color="auto"/>
              <w:righ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370" w:type="pct"/>
            <w:tcBorders>
              <w:top w:val="single" w:sz="4" w:space="0" w:color="auto"/>
              <w:left w:val="single" w:sz="4" w:space="0" w:color="auto"/>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518" w:type="pct"/>
            <w:gridSpan w:val="2"/>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517" w:type="pct"/>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41" w:type="pct"/>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40" w:type="pct"/>
            <w:tcBorders>
              <w:top w:val="single" w:sz="4" w:space="0" w:color="auto"/>
              <w:left w:val="nil"/>
              <w:bottom w:val="single" w:sz="4" w:space="0" w:color="auto"/>
              <w:righ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r>
      <w:tr w:rsidR="003B05DB" w:rsidRPr="005276D9" w:rsidTr="003B05DB">
        <w:trPr>
          <w:cantSplit/>
        </w:trPr>
        <w:tc>
          <w:tcPr>
            <w:tcW w:w="681" w:type="pct"/>
            <w:tcBorders>
              <w:top w:val="single" w:sz="4" w:space="0" w:color="auto"/>
              <w:left w:val="single" w:sz="4" w:space="0" w:color="auto"/>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Baseline, kg (SD)</w:t>
            </w:r>
            <w:r w:rsidRPr="005276D9">
              <w:rPr>
                <w:bCs/>
                <w:iCs/>
                <w:color w:val="000000"/>
                <w:sz w:val="18"/>
                <w:szCs w:val="18"/>
              </w:rPr>
              <w:tab/>
            </w:r>
          </w:p>
        </w:tc>
        <w:tc>
          <w:tcPr>
            <w:tcW w:w="777" w:type="pct"/>
            <w:gridSpan w:val="2"/>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106.3 (21.2)</w:t>
            </w:r>
          </w:p>
        </w:tc>
        <w:tc>
          <w:tcPr>
            <w:tcW w:w="813" w:type="pct"/>
            <w:gridSpan w:val="2"/>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106.3 (21.7)</w:t>
            </w:r>
          </w:p>
        </w:tc>
        <w:tc>
          <w:tcPr>
            <w:tcW w:w="443" w:type="pct"/>
            <w:tcBorders>
              <w:top w:val="single" w:sz="4" w:space="0" w:color="auto"/>
              <w:left w:val="nil"/>
              <w:bottom w:val="nil"/>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r>
          </w:p>
        </w:tc>
        <w:tc>
          <w:tcPr>
            <w:tcW w:w="888" w:type="pct"/>
            <w:gridSpan w:val="3"/>
            <w:tcBorders>
              <w:top w:val="single" w:sz="4" w:space="0" w:color="auto"/>
              <w:left w:val="single" w:sz="4" w:space="0" w:color="auto"/>
              <w:bottom w:val="nil"/>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107.6 (21.6)</w:t>
            </w:r>
          </w:p>
        </w:tc>
        <w:tc>
          <w:tcPr>
            <w:tcW w:w="958" w:type="pct"/>
            <w:gridSpan w:val="2"/>
            <w:tcBorders>
              <w:top w:val="single" w:sz="4" w:space="0" w:color="auto"/>
              <w:left w:val="nil"/>
              <w:bottom w:val="nil"/>
              <w:right w:val="nil"/>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108.0 (21.8)</w:t>
            </w:r>
          </w:p>
        </w:tc>
        <w:tc>
          <w:tcPr>
            <w:tcW w:w="440" w:type="pct"/>
            <w:tcBorders>
              <w:top w:val="single" w:sz="4" w:space="0" w:color="auto"/>
              <w:left w:val="nil"/>
              <w:bottom w:val="nil"/>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Mean change, % (95% CI)</w:t>
            </w:r>
          </w:p>
        </w:tc>
        <w:tc>
          <w:tcPr>
            <w:tcW w:w="777" w:type="pct"/>
            <w:gridSpan w:val="2"/>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8.0</w:t>
            </w:r>
          </w:p>
        </w:tc>
        <w:tc>
          <w:tcPr>
            <w:tcW w:w="813" w:type="pct"/>
            <w:gridSpan w:val="2"/>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2.6</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5.4** (</w:t>
            </w:r>
            <w:r w:rsidRPr="005276D9">
              <w:rPr>
                <w:bCs/>
                <w:iCs/>
                <w:color w:val="000000"/>
                <w:sz w:val="16"/>
                <w:szCs w:val="16"/>
              </w:rPr>
              <w:noBreakHyphen/>
              <w:t xml:space="preserve">5.8; </w:t>
            </w:r>
            <w:r w:rsidRPr="005276D9">
              <w:rPr>
                <w:bCs/>
                <w:iCs/>
                <w:color w:val="000000"/>
                <w:sz w:val="16"/>
                <w:szCs w:val="16"/>
              </w:rPr>
              <w:noBreakHyphen/>
              <w:t>5.0)</w:t>
            </w:r>
          </w:p>
        </w:tc>
        <w:tc>
          <w:tcPr>
            <w:tcW w:w="888" w:type="pct"/>
            <w:gridSpan w:val="3"/>
            <w:tcBorders>
              <w:lef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-6.2</w:t>
            </w:r>
          </w:p>
        </w:tc>
        <w:tc>
          <w:tcPr>
            <w:tcW w:w="958" w:type="pct"/>
            <w:gridSpan w:val="2"/>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-1.8</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 xml:space="preserve">-4.3** </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(-4.9; -3.7)</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Mean change, kg (95% CI)</w:t>
            </w:r>
          </w:p>
        </w:tc>
        <w:tc>
          <w:tcPr>
            <w:tcW w:w="777" w:type="pct"/>
            <w:gridSpan w:val="2"/>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8.4</w:t>
            </w:r>
          </w:p>
        </w:tc>
        <w:tc>
          <w:tcPr>
            <w:tcW w:w="813" w:type="pct"/>
            <w:gridSpan w:val="2"/>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2.8</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noBreakHyphen/>
              <w:t>5.6** (</w:t>
            </w:r>
            <w:r w:rsidRPr="005276D9">
              <w:rPr>
                <w:bCs/>
                <w:iCs/>
                <w:color w:val="000000"/>
                <w:sz w:val="16"/>
                <w:szCs w:val="16"/>
              </w:rPr>
              <w:noBreakHyphen/>
              <w:t xml:space="preserve">6.0; </w:t>
            </w:r>
            <w:r w:rsidRPr="005276D9">
              <w:rPr>
                <w:bCs/>
                <w:iCs/>
                <w:color w:val="000000"/>
                <w:sz w:val="16"/>
                <w:szCs w:val="16"/>
              </w:rPr>
              <w:noBreakHyphen/>
              <w:t>5.1)</w:t>
            </w:r>
          </w:p>
        </w:tc>
        <w:tc>
          <w:tcPr>
            <w:tcW w:w="888" w:type="pct"/>
            <w:gridSpan w:val="3"/>
            <w:tcBorders>
              <w:lef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-6.5</w:t>
            </w:r>
          </w:p>
        </w:tc>
        <w:tc>
          <w:tcPr>
            <w:tcW w:w="958" w:type="pct"/>
            <w:gridSpan w:val="2"/>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-2.0</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-4.6**</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(-5.3; -3.9)</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Proportion of patients losing ≥5% body weight, % (95% CI)</w:t>
            </w:r>
          </w:p>
        </w:tc>
        <w:tc>
          <w:tcPr>
            <w:tcW w:w="777" w:type="pct"/>
            <w:gridSpan w:val="2"/>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63.5</w:t>
            </w:r>
          </w:p>
        </w:tc>
        <w:tc>
          <w:tcPr>
            <w:tcW w:w="813" w:type="pct"/>
            <w:gridSpan w:val="2"/>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26.6</w:t>
            </w:r>
          </w:p>
        </w:tc>
        <w:tc>
          <w:tcPr>
            <w:tcW w:w="443" w:type="pct"/>
            <w:tcBorders>
              <w:right w:val="single" w:sz="4" w:space="0" w:color="auto"/>
            </w:tcBorders>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4.8**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(4.1; 5.6)</w:t>
            </w:r>
          </w:p>
        </w:tc>
        <w:tc>
          <w:tcPr>
            <w:tcW w:w="888" w:type="pct"/>
            <w:gridSpan w:val="3"/>
            <w:tcBorders>
              <w:left w:val="single" w:sz="4" w:space="0" w:color="auto"/>
            </w:tcBorders>
            <w:vAlign w:val="center"/>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49.6</w:t>
            </w:r>
          </w:p>
        </w:tc>
        <w:tc>
          <w:tcPr>
            <w:tcW w:w="958" w:type="pct"/>
            <w:gridSpan w:val="2"/>
            <w:vAlign w:val="center"/>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23.4</w:t>
            </w:r>
          </w:p>
        </w:tc>
        <w:tc>
          <w:tcPr>
            <w:tcW w:w="440" w:type="pct"/>
            <w:tcBorders>
              <w:right w:val="single" w:sz="4" w:space="0" w:color="auto"/>
            </w:tcBorders>
            <w:vAlign w:val="center"/>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3.2**</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(2.6; 3.9)</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Proportion of patients losing &gt;10% body weight, % (95% CI)</w:t>
            </w:r>
          </w:p>
        </w:tc>
        <w:tc>
          <w:tcPr>
            <w:tcW w:w="777" w:type="pct"/>
            <w:gridSpan w:val="2"/>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32.8</w:t>
            </w:r>
          </w:p>
        </w:tc>
        <w:tc>
          <w:tcPr>
            <w:tcW w:w="813" w:type="pct"/>
            <w:gridSpan w:val="2"/>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10.1</w:t>
            </w:r>
          </w:p>
        </w:tc>
        <w:tc>
          <w:tcPr>
            <w:tcW w:w="443" w:type="pct"/>
            <w:tcBorders>
              <w:right w:val="single" w:sz="4" w:space="0" w:color="auto"/>
            </w:tcBorders>
            <w:vAlign w:val="center"/>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4.3**</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(3.5; 5.3)</w:t>
            </w:r>
          </w:p>
        </w:tc>
        <w:tc>
          <w:tcPr>
            <w:tcW w:w="888" w:type="pct"/>
            <w:gridSpan w:val="3"/>
            <w:tcBorders>
              <w:left w:val="single" w:sz="4" w:space="0" w:color="auto"/>
            </w:tcBorders>
            <w:vAlign w:val="center"/>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24.4</w:t>
            </w:r>
          </w:p>
        </w:tc>
        <w:tc>
          <w:tcPr>
            <w:tcW w:w="958" w:type="pct"/>
            <w:gridSpan w:val="2"/>
            <w:vAlign w:val="center"/>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color w:val="000000"/>
                <w:sz w:val="16"/>
                <w:szCs w:val="16"/>
              </w:rPr>
              <w:t>9.5</w:t>
            </w:r>
          </w:p>
        </w:tc>
        <w:tc>
          <w:tcPr>
            <w:tcW w:w="440" w:type="pct"/>
            <w:tcBorders>
              <w:right w:val="single" w:sz="4" w:space="0" w:color="auto"/>
            </w:tcBorders>
            <w:vAlign w:val="center"/>
          </w:tcPr>
          <w:p w:rsidR="003B05DB" w:rsidRPr="005276D9" w:rsidRDefault="003B05DB" w:rsidP="008B5D49">
            <w:pPr>
              <w:overflowPunct w:val="0"/>
              <w:autoSpaceDE w:val="0"/>
              <w:autoSpaceDN w:val="0"/>
              <w:adjustRightInd w:val="0"/>
              <w:textAlignment w:val="baseline"/>
              <w:rPr>
                <w:color w:val="000000"/>
                <w:sz w:val="16"/>
                <w:szCs w:val="16"/>
              </w:rPr>
            </w:pP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3.1**</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(2.3; 4.1)</w:t>
            </w:r>
          </w:p>
        </w:tc>
      </w:tr>
      <w:tr w:rsidR="003B05DB" w:rsidRPr="005276D9" w:rsidTr="003B05DB">
        <w:trPr>
          <w:cantSplit/>
        </w:trPr>
        <w:tc>
          <w:tcPr>
            <w:tcW w:w="681" w:type="pct"/>
            <w:tcBorders>
              <w:top w:val="single" w:sz="4" w:space="0" w:color="auto"/>
              <w:left w:val="single" w:sz="4" w:space="0" w:color="auto"/>
              <w:bottom w:val="single" w:sz="4" w:space="0" w:color="auto"/>
              <w:right w:val="nil"/>
            </w:tcBorders>
            <w:hideMark/>
          </w:tcPr>
          <w:p w:rsidR="003B05DB" w:rsidRPr="005276D9" w:rsidRDefault="003B05DB" w:rsidP="008B5D49">
            <w:pPr>
              <w:overflowPunct w:val="0"/>
              <w:autoSpaceDE w:val="0"/>
              <w:autoSpaceDN w:val="0"/>
              <w:adjustRightInd w:val="0"/>
              <w:textAlignment w:val="baseline"/>
              <w:rPr>
                <w:b/>
                <w:bCs/>
                <w:iCs/>
                <w:color w:val="000000"/>
                <w:sz w:val="18"/>
                <w:szCs w:val="18"/>
              </w:rPr>
            </w:pPr>
            <w:r w:rsidRPr="005276D9">
              <w:rPr>
                <w:b/>
                <w:bCs/>
                <w:iCs/>
                <w:color w:val="000000"/>
                <w:sz w:val="18"/>
                <w:szCs w:val="18"/>
              </w:rPr>
              <w:t>Glycaemia and cardiometabolic factors</w:t>
            </w:r>
          </w:p>
        </w:tc>
        <w:tc>
          <w:tcPr>
            <w:tcW w:w="407" w:type="pct"/>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Baseline</w:t>
            </w:r>
          </w:p>
        </w:tc>
        <w:tc>
          <w:tcPr>
            <w:tcW w:w="370" w:type="pct"/>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Change</w:t>
            </w:r>
          </w:p>
        </w:tc>
        <w:tc>
          <w:tcPr>
            <w:tcW w:w="375" w:type="pct"/>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Baseline</w:t>
            </w:r>
          </w:p>
        </w:tc>
        <w:tc>
          <w:tcPr>
            <w:tcW w:w="438" w:type="pct"/>
            <w:tcBorders>
              <w:top w:val="single" w:sz="4" w:space="0" w:color="auto"/>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Change</w:t>
            </w:r>
          </w:p>
        </w:tc>
        <w:tc>
          <w:tcPr>
            <w:tcW w:w="443" w:type="pct"/>
            <w:tcBorders>
              <w:top w:val="single" w:sz="4" w:space="0" w:color="auto"/>
              <w:left w:val="nil"/>
              <w:bottom w:val="single" w:sz="4" w:space="0" w:color="auto"/>
              <w:righ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51" w:type="pct"/>
            <w:gridSpan w:val="2"/>
            <w:tcBorders>
              <w:top w:val="single" w:sz="4" w:space="0" w:color="auto"/>
              <w:left w:val="single" w:sz="4" w:space="0" w:color="auto"/>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Baseline</w:t>
            </w:r>
          </w:p>
        </w:tc>
        <w:tc>
          <w:tcPr>
            <w:tcW w:w="437" w:type="pct"/>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Change</w:t>
            </w:r>
          </w:p>
        </w:tc>
        <w:tc>
          <w:tcPr>
            <w:tcW w:w="517" w:type="pct"/>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Baseline</w:t>
            </w:r>
          </w:p>
        </w:tc>
        <w:tc>
          <w:tcPr>
            <w:tcW w:w="441" w:type="pct"/>
            <w:tcBorders>
              <w:top w:val="single" w:sz="4" w:space="0" w:color="auto"/>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Change</w:t>
            </w:r>
          </w:p>
        </w:tc>
        <w:tc>
          <w:tcPr>
            <w:tcW w:w="440" w:type="pct"/>
            <w:tcBorders>
              <w:top w:val="single" w:sz="4" w:space="0" w:color="auto"/>
              <w:left w:val="nil"/>
              <w:bottom w:val="single" w:sz="4" w:space="0" w:color="auto"/>
              <w:righ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r>
      <w:tr w:rsidR="003B05DB" w:rsidRPr="005276D9" w:rsidTr="003B05DB">
        <w:trPr>
          <w:cantSplit/>
        </w:trPr>
        <w:tc>
          <w:tcPr>
            <w:tcW w:w="681" w:type="pct"/>
            <w:tcBorders>
              <w:top w:val="single" w:sz="4" w:space="0" w:color="auto"/>
              <w:left w:val="single" w:sz="4" w:space="0" w:color="auto"/>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HbA1c, %</w:t>
            </w:r>
          </w:p>
        </w:tc>
        <w:tc>
          <w:tcPr>
            <w:tcW w:w="407" w:type="pct"/>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5.6</w:t>
            </w:r>
          </w:p>
        </w:tc>
        <w:tc>
          <w:tcPr>
            <w:tcW w:w="370" w:type="pct"/>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-0.3</w:t>
            </w:r>
          </w:p>
        </w:tc>
        <w:tc>
          <w:tcPr>
            <w:tcW w:w="375" w:type="pct"/>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5.6</w:t>
            </w:r>
          </w:p>
        </w:tc>
        <w:tc>
          <w:tcPr>
            <w:tcW w:w="438" w:type="pct"/>
            <w:tcBorders>
              <w:top w:val="single" w:sz="4" w:space="0" w:color="auto"/>
              <w:left w:val="nil"/>
              <w:bottom w:val="nil"/>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-0.1</w:t>
            </w:r>
          </w:p>
        </w:tc>
        <w:tc>
          <w:tcPr>
            <w:tcW w:w="443" w:type="pct"/>
            <w:tcBorders>
              <w:top w:val="single" w:sz="4" w:space="0" w:color="auto"/>
              <w:left w:val="nil"/>
              <w:bottom w:val="nil"/>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-0.23** (</w:t>
            </w:r>
            <w:r w:rsidRPr="005276D9">
              <w:rPr>
                <w:bCs/>
                <w:iCs/>
                <w:color w:val="000000"/>
                <w:sz w:val="16"/>
                <w:szCs w:val="16"/>
              </w:rPr>
              <w:noBreakHyphen/>
              <w:t xml:space="preserve">0.25; </w:t>
            </w:r>
            <w:r w:rsidRPr="005276D9">
              <w:rPr>
                <w:bCs/>
                <w:iCs/>
                <w:color w:val="000000"/>
                <w:sz w:val="16"/>
                <w:szCs w:val="16"/>
              </w:rPr>
              <w:noBreakHyphen/>
              <w:t>0.21)</w:t>
            </w:r>
          </w:p>
        </w:tc>
        <w:tc>
          <w:tcPr>
            <w:tcW w:w="451" w:type="pct"/>
            <w:gridSpan w:val="2"/>
            <w:tcBorders>
              <w:top w:val="single" w:sz="4" w:space="0" w:color="auto"/>
              <w:left w:val="single" w:sz="4" w:space="0" w:color="auto"/>
              <w:bottom w:val="nil"/>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5.8</w:t>
            </w:r>
          </w:p>
        </w:tc>
        <w:tc>
          <w:tcPr>
            <w:tcW w:w="437" w:type="pct"/>
            <w:tcBorders>
              <w:top w:val="single" w:sz="4" w:space="0" w:color="auto"/>
              <w:left w:val="nil"/>
              <w:bottom w:val="nil"/>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-0.4</w:t>
            </w:r>
          </w:p>
        </w:tc>
        <w:tc>
          <w:tcPr>
            <w:tcW w:w="517" w:type="pct"/>
            <w:tcBorders>
              <w:top w:val="single" w:sz="4" w:space="0" w:color="auto"/>
              <w:left w:val="nil"/>
              <w:bottom w:val="nil"/>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5.7</w:t>
            </w:r>
          </w:p>
        </w:tc>
        <w:tc>
          <w:tcPr>
            <w:tcW w:w="441" w:type="pct"/>
            <w:tcBorders>
              <w:top w:val="single" w:sz="4" w:space="0" w:color="auto"/>
              <w:left w:val="nil"/>
              <w:bottom w:val="nil"/>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-0.1</w:t>
            </w:r>
          </w:p>
        </w:tc>
        <w:tc>
          <w:tcPr>
            <w:tcW w:w="440" w:type="pct"/>
            <w:tcBorders>
              <w:top w:val="single" w:sz="4" w:space="0" w:color="auto"/>
              <w:left w:val="nil"/>
              <w:bottom w:val="nil"/>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-0.21**</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(-0.24; -0.18)</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FPG, mmol/L</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5.3</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-0.4</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5.3</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-0.01</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-0.38** (</w:t>
            </w:r>
            <w:r w:rsidRPr="005276D9">
              <w:rPr>
                <w:bCs/>
                <w:iCs/>
                <w:color w:val="000000"/>
                <w:sz w:val="16"/>
                <w:szCs w:val="16"/>
              </w:rPr>
              <w:noBreakHyphen/>
              <w:t xml:space="preserve">0.42; </w:t>
            </w:r>
            <w:r w:rsidRPr="005276D9">
              <w:rPr>
                <w:bCs/>
                <w:iCs/>
                <w:color w:val="000000"/>
                <w:sz w:val="16"/>
                <w:szCs w:val="16"/>
              </w:rPr>
              <w:noBreakHyphen/>
              <w:t>0.35)</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5.5</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-0.4</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5.5</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0.04</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-0.4**</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(-0.5; -0.4)</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textAlignment w:val="baseline"/>
              <w:rPr>
                <w:bCs/>
                <w:iCs/>
                <w:color w:val="000000"/>
                <w:sz w:val="18"/>
                <w:szCs w:val="18"/>
              </w:rPr>
            </w:pPr>
            <w:r w:rsidRPr="005276D9">
              <w:rPr>
                <w:bCs/>
                <w:iCs/>
                <w:color w:val="000000"/>
                <w:sz w:val="18"/>
                <w:szCs w:val="18"/>
              </w:rPr>
              <w:t>Systolic blood pressure, mmHg</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123.0</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-4.3</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123.3</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-1.5</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-2.8** (</w:t>
            </w:r>
            <w:r w:rsidRPr="005276D9">
              <w:rPr>
                <w:bCs/>
                <w:iCs/>
                <w:color w:val="000000"/>
                <w:sz w:val="16"/>
                <w:szCs w:val="16"/>
              </w:rPr>
              <w:noBreakHyphen/>
              <w:t xml:space="preserve">3.6; </w:t>
            </w:r>
            <w:r w:rsidRPr="005276D9">
              <w:rPr>
                <w:bCs/>
                <w:iCs/>
                <w:color w:val="000000"/>
                <w:sz w:val="16"/>
                <w:szCs w:val="16"/>
              </w:rPr>
              <w:noBreakHyphen/>
              <w:t>2.1)</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124.8</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-3.2</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125.0</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-0.4</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-2.8**</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(-3.8; -1.8)</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Diastolic blood pressure, mmHg</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78.7</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-2.7</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78.9</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-1.8</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-0.9*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w:t>
            </w:r>
            <w:r w:rsidRPr="005276D9">
              <w:rPr>
                <w:bCs/>
                <w:iCs/>
                <w:color w:val="000000"/>
                <w:sz w:val="16"/>
                <w:szCs w:val="16"/>
              </w:rPr>
              <w:noBreakHyphen/>
              <w:t>1.4; </w:t>
            </w:r>
            <w:r w:rsidRPr="005276D9">
              <w:rPr>
                <w:bCs/>
                <w:iCs/>
                <w:color w:val="000000"/>
                <w:sz w:val="16"/>
                <w:szCs w:val="16"/>
              </w:rPr>
              <w:noBreakHyphen/>
              <w:t>0.4)</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79.4</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-2.4</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79.8</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-1.7</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-0.6</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(-1.3; 0.1)</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Waist circumference, cm</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115.0</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-8.2</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114.5</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-4.0</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-4.2**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w:t>
            </w:r>
            <w:r w:rsidRPr="005276D9">
              <w:rPr>
                <w:bCs/>
                <w:iCs/>
                <w:color w:val="000000"/>
                <w:sz w:val="16"/>
                <w:szCs w:val="16"/>
              </w:rPr>
              <w:noBreakHyphen/>
              <w:t xml:space="preserve">4.7; </w:t>
            </w:r>
            <w:r w:rsidRPr="005276D9">
              <w:rPr>
                <w:bCs/>
                <w:iCs/>
                <w:color w:val="000000"/>
                <w:sz w:val="16"/>
                <w:szCs w:val="16"/>
              </w:rPr>
              <w:noBreakHyphen/>
              <w:t>3.7)</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116.6</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-6.9</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116.7</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-3.4</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-3.5**</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(-4.2; -2.8)</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
                <w:bCs/>
                <w:iCs/>
                <w:color w:val="000000"/>
                <w:sz w:val="18"/>
                <w:szCs w:val="18"/>
              </w:rPr>
            </w:pPr>
            <w:r w:rsidRPr="005276D9">
              <w:rPr>
                <w:b/>
                <w:bCs/>
                <w:iCs/>
                <w:color w:val="000000"/>
                <w:sz w:val="18"/>
                <w:szCs w:val="18"/>
              </w:rPr>
              <w:t>Lipids</w:t>
            </w:r>
          </w:p>
        </w:tc>
        <w:tc>
          <w:tcPr>
            <w:tcW w:w="407" w:type="pct"/>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370" w:type="pct"/>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375" w:type="pct"/>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38" w:type="pct"/>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43" w:type="pct"/>
            <w:tcBorders>
              <w:right w:val="single" w:sz="4" w:space="0" w:color="auto"/>
            </w:tcBorders>
          </w:tcPr>
          <w:p w:rsidR="003B05DB" w:rsidRPr="005276D9" w:rsidRDefault="003B05DB" w:rsidP="008B5D49">
            <w:pPr>
              <w:overflowPunct w:val="0"/>
              <w:autoSpaceDE w:val="0"/>
              <w:autoSpaceDN w:val="0"/>
              <w:adjustRightInd w:val="0"/>
              <w:jc w:val="both"/>
              <w:textAlignment w:val="baseline"/>
              <w:rPr>
                <w:bCs/>
                <w:iCs/>
                <w:color w:val="000000"/>
                <w:sz w:val="16"/>
                <w:szCs w:val="16"/>
              </w:rPr>
            </w:pP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Total cholesterol, mmol/L</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5.0</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-3.2%</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5.0</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-0.9%</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-2.3**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w:t>
            </w:r>
            <w:r w:rsidRPr="005276D9">
              <w:rPr>
                <w:bCs/>
                <w:iCs/>
                <w:color w:val="000000"/>
                <w:sz w:val="16"/>
                <w:szCs w:val="16"/>
              </w:rPr>
              <w:noBreakHyphen/>
              <w:t xml:space="preserve">3.3; </w:t>
            </w:r>
            <w:r w:rsidRPr="005276D9">
              <w:rPr>
                <w:bCs/>
                <w:iCs/>
                <w:color w:val="000000"/>
                <w:sz w:val="16"/>
                <w:szCs w:val="16"/>
              </w:rPr>
              <w:noBreakHyphen/>
              <w:t>1.3)</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5.0</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-2.9%</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5.1</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-1.2%</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-1.8*</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(-3.3; -0.2)</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lastRenderedPageBreak/>
              <w:t>LDL cholesterol, mmol/L</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2.9</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-3.1%</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2.9</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-0.7%</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-2.4*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w:t>
            </w:r>
            <w:r w:rsidRPr="005276D9">
              <w:rPr>
                <w:bCs/>
                <w:iCs/>
                <w:color w:val="000000"/>
                <w:sz w:val="16"/>
                <w:szCs w:val="16"/>
              </w:rPr>
              <w:noBreakHyphen/>
              <w:t xml:space="preserve">4.0; </w:t>
            </w:r>
            <w:r w:rsidRPr="005276D9">
              <w:rPr>
                <w:bCs/>
                <w:iCs/>
                <w:color w:val="000000"/>
                <w:sz w:val="16"/>
                <w:szCs w:val="16"/>
              </w:rPr>
              <w:noBreakHyphen/>
              <w:t>0.9)</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2.9</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-4.6%</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3.0</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-2.6%</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-2.0</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(-4.3; 0.4)</w:t>
            </w:r>
          </w:p>
        </w:tc>
      </w:tr>
      <w:tr w:rsidR="003B05DB" w:rsidRPr="005276D9" w:rsidTr="003B05DB">
        <w:trPr>
          <w:cantSplit/>
        </w:trPr>
        <w:tc>
          <w:tcPr>
            <w:tcW w:w="681" w:type="pct"/>
            <w:tcBorders>
              <w:lef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HDL cholesterol, mmol/L</w:t>
            </w:r>
          </w:p>
        </w:tc>
        <w:tc>
          <w:tcPr>
            <w:tcW w:w="407"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1.3</w:t>
            </w:r>
          </w:p>
        </w:tc>
        <w:tc>
          <w:tcPr>
            <w:tcW w:w="370"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2.3%</w:t>
            </w:r>
          </w:p>
        </w:tc>
        <w:tc>
          <w:tcPr>
            <w:tcW w:w="375"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1.3</w:t>
            </w:r>
          </w:p>
        </w:tc>
        <w:tc>
          <w:tcPr>
            <w:tcW w:w="438" w:type="pct"/>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0.5%</w:t>
            </w:r>
          </w:p>
        </w:tc>
        <w:tc>
          <w:tcPr>
            <w:tcW w:w="443" w:type="pct"/>
            <w:tcBorders>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 xml:space="preserve">1.9* </w:t>
            </w:r>
          </w:p>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(0.7; 3.0)</w:t>
            </w:r>
          </w:p>
        </w:tc>
        <w:tc>
          <w:tcPr>
            <w:tcW w:w="451" w:type="pct"/>
            <w:gridSpan w:val="2"/>
            <w:tcBorders>
              <w:lef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1.3</w:t>
            </w:r>
          </w:p>
        </w:tc>
        <w:tc>
          <w:tcPr>
            <w:tcW w:w="43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4.9%</w:t>
            </w:r>
          </w:p>
        </w:tc>
        <w:tc>
          <w:tcPr>
            <w:tcW w:w="517"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1.3</w:t>
            </w:r>
          </w:p>
        </w:tc>
        <w:tc>
          <w:tcPr>
            <w:tcW w:w="441" w:type="pct"/>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3.9%</w:t>
            </w:r>
          </w:p>
        </w:tc>
        <w:tc>
          <w:tcPr>
            <w:tcW w:w="440" w:type="pct"/>
            <w:tcBorders>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1.0</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(-0.6; 2.7)</w:t>
            </w:r>
          </w:p>
        </w:tc>
      </w:tr>
      <w:tr w:rsidR="003B05DB" w:rsidRPr="005276D9" w:rsidTr="003B05DB">
        <w:trPr>
          <w:cantSplit/>
        </w:trPr>
        <w:tc>
          <w:tcPr>
            <w:tcW w:w="681" w:type="pct"/>
            <w:tcBorders>
              <w:top w:val="nil"/>
              <w:left w:val="single" w:sz="4" w:space="0" w:color="auto"/>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8"/>
                <w:szCs w:val="18"/>
              </w:rPr>
            </w:pPr>
            <w:r w:rsidRPr="005276D9">
              <w:rPr>
                <w:bCs/>
                <w:iCs/>
                <w:color w:val="000000"/>
                <w:sz w:val="18"/>
                <w:szCs w:val="18"/>
              </w:rPr>
              <w:t>Triglycerides, mmol/L</w:t>
            </w:r>
          </w:p>
        </w:tc>
        <w:tc>
          <w:tcPr>
            <w:tcW w:w="407" w:type="pct"/>
            <w:tcBorders>
              <w:top w:val="nil"/>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1.4</w:t>
            </w:r>
          </w:p>
        </w:tc>
        <w:tc>
          <w:tcPr>
            <w:tcW w:w="370" w:type="pct"/>
            <w:tcBorders>
              <w:top w:val="nil"/>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-13.6%</w:t>
            </w:r>
          </w:p>
        </w:tc>
        <w:tc>
          <w:tcPr>
            <w:tcW w:w="375" w:type="pct"/>
            <w:tcBorders>
              <w:top w:val="nil"/>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1.5</w:t>
            </w:r>
          </w:p>
        </w:tc>
        <w:tc>
          <w:tcPr>
            <w:tcW w:w="438" w:type="pct"/>
            <w:tcBorders>
              <w:top w:val="nil"/>
              <w:left w:val="nil"/>
              <w:bottom w:val="single" w:sz="4" w:space="0" w:color="auto"/>
              <w:right w:val="nil"/>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-4.8%</w:t>
            </w:r>
          </w:p>
        </w:tc>
        <w:tc>
          <w:tcPr>
            <w:tcW w:w="443" w:type="pct"/>
            <w:tcBorders>
              <w:top w:val="nil"/>
              <w:left w:val="nil"/>
              <w:bottom w:val="single" w:sz="4" w:space="0" w:color="auto"/>
              <w:right w:val="single" w:sz="4" w:space="0" w:color="auto"/>
            </w:tcBorders>
            <w:hideMark/>
          </w:tcPr>
          <w:p w:rsidR="003B05DB" w:rsidRPr="005276D9" w:rsidRDefault="003B05DB" w:rsidP="008B5D49">
            <w:pPr>
              <w:overflowPunct w:val="0"/>
              <w:autoSpaceDE w:val="0"/>
              <w:autoSpaceDN w:val="0"/>
              <w:adjustRightInd w:val="0"/>
              <w:jc w:val="both"/>
              <w:textAlignment w:val="baseline"/>
              <w:rPr>
                <w:bCs/>
                <w:iCs/>
                <w:color w:val="000000"/>
                <w:sz w:val="16"/>
                <w:szCs w:val="16"/>
              </w:rPr>
            </w:pPr>
            <w:r w:rsidRPr="005276D9">
              <w:rPr>
                <w:bCs/>
                <w:iCs/>
                <w:color w:val="000000"/>
                <w:sz w:val="16"/>
                <w:szCs w:val="16"/>
              </w:rPr>
              <w:t>-9.3** (</w:t>
            </w:r>
            <w:r w:rsidRPr="005276D9">
              <w:rPr>
                <w:bCs/>
                <w:iCs/>
                <w:color w:val="000000"/>
                <w:sz w:val="16"/>
                <w:szCs w:val="16"/>
              </w:rPr>
              <w:noBreakHyphen/>
              <w:t xml:space="preserve">11.5; </w:t>
            </w:r>
            <w:r w:rsidRPr="005276D9">
              <w:rPr>
                <w:bCs/>
                <w:iCs/>
                <w:color w:val="000000"/>
                <w:sz w:val="16"/>
                <w:szCs w:val="16"/>
              </w:rPr>
              <w:noBreakHyphen/>
              <w:t>7.0)</w:t>
            </w:r>
          </w:p>
        </w:tc>
        <w:tc>
          <w:tcPr>
            <w:tcW w:w="451" w:type="pct"/>
            <w:gridSpan w:val="2"/>
            <w:tcBorders>
              <w:top w:val="nil"/>
              <w:left w:val="single" w:sz="4" w:space="0" w:color="auto"/>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1.5</w:t>
            </w:r>
          </w:p>
        </w:tc>
        <w:tc>
          <w:tcPr>
            <w:tcW w:w="437" w:type="pct"/>
            <w:tcBorders>
              <w:top w:val="nil"/>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-11.7%</w:t>
            </w:r>
          </w:p>
        </w:tc>
        <w:tc>
          <w:tcPr>
            <w:tcW w:w="517" w:type="pct"/>
            <w:tcBorders>
              <w:top w:val="nil"/>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1.5</w:t>
            </w:r>
          </w:p>
        </w:tc>
        <w:tc>
          <w:tcPr>
            <w:tcW w:w="441" w:type="pct"/>
            <w:tcBorders>
              <w:top w:val="nil"/>
              <w:left w:val="nil"/>
              <w:bottom w:val="single" w:sz="4" w:space="0" w:color="auto"/>
              <w:right w:val="nil"/>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-5.91%</w:t>
            </w:r>
          </w:p>
        </w:tc>
        <w:tc>
          <w:tcPr>
            <w:tcW w:w="440" w:type="pct"/>
            <w:tcBorders>
              <w:top w:val="nil"/>
              <w:left w:val="nil"/>
              <w:bottom w:val="single" w:sz="4" w:space="0" w:color="auto"/>
              <w:right w:val="single" w:sz="4" w:space="0" w:color="auto"/>
            </w:tcBorders>
          </w:tcPr>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-6.2**</w:t>
            </w:r>
          </w:p>
          <w:p w:rsidR="003B05DB" w:rsidRPr="005276D9" w:rsidRDefault="003B05DB" w:rsidP="008B5D49">
            <w:pPr>
              <w:overflowPunct w:val="0"/>
              <w:autoSpaceDE w:val="0"/>
              <w:autoSpaceDN w:val="0"/>
              <w:adjustRightInd w:val="0"/>
              <w:textAlignment w:val="baseline"/>
              <w:rPr>
                <w:color w:val="000000"/>
                <w:sz w:val="16"/>
                <w:szCs w:val="16"/>
              </w:rPr>
            </w:pPr>
            <w:r w:rsidRPr="005276D9">
              <w:rPr>
                <w:color w:val="000000"/>
                <w:sz w:val="16"/>
                <w:szCs w:val="16"/>
              </w:rPr>
              <w:t>(-9.4; -2.9)</w:t>
            </w:r>
          </w:p>
        </w:tc>
      </w:tr>
    </w:tbl>
    <w:p w:rsidR="003A5CAC" w:rsidRDefault="003A5CAC" w:rsidP="003B05DB">
      <w:pPr>
        <w:jc w:val="both"/>
        <w:rPr>
          <w:bCs/>
          <w:iCs/>
          <w:sz w:val="18"/>
          <w:szCs w:val="18"/>
        </w:rPr>
      </w:pPr>
      <w:r w:rsidRPr="003A5CAC">
        <w:rPr>
          <w:bCs/>
          <w:iCs/>
          <w:sz w:val="18"/>
          <w:szCs w:val="18"/>
          <w:vertAlign w:val="superscript"/>
        </w:rPr>
        <w:t>1</w:t>
      </w:r>
      <w:r w:rsidRPr="003A5CAC">
        <w:rPr>
          <w:bCs/>
          <w:iCs/>
          <w:sz w:val="18"/>
          <w:szCs w:val="18"/>
        </w:rPr>
        <w:t>Changes from baseline in body weight, glycaemia and cardiometabolic parameters at week 160 in patients with pre-diabetes at randomisation</w:t>
      </w:r>
    </w:p>
    <w:p w:rsidR="003B05DB" w:rsidRDefault="003B05DB" w:rsidP="003B05DB">
      <w:pPr>
        <w:jc w:val="both"/>
        <w:rPr>
          <w:lang w:val="en-AU" w:eastAsia="en-AU"/>
        </w:rPr>
      </w:pPr>
      <w:r w:rsidRPr="00F940A4">
        <w:rPr>
          <w:bCs/>
          <w:iCs/>
          <w:sz w:val="18"/>
          <w:szCs w:val="18"/>
        </w:rPr>
        <w:t>Full Analysis Set. For body weight, HbA</w:t>
      </w:r>
      <w:r w:rsidRPr="00F940A4">
        <w:rPr>
          <w:bCs/>
          <w:iCs/>
          <w:sz w:val="18"/>
          <w:szCs w:val="18"/>
          <w:vertAlign w:val="subscript"/>
        </w:rPr>
        <w:t>1c</w:t>
      </w:r>
      <w:r w:rsidRPr="00F940A4">
        <w:rPr>
          <w:bCs/>
          <w:iCs/>
          <w:sz w:val="18"/>
          <w:szCs w:val="18"/>
        </w:rPr>
        <w:t>, FPG, blood pressure and waist circumference, baseline values are means, changes from baseline at week</w:t>
      </w:r>
      <w:r>
        <w:rPr>
          <w:bCs/>
          <w:iCs/>
          <w:sz w:val="18"/>
          <w:szCs w:val="18"/>
        </w:rPr>
        <w:t>s</w:t>
      </w:r>
      <w:r w:rsidRPr="00F940A4">
        <w:rPr>
          <w:bCs/>
          <w:iCs/>
          <w:sz w:val="18"/>
          <w:szCs w:val="18"/>
        </w:rPr>
        <w:t xml:space="preserve"> 56</w:t>
      </w:r>
      <w:r>
        <w:rPr>
          <w:bCs/>
          <w:iCs/>
          <w:sz w:val="18"/>
          <w:szCs w:val="18"/>
        </w:rPr>
        <w:t xml:space="preserve"> and 160</w:t>
      </w:r>
      <w:r w:rsidRPr="00F940A4">
        <w:rPr>
          <w:bCs/>
          <w:iCs/>
          <w:sz w:val="18"/>
          <w:szCs w:val="18"/>
        </w:rPr>
        <w:t xml:space="preserve"> are estimated means (least-squares) and treatment contrasts at week</w:t>
      </w:r>
      <w:r>
        <w:rPr>
          <w:bCs/>
          <w:iCs/>
          <w:sz w:val="18"/>
          <w:szCs w:val="18"/>
        </w:rPr>
        <w:t>s</w:t>
      </w:r>
      <w:r w:rsidRPr="00F940A4">
        <w:rPr>
          <w:bCs/>
          <w:iCs/>
          <w:sz w:val="18"/>
          <w:szCs w:val="18"/>
        </w:rPr>
        <w:t xml:space="preserve"> 56 </w:t>
      </w:r>
      <w:r>
        <w:rPr>
          <w:bCs/>
          <w:iCs/>
          <w:sz w:val="18"/>
          <w:szCs w:val="18"/>
        </w:rPr>
        <w:t xml:space="preserve">and 160 </w:t>
      </w:r>
      <w:r w:rsidRPr="00F940A4">
        <w:rPr>
          <w:bCs/>
          <w:iCs/>
          <w:sz w:val="18"/>
          <w:szCs w:val="18"/>
        </w:rPr>
        <w:t>are estimated treatment differences. For the proportions of patients losing ≥5/&gt;10% body weight, estimated odds ratios are presented. For lipids, baseline values are geometric means, changes from baseline at week</w:t>
      </w:r>
      <w:r>
        <w:rPr>
          <w:bCs/>
          <w:iCs/>
          <w:sz w:val="18"/>
          <w:szCs w:val="18"/>
        </w:rPr>
        <w:t>s</w:t>
      </w:r>
      <w:r w:rsidRPr="00F940A4">
        <w:rPr>
          <w:bCs/>
          <w:iCs/>
          <w:sz w:val="18"/>
          <w:szCs w:val="18"/>
        </w:rPr>
        <w:t xml:space="preserve"> 56</w:t>
      </w:r>
      <w:r>
        <w:rPr>
          <w:bCs/>
          <w:iCs/>
          <w:sz w:val="18"/>
          <w:szCs w:val="18"/>
        </w:rPr>
        <w:t xml:space="preserve"> and 160</w:t>
      </w:r>
      <w:r w:rsidRPr="00F940A4">
        <w:rPr>
          <w:bCs/>
          <w:iCs/>
          <w:sz w:val="18"/>
          <w:szCs w:val="18"/>
        </w:rPr>
        <w:t xml:space="preserve"> are relative changes, and treatment contrasts at week</w:t>
      </w:r>
      <w:r>
        <w:rPr>
          <w:bCs/>
          <w:iCs/>
          <w:sz w:val="18"/>
          <w:szCs w:val="18"/>
        </w:rPr>
        <w:t>s</w:t>
      </w:r>
      <w:r w:rsidRPr="00F940A4">
        <w:rPr>
          <w:bCs/>
          <w:iCs/>
          <w:sz w:val="18"/>
          <w:szCs w:val="18"/>
        </w:rPr>
        <w:t xml:space="preserve"> 56</w:t>
      </w:r>
      <w:r>
        <w:rPr>
          <w:bCs/>
          <w:iCs/>
          <w:sz w:val="18"/>
          <w:szCs w:val="18"/>
        </w:rPr>
        <w:t xml:space="preserve"> and 160</w:t>
      </w:r>
      <w:r w:rsidRPr="00F940A4">
        <w:rPr>
          <w:bCs/>
          <w:iCs/>
          <w:sz w:val="18"/>
          <w:szCs w:val="18"/>
        </w:rPr>
        <w:t xml:space="preserve"> are relative treatment differences. Missing post-baseline values were imputed using the last observation carried forward. * p&lt;0.05.** p&lt;0.0001 CI=confidence interval. FPG=fasting plasma glucose. SD=standard deviation. </w:t>
      </w:r>
    </w:p>
    <w:p w:rsidR="003B05DB" w:rsidRDefault="003B05DB" w:rsidP="003B05DB">
      <w:pPr>
        <w:jc w:val="both"/>
        <w:rPr>
          <w:lang w:val="en-AU" w:eastAsia="en-AU"/>
        </w:rPr>
      </w:pPr>
    </w:p>
    <w:p w:rsidR="003B05DB" w:rsidRDefault="003B05DB" w:rsidP="003B05DB">
      <w:pPr>
        <w:jc w:val="both"/>
        <w:rPr>
          <w:noProof/>
          <w:lang w:val="en-AU"/>
        </w:rPr>
      </w:pPr>
      <w:r w:rsidRPr="00F940A4">
        <w:rPr>
          <w:b/>
          <w:i/>
          <w:lang w:val="en-AU"/>
        </w:rPr>
        <w:t>SCALE-Diabetes: Weight management in obese and overweight patients with type 2 diabetes</w:t>
      </w:r>
      <w:r w:rsidRPr="00F940A4">
        <w:rPr>
          <w:b/>
          <w:i/>
          <w:szCs w:val="22"/>
          <w:lang w:val="en-AU"/>
        </w:rPr>
        <w:t xml:space="preserve"> </w:t>
      </w:r>
    </w:p>
    <w:p w:rsidR="003B05DB" w:rsidRDefault="003B05DB" w:rsidP="003B05DB">
      <w:pPr>
        <w:jc w:val="both"/>
        <w:rPr>
          <w:b/>
          <w:bCs/>
          <w:noProof/>
          <w:sz w:val="22"/>
          <w:szCs w:val="22"/>
          <w:lang w:val="en-GB"/>
        </w:rPr>
      </w:pPr>
      <w:bookmarkStart w:id="9" w:name="_Ref417886098"/>
      <w:bookmarkStart w:id="10" w:name="_Toc416961892"/>
    </w:p>
    <w:p w:rsidR="003B05DB" w:rsidRDefault="003B05DB" w:rsidP="003B05DB">
      <w:pPr>
        <w:jc w:val="both"/>
      </w:pPr>
      <w:r w:rsidRPr="00F940A4">
        <w:rPr>
          <w:b/>
          <w:bCs/>
          <w:noProof/>
          <w:sz w:val="22"/>
          <w:szCs w:val="22"/>
          <w:lang w:val="en-GB"/>
        </w:rPr>
        <w:t xml:space="preserve">Table </w:t>
      </w:r>
      <w:bookmarkEnd w:id="9"/>
      <w:r w:rsidR="00F11A86">
        <w:rPr>
          <w:b/>
          <w:bCs/>
          <w:noProof/>
          <w:sz w:val="22"/>
          <w:szCs w:val="22"/>
          <w:lang w:val="en-GB"/>
        </w:rPr>
        <w:t>2</w:t>
      </w:r>
      <w:r w:rsidRPr="00F940A4">
        <w:rPr>
          <w:b/>
          <w:bCs/>
          <w:noProof/>
          <w:sz w:val="22"/>
          <w:szCs w:val="22"/>
          <w:lang w:val="en-GB"/>
        </w:rPr>
        <w:t>: SCALE-Diabetes Changes from baseline in body weight, glycaemia and cardiometabolic parameters at week 56</w:t>
      </w:r>
      <w:bookmarkEnd w:id="10"/>
    </w:p>
    <w:tbl>
      <w:tblPr>
        <w:tblW w:w="0" w:type="auto"/>
        <w:tblLayout w:type="fixed"/>
        <w:tblLook w:val="04A0" w:firstRow="1" w:lastRow="0" w:firstColumn="1" w:lastColumn="0" w:noHBand="0" w:noVBand="1"/>
      </w:tblPr>
      <w:tblGrid>
        <w:gridCol w:w="3939"/>
        <w:gridCol w:w="991"/>
        <w:gridCol w:w="904"/>
        <w:gridCol w:w="974"/>
        <w:gridCol w:w="889"/>
        <w:gridCol w:w="1697"/>
      </w:tblGrid>
      <w:tr w:rsidR="003B05DB" w:rsidRPr="00F940A4" w:rsidTr="008B5D49">
        <w:trPr>
          <w:cantSplit/>
        </w:trPr>
        <w:tc>
          <w:tcPr>
            <w:tcW w:w="3939" w:type="dxa"/>
            <w:tcBorders>
              <w:top w:val="single" w:sz="4" w:space="0" w:color="auto"/>
              <w:left w:val="nil"/>
              <w:bottom w:val="single" w:sz="4" w:space="0" w:color="auto"/>
              <w:right w:val="nil"/>
            </w:tcBorders>
          </w:tcPr>
          <w:p w:rsidR="003B05DB" w:rsidRPr="00F940A4" w:rsidRDefault="003B05DB" w:rsidP="008B5D49">
            <w:pPr>
              <w:autoSpaceDE w:val="0"/>
              <w:autoSpaceDN w:val="0"/>
              <w:adjustRightInd w:val="0"/>
              <w:jc w:val="both"/>
              <w:rPr>
                <w:b/>
                <w:bCs/>
                <w:noProof/>
                <w:sz w:val="22"/>
                <w:szCs w:val="22"/>
              </w:rPr>
            </w:pPr>
          </w:p>
        </w:tc>
        <w:tc>
          <w:tcPr>
            <w:tcW w:w="1895" w:type="dxa"/>
            <w:gridSpan w:val="2"/>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Saxenda</w:t>
            </w:r>
            <w:r w:rsidRPr="00F940A4">
              <w:rPr>
                <w:bCs/>
                <w:iCs/>
                <w:noProof/>
                <w:sz w:val="22"/>
                <w:szCs w:val="22"/>
                <w:vertAlign w:val="superscript"/>
                <w:lang w:val="da-DK"/>
              </w:rPr>
              <w:t>®</w:t>
            </w:r>
            <w:r w:rsidRPr="00F940A4">
              <w:rPr>
                <w:b/>
                <w:bCs/>
                <w:noProof/>
                <w:sz w:val="22"/>
                <w:szCs w:val="22"/>
              </w:rPr>
              <w:t xml:space="preserve"> (N=412)</w:t>
            </w:r>
          </w:p>
        </w:tc>
        <w:tc>
          <w:tcPr>
            <w:tcW w:w="1863" w:type="dxa"/>
            <w:gridSpan w:val="2"/>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Placebo (N=211)</w:t>
            </w:r>
          </w:p>
        </w:tc>
        <w:tc>
          <w:tcPr>
            <w:tcW w:w="1697"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Saxenda</w:t>
            </w:r>
            <w:r w:rsidRPr="00F940A4">
              <w:rPr>
                <w:bCs/>
                <w:iCs/>
                <w:noProof/>
                <w:sz w:val="22"/>
                <w:szCs w:val="22"/>
                <w:vertAlign w:val="superscript"/>
                <w:lang w:val="da-DK"/>
              </w:rPr>
              <w:t>®</w:t>
            </w:r>
            <w:r w:rsidRPr="00F940A4">
              <w:rPr>
                <w:b/>
                <w:bCs/>
                <w:noProof/>
                <w:sz w:val="22"/>
                <w:szCs w:val="22"/>
              </w:rPr>
              <w:t xml:space="preserve"> vs. placebo</w:t>
            </w:r>
          </w:p>
        </w:tc>
      </w:tr>
      <w:tr w:rsidR="003B05DB" w:rsidRPr="00F940A4" w:rsidTr="008B5D49">
        <w:trPr>
          <w:cantSplit/>
        </w:trPr>
        <w:tc>
          <w:tcPr>
            <w:tcW w:w="3939"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Body weight</w:t>
            </w:r>
          </w:p>
        </w:tc>
        <w:tc>
          <w:tcPr>
            <w:tcW w:w="1895" w:type="dxa"/>
            <w:gridSpan w:val="2"/>
            <w:tcBorders>
              <w:top w:val="single" w:sz="4" w:space="0" w:color="auto"/>
              <w:left w:val="nil"/>
              <w:bottom w:val="single" w:sz="4" w:space="0" w:color="auto"/>
              <w:right w:val="nil"/>
            </w:tcBorders>
          </w:tcPr>
          <w:p w:rsidR="003B05DB" w:rsidRPr="00F940A4" w:rsidRDefault="003B05DB" w:rsidP="008B5D49">
            <w:pPr>
              <w:autoSpaceDE w:val="0"/>
              <w:autoSpaceDN w:val="0"/>
              <w:adjustRightInd w:val="0"/>
              <w:jc w:val="both"/>
              <w:rPr>
                <w:bCs/>
                <w:noProof/>
                <w:sz w:val="22"/>
                <w:szCs w:val="22"/>
              </w:rPr>
            </w:pPr>
          </w:p>
        </w:tc>
        <w:tc>
          <w:tcPr>
            <w:tcW w:w="1863" w:type="dxa"/>
            <w:gridSpan w:val="2"/>
            <w:tcBorders>
              <w:top w:val="single" w:sz="4" w:space="0" w:color="auto"/>
              <w:left w:val="nil"/>
              <w:bottom w:val="single" w:sz="4" w:space="0" w:color="auto"/>
              <w:right w:val="nil"/>
            </w:tcBorders>
          </w:tcPr>
          <w:p w:rsidR="003B05DB" w:rsidRPr="00F940A4" w:rsidRDefault="003B05DB" w:rsidP="008B5D49">
            <w:pPr>
              <w:autoSpaceDE w:val="0"/>
              <w:autoSpaceDN w:val="0"/>
              <w:adjustRightInd w:val="0"/>
              <w:jc w:val="both"/>
              <w:rPr>
                <w:bCs/>
                <w:noProof/>
                <w:sz w:val="22"/>
                <w:szCs w:val="22"/>
              </w:rPr>
            </w:pPr>
          </w:p>
        </w:tc>
        <w:tc>
          <w:tcPr>
            <w:tcW w:w="1697" w:type="dxa"/>
            <w:tcBorders>
              <w:top w:val="single" w:sz="4" w:space="0" w:color="auto"/>
              <w:left w:val="nil"/>
              <w:bottom w:val="single" w:sz="4" w:space="0" w:color="auto"/>
              <w:right w:val="nil"/>
            </w:tcBorders>
          </w:tcPr>
          <w:p w:rsidR="003B05DB" w:rsidRPr="00F940A4" w:rsidRDefault="003B05DB" w:rsidP="008B5D49">
            <w:pPr>
              <w:autoSpaceDE w:val="0"/>
              <w:autoSpaceDN w:val="0"/>
              <w:adjustRightInd w:val="0"/>
              <w:jc w:val="both"/>
              <w:rPr>
                <w:bCs/>
                <w:noProof/>
                <w:sz w:val="22"/>
                <w:szCs w:val="22"/>
              </w:rPr>
            </w:pPr>
          </w:p>
        </w:tc>
      </w:tr>
      <w:tr w:rsidR="003B05DB" w:rsidRPr="00F940A4" w:rsidTr="008B5D49">
        <w:trPr>
          <w:cantSplit/>
        </w:trPr>
        <w:tc>
          <w:tcPr>
            <w:tcW w:w="3939"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Baseline, kg (SD)</w:t>
            </w:r>
          </w:p>
        </w:tc>
        <w:tc>
          <w:tcPr>
            <w:tcW w:w="1895" w:type="dxa"/>
            <w:gridSpan w:val="2"/>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105.6 (21.9)</w:t>
            </w:r>
          </w:p>
        </w:tc>
        <w:tc>
          <w:tcPr>
            <w:tcW w:w="1863" w:type="dxa"/>
            <w:gridSpan w:val="2"/>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106.7 (21.2)</w:t>
            </w:r>
          </w:p>
        </w:tc>
        <w:tc>
          <w:tcPr>
            <w:tcW w:w="1697"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Mean change at week 56, % (95% CI)</w:t>
            </w:r>
          </w:p>
        </w:tc>
        <w:tc>
          <w:tcPr>
            <w:tcW w:w="1895" w:type="dxa"/>
            <w:gridSpan w:val="2"/>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5.9</w:t>
            </w:r>
          </w:p>
        </w:tc>
        <w:tc>
          <w:tcPr>
            <w:tcW w:w="1863" w:type="dxa"/>
            <w:gridSpan w:val="2"/>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2.0</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4.0** (</w:t>
            </w:r>
            <w:r w:rsidRPr="00F940A4">
              <w:rPr>
                <w:bCs/>
                <w:noProof/>
                <w:sz w:val="22"/>
                <w:szCs w:val="22"/>
              </w:rPr>
              <w:noBreakHyphen/>
              <w:t xml:space="preserve">4.8; </w:t>
            </w:r>
            <w:r w:rsidRPr="00F940A4">
              <w:rPr>
                <w:bCs/>
                <w:noProof/>
                <w:sz w:val="22"/>
                <w:szCs w:val="22"/>
              </w:rPr>
              <w:noBreakHyphen/>
              <w:t>3.1)</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Mean change at week 56, kg (95% CI)</w:t>
            </w:r>
          </w:p>
        </w:tc>
        <w:tc>
          <w:tcPr>
            <w:tcW w:w="1895" w:type="dxa"/>
            <w:gridSpan w:val="2"/>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6.2</w:t>
            </w:r>
          </w:p>
        </w:tc>
        <w:tc>
          <w:tcPr>
            <w:tcW w:w="1863" w:type="dxa"/>
            <w:gridSpan w:val="2"/>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2.2</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noBreakHyphen/>
              <w:t>4.1** (</w:t>
            </w:r>
            <w:r w:rsidRPr="00F940A4">
              <w:rPr>
                <w:bCs/>
                <w:noProof/>
                <w:sz w:val="22"/>
                <w:szCs w:val="22"/>
              </w:rPr>
              <w:noBreakHyphen/>
              <w:t xml:space="preserve">5.0; </w:t>
            </w:r>
            <w:r w:rsidRPr="00F940A4">
              <w:rPr>
                <w:bCs/>
                <w:noProof/>
                <w:sz w:val="22"/>
                <w:szCs w:val="22"/>
              </w:rPr>
              <w:noBreakHyphen/>
              <w:t>3.1)</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Proportion of patients losing ≥5% body weight at week 56, % (95% CI)</w:t>
            </w:r>
          </w:p>
        </w:tc>
        <w:tc>
          <w:tcPr>
            <w:tcW w:w="1895" w:type="dxa"/>
            <w:gridSpan w:val="2"/>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49.8</w:t>
            </w:r>
          </w:p>
        </w:tc>
        <w:tc>
          <w:tcPr>
            <w:tcW w:w="1863" w:type="dxa"/>
            <w:gridSpan w:val="2"/>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13.5</w:t>
            </w:r>
          </w:p>
        </w:tc>
        <w:tc>
          <w:tcPr>
            <w:tcW w:w="1697" w:type="dxa"/>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6.4**</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(4.1; 10.0)</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Proportion of patients losing &gt;10% body weight at week 56, % (95% CI)</w:t>
            </w:r>
          </w:p>
        </w:tc>
        <w:tc>
          <w:tcPr>
            <w:tcW w:w="1895" w:type="dxa"/>
            <w:gridSpan w:val="2"/>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22.9</w:t>
            </w:r>
          </w:p>
        </w:tc>
        <w:tc>
          <w:tcPr>
            <w:tcW w:w="1863" w:type="dxa"/>
            <w:gridSpan w:val="2"/>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4.2</w:t>
            </w:r>
          </w:p>
        </w:tc>
        <w:tc>
          <w:tcPr>
            <w:tcW w:w="1697" w:type="dxa"/>
            <w:vAlign w:val="center"/>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6.8**</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(3.4; 13.8)</w:t>
            </w:r>
          </w:p>
        </w:tc>
      </w:tr>
      <w:tr w:rsidR="003B05DB" w:rsidRPr="00F940A4" w:rsidTr="008B5D49">
        <w:trPr>
          <w:cantSplit/>
        </w:trPr>
        <w:tc>
          <w:tcPr>
            <w:tcW w:w="3939"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Glycaemia and cardiometabolic factors</w:t>
            </w:r>
          </w:p>
        </w:tc>
        <w:tc>
          <w:tcPr>
            <w:tcW w:w="991"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Baseline</w:t>
            </w:r>
          </w:p>
        </w:tc>
        <w:tc>
          <w:tcPr>
            <w:tcW w:w="904"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Change</w:t>
            </w:r>
          </w:p>
        </w:tc>
        <w:tc>
          <w:tcPr>
            <w:tcW w:w="974"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Baseline</w:t>
            </w:r>
          </w:p>
        </w:tc>
        <w:tc>
          <w:tcPr>
            <w:tcW w:w="889" w:type="dxa"/>
            <w:tcBorders>
              <w:top w:val="single" w:sz="4" w:space="0" w:color="auto"/>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Change</w:t>
            </w:r>
          </w:p>
        </w:tc>
        <w:tc>
          <w:tcPr>
            <w:tcW w:w="1697" w:type="dxa"/>
            <w:tcBorders>
              <w:top w:val="single" w:sz="4" w:space="0" w:color="auto"/>
              <w:left w:val="nil"/>
              <w:bottom w:val="single" w:sz="4" w:space="0" w:color="auto"/>
              <w:right w:val="nil"/>
            </w:tcBorders>
          </w:tcPr>
          <w:p w:rsidR="003B05DB" w:rsidRPr="00F940A4" w:rsidRDefault="003B05DB" w:rsidP="008B5D49">
            <w:pPr>
              <w:autoSpaceDE w:val="0"/>
              <w:autoSpaceDN w:val="0"/>
              <w:adjustRightInd w:val="0"/>
              <w:jc w:val="both"/>
              <w:rPr>
                <w:bCs/>
                <w:noProof/>
                <w:sz w:val="22"/>
                <w:szCs w:val="22"/>
              </w:rPr>
            </w:pPr>
          </w:p>
        </w:tc>
      </w:tr>
      <w:tr w:rsidR="003B05DB" w:rsidRPr="00F940A4" w:rsidTr="008B5D49">
        <w:trPr>
          <w:cantSplit/>
        </w:trPr>
        <w:tc>
          <w:tcPr>
            <w:tcW w:w="3939"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HbA1c, %</w:t>
            </w:r>
          </w:p>
        </w:tc>
        <w:tc>
          <w:tcPr>
            <w:tcW w:w="991"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7.9</w:t>
            </w:r>
          </w:p>
        </w:tc>
        <w:tc>
          <w:tcPr>
            <w:tcW w:w="904"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-1.3</w:t>
            </w:r>
          </w:p>
        </w:tc>
        <w:tc>
          <w:tcPr>
            <w:tcW w:w="974"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7.9</w:t>
            </w:r>
          </w:p>
        </w:tc>
        <w:tc>
          <w:tcPr>
            <w:tcW w:w="889"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-0.4</w:t>
            </w:r>
          </w:p>
        </w:tc>
        <w:tc>
          <w:tcPr>
            <w:tcW w:w="1697" w:type="dxa"/>
            <w:tcBorders>
              <w:top w:val="single" w:sz="4" w:space="0" w:color="auto"/>
              <w:left w:val="nil"/>
              <w:bottom w:val="nil"/>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-0.9** (</w:t>
            </w:r>
            <w:r w:rsidRPr="00F940A4">
              <w:rPr>
                <w:bCs/>
                <w:noProof/>
                <w:sz w:val="22"/>
                <w:szCs w:val="22"/>
              </w:rPr>
              <w:noBreakHyphen/>
              <w:t xml:space="preserve">1.1; </w:t>
            </w:r>
            <w:r w:rsidRPr="00F940A4">
              <w:rPr>
                <w:bCs/>
                <w:noProof/>
                <w:sz w:val="22"/>
                <w:szCs w:val="22"/>
              </w:rPr>
              <w:noBreakHyphen/>
              <w:t>0.8)</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FPG, mmol/L</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8.8</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-1.9</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8.6</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-0.1</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-1.8** (</w:t>
            </w:r>
            <w:r w:rsidRPr="00F940A4">
              <w:rPr>
                <w:bCs/>
                <w:noProof/>
                <w:sz w:val="22"/>
                <w:szCs w:val="22"/>
              </w:rPr>
              <w:noBreakHyphen/>
              <w:t xml:space="preserve">2.1; </w:t>
            </w:r>
            <w:r w:rsidRPr="00F940A4">
              <w:rPr>
                <w:bCs/>
                <w:noProof/>
                <w:sz w:val="22"/>
                <w:szCs w:val="22"/>
              </w:rPr>
              <w:noBreakHyphen/>
              <w:t>1.4)</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Systolic blood pressure, mmHg</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128.9</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-3.0</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129.2</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-0.4</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 xml:space="preserve">-2.6* </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 xml:space="preserve">4.6; </w:t>
            </w:r>
            <w:r w:rsidRPr="00F940A4">
              <w:rPr>
                <w:bCs/>
                <w:noProof/>
                <w:sz w:val="22"/>
                <w:szCs w:val="22"/>
              </w:rPr>
              <w:noBreakHyphen/>
              <w:t>0.6)</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Diastolic blood pressure, mmHg</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79.0</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-1.0</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79.3</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-0.6</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-0.4</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1.7; 1.0)</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Waist circumference, cm</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118.1</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-6.0</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117.3</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-2.8</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-3.2** (</w:t>
            </w:r>
            <w:r w:rsidRPr="00F940A4">
              <w:rPr>
                <w:bCs/>
                <w:noProof/>
                <w:sz w:val="22"/>
                <w:szCs w:val="22"/>
              </w:rPr>
              <w:noBreakHyphen/>
              <w:t xml:space="preserve">4.2; </w:t>
            </w:r>
            <w:r w:rsidRPr="00F940A4">
              <w:rPr>
                <w:bCs/>
                <w:noProof/>
                <w:sz w:val="22"/>
                <w:szCs w:val="22"/>
              </w:rPr>
              <w:noBreakHyphen/>
              <w:t>2.2)</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
                <w:bCs/>
                <w:noProof/>
                <w:sz w:val="22"/>
                <w:szCs w:val="22"/>
              </w:rPr>
            </w:pPr>
            <w:r w:rsidRPr="00F940A4">
              <w:rPr>
                <w:b/>
                <w:bCs/>
                <w:noProof/>
                <w:sz w:val="22"/>
                <w:szCs w:val="22"/>
              </w:rPr>
              <w:t>Lipids</w:t>
            </w:r>
          </w:p>
        </w:tc>
        <w:tc>
          <w:tcPr>
            <w:tcW w:w="991" w:type="dxa"/>
          </w:tcPr>
          <w:p w:rsidR="003B05DB" w:rsidRPr="00F940A4" w:rsidRDefault="003B05DB" w:rsidP="008B5D49">
            <w:pPr>
              <w:autoSpaceDE w:val="0"/>
              <w:autoSpaceDN w:val="0"/>
              <w:adjustRightInd w:val="0"/>
              <w:jc w:val="both"/>
              <w:rPr>
                <w:bCs/>
                <w:noProof/>
                <w:sz w:val="22"/>
                <w:szCs w:val="22"/>
              </w:rPr>
            </w:pPr>
          </w:p>
        </w:tc>
        <w:tc>
          <w:tcPr>
            <w:tcW w:w="904" w:type="dxa"/>
          </w:tcPr>
          <w:p w:rsidR="003B05DB" w:rsidRPr="00F940A4" w:rsidRDefault="003B05DB" w:rsidP="008B5D49">
            <w:pPr>
              <w:autoSpaceDE w:val="0"/>
              <w:autoSpaceDN w:val="0"/>
              <w:adjustRightInd w:val="0"/>
              <w:jc w:val="both"/>
              <w:rPr>
                <w:bCs/>
                <w:noProof/>
                <w:sz w:val="22"/>
                <w:szCs w:val="22"/>
              </w:rPr>
            </w:pPr>
          </w:p>
        </w:tc>
        <w:tc>
          <w:tcPr>
            <w:tcW w:w="974" w:type="dxa"/>
          </w:tcPr>
          <w:p w:rsidR="003B05DB" w:rsidRPr="00F940A4" w:rsidRDefault="003B05DB" w:rsidP="008B5D49">
            <w:pPr>
              <w:autoSpaceDE w:val="0"/>
              <w:autoSpaceDN w:val="0"/>
              <w:adjustRightInd w:val="0"/>
              <w:jc w:val="both"/>
              <w:rPr>
                <w:bCs/>
                <w:noProof/>
                <w:sz w:val="22"/>
                <w:szCs w:val="22"/>
              </w:rPr>
            </w:pPr>
          </w:p>
        </w:tc>
        <w:tc>
          <w:tcPr>
            <w:tcW w:w="889" w:type="dxa"/>
          </w:tcPr>
          <w:p w:rsidR="003B05DB" w:rsidRPr="00F940A4" w:rsidRDefault="003B05DB" w:rsidP="008B5D49">
            <w:pPr>
              <w:autoSpaceDE w:val="0"/>
              <w:autoSpaceDN w:val="0"/>
              <w:adjustRightInd w:val="0"/>
              <w:jc w:val="both"/>
              <w:rPr>
                <w:bCs/>
                <w:noProof/>
                <w:sz w:val="22"/>
                <w:szCs w:val="22"/>
              </w:rPr>
            </w:pPr>
          </w:p>
        </w:tc>
        <w:tc>
          <w:tcPr>
            <w:tcW w:w="1697" w:type="dxa"/>
          </w:tcPr>
          <w:p w:rsidR="003B05DB" w:rsidRPr="00F940A4" w:rsidRDefault="003B05DB" w:rsidP="008B5D49">
            <w:pPr>
              <w:autoSpaceDE w:val="0"/>
              <w:autoSpaceDN w:val="0"/>
              <w:adjustRightInd w:val="0"/>
              <w:jc w:val="both"/>
              <w:rPr>
                <w:bCs/>
                <w:noProof/>
                <w:sz w:val="22"/>
                <w:szCs w:val="22"/>
              </w:rPr>
            </w:pP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Total cholesterol, mmol/L</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4.4</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-1.4%</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4.4</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2.3%</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 xml:space="preserve">-3.6* </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 xml:space="preserve">6.3; </w:t>
            </w:r>
            <w:r w:rsidRPr="00F940A4">
              <w:rPr>
                <w:bCs/>
                <w:noProof/>
                <w:sz w:val="22"/>
                <w:szCs w:val="22"/>
              </w:rPr>
              <w:noBreakHyphen/>
              <w:t>0.8)</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LDL cholesterol, mmol/L</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2.2</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0.8%</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2.2</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3.1%</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-2.2</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7.0; 2.8)</w:t>
            </w:r>
          </w:p>
        </w:tc>
      </w:tr>
      <w:tr w:rsidR="003B05DB" w:rsidRPr="00F940A4" w:rsidTr="008B5D49">
        <w:trPr>
          <w:cantSplit/>
        </w:trPr>
        <w:tc>
          <w:tcPr>
            <w:tcW w:w="393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HDL Cholesterol, mmol/L</w:t>
            </w:r>
          </w:p>
        </w:tc>
        <w:tc>
          <w:tcPr>
            <w:tcW w:w="991"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1.2</w:t>
            </w:r>
          </w:p>
        </w:tc>
        <w:tc>
          <w:tcPr>
            <w:tcW w:w="90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4.8%</w:t>
            </w:r>
          </w:p>
        </w:tc>
        <w:tc>
          <w:tcPr>
            <w:tcW w:w="974"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1.2</w:t>
            </w:r>
          </w:p>
        </w:tc>
        <w:tc>
          <w:tcPr>
            <w:tcW w:w="889"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2.0%</w:t>
            </w:r>
          </w:p>
        </w:tc>
        <w:tc>
          <w:tcPr>
            <w:tcW w:w="1697" w:type="dxa"/>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2.8*</w:t>
            </w:r>
          </w:p>
          <w:p w:rsidR="003B05DB" w:rsidRPr="00F940A4" w:rsidRDefault="003B05DB" w:rsidP="008B5D49">
            <w:pPr>
              <w:autoSpaceDE w:val="0"/>
              <w:autoSpaceDN w:val="0"/>
              <w:adjustRightInd w:val="0"/>
              <w:jc w:val="both"/>
              <w:rPr>
                <w:bCs/>
                <w:noProof/>
                <w:sz w:val="22"/>
                <w:szCs w:val="22"/>
              </w:rPr>
            </w:pPr>
            <w:r w:rsidRPr="00F940A4">
              <w:rPr>
                <w:bCs/>
                <w:noProof/>
                <w:sz w:val="22"/>
                <w:szCs w:val="22"/>
              </w:rPr>
              <w:t>(0.2; 5.3)</w:t>
            </w:r>
          </w:p>
        </w:tc>
      </w:tr>
      <w:tr w:rsidR="003B05DB" w:rsidRPr="00F940A4" w:rsidTr="008B5D49">
        <w:trPr>
          <w:cantSplit/>
        </w:trPr>
        <w:tc>
          <w:tcPr>
            <w:tcW w:w="3939"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Triglycerides, mmol/L</w:t>
            </w:r>
          </w:p>
        </w:tc>
        <w:tc>
          <w:tcPr>
            <w:tcW w:w="991"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1.8</w:t>
            </w:r>
          </w:p>
        </w:tc>
        <w:tc>
          <w:tcPr>
            <w:tcW w:w="904"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-14.6%</w:t>
            </w:r>
          </w:p>
        </w:tc>
        <w:tc>
          <w:tcPr>
            <w:tcW w:w="974"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1.8</w:t>
            </w:r>
          </w:p>
        </w:tc>
        <w:tc>
          <w:tcPr>
            <w:tcW w:w="889"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-1.1%</w:t>
            </w:r>
          </w:p>
        </w:tc>
        <w:tc>
          <w:tcPr>
            <w:tcW w:w="1697" w:type="dxa"/>
            <w:tcBorders>
              <w:top w:val="nil"/>
              <w:left w:val="nil"/>
              <w:bottom w:val="single" w:sz="4" w:space="0" w:color="auto"/>
              <w:right w:val="nil"/>
            </w:tcBorders>
            <w:hideMark/>
          </w:tcPr>
          <w:p w:rsidR="003B05DB" w:rsidRPr="00F940A4" w:rsidRDefault="003B05DB" w:rsidP="008B5D49">
            <w:pPr>
              <w:autoSpaceDE w:val="0"/>
              <w:autoSpaceDN w:val="0"/>
              <w:adjustRightInd w:val="0"/>
              <w:jc w:val="both"/>
              <w:rPr>
                <w:bCs/>
                <w:noProof/>
                <w:sz w:val="22"/>
                <w:szCs w:val="22"/>
              </w:rPr>
            </w:pPr>
            <w:r w:rsidRPr="00F940A4">
              <w:rPr>
                <w:bCs/>
                <w:noProof/>
                <w:sz w:val="22"/>
                <w:szCs w:val="22"/>
              </w:rPr>
              <w:t>-13.7** (</w:t>
            </w:r>
            <w:r w:rsidRPr="00F940A4">
              <w:rPr>
                <w:bCs/>
                <w:noProof/>
                <w:sz w:val="22"/>
                <w:szCs w:val="22"/>
              </w:rPr>
              <w:noBreakHyphen/>
              <w:t xml:space="preserve">19.5; </w:t>
            </w:r>
            <w:r w:rsidRPr="00F940A4">
              <w:rPr>
                <w:bCs/>
                <w:noProof/>
                <w:sz w:val="22"/>
                <w:szCs w:val="22"/>
              </w:rPr>
              <w:noBreakHyphen/>
              <w:t>7.4)</w:t>
            </w:r>
          </w:p>
        </w:tc>
      </w:tr>
    </w:tbl>
    <w:p w:rsidR="003B05DB" w:rsidRDefault="003B05DB" w:rsidP="003B05DB">
      <w:pPr>
        <w:jc w:val="both"/>
      </w:pPr>
      <w:r w:rsidRPr="00F940A4">
        <w:rPr>
          <w:bCs/>
          <w:noProof/>
          <w:sz w:val="18"/>
          <w:szCs w:val="18"/>
        </w:rPr>
        <w:t xml:space="preserve">Full Analysis Set. For body weight, </w:t>
      </w:r>
      <w:r w:rsidRPr="00F940A4">
        <w:rPr>
          <w:bCs/>
          <w:iCs/>
          <w:noProof/>
          <w:sz w:val="18"/>
          <w:szCs w:val="18"/>
        </w:rPr>
        <w:t>HbA</w:t>
      </w:r>
      <w:r w:rsidRPr="00F940A4">
        <w:rPr>
          <w:bCs/>
          <w:iCs/>
          <w:noProof/>
          <w:sz w:val="18"/>
          <w:szCs w:val="18"/>
          <w:vertAlign w:val="subscript"/>
        </w:rPr>
        <w:t>1c</w:t>
      </w:r>
      <w:r w:rsidRPr="00F940A4">
        <w:rPr>
          <w:bCs/>
          <w:noProof/>
          <w:sz w:val="18"/>
          <w:szCs w:val="18"/>
        </w:rPr>
        <w:t xml:space="preserve">, FPG, blood pressure and waist circumference, baseline values are means, changes from baseline at week 56 are estimated means (least-squares) and treatment contrasts at week 56 are estimated treatment differences. For the proportions of patients losing ≥5/&gt;10% body weight, estimated odds ratios are presented. For lipids, baseline values are geometric means, changes from baseline at week 56 are relative changes, and treatment contrasts at week </w:t>
      </w:r>
      <w:r w:rsidRPr="00F940A4">
        <w:rPr>
          <w:bCs/>
          <w:noProof/>
          <w:sz w:val="18"/>
          <w:szCs w:val="18"/>
        </w:rPr>
        <w:lastRenderedPageBreak/>
        <w:t xml:space="preserve">56 are relative treatment differences. Missing post-baseline values were imputed using the last observation carried forward. * p&lt;0.05. ** p&lt;0.0001. CI=confidence interval. FPG=fasting plasma glucose. SD=standard deviation. </w:t>
      </w:r>
    </w:p>
    <w:p w:rsidR="003B05DB" w:rsidRDefault="003B05DB" w:rsidP="003B05DB">
      <w:pPr>
        <w:jc w:val="both"/>
      </w:pPr>
    </w:p>
    <w:p w:rsidR="003B05DB" w:rsidRDefault="003B05DB" w:rsidP="003B05DB">
      <w:pPr>
        <w:jc w:val="both"/>
      </w:pPr>
      <w:r w:rsidRPr="00F940A4">
        <w:rPr>
          <w:b/>
          <w:bCs/>
          <w:i/>
          <w:lang w:val="en-AU"/>
        </w:rPr>
        <w:t>SCALE-Sleep Apnoea: Weight management in obese patients with moderate or severe obstructive sleep apnoea</w:t>
      </w:r>
    </w:p>
    <w:p w:rsidR="003B05DB" w:rsidRDefault="003B05DB" w:rsidP="003B05DB">
      <w:pPr>
        <w:jc w:val="both"/>
      </w:pPr>
    </w:p>
    <w:p w:rsidR="003B05DB" w:rsidRDefault="003B05DB" w:rsidP="003B05DB">
      <w:pPr>
        <w:jc w:val="both"/>
      </w:pPr>
      <w:bookmarkStart w:id="11" w:name="_Ref367814571"/>
      <w:bookmarkStart w:id="12" w:name="_Toc367798060"/>
      <w:bookmarkStart w:id="13" w:name="_Toc367810991"/>
      <w:bookmarkStart w:id="14" w:name="_Toc367824073"/>
      <w:bookmarkStart w:id="15" w:name="_Toc371348378"/>
      <w:bookmarkStart w:id="16" w:name="_Toc371348502"/>
      <w:bookmarkStart w:id="17" w:name="_Toc372217452"/>
      <w:bookmarkStart w:id="18" w:name="_Toc372218900"/>
      <w:bookmarkStart w:id="19" w:name="_Toc372567080"/>
      <w:bookmarkStart w:id="20" w:name="_Toc372567102"/>
      <w:bookmarkStart w:id="21" w:name="_Toc373820384"/>
      <w:bookmarkStart w:id="22" w:name="_Toc375220862"/>
      <w:bookmarkStart w:id="23" w:name="_Toc375220884"/>
      <w:bookmarkStart w:id="24" w:name="_Toc375220912"/>
      <w:bookmarkStart w:id="25" w:name="_Toc377572621"/>
      <w:r w:rsidRPr="00F940A4">
        <w:rPr>
          <w:b/>
          <w:bCs/>
          <w:szCs w:val="22"/>
          <w:lang w:val="en-AU"/>
        </w:rPr>
        <w:t xml:space="preserve">Table </w:t>
      </w:r>
      <w:bookmarkEnd w:id="11"/>
      <w:r w:rsidR="00F11A86">
        <w:rPr>
          <w:b/>
          <w:bCs/>
          <w:szCs w:val="22"/>
          <w:lang w:val="en-AU"/>
        </w:rPr>
        <w:t>3</w:t>
      </w:r>
      <w:r w:rsidRPr="00F940A4">
        <w:rPr>
          <w:b/>
          <w:bCs/>
          <w:szCs w:val="22"/>
          <w:lang w:val="en-AU"/>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940A4">
        <w:rPr>
          <w:b/>
          <w:bCs/>
          <w:szCs w:val="22"/>
          <w:lang w:val="en-AU"/>
        </w:rPr>
        <w:t>SCALE-Sleep Apnoea</w:t>
      </w:r>
      <w:r w:rsidRPr="00F940A4">
        <w:rPr>
          <w:szCs w:val="22"/>
          <w:lang w:val="en-AU" w:eastAsia="en-AU"/>
        </w:rPr>
        <w:t xml:space="preserve"> </w:t>
      </w:r>
      <w:r w:rsidRPr="00F940A4">
        <w:rPr>
          <w:b/>
          <w:szCs w:val="22"/>
          <w:lang w:val="en-AU" w:eastAsia="en-AU"/>
        </w:rPr>
        <w:t>Changes from baseline in body weight and Apnoea-Hypopnoea Index at week 32</w:t>
      </w:r>
    </w:p>
    <w:tbl>
      <w:tblPr>
        <w:tblW w:w="0" w:type="auto"/>
        <w:tblLayout w:type="fixed"/>
        <w:tblLook w:val="04A0" w:firstRow="1" w:lastRow="0" w:firstColumn="1" w:lastColumn="0" w:noHBand="0" w:noVBand="1"/>
      </w:tblPr>
      <w:tblGrid>
        <w:gridCol w:w="3859"/>
        <w:gridCol w:w="995"/>
        <w:gridCol w:w="908"/>
        <w:gridCol w:w="974"/>
        <w:gridCol w:w="889"/>
        <w:gridCol w:w="1769"/>
      </w:tblGrid>
      <w:tr w:rsidR="003B05DB" w:rsidRPr="00F940A4" w:rsidTr="008B5D49">
        <w:tc>
          <w:tcPr>
            <w:tcW w:w="3859" w:type="dxa"/>
            <w:tcBorders>
              <w:top w:val="single" w:sz="4" w:space="0" w:color="auto"/>
              <w:left w:val="nil"/>
              <w:bottom w:val="single" w:sz="4" w:space="0" w:color="auto"/>
              <w:right w:val="nil"/>
            </w:tcBorders>
          </w:tcPr>
          <w:p w:rsidR="003B05DB" w:rsidRPr="00F940A4" w:rsidRDefault="003B05DB" w:rsidP="008B5D49">
            <w:pPr>
              <w:pStyle w:val="BodyText"/>
              <w:rPr>
                <w:b/>
                <w:bCs/>
                <w:szCs w:val="22"/>
                <w:lang w:val="en-US"/>
              </w:rPr>
            </w:pPr>
          </w:p>
        </w:tc>
        <w:tc>
          <w:tcPr>
            <w:tcW w:w="1903" w:type="dxa"/>
            <w:gridSpan w:val="2"/>
            <w:tcBorders>
              <w:top w:val="single" w:sz="4" w:space="0" w:color="auto"/>
              <w:left w:val="nil"/>
              <w:bottom w:val="single" w:sz="4" w:space="0" w:color="auto"/>
              <w:right w:val="nil"/>
            </w:tcBorders>
            <w:hideMark/>
          </w:tcPr>
          <w:p w:rsidR="003B05DB" w:rsidRPr="00F940A4" w:rsidRDefault="003B05DB" w:rsidP="008B5D49">
            <w:pPr>
              <w:pStyle w:val="BodyText"/>
              <w:rPr>
                <w:b/>
                <w:bCs/>
                <w:szCs w:val="22"/>
                <w:lang w:val="en-US"/>
              </w:rPr>
            </w:pPr>
            <w:r w:rsidRPr="00F940A4">
              <w:rPr>
                <w:b/>
                <w:bCs/>
                <w:szCs w:val="22"/>
                <w:lang w:val="en-US"/>
              </w:rPr>
              <w:t>Saxenda</w:t>
            </w:r>
            <w:r w:rsidRPr="00F940A4">
              <w:rPr>
                <w:bCs/>
                <w:iCs/>
                <w:szCs w:val="22"/>
                <w:vertAlign w:val="superscript"/>
                <w:lang w:val="da-DK"/>
              </w:rPr>
              <w:t>®</w:t>
            </w:r>
            <w:r w:rsidRPr="00F940A4">
              <w:rPr>
                <w:b/>
                <w:bCs/>
                <w:szCs w:val="22"/>
                <w:lang w:val="en-US"/>
              </w:rPr>
              <w:t xml:space="preserve"> (N=180)</w:t>
            </w:r>
          </w:p>
        </w:tc>
        <w:tc>
          <w:tcPr>
            <w:tcW w:w="1863" w:type="dxa"/>
            <w:gridSpan w:val="2"/>
            <w:tcBorders>
              <w:top w:val="single" w:sz="4" w:space="0" w:color="auto"/>
              <w:left w:val="nil"/>
              <w:bottom w:val="single" w:sz="4" w:space="0" w:color="auto"/>
              <w:right w:val="nil"/>
            </w:tcBorders>
            <w:hideMark/>
          </w:tcPr>
          <w:p w:rsidR="003B05DB" w:rsidRPr="00F940A4" w:rsidRDefault="003B05DB" w:rsidP="008B5D49">
            <w:pPr>
              <w:pStyle w:val="BodyText"/>
              <w:rPr>
                <w:b/>
                <w:bCs/>
                <w:szCs w:val="22"/>
                <w:lang w:val="en-US"/>
              </w:rPr>
            </w:pPr>
            <w:r w:rsidRPr="00F940A4">
              <w:rPr>
                <w:b/>
                <w:bCs/>
                <w:szCs w:val="22"/>
                <w:lang w:val="en-US"/>
              </w:rPr>
              <w:t>Placebo (N=179)</w:t>
            </w:r>
          </w:p>
        </w:tc>
        <w:tc>
          <w:tcPr>
            <w:tcW w:w="1769" w:type="dxa"/>
            <w:tcBorders>
              <w:top w:val="single" w:sz="4" w:space="0" w:color="auto"/>
              <w:left w:val="nil"/>
              <w:bottom w:val="single" w:sz="4" w:space="0" w:color="auto"/>
              <w:right w:val="nil"/>
            </w:tcBorders>
            <w:hideMark/>
          </w:tcPr>
          <w:p w:rsidR="003B05DB" w:rsidRPr="00F940A4" w:rsidRDefault="003B05DB" w:rsidP="008B5D49">
            <w:pPr>
              <w:pStyle w:val="BodyText"/>
              <w:rPr>
                <w:b/>
                <w:bCs/>
                <w:szCs w:val="22"/>
                <w:lang w:val="en-US"/>
              </w:rPr>
            </w:pPr>
            <w:r w:rsidRPr="00F940A4">
              <w:rPr>
                <w:b/>
                <w:bCs/>
                <w:szCs w:val="22"/>
                <w:lang w:val="en-US"/>
              </w:rPr>
              <w:t>Saxenda</w:t>
            </w:r>
            <w:r w:rsidRPr="00F940A4">
              <w:rPr>
                <w:bCs/>
                <w:iCs/>
                <w:szCs w:val="22"/>
                <w:vertAlign w:val="superscript"/>
                <w:lang w:val="da-DK"/>
              </w:rPr>
              <w:t>®</w:t>
            </w:r>
            <w:r w:rsidRPr="00F940A4">
              <w:rPr>
                <w:b/>
                <w:bCs/>
                <w:szCs w:val="22"/>
                <w:lang w:val="en-US"/>
              </w:rPr>
              <w:t xml:space="preserve"> vs. placebo</w:t>
            </w:r>
          </w:p>
        </w:tc>
      </w:tr>
      <w:tr w:rsidR="003B05DB" w:rsidRPr="00F940A4" w:rsidTr="008B5D49">
        <w:tc>
          <w:tcPr>
            <w:tcW w:w="3859" w:type="dxa"/>
            <w:tcBorders>
              <w:top w:val="single" w:sz="4" w:space="0" w:color="auto"/>
              <w:left w:val="nil"/>
              <w:bottom w:val="single" w:sz="4" w:space="0" w:color="auto"/>
              <w:right w:val="nil"/>
            </w:tcBorders>
            <w:hideMark/>
          </w:tcPr>
          <w:p w:rsidR="003B05DB" w:rsidRPr="00F940A4" w:rsidRDefault="003B05DB" w:rsidP="008B5D49">
            <w:pPr>
              <w:pStyle w:val="BodyText"/>
              <w:rPr>
                <w:b/>
                <w:bCs/>
                <w:szCs w:val="22"/>
                <w:lang w:val="en-US"/>
              </w:rPr>
            </w:pPr>
            <w:r w:rsidRPr="00F940A4">
              <w:rPr>
                <w:b/>
                <w:bCs/>
                <w:szCs w:val="22"/>
                <w:lang w:val="en-US"/>
              </w:rPr>
              <w:t>Body weight</w:t>
            </w:r>
          </w:p>
        </w:tc>
        <w:tc>
          <w:tcPr>
            <w:tcW w:w="1903" w:type="dxa"/>
            <w:gridSpan w:val="2"/>
            <w:tcBorders>
              <w:top w:val="single" w:sz="4" w:space="0" w:color="auto"/>
              <w:left w:val="nil"/>
              <w:bottom w:val="single" w:sz="4" w:space="0" w:color="auto"/>
              <w:right w:val="nil"/>
            </w:tcBorders>
          </w:tcPr>
          <w:p w:rsidR="003B05DB" w:rsidRPr="00F940A4" w:rsidRDefault="003B05DB" w:rsidP="008B5D49">
            <w:pPr>
              <w:pStyle w:val="BodyText"/>
              <w:rPr>
                <w:bCs/>
                <w:szCs w:val="22"/>
                <w:lang w:val="en-US"/>
              </w:rPr>
            </w:pPr>
          </w:p>
        </w:tc>
        <w:tc>
          <w:tcPr>
            <w:tcW w:w="1863" w:type="dxa"/>
            <w:gridSpan w:val="2"/>
            <w:tcBorders>
              <w:top w:val="single" w:sz="4" w:space="0" w:color="auto"/>
              <w:left w:val="nil"/>
              <w:bottom w:val="single" w:sz="4" w:space="0" w:color="auto"/>
              <w:right w:val="nil"/>
            </w:tcBorders>
          </w:tcPr>
          <w:p w:rsidR="003B05DB" w:rsidRPr="00F940A4" w:rsidRDefault="003B05DB" w:rsidP="008B5D49">
            <w:pPr>
              <w:pStyle w:val="BodyText"/>
              <w:rPr>
                <w:bCs/>
                <w:szCs w:val="22"/>
                <w:lang w:val="en-US"/>
              </w:rPr>
            </w:pPr>
          </w:p>
        </w:tc>
        <w:tc>
          <w:tcPr>
            <w:tcW w:w="1769" w:type="dxa"/>
            <w:tcBorders>
              <w:top w:val="single" w:sz="4" w:space="0" w:color="auto"/>
              <w:left w:val="nil"/>
              <w:bottom w:val="single" w:sz="4" w:space="0" w:color="auto"/>
              <w:right w:val="nil"/>
            </w:tcBorders>
          </w:tcPr>
          <w:p w:rsidR="003B05DB" w:rsidRPr="00F940A4" w:rsidRDefault="003B05DB" w:rsidP="008B5D49">
            <w:pPr>
              <w:pStyle w:val="BodyText"/>
              <w:rPr>
                <w:bCs/>
                <w:szCs w:val="22"/>
                <w:lang w:val="en-US"/>
              </w:rPr>
            </w:pPr>
          </w:p>
        </w:tc>
      </w:tr>
      <w:tr w:rsidR="003B05DB" w:rsidRPr="00F940A4" w:rsidTr="008B5D49">
        <w:tc>
          <w:tcPr>
            <w:tcW w:w="3859" w:type="dxa"/>
            <w:tcBorders>
              <w:top w:val="single" w:sz="4" w:space="0" w:color="auto"/>
              <w:left w:val="nil"/>
              <w:bottom w:val="nil"/>
              <w:right w:val="nil"/>
            </w:tcBorders>
            <w:hideMark/>
          </w:tcPr>
          <w:p w:rsidR="003B05DB" w:rsidRPr="00F940A4" w:rsidRDefault="003B05DB" w:rsidP="008B5D49">
            <w:pPr>
              <w:pStyle w:val="BodyText"/>
              <w:rPr>
                <w:bCs/>
                <w:szCs w:val="22"/>
                <w:lang w:val="en-US"/>
              </w:rPr>
            </w:pPr>
            <w:r w:rsidRPr="00F940A4">
              <w:rPr>
                <w:bCs/>
                <w:szCs w:val="22"/>
                <w:lang w:val="en-US"/>
              </w:rPr>
              <w:t>Baseline, kg (SD)</w:t>
            </w:r>
          </w:p>
        </w:tc>
        <w:tc>
          <w:tcPr>
            <w:tcW w:w="1903" w:type="dxa"/>
            <w:gridSpan w:val="2"/>
            <w:tcBorders>
              <w:top w:val="single" w:sz="4" w:space="0" w:color="auto"/>
              <w:left w:val="nil"/>
              <w:bottom w:val="nil"/>
              <w:right w:val="nil"/>
            </w:tcBorders>
            <w:hideMark/>
          </w:tcPr>
          <w:p w:rsidR="003B05DB" w:rsidRPr="00F940A4" w:rsidRDefault="003B05DB" w:rsidP="008B5D49">
            <w:pPr>
              <w:pStyle w:val="BodyText"/>
              <w:rPr>
                <w:bCs/>
                <w:szCs w:val="22"/>
                <w:lang w:val="en-US"/>
              </w:rPr>
            </w:pPr>
            <w:r w:rsidRPr="00F940A4">
              <w:rPr>
                <w:bCs/>
                <w:szCs w:val="22"/>
                <w:lang w:val="en-US"/>
              </w:rPr>
              <w:t>116.5 (23.0)</w:t>
            </w:r>
          </w:p>
        </w:tc>
        <w:tc>
          <w:tcPr>
            <w:tcW w:w="1863" w:type="dxa"/>
            <w:gridSpan w:val="2"/>
            <w:tcBorders>
              <w:top w:val="single" w:sz="4" w:space="0" w:color="auto"/>
              <w:left w:val="nil"/>
              <w:bottom w:val="nil"/>
              <w:right w:val="nil"/>
            </w:tcBorders>
            <w:hideMark/>
          </w:tcPr>
          <w:p w:rsidR="003B05DB" w:rsidRPr="00F940A4" w:rsidRDefault="003B05DB" w:rsidP="008B5D49">
            <w:pPr>
              <w:pStyle w:val="BodyText"/>
              <w:rPr>
                <w:bCs/>
                <w:szCs w:val="22"/>
                <w:lang w:val="en-US"/>
              </w:rPr>
            </w:pPr>
            <w:r w:rsidRPr="00F940A4">
              <w:rPr>
                <w:bCs/>
                <w:szCs w:val="22"/>
                <w:lang w:val="en-US"/>
              </w:rPr>
              <w:t>118.7 (25.4)</w:t>
            </w:r>
          </w:p>
        </w:tc>
        <w:tc>
          <w:tcPr>
            <w:tcW w:w="1769" w:type="dxa"/>
            <w:tcBorders>
              <w:top w:val="single" w:sz="4" w:space="0" w:color="auto"/>
              <w:left w:val="nil"/>
              <w:bottom w:val="nil"/>
              <w:right w:val="nil"/>
            </w:tcBorders>
            <w:hideMark/>
          </w:tcPr>
          <w:p w:rsidR="003B05DB" w:rsidRPr="00F940A4" w:rsidRDefault="003B05DB" w:rsidP="008B5D49">
            <w:pPr>
              <w:pStyle w:val="BodyText"/>
              <w:rPr>
                <w:bCs/>
                <w:szCs w:val="22"/>
                <w:lang w:val="en-US"/>
              </w:rPr>
            </w:pPr>
            <w:r w:rsidRPr="00F940A4">
              <w:rPr>
                <w:bCs/>
                <w:szCs w:val="22"/>
                <w:lang w:val="en-US"/>
              </w:rPr>
              <w:noBreakHyphen/>
            </w:r>
          </w:p>
        </w:tc>
      </w:tr>
      <w:tr w:rsidR="003B05DB" w:rsidRPr="00F940A4" w:rsidTr="008B5D49">
        <w:tc>
          <w:tcPr>
            <w:tcW w:w="3859" w:type="dxa"/>
            <w:hideMark/>
          </w:tcPr>
          <w:p w:rsidR="003B05DB" w:rsidRPr="00F940A4" w:rsidRDefault="003B05DB" w:rsidP="008B5D49">
            <w:pPr>
              <w:pStyle w:val="BodyText"/>
              <w:rPr>
                <w:bCs/>
                <w:szCs w:val="22"/>
                <w:lang w:val="en-US"/>
              </w:rPr>
            </w:pPr>
            <w:r w:rsidRPr="00F940A4">
              <w:rPr>
                <w:bCs/>
                <w:szCs w:val="22"/>
                <w:lang w:val="en-US"/>
              </w:rPr>
              <w:t>Mean change at week 32, %</w:t>
            </w:r>
          </w:p>
        </w:tc>
        <w:tc>
          <w:tcPr>
            <w:tcW w:w="1903" w:type="dxa"/>
            <w:gridSpan w:val="2"/>
            <w:hideMark/>
          </w:tcPr>
          <w:p w:rsidR="003B05DB" w:rsidRPr="00F940A4" w:rsidRDefault="003B05DB" w:rsidP="008B5D49">
            <w:pPr>
              <w:pStyle w:val="BodyText"/>
              <w:rPr>
                <w:bCs/>
                <w:szCs w:val="22"/>
                <w:lang w:val="en-US"/>
              </w:rPr>
            </w:pPr>
            <w:r w:rsidRPr="00F940A4">
              <w:rPr>
                <w:bCs/>
                <w:szCs w:val="22"/>
                <w:lang w:val="en-US"/>
              </w:rPr>
              <w:noBreakHyphen/>
              <w:t>5.7</w:t>
            </w:r>
          </w:p>
        </w:tc>
        <w:tc>
          <w:tcPr>
            <w:tcW w:w="1863" w:type="dxa"/>
            <w:gridSpan w:val="2"/>
            <w:hideMark/>
          </w:tcPr>
          <w:p w:rsidR="003B05DB" w:rsidRPr="00F940A4" w:rsidRDefault="003B05DB" w:rsidP="008B5D49">
            <w:pPr>
              <w:pStyle w:val="BodyText"/>
              <w:rPr>
                <w:bCs/>
                <w:szCs w:val="22"/>
                <w:lang w:val="en-US"/>
              </w:rPr>
            </w:pPr>
            <w:r w:rsidRPr="00F940A4">
              <w:rPr>
                <w:bCs/>
                <w:szCs w:val="22"/>
                <w:lang w:val="en-US"/>
              </w:rPr>
              <w:noBreakHyphen/>
              <w:t>1.6</w:t>
            </w:r>
          </w:p>
        </w:tc>
        <w:tc>
          <w:tcPr>
            <w:tcW w:w="1769" w:type="dxa"/>
            <w:hideMark/>
          </w:tcPr>
          <w:p w:rsidR="003B05DB" w:rsidRPr="00F940A4" w:rsidRDefault="003B05DB" w:rsidP="008B5D49">
            <w:pPr>
              <w:pStyle w:val="BodyText"/>
              <w:rPr>
                <w:bCs/>
                <w:szCs w:val="22"/>
                <w:lang w:val="en-US"/>
              </w:rPr>
            </w:pPr>
            <w:r w:rsidRPr="00F940A4">
              <w:rPr>
                <w:bCs/>
                <w:szCs w:val="22"/>
                <w:lang w:val="en-US"/>
              </w:rPr>
              <w:noBreakHyphen/>
              <w:t>4.2** (</w:t>
            </w:r>
            <w:r w:rsidRPr="00F940A4">
              <w:rPr>
                <w:bCs/>
                <w:szCs w:val="22"/>
                <w:lang w:val="en-US"/>
              </w:rPr>
              <w:noBreakHyphen/>
              <w:t xml:space="preserve">5.2; </w:t>
            </w:r>
            <w:r w:rsidRPr="00F940A4">
              <w:rPr>
                <w:bCs/>
                <w:szCs w:val="22"/>
                <w:lang w:val="en-US"/>
              </w:rPr>
              <w:noBreakHyphen/>
              <w:t>3.1)</w:t>
            </w:r>
          </w:p>
        </w:tc>
      </w:tr>
      <w:tr w:rsidR="003B05DB" w:rsidRPr="00F940A4" w:rsidTr="008B5D49">
        <w:tc>
          <w:tcPr>
            <w:tcW w:w="3859" w:type="dxa"/>
            <w:hideMark/>
          </w:tcPr>
          <w:p w:rsidR="003B05DB" w:rsidRPr="00F940A4" w:rsidRDefault="003B05DB" w:rsidP="008B5D49">
            <w:pPr>
              <w:pStyle w:val="BodyText"/>
              <w:rPr>
                <w:bCs/>
                <w:szCs w:val="22"/>
                <w:lang w:val="en-US"/>
              </w:rPr>
            </w:pPr>
            <w:r w:rsidRPr="00F940A4">
              <w:rPr>
                <w:bCs/>
                <w:szCs w:val="22"/>
                <w:lang w:val="en-US"/>
              </w:rPr>
              <w:t>Mean change at week 32, kg</w:t>
            </w:r>
          </w:p>
        </w:tc>
        <w:tc>
          <w:tcPr>
            <w:tcW w:w="1903" w:type="dxa"/>
            <w:gridSpan w:val="2"/>
            <w:hideMark/>
          </w:tcPr>
          <w:p w:rsidR="003B05DB" w:rsidRPr="00F940A4" w:rsidRDefault="003B05DB" w:rsidP="008B5D49">
            <w:pPr>
              <w:pStyle w:val="BodyText"/>
              <w:rPr>
                <w:bCs/>
                <w:szCs w:val="22"/>
                <w:lang w:val="en-US"/>
              </w:rPr>
            </w:pPr>
            <w:r w:rsidRPr="00F940A4">
              <w:rPr>
                <w:bCs/>
                <w:szCs w:val="22"/>
                <w:lang w:val="en-US"/>
              </w:rPr>
              <w:noBreakHyphen/>
              <w:t>6.8</w:t>
            </w:r>
          </w:p>
        </w:tc>
        <w:tc>
          <w:tcPr>
            <w:tcW w:w="1863" w:type="dxa"/>
            <w:gridSpan w:val="2"/>
            <w:hideMark/>
          </w:tcPr>
          <w:p w:rsidR="003B05DB" w:rsidRPr="00F940A4" w:rsidRDefault="003B05DB" w:rsidP="008B5D49">
            <w:pPr>
              <w:pStyle w:val="BodyText"/>
              <w:rPr>
                <w:bCs/>
                <w:szCs w:val="22"/>
                <w:lang w:val="en-US"/>
              </w:rPr>
            </w:pPr>
            <w:r w:rsidRPr="00F940A4">
              <w:rPr>
                <w:bCs/>
                <w:szCs w:val="22"/>
                <w:lang w:val="en-US"/>
              </w:rPr>
              <w:noBreakHyphen/>
              <w:t>1.8</w:t>
            </w:r>
          </w:p>
        </w:tc>
        <w:tc>
          <w:tcPr>
            <w:tcW w:w="1769" w:type="dxa"/>
            <w:hideMark/>
          </w:tcPr>
          <w:p w:rsidR="003B05DB" w:rsidRPr="00F940A4" w:rsidRDefault="003B05DB" w:rsidP="008B5D49">
            <w:pPr>
              <w:pStyle w:val="BodyText"/>
              <w:rPr>
                <w:bCs/>
                <w:szCs w:val="22"/>
                <w:lang w:val="en-US"/>
              </w:rPr>
            </w:pPr>
            <w:r w:rsidRPr="00F940A4">
              <w:rPr>
                <w:bCs/>
                <w:szCs w:val="22"/>
                <w:lang w:val="en-US"/>
              </w:rPr>
              <w:noBreakHyphen/>
              <w:t>4.9** (</w:t>
            </w:r>
            <w:r w:rsidRPr="00F940A4">
              <w:rPr>
                <w:bCs/>
                <w:szCs w:val="22"/>
                <w:lang w:val="en-US"/>
              </w:rPr>
              <w:noBreakHyphen/>
              <w:t xml:space="preserve">6.2; </w:t>
            </w:r>
            <w:r w:rsidRPr="00F940A4">
              <w:rPr>
                <w:bCs/>
                <w:szCs w:val="22"/>
                <w:lang w:val="en-US"/>
              </w:rPr>
              <w:noBreakHyphen/>
              <w:t>3.7)</w:t>
            </w:r>
          </w:p>
        </w:tc>
      </w:tr>
      <w:tr w:rsidR="003B05DB" w:rsidRPr="00F940A4" w:rsidTr="008B5D49">
        <w:tc>
          <w:tcPr>
            <w:tcW w:w="3859" w:type="dxa"/>
            <w:hideMark/>
          </w:tcPr>
          <w:p w:rsidR="003B05DB" w:rsidRPr="00F940A4" w:rsidRDefault="003B05DB" w:rsidP="008B5D49">
            <w:pPr>
              <w:pStyle w:val="BodyText"/>
              <w:rPr>
                <w:bCs/>
                <w:szCs w:val="22"/>
                <w:lang w:val="en-US"/>
              </w:rPr>
            </w:pPr>
            <w:r w:rsidRPr="00F940A4">
              <w:rPr>
                <w:bCs/>
                <w:szCs w:val="22"/>
                <w:lang w:val="en-US"/>
              </w:rPr>
              <w:t>Proportion of patients losing ≥5% body weight at week 32, %</w:t>
            </w:r>
          </w:p>
        </w:tc>
        <w:tc>
          <w:tcPr>
            <w:tcW w:w="1903" w:type="dxa"/>
            <w:gridSpan w:val="2"/>
            <w:vAlign w:val="center"/>
            <w:hideMark/>
          </w:tcPr>
          <w:p w:rsidR="003B05DB" w:rsidRPr="00F940A4" w:rsidRDefault="003B05DB" w:rsidP="008B5D49">
            <w:pPr>
              <w:pStyle w:val="BodyText"/>
              <w:rPr>
                <w:bCs/>
                <w:szCs w:val="22"/>
                <w:lang w:val="en-US"/>
              </w:rPr>
            </w:pPr>
            <w:r w:rsidRPr="00F940A4">
              <w:rPr>
                <w:bCs/>
                <w:szCs w:val="22"/>
                <w:lang w:val="en-US"/>
              </w:rPr>
              <w:t>46.4</w:t>
            </w:r>
          </w:p>
        </w:tc>
        <w:tc>
          <w:tcPr>
            <w:tcW w:w="1863" w:type="dxa"/>
            <w:gridSpan w:val="2"/>
            <w:vAlign w:val="center"/>
            <w:hideMark/>
          </w:tcPr>
          <w:p w:rsidR="003B05DB" w:rsidRPr="00F940A4" w:rsidRDefault="003B05DB" w:rsidP="008B5D49">
            <w:pPr>
              <w:pStyle w:val="BodyText"/>
              <w:rPr>
                <w:bCs/>
                <w:szCs w:val="22"/>
                <w:lang w:val="en-US"/>
              </w:rPr>
            </w:pPr>
            <w:r w:rsidRPr="00F940A4">
              <w:rPr>
                <w:bCs/>
                <w:szCs w:val="22"/>
                <w:lang w:val="en-US"/>
              </w:rPr>
              <w:t>18.1</w:t>
            </w:r>
          </w:p>
        </w:tc>
        <w:tc>
          <w:tcPr>
            <w:tcW w:w="1769" w:type="dxa"/>
            <w:vAlign w:val="center"/>
            <w:hideMark/>
          </w:tcPr>
          <w:p w:rsidR="003B05DB" w:rsidRPr="00F940A4" w:rsidRDefault="003B05DB" w:rsidP="008B5D49">
            <w:pPr>
              <w:pStyle w:val="BodyText"/>
              <w:rPr>
                <w:bCs/>
                <w:szCs w:val="22"/>
                <w:lang w:val="en-US"/>
              </w:rPr>
            </w:pPr>
            <w:r w:rsidRPr="00F940A4">
              <w:rPr>
                <w:bCs/>
                <w:szCs w:val="22"/>
                <w:lang w:val="en-US"/>
              </w:rPr>
              <w:t xml:space="preserve">3.9** </w:t>
            </w:r>
          </w:p>
          <w:p w:rsidR="003B05DB" w:rsidRPr="00F940A4" w:rsidRDefault="003B05DB" w:rsidP="008B5D49">
            <w:pPr>
              <w:pStyle w:val="BodyText"/>
              <w:rPr>
                <w:bCs/>
                <w:szCs w:val="22"/>
                <w:lang w:val="en-US"/>
              </w:rPr>
            </w:pPr>
            <w:r w:rsidRPr="00F940A4">
              <w:rPr>
                <w:bCs/>
                <w:szCs w:val="22"/>
                <w:lang w:val="en-US"/>
              </w:rPr>
              <w:t>(2.4; 6.4)</w:t>
            </w:r>
          </w:p>
        </w:tc>
      </w:tr>
      <w:tr w:rsidR="003B05DB" w:rsidRPr="00F940A4" w:rsidTr="008B5D49">
        <w:tc>
          <w:tcPr>
            <w:tcW w:w="3859" w:type="dxa"/>
            <w:hideMark/>
          </w:tcPr>
          <w:p w:rsidR="003B05DB" w:rsidRPr="00F940A4" w:rsidRDefault="003B05DB" w:rsidP="008B5D49">
            <w:pPr>
              <w:pStyle w:val="BodyText"/>
              <w:rPr>
                <w:bCs/>
                <w:szCs w:val="22"/>
                <w:lang w:val="en-US"/>
              </w:rPr>
            </w:pPr>
            <w:r w:rsidRPr="00F940A4">
              <w:rPr>
                <w:bCs/>
                <w:szCs w:val="22"/>
                <w:lang w:val="en-US"/>
              </w:rPr>
              <w:t>Proportion of patients losing &gt;10% body weight at week 32 %</w:t>
            </w:r>
          </w:p>
        </w:tc>
        <w:tc>
          <w:tcPr>
            <w:tcW w:w="1903" w:type="dxa"/>
            <w:gridSpan w:val="2"/>
            <w:vAlign w:val="center"/>
            <w:hideMark/>
          </w:tcPr>
          <w:p w:rsidR="003B05DB" w:rsidRPr="00F940A4" w:rsidRDefault="003B05DB" w:rsidP="008B5D49">
            <w:pPr>
              <w:pStyle w:val="BodyText"/>
              <w:rPr>
                <w:bCs/>
                <w:szCs w:val="22"/>
                <w:lang w:val="en-US"/>
              </w:rPr>
            </w:pPr>
            <w:r w:rsidRPr="00F940A4">
              <w:rPr>
                <w:bCs/>
                <w:szCs w:val="22"/>
                <w:lang w:val="en-US"/>
              </w:rPr>
              <w:t>22.4</w:t>
            </w:r>
          </w:p>
        </w:tc>
        <w:tc>
          <w:tcPr>
            <w:tcW w:w="1863" w:type="dxa"/>
            <w:gridSpan w:val="2"/>
            <w:vAlign w:val="center"/>
            <w:hideMark/>
          </w:tcPr>
          <w:p w:rsidR="003B05DB" w:rsidRPr="00F940A4" w:rsidRDefault="003B05DB" w:rsidP="008B5D49">
            <w:pPr>
              <w:pStyle w:val="BodyText"/>
              <w:rPr>
                <w:bCs/>
                <w:szCs w:val="22"/>
                <w:lang w:val="en-US"/>
              </w:rPr>
            </w:pPr>
            <w:r w:rsidRPr="00F940A4">
              <w:rPr>
                <w:bCs/>
                <w:szCs w:val="22"/>
                <w:lang w:val="en-US"/>
              </w:rPr>
              <w:t>1.5</w:t>
            </w:r>
          </w:p>
        </w:tc>
        <w:tc>
          <w:tcPr>
            <w:tcW w:w="1769" w:type="dxa"/>
            <w:vAlign w:val="center"/>
            <w:hideMark/>
          </w:tcPr>
          <w:p w:rsidR="003B05DB" w:rsidRPr="00F940A4" w:rsidRDefault="003B05DB" w:rsidP="008B5D49">
            <w:pPr>
              <w:pStyle w:val="BodyText"/>
              <w:rPr>
                <w:bCs/>
                <w:szCs w:val="22"/>
                <w:lang w:val="en-US"/>
              </w:rPr>
            </w:pPr>
            <w:r w:rsidRPr="00F940A4">
              <w:rPr>
                <w:bCs/>
                <w:szCs w:val="22"/>
                <w:lang w:val="en-US"/>
              </w:rPr>
              <w:t>19.0**</w:t>
            </w:r>
          </w:p>
          <w:p w:rsidR="003B05DB" w:rsidRPr="00F940A4" w:rsidRDefault="003B05DB" w:rsidP="008B5D49">
            <w:pPr>
              <w:pStyle w:val="BodyText"/>
              <w:rPr>
                <w:bCs/>
                <w:szCs w:val="22"/>
                <w:lang w:val="en-US"/>
              </w:rPr>
            </w:pPr>
            <w:r w:rsidRPr="00F940A4">
              <w:rPr>
                <w:bCs/>
                <w:szCs w:val="22"/>
                <w:lang w:val="en-US"/>
              </w:rPr>
              <w:t xml:space="preserve"> (5.7; 63.1)</w:t>
            </w:r>
          </w:p>
        </w:tc>
      </w:tr>
      <w:tr w:rsidR="003B05DB" w:rsidRPr="00F940A4" w:rsidTr="008B5D49">
        <w:tc>
          <w:tcPr>
            <w:tcW w:w="3859" w:type="dxa"/>
            <w:tcBorders>
              <w:top w:val="single" w:sz="4" w:space="0" w:color="auto"/>
              <w:left w:val="nil"/>
              <w:bottom w:val="single" w:sz="4" w:space="0" w:color="auto"/>
              <w:right w:val="nil"/>
            </w:tcBorders>
          </w:tcPr>
          <w:p w:rsidR="003B05DB" w:rsidRPr="00F940A4" w:rsidRDefault="003B05DB" w:rsidP="008B5D49">
            <w:pPr>
              <w:pStyle w:val="BodyText"/>
              <w:rPr>
                <w:bCs/>
                <w:szCs w:val="22"/>
                <w:lang w:val="en-US"/>
              </w:rPr>
            </w:pPr>
          </w:p>
        </w:tc>
        <w:tc>
          <w:tcPr>
            <w:tcW w:w="995"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Baseline</w:t>
            </w:r>
          </w:p>
        </w:tc>
        <w:tc>
          <w:tcPr>
            <w:tcW w:w="908"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Change</w:t>
            </w:r>
          </w:p>
        </w:tc>
        <w:tc>
          <w:tcPr>
            <w:tcW w:w="974"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Baseline</w:t>
            </w:r>
          </w:p>
        </w:tc>
        <w:tc>
          <w:tcPr>
            <w:tcW w:w="889"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Change</w:t>
            </w:r>
          </w:p>
        </w:tc>
        <w:tc>
          <w:tcPr>
            <w:tcW w:w="1769" w:type="dxa"/>
            <w:tcBorders>
              <w:top w:val="single" w:sz="4" w:space="0" w:color="auto"/>
              <w:left w:val="nil"/>
              <w:bottom w:val="single" w:sz="4" w:space="0" w:color="auto"/>
              <w:right w:val="nil"/>
            </w:tcBorders>
          </w:tcPr>
          <w:p w:rsidR="003B05DB" w:rsidRPr="00F940A4" w:rsidRDefault="003B05DB" w:rsidP="008B5D49">
            <w:pPr>
              <w:pStyle w:val="BodyText"/>
              <w:rPr>
                <w:bCs/>
                <w:szCs w:val="22"/>
                <w:lang w:val="en-US"/>
              </w:rPr>
            </w:pPr>
          </w:p>
        </w:tc>
      </w:tr>
      <w:tr w:rsidR="003B05DB" w:rsidRPr="00F940A4" w:rsidTr="008B5D49">
        <w:tc>
          <w:tcPr>
            <w:tcW w:w="3859" w:type="dxa"/>
            <w:tcBorders>
              <w:top w:val="single" w:sz="4" w:space="0" w:color="auto"/>
              <w:left w:val="nil"/>
              <w:bottom w:val="single" w:sz="4" w:space="0" w:color="auto"/>
              <w:right w:val="nil"/>
            </w:tcBorders>
            <w:hideMark/>
          </w:tcPr>
          <w:p w:rsidR="003B05DB" w:rsidRPr="00F940A4" w:rsidRDefault="003B05DB" w:rsidP="008B5D49">
            <w:pPr>
              <w:pStyle w:val="BodyText"/>
              <w:rPr>
                <w:b/>
                <w:bCs/>
                <w:szCs w:val="22"/>
                <w:lang w:val="en-US"/>
              </w:rPr>
            </w:pPr>
            <w:r w:rsidRPr="00F940A4">
              <w:rPr>
                <w:b/>
                <w:bCs/>
                <w:szCs w:val="22"/>
                <w:lang w:val="en-US"/>
              </w:rPr>
              <w:t>Apnoea-Hypopnoea Index, events/hour</w:t>
            </w:r>
          </w:p>
        </w:tc>
        <w:tc>
          <w:tcPr>
            <w:tcW w:w="995"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49.0</w:t>
            </w:r>
          </w:p>
        </w:tc>
        <w:tc>
          <w:tcPr>
            <w:tcW w:w="908"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noBreakHyphen/>
              <w:t>12.2</w:t>
            </w:r>
          </w:p>
        </w:tc>
        <w:tc>
          <w:tcPr>
            <w:tcW w:w="974"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t>49.3</w:t>
            </w:r>
          </w:p>
        </w:tc>
        <w:tc>
          <w:tcPr>
            <w:tcW w:w="889"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noBreakHyphen/>
              <w:t>6.1</w:t>
            </w:r>
          </w:p>
        </w:tc>
        <w:tc>
          <w:tcPr>
            <w:tcW w:w="1769" w:type="dxa"/>
            <w:tcBorders>
              <w:top w:val="single" w:sz="4" w:space="0" w:color="auto"/>
              <w:left w:val="nil"/>
              <w:bottom w:val="single" w:sz="4" w:space="0" w:color="auto"/>
              <w:right w:val="nil"/>
            </w:tcBorders>
            <w:hideMark/>
          </w:tcPr>
          <w:p w:rsidR="003B05DB" w:rsidRPr="00F940A4" w:rsidRDefault="003B05DB" w:rsidP="008B5D49">
            <w:pPr>
              <w:pStyle w:val="BodyText"/>
              <w:rPr>
                <w:bCs/>
                <w:szCs w:val="22"/>
                <w:lang w:val="en-US"/>
              </w:rPr>
            </w:pPr>
            <w:r w:rsidRPr="00F940A4">
              <w:rPr>
                <w:bCs/>
                <w:szCs w:val="22"/>
                <w:lang w:val="en-US"/>
              </w:rPr>
              <w:noBreakHyphen/>
              <w:t xml:space="preserve">6.1* </w:t>
            </w:r>
          </w:p>
          <w:p w:rsidR="003B05DB" w:rsidRPr="00F940A4" w:rsidRDefault="003B05DB" w:rsidP="008B5D49">
            <w:pPr>
              <w:pStyle w:val="BodyText"/>
              <w:rPr>
                <w:bCs/>
                <w:szCs w:val="22"/>
                <w:lang w:val="en-US"/>
              </w:rPr>
            </w:pPr>
            <w:r w:rsidRPr="00F940A4">
              <w:rPr>
                <w:bCs/>
                <w:szCs w:val="22"/>
                <w:lang w:val="en-US"/>
              </w:rPr>
              <w:t>(-11.0; -1.2)</w:t>
            </w:r>
          </w:p>
        </w:tc>
      </w:tr>
    </w:tbl>
    <w:p w:rsidR="003B05DB" w:rsidRDefault="003B05DB" w:rsidP="003B05DB">
      <w:pPr>
        <w:jc w:val="both"/>
      </w:pPr>
      <w:r w:rsidRPr="00F940A4">
        <w:rPr>
          <w:bCs/>
          <w:sz w:val="18"/>
          <w:szCs w:val="18"/>
        </w:rPr>
        <w:t>Full Analysis Set. Baseline values are means, changes from baseline at week 32 are estimated means (least-squares) and treatment contrasts at week 32 are estimated treatment differences (95% CI). For the proportions of patients losing ≥5/&gt;10% body weight, estimated odds ratios are presented. Missing post-baseline values were imputed using the last observation carried forward. * p&lt;0.05. ** p&lt;0.0001. CI=confidence intervals. SD=standard deviation.</w:t>
      </w:r>
    </w:p>
    <w:p w:rsidR="003B05DB" w:rsidRDefault="003B05DB" w:rsidP="003B05DB">
      <w:pPr>
        <w:jc w:val="both"/>
      </w:pPr>
    </w:p>
    <w:p w:rsidR="003B05DB" w:rsidRDefault="003B05DB" w:rsidP="003B05DB">
      <w:pPr>
        <w:jc w:val="both"/>
      </w:pPr>
      <w:r w:rsidRPr="00F940A4">
        <w:rPr>
          <w:b/>
          <w:bCs/>
          <w:i/>
          <w:lang w:val="en-AU"/>
        </w:rPr>
        <w:t>SCALE-Maintenance: Weight loss in obese and overweight patients with at least one comorbid condition after initial ≥5% weight loss on low caloric diet</w:t>
      </w:r>
    </w:p>
    <w:p w:rsidR="003B05DB" w:rsidRDefault="003B05DB" w:rsidP="003B05DB">
      <w:pPr>
        <w:jc w:val="both"/>
      </w:pPr>
    </w:p>
    <w:p w:rsidR="003B05DB" w:rsidRDefault="003B05DB" w:rsidP="003B05DB">
      <w:pPr>
        <w:jc w:val="both"/>
      </w:pPr>
      <w:bookmarkStart w:id="26" w:name="_Ref367814864"/>
      <w:bookmarkStart w:id="27" w:name="_Toc367798062"/>
      <w:bookmarkStart w:id="28" w:name="_Toc367810993"/>
      <w:bookmarkStart w:id="29" w:name="_Toc367824075"/>
      <w:bookmarkStart w:id="30" w:name="_Toc371348380"/>
      <w:bookmarkStart w:id="31" w:name="_Toc371348504"/>
      <w:bookmarkStart w:id="32" w:name="_Toc372217455"/>
      <w:bookmarkStart w:id="33" w:name="_Toc372218903"/>
      <w:bookmarkStart w:id="34" w:name="_Toc372567083"/>
      <w:bookmarkStart w:id="35" w:name="_Toc372567105"/>
      <w:bookmarkStart w:id="36" w:name="_Toc373820387"/>
      <w:bookmarkStart w:id="37" w:name="_Toc375220865"/>
      <w:bookmarkStart w:id="38" w:name="_Toc375220887"/>
      <w:bookmarkStart w:id="39" w:name="_Toc375220915"/>
      <w:bookmarkStart w:id="40" w:name="_Toc377572624"/>
      <w:r w:rsidRPr="00F940A4">
        <w:rPr>
          <w:b/>
          <w:bCs/>
          <w:color w:val="000000"/>
          <w:sz w:val="22"/>
          <w:szCs w:val="22"/>
          <w:lang w:val="en-AU"/>
        </w:rPr>
        <w:t xml:space="preserve">Table </w:t>
      </w:r>
      <w:bookmarkEnd w:id="26"/>
      <w:r w:rsidR="00F11A86">
        <w:rPr>
          <w:b/>
          <w:bCs/>
          <w:color w:val="000000"/>
          <w:sz w:val="22"/>
          <w:szCs w:val="22"/>
          <w:lang w:val="en-AU"/>
        </w:rPr>
        <w:t>4</w:t>
      </w:r>
      <w:r w:rsidRPr="00F940A4">
        <w:rPr>
          <w:b/>
          <w:bCs/>
          <w:color w:val="000000"/>
          <w:sz w:val="22"/>
          <w:szCs w:val="22"/>
          <w:lang w:val="en-AU"/>
        </w:rPr>
        <w:t>: S</w:t>
      </w:r>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940A4">
        <w:rPr>
          <w:b/>
          <w:bCs/>
          <w:color w:val="000000"/>
          <w:sz w:val="22"/>
          <w:szCs w:val="22"/>
          <w:lang w:val="en-AU"/>
        </w:rPr>
        <w:t>CALE-Maintenance: Changes from baseline in body weight at week 56</w:t>
      </w:r>
    </w:p>
    <w:tbl>
      <w:tblPr>
        <w:tblW w:w="5000" w:type="pct"/>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724"/>
        <w:gridCol w:w="1790"/>
        <w:gridCol w:w="1730"/>
        <w:gridCol w:w="2048"/>
      </w:tblGrid>
      <w:tr w:rsidR="003B05DB" w:rsidRPr="00F940A4" w:rsidTr="008B5D49">
        <w:trPr>
          <w:cantSplit/>
          <w:tblHeader/>
        </w:trPr>
        <w:tc>
          <w:tcPr>
            <w:tcW w:w="2004" w:type="pct"/>
            <w:tcBorders>
              <w:top w:val="single" w:sz="4" w:space="0" w:color="auto"/>
              <w:left w:val="nil"/>
              <w:bottom w:val="single" w:sz="4" w:space="0" w:color="auto"/>
              <w:right w:val="nil"/>
            </w:tcBorders>
            <w:tcMar>
              <w:top w:w="57" w:type="dxa"/>
              <w:left w:w="57" w:type="dxa"/>
              <w:bottom w:w="57" w:type="dxa"/>
              <w:right w:w="57" w:type="dxa"/>
            </w:tcMar>
          </w:tcPr>
          <w:p w:rsidR="003B05DB" w:rsidRPr="00F940A4" w:rsidRDefault="003B05DB" w:rsidP="008B5D49">
            <w:pPr>
              <w:keepLines/>
              <w:tabs>
                <w:tab w:val="left" w:pos="567"/>
                <w:tab w:val="left" w:pos="720"/>
              </w:tabs>
              <w:suppressAutoHyphens/>
              <w:rPr>
                <w:b/>
                <w:noProof/>
                <w:sz w:val="20"/>
                <w:szCs w:val="20"/>
                <w:lang w:eastAsia="en-GB"/>
              </w:rPr>
            </w:pPr>
          </w:p>
        </w:tc>
        <w:tc>
          <w:tcPr>
            <w:tcW w:w="963" w:type="pct"/>
            <w:tcBorders>
              <w:top w:val="single" w:sz="4" w:space="0" w:color="auto"/>
              <w:left w:val="nil"/>
              <w:bottom w:val="single" w:sz="4" w:space="0" w:color="auto"/>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b/>
                <w:noProof/>
                <w:sz w:val="20"/>
                <w:szCs w:val="20"/>
                <w:lang w:eastAsia="en-GB"/>
              </w:rPr>
            </w:pPr>
            <w:r w:rsidRPr="00F940A4">
              <w:rPr>
                <w:b/>
                <w:noProof/>
                <w:sz w:val="20"/>
                <w:szCs w:val="20"/>
                <w:lang w:eastAsia="en-GB"/>
              </w:rPr>
              <w:t>Saxenda</w:t>
            </w:r>
            <w:r w:rsidRPr="00F940A4">
              <w:rPr>
                <w:iCs/>
                <w:noProof/>
                <w:sz w:val="22"/>
                <w:szCs w:val="22"/>
                <w:vertAlign w:val="superscript"/>
                <w:lang w:val="da-DK"/>
              </w:rPr>
              <w:t>®</w:t>
            </w:r>
            <w:r w:rsidRPr="00F940A4">
              <w:rPr>
                <w:b/>
                <w:noProof/>
                <w:sz w:val="20"/>
                <w:szCs w:val="20"/>
                <w:lang w:eastAsia="en-GB"/>
              </w:rPr>
              <w:t xml:space="preserve"> (N=207)</w:t>
            </w:r>
          </w:p>
        </w:tc>
        <w:tc>
          <w:tcPr>
            <w:tcW w:w="931" w:type="pct"/>
            <w:tcBorders>
              <w:top w:val="single" w:sz="4" w:space="0" w:color="auto"/>
              <w:left w:val="nil"/>
              <w:bottom w:val="single" w:sz="4" w:space="0" w:color="auto"/>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b/>
                <w:noProof/>
                <w:sz w:val="20"/>
                <w:szCs w:val="20"/>
                <w:lang w:eastAsia="en-GB"/>
              </w:rPr>
            </w:pPr>
            <w:r w:rsidRPr="00F940A4">
              <w:rPr>
                <w:b/>
                <w:noProof/>
                <w:sz w:val="20"/>
                <w:szCs w:val="20"/>
                <w:lang w:eastAsia="en-GB"/>
              </w:rPr>
              <w:t>Placebo (N=206)</w:t>
            </w:r>
          </w:p>
        </w:tc>
        <w:tc>
          <w:tcPr>
            <w:tcW w:w="1102" w:type="pct"/>
            <w:tcBorders>
              <w:top w:val="single" w:sz="4" w:space="0" w:color="auto"/>
              <w:left w:val="nil"/>
              <w:bottom w:val="single" w:sz="4" w:space="0" w:color="auto"/>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b/>
                <w:noProof/>
                <w:sz w:val="20"/>
                <w:szCs w:val="20"/>
                <w:lang w:eastAsia="en-GB"/>
              </w:rPr>
            </w:pPr>
            <w:r w:rsidRPr="00F940A4">
              <w:rPr>
                <w:b/>
                <w:noProof/>
                <w:sz w:val="20"/>
                <w:szCs w:val="20"/>
                <w:lang w:eastAsia="en-GB"/>
              </w:rPr>
              <w:t>Saxenda</w:t>
            </w:r>
            <w:r w:rsidRPr="00F940A4">
              <w:rPr>
                <w:iCs/>
                <w:noProof/>
                <w:sz w:val="22"/>
                <w:szCs w:val="22"/>
                <w:vertAlign w:val="superscript"/>
                <w:lang w:val="da-DK"/>
              </w:rPr>
              <w:t>®</w:t>
            </w:r>
            <w:r w:rsidRPr="00F940A4">
              <w:rPr>
                <w:b/>
                <w:noProof/>
                <w:sz w:val="20"/>
                <w:szCs w:val="20"/>
                <w:lang w:eastAsia="en-GB"/>
              </w:rPr>
              <w:t xml:space="preserve"> vs. placebo</w:t>
            </w:r>
          </w:p>
        </w:tc>
      </w:tr>
      <w:tr w:rsidR="003B05DB" w:rsidRPr="00F940A4" w:rsidTr="008B5D49">
        <w:tc>
          <w:tcPr>
            <w:tcW w:w="2004" w:type="pct"/>
            <w:tcBorders>
              <w:top w:val="single" w:sz="4" w:space="0" w:color="auto"/>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rPr>
                <w:noProof/>
                <w:sz w:val="20"/>
                <w:szCs w:val="20"/>
                <w:lang w:eastAsia="en-GB"/>
              </w:rPr>
            </w:pPr>
            <w:r w:rsidRPr="00F940A4">
              <w:rPr>
                <w:noProof/>
                <w:sz w:val="20"/>
                <w:szCs w:val="20"/>
                <w:lang w:eastAsia="en-GB"/>
              </w:rPr>
              <w:t>Baseline, kg (SD)</w:t>
            </w:r>
          </w:p>
        </w:tc>
        <w:tc>
          <w:tcPr>
            <w:tcW w:w="963" w:type="pct"/>
            <w:tcBorders>
              <w:top w:val="single" w:sz="4" w:space="0" w:color="auto"/>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t>100.7 (20.8)</w:t>
            </w:r>
          </w:p>
        </w:tc>
        <w:tc>
          <w:tcPr>
            <w:tcW w:w="931" w:type="pct"/>
            <w:tcBorders>
              <w:top w:val="single" w:sz="4" w:space="0" w:color="auto"/>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t>98.9 (21.2)</w:t>
            </w:r>
          </w:p>
        </w:tc>
        <w:tc>
          <w:tcPr>
            <w:tcW w:w="1102" w:type="pct"/>
            <w:tcBorders>
              <w:top w:val="single" w:sz="4" w:space="0" w:color="auto"/>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noBreakHyphen/>
            </w:r>
          </w:p>
        </w:tc>
      </w:tr>
      <w:tr w:rsidR="003B05DB" w:rsidRPr="00F940A4" w:rsidTr="008B5D49">
        <w:tc>
          <w:tcPr>
            <w:tcW w:w="2004"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rPr>
                <w:noProof/>
                <w:sz w:val="20"/>
                <w:szCs w:val="20"/>
                <w:lang w:eastAsia="en-GB"/>
              </w:rPr>
            </w:pPr>
            <w:r w:rsidRPr="00F940A4">
              <w:rPr>
                <w:noProof/>
                <w:sz w:val="20"/>
                <w:szCs w:val="20"/>
                <w:lang w:eastAsia="en-GB"/>
              </w:rPr>
              <w:t>Mean change at week 56, % (95% CI)</w:t>
            </w:r>
          </w:p>
        </w:tc>
        <w:tc>
          <w:tcPr>
            <w:tcW w:w="963"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6.3</w:t>
            </w:r>
          </w:p>
        </w:tc>
        <w:tc>
          <w:tcPr>
            <w:tcW w:w="931"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0.2</w:t>
            </w:r>
          </w:p>
        </w:tc>
        <w:tc>
          <w:tcPr>
            <w:tcW w:w="1102"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noBreakHyphen/>
              <w:t>6.1** (</w:t>
            </w:r>
            <w:r w:rsidRPr="00F940A4">
              <w:rPr>
                <w:noProof/>
                <w:sz w:val="20"/>
                <w:szCs w:val="20"/>
                <w:lang w:eastAsia="en-GB"/>
              </w:rPr>
              <w:noBreakHyphen/>
              <w:t xml:space="preserve">7.5; </w:t>
            </w:r>
            <w:r w:rsidRPr="00F940A4">
              <w:rPr>
                <w:noProof/>
                <w:sz w:val="20"/>
                <w:szCs w:val="20"/>
                <w:lang w:eastAsia="en-GB"/>
              </w:rPr>
              <w:noBreakHyphen/>
              <w:t>4.6)</w:t>
            </w:r>
          </w:p>
        </w:tc>
      </w:tr>
      <w:tr w:rsidR="003B05DB" w:rsidRPr="00F940A4" w:rsidTr="008B5D49">
        <w:tc>
          <w:tcPr>
            <w:tcW w:w="2004"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rPr>
                <w:noProof/>
                <w:sz w:val="20"/>
                <w:szCs w:val="20"/>
                <w:lang w:eastAsia="en-GB"/>
              </w:rPr>
            </w:pPr>
            <w:r w:rsidRPr="00F940A4">
              <w:rPr>
                <w:noProof/>
                <w:sz w:val="20"/>
                <w:szCs w:val="20"/>
                <w:lang w:eastAsia="en-GB"/>
              </w:rPr>
              <w:t>Mean change at week 56, kg (95% CI)</w:t>
            </w:r>
          </w:p>
        </w:tc>
        <w:tc>
          <w:tcPr>
            <w:tcW w:w="963"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6.0</w:t>
            </w:r>
          </w:p>
        </w:tc>
        <w:tc>
          <w:tcPr>
            <w:tcW w:w="931"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0.2</w:t>
            </w:r>
          </w:p>
        </w:tc>
        <w:tc>
          <w:tcPr>
            <w:tcW w:w="1102"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noBreakHyphen/>
              <w:t>5.9** (</w:t>
            </w:r>
            <w:r w:rsidRPr="00F940A4">
              <w:rPr>
                <w:noProof/>
                <w:sz w:val="20"/>
                <w:szCs w:val="20"/>
                <w:lang w:eastAsia="en-GB"/>
              </w:rPr>
              <w:noBreakHyphen/>
              <w:t xml:space="preserve">7.3; </w:t>
            </w:r>
            <w:r w:rsidRPr="00F940A4">
              <w:rPr>
                <w:noProof/>
                <w:sz w:val="20"/>
                <w:szCs w:val="20"/>
                <w:lang w:eastAsia="en-GB"/>
              </w:rPr>
              <w:noBreakHyphen/>
              <w:t>4.4)</w:t>
            </w:r>
          </w:p>
        </w:tc>
      </w:tr>
      <w:tr w:rsidR="003B05DB" w:rsidRPr="00F940A4" w:rsidTr="008B5D49">
        <w:tc>
          <w:tcPr>
            <w:tcW w:w="2004" w:type="pct"/>
            <w:tcBorders>
              <w:top w:val="nil"/>
              <w:left w:val="nil"/>
              <w:bottom w:val="nil"/>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rPr>
                <w:noProof/>
                <w:sz w:val="20"/>
                <w:szCs w:val="20"/>
                <w:lang w:eastAsia="en-GB"/>
              </w:rPr>
            </w:pPr>
            <w:r w:rsidRPr="00F940A4">
              <w:rPr>
                <w:noProof/>
                <w:sz w:val="20"/>
                <w:szCs w:val="20"/>
                <w:lang w:eastAsia="en-GB"/>
              </w:rPr>
              <w:t>Proportion of patients losing ≥5% body weight at week 56, % (95% CI)</w:t>
            </w:r>
          </w:p>
        </w:tc>
        <w:tc>
          <w:tcPr>
            <w:tcW w:w="963" w:type="pct"/>
            <w:tcBorders>
              <w:top w:val="nil"/>
              <w:left w:val="nil"/>
              <w:bottom w:val="nil"/>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50.7</w:t>
            </w:r>
          </w:p>
        </w:tc>
        <w:tc>
          <w:tcPr>
            <w:tcW w:w="931" w:type="pct"/>
            <w:tcBorders>
              <w:top w:val="nil"/>
              <w:left w:val="nil"/>
              <w:bottom w:val="nil"/>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21.3</w:t>
            </w:r>
          </w:p>
        </w:tc>
        <w:tc>
          <w:tcPr>
            <w:tcW w:w="1102" w:type="pct"/>
            <w:tcBorders>
              <w:top w:val="nil"/>
              <w:left w:val="nil"/>
              <w:bottom w:val="nil"/>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3.8** (2.4; 6.0)</w:t>
            </w:r>
          </w:p>
        </w:tc>
      </w:tr>
      <w:tr w:rsidR="003B05DB" w:rsidRPr="00F940A4" w:rsidTr="008B5D49">
        <w:tc>
          <w:tcPr>
            <w:tcW w:w="2004" w:type="pct"/>
            <w:tcBorders>
              <w:top w:val="nil"/>
              <w:left w:val="nil"/>
              <w:bottom w:val="single" w:sz="4" w:space="0" w:color="auto"/>
              <w:right w:val="nil"/>
            </w:tcBorders>
            <w:tcMar>
              <w:top w:w="57" w:type="dxa"/>
              <w:left w:w="57" w:type="dxa"/>
              <w:bottom w:w="57" w:type="dxa"/>
              <w:right w:w="57" w:type="dxa"/>
            </w:tcMar>
            <w:hideMark/>
          </w:tcPr>
          <w:p w:rsidR="003B05DB" w:rsidRPr="00F940A4" w:rsidRDefault="003B05DB" w:rsidP="008B5D49">
            <w:pPr>
              <w:keepLines/>
              <w:tabs>
                <w:tab w:val="left" w:pos="567"/>
                <w:tab w:val="left" w:pos="720"/>
              </w:tabs>
              <w:suppressAutoHyphens/>
              <w:rPr>
                <w:noProof/>
                <w:sz w:val="20"/>
                <w:szCs w:val="20"/>
                <w:lang w:eastAsia="en-GB"/>
              </w:rPr>
            </w:pPr>
            <w:r w:rsidRPr="00F940A4">
              <w:rPr>
                <w:noProof/>
                <w:sz w:val="20"/>
                <w:szCs w:val="20"/>
                <w:lang w:eastAsia="en-GB"/>
              </w:rPr>
              <w:t>Proportion of patients losing &gt;10% body weight at week 56, % (95% CI)</w:t>
            </w:r>
          </w:p>
        </w:tc>
        <w:tc>
          <w:tcPr>
            <w:tcW w:w="963" w:type="pct"/>
            <w:tcBorders>
              <w:top w:val="nil"/>
              <w:left w:val="nil"/>
              <w:bottom w:val="single" w:sz="4" w:space="0" w:color="auto"/>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27.4</w:t>
            </w:r>
          </w:p>
        </w:tc>
        <w:tc>
          <w:tcPr>
            <w:tcW w:w="931" w:type="pct"/>
            <w:tcBorders>
              <w:top w:val="nil"/>
              <w:left w:val="nil"/>
              <w:bottom w:val="single" w:sz="4" w:space="0" w:color="auto"/>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6.8</w:t>
            </w:r>
          </w:p>
        </w:tc>
        <w:tc>
          <w:tcPr>
            <w:tcW w:w="1102" w:type="pct"/>
            <w:tcBorders>
              <w:top w:val="nil"/>
              <w:left w:val="nil"/>
              <w:bottom w:val="single" w:sz="4" w:space="0" w:color="auto"/>
              <w:right w:val="nil"/>
            </w:tcBorders>
            <w:tcMar>
              <w:top w:w="57" w:type="dxa"/>
              <w:left w:w="57" w:type="dxa"/>
              <w:bottom w:w="57" w:type="dxa"/>
              <w:right w:w="57" w:type="dxa"/>
            </w:tcMar>
            <w:vAlign w:val="center"/>
            <w:hideMark/>
          </w:tcPr>
          <w:p w:rsidR="003B05DB" w:rsidRPr="00F940A4" w:rsidRDefault="003B05DB" w:rsidP="008B5D49">
            <w:pPr>
              <w:keepLines/>
              <w:tabs>
                <w:tab w:val="left" w:pos="567"/>
                <w:tab w:val="left" w:pos="720"/>
              </w:tabs>
              <w:suppressAutoHyphens/>
              <w:jc w:val="center"/>
              <w:rPr>
                <w:noProof/>
                <w:sz w:val="20"/>
                <w:szCs w:val="20"/>
                <w:lang w:eastAsia="en-GB"/>
              </w:rPr>
            </w:pPr>
            <w:r w:rsidRPr="00F940A4">
              <w:rPr>
                <w:noProof/>
                <w:sz w:val="20"/>
                <w:szCs w:val="20"/>
                <w:lang w:eastAsia="en-GB"/>
              </w:rPr>
              <w:t>5.1** (2.7; 9.7)</w:t>
            </w:r>
          </w:p>
        </w:tc>
      </w:tr>
    </w:tbl>
    <w:p w:rsidR="003B05DB" w:rsidRDefault="003B05DB" w:rsidP="003B05DB">
      <w:pPr>
        <w:jc w:val="both"/>
      </w:pPr>
      <w:r w:rsidRPr="00F940A4">
        <w:rPr>
          <w:noProof/>
          <w:sz w:val="18"/>
          <w:szCs w:val="18"/>
        </w:rPr>
        <w:t xml:space="preserve">Full Analysis Set. Baseline values are means, changes from baseline at week 56 are estimated means (least-squares) and treatment contrasts at week 56 are estimated treatment differences. For the proportions of patients losing ≥5/&gt;10% body weight, estimated odds ratios are presented. Missing post-baseline values were imputed using the last observation carried forward. ** p&lt;0.0001. CI=confidence intervals. SD=standard deviation. </w:t>
      </w:r>
    </w:p>
    <w:p w:rsidR="003B05DB" w:rsidRDefault="003B05DB" w:rsidP="003B05DB">
      <w:pPr>
        <w:jc w:val="both"/>
      </w:pPr>
    </w:p>
    <w:bookmarkStart w:id="41" w:name="_MON_1455364561"/>
    <w:bookmarkEnd w:id="41"/>
    <w:p w:rsidR="003B05DB" w:rsidRPr="00F940A4" w:rsidRDefault="003B05DB" w:rsidP="003B05DB">
      <w:pPr>
        <w:pStyle w:val="BodyText"/>
        <w:rPr>
          <w:lang w:val="en-AU"/>
        </w:rPr>
      </w:pPr>
      <w:r w:rsidRPr="00F940A4">
        <w:rPr>
          <w:lang w:val="en-AU"/>
        </w:rPr>
        <w:object w:dxaOrig="4535" w:dyaOrig="2670">
          <v:shape id="_x0000_i1027" type="#_x0000_t75" style="width:226.5pt;height:135pt" o:ole="">
            <v:imagedata r:id="rId20" o:title=""/>
          </v:shape>
          <o:OLEObject Type="Embed" ProgID="Word.Document.12" ShapeID="_x0000_i1027" DrawAspect="Content" ObjectID="_1624866367" r:id="rId21">
            <o:FieldCodes>\s</o:FieldCodes>
          </o:OLEObject>
        </w:object>
      </w:r>
    </w:p>
    <w:p w:rsidR="003B05DB" w:rsidRPr="00F940A4" w:rsidRDefault="003B05DB" w:rsidP="003B05DB">
      <w:pPr>
        <w:pStyle w:val="BodyText"/>
        <w:ind w:left="1440" w:hanging="1440"/>
        <w:rPr>
          <w:b/>
          <w:bCs/>
          <w:sz w:val="20"/>
          <w:lang w:val="en-AU"/>
        </w:rPr>
      </w:pPr>
      <w:bookmarkStart w:id="42" w:name="_Ref371348464"/>
      <w:bookmarkStart w:id="43" w:name="_Toc371348508"/>
      <w:bookmarkStart w:id="44" w:name="_Toc371348586"/>
      <w:bookmarkStart w:id="45" w:name="_Toc371348719"/>
      <w:bookmarkStart w:id="46" w:name="_Toc372218893"/>
      <w:bookmarkStart w:id="47" w:name="_Toc372567073"/>
      <w:bookmarkStart w:id="48" w:name="_Toc372567112"/>
      <w:bookmarkStart w:id="49" w:name="_Toc373757425"/>
      <w:bookmarkStart w:id="50" w:name="_Toc375220855"/>
      <w:bookmarkStart w:id="51" w:name="_Toc377572631"/>
      <w:r w:rsidRPr="00F940A4">
        <w:rPr>
          <w:b/>
          <w:bCs/>
          <w:sz w:val="20"/>
          <w:lang w:val="en-AU"/>
        </w:rPr>
        <w:t xml:space="preserve">Figure </w:t>
      </w:r>
      <w:bookmarkEnd w:id="42"/>
      <w:r w:rsidR="00F11A86">
        <w:rPr>
          <w:b/>
          <w:bCs/>
          <w:sz w:val="20"/>
          <w:lang w:val="en-AU"/>
        </w:rPr>
        <w:t>3</w:t>
      </w:r>
      <w:r w:rsidRPr="00F940A4">
        <w:rPr>
          <w:b/>
          <w:bCs/>
          <w:sz w:val="20"/>
          <w:lang w:val="en-AU"/>
        </w:rPr>
        <w:tab/>
        <w:t xml:space="preserve">Change from randomisation (week 0) in body weight (%) during </w:t>
      </w:r>
      <w:bookmarkEnd w:id="43"/>
      <w:bookmarkEnd w:id="44"/>
      <w:bookmarkEnd w:id="45"/>
      <w:bookmarkEnd w:id="46"/>
      <w:bookmarkEnd w:id="47"/>
      <w:bookmarkEnd w:id="48"/>
      <w:bookmarkEnd w:id="49"/>
      <w:bookmarkEnd w:id="50"/>
      <w:bookmarkEnd w:id="51"/>
      <w:r w:rsidRPr="00F940A4">
        <w:rPr>
          <w:b/>
          <w:bCs/>
          <w:sz w:val="20"/>
          <w:lang w:val="en-AU"/>
        </w:rPr>
        <w:t>SCALE-Maintenance</w:t>
      </w:r>
    </w:p>
    <w:p w:rsidR="003B05DB" w:rsidRDefault="003B05DB" w:rsidP="003B05DB">
      <w:pPr>
        <w:jc w:val="both"/>
      </w:pPr>
      <w:r w:rsidRPr="00F940A4">
        <w:rPr>
          <w:sz w:val="18"/>
          <w:szCs w:val="18"/>
          <w:lang w:val="en-AU"/>
        </w:rPr>
        <w:t>Note: Before week 0 patients were only treated with low-calorie diet and exercise. At week 0 patients were randomised to receive either SAXENDA or placebo.</w:t>
      </w:r>
    </w:p>
    <w:p w:rsidR="003B05DB" w:rsidRDefault="003B05DB" w:rsidP="003B05DB">
      <w:pPr>
        <w:jc w:val="both"/>
      </w:pPr>
    </w:p>
    <w:p w:rsidR="003B05DB" w:rsidRPr="00F940A4" w:rsidRDefault="003B05DB" w:rsidP="003B05DB">
      <w:pPr>
        <w:autoSpaceDE w:val="0"/>
        <w:autoSpaceDN w:val="0"/>
        <w:adjustRightInd w:val="0"/>
        <w:jc w:val="both"/>
        <w:rPr>
          <w:b/>
          <w:i/>
          <w:lang w:val="en-AU"/>
        </w:rPr>
      </w:pPr>
      <w:r w:rsidRPr="00F940A4">
        <w:rPr>
          <w:b/>
          <w:i/>
          <w:lang w:val="en-AU"/>
        </w:rPr>
        <w:t>Concomitant medication</w:t>
      </w:r>
    </w:p>
    <w:p w:rsidR="003B05DB" w:rsidRDefault="003B05DB" w:rsidP="003B05DB">
      <w:pPr>
        <w:jc w:val="both"/>
      </w:pPr>
      <w:r w:rsidRPr="00F940A4">
        <w:rPr>
          <w:bCs/>
          <w:lang w:val="en-AU"/>
        </w:rPr>
        <w:t>SAXENDA was more likely than placebo to reduce the use of antihypertensive and lipid lowering drugs after one year of treatment and in patients with type 2 diabetes, SAXENDA was also more likely than placebo to reduce the use of oral antidiabetic drugs after one year of treatment.</w:t>
      </w:r>
    </w:p>
    <w:p w:rsidR="003B05DB" w:rsidRDefault="003B05DB" w:rsidP="003B05DB">
      <w:pPr>
        <w:jc w:val="both"/>
      </w:pPr>
    </w:p>
    <w:p w:rsidR="003B05DB" w:rsidRPr="00F940A4" w:rsidRDefault="003B05DB" w:rsidP="003B05DB">
      <w:pPr>
        <w:autoSpaceDE w:val="0"/>
        <w:autoSpaceDN w:val="0"/>
        <w:adjustRightInd w:val="0"/>
        <w:jc w:val="both"/>
        <w:rPr>
          <w:b/>
          <w:i/>
          <w:lang w:val="en-AU"/>
        </w:rPr>
      </w:pPr>
      <w:r w:rsidRPr="00F940A4">
        <w:rPr>
          <w:b/>
          <w:i/>
          <w:lang w:val="en-AU"/>
        </w:rPr>
        <w:t>Patient reported outcomes</w:t>
      </w:r>
    </w:p>
    <w:p w:rsidR="003B05DB" w:rsidRDefault="003B05DB" w:rsidP="003B05DB">
      <w:pPr>
        <w:jc w:val="both"/>
      </w:pPr>
      <w:r w:rsidRPr="00F940A4">
        <w:rPr>
          <w:bCs/>
          <w:lang w:val="en-AU"/>
        </w:rPr>
        <w:t>SAXENDA improved several patient reported outcomes compared to placebo. Significant improvements were seen in the IWQoL-Lite total score (</w:t>
      </w:r>
      <w:r w:rsidRPr="00F940A4">
        <w:rPr>
          <w:lang w:val="en-AU"/>
        </w:rPr>
        <w:t>SCALE-</w:t>
      </w:r>
      <w:r w:rsidRPr="00F940A4">
        <w:rPr>
          <w:lang w:val="en-AU" w:eastAsia="en-AU"/>
        </w:rPr>
        <w:t>Obesity and Pre-diabetes</w:t>
      </w:r>
      <w:r w:rsidRPr="00F940A4">
        <w:rPr>
          <w:lang w:val="en-AU"/>
        </w:rPr>
        <w:t xml:space="preserve"> and SCALE-Diabetes</w:t>
      </w:r>
      <w:r w:rsidRPr="00F940A4">
        <w:rPr>
          <w:bCs/>
          <w:lang w:val="en-AU"/>
        </w:rPr>
        <w:t>) and in all domains of the SF-36 (SCALE-</w:t>
      </w:r>
      <w:r w:rsidRPr="00F940A4">
        <w:rPr>
          <w:lang w:val="en-AU" w:eastAsia="en-AU"/>
        </w:rPr>
        <w:t>Obesity and Pre-diabetes</w:t>
      </w:r>
      <w:r w:rsidRPr="00F940A4">
        <w:rPr>
          <w:bCs/>
          <w:lang w:val="en-AU"/>
        </w:rPr>
        <w:t>), indicating favourable effects on physical function and mental health.</w:t>
      </w:r>
    </w:p>
    <w:p w:rsidR="003B05DB" w:rsidRDefault="003B05DB" w:rsidP="003B05DB">
      <w:pPr>
        <w:jc w:val="both"/>
      </w:pPr>
    </w:p>
    <w:p w:rsidR="003B05DB" w:rsidRPr="00F11A86" w:rsidRDefault="003B05DB" w:rsidP="003B05DB">
      <w:pPr>
        <w:jc w:val="both"/>
        <w:rPr>
          <w:b/>
        </w:rPr>
      </w:pPr>
      <w:bookmarkStart w:id="52" w:name="_Toc464639448"/>
      <w:r w:rsidRPr="00F11A86">
        <w:rPr>
          <w:b/>
          <w:noProof/>
          <w:lang w:val="en-AU"/>
        </w:rPr>
        <w:t>INDICATIONS</w:t>
      </w:r>
      <w:bookmarkEnd w:id="52"/>
    </w:p>
    <w:p w:rsidR="003B05DB" w:rsidRDefault="003B05DB" w:rsidP="003B05DB">
      <w:pPr>
        <w:jc w:val="both"/>
      </w:pPr>
    </w:p>
    <w:p w:rsidR="008954BE" w:rsidRPr="00F940A4" w:rsidRDefault="008954BE" w:rsidP="008954BE">
      <w:pPr>
        <w:jc w:val="both"/>
        <w:rPr>
          <w:lang w:val="en-AU"/>
        </w:rPr>
      </w:pPr>
      <w:r w:rsidRPr="00F940A4">
        <w:rPr>
          <w:lang w:val="en-AU"/>
        </w:rPr>
        <w:t xml:space="preserve">SAXENDA is indicated as an adjunct to a reduced-calorie diet and increased physical activity for weight management in adult patients with an initial Body Mass Index (BMI) of </w:t>
      </w:r>
    </w:p>
    <w:p w:rsidR="008954BE" w:rsidRPr="00F940A4" w:rsidRDefault="008954BE" w:rsidP="008954BE">
      <w:pPr>
        <w:pStyle w:val="ListParagraph"/>
        <w:numPr>
          <w:ilvl w:val="0"/>
          <w:numId w:val="17"/>
        </w:numPr>
        <w:jc w:val="both"/>
        <w:rPr>
          <w:lang w:val="en-AU"/>
        </w:rPr>
      </w:pPr>
      <w:r w:rsidRPr="00F940A4">
        <w:rPr>
          <w:lang w:val="en-AU"/>
        </w:rPr>
        <w:t>≥30 kg/m</w:t>
      </w:r>
      <w:r w:rsidRPr="00F940A4">
        <w:rPr>
          <w:vertAlign w:val="superscript"/>
          <w:lang w:val="en-AU"/>
        </w:rPr>
        <w:t xml:space="preserve">2 </w:t>
      </w:r>
      <w:r w:rsidRPr="00F940A4">
        <w:rPr>
          <w:lang w:val="en-AU"/>
        </w:rPr>
        <w:t>(obese) or</w:t>
      </w:r>
    </w:p>
    <w:p w:rsidR="003B05DB" w:rsidRDefault="008954BE" w:rsidP="0081099D">
      <w:pPr>
        <w:pStyle w:val="ListParagraph"/>
        <w:numPr>
          <w:ilvl w:val="0"/>
          <w:numId w:val="17"/>
        </w:numPr>
        <w:jc w:val="both"/>
      </w:pPr>
      <w:r w:rsidRPr="0081099D">
        <w:rPr>
          <w:lang w:val="en-AU"/>
        </w:rPr>
        <w:t>≥27 kg/m</w:t>
      </w:r>
      <w:r w:rsidRPr="0081099D">
        <w:rPr>
          <w:vertAlign w:val="superscript"/>
          <w:lang w:val="en-AU"/>
        </w:rPr>
        <w:t xml:space="preserve">2 </w:t>
      </w:r>
      <w:r w:rsidRPr="0081099D">
        <w:rPr>
          <w:lang w:val="en-AU"/>
        </w:rPr>
        <w:t xml:space="preserve"> to &lt;30 kg/m</w:t>
      </w:r>
      <w:r w:rsidRPr="0081099D">
        <w:rPr>
          <w:vertAlign w:val="superscript"/>
          <w:lang w:val="en-AU"/>
        </w:rPr>
        <w:t xml:space="preserve">2 </w:t>
      </w:r>
      <w:r w:rsidRPr="0081099D">
        <w:rPr>
          <w:lang w:val="en-AU"/>
        </w:rPr>
        <w:t xml:space="preserve"> (overweight) in the presence of at least one weight related comorbidity, such as dysglycaemia (pre-diabetes and type 2 diabetes mellitus), hypertension, dyslipidaemia, or obstructive sleep apnoea.</w:t>
      </w:r>
    </w:p>
    <w:p w:rsidR="003B05DB" w:rsidRDefault="003B05DB" w:rsidP="003B05DB">
      <w:pPr>
        <w:jc w:val="both"/>
      </w:pPr>
    </w:p>
    <w:p w:rsidR="008954BE" w:rsidRDefault="008954BE" w:rsidP="008954BE">
      <w:pPr>
        <w:jc w:val="both"/>
        <w:rPr>
          <w:iCs/>
          <w:lang w:val="en-AU"/>
        </w:rPr>
      </w:pPr>
      <w:r w:rsidRPr="00F940A4">
        <w:rPr>
          <w:iCs/>
          <w:lang w:val="en-AU"/>
        </w:rPr>
        <w:t>Treatment with SAXENDA should be discontinued after 12 weeks on the 3.0 mg/day dose if a patient has not lost at least 5% of their initial body weight.</w:t>
      </w:r>
      <w:r w:rsidRPr="00FE4797">
        <w:rPr>
          <w:iCs/>
          <w:lang w:val="en-AU"/>
        </w:rPr>
        <w:t xml:space="preserve"> </w:t>
      </w:r>
    </w:p>
    <w:p w:rsidR="008954BE" w:rsidRDefault="008954BE" w:rsidP="008954BE">
      <w:pPr>
        <w:jc w:val="both"/>
        <w:rPr>
          <w:iCs/>
          <w:lang w:val="en-AU"/>
        </w:rPr>
      </w:pPr>
    </w:p>
    <w:p w:rsidR="008954BE" w:rsidRPr="00F11A86" w:rsidRDefault="008954BE" w:rsidP="008954BE">
      <w:pPr>
        <w:jc w:val="both"/>
        <w:rPr>
          <w:b/>
        </w:rPr>
      </w:pPr>
      <w:bookmarkStart w:id="53" w:name="_Toc464639449"/>
      <w:r w:rsidRPr="00F11A86">
        <w:rPr>
          <w:b/>
          <w:noProof/>
          <w:lang w:val="en-AU"/>
        </w:rPr>
        <w:t>CONTRAINDICATIONS</w:t>
      </w:r>
      <w:bookmarkEnd w:id="53"/>
    </w:p>
    <w:p w:rsidR="008954BE" w:rsidRDefault="008954BE" w:rsidP="003B05DB">
      <w:pPr>
        <w:jc w:val="both"/>
      </w:pPr>
    </w:p>
    <w:p w:rsidR="008954BE" w:rsidRPr="00FE4797" w:rsidRDefault="008954BE" w:rsidP="008954BE">
      <w:pPr>
        <w:rPr>
          <w:lang w:val="en-AU"/>
        </w:rPr>
      </w:pPr>
      <w:r w:rsidRPr="00FE4797">
        <w:rPr>
          <w:lang w:val="en-AU"/>
        </w:rPr>
        <w:t>SAXENDA is not to be used in:</w:t>
      </w:r>
    </w:p>
    <w:p w:rsidR="008954BE" w:rsidRPr="00184880" w:rsidRDefault="008954BE" w:rsidP="008954BE">
      <w:pPr>
        <w:pStyle w:val="ListParagraph"/>
        <w:numPr>
          <w:ilvl w:val="0"/>
          <w:numId w:val="33"/>
        </w:numPr>
        <w:rPr>
          <w:lang w:val="en-AU"/>
        </w:rPr>
      </w:pPr>
      <w:r w:rsidRPr="00184880">
        <w:rPr>
          <w:lang w:val="en-AU"/>
        </w:rPr>
        <w:t>patients with hypersensitivity to liraglutide or any of its excipients.</w:t>
      </w:r>
    </w:p>
    <w:p w:rsidR="008954BE" w:rsidRDefault="008954BE" w:rsidP="008954BE">
      <w:pPr>
        <w:pStyle w:val="ListParagraph"/>
        <w:numPr>
          <w:ilvl w:val="0"/>
          <w:numId w:val="33"/>
        </w:numPr>
        <w:jc w:val="both"/>
      </w:pPr>
      <w:r w:rsidRPr="008954BE">
        <w:rPr>
          <w:bCs/>
          <w:lang w:val="en-AU"/>
        </w:rPr>
        <w:t>patients with a past history of GLP-1 analogue associated pancreatitis</w:t>
      </w:r>
    </w:p>
    <w:p w:rsidR="008954BE" w:rsidRDefault="008954BE" w:rsidP="003B05DB">
      <w:pPr>
        <w:jc w:val="both"/>
      </w:pPr>
    </w:p>
    <w:p w:rsidR="008954BE" w:rsidRPr="00F11A86" w:rsidRDefault="008954BE" w:rsidP="003B05DB">
      <w:pPr>
        <w:jc w:val="both"/>
        <w:rPr>
          <w:b/>
        </w:rPr>
      </w:pPr>
      <w:bookmarkStart w:id="54" w:name="_Toc464639450"/>
      <w:r w:rsidRPr="00F11A86">
        <w:rPr>
          <w:b/>
          <w:noProof/>
          <w:lang w:val="en-AU"/>
        </w:rPr>
        <w:t>PRECAUTIONS</w:t>
      </w:r>
      <w:bookmarkEnd w:id="54"/>
    </w:p>
    <w:p w:rsidR="008954BE" w:rsidRDefault="008954BE" w:rsidP="003B05DB">
      <w:pPr>
        <w:jc w:val="both"/>
      </w:pPr>
    </w:p>
    <w:p w:rsidR="008954BE" w:rsidRPr="00374741" w:rsidRDefault="008954BE" w:rsidP="008954BE">
      <w:pPr>
        <w:jc w:val="both"/>
        <w:rPr>
          <w:b/>
          <w:i/>
          <w:u w:val="single"/>
          <w:lang w:val="en-AU"/>
        </w:rPr>
      </w:pPr>
      <w:r w:rsidRPr="00374741">
        <w:rPr>
          <w:b/>
          <w:i/>
          <w:u w:val="single"/>
          <w:lang w:val="en-AU"/>
        </w:rPr>
        <w:t>General</w:t>
      </w:r>
    </w:p>
    <w:p w:rsidR="008954BE" w:rsidRDefault="008954BE" w:rsidP="008954BE">
      <w:pPr>
        <w:pStyle w:val="BodyText"/>
        <w:numPr>
          <w:ilvl w:val="0"/>
          <w:numId w:val="23"/>
        </w:numPr>
        <w:rPr>
          <w:spacing w:val="-1"/>
          <w:sz w:val="24"/>
          <w:szCs w:val="24"/>
        </w:rPr>
      </w:pPr>
      <w:r w:rsidRPr="00EB3438">
        <w:rPr>
          <w:spacing w:val="-1"/>
          <w:sz w:val="24"/>
          <w:szCs w:val="24"/>
        </w:rPr>
        <w:t>SAXENDA</w:t>
      </w:r>
      <w:r w:rsidRPr="00EB3438">
        <w:rPr>
          <w:spacing w:val="-4"/>
          <w:sz w:val="24"/>
          <w:szCs w:val="24"/>
        </w:rPr>
        <w:t xml:space="preserve"> </w:t>
      </w:r>
      <w:r w:rsidRPr="00EB3438">
        <w:rPr>
          <w:spacing w:val="-1"/>
          <w:sz w:val="24"/>
          <w:szCs w:val="24"/>
        </w:rPr>
        <w:t>must</w:t>
      </w:r>
      <w:r w:rsidRPr="00EB3438">
        <w:rPr>
          <w:spacing w:val="-6"/>
          <w:sz w:val="24"/>
          <w:szCs w:val="24"/>
        </w:rPr>
        <w:t xml:space="preserve"> </w:t>
      </w:r>
      <w:r w:rsidRPr="00EB3438">
        <w:rPr>
          <w:sz w:val="24"/>
          <w:szCs w:val="24"/>
        </w:rPr>
        <w:t>not</w:t>
      </w:r>
      <w:r w:rsidRPr="00EB3438">
        <w:rPr>
          <w:spacing w:val="-4"/>
          <w:sz w:val="24"/>
          <w:szCs w:val="24"/>
        </w:rPr>
        <w:t xml:space="preserve"> </w:t>
      </w:r>
      <w:r w:rsidRPr="00EB3438">
        <w:rPr>
          <w:sz w:val="24"/>
          <w:szCs w:val="24"/>
        </w:rPr>
        <w:t>be</w:t>
      </w:r>
      <w:r w:rsidRPr="00EB3438">
        <w:rPr>
          <w:spacing w:val="-5"/>
          <w:sz w:val="24"/>
          <w:szCs w:val="24"/>
        </w:rPr>
        <w:t xml:space="preserve"> </w:t>
      </w:r>
      <w:r w:rsidRPr="00EB3438">
        <w:rPr>
          <w:sz w:val="24"/>
          <w:szCs w:val="24"/>
        </w:rPr>
        <w:t>used</w:t>
      </w:r>
      <w:r w:rsidRPr="00EB3438">
        <w:rPr>
          <w:spacing w:val="-4"/>
          <w:sz w:val="24"/>
          <w:szCs w:val="24"/>
        </w:rPr>
        <w:t xml:space="preserve"> </w:t>
      </w:r>
      <w:r w:rsidRPr="00EB3438">
        <w:rPr>
          <w:sz w:val="24"/>
          <w:szCs w:val="24"/>
        </w:rPr>
        <w:t>as</w:t>
      </w:r>
      <w:r w:rsidRPr="00EB3438">
        <w:rPr>
          <w:spacing w:val="-5"/>
          <w:sz w:val="24"/>
          <w:szCs w:val="24"/>
        </w:rPr>
        <w:t xml:space="preserve"> </w:t>
      </w:r>
      <w:r w:rsidRPr="00EB3438">
        <w:rPr>
          <w:sz w:val="24"/>
          <w:szCs w:val="24"/>
        </w:rPr>
        <w:t>a</w:t>
      </w:r>
      <w:r w:rsidRPr="00EB3438">
        <w:rPr>
          <w:spacing w:val="-5"/>
          <w:sz w:val="24"/>
          <w:szCs w:val="24"/>
        </w:rPr>
        <w:t xml:space="preserve"> </w:t>
      </w:r>
      <w:r w:rsidRPr="00EB3438">
        <w:rPr>
          <w:spacing w:val="-1"/>
          <w:sz w:val="24"/>
          <w:szCs w:val="24"/>
        </w:rPr>
        <w:t>substitute</w:t>
      </w:r>
      <w:r w:rsidRPr="00EB3438">
        <w:rPr>
          <w:spacing w:val="-2"/>
          <w:sz w:val="24"/>
          <w:szCs w:val="24"/>
        </w:rPr>
        <w:t xml:space="preserve"> </w:t>
      </w:r>
      <w:r w:rsidRPr="00EB3438">
        <w:rPr>
          <w:spacing w:val="-1"/>
          <w:sz w:val="24"/>
          <w:szCs w:val="24"/>
        </w:rPr>
        <w:t>for</w:t>
      </w:r>
      <w:r w:rsidRPr="00EB3438">
        <w:rPr>
          <w:spacing w:val="-4"/>
          <w:sz w:val="24"/>
          <w:szCs w:val="24"/>
        </w:rPr>
        <w:t xml:space="preserve"> </w:t>
      </w:r>
      <w:r w:rsidRPr="00EB3438">
        <w:rPr>
          <w:spacing w:val="-1"/>
          <w:sz w:val="24"/>
          <w:szCs w:val="24"/>
        </w:rPr>
        <w:t>insulin</w:t>
      </w:r>
      <w:r>
        <w:rPr>
          <w:spacing w:val="-1"/>
          <w:sz w:val="24"/>
          <w:szCs w:val="24"/>
        </w:rPr>
        <w:t xml:space="preserve"> in patients with diabetes mellitus</w:t>
      </w:r>
      <w:r w:rsidRPr="00EB3438">
        <w:rPr>
          <w:spacing w:val="-1"/>
          <w:sz w:val="24"/>
          <w:szCs w:val="24"/>
        </w:rPr>
        <w:t>.</w:t>
      </w:r>
    </w:p>
    <w:p w:rsidR="008954BE" w:rsidRPr="003C79B9" w:rsidRDefault="008954BE" w:rsidP="008954BE">
      <w:pPr>
        <w:pStyle w:val="BodyText"/>
        <w:numPr>
          <w:ilvl w:val="0"/>
          <w:numId w:val="23"/>
        </w:numPr>
        <w:rPr>
          <w:spacing w:val="-1"/>
          <w:sz w:val="24"/>
          <w:szCs w:val="24"/>
        </w:rPr>
      </w:pPr>
      <w:r>
        <w:rPr>
          <w:spacing w:val="-1"/>
          <w:sz w:val="24"/>
          <w:szCs w:val="24"/>
        </w:rPr>
        <w:t>SAXENDA and insulin should not be used together.</w:t>
      </w:r>
      <w:r w:rsidRPr="00764D33">
        <w:rPr>
          <w:sz w:val="23"/>
          <w:szCs w:val="23"/>
        </w:rPr>
        <w:t xml:space="preserve"> </w:t>
      </w:r>
      <w:r w:rsidRPr="003C79B9">
        <w:rPr>
          <w:sz w:val="24"/>
          <w:szCs w:val="24"/>
        </w:rPr>
        <w:t>SAXENDA has not been studied in patients taking insulin.</w:t>
      </w:r>
    </w:p>
    <w:p w:rsidR="008954BE" w:rsidRDefault="008954BE" w:rsidP="008954BE">
      <w:pPr>
        <w:pStyle w:val="NoSpacing"/>
        <w:numPr>
          <w:ilvl w:val="0"/>
          <w:numId w:val="23"/>
        </w:numPr>
        <w:rPr>
          <w:sz w:val="24"/>
          <w:szCs w:val="24"/>
        </w:rPr>
      </w:pPr>
      <w:r w:rsidRPr="00F940A4">
        <w:rPr>
          <w:sz w:val="24"/>
          <w:szCs w:val="24"/>
        </w:rPr>
        <w:t>SAXENDA is not indicated for the treatment of type 2 diabetes mellitus.</w:t>
      </w:r>
    </w:p>
    <w:p w:rsidR="008954BE" w:rsidRPr="00374741" w:rsidRDefault="008954BE" w:rsidP="008954BE">
      <w:pPr>
        <w:pStyle w:val="BodyText"/>
        <w:widowControl w:val="0"/>
        <w:numPr>
          <w:ilvl w:val="0"/>
          <w:numId w:val="23"/>
        </w:numPr>
        <w:tabs>
          <w:tab w:val="left" w:pos="1016"/>
        </w:tabs>
        <w:overflowPunct/>
        <w:autoSpaceDE/>
        <w:autoSpaceDN/>
        <w:adjustRightInd/>
        <w:ind w:right="1"/>
        <w:textAlignment w:val="auto"/>
        <w:rPr>
          <w:sz w:val="24"/>
          <w:szCs w:val="24"/>
        </w:rPr>
      </w:pPr>
      <w:r>
        <w:rPr>
          <w:spacing w:val="-1"/>
          <w:sz w:val="24"/>
          <w:szCs w:val="24"/>
        </w:rPr>
        <w:lastRenderedPageBreak/>
        <w:t xml:space="preserve">SAXENDA is not indicated in patients </w:t>
      </w:r>
      <w:r w:rsidRPr="00374741">
        <w:rPr>
          <w:spacing w:val="-1"/>
          <w:sz w:val="24"/>
          <w:szCs w:val="24"/>
        </w:rPr>
        <w:t>with</w:t>
      </w:r>
      <w:r w:rsidRPr="00374741">
        <w:rPr>
          <w:spacing w:val="6"/>
          <w:sz w:val="24"/>
          <w:szCs w:val="24"/>
        </w:rPr>
        <w:t xml:space="preserve"> </w:t>
      </w:r>
      <w:r w:rsidRPr="00374741">
        <w:rPr>
          <w:spacing w:val="-1"/>
          <w:sz w:val="24"/>
          <w:szCs w:val="24"/>
        </w:rPr>
        <w:t>obesity</w:t>
      </w:r>
      <w:r w:rsidRPr="00374741">
        <w:rPr>
          <w:spacing w:val="6"/>
          <w:sz w:val="24"/>
          <w:szCs w:val="24"/>
        </w:rPr>
        <w:t xml:space="preserve"> </w:t>
      </w:r>
      <w:r w:rsidRPr="00374741">
        <w:rPr>
          <w:spacing w:val="-1"/>
          <w:sz w:val="24"/>
          <w:szCs w:val="24"/>
        </w:rPr>
        <w:t>secondary</w:t>
      </w:r>
      <w:r w:rsidRPr="00374741">
        <w:rPr>
          <w:spacing w:val="7"/>
          <w:sz w:val="24"/>
          <w:szCs w:val="24"/>
        </w:rPr>
        <w:t xml:space="preserve"> </w:t>
      </w:r>
      <w:r w:rsidRPr="00374741">
        <w:rPr>
          <w:sz w:val="24"/>
          <w:szCs w:val="24"/>
        </w:rPr>
        <w:t>to</w:t>
      </w:r>
      <w:r w:rsidRPr="00374741">
        <w:rPr>
          <w:spacing w:val="6"/>
          <w:sz w:val="24"/>
          <w:szCs w:val="24"/>
        </w:rPr>
        <w:t xml:space="preserve"> </w:t>
      </w:r>
      <w:r w:rsidRPr="00374741">
        <w:rPr>
          <w:sz w:val="24"/>
          <w:szCs w:val="24"/>
        </w:rPr>
        <w:t>endocrinological</w:t>
      </w:r>
      <w:r w:rsidRPr="00374741">
        <w:rPr>
          <w:spacing w:val="5"/>
          <w:sz w:val="24"/>
          <w:szCs w:val="24"/>
        </w:rPr>
        <w:t xml:space="preserve"> </w:t>
      </w:r>
      <w:r w:rsidRPr="00374741">
        <w:rPr>
          <w:spacing w:val="-1"/>
          <w:sz w:val="24"/>
          <w:szCs w:val="24"/>
        </w:rPr>
        <w:t>or</w:t>
      </w:r>
      <w:r w:rsidRPr="00374741">
        <w:rPr>
          <w:spacing w:val="4"/>
          <w:sz w:val="24"/>
          <w:szCs w:val="24"/>
        </w:rPr>
        <w:t xml:space="preserve"> </w:t>
      </w:r>
      <w:r w:rsidRPr="00374741">
        <w:rPr>
          <w:sz w:val="24"/>
          <w:szCs w:val="24"/>
        </w:rPr>
        <w:t>eating</w:t>
      </w:r>
      <w:r w:rsidRPr="00374741">
        <w:rPr>
          <w:spacing w:val="6"/>
          <w:sz w:val="24"/>
          <w:szCs w:val="24"/>
        </w:rPr>
        <w:t xml:space="preserve"> </w:t>
      </w:r>
      <w:r w:rsidRPr="00374741">
        <w:rPr>
          <w:spacing w:val="-1"/>
          <w:sz w:val="24"/>
          <w:szCs w:val="24"/>
        </w:rPr>
        <w:t>disorders</w:t>
      </w:r>
      <w:r w:rsidRPr="00374741">
        <w:rPr>
          <w:spacing w:val="6"/>
          <w:sz w:val="24"/>
          <w:szCs w:val="24"/>
        </w:rPr>
        <w:t xml:space="preserve"> </w:t>
      </w:r>
      <w:r w:rsidRPr="00374741">
        <w:rPr>
          <w:spacing w:val="-1"/>
          <w:sz w:val="24"/>
          <w:szCs w:val="24"/>
        </w:rPr>
        <w:t>or</w:t>
      </w:r>
      <w:r w:rsidRPr="00374741">
        <w:rPr>
          <w:spacing w:val="6"/>
          <w:sz w:val="24"/>
          <w:szCs w:val="24"/>
        </w:rPr>
        <w:t xml:space="preserve"> </w:t>
      </w:r>
      <w:r w:rsidRPr="00374741">
        <w:rPr>
          <w:sz w:val="24"/>
          <w:szCs w:val="24"/>
        </w:rPr>
        <w:t>to</w:t>
      </w:r>
      <w:r w:rsidRPr="00374741">
        <w:rPr>
          <w:spacing w:val="6"/>
          <w:sz w:val="24"/>
          <w:szCs w:val="24"/>
        </w:rPr>
        <w:t xml:space="preserve"> </w:t>
      </w:r>
      <w:r w:rsidRPr="00374741">
        <w:rPr>
          <w:spacing w:val="-1"/>
          <w:sz w:val="24"/>
          <w:szCs w:val="24"/>
        </w:rPr>
        <w:t>treatment</w:t>
      </w:r>
      <w:r w:rsidRPr="00374741">
        <w:rPr>
          <w:spacing w:val="6"/>
          <w:sz w:val="24"/>
          <w:szCs w:val="24"/>
        </w:rPr>
        <w:t xml:space="preserve"> </w:t>
      </w:r>
      <w:r w:rsidRPr="00374741">
        <w:rPr>
          <w:sz w:val="24"/>
          <w:szCs w:val="24"/>
        </w:rPr>
        <w:t>with</w:t>
      </w:r>
      <w:r w:rsidRPr="00374741">
        <w:rPr>
          <w:spacing w:val="33"/>
          <w:w w:val="99"/>
          <w:sz w:val="24"/>
          <w:szCs w:val="24"/>
        </w:rPr>
        <w:t xml:space="preserve"> </w:t>
      </w:r>
      <w:r w:rsidRPr="00374741">
        <w:rPr>
          <w:spacing w:val="-1"/>
          <w:sz w:val="24"/>
          <w:szCs w:val="24"/>
        </w:rPr>
        <w:t>medicinal</w:t>
      </w:r>
      <w:r w:rsidRPr="00374741">
        <w:rPr>
          <w:spacing w:val="-6"/>
          <w:sz w:val="24"/>
          <w:szCs w:val="24"/>
        </w:rPr>
        <w:t xml:space="preserve"> </w:t>
      </w:r>
      <w:r w:rsidRPr="00374741">
        <w:rPr>
          <w:spacing w:val="-1"/>
          <w:sz w:val="24"/>
          <w:szCs w:val="24"/>
        </w:rPr>
        <w:t>products</w:t>
      </w:r>
      <w:r w:rsidRPr="00374741">
        <w:rPr>
          <w:spacing w:val="-6"/>
          <w:sz w:val="24"/>
          <w:szCs w:val="24"/>
        </w:rPr>
        <w:t xml:space="preserve"> </w:t>
      </w:r>
      <w:r w:rsidRPr="00374741">
        <w:rPr>
          <w:sz w:val="24"/>
          <w:szCs w:val="24"/>
        </w:rPr>
        <w:t>that</w:t>
      </w:r>
      <w:r w:rsidRPr="00374741">
        <w:rPr>
          <w:spacing w:val="-7"/>
          <w:sz w:val="24"/>
          <w:szCs w:val="24"/>
        </w:rPr>
        <w:t xml:space="preserve"> </w:t>
      </w:r>
      <w:r w:rsidRPr="00374741">
        <w:rPr>
          <w:spacing w:val="-1"/>
          <w:sz w:val="24"/>
          <w:szCs w:val="24"/>
        </w:rPr>
        <w:t>may</w:t>
      </w:r>
      <w:r w:rsidRPr="00374741">
        <w:rPr>
          <w:spacing w:val="-6"/>
          <w:sz w:val="24"/>
          <w:szCs w:val="24"/>
        </w:rPr>
        <w:t xml:space="preserve"> </w:t>
      </w:r>
      <w:r w:rsidRPr="00374741">
        <w:rPr>
          <w:sz w:val="24"/>
          <w:szCs w:val="24"/>
        </w:rPr>
        <w:t>cause</w:t>
      </w:r>
      <w:r w:rsidRPr="00374741">
        <w:rPr>
          <w:spacing w:val="-7"/>
          <w:sz w:val="24"/>
          <w:szCs w:val="24"/>
        </w:rPr>
        <w:t xml:space="preserve"> </w:t>
      </w:r>
      <w:r w:rsidRPr="00374741">
        <w:rPr>
          <w:sz w:val="24"/>
          <w:szCs w:val="24"/>
        </w:rPr>
        <w:t>weight</w:t>
      </w:r>
      <w:r w:rsidRPr="00374741">
        <w:rPr>
          <w:spacing w:val="-6"/>
          <w:sz w:val="24"/>
          <w:szCs w:val="24"/>
        </w:rPr>
        <w:t xml:space="preserve"> </w:t>
      </w:r>
      <w:r w:rsidRPr="00374741">
        <w:rPr>
          <w:sz w:val="24"/>
          <w:szCs w:val="24"/>
        </w:rPr>
        <w:t>gain</w:t>
      </w:r>
      <w:r>
        <w:rPr>
          <w:sz w:val="24"/>
          <w:szCs w:val="24"/>
        </w:rPr>
        <w:t>.</w:t>
      </w:r>
    </w:p>
    <w:p w:rsidR="008954BE" w:rsidRDefault="008954BE" w:rsidP="008954BE">
      <w:pPr>
        <w:pStyle w:val="ListParagraph"/>
        <w:numPr>
          <w:ilvl w:val="0"/>
          <w:numId w:val="23"/>
        </w:numPr>
        <w:jc w:val="both"/>
      </w:pPr>
      <w:r>
        <w:t>SAXENDA is not recommended</w:t>
      </w:r>
      <w:r w:rsidRPr="00EB3438">
        <w:t xml:space="preserve"> in combination with other </w:t>
      </w:r>
      <w:r>
        <w:t xml:space="preserve">medicinal </w:t>
      </w:r>
      <w:r w:rsidRPr="00EB3438">
        <w:t>products intended for weight loss, including prescription medicines, over-the-counter medicines, and complementary medicines/herbal preparations</w:t>
      </w:r>
      <w:r>
        <w:t xml:space="preserve">. Efficacy and safety </w:t>
      </w:r>
      <w:r w:rsidRPr="00EB3438">
        <w:t xml:space="preserve">have not been established. </w:t>
      </w:r>
    </w:p>
    <w:p w:rsidR="008954BE" w:rsidRDefault="008954BE" w:rsidP="003B05DB">
      <w:pPr>
        <w:jc w:val="both"/>
      </w:pPr>
    </w:p>
    <w:p w:rsidR="008954BE" w:rsidRPr="00E01526" w:rsidRDefault="008954BE" w:rsidP="008954BE">
      <w:pPr>
        <w:pStyle w:val="BodyText"/>
        <w:ind w:right="1"/>
        <w:rPr>
          <w:b/>
          <w:i/>
          <w:spacing w:val="-1"/>
          <w:sz w:val="24"/>
          <w:szCs w:val="24"/>
        </w:rPr>
      </w:pPr>
      <w:r w:rsidRPr="00E01526">
        <w:rPr>
          <w:b/>
          <w:i/>
          <w:spacing w:val="-1"/>
          <w:sz w:val="24"/>
          <w:szCs w:val="24"/>
        </w:rPr>
        <w:t>Cardiovascular events</w:t>
      </w:r>
    </w:p>
    <w:p w:rsidR="008954BE" w:rsidRDefault="008954BE" w:rsidP="008954BE">
      <w:pPr>
        <w:jc w:val="both"/>
      </w:pPr>
      <w:r w:rsidRPr="00E01526">
        <w:t>The effects of SAXENDA on cardiovascular morbidity and mortality have not been established</w:t>
      </w:r>
      <w:r w:rsidRPr="00003EC6">
        <w:t>.</w:t>
      </w:r>
      <w:r w:rsidRPr="00E01526">
        <w:rPr>
          <w:b/>
        </w:rPr>
        <w:t xml:space="preserve"> </w:t>
      </w:r>
      <w:r w:rsidRPr="00E01526">
        <w:t>[see BOXED WARNING].</w:t>
      </w:r>
    </w:p>
    <w:p w:rsidR="008954BE" w:rsidRDefault="008954BE" w:rsidP="003B05DB">
      <w:pPr>
        <w:jc w:val="both"/>
      </w:pPr>
    </w:p>
    <w:p w:rsidR="008954BE" w:rsidRDefault="008954BE" w:rsidP="003B05DB">
      <w:pPr>
        <w:jc w:val="both"/>
      </w:pPr>
      <w:r w:rsidRPr="00F940A4">
        <w:rPr>
          <w:bCs/>
        </w:rPr>
        <w:t>In the clinical development program for S</w:t>
      </w:r>
      <w:r>
        <w:rPr>
          <w:bCs/>
        </w:rPr>
        <w:t>AXENDA</w:t>
      </w:r>
      <w:r w:rsidRPr="00F940A4">
        <w:rPr>
          <w:bCs/>
        </w:rPr>
        <w:t>, patients with “clinically significant cardiovascular heart disease” in the 6 months prior to participation in the trial were excluded at the discretion of the investigator. Only 9% of patients in the clinical development program had a past history of cardiovascular (cardiac or cerebrovascular) disease.</w:t>
      </w:r>
      <w:r w:rsidRPr="001B027A">
        <w:rPr>
          <w:bCs/>
        </w:rPr>
        <w:t xml:space="preserve"> SAXENDA is not recommended in patients with clinically significant heart disease or clinically significant cerebrova</w:t>
      </w:r>
      <w:r>
        <w:rPr>
          <w:bCs/>
        </w:rPr>
        <w:t>s</w:t>
      </w:r>
      <w:r w:rsidRPr="001B027A">
        <w:rPr>
          <w:bCs/>
        </w:rPr>
        <w:t>cular disease.</w:t>
      </w:r>
    </w:p>
    <w:p w:rsidR="008954BE" w:rsidRDefault="008954BE" w:rsidP="003B05DB">
      <w:pPr>
        <w:jc w:val="both"/>
      </w:pPr>
    </w:p>
    <w:p w:rsidR="008954BE" w:rsidRPr="001B027A" w:rsidRDefault="008954BE" w:rsidP="008954BE">
      <w:pPr>
        <w:pStyle w:val="BodyText"/>
        <w:ind w:right="1"/>
        <w:jc w:val="both"/>
        <w:rPr>
          <w:bCs/>
          <w:sz w:val="24"/>
          <w:szCs w:val="24"/>
        </w:rPr>
      </w:pPr>
      <w:r w:rsidRPr="001B027A">
        <w:rPr>
          <w:bCs/>
          <w:sz w:val="24"/>
          <w:szCs w:val="24"/>
        </w:rPr>
        <w:t>There is limited experience in patients with congestive heart failureNew York Heart Association</w:t>
      </w:r>
      <w:r>
        <w:rPr>
          <w:bCs/>
          <w:sz w:val="24"/>
          <w:szCs w:val="24"/>
        </w:rPr>
        <w:t xml:space="preserve"> [NYHA</w:t>
      </w:r>
      <w:r w:rsidRPr="001B027A">
        <w:rPr>
          <w:bCs/>
          <w:sz w:val="24"/>
          <w:szCs w:val="24"/>
        </w:rPr>
        <w:t>] class I-II</w:t>
      </w:r>
      <w:r>
        <w:rPr>
          <w:bCs/>
          <w:sz w:val="24"/>
          <w:szCs w:val="24"/>
        </w:rPr>
        <w:t>.</w:t>
      </w:r>
      <w:r w:rsidRPr="001B027A">
        <w:rPr>
          <w:bCs/>
          <w:sz w:val="24"/>
          <w:szCs w:val="24"/>
        </w:rPr>
        <w:t xml:space="preserve"> Patients with NYHA  Class III/IV heart failure were excluded from the clinical development program for S</w:t>
      </w:r>
      <w:r>
        <w:rPr>
          <w:bCs/>
          <w:sz w:val="24"/>
          <w:szCs w:val="24"/>
        </w:rPr>
        <w:t>AXENDA</w:t>
      </w:r>
      <w:r w:rsidRPr="001B027A">
        <w:rPr>
          <w:bCs/>
          <w:sz w:val="24"/>
          <w:szCs w:val="24"/>
        </w:rPr>
        <w:t>. Use of SAXENDA is not recommended in patients with heart failure.</w:t>
      </w:r>
    </w:p>
    <w:p w:rsidR="008954BE" w:rsidRDefault="008954BE" w:rsidP="003B05DB">
      <w:pPr>
        <w:jc w:val="both"/>
      </w:pPr>
    </w:p>
    <w:p w:rsidR="008954BE" w:rsidRDefault="008954BE" w:rsidP="008954BE">
      <w:pPr>
        <w:pStyle w:val="NoSpacing"/>
        <w:jc w:val="both"/>
        <w:rPr>
          <w:sz w:val="24"/>
          <w:szCs w:val="24"/>
          <w:u w:val="single"/>
        </w:rPr>
      </w:pPr>
      <w:r w:rsidRPr="001B027A">
        <w:rPr>
          <w:sz w:val="24"/>
          <w:szCs w:val="24"/>
          <w:u w:val="single"/>
        </w:rPr>
        <w:t>Increase in heart rate</w:t>
      </w:r>
    </w:p>
    <w:p w:rsidR="008954BE" w:rsidRDefault="008954BE" w:rsidP="008954BE">
      <w:pPr>
        <w:jc w:val="both"/>
      </w:pPr>
      <w:r w:rsidRPr="00F940A4">
        <w:t>An increase in heart rate with S</w:t>
      </w:r>
      <w:r>
        <w:t>AXENDA</w:t>
      </w:r>
      <w:r w:rsidRPr="00F940A4">
        <w:t xml:space="preserve"> was observed in clinical trials [see ADVERSE EFFECTS]. The clinical significance of the increase in heart rate with S</w:t>
      </w:r>
      <w:r>
        <w:t>AXENDA</w:t>
      </w:r>
      <w:r w:rsidRPr="00F940A4">
        <w:t xml:space="preserve"> is unclear, especially for patients with cardiac and cerebrovascular disease, because of limited exposure in these patients in clinical trials. </w:t>
      </w:r>
    </w:p>
    <w:p w:rsidR="008954BE" w:rsidRDefault="008954BE" w:rsidP="003B05DB">
      <w:pPr>
        <w:jc w:val="both"/>
      </w:pPr>
    </w:p>
    <w:p w:rsidR="008954BE" w:rsidRDefault="008954BE" w:rsidP="003B05DB">
      <w:pPr>
        <w:jc w:val="both"/>
      </w:pPr>
      <w:r w:rsidRPr="00F940A4">
        <w:t>Heart rate should be monitored at regular intervals consistent with good clinical practice. Patients should be informed of the symptoms of increased heart rate (palpitations or feelings of a racing heartbeat while at rest). For patients who experience a sustained increase in resting heart rate, S</w:t>
      </w:r>
      <w:r>
        <w:t>AXENDA</w:t>
      </w:r>
      <w:r w:rsidRPr="00F940A4">
        <w:t xml:space="preserve"> should be discontinued.</w:t>
      </w:r>
    </w:p>
    <w:p w:rsidR="008954BE" w:rsidRDefault="008954BE" w:rsidP="003B05DB">
      <w:pPr>
        <w:jc w:val="both"/>
      </w:pPr>
    </w:p>
    <w:p w:rsidR="003B05DB" w:rsidRDefault="008B5D49" w:rsidP="003B05DB">
      <w:pPr>
        <w:jc w:val="both"/>
      </w:pPr>
      <w:r w:rsidRPr="00F940A4">
        <w:t>The effect on the heart rate of co-administration of S</w:t>
      </w:r>
      <w:r>
        <w:t>AXENDA</w:t>
      </w:r>
      <w:r w:rsidRPr="00F940A4">
        <w:t xml:space="preserve"> with other </w:t>
      </w:r>
      <w:r>
        <w:t>medicines</w:t>
      </w:r>
      <w:r w:rsidRPr="00F940A4">
        <w:t xml:space="preserve"> that increase heart rate (e.g., sympathomimetic drugs) has not been evaluated. Consequently, co-administration of S</w:t>
      </w:r>
      <w:r>
        <w:t>AXENDA</w:t>
      </w:r>
      <w:r w:rsidRPr="00F940A4">
        <w:t xml:space="preserve"> with these </w:t>
      </w:r>
      <w:r>
        <w:t>medicines</w:t>
      </w:r>
      <w:r w:rsidRPr="00F940A4">
        <w:t xml:space="preserve"> should be undertaken with caution.</w:t>
      </w:r>
    </w:p>
    <w:p w:rsidR="008954BE" w:rsidRDefault="008954BE" w:rsidP="003B05DB">
      <w:pPr>
        <w:jc w:val="both"/>
      </w:pPr>
    </w:p>
    <w:p w:rsidR="008B5D49" w:rsidRPr="00F940A4" w:rsidRDefault="008B5D49" w:rsidP="008B5D49">
      <w:pPr>
        <w:pStyle w:val="NoSpacing"/>
        <w:jc w:val="both"/>
        <w:rPr>
          <w:sz w:val="24"/>
          <w:szCs w:val="24"/>
          <w:u w:val="single"/>
        </w:rPr>
      </w:pPr>
      <w:r w:rsidRPr="00F940A4">
        <w:rPr>
          <w:sz w:val="24"/>
          <w:szCs w:val="24"/>
          <w:u w:val="single"/>
        </w:rPr>
        <w:t>Cardiac conduction disorders</w:t>
      </w:r>
    </w:p>
    <w:p w:rsidR="008954BE" w:rsidRDefault="008B5D49" w:rsidP="008B5D49">
      <w:pPr>
        <w:jc w:val="both"/>
      </w:pPr>
      <w:r w:rsidRPr="00F940A4">
        <w:t>In S</w:t>
      </w:r>
      <w:r>
        <w:t>AXENDA</w:t>
      </w:r>
      <w:r w:rsidRPr="00F940A4">
        <w:t xml:space="preserve"> clinical trials, S</w:t>
      </w:r>
      <w:r>
        <w:t>AXENDA</w:t>
      </w:r>
      <w:r w:rsidRPr="00F940A4">
        <w:t>-treated patients experienced more cardiac conduction disorders compared with placebo-treated patients [see ADVERSE EFFECTS].</w:t>
      </w:r>
      <w:r w:rsidRPr="001B027A">
        <w:t xml:space="preserve"> The clinical significance of this observation is not known because of limited clinical experience in patients with pre-existing conduction system abnormalities (e.g., marked first-degree AV block or second- or third-degree AV block) and heart rhythm disturbances (e.g., tachyarrhythmia). S</w:t>
      </w:r>
      <w:r>
        <w:t>AXENDA</w:t>
      </w:r>
      <w:r w:rsidRPr="001B027A">
        <w:t xml:space="preserve"> is not recommended in these patients.</w:t>
      </w:r>
    </w:p>
    <w:p w:rsidR="008954BE" w:rsidRDefault="008954BE" w:rsidP="003B05DB">
      <w:pPr>
        <w:jc w:val="both"/>
      </w:pPr>
    </w:p>
    <w:p w:rsidR="008B5D49" w:rsidRPr="001B027A" w:rsidRDefault="008B5D49" w:rsidP="008B5D49">
      <w:pPr>
        <w:pStyle w:val="NoSpacing"/>
        <w:rPr>
          <w:sz w:val="24"/>
          <w:szCs w:val="24"/>
        </w:rPr>
      </w:pPr>
      <w:r w:rsidRPr="001B027A">
        <w:rPr>
          <w:sz w:val="24"/>
          <w:szCs w:val="24"/>
          <w:u w:val="single"/>
        </w:rPr>
        <w:t>PR interval prolongation</w:t>
      </w:r>
    </w:p>
    <w:p w:rsidR="008954BE" w:rsidRDefault="008B5D49" w:rsidP="008B5D49">
      <w:pPr>
        <w:jc w:val="both"/>
      </w:pPr>
      <w:r w:rsidRPr="001B027A">
        <w:t>Treatment with S</w:t>
      </w:r>
      <w:r>
        <w:t>AXENDA</w:t>
      </w:r>
      <w:r w:rsidRPr="001B027A">
        <w:t xml:space="preserve"> may cause PR interval prolongation [see ADVERSE EFFECTS]. The effect on the PR interval of co-administration of S</w:t>
      </w:r>
      <w:r>
        <w:t>AXENDA</w:t>
      </w:r>
      <w:r w:rsidRPr="001B027A">
        <w:t xml:space="preserve"> with other </w:t>
      </w:r>
      <w:r>
        <w:t>medicines</w:t>
      </w:r>
      <w:r w:rsidRPr="001B027A">
        <w:t xml:space="preserve"> that prolong PR interval (e.g., calcium channel blockers, beta-adrenergic blockers, digitalis </w:t>
      </w:r>
      <w:r w:rsidRPr="001B027A">
        <w:lastRenderedPageBreak/>
        <w:t>glycosides, HIV protease inhibitors) has not been evaluated. Consequently, co-administration of S</w:t>
      </w:r>
      <w:r>
        <w:t>AXENDA</w:t>
      </w:r>
      <w:r w:rsidRPr="001B027A">
        <w:t xml:space="preserve"> with these </w:t>
      </w:r>
      <w:r>
        <w:t>medicines</w:t>
      </w:r>
      <w:r w:rsidRPr="001B027A">
        <w:t xml:space="preserve"> is not recommended.</w:t>
      </w:r>
    </w:p>
    <w:p w:rsidR="008954BE" w:rsidRDefault="008954BE" w:rsidP="003B05DB">
      <w:pPr>
        <w:jc w:val="both"/>
      </w:pPr>
    </w:p>
    <w:p w:rsidR="008B5D49" w:rsidRPr="00A938C0" w:rsidRDefault="008B5D49" w:rsidP="008B5D49">
      <w:pPr>
        <w:jc w:val="both"/>
        <w:rPr>
          <w:b/>
          <w:i/>
          <w:highlight w:val="green"/>
          <w:lang w:val="en-AU"/>
        </w:rPr>
      </w:pPr>
      <w:r w:rsidRPr="00F940A4">
        <w:rPr>
          <w:b/>
          <w:i/>
          <w:lang w:val="en-AU"/>
        </w:rPr>
        <w:t>Dehydration, renal impairment and acute renal failure</w:t>
      </w:r>
    </w:p>
    <w:p w:rsidR="008954BE" w:rsidRDefault="008B5D49" w:rsidP="008B5D49">
      <w:pPr>
        <w:jc w:val="both"/>
      </w:pPr>
      <w:r w:rsidRPr="00F940A4">
        <w:rPr>
          <w:color w:val="000000"/>
          <w:lang w:val="en-AU"/>
        </w:rPr>
        <w:t>Patients treated with SAXENDA should be advised of the potential risk of dehydration in relation to gastrointestinal side effects and take precautions to avoid fluid depletion [see ADVERSE EFFECTS].</w:t>
      </w:r>
    </w:p>
    <w:p w:rsidR="008954BE" w:rsidRDefault="008954BE" w:rsidP="003B05DB">
      <w:pPr>
        <w:jc w:val="both"/>
      </w:pPr>
    </w:p>
    <w:p w:rsidR="008954BE" w:rsidRDefault="008B5D49" w:rsidP="003B05DB">
      <w:pPr>
        <w:jc w:val="both"/>
      </w:pPr>
      <w:r w:rsidRPr="008A5B5E">
        <w:rPr>
          <w:lang w:val="en-AU" w:eastAsia="en-AU"/>
        </w:rPr>
        <w:t xml:space="preserve">In patients treated with GLP-1 receptor agonists, including liraglutide, there have been reports of acute renal injury/failure and worsening of chronic renal failure, sometimes requiring haemodialysis [see ADVERSE EFFECTS]. Some of these events were reported in patients without known underlying renal disease. A majority of the reported events occurred in patients who had experienced nausea, vomiting, and diarrhoea leading to volume depletion. Some of the reported events occurred in patients receiving one or more medications known to affect renal function and volume status. Altered renal function has been reversed in many of the reported cases with supportive treatment and discontinuation of potentially causative agents, including liraglutide. Use caution when initiating or escalating doses of SAXENDA in patients with renal impairment [see subsection </w:t>
      </w:r>
      <w:r w:rsidRPr="00B07994">
        <w:rPr>
          <w:i/>
          <w:lang w:val="en-AU" w:eastAsia="en-AU"/>
        </w:rPr>
        <w:t>Patients with</w:t>
      </w:r>
      <w:r>
        <w:rPr>
          <w:lang w:val="en-AU" w:eastAsia="en-AU"/>
        </w:rPr>
        <w:t xml:space="preserve"> </w:t>
      </w:r>
      <w:r>
        <w:rPr>
          <w:i/>
          <w:lang w:val="en-AU" w:eastAsia="en-AU"/>
        </w:rPr>
        <w:t>r</w:t>
      </w:r>
      <w:r w:rsidRPr="008A5B5E">
        <w:rPr>
          <w:i/>
          <w:lang w:val="en-AU" w:eastAsia="en-AU"/>
        </w:rPr>
        <w:t>enal insufficiency</w:t>
      </w:r>
      <w:r w:rsidRPr="008A5B5E">
        <w:rPr>
          <w:lang w:val="en-AU" w:eastAsia="en-AU"/>
        </w:rPr>
        <w:t>, below in PRECAUTIONS]</w:t>
      </w:r>
      <w:r>
        <w:rPr>
          <w:lang w:val="en-AU" w:eastAsia="en-AU"/>
        </w:rPr>
        <w:t>.</w:t>
      </w:r>
    </w:p>
    <w:p w:rsidR="008954BE" w:rsidRDefault="008954BE" w:rsidP="003B05DB">
      <w:pPr>
        <w:jc w:val="both"/>
      </w:pPr>
    </w:p>
    <w:p w:rsidR="008B5D49" w:rsidRPr="00D42491" w:rsidRDefault="008B5D49" w:rsidP="008B5D49">
      <w:pPr>
        <w:jc w:val="both"/>
        <w:rPr>
          <w:b/>
          <w:i/>
          <w:lang w:val="en-GB"/>
        </w:rPr>
      </w:pPr>
      <w:r>
        <w:rPr>
          <w:b/>
          <w:i/>
          <w:lang w:val="en-GB"/>
        </w:rPr>
        <w:t>Patients with r</w:t>
      </w:r>
      <w:r w:rsidRPr="00D42491">
        <w:rPr>
          <w:b/>
          <w:i/>
          <w:lang w:val="en-GB"/>
        </w:rPr>
        <w:t>enal insufficiency</w:t>
      </w:r>
    </w:p>
    <w:p w:rsidR="008954BE" w:rsidRDefault="008B5D49" w:rsidP="008B5D49">
      <w:pPr>
        <w:jc w:val="both"/>
      </w:pPr>
      <w:r w:rsidRPr="00D42491">
        <w:rPr>
          <w:lang w:val="en-GB"/>
        </w:rPr>
        <w:t xml:space="preserve">There is limited experience with SAXENDA in patients with mild or moderate renal impairment. There have been post-marketing reports of acute renal failure and worsening chronic renal failure with liraglutide, which sometimes required haemodialysis. </w:t>
      </w:r>
    </w:p>
    <w:p w:rsidR="008954BE" w:rsidRDefault="008954BE" w:rsidP="003B05DB">
      <w:pPr>
        <w:jc w:val="both"/>
      </w:pPr>
    </w:p>
    <w:p w:rsidR="008B5D49" w:rsidRDefault="008B5D49" w:rsidP="003B05DB">
      <w:pPr>
        <w:jc w:val="both"/>
      </w:pPr>
      <w:r w:rsidRPr="00D42491">
        <w:rPr>
          <w:lang w:val="en-GB"/>
        </w:rPr>
        <w:t>SAXENDA is not recommended for use in patients with severe renal impairment, including end-stage renal disease.</w:t>
      </w:r>
    </w:p>
    <w:p w:rsidR="008B5D49" w:rsidRDefault="008B5D49" w:rsidP="003B05DB">
      <w:pPr>
        <w:jc w:val="both"/>
      </w:pPr>
    </w:p>
    <w:p w:rsidR="008B5D49" w:rsidRDefault="008B5D49" w:rsidP="003B05DB">
      <w:pPr>
        <w:jc w:val="both"/>
      </w:pPr>
      <w:r w:rsidRPr="00A72D70">
        <w:t>SAXENDA should be used with caution in patients with mild or moderate renal impairment. Patients should be advised of the risk of dehydration in relation to gastrointestinal adverse reactions and to take precautions to avoid fluid depletion.</w:t>
      </w:r>
    </w:p>
    <w:p w:rsidR="008B5D49" w:rsidRDefault="008B5D49" w:rsidP="003B05DB">
      <w:pPr>
        <w:jc w:val="both"/>
      </w:pPr>
    </w:p>
    <w:p w:rsidR="008B5D49" w:rsidRPr="00D42491" w:rsidRDefault="008B5D49" w:rsidP="008B5D49">
      <w:pPr>
        <w:jc w:val="both"/>
        <w:rPr>
          <w:lang w:val="en-GB"/>
        </w:rPr>
      </w:pPr>
      <w:r>
        <w:rPr>
          <w:b/>
          <w:i/>
          <w:lang w:val="en-GB"/>
        </w:rPr>
        <w:t>Patients with h</w:t>
      </w:r>
      <w:r w:rsidRPr="00D42491">
        <w:rPr>
          <w:b/>
          <w:i/>
          <w:lang w:val="en-GB"/>
        </w:rPr>
        <w:t>epatic insufficiency</w:t>
      </w:r>
    </w:p>
    <w:p w:rsidR="008B5D49" w:rsidRDefault="008B5D49" w:rsidP="008B5D49">
      <w:pPr>
        <w:jc w:val="both"/>
      </w:pPr>
      <w:r w:rsidRPr="00D42491">
        <w:t>The safety and efficacy of SAXENDA in patients with hepatic insufficiency has not been studied. SAXENDA is not recommended in patients with hepatic insufficiency</w:t>
      </w:r>
      <w:r>
        <w:t>.</w:t>
      </w:r>
    </w:p>
    <w:p w:rsidR="008B5D49" w:rsidRDefault="008B5D49" w:rsidP="003B05DB">
      <w:pPr>
        <w:jc w:val="both"/>
      </w:pPr>
    </w:p>
    <w:p w:rsidR="008B5D49" w:rsidRPr="00480B5A" w:rsidRDefault="008B5D49" w:rsidP="008B5D49">
      <w:pPr>
        <w:rPr>
          <w:b/>
          <w:i/>
          <w:lang w:val="en-AU"/>
        </w:rPr>
      </w:pPr>
      <w:r w:rsidRPr="00480B5A">
        <w:rPr>
          <w:b/>
          <w:i/>
          <w:lang w:val="en-AU"/>
        </w:rPr>
        <w:t>Geriatrics (≥65 years of age)</w:t>
      </w:r>
    </w:p>
    <w:p w:rsidR="008B5D49" w:rsidRDefault="008B5D49" w:rsidP="008B5D49">
      <w:pPr>
        <w:jc w:val="both"/>
      </w:pPr>
      <w:r w:rsidRPr="00480B5A">
        <w:rPr>
          <w:lang w:val="en-AU"/>
        </w:rPr>
        <w:t xml:space="preserve">In SAXENDA clinical trials, 232 (6.9%) of the SAXENDA-treated patients were 65 years of age and over, and 17 (0.5%) of the SAXENDA treated patients were 75 years of age and over. Patients ≥65 years may experience more gastrointestinal adverse reactions with SAXENDA than younger patients </w:t>
      </w:r>
      <w:r w:rsidRPr="00480B5A">
        <w:rPr>
          <w:spacing w:val="-1"/>
        </w:rPr>
        <w:t xml:space="preserve">[see sub-sections above in PRECAUTIONS on </w:t>
      </w:r>
      <w:r w:rsidRPr="00480B5A">
        <w:rPr>
          <w:i/>
          <w:spacing w:val="-1"/>
        </w:rPr>
        <w:t>Dehydration, renal impairment and acute renal failure</w:t>
      </w:r>
      <w:r w:rsidRPr="00480B5A">
        <w:rPr>
          <w:spacing w:val="-1"/>
        </w:rPr>
        <w:t>]</w:t>
      </w:r>
      <w:r w:rsidRPr="00480B5A">
        <w:rPr>
          <w:lang w:val="en-AU"/>
        </w:rPr>
        <w:t xml:space="preserve">. No overall differences in safety or effectiveness were observed between these patients and younger patients. </w:t>
      </w:r>
      <w:r w:rsidRPr="00480B5A">
        <w:rPr>
          <w:spacing w:val="-1"/>
        </w:rPr>
        <w:t>Use caution in patients aged 65-74 years. SAXENDA is not recommended in patients 75 years or older.</w:t>
      </w:r>
    </w:p>
    <w:p w:rsidR="008B5D49" w:rsidRDefault="008B5D49" w:rsidP="003B05DB">
      <w:pPr>
        <w:jc w:val="both"/>
      </w:pPr>
    </w:p>
    <w:p w:rsidR="008B5D49" w:rsidRPr="009E7DD2" w:rsidRDefault="008B5D49" w:rsidP="008B5D49">
      <w:pPr>
        <w:jc w:val="both"/>
        <w:rPr>
          <w:b/>
          <w:bCs/>
          <w:i/>
          <w:iCs/>
          <w:sz w:val="22"/>
          <w:szCs w:val="22"/>
          <w:lang w:val="en-AU"/>
        </w:rPr>
      </w:pPr>
      <w:r w:rsidRPr="009E7DD2">
        <w:rPr>
          <w:b/>
          <w:i/>
          <w:lang w:val="en-AU"/>
        </w:rPr>
        <w:t>Paediatrics</w:t>
      </w:r>
    </w:p>
    <w:p w:rsidR="008B5D49" w:rsidRDefault="008B5D49" w:rsidP="008B5D49">
      <w:pPr>
        <w:jc w:val="both"/>
      </w:pPr>
      <w:r>
        <w:rPr>
          <w:noProof/>
          <w:lang w:val="en-AU"/>
        </w:rPr>
        <w:t xml:space="preserve">The efficacy and safety of </w:t>
      </w:r>
      <w:r w:rsidRPr="003B3B42">
        <w:rPr>
          <w:noProof/>
          <w:lang w:val="en-AU"/>
        </w:rPr>
        <w:t>SAXENDA</w:t>
      </w:r>
      <w:r w:rsidRPr="003B3B42">
        <w:rPr>
          <w:lang w:val="en-AU"/>
        </w:rPr>
        <w:t xml:space="preserve"> </w:t>
      </w:r>
      <w:r>
        <w:rPr>
          <w:lang w:val="en-AU"/>
        </w:rPr>
        <w:t>have</w:t>
      </w:r>
      <w:r w:rsidRPr="003B3B42">
        <w:rPr>
          <w:lang w:val="en-AU"/>
        </w:rPr>
        <w:t xml:space="preserve"> not been studied in paediatric </w:t>
      </w:r>
      <w:r>
        <w:rPr>
          <w:lang w:val="en-AU"/>
        </w:rPr>
        <w:t>patients</w:t>
      </w:r>
      <w:r w:rsidRPr="00FA5961">
        <w:rPr>
          <w:sz w:val="22"/>
          <w:szCs w:val="22"/>
          <w:lang w:val="en-AU"/>
        </w:rPr>
        <w:t>.</w:t>
      </w:r>
      <w:r w:rsidRPr="00D42491">
        <w:rPr>
          <w:lang w:val="en-AU"/>
        </w:rPr>
        <w:t xml:space="preserve"> SAXENDA is not indicated for use in paediatric patients.</w:t>
      </w:r>
    </w:p>
    <w:p w:rsidR="008B5D49" w:rsidRDefault="008B5D49" w:rsidP="003B05DB">
      <w:pPr>
        <w:jc w:val="both"/>
      </w:pPr>
    </w:p>
    <w:p w:rsidR="00214AD3" w:rsidRDefault="00214AD3" w:rsidP="008B5D49">
      <w:pPr>
        <w:jc w:val="both"/>
        <w:rPr>
          <w:b/>
          <w:i/>
          <w:lang w:val="en-AU"/>
        </w:rPr>
      </w:pPr>
    </w:p>
    <w:p w:rsidR="00214AD3" w:rsidRDefault="00214AD3" w:rsidP="008B5D49">
      <w:pPr>
        <w:jc w:val="both"/>
        <w:rPr>
          <w:b/>
          <w:i/>
          <w:lang w:val="en-AU"/>
        </w:rPr>
      </w:pPr>
    </w:p>
    <w:p w:rsidR="008B5D49" w:rsidRPr="009E7DD2" w:rsidRDefault="008B5D49" w:rsidP="008B5D49">
      <w:pPr>
        <w:jc w:val="both"/>
        <w:rPr>
          <w:b/>
          <w:i/>
          <w:lang w:val="en-AU"/>
        </w:rPr>
      </w:pPr>
      <w:r w:rsidRPr="009E7DD2">
        <w:rPr>
          <w:b/>
          <w:i/>
          <w:lang w:val="en-AU"/>
        </w:rPr>
        <w:lastRenderedPageBreak/>
        <w:t>Pancreatitis</w:t>
      </w:r>
    </w:p>
    <w:p w:rsidR="008B5D49" w:rsidRDefault="008B5D49" w:rsidP="008B5D49">
      <w:pPr>
        <w:jc w:val="both"/>
      </w:pPr>
      <w:r w:rsidRPr="009E7DD2">
        <w:rPr>
          <w:color w:val="000000"/>
          <w:lang w:val="en-AU"/>
        </w:rPr>
        <w:t>Use of GLP-1 receptor agonists has been associated with the risk of developing acute pancreatitis, including fatal and non-fatal necrotising pancreatitis. There have been few reported events of acute pancreatitis with liraglutide. After initiation of SAXENDA, observe patients carefully for signs and symptoms of pancreatitis. Patients should be informed of the characteristic symptoms of acute pancreatitis. If pancreatitis is suspected, SAXENDA should be discontinued and appropriate management initiated. If acute pancreatitis is confirmed, SAXENDA should not be restarted.</w:t>
      </w:r>
      <w:r w:rsidRPr="00FE4797">
        <w:rPr>
          <w:color w:val="000000"/>
          <w:lang w:val="en-AU"/>
        </w:rPr>
        <w:t xml:space="preserve"> </w:t>
      </w:r>
    </w:p>
    <w:p w:rsidR="008B5D49" w:rsidRDefault="008B5D49" w:rsidP="003B05DB">
      <w:pPr>
        <w:jc w:val="both"/>
      </w:pPr>
    </w:p>
    <w:p w:rsidR="008B5D49" w:rsidRDefault="008B5D49" w:rsidP="003B05DB">
      <w:pPr>
        <w:jc w:val="both"/>
        <w:rPr>
          <w:color w:val="000000"/>
          <w:lang w:val="en-AU"/>
        </w:rPr>
      </w:pPr>
      <w:r w:rsidRPr="009E7DD2">
        <w:rPr>
          <w:color w:val="000000"/>
          <w:lang w:val="en-AU"/>
        </w:rPr>
        <w:t xml:space="preserve">In SAXENDA clinical trials, acute pancreatitis was confirmed by adjudication more commonly in SAXENDA-treated patients versus placebo-treated patients [see ADVERSE EFFECTS]. </w:t>
      </w:r>
    </w:p>
    <w:p w:rsidR="00B9281C" w:rsidRDefault="00B9281C" w:rsidP="003B05DB">
      <w:pPr>
        <w:jc w:val="both"/>
        <w:rPr>
          <w:color w:val="000000"/>
          <w:lang w:val="en-AU"/>
        </w:rPr>
      </w:pPr>
    </w:p>
    <w:p w:rsidR="00B9281C" w:rsidRDefault="00B9281C" w:rsidP="003B05DB">
      <w:pPr>
        <w:jc w:val="both"/>
        <w:rPr>
          <w:lang w:val="en-AU"/>
        </w:rPr>
      </w:pPr>
      <w:r w:rsidRPr="00B9281C">
        <w:rPr>
          <w:lang w:val="en-AU"/>
        </w:rPr>
        <w:t>It is unknown whether patients with a history of pancreatitis are at increased risk for pancreatitis while using SAXENDA, since these patients were excluded from clinical trials. SAXENDA is not recommended for use in patients with a history of pancreatitis.</w:t>
      </w:r>
    </w:p>
    <w:p w:rsidR="00B9281C" w:rsidRDefault="00B9281C" w:rsidP="003B05DB">
      <w:pPr>
        <w:jc w:val="both"/>
        <w:rPr>
          <w:lang w:val="en-AU"/>
        </w:rPr>
      </w:pPr>
    </w:p>
    <w:p w:rsidR="00B9281C" w:rsidRDefault="00B9281C" w:rsidP="003B05DB">
      <w:pPr>
        <w:jc w:val="both"/>
      </w:pPr>
      <w:r w:rsidRPr="00B9281C">
        <w:rPr>
          <w:iCs/>
        </w:rPr>
        <w:t xml:space="preserve">In the absence of other signs and symptoms of acute pancreatitis, elevations in pancreatic enzymes alone are not predictive of acute pancreatitis. </w:t>
      </w:r>
    </w:p>
    <w:p w:rsidR="008B5D49" w:rsidRDefault="008B5D49" w:rsidP="003B05DB">
      <w:pPr>
        <w:jc w:val="both"/>
      </w:pPr>
    </w:p>
    <w:p w:rsidR="008B5D49" w:rsidRDefault="008B5D49" w:rsidP="003B05DB">
      <w:pPr>
        <w:jc w:val="both"/>
      </w:pPr>
      <w:r w:rsidRPr="009E7DD2">
        <w:rPr>
          <w:b/>
          <w:i/>
          <w:lang w:val="en-AU"/>
        </w:rPr>
        <w:t>Cholelithiasis and cholecystitis</w:t>
      </w:r>
    </w:p>
    <w:p w:rsidR="008B5D49" w:rsidRDefault="008B5D49" w:rsidP="003B05DB">
      <w:pPr>
        <w:jc w:val="both"/>
      </w:pPr>
      <w:r w:rsidRPr="009E7DD2">
        <w:rPr>
          <w:lang w:val="en-AU"/>
        </w:rPr>
        <w:t>In the SAXENDA clinical trials, cholelithiasis or cholecystitis was reported more commonly in SAXENDA-treated patients than in placebo-treated patients [see ADVERSE EFFECTS]. The majority of SAXENDA-treated patients with cholelithiasis or cholecystitis required cholecystectomy. Substantial or rapid weight loss can increase the risk of acute gallbladder disease; however</w:t>
      </w:r>
      <w:r>
        <w:rPr>
          <w:lang w:val="en-AU"/>
        </w:rPr>
        <w:t>,</w:t>
      </w:r>
      <w:r w:rsidRPr="009E7DD2">
        <w:rPr>
          <w:lang w:val="en-AU"/>
        </w:rPr>
        <w:t xml:space="preserve"> the incidence was greater in SAXENDA-treated patients versus placebo-treated patients even after accounting for weight loss. Patients should be informed of the characteristic symptoms of cholelithiasis and cholecystitis.</w:t>
      </w:r>
    </w:p>
    <w:p w:rsidR="008B5D49" w:rsidRDefault="008B5D49" w:rsidP="003B05DB">
      <w:pPr>
        <w:jc w:val="both"/>
      </w:pPr>
    </w:p>
    <w:p w:rsidR="008B5D49" w:rsidRPr="009E7DD2" w:rsidRDefault="008B5D49" w:rsidP="008B5D49">
      <w:pPr>
        <w:jc w:val="both"/>
        <w:rPr>
          <w:b/>
          <w:i/>
          <w:lang w:val="en-AU"/>
        </w:rPr>
      </w:pPr>
      <w:r w:rsidRPr="009E7DD2">
        <w:rPr>
          <w:b/>
          <w:i/>
          <w:lang w:val="en-AU"/>
        </w:rPr>
        <w:t>Inflammatory bowel disease and diabetic gastroparesis</w:t>
      </w:r>
    </w:p>
    <w:p w:rsidR="008B5D49" w:rsidRDefault="008B5D49" w:rsidP="008B5D49">
      <w:pPr>
        <w:jc w:val="both"/>
      </w:pPr>
      <w:r w:rsidRPr="009E7DD2">
        <w:rPr>
          <w:lang w:val="en-AU"/>
        </w:rPr>
        <w:t>There is limited experience in patients with inflammatory bowel disease and diabetic gastroparesis. SAXENDA is not recommended in these patients because it is associated with gastrointestinal adverse reactions, including nausea, vomiting and diarrhoea.</w:t>
      </w:r>
    </w:p>
    <w:p w:rsidR="008B5D49" w:rsidRDefault="008B5D49" w:rsidP="003B05DB">
      <w:pPr>
        <w:jc w:val="both"/>
      </w:pPr>
    </w:p>
    <w:p w:rsidR="008B5D49" w:rsidRPr="009E7DD2" w:rsidRDefault="008B5D49" w:rsidP="008B5D49">
      <w:pPr>
        <w:jc w:val="both"/>
        <w:rPr>
          <w:b/>
          <w:i/>
          <w:lang w:val="en-AU"/>
        </w:rPr>
      </w:pPr>
      <w:r w:rsidRPr="009E7DD2">
        <w:rPr>
          <w:b/>
          <w:i/>
          <w:lang w:val="en-AU"/>
        </w:rPr>
        <w:t>Hypoglycaemia with concomitant use of anti-diabetic therapy</w:t>
      </w:r>
    </w:p>
    <w:p w:rsidR="008B5D49" w:rsidRDefault="008B5D49" w:rsidP="008B5D49">
      <w:pPr>
        <w:jc w:val="both"/>
      </w:pPr>
      <w:r w:rsidRPr="009E7DD2">
        <w:rPr>
          <w:lang w:val="en-AU"/>
        </w:rPr>
        <w:t xml:space="preserve">The risk of serious hypoglycaemia is increased when SAXENDA is used in combination with insulin secretagogues (e.g. sulfonylureas) in patients with type 2 diabetes [see Table </w:t>
      </w:r>
      <w:r w:rsidR="00F11A86">
        <w:rPr>
          <w:lang w:val="en-AU"/>
        </w:rPr>
        <w:t>5</w:t>
      </w:r>
      <w:r w:rsidR="00F11A86" w:rsidRPr="009E7DD2">
        <w:rPr>
          <w:lang w:val="en-AU"/>
        </w:rPr>
        <w:t xml:space="preserve"> </w:t>
      </w:r>
      <w:r w:rsidRPr="009E7DD2">
        <w:rPr>
          <w:lang w:val="en-AU"/>
        </w:rPr>
        <w:t>in ADVERSE EFFECTS]. The risk of hypoglycaemia can be lowered by a reduction in the dose of sulfonylurea.</w:t>
      </w:r>
      <w:r w:rsidRPr="00FE4797">
        <w:rPr>
          <w:lang w:val="en-AU"/>
        </w:rPr>
        <w:t xml:space="preserve"> </w:t>
      </w:r>
    </w:p>
    <w:p w:rsidR="008B5D49" w:rsidRDefault="008B5D49" w:rsidP="003B05DB">
      <w:pPr>
        <w:jc w:val="both"/>
      </w:pPr>
    </w:p>
    <w:p w:rsidR="008B5D49" w:rsidRDefault="008B5D49" w:rsidP="003B05DB">
      <w:pPr>
        <w:jc w:val="both"/>
      </w:pPr>
      <w:r w:rsidRPr="001B027A">
        <w:rPr>
          <w:lang w:val="en-AU"/>
        </w:rPr>
        <w:t xml:space="preserve">The addition of SAXENDA in patients treated with insulin has not been evaluated. </w:t>
      </w:r>
      <w:r w:rsidRPr="001B027A">
        <w:rPr>
          <w:spacing w:val="-1"/>
        </w:rPr>
        <w:t>The SCALE-Diabetes trial excluded patients on insulin [see CLINICAL TRIALS].</w:t>
      </w:r>
      <w:r>
        <w:rPr>
          <w:spacing w:val="-1"/>
        </w:rPr>
        <w:t xml:space="preserve"> </w:t>
      </w:r>
      <w:r w:rsidRPr="001B027A">
        <w:rPr>
          <w:lang w:val="en-AU"/>
        </w:rPr>
        <w:t>SAXENDA and insulin should not be used together</w:t>
      </w:r>
      <w:r>
        <w:rPr>
          <w:lang w:val="en-AU"/>
        </w:rPr>
        <w:t>.</w:t>
      </w:r>
    </w:p>
    <w:p w:rsidR="008B5D49" w:rsidRDefault="008B5D49" w:rsidP="003B05DB">
      <w:pPr>
        <w:jc w:val="both"/>
      </w:pPr>
    </w:p>
    <w:p w:rsidR="008B5D49" w:rsidRDefault="008B5D49" w:rsidP="003B05DB">
      <w:pPr>
        <w:jc w:val="both"/>
      </w:pPr>
      <w:r w:rsidRPr="009E7DD2">
        <w:rPr>
          <w:lang w:val="en-AU"/>
        </w:rPr>
        <w:t xml:space="preserve">SAXENDA can lower blood glucose. Monitor blood glucose parameters before starting SAXENDA and during SAXENDA treatment in patients with type 2 diabetes. If needed, adjust co-administered anti-diabetic medicines based on glucose monitoring and risk of hypoglycaemia.  </w:t>
      </w:r>
    </w:p>
    <w:p w:rsidR="008B5D49" w:rsidRDefault="008B5D49" w:rsidP="003B05DB">
      <w:pPr>
        <w:jc w:val="both"/>
      </w:pPr>
    </w:p>
    <w:p w:rsidR="008B5D49" w:rsidRPr="00393E99" w:rsidRDefault="008B5D49" w:rsidP="008B5D49">
      <w:pPr>
        <w:pStyle w:val="NoSpacing"/>
        <w:rPr>
          <w:b/>
          <w:i/>
          <w:sz w:val="24"/>
          <w:szCs w:val="24"/>
        </w:rPr>
      </w:pPr>
      <w:r w:rsidRPr="00393E99">
        <w:rPr>
          <w:b/>
          <w:i/>
          <w:sz w:val="24"/>
          <w:szCs w:val="24"/>
        </w:rPr>
        <w:t xml:space="preserve">Malignancies </w:t>
      </w:r>
    </w:p>
    <w:p w:rsidR="008B5D49" w:rsidRDefault="008B5D49" w:rsidP="008B5D49">
      <w:pPr>
        <w:jc w:val="both"/>
      </w:pPr>
      <w:r w:rsidRPr="009E7DD2">
        <w:t xml:space="preserve">In the clinical development program for weight loss, there was no imbalance for all neoplasms, combined. However, when subgroup analyses were done by individual types of cancer, </w:t>
      </w:r>
      <w:r w:rsidRPr="009E7DD2">
        <w:lastRenderedPageBreak/>
        <w:t>imbalances were identified, including, invasive breast cancer in women and colorectal neoplasms (mainly adenomas) [see ADVERSE EFFECTS].</w:t>
      </w:r>
    </w:p>
    <w:p w:rsidR="008B5D49" w:rsidRDefault="008B5D49" w:rsidP="003B05DB">
      <w:pPr>
        <w:jc w:val="both"/>
      </w:pPr>
    </w:p>
    <w:p w:rsidR="008B5D49" w:rsidRPr="001B027A" w:rsidRDefault="008B5D49" w:rsidP="008B5D49">
      <w:pPr>
        <w:pStyle w:val="NoSpacing"/>
        <w:rPr>
          <w:sz w:val="24"/>
          <w:szCs w:val="24"/>
          <w:u w:val="single"/>
        </w:rPr>
      </w:pPr>
      <w:r w:rsidRPr="001B027A">
        <w:rPr>
          <w:sz w:val="24"/>
          <w:szCs w:val="24"/>
          <w:u w:val="single"/>
        </w:rPr>
        <w:t>Breast cancer</w:t>
      </w:r>
    </w:p>
    <w:p w:rsidR="008B5D49" w:rsidRDefault="008B5D49" w:rsidP="008B5D49">
      <w:pPr>
        <w:jc w:val="both"/>
      </w:pPr>
      <w:r w:rsidRPr="001B027A">
        <w:t>In the S</w:t>
      </w:r>
      <w:r>
        <w:t>AXENDA</w:t>
      </w:r>
      <w:r w:rsidRPr="001B027A">
        <w:t xml:space="preserve"> clinical trials, more cases of invasive breast cancer were observed in the S</w:t>
      </w:r>
      <w:r>
        <w:t>AXENDA</w:t>
      </w:r>
      <w:r w:rsidRPr="001B027A">
        <w:t xml:space="preserve"> versus the placebo group [see ADVERSE EFFECTS]. There were too few cases to determine whether these cases were related to S</w:t>
      </w:r>
      <w:r>
        <w:t>AXENDA</w:t>
      </w:r>
      <w:r w:rsidRPr="001B027A">
        <w:t>. In addition, there are insufficient data to determine whether S</w:t>
      </w:r>
      <w:r>
        <w:t>AXENDA</w:t>
      </w:r>
      <w:r w:rsidRPr="001B027A">
        <w:t xml:space="preserve"> has an effect on pre-existing breast neoplasia. </w:t>
      </w:r>
    </w:p>
    <w:p w:rsidR="008B5D49" w:rsidRDefault="008B5D49" w:rsidP="003B05DB">
      <w:pPr>
        <w:jc w:val="both"/>
      </w:pPr>
    </w:p>
    <w:p w:rsidR="008B5D49" w:rsidRPr="009E7DD2" w:rsidRDefault="008B5D49" w:rsidP="008B5D49">
      <w:pPr>
        <w:pStyle w:val="NoSpacing"/>
        <w:jc w:val="both"/>
        <w:rPr>
          <w:sz w:val="24"/>
          <w:szCs w:val="24"/>
          <w:u w:val="single"/>
        </w:rPr>
      </w:pPr>
      <w:r w:rsidRPr="009E7DD2">
        <w:rPr>
          <w:sz w:val="24"/>
          <w:szCs w:val="24"/>
          <w:u w:val="single"/>
        </w:rPr>
        <w:t>Thyroid C-cell tumours</w:t>
      </w:r>
    </w:p>
    <w:p w:rsidR="008B5D49" w:rsidRDefault="008B5D49" w:rsidP="008B5D49">
      <w:pPr>
        <w:jc w:val="both"/>
      </w:pPr>
      <w:r w:rsidRPr="009E7DD2">
        <w:rPr>
          <w:lang w:val="en-AU"/>
        </w:rPr>
        <w:t>Liraglutide caused thyroid C-cell adenomas and carcinomas in two-year studies in mice and rats. Such m</w:t>
      </w:r>
      <w:r w:rsidRPr="009E7DD2">
        <w:rPr>
          <w:iCs/>
          <w:lang w:eastAsia="en-AU"/>
        </w:rPr>
        <w:t xml:space="preserve">edullary thyroid cancers are extremely rare cancers in humans. </w:t>
      </w:r>
      <w:r w:rsidRPr="009E7DD2">
        <w:rPr>
          <w:lang w:val="en-AU"/>
        </w:rPr>
        <w:t xml:space="preserve">C-cell neoplasia was observed in mice at subcutaneous doses ≥1mg/kg/day (relative exposure based on plasma AUC, ≥8) and in rats at all doses tested (≥0.075mg/kg/day subcutaneously; relative exposure, ≥0.5). </w:t>
      </w:r>
      <w:r w:rsidRPr="009E7DD2">
        <w:rPr>
          <w:iCs/>
          <w:lang w:val="en-AU" w:eastAsia="en-AU"/>
        </w:rPr>
        <w:t>No tumours or other C-cell proliferative changes were seen in monkeys treated with liraglutide for 20 months (≤5 mg/kg/day subcutaneously; relative exposure, ≤70). The findings in mice and rats are mediated by a specific GLP-1 receptor-mediated mechanism to which rodents are particularly sensitive. The relevance for humans is likely to be low but cannot presently be completely excluded.</w:t>
      </w:r>
    </w:p>
    <w:p w:rsidR="008B5D49" w:rsidRDefault="008B5D49" w:rsidP="003B05DB">
      <w:pPr>
        <w:jc w:val="both"/>
      </w:pPr>
    </w:p>
    <w:p w:rsidR="008B5D49" w:rsidRDefault="008B5D49" w:rsidP="003B05DB">
      <w:pPr>
        <w:jc w:val="both"/>
      </w:pPr>
      <w:r w:rsidRPr="009E7DD2">
        <w:t>Counsel patients about the risk of medullary thyroid carcinoma (MTC) and about the symptoms of thyroid tumours (e.g., mass in neck, dysphagia, dyspnoea or persistent hoarseness).</w:t>
      </w:r>
    </w:p>
    <w:p w:rsidR="008B5D49" w:rsidRDefault="008B5D49" w:rsidP="003B05DB">
      <w:pPr>
        <w:jc w:val="both"/>
      </w:pPr>
    </w:p>
    <w:p w:rsidR="008B5D49" w:rsidRPr="00F70DDF" w:rsidRDefault="008B5D49" w:rsidP="008B5D49">
      <w:pPr>
        <w:jc w:val="both"/>
        <w:rPr>
          <w:b/>
          <w:i/>
          <w:iCs/>
          <w:lang w:val="en-AU" w:eastAsia="en-AU"/>
        </w:rPr>
      </w:pPr>
      <w:r w:rsidRPr="00F70DDF">
        <w:rPr>
          <w:b/>
          <w:i/>
          <w:iCs/>
          <w:lang w:val="en-AU" w:eastAsia="en-AU"/>
        </w:rPr>
        <w:t>Thyroid disease</w:t>
      </w:r>
    </w:p>
    <w:p w:rsidR="008B5D49" w:rsidRDefault="008B5D49" w:rsidP="008B5D49">
      <w:pPr>
        <w:jc w:val="both"/>
      </w:pPr>
      <w:r w:rsidRPr="00F70DDF">
        <w:rPr>
          <w:iCs/>
        </w:rPr>
        <w:t>In clinical trials in type 2 diabetes, thyroid adverse events, including increased blood calcitonin, goitre</w:t>
      </w:r>
      <w:r>
        <w:rPr>
          <w:iCs/>
        </w:rPr>
        <w:t>,</w:t>
      </w:r>
      <w:r w:rsidRPr="00F70DDF">
        <w:rPr>
          <w:iCs/>
        </w:rPr>
        <w:t xml:space="preserve"> and thyroid neoplasm have been reported, in particular in patients with pre-existing thyroid disease. Cases of increased blood calcitonin were also observed in the weight management clinical trials. </w:t>
      </w:r>
      <w:r w:rsidRPr="00F70DDF">
        <w:rPr>
          <w:lang w:val="en-GB"/>
        </w:rPr>
        <w:t>SAXENDA</w:t>
      </w:r>
      <w:r w:rsidRPr="00F70DDF">
        <w:rPr>
          <w:iCs/>
        </w:rPr>
        <w:t xml:space="preserve"> should be used with caution in patients with thyroid disease.</w:t>
      </w:r>
    </w:p>
    <w:p w:rsidR="008B5D49" w:rsidRDefault="008B5D49" w:rsidP="003B05DB">
      <w:pPr>
        <w:jc w:val="both"/>
      </w:pPr>
    </w:p>
    <w:p w:rsidR="008B5D49" w:rsidRPr="009E7DD2" w:rsidRDefault="008B5D49" w:rsidP="008B5D49">
      <w:pPr>
        <w:pStyle w:val="BodyText"/>
        <w:jc w:val="both"/>
        <w:rPr>
          <w:b/>
          <w:i/>
          <w:spacing w:val="-1"/>
          <w:sz w:val="24"/>
          <w:szCs w:val="24"/>
        </w:rPr>
      </w:pPr>
      <w:r w:rsidRPr="009E7DD2">
        <w:rPr>
          <w:b/>
          <w:i/>
          <w:spacing w:val="-1"/>
          <w:sz w:val="24"/>
          <w:szCs w:val="24"/>
        </w:rPr>
        <w:t>Hypersensitivity reactions</w:t>
      </w:r>
    </w:p>
    <w:p w:rsidR="008B5D49" w:rsidRDefault="008B5D49" w:rsidP="008B5D49">
      <w:pPr>
        <w:jc w:val="both"/>
      </w:pPr>
      <w:r w:rsidRPr="009E7DD2">
        <w:rPr>
          <w:spacing w:val="-1"/>
        </w:rPr>
        <w:t>There have been reports of serious hypersensitivity reactions (e.g., anaphylactic reactions and angioedema) in patients treated with liraglutide. If a hypersensitivity reaction occurs, then the patient should discontinue S</w:t>
      </w:r>
      <w:r>
        <w:rPr>
          <w:spacing w:val="-1"/>
        </w:rPr>
        <w:t>AXENDA</w:t>
      </w:r>
      <w:r w:rsidRPr="009E7DD2">
        <w:rPr>
          <w:spacing w:val="-1"/>
        </w:rPr>
        <w:t xml:space="preserve"> and other suspect medicines and promptly seek medical advice.</w:t>
      </w:r>
    </w:p>
    <w:p w:rsidR="008B5D49" w:rsidRDefault="008B5D49" w:rsidP="003B05DB">
      <w:pPr>
        <w:jc w:val="both"/>
      </w:pPr>
    </w:p>
    <w:p w:rsidR="008B5D49" w:rsidRDefault="008B5D49" w:rsidP="003B05DB">
      <w:pPr>
        <w:jc w:val="both"/>
      </w:pPr>
      <w:r w:rsidRPr="009E7DD2">
        <w:rPr>
          <w:spacing w:val="-1"/>
        </w:rPr>
        <w:t>Angioedema has been reported with other GLP-1 receptor agonists. Do not use S</w:t>
      </w:r>
      <w:r>
        <w:rPr>
          <w:spacing w:val="-1"/>
        </w:rPr>
        <w:t>AXENDA</w:t>
      </w:r>
      <w:r w:rsidRPr="009E7DD2">
        <w:rPr>
          <w:spacing w:val="-1"/>
        </w:rPr>
        <w:t xml:space="preserve"> in pat</w:t>
      </w:r>
      <w:r>
        <w:rPr>
          <w:spacing w:val="-1"/>
        </w:rPr>
        <w:t>ie</w:t>
      </w:r>
      <w:r w:rsidRPr="009E7DD2">
        <w:rPr>
          <w:spacing w:val="-1"/>
        </w:rPr>
        <w:t>nts with a history of angioedema with another GLP-1 receptor agonist because such patients may be predisposed to angioedema with S</w:t>
      </w:r>
      <w:r>
        <w:rPr>
          <w:spacing w:val="-1"/>
        </w:rPr>
        <w:t>AXENDA</w:t>
      </w:r>
      <w:r w:rsidRPr="009E7DD2">
        <w:rPr>
          <w:spacing w:val="-1"/>
        </w:rPr>
        <w:t>.</w:t>
      </w:r>
    </w:p>
    <w:p w:rsidR="008B5D49" w:rsidRDefault="008B5D49" w:rsidP="003B05DB">
      <w:pPr>
        <w:jc w:val="both"/>
      </w:pPr>
    </w:p>
    <w:p w:rsidR="008B5D49" w:rsidRPr="009E7DD2" w:rsidRDefault="008B5D49" w:rsidP="008B5D49">
      <w:pPr>
        <w:pStyle w:val="BodyText"/>
        <w:spacing w:line="230" w:lineRule="exact"/>
        <w:rPr>
          <w:b/>
          <w:i/>
          <w:spacing w:val="-1"/>
          <w:sz w:val="24"/>
          <w:szCs w:val="24"/>
        </w:rPr>
      </w:pPr>
      <w:r w:rsidRPr="009E7DD2">
        <w:rPr>
          <w:b/>
          <w:i/>
          <w:spacing w:val="-1"/>
          <w:sz w:val="24"/>
          <w:szCs w:val="24"/>
        </w:rPr>
        <w:t>Suicide behavio</w:t>
      </w:r>
      <w:r>
        <w:rPr>
          <w:b/>
          <w:i/>
          <w:spacing w:val="-1"/>
          <w:sz w:val="24"/>
          <w:szCs w:val="24"/>
        </w:rPr>
        <w:t>u</w:t>
      </w:r>
      <w:r w:rsidRPr="009E7DD2">
        <w:rPr>
          <w:b/>
          <w:i/>
          <w:spacing w:val="-1"/>
          <w:sz w:val="24"/>
          <w:szCs w:val="24"/>
        </w:rPr>
        <w:t>r and ideation</w:t>
      </w:r>
    </w:p>
    <w:p w:rsidR="008B5D49" w:rsidRDefault="008B5D49" w:rsidP="008B5D49">
      <w:pPr>
        <w:jc w:val="both"/>
      </w:pPr>
      <w:r w:rsidRPr="009E7DD2">
        <w:t xml:space="preserve">Patients treated with </w:t>
      </w:r>
      <w:r w:rsidRPr="009E7DD2">
        <w:rPr>
          <w:noProof/>
        </w:rPr>
        <w:t>SAXENDA</w:t>
      </w:r>
      <w:r w:rsidRPr="009E7DD2">
        <w:t xml:space="preserve"> should be monitored for the emergence of depression, suicide thoughts or behaviour, or any unusual changes in mood or</w:t>
      </w:r>
      <w:r w:rsidRPr="00A629D1">
        <w:t xml:space="preserve"> behaviour</w:t>
      </w:r>
      <w:r w:rsidRPr="009E7DD2">
        <w:t xml:space="preserve">. Discontinue </w:t>
      </w:r>
      <w:r w:rsidRPr="009E7DD2">
        <w:rPr>
          <w:noProof/>
        </w:rPr>
        <w:t>SAXENDA</w:t>
      </w:r>
      <w:r w:rsidRPr="009E7DD2">
        <w:t xml:space="preserve"> </w:t>
      </w:r>
      <w:r>
        <w:t>in</w:t>
      </w:r>
      <w:r w:rsidRPr="009E7DD2">
        <w:t xml:space="preserve"> patients who experience suicidal thoughts or</w:t>
      </w:r>
      <w:r w:rsidRPr="00A629D1">
        <w:t xml:space="preserve"> behaviours</w:t>
      </w:r>
      <w:r w:rsidRPr="009E7DD2">
        <w:t xml:space="preserve"> or who develop other symptoms of depression [see ADVERSE EFFECTS]. </w:t>
      </w:r>
    </w:p>
    <w:p w:rsidR="008B5D49" w:rsidRDefault="008B5D49" w:rsidP="003B05DB">
      <w:pPr>
        <w:jc w:val="both"/>
      </w:pPr>
    </w:p>
    <w:p w:rsidR="008B5D49" w:rsidRDefault="008B5D49" w:rsidP="003B05DB">
      <w:pPr>
        <w:jc w:val="both"/>
      </w:pPr>
      <w:r w:rsidRPr="009E7DD2">
        <w:t>Patients with a history of major depressive disorder or other major psychiatric disorder were excluded from the S</w:t>
      </w:r>
      <w:r>
        <w:t>AXENDA</w:t>
      </w:r>
      <w:r w:rsidRPr="009E7DD2">
        <w:t xml:space="preserve"> clinical trials. Because of the lack of data on efficacy and safety in patients with a history of major depressive disorder or other major psychiatric disorder, SAXENDA is not recommended in these patients.</w:t>
      </w:r>
    </w:p>
    <w:p w:rsidR="008B5D49" w:rsidRDefault="008B5D49" w:rsidP="003B05DB">
      <w:pPr>
        <w:jc w:val="both"/>
      </w:pPr>
    </w:p>
    <w:p w:rsidR="008B5D49" w:rsidRPr="009E7DD2" w:rsidRDefault="008B5D49" w:rsidP="008B5D49">
      <w:pPr>
        <w:jc w:val="both"/>
        <w:rPr>
          <w:lang w:val="en-AU"/>
        </w:rPr>
      </w:pPr>
      <w:r w:rsidRPr="009E7DD2">
        <w:rPr>
          <w:b/>
          <w:i/>
          <w:lang w:val="en-AU"/>
        </w:rPr>
        <w:t>Effects on ability to drive and use machines</w:t>
      </w:r>
    </w:p>
    <w:p w:rsidR="008B5D49" w:rsidRDefault="008B5D49" w:rsidP="008B5D49">
      <w:pPr>
        <w:jc w:val="both"/>
      </w:pPr>
      <w:r w:rsidRPr="009E7DD2">
        <w:rPr>
          <w:lang w:val="en-AU"/>
        </w:rPr>
        <w:t>No studies on the effects on the ability to drive and use machines have been performed. Patients with type 2 diabetes should be advised to take precautions to avoid hypoglycaemia while driving and using machines, in particular when SAXENDA is used in combination with a sulfonylurea</w:t>
      </w:r>
      <w:r w:rsidRPr="009E7DD2">
        <w:rPr>
          <w:bCs/>
          <w:lang w:val="en-AU"/>
        </w:rPr>
        <w:t>.</w:t>
      </w:r>
    </w:p>
    <w:p w:rsidR="008B5D49" w:rsidRDefault="008B5D49" w:rsidP="003B05DB">
      <w:pPr>
        <w:jc w:val="both"/>
      </w:pPr>
    </w:p>
    <w:p w:rsidR="008B5D49" w:rsidRPr="009E7DD2" w:rsidRDefault="008B5D49" w:rsidP="008B5D49">
      <w:pPr>
        <w:jc w:val="both"/>
        <w:rPr>
          <w:b/>
          <w:i/>
          <w:lang w:val="en-AU"/>
        </w:rPr>
      </w:pPr>
      <w:r w:rsidRPr="009E7DD2">
        <w:rPr>
          <w:b/>
          <w:i/>
          <w:lang w:val="en-AU"/>
        </w:rPr>
        <w:t>Genotoxicity</w:t>
      </w:r>
    </w:p>
    <w:p w:rsidR="008B5D49" w:rsidRDefault="008B5D49" w:rsidP="008B5D49">
      <w:pPr>
        <w:jc w:val="both"/>
      </w:pPr>
      <w:r w:rsidRPr="009E7DD2">
        <w:rPr>
          <w:lang w:val="en-AU"/>
        </w:rPr>
        <w:t xml:space="preserve">Liraglutide was not mutagenic in the bacterial Ames assay, and not clastogenic in human lymphocytes </w:t>
      </w:r>
      <w:r w:rsidRPr="009E7DD2">
        <w:rPr>
          <w:i/>
          <w:lang w:val="en-AU"/>
        </w:rPr>
        <w:t>in vitro</w:t>
      </w:r>
      <w:r w:rsidRPr="009E7DD2">
        <w:rPr>
          <w:lang w:val="en-AU"/>
        </w:rPr>
        <w:t xml:space="preserve">, or in rat lymphocytes and bone marrow </w:t>
      </w:r>
      <w:r w:rsidRPr="009E7DD2">
        <w:rPr>
          <w:i/>
          <w:lang w:val="en-AU"/>
        </w:rPr>
        <w:t>in vivo</w:t>
      </w:r>
      <w:r w:rsidRPr="009E7DD2">
        <w:rPr>
          <w:lang w:val="en-AU"/>
        </w:rPr>
        <w:t>.</w:t>
      </w:r>
      <w:r w:rsidRPr="00FE4797">
        <w:rPr>
          <w:b/>
          <w:i/>
          <w:lang w:val="en-AU"/>
        </w:rPr>
        <w:t xml:space="preserve"> </w:t>
      </w:r>
    </w:p>
    <w:p w:rsidR="008B5D49" w:rsidRDefault="008B5D49" w:rsidP="003B05DB">
      <w:pPr>
        <w:jc w:val="both"/>
      </w:pPr>
    </w:p>
    <w:p w:rsidR="008B5D49" w:rsidRPr="009E7DD2" w:rsidRDefault="008B5D49" w:rsidP="008B5D49">
      <w:pPr>
        <w:jc w:val="both"/>
        <w:rPr>
          <w:i/>
          <w:lang w:val="en-AU"/>
        </w:rPr>
      </w:pPr>
      <w:r w:rsidRPr="009E7DD2">
        <w:rPr>
          <w:b/>
          <w:i/>
          <w:lang w:val="en-AU"/>
        </w:rPr>
        <w:t>Effects on fertility</w:t>
      </w:r>
    </w:p>
    <w:p w:rsidR="008B5D49" w:rsidRDefault="008B5D49" w:rsidP="008B5D49">
      <w:pPr>
        <w:jc w:val="both"/>
      </w:pPr>
      <w:r w:rsidRPr="009E7DD2">
        <w:rPr>
          <w:lang w:val="en-AU"/>
        </w:rPr>
        <w:t>No adverse effects on fertility were observed in male and female rats given subcutaneous doses of liraglutide at ≤1mg/kg/day, yielding exposure to liraglutide (plasma AUC) 12-14 times higher than that of patients at the maximum recommended human dose.</w:t>
      </w:r>
    </w:p>
    <w:p w:rsidR="008B5D49" w:rsidRDefault="008B5D49" w:rsidP="003B05DB">
      <w:pPr>
        <w:jc w:val="both"/>
      </w:pPr>
    </w:p>
    <w:p w:rsidR="008B5D49" w:rsidRPr="009E7DD2" w:rsidRDefault="008B5D49" w:rsidP="008B5D49">
      <w:pPr>
        <w:jc w:val="both"/>
        <w:rPr>
          <w:lang w:val="en-AU"/>
        </w:rPr>
      </w:pPr>
      <w:r w:rsidRPr="009E7DD2">
        <w:rPr>
          <w:b/>
          <w:i/>
          <w:lang w:val="en-AU"/>
        </w:rPr>
        <w:t>Use in Pregnancy</w:t>
      </w:r>
    </w:p>
    <w:p w:rsidR="008B5D49" w:rsidRDefault="008B5D49" w:rsidP="008B5D49">
      <w:pPr>
        <w:jc w:val="both"/>
      </w:pPr>
      <w:r w:rsidRPr="009E7DD2">
        <w:rPr>
          <w:lang w:val="en-AU"/>
        </w:rPr>
        <w:t>Pregnancy Category: B3</w:t>
      </w:r>
    </w:p>
    <w:p w:rsidR="008B5D49" w:rsidRDefault="008B5D49" w:rsidP="003B05DB">
      <w:pPr>
        <w:jc w:val="both"/>
      </w:pPr>
    </w:p>
    <w:p w:rsidR="008B5D49" w:rsidRPr="009E7DD2" w:rsidRDefault="008B5D49" w:rsidP="008B5D49">
      <w:pPr>
        <w:jc w:val="both"/>
        <w:rPr>
          <w:lang w:val="en-AU"/>
        </w:rPr>
      </w:pPr>
      <w:r w:rsidRPr="009E7DD2">
        <w:rPr>
          <w:lang w:val="en-AU"/>
        </w:rPr>
        <w:t>Increased embryofetal death and minor fetal skeletal abnormalities (kinked ribs) were observed in rats given liraglutide at 1mg/kg/day by subcutaneous injection (yielding 12-times the plasma AUC in humans at the maximum recommended clinical dose). In rabbits treated at doses ≥0.01mg/kg/day (relative exposure, ≥0.2), there was retardation of fetal growth and an increased incidence of several minor skeletal and visceral abnormalities. Postnatal body weight gain was reduced in the offspring of rats treated with liraglutide during gestation and lactation. These findings may have occurred secondary to reduced maternal food consumption. Placental transfer of liraglutide and/or its metabolites was demonstrated in the animal species.</w:t>
      </w:r>
    </w:p>
    <w:p w:rsidR="008B5D49" w:rsidRDefault="008B5D49" w:rsidP="003B05DB">
      <w:pPr>
        <w:jc w:val="both"/>
      </w:pPr>
    </w:p>
    <w:p w:rsidR="008B5D49" w:rsidRDefault="008B5D49" w:rsidP="003B05DB">
      <w:pPr>
        <w:jc w:val="both"/>
      </w:pPr>
      <w:r w:rsidRPr="009E7DD2">
        <w:rPr>
          <w:lang w:val="en-AU"/>
        </w:rPr>
        <w:t xml:space="preserve">There are limited data from the use of SAXENDA in pregnant women. SAXENDA should not be used during pregnancy. If a patient wishes to become pregnant, or pregnancy occurs, treatment with SAXENDA should be discontinued. </w:t>
      </w:r>
    </w:p>
    <w:p w:rsidR="008B5D49" w:rsidRDefault="008B5D49" w:rsidP="003B05DB">
      <w:pPr>
        <w:jc w:val="both"/>
      </w:pPr>
    </w:p>
    <w:p w:rsidR="008B5D49" w:rsidRPr="009E7DD2" w:rsidRDefault="008B5D49" w:rsidP="008B5D49">
      <w:pPr>
        <w:jc w:val="both"/>
        <w:rPr>
          <w:b/>
          <w:lang w:val="en-AU"/>
        </w:rPr>
      </w:pPr>
      <w:r w:rsidRPr="009E7DD2">
        <w:rPr>
          <w:b/>
          <w:i/>
          <w:lang w:val="en-AU"/>
        </w:rPr>
        <w:t>Use in Lactation</w:t>
      </w:r>
    </w:p>
    <w:p w:rsidR="008B5D49" w:rsidRDefault="008B5D49" w:rsidP="008B5D49">
      <w:pPr>
        <w:jc w:val="both"/>
      </w:pPr>
      <w:r w:rsidRPr="009E7DD2">
        <w:rPr>
          <w:lang w:val="en-AU"/>
        </w:rPr>
        <w:t>It is not known whether liraglutide is excreted in human milk. Studies in lactating rats have shown that the transfer of liraglutide and metabolites of close structural relationship into milk is low. Non-clinical studies have shown a treatment related reduction of neonatal growth in suckling rat pups. Due to lack of experience, SAXENDA must not be used during breast-feeding.</w:t>
      </w:r>
    </w:p>
    <w:p w:rsidR="008B5D49" w:rsidRDefault="008B5D49" w:rsidP="003B05DB">
      <w:pPr>
        <w:jc w:val="both"/>
      </w:pPr>
    </w:p>
    <w:p w:rsidR="008B5D49" w:rsidRPr="009E7DD2" w:rsidRDefault="008B5D49" w:rsidP="008B5D49">
      <w:pPr>
        <w:jc w:val="both"/>
        <w:rPr>
          <w:b/>
          <w:lang w:val="en-AU"/>
        </w:rPr>
      </w:pPr>
      <w:r w:rsidRPr="009E7DD2">
        <w:rPr>
          <w:b/>
          <w:i/>
          <w:lang w:val="en-AU"/>
        </w:rPr>
        <w:t>Incompatibilities</w:t>
      </w:r>
    </w:p>
    <w:p w:rsidR="008B5D49" w:rsidRDefault="008B5D49" w:rsidP="008B5D49">
      <w:pPr>
        <w:jc w:val="both"/>
      </w:pPr>
      <w:r w:rsidRPr="009E7DD2">
        <w:rPr>
          <w:lang w:val="en-AU"/>
        </w:rPr>
        <w:t xml:space="preserve">Substances added to </w:t>
      </w:r>
      <w:r w:rsidRPr="009E7DD2">
        <w:rPr>
          <w:noProof/>
          <w:lang w:val="en-AU"/>
        </w:rPr>
        <w:t>SAXENDA</w:t>
      </w:r>
      <w:r w:rsidRPr="009E7DD2">
        <w:rPr>
          <w:lang w:val="en-AU"/>
        </w:rPr>
        <w:t xml:space="preserve"> may cause degradation of liraglutide. </w:t>
      </w:r>
      <w:r w:rsidRPr="009E7DD2">
        <w:rPr>
          <w:noProof/>
          <w:lang w:val="en-AU"/>
        </w:rPr>
        <w:t>SAXENDA</w:t>
      </w:r>
      <w:r w:rsidRPr="009E7DD2">
        <w:rPr>
          <w:lang w:val="en-AU"/>
        </w:rPr>
        <w:t xml:space="preserve"> must not be mixed with other medicinal products, e.g. infusion fluids.</w:t>
      </w:r>
    </w:p>
    <w:p w:rsidR="008B5D49" w:rsidRDefault="008B5D49" w:rsidP="003B05DB">
      <w:pPr>
        <w:jc w:val="both"/>
      </w:pPr>
    </w:p>
    <w:p w:rsidR="008B5D49" w:rsidRPr="00F11A86" w:rsidRDefault="008B5D49" w:rsidP="003B05DB">
      <w:pPr>
        <w:jc w:val="both"/>
        <w:rPr>
          <w:b/>
        </w:rPr>
      </w:pPr>
      <w:bookmarkStart w:id="55" w:name="_Toc464639451"/>
      <w:r w:rsidRPr="00F11A86">
        <w:rPr>
          <w:b/>
        </w:rPr>
        <w:t>INTERACTIONS WITH OTHER MEDICINES</w:t>
      </w:r>
      <w:bookmarkEnd w:id="55"/>
    </w:p>
    <w:p w:rsidR="008B5D49" w:rsidRDefault="008B5D49" w:rsidP="003B05DB">
      <w:pPr>
        <w:jc w:val="both"/>
      </w:pPr>
    </w:p>
    <w:p w:rsidR="008B5D49" w:rsidRDefault="008B5D49" w:rsidP="003B05DB">
      <w:pPr>
        <w:jc w:val="both"/>
      </w:pPr>
      <w:r w:rsidRPr="009E7DD2">
        <w:rPr>
          <w:lang w:val="en-AU"/>
        </w:rPr>
        <w:t>No clinically significant drug interactions have been demonstrated with SAXENDA.</w:t>
      </w:r>
    </w:p>
    <w:p w:rsidR="008B5D49" w:rsidRDefault="008B5D49" w:rsidP="003B05DB">
      <w:pPr>
        <w:jc w:val="both"/>
      </w:pPr>
    </w:p>
    <w:p w:rsidR="008B5D49" w:rsidRPr="009E7DD2" w:rsidRDefault="008B5D49" w:rsidP="008B5D49">
      <w:pPr>
        <w:numPr>
          <w:ilvl w:val="12"/>
          <w:numId w:val="0"/>
        </w:numPr>
        <w:jc w:val="both"/>
        <w:rPr>
          <w:b/>
          <w:i/>
          <w:lang w:val="en-AU"/>
        </w:rPr>
      </w:pPr>
      <w:r w:rsidRPr="00F11A86">
        <w:rPr>
          <w:b/>
          <w:lang w:val="en-AU"/>
        </w:rPr>
        <w:t>In vitro</w:t>
      </w:r>
      <w:r w:rsidRPr="009E7DD2">
        <w:rPr>
          <w:b/>
          <w:i/>
          <w:lang w:val="en-AU"/>
        </w:rPr>
        <w:t xml:space="preserve"> assessment of drug-drug interaction</w:t>
      </w:r>
    </w:p>
    <w:p w:rsidR="008B5D49" w:rsidRDefault="008B5D49" w:rsidP="008B5D49">
      <w:pPr>
        <w:jc w:val="both"/>
      </w:pPr>
      <w:r w:rsidRPr="009E7DD2">
        <w:rPr>
          <w:lang w:val="en-AU"/>
        </w:rPr>
        <w:t>Liraglutide has very low potential for pharmacokinetic drug-drug interactions related to cytochrome P450 (CYP) and plasma protein binding.</w:t>
      </w:r>
    </w:p>
    <w:p w:rsidR="008B5D49" w:rsidRDefault="008B5D49" w:rsidP="003B05DB">
      <w:pPr>
        <w:jc w:val="both"/>
      </w:pPr>
    </w:p>
    <w:p w:rsidR="008B5D49" w:rsidRPr="009E7DD2" w:rsidRDefault="008B5D49" w:rsidP="008B5D49">
      <w:pPr>
        <w:keepNext/>
        <w:numPr>
          <w:ilvl w:val="12"/>
          <w:numId w:val="0"/>
        </w:numPr>
        <w:jc w:val="both"/>
        <w:rPr>
          <w:b/>
          <w:i/>
          <w:lang w:val="en-AU"/>
        </w:rPr>
      </w:pPr>
      <w:r w:rsidRPr="00F11A86">
        <w:rPr>
          <w:b/>
          <w:lang w:val="en-AU"/>
        </w:rPr>
        <w:lastRenderedPageBreak/>
        <w:t>In vivo</w:t>
      </w:r>
      <w:r w:rsidRPr="009E7DD2">
        <w:rPr>
          <w:b/>
          <w:i/>
          <w:lang w:val="en-AU"/>
        </w:rPr>
        <w:t xml:space="preserve"> assessment of drug-drug interaction</w:t>
      </w:r>
    </w:p>
    <w:p w:rsidR="008B5D49" w:rsidRDefault="008B5D49" w:rsidP="008B5D49">
      <w:pPr>
        <w:jc w:val="both"/>
      </w:pPr>
      <w:r w:rsidRPr="009E7DD2">
        <w:rPr>
          <w:szCs w:val="20"/>
          <w:lang w:val="en-CA" w:eastAsia="en-CA"/>
        </w:rPr>
        <w:t>The drug-drug interaction studies were performed at steady state with liraglutide 1.8 mg/day. The effect on rate of gastric emptying (paracetamol AUC</w:t>
      </w:r>
      <w:r w:rsidRPr="009E7DD2">
        <w:rPr>
          <w:szCs w:val="20"/>
          <w:vertAlign w:val="subscript"/>
          <w:lang w:val="en-CA" w:eastAsia="en-CA"/>
        </w:rPr>
        <w:t xml:space="preserve">0-5h </w:t>
      </w:r>
      <w:r w:rsidRPr="009E7DD2">
        <w:rPr>
          <w:szCs w:val="20"/>
          <w:lang w:val="en-CA" w:eastAsia="en-CA"/>
        </w:rPr>
        <w:t xml:space="preserve">) was equivalent between liraglutide 1.8 mg and 3.0 mg [see </w:t>
      </w:r>
      <w:r w:rsidRPr="009E7DD2">
        <w:rPr>
          <w:b/>
          <w:i/>
          <w:szCs w:val="20"/>
          <w:lang w:val="en-CA" w:eastAsia="en-CA"/>
        </w:rPr>
        <w:t>Pharmacodynamics</w:t>
      </w:r>
      <w:r w:rsidRPr="009E7DD2">
        <w:rPr>
          <w:szCs w:val="20"/>
          <w:lang w:val="en-CA" w:eastAsia="en-CA"/>
        </w:rPr>
        <w:t>].</w:t>
      </w:r>
      <w:r w:rsidRPr="009E7DD2">
        <w:rPr>
          <w:szCs w:val="20"/>
          <w:vertAlign w:val="superscript"/>
          <w:lang w:val="en-CA" w:eastAsia="en-CA"/>
        </w:rPr>
        <w:t xml:space="preserve"> </w:t>
      </w:r>
      <w:r w:rsidRPr="009E7DD2">
        <w:rPr>
          <w:szCs w:val="20"/>
          <w:lang w:val="en-CA" w:eastAsia="en-CA"/>
        </w:rPr>
        <w:t>Administration of the interacting drugs was timed so that C</w:t>
      </w:r>
      <w:r w:rsidRPr="009E7DD2">
        <w:rPr>
          <w:szCs w:val="20"/>
          <w:vertAlign w:val="subscript"/>
          <w:lang w:val="en-CA" w:eastAsia="en-CA"/>
        </w:rPr>
        <w:t xml:space="preserve">max </w:t>
      </w:r>
      <w:r w:rsidRPr="009E7DD2">
        <w:rPr>
          <w:szCs w:val="20"/>
          <w:lang w:val="en-CA" w:eastAsia="en-CA"/>
        </w:rPr>
        <w:t>of liraglutide (8-12 h) would coincide with the absorption peak of the co-administered drugs.</w:t>
      </w:r>
    </w:p>
    <w:p w:rsidR="008B5D49" w:rsidRDefault="008B5D49" w:rsidP="003B05DB">
      <w:pPr>
        <w:jc w:val="both"/>
      </w:pPr>
    </w:p>
    <w:p w:rsidR="008B5D49" w:rsidRPr="001B2A77" w:rsidRDefault="008B5D49" w:rsidP="008B5D49">
      <w:pPr>
        <w:numPr>
          <w:ilvl w:val="12"/>
          <w:numId w:val="0"/>
        </w:numPr>
        <w:jc w:val="both"/>
        <w:rPr>
          <w:highlight w:val="green"/>
          <w:lang w:val="en-AU"/>
        </w:rPr>
      </w:pPr>
      <w:r w:rsidRPr="009E7DD2">
        <w:rPr>
          <w:i/>
          <w:lang w:val="en-AU"/>
        </w:rPr>
        <w:t>Oral Medications</w:t>
      </w:r>
      <w:r w:rsidRPr="009E7DD2">
        <w:rPr>
          <w:lang w:val="en-AU"/>
        </w:rPr>
        <w:t xml:space="preserve"> </w:t>
      </w:r>
    </w:p>
    <w:p w:rsidR="008B5D49" w:rsidRDefault="008B5D49" w:rsidP="008B5D49">
      <w:pPr>
        <w:jc w:val="both"/>
      </w:pPr>
      <w:r w:rsidRPr="00393E99">
        <w:rPr>
          <w:lang w:val="en-AU"/>
        </w:rPr>
        <w:t xml:space="preserve">The delay of gastric emptying caused by liraglutide </w:t>
      </w:r>
      <w:r w:rsidRPr="00393E99">
        <w:rPr>
          <w:lang w:val="en-AU" w:eastAsia="en-AU"/>
        </w:rPr>
        <w:t>may impact absorption of concomitantly administered oral medicinal products. Interaction studies did not show any clinically relevant delay of absorption of the compounds that were studied, however clinically relevant interactions with other compounds where the effect is dependent on C</w:t>
      </w:r>
      <w:r w:rsidRPr="00393E99">
        <w:rPr>
          <w:vertAlign w:val="subscript"/>
          <w:lang w:val="en-AU" w:eastAsia="en-AU"/>
        </w:rPr>
        <w:t>max</w:t>
      </w:r>
      <w:r w:rsidRPr="00393E99">
        <w:rPr>
          <w:lang w:val="en-AU" w:eastAsia="en-AU"/>
        </w:rPr>
        <w:t xml:space="preserve"> and t</w:t>
      </w:r>
      <w:r w:rsidRPr="00393E99">
        <w:rPr>
          <w:vertAlign w:val="subscript"/>
          <w:lang w:val="en-AU" w:eastAsia="en-AU"/>
        </w:rPr>
        <w:t>max</w:t>
      </w:r>
      <w:r w:rsidRPr="00393E99">
        <w:rPr>
          <w:lang w:val="en-AU" w:eastAsia="en-AU"/>
        </w:rPr>
        <w:t>, drugs with</w:t>
      </w:r>
      <w:r w:rsidRPr="009E7DD2">
        <w:rPr>
          <w:lang w:val="en-AU" w:eastAsia="en-AU"/>
        </w:rPr>
        <w:t xml:space="preserve"> </w:t>
      </w:r>
      <w:r w:rsidRPr="00393E99">
        <w:rPr>
          <w:lang w:val="en-AU" w:eastAsia="en-AU"/>
        </w:rPr>
        <w:t xml:space="preserve">narrow therapeutic index, or medications associated with local gastrointestinal irritation (e.g. bisphosphonates, potassium chloride) cannot be excluded. </w:t>
      </w:r>
    </w:p>
    <w:p w:rsidR="008B5D49" w:rsidRDefault="008B5D49" w:rsidP="003B05DB">
      <w:pPr>
        <w:jc w:val="both"/>
      </w:pPr>
    </w:p>
    <w:p w:rsidR="008B5D49" w:rsidRDefault="008B5D49" w:rsidP="003B05DB">
      <w:pPr>
        <w:jc w:val="both"/>
      </w:pPr>
      <w:r w:rsidRPr="00393E99">
        <w:rPr>
          <w:lang w:val="en-AU"/>
        </w:rPr>
        <w:t>Few patients treated with liraglutide reported at least one episode of severe diarrhoea.</w:t>
      </w:r>
      <w:r w:rsidRPr="00393E99">
        <w:rPr>
          <w:rStyle w:val="CommentReference"/>
          <w:color w:val="000000"/>
          <w:sz w:val="24"/>
          <w:szCs w:val="24"/>
          <w:lang w:val="en-AU"/>
        </w:rPr>
        <w:t xml:space="preserve"> D</w:t>
      </w:r>
      <w:r w:rsidRPr="00393E99">
        <w:rPr>
          <w:lang w:val="en-AU"/>
        </w:rPr>
        <w:t>iarrhoea may affect the absorption of concomitant oral medicinal products.</w:t>
      </w:r>
    </w:p>
    <w:p w:rsidR="008B5D49" w:rsidRDefault="008B5D49" w:rsidP="003B05DB">
      <w:pPr>
        <w:jc w:val="both"/>
      </w:pPr>
    </w:p>
    <w:p w:rsidR="008B5D49" w:rsidRPr="00393E99" w:rsidRDefault="008B5D49" w:rsidP="008B5D49">
      <w:pPr>
        <w:keepNext/>
        <w:numPr>
          <w:ilvl w:val="12"/>
          <w:numId w:val="0"/>
        </w:numPr>
        <w:jc w:val="both"/>
        <w:rPr>
          <w:i/>
          <w:lang w:val="en-AU"/>
        </w:rPr>
      </w:pPr>
      <w:r w:rsidRPr="00393E99">
        <w:rPr>
          <w:i/>
          <w:lang w:val="en-AU"/>
        </w:rPr>
        <w:t xml:space="preserve">Paracetamol </w:t>
      </w:r>
    </w:p>
    <w:p w:rsidR="008B5D49" w:rsidRDefault="008B5D49" w:rsidP="008B5D49">
      <w:pPr>
        <w:jc w:val="both"/>
      </w:pPr>
      <w:r w:rsidRPr="00393E99">
        <w:rPr>
          <w:lang w:val="en-AU"/>
        </w:rPr>
        <w:t>Liraglutide did not change the overall exposure (AUC) of paracetamol following a single dose of paracetamol 1000 mg, administered 8 hours after the dose of liraglutide at steady state. Paracetamol C</w:t>
      </w:r>
      <w:r w:rsidRPr="00393E99">
        <w:rPr>
          <w:vertAlign w:val="subscript"/>
          <w:lang w:val="en-AU"/>
        </w:rPr>
        <w:t>max</w:t>
      </w:r>
      <w:r w:rsidRPr="00393E99">
        <w:rPr>
          <w:lang w:val="en-AU"/>
        </w:rPr>
        <w:t xml:space="preserve"> was decreased by 31% and median t</w:t>
      </w:r>
      <w:r w:rsidRPr="00393E99">
        <w:rPr>
          <w:vertAlign w:val="subscript"/>
          <w:lang w:val="en-AU"/>
        </w:rPr>
        <w:t>max</w:t>
      </w:r>
      <w:r w:rsidRPr="00393E99">
        <w:rPr>
          <w:lang w:val="en-AU"/>
        </w:rPr>
        <w:t xml:space="preserve"> was delayed up to 15 min. No dose adjustment for concomitant use of paracetamol is required.</w:t>
      </w:r>
    </w:p>
    <w:p w:rsidR="008B5D49" w:rsidRDefault="008B5D49" w:rsidP="003B05DB">
      <w:pPr>
        <w:jc w:val="both"/>
      </w:pPr>
    </w:p>
    <w:p w:rsidR="008B5D49" w:rsidRPr="00393E99" w:rsidRDefault="008B5D49" w:rsidP="008B5D49">
      <w:pPr>
        <w:numPr>
          <w:ilvl w:val="12"/>
          <w:numId w:val="0"/>
        </w:numPr>
        <w:jc w:val="both"/>
        <w:rPr>
          <w:i/>
          <w:lang w:val="en-AU"/>
        </w:rPr>
      </w:pPr>
      <w:r w:rsidRPr="00393E99">
        <w:rPr>
          <w:i/>
          <w:lang w:val="en-AU"/>
        </w:rPr>
        <w:t>Atorvastatin</w:t>
      </w:r>
    </w:p>
    <w:p w:rsidR="008B5D49" w:rsidRDefault="008B5D49" w:rsidP="008B5D49">
      <w:pPr>
        <w:jc w:val="both"/>
      </w:pPr>
      <w:r w:rsidRPr="00393E99">
        <w:t>Liraglutide did not change the overall exposure (AUC) of atorvastatin following a single dose of atorvastatin 40 mg, administered 5 hours after the dose of liraglutide at steady state. Atorvastatin C</w:t>
      </w:r>
      <w:r w:rsidRPr="00393E99">
        <w:rPr>
          <w:vertAlign w:val="subscript"/>
        </w:rPr>
        <w:t>max</w:t>
      </w:r>
      <w:r w:rsidRPr="00393E99">
        <w:t xml:space="preserve"> was decreased by 38% and median t</w:t>
      </w:r>
      <w:r w:rsidRPr="00393E99">
        <w:rPr>
          <w:vertAlign w:val="subscript"/>
        </w:rPr>
        <w:t>max</w:t>
      </w:r>
      <w:r w:rsidRPr="00393E99">
        <w:t xml:space="preserve"> was delayed from 1 hour to 3 hours with liraglutide. Therefore, no dose adjustment of atorvastatin is required when given with liraglutide.</w:t>
      </w:r>
      <w:r w:rsidRPr="009E7DD2">
        <w:t xml:space="preserve"> </w:t>
      </w:r>
    </w:p>
    <w:p w:rsidR="008B5D49" w:rsidRDefault="008B5D49" w:rsidP="003B05DB">
      <w:pPr>
        <w:jc w:val="both"/>
      </w:pPr>
    </w:p>
    <w:p w:rsidR="008B5D49" w:rsidRPr="00393E99" w:rsidRDefault="008B5D49" w:rsidP="008B5D49">
      <w:pPr>
        <w:keepNext/>
        <w:numPr>
          <w:ilvl w:val="12"/>
          <w:numId w:val="0"/>
        </w:numPr>
        <w:jc w:val="both"/>
        <w:rPr>
          <w:i/>
          <w:lang w:val="en-AU"/>
        </w:rPr>
      </w:pPr>
      <w:r w:rsidRPr="00393E99">
        <w:rPr>
          <w:i/>
          <w:lang w:val="en-AU"/>
        </w:rPr>
        <w:t>Griseofulvin</w:t>
      </w:r>
    </w:p>
    <w:p w:rsidR="008B5D49" w:rsidRDefault="008B5D49" w:rsidP="008B5D49">
      <w:pPr>
        <w:jc w:val="both"/>
      </w:pPr>
      <w:r w:rsidRPr="00393E99">
        <w:rPr>
          <w:lang w:val="en-AU"/>
        </w:rPr>
        <w:t>Liraglutide did not change the overall exposure (AUC) of griseofulvin following co-administration of a single dose of griseofulvin 500 mg with liraglutide at steady state. Griseofulvin C</w:t>
      </w:r>
      <w:r w:rsidRPr="00393E99">
        <w:rPr>
          <w:vertAlign w:val="subscript"/>
          <w:lang w:val="en-AU"/>
        </w:rPr>
        <w:t>max</w:t>
      </w:r>
      <w:r w:rsidRPr="00393E99">
        <w:rPr>
          <w:lang w:val="en-AU"/>
        </w:rPr>
        <w:t xml:space="preserve"> increased by 37% while median t</w:t>
      </w:r>
      <w:r w:rsidRPr="00393E99">
        <w:rPr>
          <w:vertAlign w:val="subscript"/>
          <w:lang w:val="en-AU"/>
        </w:rPr>
        <w:t>max</w:t>
      </w:r>
      <w:r w:rsidRPr="00393E99">
        <w:rPr>
          <w:lang w:val="en-AU"/>
        </w:rPr>
        <w:t xml:space="preserve"> did not change. Dose adjustments of griseofulvin and other compounds with low solubility and high permeability are not required.</w:t>
      </w:r>
    </w:p>
    <w:p w:rsidR="008B5D49" w:rsidRDefault="008B5D49" w:rsidP="003B05DB">
      <w:pPr>
        <w:jc w:val="both"/>
      </w:pPr>
    </w:p>
    <w:p w:rsidR="008B5D49" w:rsidRPr="00393E99" w:rsidRDefault="008B5D49" w:rsidP="008B5D49">
      <w:pPr>
        <w:pStyle w:val="BodyText"/>
        <w:spacing w:line="260" w:lineRule="exact"/>
        <w:jc w:val="both"/>
        <w:rPr>
          <w:i/>
          <w:sz w:val="24"/>
          <w:szCs w:val="24"/>
          <w:lang w:val="en-AU"/>
        </w:rPr>
      </w:pPr>
      <w:r w:rsidRPr="00393E99">
        <w:rPr>
          <w:i/>
          <w:color w:val="auto"/>
          <w:sz w:val="24"/>
          <w:szCs w:val="24"/>
          <w:lang w:val="en-AU"/>
        </w:rPr>
        <w:t>Digoxin</w:t>
      </w:r>
    </w:p>
    <w:p w:rsidR="008B5D49" w:rsidRDefault="008B5D49" w:rsidP="008B5D49">
      <w:pPr>
        <w:jc w:val="both"/>
      </w:pPr>
      <w:r w:rsidRPr="00393E99">
        <w:rPr>
          <w:lang w:val="en-AU"/>
        </w:rPr>
        <w:t>A single dose administration of digoxin 1mg was administered 7 hours after the dose of liraglutide at steady state. The concomitant administration with liraglutide resulted in a reduction of digoxin AUC by 16%; C</w:t>
      </w:r>
      <w:r w:rsidRPr="00393E99">
        <w:rPr>
          <w:vertAlign w:val="subscript"/>
          <w:lang w:val="en-AU"/>
        </w:rPr>
        <w:t>max</w:t>
      </w:r>
      <w:r w:rsidRPr="00393E99">
        <w:rPr>
          <w:lang w:val="en-AU"/>
        </w:rPr>
        <w:t xml:space="preserve"> decreased by 31%. Digoxin median time to maximum concentration (t</w:t>
      </w:r>
      <w:r w:rsidRPr="00393E99">
        <w:rPr>
          <w:vertAlign w:val="subscript"/>
          <w:lang w:val="en-AU"/>
        </w:rPr>
        <w:t>max</w:t>
      </w:r>
      <w:r w:rsidRPr="00393E99">
        <w:rPr>
          <w:lang w:val="en-AU"/>
        </w:rPr>
        <w:t>) was delayed from 1 hour to 1.5 hours. No dose adjustment of digoxin is required based on these results.</w:t>
      </w:r>
    </w:p>
    <w:p w:rsidR="008B5D49" w:rsidRDefault="008B5D49" w:rsidP="003B05DB">
      <w:pPr>
        <w:jc w:val="both"/>
      </w:pPr>
    </w:p>
    <w:p w:rsidR="008B5D49" w:rsidRPr="00393E99" w:rsidRDefault="008B5D49" w:rsidP="008B5D49">
      <w:pPr>
        <w:pStyle w:val="BodyText"/>
        <w:spacing w:line="260" w:lineRule="exact"/>
        <w:jc w:val="both"/>
        <w:rPr>
          <w:i/>
          <w:sz w:val="24"/>
          <w:szCs w:val="24"/>
          <w:lang w:val="en-AU"/>
        </w:rPr>
      </w:pPr>
      <w:r w:rsidRPr="00393E99">
        <w:rPr>
          <w:i/>
          <w:color w:val="auto"/>
          <w:sz w:val="24"/>
          <w:szCs w:val="24"/>
          <w:lang w:val="en-AU"/>
        </w:rPr>
        <w:t>Lisinopril</w:t>
      </w:r>
      <w:r w:rsidRPr="00393E99">
        <w:rPr>
          <w:i/>
          <w:iCs/>
          <w:sz w:val="24"/>
          <w:szCs w:val="24"/>
          <w:lang w:val="en-AU"/>
        </w:rPr>
        <w:t xml:space="preserve"> </w:t>
      </w:r>
    </w:p>
    <w:p w:rsidR="008B5D49" w:rsidRDefault="008B5D49" w:rsidP="008B5D49">
      <w:pPr>
        <w:jc w:val="both"/>
      </w:pPr>
      <w:r w:rsidRPr="00393E99">
        <w:rPr>
          <w:lang w:val="en-AU"/>
        </w:rPr>
        <w:t>A single dose administration of lisinopril 20 mg was administered 5 minutes after the dose of liraglutide at steady state. The co-administration with liraglutide resulted in a reduction of lisinopril AUC by 15%; C</w:t>
      </w:r>
      <w:r w:rsidRPr="00393E99">
        <w:rPr>
          <w:vertAlign w:val="subscript"/>
          <w:lang w:val="en-AU"/>
        </w:rPr>
        <w:t>max</w:t>
      </w:r>
      <w:r w:rsidRPr="00393E99">
        <w:rPr>
          <w:lang w:val="en-AU"/>
        </w:rPr>
        <w:t xml:space="preserve"> decreased by 27%. Lisinopril median t</w:t>
      </w:r>
      <w:r w:rsidRPr="00393E99">
        <w:rPr>
          <w:vertAlign w:val="subscript"/>
          <w:lang w:val="en-AU"/>
        </w:rPr>
        <w:t>max</w:t>
      </w:r>
      <w:r w:rsidRPr="00393E99">
        <w:rPr>
          <w:lang w:val="en-AU"/>
        </w:rPr>
        <w:t xml:space="preserve"> was delayed from 6 hours to 8 hours with liraglutide. No dose adjustment of lisinopril is required based on these results.</w:t>
      </w:r>
    </w:p>
    <w:p w:rsidR="008B5D49" w:rsidRDefault="008B5D49" w:rsidP="003B05DB">
      <w:pPr>
        <w:jc w:val="both"/>
      </w:pPr>
    </w:p>
    <w:p w:rsidR="008B5D49" w:rsidRPr="00393E99" w:rsidRDefault="008B5D49" w:rsidP="008B5D49">
      <w:pPr>
        <w:numPr>
          <w:ilvl w:val="12"/>
          <w:numId w:val="0"/>
        </w:numPr>
        <w:jc w:val="both"/>
        <w:rPr>
          <w:i/>
          <w:lang w:val="en-AU"/>
        </w:rPr>
      </w:pPr>
      <w:r w:rsidRPr="00393E99">
        <w:rPr>
          <w:i/>
          <w:lang w:val="en-AU"/>
        </w:rPr>
        <w:lastRenderedPageBreak/>
        <w:t>Oral contraceptives</w:t>
      </w:r>
    </w:p>
    <w:p w:rsidR="008B5D49" w:rsidRDefault="008B5D49" w:rsidP="008B5D49">
      <w:pPr>
        <w:jc w:val="both"/>
      </w:pPr>
      <w:r w:rsidRPr="00393E99">
        <w:rPr>
          <w:lang w:val="en-CA"/>
        </w:rPr>
        <w:t xml:space="preserve">A single dose of an oral contraceptive combination product containing 0.03 mg ethinylestradiol and 0.15 mg levonorgestrel was administered under fed conditions and 7 hours after the dose of liraglutide at steady state. </w:t>
      </w:r>
      <w:r w:rsidRPr="00393E99">
        <w:rPr>
          <w:lang w:val="en-AU"/>
        </w:rPr>
        <w:t>Liraglutide lowered ethinyloestradiol and levonorgestrel C</w:t>
      </w:r>
      <w:r w:rsidRPr="00393E99">
        <w:rPr>
          <w:vertAlign w:val="subscript"/>
          <w:lang w:val="en-AU"/>
        </w:rPr>
        <w:t>max</w:t>
      </w:r>
      <w:r w:rsidRPr="00393E99">
        <w:rPr>
          <w:lang w:val="en-AU"/>
        </w:rPr>
        <w:t xml:space="preserve"> by 12 and 13%, respectively. t</w:t>
      </w:r>
      <w:r w:rsidRPr="00393E99">
        <w:rPr>
          <w:vertAlign w:val="subscript"/>
          <w:lang w:val="en-AU"/>
        </w:rPr>
        <w:t>max</w:t>
      </w:r>
      <w:r w:rsidRPr="00393E99">
        <w:rPr>
          <w:lang w:val="en-AU"/>
        </w:rPr>
        <w:t xml:space="preserve"> was delayed by 1.5 hours with liraglutide for both compounds. There was no clinically relevant effect on the overall exposure (AUC) of ethinyloestradiol. </w:t>
      </w:r>
      <w:r w:rsidRPr="00393E99">
        <w:rPr>
          <w:lang w:val="en-CA"/>
        </w:rPr>
        <w:t>Liraglutide increased the levonorgestrel AUC</w:t>
      </w:r>
      <w:r w:rsidRPr="00393E99">
        <w:rPr>
          <w:vertAlign w:val="subscript"/>
          <w:lang w:val="en-CA"/>
        </w:rPr>
        <w:t>0-∞</w:t>
      </w:r>
      <w:r w:rsidRPr="00393E99">
        <w:rPr>
          <w:lang w:val="en-CA"/>
        </w:rPr>
        <w:t xml:space="preserve"> by 18%</w:t>
      </w:r>
      <w:r w:rsidRPr="00393E99">
        <w:rPr>
          <w:lang w:val="en-AU"/>
        </w:rPr>
        <w:t>. The contraceptive effect is therefore anticipated to be unaffected when co-administered with liraglutide</w:t>
      </w:r>
      <w:r>
        <w:rPr>
          <w:lang w:val="en-AU"/>
        </w:rPr>
        <w:t>.</w:t>
      </w:r>
    </w:p>
    <w:p w:rsidR="008B5D49" w:rsidRDefault="008B5D49" w:rsidP="003B05DB">
      <w:pPr>
        <w:jc w:val="both"/>
      </w:pPr>
    </w:p>
    <w:p w:rsidR="008B5D49" w:rsidRPr="00393E99" w:rsidRDefault="008B5D49" w:rsidP="008B5D49">
      <w:pPr>
        <w:keepNext/>
        <w:jc w:val="both"/>
        <w:rPr>
          <w:lang w:val="en-AU"/>
        </w:rPr>
      </w:pPr>
      <w:r w:rsidRPr="00393E99">
        <w:rPr>
          <w:i/>
          <w:lang w:val="en-AU"/>
        </w:rPr>
        <w:t>Warfarin and other coumarin derivatives</w:t>
      </w:r>
    </w:p>
    <w:p w:rsidR="008B5D49" w:rsidRDefault="008B5D49" w:rsidP="008B5D49">
      <w:pPr>
        <w:jc w:val="both"/>
      </w:pPr>
      <w:r w:rsidRPr="00393E99">
        <w:rPr>
          <w:lang w:val="en-AU"/>
        </w:rPr>
        <w:t>No interaction study has been performed. A clinically relevant interaction with active substances with poor solubility or narrow therapeutic index such as warfarin cannot be excluded.</w:t>
      </w:r>
      <w:r>
        <w:rPr>
          <w:lang w:val="en-AU"/>
        </w:rPr>
        <w:t xml:space="preserve"> </w:t>
      </w:r>
      <w:r w:rsidRPr="00393E99">
        <w:rPr>
          <w:lang w:val="en-AU"/>
        </w:rPr>
        <w:t xml:space="preserve">Upon initiation of </w:t>
      </w:r>
      <w:r w:rsidRPr="00393E99">
        <w:rPr>
          <w:iCs/>
          <w:lang w:val="en-AU"/>
        </w:rPr>
        <w:t>SAXENDA</w:t>
      </w:r>
      <w:r w:rsidRPr="00393E99">
        <w:rPr>
          <w:lang w:val="en-AU"/>
        </w:rPr>
        <w:t xml:space="preserve"> treatment in patients on warfarin or other coumarin derivatives, more frequent monitoring of INR (International Normalised Ratio) is recommended.</w:t>
      </w:r>
      <w:r w:rsidRPr="009E7DD2">
        <w:rPr>
          <w:lang w:val="en-AU"/>
        </w:rPr>
        <w:t xml:space="preserve"> </w:t>
      </w:r>
    </w:p>
    <w:p w:rsidR="008B5D49" w:rsidRDefault="008B5D49" w:rsidP="003B05DB">
      <w:pPr>
        <w:jc w:val="both"/>
      </w:pPr>
    </w:p>
    <w:p w:rsidR="008B5D49" w:rsidRPr="00393E99" w:rsidRDefault="008B5D49" w:rsidP="008B5D49">
      <w:pPr>
        <w:numPr>
          <w:ilvl w:val="12"/>
          <w:numId w:val="0"/>
        </w:numPr>
        <w:jc w:val="both"/>
        <w:rPr>
          <w:i/>
          <w:lang w:val="en-AU"/>
        </w:rPr>
      </w:pPr>
      <w:r w:rsidRPr="00393E99">
        <w:rPr>
          <w:i/>
          <w:lang w:val="en-AU"/>
        </w:rPr>
        <w:t>Insulin</w:t>
      </w:r>
    </w:p>
    <w:p w:rsidR="008B5D49" w:rsidRDefault="008B5D49" w:rsidP="008B5D49">
      <w:pPr>
        <w:jc w:val="both"/>
      </w:pPr>
      <w:r w:rsidRPr="00393E99">
        <w:rPr>
          <w:lang w:val="en-AU"/>
        </w:rPr>
        <w:t>No pharmacokinetic interaction was observed between liraglutide and insulin detemir when separate subcutaneous injections of insulin detemir 0.5 Units/kg (single-dose) and liraglutide 1.8 mg (steady state) were administered in patients with type 2 diabetes.</w:t>
      </w:r>
    </w:p>
    <w:p w:rsidR="008B5D49" w:rsidRDefault="008B5D49" w:rsidP="003B05DB">
      <w:pPr>
        <w:jc w:val="both"/>
      </w:pPr>
    </w:p>
    <w:p w:rsidR="008B5D49" w:rsidRPr="008B5D49" w:rsidRDefault="008B5D49" w:rsidP="003B05DB">
      <w:pPr>
        <w:jc w:val="both"/>
        <w:rPr>
          <w:b/>
        </w:rPr>
      </w:pPr>
      <w:bookmarkStart w:id="56" w:name="_Toc464639452"/>
      <w:r w:rsidRPr="008B5D49">
        <w:rPr>
          <w:b/>
        </w:rPr>
        <w:t>ADVERSE EFFECTS</w:t>
      </w:r>
      <w:bookmarkEnd w:id="56"/>
    </w:p>
    <w:p w:rsidR="008B5D49" w:rsidRDefault="008B5D49" w:rsidP="003B05DB">
      <w:pPr>
        <w:jc w:val="both"/>
      </w:pPr>
    </w:p>
    <w:p w:rsidR="008B5D49" w:rsidRPr="00393E99" w:rsidRDefault="008B5D49" w:rsidP="008B5D49">
      <w:pPr>
        <w:keepNext/>
        <w:jc w:val="both"/>
        <w:rPr>
          <w:b/>
          <w:i/>
          <w:lang w:val="en-AU"/>
        </w:rPr>
      </w:pPr>
      <w:r w:rsidRPr="00393E99">
        <w:rPr>
          <w:b/>
          <w:i/>
          <w:lang w:val="en-AU"/>
        </w:rPr>
        <w:t>Summary of safety profile:</w:t>
      </w:r>
    </w:p>
    <w:p w:rsidR="008B5D49" w:rsidRDefault="008B5D49" w:rsidP="008B5D49">
      <w:pPr>
        <w:jc w:val="both"/>
      </w:pPr>
      <w:r w:rsidRPr="00393E99">
        <w:rPr>
          <w:lang w:val="en-AU"/>
        </w:rPr>
        <w:t xml:space="preserve">Overall, gastrointestinal reactions were the most frequently reported adverse reactions during treatment with SAXENDA: </w:t>
      </w:r>
      <w:r w:rsidRPr="00393E99">
        <w:rPr>
          <w:iCs/>
          <w:lang w:val="en-AU"/>
        </w:rPr>
        <w:t>nausea, vomiting, diarrhoea and constipation reported by &gt; 10% of subjects, see section ‘</w:t>
      </w:r>
      <w:r w:rsidRPr="00393E99">
        <w:rPr>
          <w:i/>
          <w:iCs/>
          <w:lang w:val="en-AU"/>
        </w:rPr>
        <w:t>Description of selected adverse reactions’</w:t>
      </w:r>
      <w:r w:rsidRPr="00393E99">
        <w:rPr>
          <w:iCs/>
          <w:lang w:val="en-AU"/>
        </w:rPr>
        <w:t xml:space="preserve"> below. </w:t>
      </w:r>
    </w:p>
    <w:p w:rsidR="008B5D49" w:rsidRDefault="008B5D49" w:rsidP="003B05DB">
      <w:pPr>
        <w:jc w:val="both"/>
      </w:pPr>
    </w:p>
    <w:p w:rsidR="008B5D49" w:rsidRPr="00393E99" w:rsidRDefault="008B5D49" w:rsidP="008B5D49">
      <w:pPr>
        <w:keepNext/>
        <w:jc w:val="both"/>
        <w:rPr>
          <w:b/>
          <w:i/>
          <w:lang w:val="en-AU"/>
        </w:rPr>
      </w:pPr>
      <w:r w:rsidRPr="00393E99">
        <w:rPr>
          <w:b/>
          <w:i/>
          <w:lang w:val="en-AU"/>
        </w:rPr>
        <w:t>Tabulated summary of adverse reactions:</w:t>
      </w:r>
    </w:p>
    <w:p w:rsidR="008B5D49" w:rsidRDefault="008B5D49" w:rsidP="008B5D49">
      <w:pPr>
        <w:jc w:val="both"/>
      </w:pPr>
      <w:r w:rsidRPr="00393E99">
        <w:rPr>
          <w:u w:color="0000FF"/>
          <w:lang w:val="en-AU"/>
        </w:rPr>
        <w:t>The data below reflects exposure to SAXENDA in four randomised, double-blind, placebo controlled, multicentre Phase 3 clinical trials, one of 32-weeks duration and three of 56-weeks duration, and one Phase 2 supportive trial in 469 adult patients.</w:t>
      </w:r>
    </w:p>
    <w:p w:rsidR="008B5D49" w:rsidRDefault="008B5D49" w:rsidP="003B05DB">
      <w:pPr>
        <w:jc w:val="both"/>
      </w:pPr>
    </w:p>
    <w:p w:rsidR="008B5D49" w:rsidRDefault="008B5D49" w:rsidP="003B05DB">
      <w:pPr>
        <w:jc w:val="both"/>
      </w:pPr>
      <w:r w:rsidRPr="00393E99">
        <w:rPr>
          <w:u w:color="0000FF"/>
          <w:lang w:val="en-AU"/>
        </w:rPr>
        <w:t xml:space="preserve">In clinical trials, 9.8% of patients treated with SAXENDA prematurely discontinued treatment due to adverse reactions, compared with 4.3% of placebo-treated patients. Adverse reactions reported in greater than or equal to 1% of SAXENDA treated patients and more frequently than in placebo patients are shown in Table </w:t>
      </w:r>
      <w:r w:rsidR="00F11A86">
        <w:rPr>
          <w:u w:color="0000FF"/>
          <w:lang w:val="en-AU"/>
        </w:rPr>
        <w:t>5</w:t>
      </w:r>
      <w:r w:rsidRPr="00393E99">
        <w:rPr>
          <w:u w:color="0000FF"/>
          <w:lang w:val="en-AU"/>
        </w:rPr>
        <w:t>.</w:t>
      </w:r>
    </w:p>
    <w:p w:rsidR="008B5D49" w:rsidRDefault="008B5D49" w:rsidP="003B05DB">
      <w:pPr>
        <w:jc w:val="both"/>
      </w:pPr>
    </w:p>
    <w:p w:rsidR="008B5D49" w:rsidRDefault="008B5D49" w:rsidP="003B05DB">
      <w:pPr>
        <w:jc w:val="both"/>
      </w:pPr>
      <w:r w:rsidRPr="00393E99">
        <w:rPr>
          <w:b/>
          <w:sz w:val="22"/>
          <w:szCs w:val="22"/>
          <w:lang w:val="en-AU"/>
        </w:rPr>
        <w:t xml:space="preserve">Table </w:t>
      </w:r>
      <w:r w:rsidR="00F11A86">
        <w:rPr>
          <w:b/>
          <w:sz w:val="22"/>
          <w:szCs w:val="22"/>
          <w:lang w:val="en-AU"/>
        </w:rPr>
        <w:t>5</w:t>
      </w:r>
      <w:r w:rsidRPr="00393E99">
        <w:rPr>
          <w:b/>
          <w:sz w:val="22"/>
          <w:szCs w:val="22"/>
          <w:lang w:val="en-AU"/>
        </w:rPr>
        <w:tab/>
      </w:r>
      <w:r w:rsidR="00F11A86">
        <w:rPr>
          <w:b/>
          <w:sz w:val="22"/>
          <w:szCs w:val="22"/>
          <w:lang w:val="en-AU"/>
        </w:rPr>
        <w:t xml:space="preserve"> </w:t>
      </w:r>
      <w:r w:rsidRPr="00393E99">
        <w:rPr>
          <w:b/>
          <w:sz w:val="22"/>
          <w:szCs w:val="22"/>
          <w:lang w:val="en-AU"/>
        </w:rPr>
        <w:t xml:space="preserve">Adverse reactions reported in ≥1% of patients on SAXENDA and more frequently than in placebo patients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530"/>
        <w:gridCol w:w="2970"/>
      </w:tblGrid>
      <w:tr w:rsidR="008B5D49" w:rsidRPr="00393E99" w:rsidTr="008B5D49">
        <w:tc>
          <w:tcPr>
            <w:tcW w:w="3888" w:type="dxa"/>
            <w:shd w:val="clear" w:color="auto" w:fill="auto"/>
          </w:tcPr>
          <w:p w:rsidR="008B5D49" w:rsidRPr="00393E99" w:rsidRDefault="008B5D49" w:rsidP="008B5D49">
            <w:pPr>
              <w:suppressAutoHyphens/>
              <w:rPr>
                <w:b/>
                <w:bCs/>
                <w:sz w:val="20"/>
                <w:szCs w:val="20"/>
                <w:lang w:val="en-AU"/>
              </w:rPr>
            </w:pPr>
          </w:p>
          <w:p w:rsidR="008B5D49" w:rsidRPr="00393E99" w:rsidRDefault="008B5D49" w:rsidP="008B5D49">
            <w:pPr>
              <w:suppressAutoHyphens/>
              <w:rPr>
                <w:b/>
                <w:bCs/>
                <w:sz w:val="20"/>
                <w:szCs w:val="20"/>
                <w:lang w:val="en-AU"/>
              </w:rPr>
            </w:pPr>
            <w:r w:rsidRPr="00393E99">
              <w:rPr>
                <w:b/>
                <w:bCs/>
                <w:sz w:val="20"/>
                <w:szCs w:val="20"/>
                <w:lang w:val="en-AU"/>
              </w:rPr>
              <w:t>System Organ Class</w:t>
            </w:r>
          </w:p>
          <w:p w:rsidR="008B5D49" w:rsidRPr="00393E99" w:rsidRDefault="008B5D49" w:rsidP="008B5D49">
            <w:pPr>
              <w:suppressAutoHyphens/>
              <w:rPr>
                <w:bCs/>
                <w:sz w:val="20"/>
                <w:szCs w:val="20"/>
                <w:lang w:val="en-AU"/>
              </w:rPr>
            </w:pPr>
            <w:r w:rsidRPr="00393E99">
              <w:rPr>
                <w:bCs/>
                <w:sz w:val="20"/>
                <w:szCs w:val="20"/>
                <w:lang w:val="en-AU"/>
              </w:rPr>
              <w:t xml:space="preserve">     Preferred Term</w:t>
            </w:r>
          </w:p>
        </w:tc>
        <w:tc>
          <w:tcPr>
            <w:tcW w:w="1530" w:type="dxa"/>
            <w:shd w:val="clear" w:color="auto" w:fill="auto"/>
          </w:tcPr>
          <w:p w:rsidR="008B5D49" w:rsidRPr="00393E99" w:rsidRDefault="008B5D49" w:rsidP="008B5D49">
            <w:pPr>
              <w:suppressAutoHyphens/>
              <w:jc w:val="center"/>
              <w:rPr>
                <w:b/>
                <w:bCs/>
                <w:sz w:val="20"/>
                <w:szCs w:val="20"/>
                <w:lang w:val="en-AU"/>
              </w:rPr>
            </w:pPr>
            <w:r w:rsidRPr="00393E99">
              <w:rPr>
                <w:b/>
                <w:bCs/>
                <w:sz w:val="20"/>
                <w:szCs w:val="20"/>
                <w:lang w:val="en-AU"/>
              </w:rPr>
              <w:t>SAXENDA</w:t>
            </w:r>
          </w:p>
          <w:p w:rsidR="008B5D49" w:rsidRPr="00393E99" w:rsidRDefault="008B5D49" w:rsidP="008B5D49">
            <w:pPr>
              <w:suppressAutoHyphens/>
              <w:jc w:val="center"/>
              <w:rPr>
                <w:b/>
                <w:bCs/>
                <w:sz w:val="20"/>
                <w:szCs w:val="20"/>
                <w:lang w:val="en-AU"/>
              </w:rPr>
            </w:pPr>
            <w:r w:rsidRPr="00393E99">
              <w:rPr>
                <w:b/>
                <w:bCs/>
                <w:sz w:val="20"/>
                <w:szCs w:val="20"/>
                <w:lang w:val="en-AU"/>
              </w:rPr>
              <w:t>N = 3384</w:t>
            </w:r>
          </w:p>
          <w:p w:rsidR="008B5D49" w:rsidRPr="00393E99" w:rsidRDefault="008B5D49" w:rsidP="008B5D49">
            <w:pPr>
              <w:suppressAutoHyphens/>
              <w:jc w:val="center"/>
              <w:rPr>
                <w:b/>
                <w:bCs/>
                <w:sz w:val="20"/>
                <w:szCs w:val="20"/>
                <w:lang w:val="en-AU"/>
              </w:rPr>
            </w:pPr>
            <w:r w:rsidRPr="00393E99">
              <w:rPr>
                <w:b/>
                <w:bCs/>
                <w:sz w:val="20"/>
                <w:szCs w:val="20"/>
                <w:lang w:val="en-AU"/>
              </w:rPr>
              <w:t>%</w:t>
            </w:r>
          </w:p>
        </w:tc>
        <w:tc>
          <w:tcPr>
            <w:tcW w:w="2970" w:type="dxa"/>
            <w:shd w:val="clear" w:color="auto" w:fill="auto"/>
          </w:tcPr>
          <w:p w:rsidR="008B5D49" w:rsidRPr="00393E99" w:rsidRDefault="008B5D49" w:rsidP="008B5D49">
            <w:pPr>
              <w:suppressAutoHyphens/>
              <w:jc w:val="center"/>
              <w:rPr>
                <w:b/>
                <w:bCs/>
                <w:sz w:val="20"/>
                <w:szCs w:val="20"/>
                <w:lang w:val="en-AU"/>
              </w:rPr>
            </w:pPr>
            <w:r w:rsidRPr="00393E99">
              <w:rPr>
                <w:b/>
                <w:bCs/>
                <w:sz w:val="20"/>
                <w:szCs w:val="20"/>
                <w:lang w:val="en-AU"/>
              </w:rPr>
              <w:t>Placebo</w:t>
            </w:r>
          </w:p>
          <w:p w:rsidR="008B5D49" w:rsidRPr="00393E99" w:rsidRDefault="008B5D49" w:rsidP="008B5D49">
            <w:pPr>
              <w:suppressAutoHyphens/>
              <w:jc w:val="center"/>
              <w:rPr>
                <w:b/>
                <w:bCs/>
                <w:sz w:val="20"/>
                <w:szCs w:val="20"/>
                <w:lang w:val="en-AU"/>
              </w:rPr>
            </w:pPr>
            <w:r w:rsidRPr="00393E99">
              <w:rPr>
                <w:b/>
                <w:bCs/>
                <w:sz w:val="20"/>
                <w:szCs w:val="20"/>
                <w:lang w:val="en-AU"/>
              </w:rPr>
              <w:t>N = 1941</w:t>
            </w:r>
          </w:p>
          <w:p w:rsidR="008B5D49" w:rsidRPr="00393E99" w:rsidRDefault="008B5D49" w:rsidP="008B5D49">
            <w:pPr>
              <w:suppressAutoHyphens/>
              <w:jc w:val="center"/>
              <w:rPr>
                <w:b/>
                <w:bCs/>
                <w:sz w:val="20"/>
                <w:szCs w:val="20"/>
                <w:lang w:val="en-AU"/>
              </w:rPr>
            </w:pPr>
            <w:r w:rsidRPr="00393E99">
              <w:rPr>
                <w:b/>
                <w:bCs/>
                <w:sz w:val="20"/>
                <w:szCs w:val="20"/>
                <w:lang w:val="en-AU"/>
              </w:rPr>
              <w:t>%</w:t>
            </w:r>
          </w:p>
        </w:tc>
      </w:tr>
      <w:tr w:rsidR="008B5D49" w:rsidRPr="00393E99" w:rsidTr="008B5D49">
        <w:tc>
          <w:tcPr>
            <w:tcW w:w="3888" w:type="dxa"/>
            <w:shd w:val="clear" w:color="auto" w:fill="auto"/>
          </w:tcPr>
          <w:p w:rsidR="008B5D49" w:rsidRPr="009E7DD2" w:rsidRDefault="008B5D49" w:rsidP="008B5D49">
            <w:pPr>
              <w:suppressAutoHyphens/>
              <w:rPr>
                <w:b/>
                <w:bCs/>
                <w:sz w:val="20"/>
                <w:szCs w:val="20"/>
                <w:lang w:val="en-AU"/>
              </w:rPr>
            </w:pPr>
            <w:r w:rsidRPr="009E7DD2">
              <w:rPr>
                <w:b/>
                <w:bCs/>
                <w:sz w:val="20"/>
                <w:szCs w:val="20"/>
                <w:lang w:val="en-AU"/>
              </w:rPr>
              <w:t>Gastrointestinal Disorders</w:t>
            </w:r>
          </w:p>
        </w:tc>
        <w:tc>
          <w:tcPr>
            <w:tcW w:w="1530" w:type="dxa"/>
            <w:shd w:val="clear" w:color="auto" w:fill="auto"/>
          </w:tcPr>
          <w:p w:rsidR="008B5D49" w:rsidRPr="00103875" w:rsidRDefault="008B5D49" w:rsidP="008B5D49">
            <w:pPr>
              <w:suppressAutoHyphens/>
              <w:jc w:val="center"/>
              <w:rPr>
                <w:bCs/>
                <w:sz w:val="20"/>
                <w:szCs w:val="20"/>
                <w:lang w:val="en-AU"/>
              </w:rPr>
            </w:pPr>
            <w:r w:rsidRPr="00103875">
              <w:rPr>
                <w:bCs/>
                <w:sz w:val="20"/>
                <w:szCs w:val="20"/>
                <w:lang w:val="en-AU"/>
              </w:rPr>
              <w:t xml:space="preserve"> </w:t>
            </w:r>
          </w:p>
        </w:tc>
        <w:tc>
          <w:tcPr>
            <w:tcW w:w="2970" w:type="dxa"/>
            <w:shd w:val="clear" w:color="auto" w:fill="auto"/>
          </w:tcPr>
          <w:p w:rsidR="008B5D49" w:rsidRPr="00103875" w:rsidRDefault="008B5D49" w:rsidP="008B5D49">
            <w:pPr>
              <w:suppressAutoHyphens/>
              <w:jc w:val="center"/>
              <w:rPr>
                <w:bCs/>
                <w:sz w:val="20"/>
                <w:szCs w:val="20"/>
                <w:lang w:val="en-AU"/>
              </w:rPr>
            </w:pPr>
            <w:r w:rsidRPr="00103875">
              <w:rPr>
                <w:bCs/>
                <w:sz w:val="20"/>
                <w:szCs w:val="20"/>
                <w:lang w:val="en-AU"/>
              </w:rPr>
              <w:t xml:space="preserve"> </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 xml:space="preserve">     </w:t>
            </w:r>
            <w:r w:rsidRPr="009E7DD2">
              <w:rPr>
                <w:bCs/>
                <w:sz w:val="20"/>
                <w:szCs w:val="20"/>
                <w:lang w:val="en-AU"/>
              </w:rPr>
              <w:t>Nausea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39.3</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13.8</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 xml:space="preserve">     </w:t>
            </w:r>
            <w:r w:rsidRPr="009E7DD2">
              <w:rPr>
                <w:bCs/>
                <w:sz w:val="20"/>
                <w:szCs w:val="20"/>
                <w:lang w:val="en-AU"/>
              </w:rPr>
              <w:t>Diarrhoea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20.9</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9.9</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 xml:space="preserve">     </w:t>
            </w:r>
            <w:r w:rsidRPr="009E7DD2">
              <w:rPr>
                <w:bCs/>
                <w:sz w:val="20"/>
                <w:szCs w:val="20"/>
                <w:lang w:val="en-AU"/>
              </w:rPr>
              <w:t>Constipation</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19.4</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8.5</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 xml:space="preserve">     </w:t>
            </w:r>
            <w:r w:rsidRPr="009E7DD2">
              <w:rPr>
                <w:bCs/>
                <w:sz w:val="20"/>
                <w:szCs w:val="20"/>
                <w:lang w:val="en-AU"/>
              </w:rPr>
              <w:t>Vomiting</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15.7</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3.9</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 xml:space="preserve">     </w:t>
            </w:r>
            <w:r w:rsidRPr="009E7DD2">
              <w:rPr>
                <w:bCs/>
                <w:sz w:val="20"/>
                <w:szCs w:val="20"/>
                <w:lang w:val="en-AU"/>
              </w:rPr>
              <w:t>Dyspepsia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9.6</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2.7</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Abdominal Pain Upper</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5.1</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2.7</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Abdominal distension</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4.5</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3.0</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Eructation</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4.5</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0.2</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Flatulence</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4.0</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2.5</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lastRenderedPageBreak/>
              <w:t xml:space="preserve">     Gastroesophageal Reflux Disease</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4.7</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1.7</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Dry Mouth</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2.3</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1.0</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Gastritis</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1.4</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1.1</w:t>
            </w: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
                <w:bCs/>
                <w:sz w:val="20"/>
                <w:szCs w:val="20"/>
                <w:lang w:val="en-AU"/>
              </w:rPr>
              <w:t>Metabolism and Nutrition Disorders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Cs/>
                <w:sz w:val="20"/>
                <w:szCs w:val="20"/>
                <w:lang w:val="en-AU"/>
              </w:rPr>
              <w:t xml:space="preserve">     Hypoglycaemia*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1.6</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1.1</w:t>
            </w:r>
          </w:p>
        </w:tc>
      </w:tr>
      <w:tr w:rsidR="008B5D49" w:rsidRPr="009E7DD2" w:rsidTr="008B5D49">
        <w:trPr>
          <w:trHeight w:val="512"/>
        </w:trPr>
        <w:tc>
          <w:tcPr>
            <w:tcW w:w="3888" w:type="dxa"/>
            <w:shd w:val="clear" w:color="auto" w:fill="auto"/>
          </w:tcPr>
          <w:p w:rsidR="008B5D49" w:rsidRPr="009E7DD2" w:rsidRDefault="008B5D49" w:rsidP="008B5D49">
            <w:pPr>
              <w:suppressAutoHyphens/>
              <w:rPr>
                <w:b/>
                <w:bCs/>
                <w:sz w:val="20"/>
                <w:szCs w:val="20"/>
                <w:lang w:val="en-AU"/>
              </w:rPr>
            </w:pPr>
            <w:r w:rsidRPr="009E7DD2">
              <w:rPr>
                <w:b/>
                <w:bCs/>
                <w:sz w:val="20"/>
                <w:szCs w:val="20"/>
                <w:lang w:val="en-AU"/>
              </w:rPr>
              <w:t>General Disorders and Administration Site Conditions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Injection site reactions</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9.0</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1.7</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Fatigue</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7.5</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4.6</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Asthenia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2.1</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0.8</w:t>
            </w: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
                <w:bCs/>
                <w:sz w:val="20"/>
                <w:szCs w:val="20"/>
                <w:lang w:val="en-AU"/>
              </w:rPr>
              <w:t>Nervous System Disorders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Dizziness</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6.9</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5.0</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Dysgeusia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1.6</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0.8</w:t>
            </w: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
                <w:bCs/>
                <w:sz w:val="20"/>
                <w:szCs w:val="20"/>
                <w:lang w:val="en-AU"/>
              </w:rPr>
              <w:t>Hepatobiliary Disorders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Cholelithiasis***</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1.5</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0.5</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
                <w:bCs/>
                <w:sz w:val="20"/>
                <w:szCs w:val="20"/>
                <w:lang w:val="en-AU"/>
              </w:rPr>
              <w:t>Psychiatric disorders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Cs/>
                <w:sz w:val="20"/>
                <w:szCs w:val="20"/>
                <w:lang w:val="en-AU"/>
              </w:rPr>
              <w:t xml:space="preserve">     Insomnia**</w:t>
            </w:r>
          </w:p>
        </w:tc>
        <w:tc>
          <w:tcPr>
            <w:tcW w:w="153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2.4</w:t>
            </w:r>
          </w:p>
        </w:tc>
        <w:tc>
          <w:tcPr>
            <w:tcW w:w="2970" w:type="dxa"/>
            <w:shd w:val="clear" w:color="auto" w:fill="auto"/>
          </w:tcPr>
          <w:p w:rsidR="008B5D49" w:rsidRPr="009E7DD2" w:rsidRDefault="008B5D49" w:rsidP="008B5D49">
            <w:pPr>
              <w:suppressAutoHyphens/>
              <w:jc w:val="center"/>
              <w:rPr>
                <w:bCs/>
                <w:sz w:val="20"/>
                <w:szCs w:val="20"/>
                <w:lang w:val="en-AU"/>
              </w:rPr>
            </w:pPr>
            <w:r w:rsidRPr="009E7DD2">
              <w:rPr>
                <w:bCs/>
                <w:sz w:val="20"/>
                <w:szCs w:val="20"/>
                <w:lang w:val="en-AU"/>
              </w:rPr>
              <w:t>1.7</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Pr>
                <w:b/>
                <w:bCs/>
                <w:sz w:val="20"/>
                <w:szCs w:val="20"/>
                <w:lang w:val="en-AU"/>
              </w:rPr>
              <w:t>Investigations</w:t>
            </w:r>
          </w:p>
        </w:tc>
        <w:tc>
          <w:tcPr>
            <w:tcW w:w="1530" w:type="dxa"/>
            <w:shd w:val="clear" w:color="auto" w:fill="auto"/>
          </w:tcPr>
          <w:p w:rsidR="008B5D49" w:rsidRPr="009E7DD2" w:rsidRDefault="008B5D49" w:rsidP="008B5D49">
            <w:pPr>
              <w:suppressAutoHyphens/>
              <w:jc w:val="center"/>
              <w:rPr>
                <w:bCs/>
                <w:sz w:val="20"/>
                <w:szCs w:val="20"/>
                <w:lang w:val="en-AU"/>
              </w:rPr>
            </w:pPr>
          </w:p>
        </w:tc>
        <w:tc>
          <w:tcPr>
            <w:tcW w:w="2970" w:type="dxa"/>
            <w:shd w:val="clear" w:color="auto" w:fill="auto"/>
          </w:tcPr>
          <w:p w:rsidR="008B5D49" w:rsidRPr="009E7DD2" w:rsidRDefault="008B5D49" w:rsidP="008B5D49">
            <w:pPr>
              <w:suppressAutoHyphens/>
              <w:jc w:val="center"/>
              <w:rPr>
                <w:bCs/>
                <w:sz w:val="20"/>
                <w:szCs w:val="20"/>
                <w:lang w:val="en-AU"/>
              </w:rPr>
            </w:pPr>
          </w:p>
        </w:tc>
      </w:tr>
      <w:tr w:rsidR="008B5D49" w:rsidRPr="009E7DD2" w:rsidTr="008B5D49">
        <w:tc>
          <w:tcPr>
            <w:tcW w:w="3888" w:type="dxa"/>
            <w:shd w:val="clear" w:color="auto" w:fill="auto"/>
          </w:tcPr>
          <w:p w:rsidR="008B5D49" w:rsidRPr="009E7DD2" w:rsidRDefault="008B5D49" w:rsidP="008B5D49">
            <w:pPr>
              <w:suppressAutoHyphens/>
              <w:rPr>
                <w:b/>
                <w:bCs/>
                <w:sz w:val="20"/>
                <w:szCs w:val="20"/>
                <w:lang w:val="en-AU"/>
              </w:rPr>
            </w:pPr>
            <w:r w:rsidRPr="009E7DD2">
              <w:rPr>
                <w:bCs/>
                <w:sz w:val="20"/>
                <w:szCs w:val="20"/>
                <w:lang w:val="en-AU"/>
              </w:rPr>
              <w:t xml:space="preserve">     </w:t>
            </w:r>
            <w:r>
              <w:rPr>
                <w:bCs/>
                <w:sz w:val="20"/>
                <w:szCs w:val="20"/>
                <w:lang w:val="en-AU"/>
              </w:rPr>
              <w:t>Increased lipase</w:t>
            </w:r>
          </w:p>
        </w:tc>
        <w:tc>
          <w:tcPr>
            <w:tcW w:w="1530" w:type="dxa"/>
            <w:shd w:val="clear" w:color="auto" w:fill="auto"/>
          </w:tcPr>
          <w:p w:rsidR="008B5D49" w:rsidRPr="009E7DD2" w:rsidRDefault="008B5D49" w:rsidP="008B5D49">
            <w:pPr>
              <w:suppressAutoHyphens/>
              <w:jc w:val="center"/>
              <w:rPr>
                <w:bCs/>
                <w:sz w:val="20"/>
                <w:szCs w:val="20"/>
                <w:lang w:val="en-AU"/>
              </w:rPr>
            </w:pPr>
            <w:r>
              <w:rPr>
                <w:bCs/>
                <w:sz w:val="20"/>
                <w:szCs w:val="20"/>
                <w:lang w:val="en-AU"/>
              </w:rPr>
              <w:t>5.3</w:t>
            </w:r>
          </w:p>
        </w:tc>
        <w:tc>
          <w:tcPr>
            <w:tcW w:w="2970" w:type="dxa"/>
            <w:shd w:val="clear" w:color="auto" w:fill="auto"/>
          </w:tcPr>
          <w:p w:rsidR="008B5D49" w:rsidRPr="009E7DD2" w:rsidRDefault="008B5D49" w:rsidP="008B5D49">
            <w:pPr>
              <w:suppressAutoHyphens/>
              <w:jc w:val="center"/>
              <w:rPr>
                <w:bCs/>
                <w:sz w:val="20"/>
                <w:szCs w:val="20"/>
                <w:lang w:val="en-AU"/>
              </w:rPr>
            </w:pPr>
            <w:r>
              <w:rPr>
                <w:bCs/>
                <w:sz w:val="20"/>
                <w:szCs w:val="20"/>
                <w:lang w:val="en-AU"/>
              </w:rPr>
              <w:t>2.2</w:t>
            </w:r>
          </w:p>
        </w:tc>
      </w:tr>
      <w:tr w:rsidR="008B5D49" w:rsidRPr="009E7DD2" w:rsidTr="008B5D49">
        <w:tc>
          <w:tcPr>
            <w:tcW w:w="3888" w:type="dxa"/>
            <w:shd w:val="clear" w:color="auto" w:fill="auto"/>
          </w:tcPr>
          <w:p w:rsidR="008B5D49" w:rsidRPr="009E7DD2" w:rsidRDefault="008B5D49" w:rsidP="008B5D49">
            <w:pPr>
              <w:suppressAutoHyphens/>
              <w:rPr>
                <w:bCs/>
                <w:sz w:val="20"/>
                <w:szCs w:val="20"/>
                <w:lang w:val="en-AU"/>
              </w:rPr>
            </w:pPr>
            <w:r w:rsidRPr="009E7DD2">
              <w:rPr>
                <w:bCs/>
                <w:sz w:val="20"/>
                <w:szCs w:val="20"/>
                <w:lang w:val="en-AU"/>
              </w:rPr>
              <w:t xml:space="preserve">     </w:t>
            </w:r>
            <w:r>
              <w:rPr>
                <w:bCs/>
                <w:sz w:val="20"/>
                <w:szCs w:val="20"/>
                <w:lang w:val="en-AU"/>
              </w:rPr>
              <w:t>Increased amylase</w:t>
            </w:r>
          </w:p>
        </w:tc>
        <w:tc>
          <w:tcPr>
            <w:tcW w:w="1530" w:type="dxa"/>
            <w:shd w:val="clear" w:color="auto" w:fill="auto"/>
          </w:tcPr>
          <w:p w:rsidR="008B5D49" w:rsidRPr="009E7DD2" w:rsidRDefault="008B5D49" w:rsidP="008B5D49">
            <w:pPr>
              <w:suppressAutoHyphens/>
              <w:jc w:val="center"/>
              <w:rPr>
                <w:bCs/>
                <w:sz w:val="20"/>
                <w:szCs w:val="20"/>
                <w:lang w:val="en-AU"/>
              </w:rPr>
            </w:pPr>
            <w:r>
              <w:rPr>
                <w:bCs/>
                <w:sz w:val="20"/>
                <w:szCs w:val="20"/>
                <w:lang w:val="en-AU"/>
              </w:rPr>
              <w:t>1.4</w:t>
            </w:r>
          </w:p>
        </w:tc>
        <w:tc>
          <w:tcPr>
            <w:tcW w:w="2970" w:type="dxa"/>
            <w:shd w:val="clear" w:color="auto" w:fill="auto"/>
          </w:tcPr>
          <w:p w:rsidR="008B5D49" w:rsidRPr="009E7DD2" w:rsidRDefault="008B5D49" w:rsidP="008B5D49">
            <w:pPr>
              <w:suppressAutoHyphens/>
              <w:jc w:val="center"/>
              <w:rPr>
                <w:bCs/>
                <w:sz w:val="20"/>
                <w:szCs w:val="20"/>
                <w:lang w:val="en-AU"/>
              </w:rPr>
            </w:pPr>
            <w:r>
              <w:rPr>
                <w:bCs/>
                <w:sz w:val="20"/>
                <w:szCs w:val="20"/>
                <w:lang w:val="en-AU"/>
              </w:rPr>
              <w:t>0.7</w:t>
            </w:r>
          </w:p>
        </w:tc>
      </w:tr>
    </w:tbl>
    <w:p w:rsidR="008B5D49" w:rsidRPr="009E7DD2" w:rsidRDefault="008B5D49" w:rsidP="008B5D49">
      <w:pPr>
        <w:widowControl w:val="0"/>
        <w:rPr>
          <w:sz w:val="16"/>
          <w:szCs w:val="16"/>
          <w:lang w:val="en-AU" w:eastAsia="en-CA"/>
        </w:rPr>
      </w:pPr>
      <w:r w:rsidRPr="009E7DD2">
        <w:rPr>
          <w:sz w:val="16"/>
          <w:szCs w:val="16"/>
          <w:lang w:val="en-AU" w:eastAsia="en-CA"/>
        </w:rPr>
        <w:t>*Hypoglycaemia (based on self-reported symptoms by patients and not confirmed by blood glucose measurements) reported in patients without type 2 diabetes treated with SAXENDA in combination with diet and exercise.  Please see below for further information regarding hypoglycaemia.</w:t>
      </w:r>
    </w:p>
    <w:p w:rsidR="008B5D49" w:rsidRDefault="008B5D49" w:rsidP="008B5D49">
      <w:pPr>
        <w:widowControl w:val="0"/>
        <w:rPr>
          <w:sz w:val="16"/>
          <w:szCs w:val="16"/>
          <w:lang w:val="en-AU" w:eastAsia="en-CA"/>
        </w:rPr>
      </w:pPr>
      <w:r w:rsidRPr="009E7DD2">
        <w:rPr>
          <w:sz w:val="16"/>
          <w:szCs w:val="16"/>
          <w:lang w:val="en-AU" w:eastAsia="en-CA"/>
        </w:rPr>
        <w:t xml:space="preserve">** Insomnia was mainly seen during the first 3 months of treatment; </w:t>
      </w:r>
    </w:p>
    <w:p w:rsidR="008B5D49" w:rsidRDefault="008B5D49" w:rsidP="008B5D49">
      <w:pPr>
        <w:jc w:val="both"/>
      </w:pPr>
      <w:r w:rsidRPr="009E7DD2">
        <w:rPr>
          <w:sz w:val="16"/>
          <w:szCs w:val="16"/>
          <w:lang w:val="en-AU" w:eastAsia="en-CA"/>
        </w:rPr>
        <w:t xml:space="preserve">*** </w:t>
      </w:r>
      <w:r>
        <w:rPr>
          <w:sz w:val="16"/>
          <w:szCs w:val="16"/>
          <w:lang w:val="en-AU" w:eastAsia="en-CA"/>
        </w:rPr>
        <w:t>See</w:t>
      </w:r>
      <w:r w:rsidRPr="009E7DD2">
        <w:rPr>
          <w:sz w:val="16"/>
          <w:szCs w:val="16"/>
          <w:lang w:val="en-AU" w:eastAsia="en-CA"/>
        </w:rPr>
        <w:t xml:space="preserve"> PRECAUTIONS</w:t>
      </w:r>
    </w:p>
    <w:p w:rsidR="008954BE" w:rsidRDefault="008954BE" w:rsidP="003B05DB">
      <w:pPr>
        <w:jc w:val="both"/>
      </w:pPr>
    </w:p>
    <w:p w:rsidR="00600B20" w:rsidRPr="009E7DD2" w:rsidRDefault="00600B20" w:rsidP="00600B20">
      <w:pPr>
        <w:widowControl w:val="0"/>
        <w:rPr>
          <w:b/>
          <w:i/>
          <w:lang w:val="en-AU"/>
        </w:rPr>
      </w:pPr>
      <w:r w:rsidRPr="009E7DD2">
        <w:rPr>
          <w:b/>
          <w:i/>
          <w:lang w:val="en-AU"/>
        </w:rPr>
        <w:t>Less common AE’s in Clinical Trials (&lt;1%)</w:t>
      </w:r>
    </w:p>
    <w:p w:rsidR="00600B20" w:rsidRDefault="00600B20" w:rsidP="00600B20">
      <w:pPr>
        <w:jc w:val="both"/>
      </w:pPr>
      <w:r w:rsidRPr="009E7DD2">
        <w:rPr>
          <w:lang w:val="en-AU"/>
        </w:rPr>
        <w:t>Adverse reactions are listed by system organ class using the frequency categories uncommon (≥1/1,000 to &lt;1/100) and rare (≥1/10,000 to &lt; 1/1,000).</w:t>
      </w:r>
    </w:p>
    <w:p w:rsidR="00600B20" w:rsidRDefault="00600B20" w:rsidP="003B05DB">
      <w:pPr>
        <w:jc w:val="both"/>
      </w:pPr>
    </w:p>
    <w:p w:rsidR="00600B20" w:rsidRPr="009E7DD2" w:rsidRDefault="00600B20" w:rsidP="00600B20">
      <w:pPr>
        <w:rPr>
          <w:lang w:val="en-AU"/>
        </w:rPr>
      </w:pPr>
      <w:r w:rsidRPr="009E7DD2">
        <w:rPr>
          <w:i/>
          <w:lang w:val="en-AU"/>
        </w:rPr>
        <w:t>Gastrointestinal disorders</w:t>
      </w:r>
      <w:r w:rsidRPr="009E7DD2">
        <w:rPr>
          <w:lang w:val="en-AU"/>
        </w:rPr>
        <w:t>: Uncommon – pancreatitis</w:t>
      </w:r>
    </w:p>
    <w:p w:rsidR="00600B20" w:rsidRPr="009E7DD2" w:rsidRDefault="00600B20" w:rsidP="00600B20">
      <w:pPr>
        <w:rPr>
          <w:lang w:val="en-AU"/>
        </w:rPr>
      </w:pPr>
      <w:r w:rsidRPr="009E7DD2">
        <w:rPr>
          <w:i/>
          <w:lang w:val="en-AU"/>
        </w:rPr>
        <w:t>Metabolism and nutrition disorders</w:t>
      </w:r>
      <w:r w:rsidRPr="009E7DD2">
        <w:rPr>
          <w:lang w:val="en-AU"/>
        </w:rPr>
        <w:t>: Uncommon – dehydration</w:t>
      </w:r>
    </w:p>
    <w:p w:rsidR="00600B20" w:rsidRPr="009E7DD2" w:rsidRDefault="00600B20" w:rsidP="00600B20">
      <w:pPr>
        <w:rPr>
          <w:lang w:val="en-AU"/>
        </w:rPr>
      </w:pPr>
      <w:r w:rsidRPr="009E7DD2">
        <w:rPr>
          <w:i/>
          <w:lang w:val="en-AU"/>
        </w:rPr>
        <w:t>General disorders and administration site conditions</w:t>
      </w:r>
      <w:r w:rsidRPr="009E7DD2">
        <w:rPr>
          <w:lang w:val="en-AU"/>
        </w:rPr>
        <w:t>: Uncommon – malaise</w:t>
      </w:r>
    </w:p>
    <w:p w:rsidR="00600B20" w:rsidRPr="009E7DD2" w:rsidRDefault="00600B20" w:rsidP="00600B20">
      <w:pPr>
        <w:rPr>
          <w:lang w:val="en-AU"/>
        </w:rPr>
      </w:pPr>
      <w:r w:rsidRPr="009E7DD2">
        <w:rPr>
          <w:i/>
          <w:lang w:val="en-AU"/>
        </w:rPr>
        <w:t>Hepatobiliary disorders</w:t>
      </w:r>
      <w:r w:rsidRPr="009E7DD2">
        <w:rPr>
          <w:lang w:val="en-AU"/>
        </w:rPr>
        <w:t xml:space="preserve">: Uncommon – cholecystitis </w:t>
      </w:r>
    </w:p>
    <w:p w:rsidR="00600B20" w:rsidRPr="009E7DD2" w:rsidRDefault="00600B20" w:rsidP="00600B20">
      <w:pPr>
        <w:rPr>
          <w:lang w:val="en-AU"/>
        </w:rPr>
      </w:pPr>
      <w:r w:rsidRPr="009E7DD2">
        <w:rPr>
          <w:i/>
          <w:lang w:val="en-AU"/>
        </w:rPr>
        <w:t>Immune system disorders</w:t>
      </w:r>
      <w:r w:rsidRPr="009E7DD2">
        <w:rPr>
          <w:lang w:val="en-AU"/>
        </w:rPr>
        <w:t>: Rare – anaphylactic reaction</w:t>
      </w:r>
    </w:p>
    <w:p w:rsidR="00600B20" w:rsidRPr="009E7DD2" w:rsidRDefault="00600B20" w:rsidP="00600B20">
      <w:pPr>
        <w:rPr>
          <w:lang w:val="en-AU"/>
        </w:rPr>
      </w:pPr>
      <w:r w:rsidRPr="009E7DD2">
        <w:rPr>
          <w:i/>
          <w:lang w:val="en-AU"/>
        </w:rPr>
        <w:t>Cardiac disorders</w:t>
      </w:r>
      <w:r w:rsidRPr="009E7DD2">
        <w:rPr>
          <w:lang w:val="en-AU"/>
        </w:rPr>
        <w:t>: Uncommon – tachycardia</w:t>
      </w:r>
    </w:p>
    <w:p w:rsidR="00600B20" w:rsidRPr="009E7DD2" w:rsidRDefault="00600B20" w:rsidP="00600B20">
      <w:pPr>
        <w:rPr>
          <w:lang w:val="en-AU"/>
        </w:rPr>
      </w:pPr>
      <w:r w:rsidRPr="009E7DD2">
        <w:rPr>
          <w:i/>
          <w:lang w:val="en-AU"/>
        </w:rPr>
        <w:t>Skin and subcutaneous tissue disorders</w:t>
      </w:r>
      <w:r w:rsidRPr="009E7DD2">
        <w:rPr>
          <w:lang w:val="en-AU"/>
        </w:rPr>
        <w:t>: Uncommon – urticaria</w:t>
      </w:r>
    </w:p>
    <w:p w:rsidR="00600B20" w:rsidRDefault="00600B20" w:rsidP="00600B20">
      <w:pPr>
        <w:jc w:val="both"/>
      </w:pPr>
      <w:r w:rsidRPr="009E7DD2">
        <w:rPr>
          <w:i/>
          <w:lang w:val="en-AU"/>
        </w:rPr>
        <w:t>Renal and urinary disorders</w:t>
      </w:r>
      <w:r w:rsidRPr="009E7DD2">
        <w:rPr>
          <w:lang w:val="en-AU"/>
        </w:rPr>
        <w:t>: Rare – acute renal failure, renal impairment</w:t>
      </w:r>
    </w:p>
    <w:p w:rsidR="00600B20" w:rsidRDefault="00600B20" w:rsidP="003B05DB">
      <w:pPr>
        <w:jc w:val="both"/>
      </w:pPr>
    </w:p>
    <w:p w:rsidR="00600B20" w:rsidRDefault="00600B20" w:rsidP="003B05DB">
      <w:pPr>
        <w:jc w:val="both"/>
      </w:pPr>
      <w:r>
        <w:rPr>
          <w:u w:color="0000FF"/>
          <w:lang w:val="en-AU"/>
        </w:rPr>
        <w:t xml:space="preserve">Long term safety data for SAXENDA are limited. Adverse reactions that are uncommon (frequency &lt;1/100) and/or are associated with prolonged use (&gt;12 months) might not have been identified in the clinical development program.  </w:t>
      </w:r>
    </w:p>
    <w:p w:rsidR="00600B20" w:rsidRDefault="00600B20" w:rsidP="003B05DB">
      <w:pPr>
        <w:jc w:val="both"/>
      </w:pPr>
    </w:p>
    <w:p w:rsidR="00600B20" w:rsidRPr="009E7DD2" w:rsidRDefault="00600B20" w:rsidP="00F11A86">
      <w:pPr>
        <w:widowControl w:val="0"/>
        <w:rPr>
          <w:i/>
        </w:rPr>
      </w:pPr>
      <w:r w:rsidRPr="009E7DD2">
        <w:rPr>
          <w:b/>
          <w:i/>
          <w:lang w:val="en-AU"/>
        </w:rPr>
        <w:t>Description of selected adverse reactions:</w:t>
      </w:r>
      <w:r w:rsidRPr="009E7DD2">
        <w:rPr>
          <w:i/>
          <w:lang w:val="en-AU"/>
        </w:rPr>
        <w:br/>
      </w:r>
      <w:r w:rsidRPr="009E7DD2">
        <w:rPr>
          <w:i/>
        </w:rPr>
        <w:t>Cardiovascular events</w:t>
      </w:r>
    </w:p>
    <w:p w:rsidR="00600B20" w:rsidRPr="009E7DD2" w:rsidRDefault="00600B20" w:rsidP="00600B20">
      <w:pPr>
        <w:pStyle w:val="NoSpacing"/>
        <w:jc w:val="both"/>
        <w:rPr>
          <w:sz w:val="24"/>
          <w:szCs w:val="24"/>
          <w:u w:val="single"/>
        </w:rPr>
      </w:pPr>
      <w:r w:rsidRPr="009E7DD2">
        <w:rPr>
          <w:sz w:val="24"/>
          <w:szCs w:val="24"/>
          <w:u w:val="single"/>
        </w:rPr>
        <w:t>Heart rate increase</w:t>
      </w:r>
    </w:p>
    <w:p w:rsidR="00600B20" w:rsidRDefault="00600B20" w:rsidP="00600B20">
      <w:pPr>
        <w:jc w:val="both"/>
      </w:pPr>
      <w:r w:rsidRPr="009E7DD2">
        <w:t>Mean increases in resting heart rate of 2 to 3 beats per minute (bpm) were observed with routine clinical monitoring in S</w:t>
      </w:r>
      <w:r>
        <w:t>AXENDA</w:t>
      </w:r>
      <w:r w:rsidRPr="009E7DD2">
        <w:t>-treated patients compared to placebo in clinical trials. More patients treated with S</w:t>
      </w:r>
      <w:r>
        <w:t>AXENDA</w:t>
      </w:r>
      <w:r w:rsidRPr="009E7DD2">
        <w:t>, compared with placebo, had changes from baseline at two consecutive visits of more than 10 bpm (34% versus 19%); and 20 bmp (5% versus 2%). At least one resting heart rate exceeding 100 bpm was recorded for 6% of S</w:t>
      </w:r>
      <w:r>
        <w:t>AXENDA</w:t>
      </w:r>
      <w:r w:rsidRPr="009E7DD2">
        <w:t>-treated patients compared with 4% of placebo-treated patients, with this occurring at two consecutive study visits for 0.9% and 0.3%, respectively.</w:t>
      </w:r>
      <w:r w:rsidRPr="00FA2C72">
        <w:t xml:space="preserve"> Tachycardia was reported as an adverse reaction in 0.6% of </w:t>
      </w:r>
      <w:r>
        <w:t>SAXENDA</w:t>
      </w:r>
      <w:r w:rsidRPr="00FA2C72">
        <w:t>-treated patients and in 0.1% of placebo-treated patients [see BOXED WARNING, PRECAUTIONS].</w:t>
      </w:r>
    </w:p>
    <w:p w:rsidR="00600B20" w:rsidRDefault="00600B20" w:rsidP="003B05DB">
      <w:pPr>
        <w:jc w:val="both"/>
      </w:pPr>
    </w:p>
    <w:p w:rsidR="00600B20" w:rsidRDefault="00600B20" w:rsidP="003B05DB">
      <w:pPr>
        <w:jc w:val="both"/>
      </w:pPr>
      <w:r w:rsidRPr="009E7DD2">
        <w:t>In a clinical pharmacology trial that monitored heart rate continuously for 24 hours, S</w:t>
      </w:r>
      <w:r>
        <w:t>AXENDA</w:t>
      </w:r>
      <w:r w:rsidRPr="009E7DD2">
        <w:t xml:space="preserve"> treatment was associated with a heart rate that was 4 to 9 bpm higher than that observed with placebo.</w:t>
      </w:r>
    </w:p>
    <w:p w:rsidR="00600B20" w:rsidRDefault="00600B20" w:rsidP="003B05DB">
      <w:pPr>
        <w:jc w:val="both"/>
      </w:pPr>
    </w:p>
    <w:p w:rsidR="00600B20" w:rsidRPr="009E7DD2" w:rsidRDefault="00600B20" w:rsidP="00600B20">
      <w:pPr>
        <w:pStyle w:val="NoSpacing"/>
        <w:jc w:val="both"/>
        <w:rPr>
          <w:sz w:val="24"/>
          <w:szCs w:val="24"/>
          <w:u w:val="single"/>
        </w:rPr>
      </w:pPr>
      <w:r w:rsidRPr="009E7DD2">
        <w:rPr>
          <w:sz w:val="24"/>
          <w:szCs w:val="24"/>
          <w:u w:val="single"/>
        </w:rPr>
        <w:t>Major adverse cardiovascular events</w:t>
      </w:r>
    </w:p>
    <w:p w:rsidR="00600B20" w:rsidRDefault="00600B20" w:rsidP="00600B20">
      <w:pPr>
        <w:jc w:val="both"/>
      </w:pPr>
      <w:r w:rsidRPr="009E7DD2">
        <w:t xml:space="preserve">Major adverse </w:t>
      </w:r>
      <w:r>
        <w:t>cardiovascular</w:t>
      </w:r>
      <w:r w:rsidRPr="009E7DD2">
        <w:t xml:space="preserve"> events (MACE) were adjudicated by an external independent group of experts and defined as non-fatal myocardial infarction, non-fatal stroke, and cardiovascular death. In the long-term clinical trials there were 6 (0.1%) confirmed MACE for S</w:t>
      </w:r>
      <w:r>
        <w:t>AXENDA</w:t>
      </w:r>
      <w:r w:rsidRPr="009E7DD2">
        <w:t>-treated patients and 10 (0.5%) for placebo-treated patients. Favourable trends for cardiovascular disease in pre-market trials (that are not powered for this endpoint and who enrolled low-risk patients) do not necessarily provide reassurance of cardiovascular safety [see BOXED WARNING, PRECAUTIONS].</w:t>
      </w:r>
      <w:r w:rsidRPr="00FA2C72">
        <w:t xml:space="preserve"> </w:t>
      </w:r>
    </w:p>
    <w:p w:rsidR="00600B20" w:rsidRDefault="00600B20" w:rsidP="003B05DB">
      <w:pPr>
        <w:jc w:val="both"/>
      </w:pPr>
    </w:p>
    <w:p w:rsidR="00600B20" w:rsidRPr="00FA2C72" w:rsidRDefault="00600B20" w:rsidP="00600B20">
      <w:pPr>
        <w:pStyle w:val="NoSpacing"/>
        <w:jc w:val="both"/>
        <w:rPr>
          <w:sz w:val="24"/>
          <w:szCs w:val="24"/>
          <w:u w:val="single"/>
        </w:rPr>
      </w:pPr>
      <w:r w:rsidRPr="00FA2C72">
        <w:rPr>
          <w:sz w:val="24"/>
          <w:szCs w:val="24"/>
          <w:u w:val="single"/>
        </w:rPr>
        <w:t>Cardiac conduction disorders and PR interval prolongation</w:t>
      </w:r>
    </w:p>
    <w:p w:rsidR="00600B20" w:rsidRDefault="00600B20" w:rsidP="00600B20">
      <w:pPr>
        <w:jc w:val="both"/>
      </w:pPr>
      <w:r w:rsidRPr="00FA2C72">
        <w:t>A prolongation of the mean PR interval of up to 10 ms was reported with S</w:t>
      </w:r>
      <w:r>
        <w:t>AXENDA</w:t>
      </w:r>
      <w:r w:rsidRPr="00FA2C72">
        <w:t xml:space="preserve"> treatment in a clinical trial in healthy volunteers, using lower doses than recommended for weight management. </w:t>
      </w:r>
    </w:p>
    <w:p w:rsidR="00600B20" w:rsidRDefault="00600B20" w:rsidP="003B05DB">
      <w:pPr>
        <w:jc w:val="both"/>
      </w:pPr>
    </w:p>
    <w:p w:rsidR="00600B20" w:rsidRDefault="00600B20" w:rsidP="003B05DB">
      <w:pPr>
        <w:jc w:val="both"/>
      </w:pPr>
      <w:r w:rsidRPr="00FA2C72">
        <w:t>In S</w:t>
      </w:r>
      <w:r>
        <w:t>AXENDA</w:t>
      </w:r>
      <w:r w:rsidRPr="00FA2C72">
        <w:t xml:space="preserve"> clinical trials, the incidence of cardiac conduction disorders (e.g., first degree atrioventricular [AV] block) was higher with S</w:t>
      </w:r>
      <w:r>
        <w:t>AXENDA</w:t>
      </w:r>
      <w:r w:rsidRPr="00FA2C72">
        <w:t xml:space="preserve"> than placebo; </w:t>
      </w:r>
      <w:r w:rsidRPr="009E7DD2">
        <w:t>11 (0.3%) of 3384 S</w:t>
      </w:r>
      <w:r>
        <w:t>AXENDA</w:t>
      </w:r>
      <w:r w:rsidRPr="009E7DD2">
        <w:t>-treated patients compared with none of the 1941 placebo-treated patients had a cardiac conduction disorder</w:t>
      </w:r>
      <w:r w:rsidRPr="00FA2C72">
        <w:t xml:space="preserve"> [see PRECAUTIONS, Cardiac conduction disorders].</w:t>
      </w:r>
    </w:p>
    <w:p w:rsidR="00600B20" w:rsidRDefault="00600B20" w:rsidP="003B05DB">
      <w:pPr>
        <w:jc w:val="both"/>
      </w:pPr>
    </w:p>
    <w:p w:rsidR="00600B20" w:rsidRPr="009E7DD2" w:rsidRDefault="00600B20" w:rsidP="00600B20">
      <w:pPr>
        <w:widowControl w:val="0"/>
        <w:rPr>
          <w:i/>
          <w:lang w:val="en-AU"/>
        </w:rPr>
      </w:pPr>
      <w:r w:rsidRPr="009E7DD2">
        <w:rPr>
          <w:i/>
          <w:lang w:val="en-AU"/>
        </w:rPr>
        <w:t xml:space="preserve">Hypoglycaemia in patients without type 2 diabetes </w:t>
      </w:r>
    </w:p>
    <w:p w:rsidR="00600B20" w:rsidRDefault="00600B20" w:rsidP="00600B20">
      <w:pPr>
        <w:jc w:val="both"/>
      </w:pPr>
      <w:r w:rsidRPr="009E7DD2">
        <w:rPr>
          <w:lang w:val="en-AU"/>
        </w:rPr>
        <w:t>In clinical trials in overweight or obese patients without type 2 diabetes treated with SAXENDA in combination with diet and exercise no severe hypoglycaemic events (requiring third party assistance) were reported. Symptoms of hypoglycaemic events were reported by 1.6 % of patients treated with SAXENDA and 1.1% of patients treated with placebo; however, these events were not confirmed by blood glucose measurements. The majority of events were mild.</w:t>
      </w:r>
    </w:p>
    <w:p w:rsidR="00600B20" w:rsidRDefault="00600B20" w:rsidP="003B05DB">
      <w:pPr>
        <w:jc w:val="both"/>
      </w:pPr>
    </w:p>
    <w:p w:rsidR="00600B20" w:rsidRPr="009E7DD2" w:rsidRDefault="00600B20" w:rsidP="00600B20">
      <w:pPr>
        <w:keepNext/>
        <w:jc w:val="both"/>
        <w:rPr>
          <w:i/>
          <w:lang w:val="en-AU"/>
        </w:rPr>
      </w:pPr>
      <w:r w:rsidRPr="009E7DD2">
        <w:rPr>
          <w:i/>
          <w:lang w:val="en-AU"/>
        </w:rPr>
        <w:t xml:space="preserve">Hypoglycaemia in patients with type 2 diabetes </w:t>
      </w:r>
    </w:p>
    <w:p w:rsidR="00600B20" w:rsidRDefault="00600B20" w:rsidP="00600B20">
      <w:pPr>
        <w:jc w:val="both"/>
      </w:pPr>
      <w:r w:rsidRPr="009E7DD2">
        <w:rPr>
          <w:lang w:val="en-AU"/>
        </w:rPr>
        <w:t>In a clinical trial in overweight or obese patients with type 2 diabetes treated with SAXENDA in combination with diet and exercise, hypoglycaemic events were accompanied by blood glucose measurements and classified accordingly. Severe hypoglycaemia (requiring third party assistance) was reported by 0.7% of patients treated with SAXENDA and only in patients concomitantly treated with sulfonylurea. Also, in these patients documented symptomatic hypoglycaemia (defined as plasma glucose ≤3.9 mmol/L accompanied by symptoms) was reported by 43.6% of patients treated with SAXENDA and in 27.3% of patients treated with placebo. Among patients not concomitantly treated with sulfonylurea, 15.7% of patients treated with SAXENDA and 7.6% of patients treated with placebo reported documented symptomatic hypoglycaemic events</w:t>
      </w:r>
      <w:r>
        <w:rPr>
          <w:lang w:val="en-AU"/>
        </w:rPr>
        <w:t>.</w:t>
      </w:r>
      <w:r w:rsidRPr="009E7DD2">
        <w:rPr>
          <w:lang w:val="en-AU"/>
        </w:rPr>
        <w:t xml:space="preserve"> </w:t>
      </w:r>
    </w:p>
    <w:p w:rsidR="00600B20" w:rsidRDefault="00600B20" w:rsidP="003B05DB">
      <w:pPr>
        <w:jc w:val="both"/>
      </w:pPr>
    </w:p>
    <w:p w:rsidR="00600B20" w:rsidRPr="00F70DDF" w:rsidRDefault="00600B20" w:rsidP="00600B20">
      <w:pPr>
        <w:jc w:val="both"/>
        <w:rPr>
          <w:i/>
          <w:lang w:val="en-AU"/>
        </w:rPr>
      </w:pPr>
      <w:r w:rsidRPr="00F70DDF">
        <w:rPr>
          <w:i/>
          <w:lang w:val="en-AU"/>
        </w:rPr>
        <w:t xml:space="preserve">Gastrointestinal adverse </w:t>
      </w:r>
      <w:r>
        <w:rPr>
          <w:i/>
          <w:lang w:val="en-AU"/>
        </w:rPr>
        <w:t>reactions</w:t>
      </w:r>
      <w:r w:rsidRPr="00F70DDF">
        <w:rPr>
          <w:i/>
          <w:lang w:val="en-AU"/>
        </w:rPr>
        <w:t xml:space="preserve"> </w:t>
      </w:r>
    </w:p>
    <w:p w:rsidR="00600B20" w:rsidRDefault="00600B20" w:rsidP="00600B20">
      <w:pPr>
        <w:jc w:val="both"/>
      </w:pPr>
      <w:r w:rsidRPr="00F70DDF">
        <w:t xml:space="preserve">In SAXENDA clinical trials, 68% of SAXENDA-treated patients and 39% of placebo-treated patients reported gastrointestinal disorders; the most frequently reported was nausea (39% versus 14%). The percentage of patients reporting nausea declined as treatment continued. Other common adverse reactions that occurred at higher incidence among SAXENDA-treated patients included diarrhoea, constipation, vomiting, dyspepsia, abdominal pain, dry mouth, gastritis, gastroesophageal reflux, flatulence, eructation, and abdominal distension. Episodes of </w:t>
      </w:r>
      <w:r w:rsidRPr="00F70DDF">
        <w:lastRenderedPageBreak/>
        <w:t xml:space="preserve">gastrointestinal events leading to discontinuation of therapy were: SAXENDA 6.2% versus placebo: 0.8% [see PRECAUTIONS]. </w:t>
      </w:r>
    </w:p>
    <w:p w:rsidR="00600B20" w:rsidRDefault="00600B20" w:rsidP="003B05DB">
      <w:pPr>
        <w:jc w:val="both"/>
      </w:pPr>
    </w:p>
    <w:p w:rsidR="00600B20" w:rsidRDefault="00600B20" w:rsidP="00600B20">
      <w:pPr>
        <w:jc w:val="both"/>
        <w:rPr>
          <w:lang w:val="en-AU"/>
        </w:rPr>
      </w:pPr>
      <w:r w:rsidRPr="009E7DD2">
        <w:rPr>
          <w:lang w:val="en-AU"/>
        </w:rPr>
        <w:t xml:space="preserve">Most episodes of gastrointestinal events were mild to moderate, transient and the majority did not lead to discontinuation of therapy. The reactions usually occurred during the first weeks of treatment and diminished within a few days or weeks on continued treatment.  </w:t>
      </w:r>
    </w:p>
    <w:p w:rsidR="00600B20" w:rsidRPr="009E7DD2" w:rsidRDefault="00600B20" w:rsidP="00600B20">
      <w:pPr>
        <w:jc w:val="both"/>
        <w:rPr>
          <w:lang w:val="en-AU"/>
        </w:rPr>
      </w:pPr>
    </w:p>
    <w:p w:rsidR="00600B20" w:rsidRDefault="00600B20" w:rsidP="00600B20">
      <w:pPr>
        <w:jc w:val="both"/>
      </w:pPr>
      <w:r w:rsidRPr="009E7DD2">
        <w:rPr>
          <w:iCs/>
          <w:lang w:val="en-AU"/>
        </w:rPr>
        <w:t>Patients older than 65 years of age may experience more gastrointestinal effects when treated with SAXENDA [see PRECAUTIONS].</w:t>
      </w:r>
    </w:p>
    <w:p w:rsidR="00600B20" w:rsidRDefault="00600B20" w:rsidP="003B05DB">
      <w:pPr>
        <w:jc w:val="both"/>
      </w:pPr>
    </w:p>
    <w:p w:rsidR="00600B20" w:rsidRDefault="00600B20" w:rsidP="003B05DB">
      <w:pPr>
        <w:jc w:val="both"/>
      </w:pPr>
      <w:r w:rsidRPr="009E7DD2">
        <w:rPr>
          <w:iCs/>
          <w:lang w:val="en-AU"/>
        </w:rPr>
        <w:t>Patients with mild or moderate renal impairment (creatinine clearance ≥30</w:t>
      </w:r>
      <w:r>
        <w:rPr>
          <w:iCs/>
          <w:lang w:val="en-AU"/>
        </w:rPr>
        <w:t xml:space="preserve"> </w:t>
      </w:r>
      <w:r w:rsidRPr="009E7DD2">
        <w:rPr>
          <w:iCs/>
          <w:lang w:val="en-AU"/>
        </w:rPr>
        <w:t>mL/min) may experience more gastrointestinal effects when treated with SAXENDA [see PRECAUTIONS].</w:t>
      </w:r>
    </w:p>
    <w:p w:rsidR="00600B20" w:rsidRDefault="00600B20" w:rsidP="003B05DB">
      <w:pPr>
        <w:jc w:val="both"/>
      </w:pPr>
    </w:p>
    <w:p w:rsidR="00600B20" w:rsidRPr="009E7DD2" w:rsidRDefault="00600B20" w:rsidP="00600B20">
      <w:pPr>
        <w:jc w:val="both"/>
        <w:rPr>
          <w:i/>
          <w:iCs/>
          <w:lang w:val="en-AU"/>
        </w:rPr>
      </w:pPr>
      <w:r w:rsidRPr="009E7DD2">
        <w:rPr>
          <w:i/>
          <w:iCs/>
          <w:lang w:val="en-AU"/>
        </w:rPr>
        <w:t>Acute renal failure</w:t>
      </w:r>
    </w:p>
    <w:p w:rsidR="00600B20" w:rsidRDefault="00600B20" w:rsidP="00600B20">
      <w:pPr>
        <w:jc w:val="both"/>
      </w:pPr>
      <w:r w:rsidRPr="009E7DD2">
        <w:rPr>
          <w:iCs/>
          <w:lang w:val="en-AU"/>
        </w:rPr>
        <w:t xml:space="preserve">In patients treated with GLP-1 receptor agonists, including liraglutide, there have been reports of acute renal injury/failure and worsening chronic renal failure, sometimes requiring haemodialysis. </w:t>
      </w:r>
      <w:r w:rsidRPr="009E7DD2">
        <w:rPr>
          <w:lang w:val="en-AU"/>
        </w:rPr>
        <w:t xml:space="preserve">Some of these events were reported in patients without known underlying renal disease. </w:t>
      </w:r>
      <w:r w:rsidRPr="009E7DD2">
        <w:rPr>
          <w:iCs/>
          <w:lang w:val="en-AU"/>
        </w:rPr>
        <w:t xml:space="preserve"> A majority of reported events occurred in patients who had experienced nausea, vomiting, or diarrhoea leading to volume depletion [see PRECAUTIONS]. </w:t>
      </w:r>
      <w:r w:rsidRPr="009E7DD2">
        <w:rPr>
          <w:lang w:val="en-AU"/>
        </w:rPr>
        <w:t>Some of the reported events occurred in patients receiving one or more medications known to affect renal function and volume status. Altered renal function has been reversed in many of the reported cases with supportive treatment and discontinuation of potentially causative agents, including liraglutide.</w:t>
      </w:r>
      <w:r w:rsidRPr="00AD4585">
        <w:rPr>
          <w:lang w:val="en-AU"/>
        </w:rPr>
        <w:t xml:space="preserve"> </w:t>
      </w:r>
    </w:p>
    <w:p w:rsidR="00600B20" w:rsidRDefault="00600B20" w:rsidP="003B05DB">
      <w:pPr>
        <w:jc w:val="both"/>
      </w:pPr>
    </w:p>
    <w:p w:rsidR="00600B20" w:rsidRPr="009E7DD2" w:rsidRDefault="00600B20" w:rsidP="00600B20">
      <w:pPr>
        <w:jc w:val="both"/>
        <w:rPr>
          <w:bCs/>
          <w:i/>
          <w:lang w:val="en-AU" w:eastAsia="en-GB"/>
        </w:rPr>
      </w:pPr>
      <w:r w:rsidRPr="009E7DD2">
        <w:rPr>
          <w:bCs/>
          <w:i/>
          <w:lang w:val="en-AU" w:eastAsia="en-GB"/>
        </w:rPr>
        <w:t>Malignancy</w:t>
      </w:r>
    </w:p>
    <w:p w:rsidR="00600B20" w:rsidRPr="009E7DD2" w:rsidRDefault="00600B20" w:rsidP="00600B20">
      <w:pPr>
        <w:jc w:val="both"/>
        <w:rPr>
          <w:bCs/>
          <w:lang w:val="en-AU" w:eastAsia="en-GB"/>
        </w:rPr>
      </w:pPr>
      <w:r w:rsidRPr="009E7DD2">
        <w:rPr>
          <w:bCs/>
          <w:u w:val="single"/>
          <w:lang w:val="en-AU" w:eastAsia="en-GB"/>
        </w:rPr>
        <w:t>Breast cancer</w:t>
      </w:r>
    </w:p>
    <w:p w:rsidR="00600B20" w:rsidRDefault="00600B20" w:rsidP="00600B20">
      <w:pPr>
        <w:jc w:val="both"/>
      </w:pPr>
      <w:r w:rsidRPr="009E7DD2">
        <w:rPr>
          <w:bCs/>
          <w:lang w:val="en-AU" w:eastAsia="en-GB"/>
        </w:rPr>
        <w:t xml:space="preserve">In SAXENDA clinical trials, breast cancer confirmed by adjudication was reported in </w:t>
      </w:r>
      <w:r w:rsidRPr="008010BD">
        <w:rPr>
          <w:bCs/>
          <w:lang w:val="en-AU" w:eastAsia="en-GB"/>
        </w:rPr>
        <w:t>17 (0.7%) of 2379 SAXENDA-treated women compared with 3 (0.2%) of 1300 placebo-treated women, including invasive cancer (13 SAXENDA-treated versus 2 placebo-treated women) and ductal carcinoma in situ (4 versus 1).</w:t>
      </w:r>
      <w:r w:rsidRPr="009E7DD2">
        <w:rPr>
          <w:bCs/>
          <w:lang w:val="en-AU" w:eastAsia="en-GB"/>
        </w:rPr>
        <w:t xml:space="preserve"> The majority of cancers were estrogen- and progesterone-receptor positive. There were too few cases to determine whether these cases were related to SAXENDA. In addition, there are insufficient data to determine whether SAXENDA has an effect on pre-existing breast neoplasia [see PRECAUTIONS].</w:t>
      </w:r>
    </w:p>
    <w:p w:rsidR="00600B20" w:rsidRDefault="00600B20" w:rsidP="003B05DB">
      <w:pPr>
        <w:jc w:val="both"/>
      </w:pPr>
    </w:p>
    <w:p w:rsidR="00600B20" w:rsidRPr="009E7DD2" w:rsidRDefault="00600B20" w:rsidP="00600B20">
      <w:pPr>
        <w:jc w:val="both"/>
        <w:rPr>
          <w:bCs/>
          <w:u w:val="single"/>
          <w:lang w:val="en-AU" w:eastAsia="en-GB"/>
        </w:rPr>
      </w:pPr>
      <w:r w:rsidRPr="009E7DD2">
        <w:rPr>
          <w:bCs/>
          <w:u w:val="single"/>
          <w:lang w:val="en-AU" w:eastAsia="en-GB"/>
        </w:rPr>
        <w:t>Colorectal neoplasms</w:t>
      </w:r>
    </w:p>
    <w:p w:rsidR="00600B20" w:rsidRDefault="00600B20" w:rsidP="00600B20">
      <w:pPr>
        <w:jc w:val="both"/>
      </w:pPr>
      <w:r w:rsidRPr="009E7DD2">
        <w:rPr>
          <w:bCs/>
          <w:lang w:val="en-AU" w:eastAsia="en-GB"/>
        </w:rPr>
        <w:t xml:space="preserve">In SAXENDA clinical trials, benign colorectal neoplasms (mostly colon adenomas) confirmed by adjudication were reported in </w:t>
      </w:r>
      <w:r>
        <w:rPr>
          <w:bCs/>
          <w:lang w:val="en-AU" w:eastAsia="en-GB"/>
        </w:rPr>
        <w:t>20</w:t>
      </w:r>
      <w:r w:rsidRPr="009E7DD2">
        <w:rPr>
          <w:bCs/>
          <w:lang w:val="en-AU" w:eastAsia="en-GB"/>
        </w:rPr>
        <w:t xml:space="preserve"> (0.</w:t>
      </w:r>
      <w:r>
        <w:rPr>
          <w:bCs/>
          <w:lang w:val="en-AU" w:eastAsia="en-GB"/>
        </w:rPr>
        <w:t>6</w:t>
      </w:r>
      <w:r w:rsidRPr="009E7DD2">
        <w:rPr>
          <w:bCs/>
          <w:lang w:val="en-AU" w:eastAsia="en-GB"/>
        </w:rPr>
        <w:t xml:space="preserve">%) of 3291 SAXENDA-treated patients compared with </w:t>
      </w:r>
      <w:r>
        <w:rPr>
          <w:bCs/>
          <w:lang w:val="en-AU" w:eastAsia="en-GB"/>
        </w:rPr>
        <w:t>7</w:t>
      </w:r>
      <w:r w:rsidRPr="009E7DD2">
        <w:rPr>
          <w:bCs/>
          <w:lang w:val="en-AU" w:eastAsia="en-GB"/>
        </w:rPr>
        <w:t xml:space="preserve"> (0.</w:t>
      </w:r>
      <w:r>
        <w:rPr>
          <w:bCs/>
          <w:lang w:val="en-AU" w:eastAsia="en-GB"/>
        </w:rPr>
        <w:t>4</w:t>
      </w:r>
      <w:r w:rsidRPr="009E7DD2">
        <w:rPr>
          <w:bCs/>
          <w:lang w:val="en-AU" w:eastAsia="en-GB"/>
        </w:rPr>
        <w:t xml:space="preserve">%) of 1843 placebo-treated patients. </w:t>
      </w:r>
      <w:r>
        <w:rPr>
          <w:bCs/>
          <w:lang w:val="en-AU" w:eastAsia="en-GB"/>
        </w:rPr>
        <w:t>Six</w:t>
      </w:r>
      <w:r w:rsidRPr="009E7DD2">
        <w:rPr>
          <w:bCs/>
          <w:lang w:val="en-AU" w:eastAsia="en-GB"/>
        </w:rPr>
        <w:t xml:space="preserve"> positively adjudicated cases of malignant colorectal carcinoma were reported in </w:t>
      </w:r>
      <w:r>
        <w:rPr>
          <w:bCs/>
          <w:lang w:val="en-AU" w:eastAsia="en-GB"/>
        </w:rPr>
        <w:t xml:space="preserve">5 </w:t>
      </w:r>
      <w:r w:rsidRPr="009E7DD2">
        <w:rPr>
          <w:bCs/>
          <w:lang w:val="en-AU" w:eastAsia="en-GB"/>
        </w:rPr>
        <w:t xml:space="preserve">SAXENDA-treated patients and </w:t>
      </w:r>
      <w:r>
        <w:rPr>
          <w:bCs/>
          <w:lang w:val="en-AU" w:eastAsia="en-GB"/>
        </w:rPr>
        <w:t xml:space="preserve">1 </w:t>
      </w:r>
      <w:r w:rsidRPr="009E7DD2">
        <w:rPr>
          <w:bCs/>
          <w:lang w:val="en-AU" w:eastAsia="en-GB"/>
        </w:rPr>
        <w:t xml:space="preserve">in </w:t>
      </w:r>
      <w:r>
        <w:rPr>
          <w:bCs/>
          <w:lang w:val="en-AU" w:eastAsia="en-GB"/>
        </w:rPr>
        <w:t xml:space="preserve">a </w:t>
      </w:r>
      <w:r w:rsidRPr="009E7DD2">
        <w:rPr>
          <w:bCs/>
          <w:lang w:val="en-AU" w:eastAsia="en-GB"/>
        </w:rPr>
        <w:t>placebo-treated patient.</w:t>
      </w:r>
    </w:p>
    <w:p w:rsidR="00600B20" w:rsidRDefault="00600B20" w:rsidP="003B05DB">
      <w:pPr>
        <w:jc w:val="both"/>
      </w:pPr>
    </w:p>
    <w:p w:rsidR="00600B20" w:rsidRPr="009E7DD2" w:rsidRDefault="00600B20" w:rsidP="00600B20">
      <w:pPr>
        <w:jc w:val="both"/>
        <w:rPr>
          <w:bCs/>
          <w:u w:val="single"/>
          <w:lang w:val="en-AU" w:eastAsia="en-GB"/>
        </w:rPr>
      </w:pPr>
      <w:r w:rsidRPr="009E7DD2">
        <w:rPr>
          <w:bCs/>
          <w:u w:val="single"/>
          <w:lang w:val="en-AU" w:eastAsia="en-GB"/>
        </w:rPr>
        <w:t>Papillary thyroid cancer</w:t>
      </w:r>
    </w:p>
    <w:p w:rsidR="00600B20" w:rsidRDefault="00600B20" w:rsidP="00600B20">
      <w:pPr>
        <w:jc w:val="both"/>
      </w:pPr>
      <w:r w:rsidRPr="009E7DD2">
        <w:rPr>
          <w:bCs/>
          <w:lang w:val="en-AU" w:eastAsia="en-GB"/>
        </w:rPr>
        <w:t xml:space="preserve">In SAXENDA clinical trials, papillary thyroid carcinoma, confirmed by adjudication, was reported </w:t>
      </w:r>
      <w:r w:rsidRPr="008010BD">
        <w:rPr>
          <w:bCs/>
          <w:lang w:val="en-AU" w:eastAsia="en-GB"/>
        </w:rPr>
        <w:t>in 8 (0.2%) of</w:t>
      </w:r>
      <w:r w:rsidRPr="009E7DD2">
        <w:rPr>
          <w:bCs/>
          <w:lang w:val="en-AU" w:eastAsia="en-GB"/>
        </w:rPr>
        <w:t xml:space="preserve"> 3291 SAXENDA-treated patients compared with no cases among 1843 placebo-treated patients. Four of these papillary thyroid carcinomas were less than 1 cm in greatest diameter and 4 were diagnosed in surgical pathology specimens after thyroidectomy.</w:t>
      </w:r>
    </w:p>
    <w:p w:rsidR="00600B20" w:rsidRDefault="00600B20" w:rsidP="003B05DB">
      <w:pPr>
        <w:jc w:val="both"/>
      </w:pPr>
    </w:p>
    <w:p w:rsidR="00600B20" w:rsidRPr="009E7DD2" w:rsidRDefault="00600B20" w:rsidP="00600B20">
      <w:pPr>
        <w:jc w:val="both"/>
        <w:rPr>
          <w:i/>
          <w:iCs/>
          <w:lang w:val="en-AU"/>
        </w:rPr>
      </w:pPr>
      <w:r w:rsidRPr="009E7DD2">
        <w:rPr>
          <w:i/>
          <w:iCs/>
          <w:lang w:val="en-AU"/>
        </w:rPr>
        <w:t>Immunogenicity</w:t>
      </w:r>
    </w:p>
    <w:p w:rsidR="00600B20" w:rsidRDefault="00600B20" w:rsidP="00600B20">
      <w:pPr>
        <w:jc w:val="both"/>
      </w:pPr>
      <w:r w:rsidRPr="009E7DD2">
        <w:rPr>
          <w:iCs/>
          <w:lang w:val="en-AU"/>
        </w:rPr>
        <w:t xml:space="preserve">Consistent with the potentially immunogenic properties of protein and peptide pharmaceuticals, patients may develop anti-liraglutide antibodies following treatment with </w:t>
      </w:r>
      <w:r w:rsidRPr="009E7DD2">
        <w:rPr>
          <w:noProof/>
          <w:lang w:val="en-AU"/>
        </w:rPr>
        <w:lastRenderedPageBreak/>
        <w:t>SAXENDA</w:t>
      </w:r>
      <w:r w:rsidRPr="009E7DD2">
        <w:rPr>
          <w:iCs/>
          <w:lang w:val="en-AU"/>
        </w:rPr>
        <w:t>. In clinical trials, 2.5% of SAXENDA treated patients developed anti-liraglutide antibodies</w:t>
      </w:r>
      <w:r w:rsidRPr="009E7DD2">
        <w:rPr>
          <w:i/>
          <w:iCs/>
          <w:lang w:val="en-AU"/>
        </w:rPr>
        <w:t xml:space="preserve">. </w:t>
      </w:r>
      <w:r w:rsidRPr="009E7DD2">
        <w:rPr>
          <w:iCs/>
          <w:lang w:val="en-AU"/>
        </w:rPr>
        <w:t xml:space="preserve">Antibody formation has not been associated with reduced efficacy of </w:t>
      </w:r>
      <w:r w:rsidRPr="009E7DD2">
        <w:rPr>
          <w:noProof/>
          <w:lang w:val="en-AU"/>
        </w:rPr>
        <w:t>SAXENDA</w:t>
      </w:r>
      <w:r w:rsidRPr="009E7DD2">
        <w:rPr>
          <w:iCs/>
          <w:lang w:val="en-AU"/>
        </w:rPr>
        <w:t>.</w:t>
      </w:r>
    </w:p>
    <w:p w:rsidR="00600B20" w:rsidRDefault="00600B20" w:rsidP="003B05DB">
      <w:pPr>
        <w:jc w:val="both"/>
      </w:pPr>
    </w:p>
    <w:p w:rsidR="00600B20" w:rsidRPr="009E7DD2" w:rsidRDefault="00600B20" w:rsidP="00600B20">
      <w:pPr>
        <w:jc w:val="both"/>
        <w:rPr>
          <w:i/>
          <w:iCs/>
          <w:lang w:val="en-AU"/>
        </w:rPr>
      </w:pPr>
      <w:r w:rsidRPr="009E7DD2">
        <w:rPr>
          <w:i/>
          <w:iCs/>
          <w:lang w:val="en-AU"/>
        </w:rPr>
        <w:t>Injection site reactions</w:t>
      </w:r>
    </w:p>
    <w:p w:rsidR="00600B20" w:rsidRDefault="00600B20" w:rsidP="00600B20">
      <w:pPr>
        <w:jc w:val="both"/>
      </w:pPr>
      <w:r w:rsidRPr="009E7DD2">
        <w:rPr>
          <w:iCs/>
          <w:lang w:val="en-AU"/>
        </w:rPr>
        <w:t>Injection site reactions have been reported in patients treated with SAXENDA. These reactions have usually been mild and transitory and the majority resolved during continued treatment.</w:t>
      </w:r>
    </w:p>
    <w:p w:rsidR="00600B20" w:rsidRDefault="00600B20" w:rsidP="003B05DB">
      <w:pPr>
        <w:jc w:val="both"/>
      </w:pPr>
    </w:p>
    <w:p w:rsidR="00600B20" w:rsidRPr="009E7DD2" w:rsidRDefault="00600B20" w:rsidP="00600B20">
      <w:pPr>
        <w:jc w:val="both"/>
        <w:rPr>
          <w:i/>
          <w:iCs/>
          <w:lang w:val="en-AU"/>
        </w:rPr>
      </w:pPr>
      <w:r w:rsidRPr="009E7DD2">
        <w:rPr>
          <w:i/>
          <w:iCs/>
          <w:lang w:val="en-AU"/>
        </w:rPr>
        <w:t>Pancreatitis</w:t>
      </w:r>
    </w:p>
    <w:p w:rsidR="00600B20" w:rsidRDefault="00600B20" w:rsidP="00600B20">
      <w:pPr>
        <w:jc w:val="both"/>
      </w:pPr>
      <w:r w:rsidRPr="009E7DD2">
        <w:rPr>
          <w:iCs/>
          <w:lang w:val="en-AU"/>
        </w:rPr>
        <w:t xml:space="preserve">Few cases of acute pancreatitis have been reported during long-term clinical trials with </w:t>
      </w:r>
      <w:r w:rsidRPr="009E7DD2">
        <w:rPr>
          <w:noProof/>
          <w:lang w:val="en-AU"/>
        </w:rPr>
        <w:t xml:space="preserve">liraglutide </w:t>
      </w:r>
      <w:r w:rsidRPr="009E7DD2">
        <w:rPr>
          <w:iCs/>
          <w:lang w:val="en-AU"/>
        </w:rPr>
        <w:t>[See CONTRAINDICATIONS and PRECAUTIONS].</w:t>
      </w:r>
      <w:r w:rsidRPr="009E7DD2">
        <w:rPr>
          <w:b/>
          <w:lang w:val="en-AU"/>
        </w:rPr>
        <w:t xml:space="preserve"> </w:t>
      </w:r>
      <w:r w:rsidRPr="009E7DD2">
        <w:t>In SAXENDA clinical trials, acute pancreatitis was confirmed by adjudication in 9 (0.3%) of 3291 S</w:t>
      </w:r>
      <w:r>
        <w:t>AXENDA</w:t>
      </w:r>
      <w:r w:rsidRPr="009E7DD2">
        <w:t xml:space="preserve">-treated patients versus </w:t>
      </w:r>
      <w:r w:rsidRPr="008010BD">
        <w:t>2</w:t>
      </w:r>
      <w:r>
        <w:t xml:space="preserve"> </w:t>
      </w:r>
      <w:r w:rsidRPr="009E7DD2">
        <w:t>(0.1%) of 1843 placebo-treated patients. In addition, there were 2 cases of acute pancreatitis in SAXENDA-treated patients who prematurely withdrew from the clinical trials, occurring 74 and 124 days after the last dose</w:t>
      </w:r>
      <w:r>
        <w:t>.</w:t>
      </w:r>
      <w:r w:rsidRPr="009E7DD2">
        <w:t xml:space="preserve"> </w:t>
      </w:r>
      <w:r>
        <w:t xml:space="preserve">There were two </w:t>
      </w:r>
      <w:r w:rsidRPr="009E7DD2">
        <w:t>additional case</w:t>
      </w:r>
      <w:r>
        <w:t>s</w:t>
      </w:r>
      <w:r w:rsidRPr="009E7DD2">
        <w:t xml:space="preserve"> in SAXENDA-treated patient</w:t>
      </w:r>
      <w:r>
        <w:t>s, one</w:t>
      </w:r>
      <w:r w:rsidRPr="009E7DD2">
        <w:t xml:space="preserve"> during </w:t>
      </w:r>
      <w:r w:rsidRPr="008010BD">
        <w:t>an off-treatment follow-up period within 2 weeks of discontinuing SAXENDA, and one that occurred in a patient who completed treatment and was off treatment for 106 days.</w:t>
      </w:r>
    </w:p>
    <w:p w:rsidR="00600B20" w:rsidRDefault="00600B20" w:rsidP="003B05DB">
      <w:pPr>
        <w:jc w:val="both"/>
      </w:pPr>
    </w:p>
    <w:p w:rsidR="00600B20" w:rsidRPr="00DD1EB5" w:rsidRDefault="00600B20" w:rsidP="00600B20">
      <w:pPr>
        <w:pStyle w:val="BodyText"/>
        <w:jc w:val="both"/>
        <w:rPr>
          <w:iCs/>
          <w:sz w:val="24"/>
          <w:szCs w:val="24"/>
          <w:u w:val="single"/>
          <w:lang w:val="en-AU"/>
        </w:rPr>
      </w:pPr>
      <w:r w:rsidRPr="00DD1EB5">
        <w:rPr>
          <w:i/>
          <w:iCs/>
          <w:color w:val="auto"/>
          <w:sz w:val="24"/>
          <w:szCs w:val="24"/>
          <w:lang w:val="en-AU"/>
        </w:rPr>
        <w:t>Allergic reactions</w:t>
      </w:r>
    </w:p>
    <w:p w:rsidR="00600B20" w:rsidRDefault="00600B20" w:rsidP="00600B20">
      <w:pPr>
        <w:jc w:val="both"/>
      </w:pPr>
      <w:r w:rsidRPr="00DD1EB5">
        <w:rPr>
          <w:iCs/>
          <w:lang w:val="en-AU"/>
        </w:rPr>
        <w:t>Few cases of anaphylactic reactions with symptoms such as hypotension, palpitations, dyspnoea or oedema have been reported with marketed use of liraglutide. Anaphylactic reactions may potentially be life threatening.</w:t>
      </w:r>
    </w:p>
    <w:p w:rsidR="00600B20" w:rsidRDefault="00600B20" w:rsidP="003B05DB">
      <w:pPr>
        <w:jc w:val="both"/>
      </w:pPr>
    </w:p>
    <w:p w:rsidR="00600B20" w:rsidRPr="009E7DD2" w:rsidRDefault="00600B20" w:rsidP="00600B20">
      <w:pPr>
        <w:jc w:val="both"/>
        <w:rPr>
          <w:i/>
          <w:lang w:val="en-AU"/>
        </w:rPr>
      </w:pPr>
      <w:r w:rsidRPr="009E7DD2">
        <w:rPr>
          <w:i/>
          <w:lang w:val="en-AU"/>
        </w:rPr>
        <w:t>Suicidal behaviour and ideation</w:t>
      </w:r>
    </w:p>
    <w:p w:rsidR="00600B20" w:rsidRDefault="00600B20" w:rsidP="00600B20">
      <w:pPr>
        <w:jc w:val="both"/>
      </w:pPr>
      <w:r w:rsidRPr="009E7DD2">
        <w:rPr>
          <w:lang w:val="en-AU"/>
        </w:rPr>
        <w:t xml:space="preserve">In the SAXENDA clinical trials, </w:t>
      </w:r>
      <w:r w:rsidRPr="008010BD">
        <w:rPr>
          <w:lang w:val="en-AU"/>
        </w:rPr>
        <w:t>9 (0.3%)</w:t>
      </w:r>
      <w:r w:rsidRPr="009E7DD2">
        <w:rPr>
          <w:lang w:val="en-AU"/>
        </w:rPr>
        <w:t xml:space="preserve"> of 3384 SAXENDA-treated patients and </w:t>
      </w:r>
      <w:r w:rsidRPr="008010BD">
        <w:rPr>
          <w:lang w:val="en-AU"/>
        </w:rPr>
        <w:t>2 (0.1%) of</w:t>
      </w:r>
      <w:r w:rsidRPr="009E7DD2">
        <w:rPr>
          <w:lang w:val="en-AU"/>
        </w:rPr>
        <w:t xml:space="preserve"> the 1941 placebo-treated patients reported suicide ideation; one of the SAXENDA-treated patients attempted suicide [See PRECAUTIONS]. </w:t>
      </w:r>
    </w:p>
    <w:p w:rsidR="00600B20" w:rsidRDefault="00600B20" w:rsidP="003B05DB">
      <w:pPr>
        <w:jc w:val="both"/>
      </w:pPr>
    </w:p>
    <w:p w:rsidR="00600B20" w:rsidRPr="009E7DD2" w:rsidRDefault="00600B20" w:rsidP="00600B20">
      <w:pPr>
        <w:widowControl w:val="0"/>
        <w:rPr>
          <w:i/>
          <w:lang w:val="en-AU"/>
        </w:rPr>
      </w:pPr>
      <w:r w:rsidRPr="009E7DD2">
        <w:rPr>
          <w:i/>
          <w:lang w:val="en-AU"/>
        </w:rPr>
        <w:t>Hypotension</w:t>
      </w:r>
    </w:p>
    <w:p w:rsidR="00600B20" w:rsidRDefault="00600B20" w:rsidP="00600B20">
      <w:pPr>
        <w:jc w:val="both"/>
      </w:pPr>
      <w:r w:rsidRPr="009E7DD2">
        <w:rPr>
          <w:lang w:val="en-AU"/>
        </w:rPr>
        <w:t xml:space="preserve">Adverse reactions related to hypotension (i.e., reports of hypotension, orthostatic hypotension, circulatory collapse, and decreased blood pressure) were reported more frequently with SAXENDA (1.1%) compared with placebo (0.5%) in SAXENDA clinical trials. Systolic blood pressure decreases to less than 80 mmHg were observed in 4 (0.1%) SAXENDA-treated patients compared with no placebo-treated patients. One of the SAXENDA-treated patients had hypotension associated with gastrointestinal adverse reactions and renal failure [See PRECAUTIONS]. </w:t>
      </w:r>
    </w:p>
    <w:p w:rsidR="00600B20" w:rsidRDefault="00600B20" w:rsidP="003B05DB">
      <w:pPr>
        <w:jc w:val="both"/>
      </w:pPr>
    </w:p>
    <w:p w:rsidR="00600B20" w:rsidRPr="009E7DD2" w:rsidRDefault="00600B20" w:rsidP="00600B20">
      <w:pPr>
        <w:jc w:val="both"/>
        <w:rPr>
          <w:i/>
          <w:iCs/>
        </w:rPr>
      </w:pPr>
      <w:r w:rsidRPr="009E7DD2">
        <w:rPr>
          <w:i/>
          <w:iCs/>
        </w:rPr>
        <w:t>Laboratory Abnormalities</w:t>
      </w:r>
    </w:p>
    <w:p w:rsidR="00600B20" w:rsidRPr="009E7DD2" w:rsidRDefault="00600B20" w:rsidP="00600B20">
      <w:pPr>
        <w:jc w:val="both"/>
        <w:rPr>
          <w:iCs/>
          <w:u w:val="single"/>
        </w:rPr>
      </w:pPr>
      <w:r w:rsidRPr="009E7DD2">
        <w:rPr>
          <w:iCs/>
          <w:u w:val="single"/>
        </w:rPr>
        <w:t>Liver Enzymes</w:t>
      </w:r>
    </w:p>
    <w:p w:rsidR="00600B20" w:rsidRDefault="00600B20" w:rsidP="00600B20">
      <w:pPr>
        <w:jc w:val="both"/>
      </w:pPr>
      <w:r w:rsidRPr="009E7DD2">
        <w:rPr>
          <w:iCs/>
        </w:rPr>
        <w:t xml:space="preserve">Increases in alanine aminotransferase (ALT) greater than or equal to 10 times the upper limit of normal were observed in 5 (0.15%) </w:t>
      </w:r>
      <w:r w:rsidRPr="009E7DD2">
        <w:rPr>
          <w:lang w:val="en-AU"/>
        </w:rPr>
        <w:t>SAXENDA</w:t>
      </w:r>
      <w:r w:rsidRPr="009E7DD2">
        <w:rPr>
          <w:iCs/>
        </w:rPr>
        <w:t xml:space="preserve">-treated patients (two of whom had ALT greater than 20 and 40 times the upper limit of normal) compared with 1 (0.05%) placebo-treated patient during the </w:t>
      </w:r>
      <w:r w:rsidRPr="009E7DD2">
        <w:rPr>
          <w:lang w:val="en-AU"/>
        </w:rPr>
        <w:t>SAXENDA</w:t>
      </w:r>
      <w:r w:rsidRPr="009E7DD2">
        <w:rPr>
          <w:iCs/>
        </w:rPr>
        <w:t xml:space="preserve"> clinical trials. Because clinical evaluation to exclude alternative causes of ALT and aspartate aminotransferase (AST) increases was not done in most cases, the relationship to </w:t>
      </w:r>
      <w:r w:rsidRPr="009E7DD2">
        <w:rPr>
          <w:lang w:val="en-AU"/>
        </w:rPr>
        <w:t>SAXENDA</w:t>
      </w:r>
      <w:r w:rsidRPr="009E7DD2">
        <w:rPr>
          <w:iCs/>
        </w:rPr>
        <w:t xml:space="preserve"> is uncertain. Some increases in ALT and AST were associated with other confounding factors (such as gallstones).</w:t>
      </w:r>
    </w:p>
    <w:p w:rsidR="00600B20" w:rsidRDefault="00600B20" w:rsidP="003B05DB">
      <w:pPr>
        <w:jc w:val="both"/>
      </w:pPr>
    </w:p>
    <w:p w:rsidR="00600B20" w:rsidRPr="009E7DD2" w:rsidRDefault="00600B20" w:rsidP="00600B20">
      <w:pPr>
        <w:jc w:val="both"/>
        <w:rPr>
          <w:iCs/>
          <w:u w:val="single"/>
        </w:rPr>
      </w:pPr>
      <w:r w:rsidRPr="009E7DD2">
        <w:rPr>
          <w:iCs/>
          <w:u w:val="single"/>
        </w:rPr>
        <w:t>Serum Calcitonin</w:t>
      </w:r>
    </w:p>
    <w:p w:rsidR="00600B20" w:rsidRDefault="00600B20" w:rsidP="00600B20">
      <w:pPr>
        <w:jc w:val="both"/>
      </w:pPr>
      <w:r w:rsidRPr="009E7DD2">
        <w:rPr>
          <w:sz w:val="23"/>
          <w:szCs w:val="23"/>
        </w:rPr>
        <w:t xml:space="preserve">Calcitonin, a biological marker of MTC, was measured throughout the clinical development program </w:t>
      </w:r>
      <w:r w:rsidRPr="009E7DD2">
        <w:rPr>
          <w:iCs/>
          <w:sz w:val="23"/>
          <w:szCs w:val="23"/>
        </w:rPr>
        <w:t>[see PRECAUTIONS]</w:t>
      </w:r>
      <w:r w:rsidRPr="009E7DD2">
        <w:rPr>
          <w:sz w:val="23"/>
          <w:szCs w:val="23"/>
        </w:rPr>
        <w:t xml:space="preserve">. More patients treated with </w:t>
      </w:r>
      <w:r w:rsidRPr="009E7DD2">
        <w:rPr>
          <w:lang w:val="en-AU"/>
        </w:rPr>
        <w:t>SAXENDA</w:t>
      </w:r>
      <w:r w:rsidRPr="009E7DD2">
        <w:rPr>
          <w:sz w:val="23"/>
          <w:szCs w:val="23"/>
        </w:rPr>
        <w:t xml:space="preserve"> in the clinical trials were observed to have high calcitonin values during treatment, compared with placebo. The proportion </w:t>
      </w:r>
      <w:r w:rsidRPr="009E7DD2">
        <w:rPr>
          <w:sz w:val="23"/>
          <w:szCs w:val="23"/>
        </w:rPr>
        <w:lastRenderedPageBreak/>
        <w:t xml:space="preserve">of patients with calcitonin greater than or equal to 2 times the upper limit of normal at the end of the trial was 1.2% in </w:t>
      </w:r>
      <w:r w:rsidRPr="009E7DD2">
        <w:rPr>
          <w:lang w:val="en-AU"/>
        </w:rPr>
        <w:t>SAXENDA</w:t>
      </w:r>
      <w:r w:rsidRPr="009E7DD2">
        <w:rPr>
          <w:sz w:val="23"/>
          <w:szCs w:val="23"/>
        </w:rPr>
        <w:t xml:space="preserve">-treated patients and 0.6% in placebo-treated patients. Calcitonin values greater than 20 ng/L at the end of the trial occurred in 0.5% of </w:t>
      </w:r>
      <w:r w:rsidRPr="009E7DD2">
        <w:rPr>
          <w:lang w:val="en-AU"/>
        </w:rPr>
        <w:t>SAXENDA</w:t>
      </w:r>
      <w:r w:rsidRPr="009E7DD2">
        <w:rPr>
          <w:sz w:val="23"/>
          <w:szCs w:val="23"/>
        </w:rPr>
        <w:t xml:space="preserve">-treated patients and 0.2% of placebo-treated patients; among patients with pre- treatment serum calcitonin less than 20 ng/L, none had calcitonin elevations to greater than 50 ng/L at the end of the trial. </w:t>
      </w:r>
    </w:p>
    <w:p w:rsidR="00600B20" w:rsidRDefault="00600B20" w:rsidP="003B05DB">
      <w:pPr>
        <w:jc w:val="both"/>
      </w:pPr>
    </w:p>
    <w:p w:rsidR="00600B20" w:rsidRPr="009E7DD2" w:rsidRDefault="00600B20" w:rsidP="00600B20">
      <w:pPr>
        <w:jc w:val="both"/>
        <w:rPr>
          <w:iCs/>
          <w:lang w:val="en-AU"/>
        </w:rPr>
      </w:pPr>
      <w:r w:rsidRPr="009E7DD2">
        <w:rPr>
          <w:b/>
          <w:i/>
          <w:iCs/>
          <w:lang w:val="en-AU"/>
        </w:rPr>
        <w:t>Post-marketing adverse effects</w:t>
      </w:r>
    </w:p>
    <w:p w:rsidR="00600B20" w:rsidRDefault="00600B20" w:rsidP="00600B20">
      <w:pPr>
        <w:jc w:val="both"/>
      </w:pPr>
      <w:r w:rsidRPr="009E7DD2">
        <w:rPr>
          <w:rFonts w:eastAsia="MS Mincho"/>
          <w:lang w:val="en-AU"/>
        </w:rPr>
        <w:t>The following adverse reactions have been reported during post approval use of liraglutide, the active ingredient of SAXENDA. Because these reactions are reported voluntarily from a population of uncertain size it is not always possible to reliably estimate their frequency or establish a causal relationship to drug exposure.</w:t>
      </w:r>
    </w:p>
    <w:p w:rsidR="00600B20" w:rsidRDefault="00600B20" w:rsidP="003B05DB">
      <w:pPr>
        <w:jc w:val="both"/>
      </w:pPr>
    </w:p>
    <w:p w:rsidR="00600B20" w:rsidRPr="009E7DD2" w:rsidRDefault="00600B20" w:rsidP="00600B20">
      <w:pPr>
        <w:suppressAutoHyphens/>
        <w:rPr>
          <w:i/>
          <w:lang w:val="en-AU"/>
        </w:rPr>
      </w:pPr>
      <w:r w:rsidRPr="009E7DD2">
        <w:rPr>
          <w:i/>
          <w:lang w:val="en-AU"/>
        </w:rPr>
        <w:t>Gastrointestinal disorders</w:t>
      </w:r>
    </w:p>
    <w:p w:rsidR="00600B20" w:rsidRPr="009E7DD2" w:rsidRDefault="00600B20" w:rsidP="00600B20">
      <w:pPr>
        <w:numPr>
          <w:ilvl w:val="0"/>
          <w:numId w:val="15"/>
        </w:numPr>
        <w:suppressAutoHyphens/>
        <w:rPr>
          <w:b/>
          <w:lang w:val="en-AU"/>
        </w:rPr>
      </w:pPr>
      <w:r w:rsidRPr="009E7DD2">
        <w:rPr>
          <w:lang w:val="en-AU"/>
        </w:rPr>
        <w:t>Acute pancreatitis, haemorrhagic and necroti</w:t>
      </w:r>
      <w:r>
        <w:rPr>
          <w:lang w:val="en-AU"/>
        </w:rPr>
        <w:t>s</w:t>
      </w:r>
      <w:r w:rsidRPr="009E7DD2">
        <w:rPr>
          <w:lang w:val="en-AU"/>
        </w:rPr>
        <w:t>ing pancreatitis</w:t>
      </w:r>
    </w:p>
    <w:p w:rsidR="00600B20" w:rsidRPr="009E7DD2" w:rsidRDefault="00600B20" w:rsidP="00600B20">
      <w:pPr>
        <w:suppressAutoHyphens/>
        <w:rPr>
          <w:i/>
          <w:lang w:val="en-AU"/>
        </w:rPr>
      </w:pPr>
      <w:r w:rsidRPr="009E7DD2">
        <w:rPr>
          <w:i/>
          <w:lang w:val="en-AU"/>
        </w:rPr>
        <w:t xml:space="preserve">General disorders and administration site conditions    </w:t>
      </w:r>
    </w:p>
    <w:p w:rsidR="00600B20" w:rsidRPr="009E7DD2" w:rsidRDefault="00600B20" w:rsidP="00600B20">
      <w:pPr>
        <w:numPr>
          <w:ilvl w:val="0"/>
          <w:numId w:val="15"/>
        </w:numPr>
        <w:suppressAutoHyphens/>
        <w:rPr>
          <w:lang w:val="en-AU"/>
        </w:rPr>
      </w:pPr>
      <w:r w:rsidRPr="009E7DD2">
        <w:rPr>
          <w:lang w:val="en-AU"/>
        </w:rPr>
        <w:t>Allergic reactions: Urticaria, rash and pruritus</w:t>
      </w:r>
    </w:p>
    <w:p w:rsidR="00600B20" w:rsidRPr="009E7DD2" w:rsidRDefault="00600B20" w:rsidP="00600B20">
      <w:pPr>
        <w:numPr>
          <w:ilvl w:val="0"/>
          <w:numId w:val="15"/>
        </w:numPr>
        <w:suppressAutoHyphens/>
        <w:rPr>
          <w:lang w:val="en-AU"/>
        </w:rPr>
      </w:pPr>
      <w:r w:rsidRPr="009E7DD2">
        <w:rPr>
          <w:lang w:val="en-AU"/>
        </w:rPr>
        <w:t>Malaise</w:t>
      </w:r>
    </w:p>
    <w:p w:rsidR="00600B20" w:rsidRPr="009E7DD2" w:rsidRDefault="00600B20" w:rsidP="00600B20">
      <w:pPr>
        <w:suppressAutoHyphens/>
        <w:rPr>
          <w:i/>
          <w:lang w:val="en-AU"/>
        </w:rPr>
      </w:pPr>
      <w:r w:rsidRPr="009E7DD2">
        <w:rPr>
          <w:i/>
          <w:lang w:val="en-AU"/>
        </w:rPr>
        <w:t>Immune system disorders</w:t>
      </w:r>
    </w:p>
    <w:p w:rsidR="00600B20" w:rsidRPr="009E7DD2" w:rsidRDefault="00600B20" w:rsidP="00600B20">
      <w:pPr>
        <w:numPr>
          <w:ilvl w:val="0"/>
          <w:numId w:val="15"/>
        </w:numPr>
        <w:suppressAutoHyphens/>
        <w:rPr>
          <w:lang w:val="en-AU"/>
        </w:rPr>
      </w:pPr>
      <w:r w:rsidRPr="009E7DD2">
        <w:rPr>
          <w:lang w:val="en-AU"/>
        </w:rPr>
        <w:t>Angioedema and anaphylactic reactions</w:t>
      </w:r>
    </w:p>
    <w:p w:rsidR="00600B20" w:rsidRPr="009E7DD2" w:rsidRDefault="00600B20" w:rsidP="00600B20">
      <w:pPr>
        <w:suppressAutoHyphens/>
        <w:rPr>
          <w:i/>
          <w:lang w:val="en-AU"/>
        </w:rPr>
      </w:pPr>
      <w:r w:rsidRPr="009E7DD2">
        <w:rPr>
          <w:i/>
          <w:lang w:val="en-AU"/>
        </w:rPr>
        <w:t xml:space="preserve">Metabolism and nutrition disorders        </w:t>
      </w:r>
    </w:p>
    <w:p w:rsidR="00600B20" w:rsidRPr="009E7DD2" w:rsidRDefault="00600B20" w:rsidP="00600B20">
      <w:pPr>
        <w:numPr>
          <w:ilvl w:val="0"/>
          <w:numId w:val="15"/>
        </w:numPr>
        <w:suppressAutoHyphens/>
        <w:rPr>
          <w:b/>
          <w:lang w:val="en-AU"/>
        </w:rPr>
      </w:pPr>
      <w:r w:rsidRPr="009E7DD2">
        <w:rPr>
          <w:rFonts w:eastAsia="MS Mincho"/>
          <w:lang w:val="en-AU"/>
        </w:rPr>
        <w:t>Dehydration resulting from nausea, vomiting and diarrhoea</w:t>
      </w:r>
    </w:p>
    <w:p w:rsidR="00600B20" w:rsidRPr="009E7DD2" w:rsidRDefault="00600B20" w:rsidP="00600B20">
      <w:pPr>
        <w:autoSpaceDE w:val="0"/>
        <w:autoSpaceDN w:val="0"/>
        <w:adjustRightInd w:val="0"/>
        <w:rPr>
          <w:rFonts w:eastAsia="MS Mincho"/>
          <w:i/>
          <w:lang w:val="en-AU"/>
        </w:rPr>
      </w:pPr>
      <w:r w:rsidRPr="009E7DD2">
        <w:rPr>
          <w:rFonts w:eastAsia="MS Mincho"/>
          <w:i/>
          <w:lang w:val="en-AU"/>
        </w:rPr>
        <w:t>Renal and urinary disorders</w:t>
      </w:r>
    </w:p>
    <w:p w:rsidR="00600B20" w:rsidRPr="009E7DD2" w:rsidRDefault="00600B20" w:rsidP="00600B20">
      <w:pPr>
        <w:numPr>
          <w:ilvl w:val="0"/>
          <w:numId w:val="15"/>
        </w:numPr>
        <w:autoSpaceDE w:val="0"/>
        <w:autoSpaceDN w:val="0"/>
        <w:adjustRightInd w:val="0"/>
        <w:rPr>
          <w:rFonts w:eastAsia="MS Mincho"/>
          <w:lang w:val="en-AU"/>
        </w:rPr>
      </w:pPr>
      <w:r w:rsidRPr="009E7DD2">
        <w:rPr>
          <w:rFonts w:eastAsia="MS Mincho"/>
          <w:lang w:val="en-AU"/>
        </w:rPr>
        <w:t>Increased serum creatinine, acute renal failure or worsening of chronic renal failure, sometimes requiring haemodialysis</w:t>
      </w:r>
    </w:p>
    <w:p w:rsidR="00600B20" w:rsidRPr="009E7DD2" w:rsidRDefault="00600B20" w:rsidP="00600B20">
      <w:pPr>
        <w:autoSpaceDE w:val="0"/>
        <w:autoSpaceDN w:val="0"/>
        <w:adjustRightInd w:val="0"/>
        <w:rPr>
          <w:i/>
          <w:lang w:val="en-AU"/>
        </w:rPr>
      </w:pPr>
      <w:r w:rsidRPr="009E7DD2">
        <w:rPr>
          <w:i/>
          <w:lang w:val="en-AU"/>
        </w:rPr>
        <w:t>Cardiac disorders</w:t>
      </w:r>
    </w:p>
    <w:p w:rsidR="00600B20" w:rsidRDefault="00600B20" w:rsidP="00600B20">
      <w:pPr>
        <w:pStyle w:val="ListParagraph"/>
        <w:numPr>
          <w:ilvl w:val="0"/>
          <w:numId w:val="40"/>
        </w:numPr>
        <w:jc w:val="both"/>
      </w:pPr>
      <w:r w:rsidRPr="00600B20">
        <w:rPr>
          <w:rFonts w:eastAsia="MS Mincho"/>
          <w:lang w:val="en-AU"/>
        </w:rPr>
        <w:t>increased heart rate</w:t>
      </w:r>
    </w:p>
    <w:p w:rsidR="00600B20" w:rsidRDefault="00600B20" w:rsidP="003B05DB">
      <w:pPr>
        <w:jc w:val="both"/>
      </w:pPr>
    </w:p>
    <w:p w:rsidR="00600B20" w:rsidRPr="00600B20" w:rsidRDefault="00600B20" w:rsidP="003B05DB">
      <w:pPr>
        <w:jc w:val="both"/>
        <w:rPr>
          <w:b/>
        </w:rPr>
      </w:pPr>
      <w:bookmarkStart w:id="57" w:name="_Toc464639453"/>
      <w:r w:rsidRPr="00600B20">
        <w:rPr>
          <w:b/>
        </w:rPr>
        <w:t>DOSAGE AND ADMINISTRATION</w:t>
      </w:r>
      <w:bookmarkEnd w:id="57"/>
    </w:p>
    <w:p w:rsidR="00600B20" w:rsidRDefault="00600B20" w:rsidP="003B05DB">
      <w:pPr>
        <w:jc w:val="both"/>
      </w:pPr>
    </w:p>
    <w:p w:rsidR="00600B20" w:rsidRDefault="00600B20" w:rsidP="003B05DB">
      <w:pPr>
        <w:jc w:val="both"/>
      </w:pPr>
      <w:r>
        <w:t>SAXENDA</w:t>
      </w:r>
      <w:r w:rsidRPr="00B3177F">
        <w:t xml:space="preserve"> has not been studied in patients taking insulin. </w:t>
      </w:r>
      <w:r>
        <w:t>SAXENDA</w:t>
      </w:r>
      <w:r w:rsidRPr="00B3177F">
        <w:t xml:space="preserve"> </w:t>
      </w:r>
      <w:r>
        <w:t>and insulin should not be used together</w:t>
      </w:r>
      <w:r w:rsidRPr="00B3177F">
        <w:t xml:space="preserve"> </w:t>
      </w:r>
      <w:r w:rsidRPr="00B3177F">
        <w:rPr>
          <w:iCs/>
        </w:rPr>
        <w:t>[see PRECAUTIONS]</w:t>
      </w:r>
      <w:r w:rsidRPr="00B3177F">
        <w:rPr>
          <w:i/>
          <w:iCs/>
        </w:rPr>
        <w:t xml:space="preserve">. </w:t>
      </w:r>
    </w:p>
    <w:p w:rsidR="00600B20" w:rsidRDefault="00600B20" w:rsidP="003B05DB">
      <w:pPr>
        <w:jc w:val="both"/>
      </w:pPr>
    </w:p>
    <w:p w:rsidR="00600B20" w:rsidRDefault="00600B20" w:rsidP="003B05DB">
      <w:pPr>
        <w:jc w:val="both"/>
      </w:pPr>
      <w:r w:rsidRPr="009E7DD2">
        <w:t xml:space="preserve">SAXENDA and </w:t>
      </w:r>
      <w:r>
        <w:t>VICTOZA</w:t>
      </w:r>
      <w:r w:rsidRPr="009E7DD2">
        <w:t xml:space="preserve"> both contain the same active ingredient, liraglutide, and therefore should not be used together. SAXENDA should not be used in combination with any other GLP-1 receptor agonist. </w:t>
      </w:r>
    </w:p>
    <w:p w:rsidR="00600B20" w:rsidRDefault="00600B20" w:rsidP="003B05DB">
      <w:pPr>
        <w:jc w:val="both"/>
      </w:pPr>
    </w:p>
    <w:p w:rsidR="00600B20" w:rsidRPr="009E7DD2" w:rsidRDefault="00600B20" w:rsidP="00600B20">
      <w:pPr>
        <w:numPr>
          <w:ilvl w:val="12"/>
          <w:numId w:val="0"/>
        </w:numPr>
        <w:jc w:val="both"/>
        <w:rPr>
          <w:b/>
          <w:i/>
          <w:lang w:val="en-AU"/>
        </w:rPr>
      </w:pPr>
      <w:r w:rsidRPr="009E7DD2">
        <w:rPr>
          <w:b/>
          <w:i/>
          <w:lang w:val="en-AU"/>
        </w:rPr>
        <w:t>Administration</w:t>
      </w:r>
    </w:p>
    <w:p w:rsidR="00600B20" w:rsidRDefault="00600B20" w:rsidP="00600B20">
      <w:pPr>
        <w:jc w:val="both"/>
      </w:pPr>
      <w:r w:rsidRPr="009E7DD2">
        <w:rPr>
          <w:iCs/>
          <w:lang w:val="en-AU"/>
        </w:rPr>
        <w:t xml:space="preserve">SAXENDA is for subcutaneous use only. It must </w:t>
      </w:r>
      <w:r w:rsidRPr="009E7DD2">
        <w:rPr>
          <w:b/>
          <w:iCs/>
          <w:lang w:val="en-AU"/>
        </w:rPr>
        <w:t>not</w:t>
      </w:r>
      <w:r w:rsidRPr="009E7DD2">
        <w:rPr>
          <w:iCs/>
          <w:lang w:val="en-AU"/>
        </w:rPr>
        <w:t xml:space="preserve"> be administered intravenously or intramuscularly. </w:t>
      </w:r>
    </w:p>
    <w:p w:rsidR="00600B20" w:rsidRDefault="00600B20" w:rsidP="003B05DB">
      <w:pPr>
        <w:jc w:val="both"/>
      </w:pPr>
    </w:p>
    <w:p w:rsidR="00600B20" w:rsidRDefault="00600B20" w:rsidP="003B05DB">
      <w:pPr>
        <w:jc w:val="both"/>
      </w:pPr>
      <w:r w:rsidRPr="009E7DD2">
        <w:rPr>
          <w:noProof/>
          <w:lang w:val="en-AU"/>
        </w:rPr>
        <w:t>SAXENDA</w:t>
      </w:r>
      <w:r w:rsidRPr="009E7DD2">
        <w:rPr>
          <w:iCs/>
          <w:lang w:val="en-AU"/>
        </w:rPr>
        <w:t xml:space="preserve"> is administered once daily at any time, independent of meals. It should be injected</w:t>
      </w:r>
      <w:r w:rsidRPr="009E7DD2">
        <w:rPr>
          <w:lang w:val="en-AU"/>
        </w:rPr>
        <w:t xml:space="preserve"> in the abdomen, thigh or upper arm. T</w:t>
      </w:r>
      <w:r w:rsidRPr="009E7DD2">
        <w:rPr>
          <w:iCs/>
          <w:lang w:val="en-AU"/>
        </w:rPr>
        <w:t xml:space="preserve">he injection site and timing </w:t>
      </w:r>
      <w:r w:rsidRPr="009E7DD2">
        <w:rPr>
          <w:lang w:val="en-AU"/>
        </w:rPr>
        <w:t>can be changed</w:t>
      </w:r>
      <w:r w:rsidRPr="009E7DD2">
        <w:rPr>
          <w:iCs/>
          <w:lang w:val="en-AU"/>
        </w:rPr>
        <w:t xml:space="preserve"> without dose adjustment. However it is preferable that SAXENDA is injected around the same time of the day, when the most convenient time of the day has been chosen.</w:t>
      </w:r>
    </w:p>
    <w:p w:rsidR="00600B20" w:rsidRDefault="00600B20" w:rsidP="003B05DB">
      <w:pPr>
        <w:jc w:val="both"/>
      </w:pPr>
    </w:p>
    <w:p w:rsidR="00600B20" w:rsidRDefault="00600B20" w:rsidP="003B05DB">
      <w:pPr>
        <w:jc w:val="both"/>
      </w:pPr>
      <w:r w:rsidRPr="009E7DD2">
        <w:rPr>
          <w:iCs/>
          <w:lang w:val="en-AU"/>
        </w:rPr>
        <w:t xml:space="preserve">If a dose is missed within 12 hours from when it is usually taken, the patient should take the dose as soon as possible. If there is less than 12 hours to the next dose, the patient should not take the missed dose and resume the once-daily regimen with the next scheduled dose. An extra dose or increase in dose should not be taken to make up for the missed dose. </w:t>
      </w:r>
    </w:p>
    <w:p w:rsidR="00600B20" w:rsidRDefault="00600B20" w:rsidP="003B05DB">
      <w:pPr>
        <w:jc w:val="both"/>
      </w:pPr>
    </w:p>
    <w:p w:rsidR="00600B20" w:rsidRDefault="00600B20" w:rsidP="003B05DB">
      <w:pPr>
        <w:jc w:val="both"/>
      </w:pPr>
      <w:r w:rsidRPr="009E7DD2">
        <w:rPr>
          <w:iCs/>
          <w:lang w:val="en-AU"/>
        </w:rPr>
        <w:lastRenderedPageBreak/>
        <w:t>SAXENDA should not be mixed with other injectable medicinal products (e.g. infusion fluids [see PRECAUTIONS]).</w:t>
      </w:r>
    </w:p>
    <w:p w:rsidR="00600B20" w:rsidRDefault="00600B20" w:rsidP="003B05DB">
      <w:pPr>
        <w:jc w:val="both"/>
      </w:pPr>
    </w:p>
    <w:p w:rsidR="00600B20" w:rsidRPr="009E7DD2" w:rsidRDefault="00600B20" w:rsidP="00600B20">
      <w:pPr>
        <w:keepNext/>
        <w:numPr>
          <w:ilvl w:val="12"/>
          <w:numId w:val="0"/>
        </w:numPr>
        <w:jc w:val="both"/>
        <w:rPr>
          <w:iCs/>
          <w:lang w:val="en-AU"/>
        </w:rPr>
      </w:pPr>
      <w:r w:rsidRPr="009E7DD2">
        <w:rPr>
          <w:b/>
          <w:i/>
          <w:lang w:val="en-AU"/>
        </w:rPr>
        <w:t>Dosage</w:t>
      </w:r>
    </w:p>
    <w:p w:rsidR="00600B20" w:rsidRDefault="00600B20" w:rsidP="00600B20">
      <w:pPr>
        <w:jc w:val="both"/>
      </w:pPr>
      <w:r w:rsidRPr="009E7DD2">
        <w:rPr>
          <w:noProof/>
          <w:lang w:val="en-AU"/>
        </w:rPr>
        <w:t xml:space="preserve">The starting </w:t>
      </w:r>
      <w:r w:rsidRPr="009E7DD2">
        <w:rPr>
          <w:iCs/>
          <w:lang w:val="en-AU"/>
        </w:rPr>
        <w:t xml:space="preserve">dose is 0.6 mg once daily. The dose should be increased to 3.0 mg daily in increments of 0.6 mg with at least one week intervals to improve gastro-intestinal tolerability (see Table </w:t>
      </w:r>
      <w:r w:rsidR="00F11A86">
        <w:rPr>
          <w:iCs/>
          <w:lang w:val="en-AU"/>
        </w:rPr>
        <w:t>6</w:t>
      </w:r>
      <w:r w:rsidRPr="009E7DD2">
        <w:rPr>
          <w:iCs/>
          <w:lang w:val="en-AU"/>
        </w:rPr>
        <w:t>). If escalation to the next dose step is not tolerated for two consec</w:t>
      </w:r>
      <w:r>
        <w:rPr>
          <w:iCs/>
          <w:lang w:val="en-AU"/>
        </w:rPr>
        <w:t>u</w:t>
      </w:r>
      <w:r w:rsidRPr="009E7DD2">
        <w:rPr>
          <w:iCs/>
          <w:lang w:val="en-AU"/>
        </w:rPr>
        <w:t>tive weeks, consider discontinuing treatment. Daily doses higher than 3</w:t>
      </w:r>
      <w:r>
        <w:rPr>
          <w:iCs/>
          <w:lang w:val="en-AU"/>
        </w:rPr>
        <w:t>.0</w:t>
      </w:r>
      <w:r w:rsidRPr="009E7DD2">
        <w:rPr>
          <w:iCs/>
          <w:lang w:val="en-AU"/>
        </w:rPr>
        <w:t xml:space="preserve"> mg are not recommended. </w:t>
      </w:r>
    </w:p>
    <w:p w:rsidR="00600B20" w:rsidRDefault="00600B20" w:rsidP="003B05DB">
      <w:pPr>
        <w:jc w:val="both"/>
      </w:pPr>
    </w:p>
    <w:p w:rsidR="00600B20" w:rsidRPr="009E7DD2" w:rsidRDefault="00600B20" w:rsidP="00600B20">
      <w:pPr>
        <w:numPr>
          <w:ilvl w:val="12"/>
          <w:numId w:val="0"/>
        </w:numPr>
        <w:jc w:val="both"/>
        <w:rPr>
          <w:b/>
          <w:iCs/>
          <w:lang w:val="en-AU"/>
        </w:rPr>
      </w:pPr>
      <w:r w:rsidRPr="009E7DD2">
        <w:rPr>
          <w:b/>
          <w:iCs/>
          <w:lang w:val="en-AU"/>
        </w:rPr>
        <w:t xml:space="preserve">Table </w:t>
      </w:r>
      <w:r w:rsidR="00F11A86">
        <w:rPr>
          <w:b/>
          <w:iCs/>
          <w:lang w:val="en-AU"/>
        </w:rPr>
        <w:t>6</w:t>
      </w:r>
      <w:r w:rsidR="00F11A86" w:rsidRPr="009E7DD2">
        <w:rPr>
          <w:b/>
          <w:iCs/>
          <w:lang w:val="en-AU"/>
        </w:rPr>
        <w:t xml:space="preserve"> </w:t>
      </w:r>
      <w:r w:rsidRPr="009E7DD2">
        <w:rPr>
          <w:b/>
          <w:iCs/>
          <w:lang w:val="en-AU"/>
        </w:rPr>
        <w:tab/>
        <w:t xml:space="preserve">Dose Escalation schedule </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3"/>
        <w:gridCol w:w="3064"/>
        <w:gridCol w:w="2835"/>
      </w:tblGrid>
      <w:tr w:rsidR="00600B20" w:rsidRPr="009E7DD2" w:rsidTr="00AA36B0">
        <w:trPr>
          <w:trHeight w:val="224"/>
        </w:trPr>
        <w:tc>
          <w:tcPr>
            <w:tcW w:w="1575" w:type="pct"/>
          </w:tcPr>
          <w:p w:rsidR="00600B20" w:rsidRPr="009E7DD2" w:rsidRDefault="00600B20" w:rsidP="00AA36B0">
            <w:pPr>
              <w:numPr>
                <w:ilvl w:val="12"/>
                <w:numId w:val="0"/>
              </w:numPr>
              <w:jc w:val="both"/>
              <w:rPr>
                <w:iCs/>
                <w:sz w:val="22"/>
                <w:szCs w:val="22"/>
                <w:lang w:val="en-AU"/>
              </w:rPr>
            </w:pPr>
          </w:p>
        </w:tc>
        <w:tc>
          <w:tcPr>
            <w:tcW w:w="1779" w:type="pct"/>
          </w:tcPr>
          <w:p w:rsidR="00600B20" w:rsidRPr="009E7DD2" w:rsidRDefault="00600B20" w:rsidP="00AA36B0">
            <w:pPr>
              <w:numPr>
                <w:ilvl w:val="12"/>
                <w:numId w:val="0"/>
              </w:numPr>
              <w:jc w:val="center"/>
              <w:rPr>
                <w:b/>
                <w:iCs/>
                <w:sz w:val="22"/>
                <w:szCs w:val="22"/>
                <w:lang w:val="en-AU"/>
              </w:rPr>
            </w:pPr>
            <w:r w:rsidRPr="009E7DD2">
              <w:rPr>
                <w:b/>
                <w:iCs/>
                <w:sz w:val="22"/>
                <w:szCs w:val="22"/>
                <w:lang w:val="en-AU"/>
              </w:rPr>
              <w:t>Dose</w:t>
            </w:r>
          </w:p>
        </w:tc>
        <w:tc>
          <w:tcPr>
            <w:tcW w:w="1646" w:type="pct"/>
          </w:tcPr>
          <w:p w:rsidR="00600B20" w:rsidRPr="009E7DD2" w:rsidRDefault="00600B20" w:rsidP="00AA36B0">
            <w:pPr>
              <w:numPr>
                <w:ilvl w:val="12"/>
                <w:numId w:val="0"/>
              </w:numPr>
              <w:jc w:val="center"/>
              <w:rPr>
                <w:b/>
                <w:iCs/>
                <w:sz w:val="22"/>
                <w:szCs w:val="22"/>
                <w:lang w:val="en-AU"/>
              </w:rPr>
            </w:pPr>
            <w:r w:rsidRPr="009E7DD2">
              <w:rPr>
                <w:b/>
                <w:iCs/>
                <w:sz w:val="22"/>
                <w:szCs w:val="22"/>
                <w:lang w:val="en-AU"/>
              </w:rPr>
              <w:t>Weeks</w:t>
            </w:r>
          </w:p>
        </w:tc>
      </w:tr>
      <w:tr w:rsidR="00600B20" w:rsidRPr="009E7DD2" w:rsidTr="00AA36B0">
        <w:trPr>
          <w:trHeight w:val="224"/>
        </w:trPr>
        <w:tc>
          <w:tcPr>
            <w:tcW w:w="1575" w:type="pct"/>
            <w:vMerge w:val="restart"/>
            <w:vAlign w:val="center"/>
          </w:tcPr>
          <w:p w:rsidR="00600B20" w:rsidRPr="009E7DD2" w:rsidRDefault="00600B20" w:rsidP="00AA36B0">
            <w:pPr>
              <w:numPr>
                <w:ilvl w:val="12"/>
                <w:numId w:val="0"/>
              </w:numPr>
              <w:jc w:val="both"/>
              <w:rPr>
                <w:b/>
                <w:iCs/>
                <w:sz w:val="22"/>
                <w:szCs w:val="22"/>
                <w:lang w:val="en-AU"/>
              </w:rPr>
            </w:pPr>
            <w:r w:rsidRPr="009E7DD2">
              <w:rPr>
                <w:b/>
                <w:iCs/>
                <w:sz w:val="22"/>
                <w:szCs w:val="22"/>
                <w:lang w:val="en-AU"/>
              </w:rPr>
              <w:t>Dose escalation</w:t>
            </w:r>
          </w:p>
          <w:p w:rsidR="00600B20" w:rsidRPr="009E7DD2" w:rsidRDefault="00600B20" w:rsidP="00AA36B0">
            <w:pPr>
              <w:numPr>
                <w:ilvl w:val="12"/>
                <w:numId w:val="0"/>
              </w:numPr>
              <w:jc w:val="both"/>
              <w:rPr>
                <w:b/>
                <w:iCs/>
                <w:sz w:val="22"/>
                <w:szCs w:val="22"/>
                <w:lang w:val="en-AU"/>
              </w:rPr>
            </w:pPr>
          </w:p>
        </w:tc>
        <w:tc>
          <w:tcPr>
            <w:tcW w:w="1779" w:type="pct"/>
          </w:tcPr>
          <w:p w:rsidR="00600B20" w:rsidRPr="009E7DD2" w:rsidRDefault="00600B20" w:rsidP="00AA36B0">
            <w:pPr>
              <w:numPr>
                <w:ilvl w:val="12"/>
                <w:numId w:val="0"/>
              </w:numPr>
              <w:jc w:val="center"/>
              <w:rPr>
                <w:iCs/>
                <w:sz w:val="22"/>
                <w:szCs w:val="22"/>
                <w:lang w:val="en-AU"/>
              </w:rPr>
            </w:pPr>
            <w:r w:rsidRPr="009E7DD2">
              <w:rPr>
                <w:iCs/>
                <w:sz w:val="22"/>
                <w:szCs w:val="22"/>
                <w:lang w:val="en-AU"/>
              </w:rPr>
              <w:t>0.6 mg</w:t>
            </w:r>
          </w:p>
        </w:tc>
        <w:tc>
          <w:tcPr>
            <w:tcW w:w="1646" w:type="pct"/>
          </w:tcPr>
          <w:p w:rsidR="00600B20" w:rsidRPr="009E7DD2" w:rsidRDefault="00600B20" w:rsidP="00AA36B0">
            <w:pPr>
              <w:numPr>
                <w:ilvl w:val="12"/>
                <w:numId w:val="0"/>
              </w:numPr>
              <w:jc w:val="center"/>
              <w:rPr>
                <w:iCs/>
                <w:sz w:val="22"/>
                <w:szCs w:val="22"/>
                <w:lang w:val="en-AU"/>
              </w:rPr>
            </w:pPr>
            <w:r w:rsidRPr="009E7DD2">
              <w:rPr>
                <w:iCs/>
                <w:sz w:val="22"/>
                <w:szCs w:val="22"/>
                <w:lang w:val="en-AU"/>
              </w:rPr>
              <w:t>1</w:t>
            </w:r>
          </w:p>
        </w:tc>
      </w:tr>
      <w:tr w:rsidR="00600B20" w:rsidRPr="00393E99" w:rsidTr="00AA36B0">
        <w:trPr>
          <w:trHeight w:val="224"/>
        </w:trPr>
        <w:tc>
          <w:tcPr>
            <w:tcW w:w="1575" w:type="pct"/>
            <w:vMerge/>
          </w:tcPr>
          <w:p w:rsidR="00600B20" w:rsidRPr="00393E99" w:rsidRDefault="00600B20" w:rsidP="00AA36B0">
            <w:pPr>
              <w:numPr>
                <w:ilvl w:val="12"/>
                <w:numId w:val="0"/>
              </w:numPr>
              <w:jc w:val="both"/>
              <w:rPr>
                <w:b/>
                <w:iCs/>
                <w:sz w:val="22"/>
                <w:szCs w:val="22"/>
                <w:lang w:val="en-AU"/>
              </w:rPr>
            </w:pPr>
          </w:p>
        </w:tc>
        <w:tc>
          <w:tcPr>
            <w:tcW w:w="1779"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1.2 mg</w:t>
            </w:r>
          </w:p>
        </w:tc>
        <w:tc>
          <w:tcPr>
            <w:tcW w:w="1646"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1</w:t>
            </w:r>
          </w:p>
        </w:tc>
      </w:tr>
      <w:tr w:rsidR="00600B20" w:rsidRPr="00393E99" w:rsidTr="00AA36B0">
        <w:trPr>
          <w:trHeight w:val="77"/>
        </w:trPr>
        <w:tc>
          <w:tcPr>
            <w:tcW w:w="1575" w:type="pct"/>
            <w:vMerge/>
          </w:tcPr>
          <w:p w:rsidR="00600B20" w:rsidRPr="00393E99" w:rsidRDefault="00600B20" w:rsidP="00AA36B0">
            <w:pPr>
              <w:numPr>
                <w:ilvl w:val="12"/>
                <w:numId w:val="0"/>
              </w:numPr>
              <w:jc w:val="both"/>
              <w:rPr>
                <w:b/>
                <w:iCs/>
                <w:sz w:val="22"/>
                <w:szCs w:val="22"/>
                <w:lang w:val="en-AU"/>
              </w:rPr>
            </w:pPr>
          </w:p>
        </w:tc>
        <w:tc>
          <w:tcPr>
            <w:tcW w:w="1779"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1.8 mg</w:t>
            </w:r>
          </w:p>
        </w:tc>
        <w:tc>
          <w:tcPr>
            <w:tcW w:w="1646"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1</w:t>
            </w:r>
          </w:p>
        </w:tc>
      </w:tr>
      <w:tr w:rsidR="00600B20" w:rsidRPr="00393E99" w:rsidTr="00AA36B0">
        <w:trPr>
          <w:trHeight w:val="224"/>
        </w:trPr>
        <w:tc>
          <w:tcPr>
            <w:tcW w:w="1575" w:type="pct"/>
            <w:vMerge/>
          </w:tcPr>
          <w:p w:rsidR="00600B20" w:rsidRPr="00393E99" w:rsidRDefault="00600B20" w:rsidP="00AA36B0">
            <w:pPr>
              <w:numPr>
                <w:ilvl w:val="12"/>
                <w:numId w:val="0"/>
              </w:numPr>
              <w:jc w:val="both"/>
              <w:rPr>
                <w:b/>
                <w:iCs/>
                <w:sz w:val="22"/>
                <w:szCs w:val="22"/>
                <w:lang w:val="en-AU"/>
              </w:rPr>
            </w:pPr>
          </w:p>
        </w:tc>
        <w:tc>
          <w:tcPr>
            <w:tcW w:w="1779"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2.4 mg</w:t>
            </w:r>
          </w:p>
        </w:tc>
        <w:tc>
          <w:tcPr>
            <w:tcW w:w="1646" w:type="pct"/>
          </w:tcPr>
          <w:p w:rsidR="00600B20" w:rsidRPr="00393E99" w:rsidRDefault="00600B20" w:rsidP="00AA36B0">
            <w:pPr>
              <w:numPr>
                <w:ilvl w:val="12"/>
                <w:numId w:val="0"/>
              </w:numPr>
              <w:jc w:val="center"/>
              <w:rPr>
                <w:iCs/>
                <w:sz w:val="22"/>
                <w:szCs w:val="22"/>
                <w:lang w:val="en-AU"/>
              </w:rPr>
            </w:pPr>
            <w:r w:rsidRPr="00393E99">
              <w:rPr>
                <w:iCs/>
                <w:sz w:val="22"/>
                <w:szCs w:val="22"/>
                <w:lang w:val="en-AU"/>
              </w:rPr>
              <w:t>1</w:t>
            </w:r>
          </w:p>
        </w:tc>
      </w:tr>
      <w:tr w:rsidR="00600B20" w:rsidRPr="009E7DD2" w:rsidTr="00AA36B0">
        <w:trPr>
          <w:trHeight w:val="224"/>
        </w:trPr>
        <w:tc>
          <w:tcPr>
            <w:tcW w:w="1575" w:type="pct"/>
          </w:tcPr>
          <w:p w:rsidR="00600B20" w:rsidRPr="009E7DD2" w:rsidRDefault="00600B20" w:rsidP="00AA36B0">
            <w:pPr>
              <w:numPr>
                <w:ilvl w:val="12"/>
                <w:numId w:val="0"/>
              </w:numPr>
              <w:jc w:val="both"/>
              <w:rPr>
                <w:b/>
                <w:iCs/>
                <w:sz w:val="22"/>
                <w:szCs w:val="22"/>
                <w:lang w:val="en-AU"/>
              </w:rPr>
            </w:pPr>
            <w:r w:rsidRPr="009E7DD2">
              <w:rPr>
                <w:b/>
                <w:iCs/>
                <w:sz w:val="22"/>
                <w:szCs w:val="22"/>
                <w:lang w:val="en-AU"/>
              </w:rPr>
              <w:t>Maintenance dose</w:t>
            </w:r>
          </w:p>
        </w:tc>
        <w:tc>
          <w:tcPr>
            <w:tcW w:w="3425" w:type="pct"/>
            <w:gridSpan w:val="2"/>
          </w:tcPr>
          <w:p w:rsidR="00600B20" w:rsidRPr="009E7DD2" w:rsidRDefault="00600B20" w:rsidP="00AA36B0">
            <w:pPr>
              <w:numPr>
                <w:ilvl w:val="12"/>
                <w:numId w:val="0"/>
              </w:numPr>
              <w:jc w:val="center"/>
              <w:rPr>
                <w:b/>
                <w:iCs/>
                <w:sz w:val="22"/>
                <w:szCs w:val="22"/>
                <w:lang w:val="en-AU"/>
              </w:rPr>
            </w:pPr>
            <w:r w:rsidRPr="009E7DD2">
              <w:rPr>
                <w:b/>
                <w:iCs/>
                <w:sz w:val="22"/>
                <w:szCs w:val="22"/>
                <w:lang w:val="en-AU"/>
              </w:rPr>
              <w:t>3.0 mg</w:t>
            </w:r>
          </w:p>
        </w:tc>
      </w:tr>
    </w:tbl>
    <w:p w:rsidR="00600B20" w:rsidRDefault="00600B20" w:rsidP="003B05DB">
      <w:pPr>
        <w:jc w:val="both"/>
      </w:pPr>
      <w:r w:rsidRPr="00480CCA">
        <w:rPr>
          <w:iCs/>
          <w:lang w:val="en-AU"/>
        </w:rPr>
        <w:t xml:space="preserve">The need for continued treatment should be re-evaluated whenever a new prescription is written and at least annually. </w:t>
      </w:r>
    </w:p>
    <w:p w:rsidR="00600B20" w:rsidRDefault="00600B20" w:rsidP="003B05DB">
      <w:pPr>
        <w:jc w:val="both"/>
      </w:pPr>
    </w:p>
    <w:p w:rsidR="00600B20" w:rsidRPr="009E7DD2" w:rsidRDefault="00600B20" w:rsidP="00600B20">
      <w:pPr>
        <w:numPr>
          <w:ilvl w:val="12"/>
          <w:numId w:val="0"/>
        </w:numPr>
        <w:jc w:val="both"/>
        <w:rPr>
          <w:iCs/>
          <w:u w:val="single"/>
          <w:lang w:val="en-AU"/>
        </w:rPr>
      </w:pPr>
      <w:r w:rsidRPr="009E7DD2">
        <w:rPr>
          <w:iCs/>
          <w:u w:val="single"/>
          <w:lang w:val="en-AU"/>
        </w:rPr>
        <w:t xml:space="preserve">Patients with type 2 diabetes </w:t>
      </w:r>
    </w:p>
    <w:p w:rsidR="00600B20" w:rsidRDefault="00600B20" w:rsidP="00600B20">
      <w:pPr>
        <w:jc w:val="both"/>
      </w:pPr>
      <w:r w:rsidRPr="009E7DD2">
        <w:rPr>
          <w:iCs/>
          <w:lang w:val="en-AU"/>
        </w:rPr>
        <w:t>When initiating SAXENDA, consider reducing the dose of concomitantly administered insulin or insulin secretagogues (such as sulfonylureas) to reduce the risk of hypoglycaemia [see PRECAUTIONS and ADVERSE EFFECTS].</w:t>
      </w:r>
    </w:p>
    <w:p w:rsidR="00600B20" w:rsidRDefault="00600B20" w:rsidP="003B05DB">
      <w:pPr>
        <w:jc w:val="both"/>
      </w:pPr>
    </w:p>
    <w:p w:rsidR="00600B20" w:rsidRDefault="00600B20" w:rsidP="003B05DB">
      <w:pPr>
        <w:jc w:val="both"/>
      </w:pPr>
      <w:r w:rsidRPr="009E7DD2">
        <w:rPr>
          <w:iCs/>
          <w:lang w:val="en-AU"/>
        </w:rPr>
        <w:t xml:space="preserve">SAXENDA is not a substitute for insulin.  </w:t>
      </w:r>
    </w:p>
    <w:p w:rsidR="00600B20" w:rsidRDefault="00600B20" w:rsidP="003B05DB">
      <w:pPr>
        <w:jc w:val="both"/>
      </w:pPr>
    </w:p>
    <w:p w:rsidR="00600B20" w:rsidRPr="009E7DD2" w:rsidRDefault="00600B20" w:rsidP="00600B20">
      <w:pPr>
        <w:keepNext/>
        <w:numPr>
          <w:ilvl w:val="12"/>
          <w:numId w:val="0"/>
        </w:numPr>
        <w:jc w:val="both"/>
        <w:rPr>
          <w:b/>
          <w:i/>
          <w:iCs/>
          <w:lang w:val="en-AU"/>
        </w:rPr>
      </w:pPr>
      <w:r w:rsidRPr="009E7DD2">
        <w:rPr>
          <w:b/>
          <w:i/>
          <w:iCs/>
          <w:lang w:val="en-AU"/>
        </w:rPr>
        <w:t>Specific patient groups</w:t>
      </w:r>
    </w:p>
    <w:p w:rsidR="00600B20" w:rsidRPr="009E7DD2" w:rsidRDefault="00600B20" w:rsidP="00600B20">
      <w:pPr>
        <w:keepNext/>
        <w:numPr>
          <w:ilvl w:val="12"/>
          <w:numId w:val="0"/>
        </w:numPr>
        <w:jc w:val="both"/>
        <w:rPr>
          <w:iCs/>
          <w:u w:val="single"/>
          <w:lang w:val="en-AU"/>
        </w:rPr>
      </w:pPr>
      <w:r w:rsidRPr="009E7DD2">
        <w:rPr>
          <w:iCs/>
          <w:u w:val="single"/>
          <w:lang w:val="en-AU"/>
        </w:rPr>
        <w:t xml:space="preserve">Elderly (&gt; 65 years old) </w:t>
      </w:r>
    </w:p>
    <w:p w:rsidR="00600B20" w:rsidRDefault="00600B20" w:rsidP="00600B20">
      <w:pPr>
        <w:jc w:val="both"/>
      </w:pPr>
      <w:r w:rsidRPr="009E7DD2">
        <w:rPr>
          <w:iCs/>
          <w:lang w:val="en-AU"/>
        </w:rPr>
        <w:t>No dose adjustment is required based on age</w:t>
      </w:r>
      <w:r w:rsidRPr="009E7DD2">
        <w:rPr>
          <w:i/>
          <w:iCs/>
          <w:lang w:val="en-AU"/>
        </w:rPr>
        <w:t xml:space="preserve">. </w:t>
      </w:r>
      <w:r w:rsidRPr="009E7DD2">
        <w:rPr>
          <w:iCs/>
          <w:lang w:val="en-AU"/>
        </w:rPr>
        <w:t xml:space="preserve">Therapeutic experience with patients ≥75 years of age is limited and use in these patients is not recommended. SAXENDA should be used with caution in patients aged 65-74 years. [See </w:t>
      </w:r>
      <w:r w:rsidRPr="009E7DD2">
        <w:rPr>
          <w:b/>
          <w:i/>
          <w:iCs/>
          <w:lang w:val="en-AU"/>
        </w:rPr>
        <w:t xml:space="preserve">Pharmacokinetics </w:t>
      </w:r>
      <w:r w:rsidRPr="009E7DD2">
        <w:rPr>
          <w:iCs/>
          <w:lang w:val="en-AU"/>
        </w:rPr>
        <w:t>and PRECAUTIONS].</w:t>
      </w:r>
      <w:r w:rsidRPr="009E7DD2">
        <w:rPr>
          <w:i/>
          <w:iCs/>
          <w:lang w:val="en-AU"/>
        </w:rPr>
        <w:t xml:space="preserve"> </w:t>
      </w:r>
    </w:p>
    <w:p w:rsidR="00600B20" w:rsidRDefault="00600B20" w:rsidP="003B05DB">
      <w:pPr>
        <w:jc w:val="both"/>
      </w:pPr>
    </w:p>
    <w:p w:rsidR="00600B20" w:rsidRPr="00DB6791" w:rsidRDefault="00600B20" w:rsidP="00600B20">
      <w:pPr>
        <w:keepNext/>
        <w:numPr>
          <w:ilvl w:val="12"/>
          <w:numId w:val="0"/>
        </w:numPr>
        <w:jc w:val="both"/>
        <w:rPr>
          <w:iCs/>
          <w:u w:val="single"/>
          <w:lang w:val="en-AU"/>
        </w:rPr>
      </w:pPr>
      <w:r w:rsidRPr="009E7DD2">
        <w:rPr>
          <w:iCs/>
          <w:u w:val="single"/>
          <w:lang w:val="en-AU"/>
        </w:rPr>
        <w:t>Patients with hepatic impairment</w:t>
      </w:r>
    </w:p>
    <w:p w:rsidR="00600B20" w:rsidRDefault="00600B20" w:rsidP="00600B20">
      <w:pPr>
        <w:jc w:val="both"/>
      </w:pPr>
      <w:r>
        <w:rPr>
          <w:iCs/>
          <w:lang w:val="en-AU"/>
        </w:rPr>
        <w:t xml:space="preserve">SAXENDA is not recommended in patients with hepatic impairment [see </w:t>
      </w:r>
      <w:r w:rsidRPr="00ED13EB">
        <w:rPr>
          <w:iCs/>
          <w:lang w:val="en-AU"/>
        </w:rPr>
        <w:t>PRECAUTIONS</w:t>
      </w:r>
      <w:r>
        <w:rPr>
          <w:lang w:val="en-AU" w:eastAsia="en-AU"/>
        </w:rPr>
        <w:t>]</w:t>
      </w:r>
      <w:r w:rsidRPr="00FE4797">
        <w:rPr>
          <w:lang w:val="en-AU" w:eastAsia="en-AU"/>
        </w:rPr>
        <w:t xml:space="preserve">. </w:t>
      </w:r>
    </w:p>
    <w:p w:rsidR="00600B20" w:rsidRDefault="00600B20" w:rsidP="003B05DB">
      <w:pPr>
        <w:jc w:val="both"/>
      </w:pPr>
    </w:p>
    <w:p w:rsidR="00600B20" w:rsidRPr="00D91A10" w:rsidRDefault="00600B20" w:rsidP="00600B20">
      <w:pPr>
        <w:numPr>
          <w:ilvl w:val="12"/>
          <w:numId w:val="0"/>
        </w:numPr>
        <w:jc w:val="both"/>
        <w:rPr>
          <w:iCs/>
          <w:u w:val="single"/>
          <w:lang w:val="en-AU"/>
        </w:rPr>
      </w:pPr>
      <w:r w:rsidRPr="00D91A10">
        <w:rPr>
          <w:iCs/>
          <w:u w:val="single"/>
          <w:lang w:val="en-AU"/>
        </w:rPr>
        <w:t>Patients with renal impairment</w:t>
      </w:r>
    </w:p>
    <w:p w:rsidR="00600B20" w:rsidRDefault="00600B20" w:rsidP="00600B20">
      <w:pPr>
        <w:jc w:val="both"/>
      </w:pPr>
      <w:r w:rsidRPr="00D91A10">
        <w:rPr>
          <w:lang w:val="en-AU" w:eastAsia="en-AU"/>
        </w:rPr>
        <w:t xml:space="preserve">No dose adjustment is required for patients with mild or moderate renal impairment (creatinine clearance ≥30 mL/min). There is limited experience with the use of </w:t>
      </w:r>
      <w:r w:rsidRPr="00D91A10">
        <w:rPr>
          <w:lang w:val="en-GB"/>
        </w:rPr>
        <w:t xml:space="preserve">SAXENDA </w:t>
      </w:r>
      <w:r w:rsidRPr="00103875">
        <w:rPr>
          <w:lang w:val="en-GB"/>
        </w:rPr>
        <w:t xml:space="preserve">in patients with mild/moderate renal impairment and SAXENDA </w:t>
      </w:r>
      <w:r w:rsidRPr="00393E99">
        <w:rPr>
          <w:lang w:val="en-GB"/>
        </w:rPr>
        <w:t xml:space="preserve">should be used with caution in these patients. </w:t>
      </w:r>
      <w:r w:rsidRPr="00393E99">
        <w:rPr>
          <w:lang w:val="en-AU" w:eastAsia="en-AU"/>
        </w:rPr>
        <w:t xml:space="preserve">There is no </w:t>
      </w:r>
      <w:r w:rsidRPr="00D91A10">
        <w:rPr>
          <w:lang w:val="en-AU" w:eastAsia="en-AU"/>
        </w:rPr>
        <w:t>experience in patients with severe renal impairment (creatinine clearance &lt;30 mL/min). SAXENDA is not recommended for use in patients with severe renal impairment including patients with end</w:t>
      </w:r>
      <w:r w:rsidRPr="00D91A10">
        <w:rPr>
          <w:lang w:val="en-AU" w:eastAsia="en-AU"/>
        </w:rPr>
        <w:noBreakHyphen/>
        <w:t xml:space="preserve">stage renal disease [see </w:t>
      </w:r>
      <w:r w:rsidRPr="00D91A10">
        <w:rPr>
          <w:b/>
          <w:i/>
          <w:lang w:val="en-AU" w:eastAsia="en-AU"/>
        </w:rPr>
        <w:t xml:space="preserve">Pharmacokinetics </w:t>
      </w:r>
      <w:r w:rsidRPr="00D91A10">
        <w:rPr>
          <w:iCs/>
          <w:lang w:val="en-AU"/>
        </w:rPr>
        <w:t>and PRECAUTIONS</w:t>
      </w:r>
      <w:r w:rsidRPr="00D91A10">
        <w:rPr>
          <w:lang w:val="en-AU" w:eastAsia="en-AU"/>
        </w:rPr>
        <w:t xml:space="preserve">]. </w:t>
      </w:r>
    </w:p>
    <w:p w:rsidR="00600B20" w:rsidRDefault="00600B20" w:rsidP="003B05DB">
      <w:pPr>
        <w:jc w:val="both"/>
      </w:pPr>
    </w:p>
    <w:p w:rsidR="00506ED8" w:rsidRPr="00D91A10" w:rsidRDefault="00506ED8" w:rsidP="00506ED8">
      <w:pPr>
        <w:numPr>
          <w:ilvl w:val="12"/>
          <w:numId w:val="0"/>
        </w:numPr>
        <w:jc w:val="both"/>
        <w:rPr>
          <w:iCs/>
          <w:u w:val="single"/>
          <w:lang w:val="en-AU"/>
        </w:rPr>
      </w:pPr>
      <w:r w:rsidRPr="00D91A10">
        <w:rPr>
          <w:iCs/>
          <w:u w:val="single"/>
          <w:lang w:val="en-AU"/>
        </w:rPr>
        <w:t>Children and adolescents</w:t>
      </w:r>
    </w:p>
    <w:p w:rsidR="00600B20" w:rsidRDefault="00506ED8" w:rsidP="00506ED8">
      <w:pPr>
        <w:jc w:val="both"/>
      </w:pPr>
      <w:r w:rsidRPr="00D91A10">
        <w:rPr>
          <w:iCs/>
          <w:lang w:val="en-AU"/>
        </w:rPr>
        <w:t xml:space="preserve">The safety and efficacy of SAXENDA in children and adolescents below 18 years of age have not been established [see </w:t>
      </w:r>
      <w:r w:rsidRPr="00D91A10">
        <w:rPr>
          <w:b/>
          <w:i/>
          <w:iCs/>
          <w:lang w:val="en-AU"/>
        </w:rPr>
        <w:t>Pharmacodynamics</w:t>
      </w:r>
      <w:r w:rsidRPr="00D91A10">
        <w:rPr>
          <w:iCs/>
          <w:lang w:val="en-AU"/>
        </w:rPr>
        <w:t xml:space="preserve">]. No data are available. SAXENDA is not </w:t>
      </w:r>
      <w:r w:rsidRPr="00103875">
        <w:rPr>
          <w:iCs/>
          <w:lang w:val="en-AU"/>
        </w:rPr>
        <w:t>indicated</w:t>
      </w:r>
      <w:r w:rsidRPr="00393E99">
        <w:rPr>
          <w:iCs/>
          <w:lang w:val="en-AU"/>
        </w:rPr>
        <w:t xml:space="preserve"> for use in paediatric patients.</w:t>
      </w:r>
    </w:p>
    <w:p w:rsidR="00600B20" w:rsidRDefault="00600B20" w:rsidP="003B05DB">
      <w:pPr>
        <w:jc w:val="both"/>
      </w:pPr>
    </w:p>
    <w:p w:rsidR="00506ED8" w:rsidRPr="00D91A10" w:rsidRDefault="00506ED8" w:rsidP="00506ED8">
      <w:pPr>
        <w:pStyle w:val="Heading4"/>
        <w:keepNext w:val="0"/>
        <w:numPr>
          <w:ilvl w:val="12"/>
          <w:numId w:val="0"/>
        </w:numPr>
        <w:rPr>
          <w:b/>
          <w:szCs w:val="24"/>
        </w:rPr>
      </w:pPr>
      <w:r w:rsidRPr="00D91A10">
        <w:rPr>
          <w:b/>
          <w:szCs w:val="24"/>
        </w:rPr>
        <w:t>Special precautions for disposal and other handling</w:t>
      </w:r>
    </w:p>
    <w:p w:rsidR="00506ED8" w:rsidRPr="00D91A10" w:rsidRDefault="00506ED8" w:rsidP="00506ED8">
      <w:pPr>
        <w:pStyle w:val="BodyText"/>
        <w:jc w:val="both"/>
        <w:rPr>
          <w:sz w:val="24"/>
          <w:szCs w:val="24"/>
          <w:lang w:val="en-AU"/>
        </w:rPr>
      </w:pPr>
      <w:r w:rsidRPr="00D91A10">
        <w:rPr>
          <w:noProof/>
          <w:sz w:val="24"/>
          <w:szCs w:val="24"/>
          <w:lang w:val="en-AU"/>
        </w:rPr>
        <w:t>SAXENDA</w:t>
      </w:r>
      <w:r w:rsidRPr="00D91A10">
        <w:rPr>
          <w:sz w:val="24"/>
          <w:szCs w:val="24"/>
          <w:lang w:val="en-AU"/>
        </w:rPr>
        <w:t xml:space="preserve"> should not be used if it does not appear clear and colourless or almost colourless.</w:t>
      </w:r>
    </w:p>
    <w:p w:rsidR="00506ED8" w:rsidRPr="00D91A10" w:rsidRDefault="00506ED8" w:rsidP="00506ED8">
      <w:pPr>
        <w:pStyle w:val="BodyText"/>
        <w:jc w:val="both"/>
        <w:rPr>
          <w:iCs/>
          <w:sz w:val="24"/>
          <w:szCs w:val="24"/>
          <w:lang w:val="en-AU"/>
        </w:rPr>
      </w:pPr>
    </w:p>
    <w:p w:rsidR="00600B20" w:rsidRDefault="00506ED8" w:rsidP="00506ED8">
      <w:pPr>
        <w:jc w:val="both"/>
      </w:pPr>
      <w:r w:rsidRPr="00D91A10">
        <w:rPr>
          <w:noProof/>
          <w:lang w:val="en-AU"/>
        </w:rPr>
        <w:t>SAXENDA</w:t>
      </w:r>
      <w:r w:rsidRPr="00D91A10">
        <w:rPr>
          <w:lang w:val="en-AU"/>
        </w:rPr>
        <w:t xml:space="preserve"> should not be used if it has been frozen.</w:t>
      </w:r>
    </w:p>
    <w:p w:rsidR="00600B20" w:rsidRDefault="00600B20" w:rsidP="003B05DB">
      <w:pPr>
        <w:jc w:val="both"/>
      </w:pPr>
    </w:p>
    <w:p w:rsidR="00600B20" w:rsidRDefault="00506ED8" w:rsidP="003B05DB">
      <w:pPr>
        <w:jc w:val="both"/>
      </w:pPr>
      <w:r w:rsidRPr="00D91A10">
        <w:rPr>
          <w:lang w:val="en-AU"/>
        </w:rPr>
        <w:t>SAXENDA pen is for use by one person only.</w:t>
      </w:r>
    </w:p>
    <w:p w:rsidR="00600B20" w:rsidRDefault="00600B20" w:rsidP="003B05DB">
      <w:pPr>
        <w:jc w:val="both"/>
      </w:pPr>
    </w:p>
    <w:p w:rsidR="00600B20" w:rsidRDefault="00506ED8" w:rsidP="003B05DB">
      <w:pPr>
        <w:jc w:val="both"/>
      </w:pPr>
      <w:r w:rsidRPr="00D91A10">
        <w:rPr>
          <w:lang w:val="en-AU"/>
        </w:rPr>
        <w:t>The pen is designed to be used with NovoFine disposable needles up to a length of 8 mm. Injection needles are not included.</w:t>
      </w:r>
    </w:p>
    <w:p w:rsidR="00600B20" w:rsidRDefault="00600B20" w:rsidP="003B05DB">
      <w:pPr>
        <w:jc w:val="both"/>
      </w:pPr>
    </w:p>
    <w:p w:rsidR="00600B20" w:rsidRDefault="00506ED8" w:rsidP="003B05DB">
      <w:pPr>
        <w:jc w:val="both"/>
      </w:pPr>
      <w:r w:rsidRPr="00D91A10">
        <w:rPr>
          <w:lang w:val="en-AU"/>
        </w:rPr>
        <w:t>The patient should be advised to discard the injection needle after each injection and store the pen without a needle attached. This may prevent blocked needles, contamination, infection, leakage of solution and inaccurate dosing.</w:t>
      </w:r>
    </w:p>
    <w:p w:rsidR="00600B20" w:rsidRDefault="00600B20" w:rsidP="003B05DB">
      <w:pPr>
        <w:jc w:val="both"/>
      </w:pPr>
    </w:p>
    <w:p w:rsidR="00600B20" w:rsidRPr="00506ED8" w:rsidRDefault="00506ED8" w:rsidP="003B05DB">
      <w:pPr>
        <w:jc w:val="both"/>
        <w:rPr>
          <w:b/>
        </w:rPr>
      </w:pPr>
      <w:bookmarkStart w:id="58" w:name="_Toc464639454"/>
      <w:r w:rsidRPr="00506ED8">
        <w:rPr>
          <w:b/>
          <w:lang w:val="en-AU"/>
        </w:rPr>
        <w:t>OVERDOSAGE</w:t>
      </w:r>
      <w:bookmarkEnd w:id="58"/>
    </w:p>
    <w:p w:rsidR="00600B20" w:rsidRDefault="00600B20" w:rsidP="003B05DB">
      <w:pPr>
        <w:jc w:val="both"/>
      </w:pPr>
    </w:p>
    <w:p w:rsidR="00506ED8" w:rsidRDefault="00506ED8" w:rsidP="00506ED8">
      <w:pPr>
        <w:jc w:val="both"/>
        <w:rPr>
          <w:szCs w:val="22"/>
        </w:rPr>
      </w:pPr>
      <w:r w:rsidRPr="00DD1EB5">
        <w:rPr>
          <w:szCs w:val="22"/>
        </w:rPr>
        <w:t>For information on the management of overdose, contact the Poison Information Centre on 131126 (Australia).</w:t>
      </w:r>
    </w:p>
    <w:p w:rsidR="00506ED8" w:rsidRDefault="00506ED8" w:rsidP="00506ED8">
      <w:pPr>
        <w:jc w:val="both"/>
        <w:rPr>
          <w:szCs w:val="22"/>
        </w:rPr>
      </w:pPr>
    </w:p>
    <w:p w:rsidR="00600B20" w:rsidRDefault="00506ED8" w:rsidP="00506ED8">
      <w:pPr>
        <w:jc w:val="both"/>
      </w:pPr>
      <w:r w:rsidRPr="00D91A10">
        <w:rPr>
          <w:lang w:val="en-AU"/>
        </w:rPr>
        <w:t>From clinical trials and post-market use of liraglutide, deliberate or accidental administration of doses up to 24 times the recommended maintenance dose (72 mg) have been reported</w:t>
      </w:r>
      <w:r w:rsidRPr="000F6622">
        <w:t xml:space="preserve">, including one case of a </w:t>
      </w:r>
      <w:r>
        <w:t>6</w:t>
      </w:r>
      <w:r w:rsidRPr="000F6622">
        <w:t>-fold overdose (18 mg daily) given for 7 months</w:t>
      </w:r>
      <w:r w:rsidRPr="00D91A10">
        <w:rPr>
          <w:lang w:val="en-AU"/>
        </w:rPr>
        <w:t>. These included instances where patients needed hospitalisation either due to severe events of vomiting</w:t>
      </w:r>
      <w:r>
        <w:rPr>
          <w:lang w:val="en-AU"/>
        </w:rPr>
        <w:t>,</w:t>
      </w:r>
      <w:r w:rsidRPr="00D91A10">
        <w:rPr>
          <w:lang w:val="en-AU"/>
        </w:rPr>
        <w:t xml:space="preserve"> nausea </w:t>
      </w:r>
      <w:r>
        <w:rPr>
          <w:lang w:val="en-AU"/>
        </w:rPr>
        <w:t xml:space="preserve">and diarrhoea, </w:t>
      </w:r>
      <w:r w:rsidRPr="00D91A10">
        <w:rPr>
          <w:lang w:val="en-AU"/>
        </w:rPr>
        <w:t>or as a precaution. In some reports glucose infusion was administered but none were associated with severe hypoglycaemia. All patients were reported to have recovered from the events without complications.</w:t>
      </w:r>
      <w:r w:rsidRPr="00D91A10">
        <w:rPr>
          <w:b/>
          <w:iCs/>
          <w:lang w:val="en-AU"/>
        </w:rPr>
        <w:t xml:space="preserve"> </w:t>
      </w:r>
    </w:p>
    <w:p w:rsidR="00600B20" w:rsidRDefault="00600B20" w:rsidP="003B05DB">
      <w:pPr>
        <w:jc w:val="both"/>
      </w:pPr>
    </w:p>
    <w:p w:rsidR="00506ED8" w:rsidRDefault="00506ED8" w:rsidP="003B05DB">
      <w:pPr>
        <w:jc w:val="both"/>
      </w:pPr>
      <w:r w:rsidRPr="00D91A10">
        <w:rPr>
          <w:lang w:val="en-AU"/>
        </w:rPr>
        <w:t>In the event of overdosage, appropriate supportive treatment should be initiated according to the patient’s clinical signs and symptoms. The patient should be observed for clinical signs of dehydration and blood glucose should be monitored.</w:t>
      </w:r>
    </w:p>
    <w:p w:rsidR="00506ED8" w:rsidRDefault="00506ED8" w:rsidP="003B05DB">
      <w:pPr>
        <w:jc w:val="both"/>
      </w:pPr>
    </w:p>
    <w:p w:rsidR="00506ED8" w:rsidRPr="00506ED8" w:rsidRDefault="00506ED8" w:rsidP="003B05DB">
      <w:pPr>
        <w:jc w:val="both"/>
        <w:rPr>
          <w:b/>
        </w:rPr>
      </w:pPr>
      <w:bookmarkStart w:id="59" w:name="_Toc464639455"/>
      <w:r w:rsidRPr="00506ED8">
        <w:rPr>
          <w:b/>
          <w:lang w:val="en-AU"/>
        </w:rPr>
        <w:t>PRESENTATION AND STORAGE CONDITIONS</w:t>
      </w:r>
      <w:bookmarkEnd w:id="59"/>
    </w:p>
    <w:p w:rsidR="00506ED8" w:rsidRDefault="00506ED8" w:rsidP="003B05DB">
      <w:pPr>
        <w:jc w:val="both"/>
      </w:pPr>
    </w:p>
    <w:p w:rsidR="00506ED8" w:rsidRDefault="00506ED8" w:rsidP="003B05DB">
      <w:pPr>
        <w:jc w:val="both"/>
      </w:pPr>
      <w:r w:rsidRPr="00D91A10">
        <w:rPr>
          <w:lang w:val="en-AU"/>
        </w:rPr>
        <w:t xml:space="preserve">Cartridge (type 1 glass) with a plunger (bromobutyl) and a stopper (bromobutyl/polyisoprene) contained in a pre-filled multidose disposable pen made of polypropylene, polyacetal, polycarbonate and acrylonitrile butadiene styrene. </w:t>
      </w:r>
    </w:p>
    <w:p w:rsidR="00506ED8" w:rsidRDefault="00506ED8" w:rsidP="003B05DB">
      <w:pPr>
        <w:jc w:val="both"/>
      </w:pPr>
    </w:p>
    <w:p w:rsidR="00506ED8" w:rsidRPr="00D91A10" w:rsidRDefault="00506ED8" w:rsidP="00506ED8">
      <w:pPr>
        <w:jc w:val="both"/>
        <w:rPr>
          <w:lang w:val="en-AU"/>
        </w:rPr>
      </w:pPr>
      <w:r w:rsidRPr="00D91A10">
        <w:rPr>
          <w:lang w:val="en-AU"/>
        </w:rPr>
        <w:t xml:space="preserve">Each pen contains 3 mL solution and is able to deliver doses of 0.6 mg, 1.2 mg, 1.8 mg, 2.4 mg and 3.0 mg. </w:t>
      </w:r>
    </w:p>
    <w:p w:rsidR="00506ED8" w:rsidRPr="00D91A10" w:rsidRDefault="00506ED8" w:rsidP="00506ED8">
      <w:pPr>
        <w:jc w:val="both"/>
        <w:rPr>
          <w:lang w:val="en-AU"/>
        </w:rPr>
      </w:pPr>
    </w:p>
    <w:p w:rsidR="00506ED8" w:rsidRDefault="00506ED8" w:rsidP="00506ED8">
      <w:pPr>
        <w:jc w:val="both"/>
      </w:pPr>
      <w:r w:rsidRPr="00D91A10">
        <w:rPr>
          <w:lang w:val="en-AU"/>
        </w:rPr>
        <w:t>Pack sizes of 1, 3 or 5 pre-filled pens. Not all pack sizes may be marketed.</w:t>
      </w:r>
    </w:p>
    <w:p w:rsidR="00506ED8" w:rsidRDefault="00506ED8" w:rsidP="003B05DB">
      <w:pPr>
        <w:jc w:val="both"/>
      </w:pPr>
    </w:p>
    <w:p w:rsidR="00506ED8" w:rsidRDefault="00506ED8" w:rsidP="003B05DB">
      <w:pPr>
        <w:jc w:val="both"/>
      </w:pPr>
      <w:r w:rsidRPr="00D91A10">
        <w:rPr>
          <w:lang w:val="en-AU"/>
        </w:rPr>
        <w:t xml:space="preserve">Store in a refrigerator (2°C to 8°C). Keep away from the cooling element. Do not freeze </w:t>
      </w:r>
      <w:r w:rsidRPr="00D91A10">
        <w:rPr>
          <w:noProof/>
          <w:lang w:val="en-AU"/>
        </w:rPr>
        <w:t>SAXENDA</w:t>
      </w:r>
      <w:r w:rsidRPr="00D91A10">
        <w:rPr>
          <w:lang w:val="en-AU"/>
        </w:rPr>
        <w:t xml:space="preserve"> and do not use </w:t>
      </w:r>
      <w:r w:rsidRPr="00D91A10">
        <w:rPr>
          <w:noProof/>
          <w:lang w:val="en-AU"/>
        </w:rPr>
        <w:t>SAXENDA</w:t>
      </w:r>
      <w:r w:rsidRPr="00D91A10">
        <w:rPr>
          <w:lang w:val="en-AU"/>
        </w:rPr>
        <w:t xml:space="preserve"> if it has been frozen.</w:t>
      </w:r>
    </w:p>
    <w:p w:rsidR="00506ED8" w:rsidRDefault="00506ED8" w:rsidP="003B05DB">
      <w:pPr>
        <w:jc w:val="both"/>
      </w:pPr>
    </w:p>
    <w:p w:rsidR="00506ED8" w:rsidRDefault="00506ED8" w:rsidP="003B05DB">
      <w:pPr>
        <w:jc w:val="both"/>
      </w:pPr>
      <w:r w:rsidRPr="00D91A10">
        <w:rPr>
          <w:iCs/>
          <w:lang w:val="en-AU"/>
        </w:rPr>
        <w:t xml:space="preserve">After first use of the </w:t>
      </w:r>
      <w:r w:rsidRPr="00D91A10">
        <w:rPr>
          <w:noProof/>
          <w:lang w:val="en-AU"/>
        </w:rPr>
        <w:t>SAXENDA</w:t>
      </w:r>
      <w:r w:rsidRPr="00D91A10">
        <w:rPr>
          <w:iCs/>
          <w:lang w:val="en-AU"/>
        </w:rPr>
        <w:t xml:space="preserve"> pen, the product can be stored for 1 month at room temperature (below 30°C) or </w:t>
      </w:r>
      <w:r>
        <w:rPr>
          <w:iCs/>
          <w:lang w:val="en-AU"/>
        </w:rPr>
        <w:t>in a refrigerator (2°C to 8°C).</w:t>
      </w:r>
    </w:p>
    <w:p w:rsidR="00506ED8" w:rsidRDefault="00506ED8" w:rsidP="003B05DB">
      <w:pPr>
        <w:jc w:val="both"/>
      </w:pPr>
    </w:p>
    <w:p w:rsidR="00506ED8" w:rsidRDefault="00506ED8" w:rsidP="003B05DB">
      <w:pPr>
        <w:jc w:val="both"/>
      </w:pPr>
      <w:r w:rsidRPr="00D91A10">
        <w:rPr>
          <w:lang w:val="en-AU"/>
        </w:rPr>
        <w:t xml:space="preserve">Keep the pen cap on when the </w:t>
      </w:r>
      <w:r w:rsidRPr="00D91A10">
        <w:rPr>
          <w:noProof/>
          <w:lang w:val="en-AU"/>
        </w:rPr>
        <w:t>SAXENDA</w:t>
      </w:r>
      <w:r w:rsidRPr="00D91A10">
        <w:rPr>
          <w:iCs/>
          <w:lang w:val="en-AU"/>
        </w:rPr>
        <w:t xml:space="preserve"> pen</w:t>
      </w:r>
      <w:r w:rsidRPr="00D91A10">
        <w:rPr>
          <w:lang w:val="en-AU"/>
        </w:rPr>
        <w:t xml:space="preserve"> is not in use in order to </w:t>
      </w:r>
      <w:r w:rsidRPr="00D91A10">
        <w:rPr>
          <w:iCs/>
          <w:lang w:val="en-AU"/>
        </w:rPr>
        <w:t>protect from light.</w:t>
      </w:r>
      <w:r w:rsidRPr="00D91A10">
        <w:rPr>
          <w:lang w:val="en-AU"/>
        </w:rPr>
        <w:t xml:space="preserve"> </w:t>
      </w:r>
    </w:p>
    <w:p w:rsidR="00506ED8" w:rsidRDefault="00506ED8" w:rsidP="003B05DB">
      <w:pPr>
        <w:jc w:val="both"/>
      </w:pPr>
    </w:p>
    <w:p w:rsidR="00506ED8" w:rsidRDefault="00506ED8" w:rsidP="003B05DB">
      <w:pPr>
        <w:jc w:val="both"/>
      </w:pPr>
      <w:r w:rsidRPr="00D91A10">
        <w:rPr>
          <w:noProof/>
          <w:lang w:val="en-AU"/>
        </w:rPr>
        <w:t>SAXENDA</w:t>
      </w:r>
      <w:r w:rsidRPr="00D91A10">
        <w:rPr>
          <w:lang w:val="en-AU"/>
        </w:rPr>
        <w:t xml:space="preserve"> should be protected from excessive heat and sunlight. </w:t>
      </w:r>
    </w:p>
    <w:p w:rsidR="00506ED8" w:rsidRDefault="00506ED8" w:rsidP="003B05DB">
      <w:pPr>
        <w:jc w:val="both"/>
      </w:pPr>
    </w:p>
    <w:p w:rsidR="00506ED8" w:rsidRDefault="00506ED8" w:rsidP="003B05DB">
      <w:pPr>
        <w:jc w:val="both"/>
      </w:pPr>
      <w:r w:rsidRPr="00D91A10">
        <w:rPr>
          <w:lang w:val="en-AU"/>
        </w:rPr>
        <w:lastRenderedPageBreak/>
        <w:t xml:space="preserve">Always remove the injection needle after each injection and store the </w:t>
      </w:r>
      <w:r w:rsidRPr="00D91A10">
        <w:rPr>
          <w:noProof/>
          <w:lang w:val="en-AU"/>
        </w:rPr>
        <w:t>SAXENDA</w:t>
      </w:r>
      <w:r w:rsidRPr="00D91A10">
        <w:rPr>
          <w:iCs/>
          <w:lang w:val="en-AU"/>
        </w:rPr>
        <w:t xml:space="preserve"> pen</w:t>
      </w:r>
      <w:r w:rsidRPr="00D91A10">
        <w:rPr>
          <w:lang w:val="en-AU"/>
        </w:rPr>
        <w:t xml:space="preserve"> without an injection needle attached. This may prevent blocked needles, contamination, infection, leakage of solution and inaccurate dosing. </w:t>
      </w:r>
    </w:p>
    <w:p w:rsidR="00506ED8" w:rsidRDefault="00506ED8" w:rsidP="003B05DB">
      <w:pPr>
        <w:jc w:val="both"/>
      </w:pPr>
    </w:p>
    <w:p w:rsidR="00506ED8" w:rsidRDefault="00506ED8" w:rsidP="003B05DB">
      <w:pPr>
        <w:jc w:val="both"/>
      </w:pPr>
      <w:r w:rsidRPr="00D91A10">
        <w:rPr>
          <w:noProof/>
          <w:lang w:val="en-AU"/>
        </w:rPr>
        <w:t>The shelf-life for SAXENDA is 30 months. The in-use time is 1 month.</w:t>
      </w:r>
      <w:r w:rsidRPr="00D91A10">
        <w:rPr>
          <w:b/>
          <w:noProof/>
          <w:lang w:val="en-AU"/>
        </w:rPr>
        <w:t xml:space="preserve"> </w:t>
      </w:r>
    </w:p>
    <w:p w:rsidR="00506ED8" w:rsidRDefault="00506ED8" w:rsidP="003B05DB">
      <w:pPr>
        <w:jc w:val="both"/>
      </w:pPr>
    </w:p>
    <w:p w:rsidR="00506ED8" w:rsidRPr="00506ED8" w:rsidRDefault="00506ED8" w:rsidP="003B05DB">
      <w:pPr>
        <w:jc w:val="both"/>
        <w:rPr>
          <w:b/>
        </w:rPr>
      </w:pPr>
      <w:bookmarkStart w:id="60" w:name="_Toc464639456"/>
      <w:r w:rsidRPr="00506ED8">
        <w:rPr>
          <w:b/>
          <w:lang w:val="en-AU"/>
        </w:rPr>
        <w:t>NAME AND ADDRESS OF THE SPONSOR</w:t>
      </w:r>
      <w:bookmarkEnd w:id="60"/>
    </w:p>
    <w:p w:rsidR="00506ED8" w:rsidRDefault="00506ED8" w:rsidP="003B05DB">
      <w:pPr>
        <w:jc w:val="both"/>
      </w:pPr>
    </w:p>
    <w:p w:rsidR="00506ED8" w:rsidRPr="00506ED8" w:rsidRDefault="00506ED8" w:rsidP="00506ED8">
      <w:pPr>
        <w:rPr>
          <w:lang w:val="en-AU"/>
        </w:rPr>
      </w:pPr>
      <w:r w:rsidRPr="00506ED8">
        <w:rPr>
          <w:lang w:val="en-AU"/>
        </w:rPr>
        <w:t>Novo Nordisk Pharmaceuticals Pty Limited</w:t>
      </w:r>
    </w:p>
    <w:p w:rsidR="00506ED8" w:rsidRPr="00D91A10" w:rsidRDefault="00506ED8" w:rsidP="00506ED8">
      <w:pPr>
        <w:jc w:val="both"/>
        <w:rPr>
          <w:noProof/>
          <w:lang w:val="en-AU"/>
        </w:rPr>
      </w:pPr>
      <w:r w:rsidRPr="00D91A10">
        <w:rPr>
          <w:noProof/>
          <w:lang w:val="en-AU"/>
        </w:rPr>
        <w:t>Level 3</w:t>
      </w:r>
    </w:p>
    <w:p w:rsidR="00506ED8" w:rsidRPr="00D91A10" w:rsidRDefault="00506ED8" w:rsidP="00506ED8">
      <w:pPr>
        <w:jc w:val="both"/>
        <w:rPr>
          <w:noProof/>
          <w:lang w:val="en-AU"/>
        </w:rPr>
      </w:pPr>
      <w:r w:rsidRPr="00D91A10">
        <w:rPr>
          <w:noProof/>
          <w:lang w:val="en-AU"/>
        </w:rPr>
        <w:t>21 Solent Circuit</w:t>
      </w:r>
    </w:p>
    <w:p w:rsidR="00506ED8" w:rsidRDefault="00506ED8" w:rsidP="00506ED8">
      <w:pPr>
        <w:jc w:val="both"/>
      </w:pPr>
      <w:r w:rsidRPr="00D91A10">
        <w:rPr>
          <w:noProof/>
          <w:lang w:val="en-AU"/>
        </w:rPr>
        <w:t>Baulkham Hills  NSW  2153</w:t>
      </w:r>
    </w:p>
    <w:p w:rsidR="00506ED8" w:rsidRDefault="00506ED8" w:rsidP="003B05DB">
      <w:pPr>
        <w:jc w:val="both"/>
      </w:pPr>
    </w:p>
    <w:p w:rsidR="00506ED8" w:rsidRPr="00506ED8" w:rsidRDefault="00506ED8" w:rsidP="003B05DB">
      <w:pPr>
        <w:jc w:val="both"/>
        <w:rPr>
          <w:b/>
        </w:rPr>
      </w:pPr>
      <w:bookmarkStart w:id="61" w:name="_Toc464639457"/>
      <w:r w:rsidRPr="00506ED8">
        <w:rPr>
          <w:b/>
        </w:rPr>
        <w:t>POISON SCHEDULE OF THE MEDICINE</w:t>
      </w:r>
      <w:bookmarkEnd w:id="61"/>
    </w:p>
    <w:p w:rsidR="00506ED8" w:rsidRDefault="00506ED8" w:rsidP="003B05DB">
      <w:pPr>
        <w:jc w:val="both"/>
      </w:pPr>
    </w:p>
    <w:p w:rsidR="00506ED8" w:rsidRDefault="00506ED8" w:rsidP="003B05DB">
      <w:pPr>
        <w:jc w:val="both"/>
      </w:pPr>
      <w:r w:rsidRPr="00D91A10">
        <w:rPr>
          <w:noProof/>
          <w:lang w:val="en-AU"/>
        </w:rPr>
        <w:t>S4</w:t>
      </w:r>
    </w:p>
    <w:p w:rsidR="00506ED8" w:rsidRDefault="00506ED8" w:rsidP="003B05DB">
      <w:pPr>
        <w:jc w:val="both"/>
      </w:pPr>
    </w:p>
    <w:p w:rsidR="00506ED8" w:rsidRPr="00506ED8" w:rsidRDefault="00506ED8" w:rsidP="003B05DB">
      <w:pPr>
        <w:jc w:val="both"/>
        <w:rPr>
          <w:b/>
        </w:rPr>
      </w:pPr>
      <w:bookmarkStart w:id="62" w:name="_Toc464639458"/>
      <w:r w:rsidRPr="00506ED8">
        <w:rPr>
          <w:b/>
        </w:rPr>
        <w:t>DATE OF FIRST INCLUSION IN THE AUSTRALIAN REGISTER OF THERAPEUTIC GOODS (THE ARTG)</w:t>
      </w:r>
      <w:bookmarkEnd w:id="62"/>
    </w:p>
    <w:p w:rsidR="00506ED8" w:rsidRDefault="00506ED8" w:rsidP="003B05DB">
      <w:pPr>
        <w:jc w:val="both"/>
      </w:pPr>
    </w:p>
    <w:p w:rsidR="00506ED8" w:rsidRDefault="00506ED8" w:rsidP="003B05DB">
      <w:pPr>
        <w:jc w:val="both"/>
      </w:pPr>
      <w:r>
        <w:rPr>
          <w:lang w:val="en-AU"/>
        </w:rPr>
        <w:t>24 December 2015</w:t>
      </w:r>
    </w:p>
    <w:p w:rsidR="00506ED8" w:rsidRDefault="00506ED8" w:rsidP="003B05DB">
      <w:pPr>
        <w:jc w:val="both"/>
      </w:pPr>
    </w:p>
    <w:p w:rsidR="00506ED8" w:rsidRPr="00506ED8" w:rsidRDefault="00506ED8" w:rsidP="003B05DB">
      <w:pPr>
        <w:jc w:val="both"/>
        <w:rPr>
          <w:b/>
        </w:rPr>
      </w:pPr>
      <w:bookmarkStart w:id="63" w:name="_Toc464639459"/>
      <w:r w:rsidRPr="00506ED8">
        <w:rPr>
          <w:b/>
        </w:rPr>
        <w:t>DATE OF MOST RECENT AMENDMENT</w:t>
      </w:r>
      <w:bookmarkEnd w:id="63"/>
      <w:r w:rsidRPr="00506ED8">
        <w:rPr>
          <w:b/>
        </w:rPr>
        <w:t xml:space="preserve"> </w:t>
      </w:r>
    </w:p>
    <w:p w:rsidR="00506ED8" w:rsidRDefault="00506ED8" w:rsidP="003B05DB">
      <w:pPr>
        <w:jc w:val="both"/>
      </w:pPr>
    </w:p>
    <w:p w:rsidR="00600B20" w:rsidRDefault="00214AD3" w:rsidP="003B05DB">
      <w:pPr>
        <w:jc w:val="both"/>
      </w:pPr>
      <w:r>
        <w:rPr>
          <w:noProof/>
        </w:rPr>
        <w:t>05 January 2018</w:t>
      </w:r>
    </w:p>
    <w:sectPr w:rsidR="00600B20" w:rsidSect="00253484">
      <w:headerReference w:type="default" r:id="rId22"/>
      <w:footerReference w:type="default" r:id="rId23"/>
      <w:pgSz w:w="11906" w:h="16838"/>
      <w:pgMar w:top="1440" w:right="1469" w:bottom="1134" w:left="1259" w:header="709" w:footer="709"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8A" w:rsidRDefault="00584D8A">
      <w:r>
        <w:separator/>
      </w:r>
    </w:p>
  </w:endnote>
  <w:endnote w:type="continuationSeparator" w:id="0">
    <w:p w:rsidR="00584D8A" w:rsidRDefault="0058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B0" w:rsidRDefault="001D660E" w:rsidP="008116A7">
    <w:pPr>
      <w:pStyle w:val="Footer"/>
      <w:tabs>
        <w:tab w:val="clear" w:pos="4153"/>
      </w:tabs>
    </w:pPr>
    <w:fldSimple w:instr=" FILENAME   \* MERGEFORMAT ">
      <w:r w:rsidR="00F74210">
        <w:rPr>
          <w:noProof/>
        </w:rPr>
        <w:t>Saxenda pi2.docx</w:t>
      </w:r>
    </w:fldSimple>
    <w:r w:rsidR="00AA36B0">
      <w:tab/>
      <w:t xml:space="preserve">Page </w:t>
    </w:r>
    <w:r w:rsidR="00AA36B0">
      <w:fldChar w:fldCharType="begin"/>
    </w:r>
    <w:r w:rsidR="00AA36B0">
      <w:instrText xml:space="preserve"> PAGE  </w:instrText>
    </w:r>
    <w:r w:rsidR="00AA36B0">
      <w:fldChar w:fldCharType="separate"/>
    </w:r>
    <w:r w:rsidR="00FE02A5">
      <w:rPr>
        <w:noProof/>
      </w:rPr>
      <w:t>1</w:t>
    </w:r>
    <w:r w:rsidR="00AA36B0">
      <w:fldChar w:fldCharType="end"/>
    </w:r>
    <w:r w:rsidR="00AA36B0">
      <w:t xml:space="preserve"> of 2</w:t>
    </w:r>
    <w:r w:rsidR="00CC56FF">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8A" w:rsidRDefault="00584D8A">
      <w:r>
        <w:separator/>
      </w:r>
    </w:p>
  </w:footnote>
  <w:footnote w:type="continuationSeparator" w:id="0">
    <w:p w:rsidR="00584D8A" w:rsidRDefault="00584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E02A5" w:rsidRPr="002E7F61" w:rsidTr="00AA4C43">
      <w:trPr>
        <w:trHeight w:val="590"/>
      </w:trPr>
      <w:tc>
        <w:tcPr>
          <w:tcW w:w="8720" w:type="dxa"/>
          <w:shd w:val="clear" w:color="auto" w:fill="E4F2E0"/>
        </w:tcPr>
        <w:p w:rsidR="00FE02A5" w:rsidRPr="002E7F61" w:rsidRDefault="00FE02A5" w:rsidP="00AA4C43">
          <w:pPr>
            <w:pStyle w:val="Footer"/>
            <w:rPr>
              <w:b/>
              <w:sz w:val="18"/>
              <w:szCs w:val="18"/>
            </w:rPr>
          </w:pPr>
          <w:r w:rsidRPr="002E7F61">
            <w:rPr>
              <w:b/>
              <w:sz w:val="18"/>
              <w:szCs w:val="18"/>
            </w:rPr>
            <w:t xml:space="preserve">Attachment 1: Product information </w:t>
          </w:r>
          <w:r w:rsidRPr="004459E5">
            <w:rPr>
              <w:b/>
              <w:sz w:val="18"/>
              <w:szCs w:val="18"/>
            </w:rPr>
            <w:t xml:space="preserve">AusPAR VICTOZA, SAXENDA </w:t>
          </w:r>
          <w:proofErr w:type="spellStart"/>
          <w:r w:rsidRPr="004459E5">
            <w:rPr>
              <w:b/>
              <w:sz w:val="18"/>
              <w:szCs w:val="18"/>
            </w:rPr>
            <w:t>liraglutide</w:t>
          </w:r>
          <w:proofErr w:type="spellEnd"/>
          <w:r w:rsidRPr="004459E5">
            <w:rPr>
              <w:b/>
              <w:sz w:val="18"/>
              <w:szCs w:val="18"/>
            </w:rPr>
            <w:t xml:space="preserve"> Novo Nordisk Pharmaceuticals Pty. Ltd. - PM-2016-003931-1-5 - FINAL 29 April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FE02A5" w:rsidRDefault="00FE0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4EFFA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25465408"/>
    <w:lvl w:ilvl="0">
      <w:numFmt w:val="decimal"/>
      <w:lvlText w:val="*"/>
      <w:lvlJc w:val="left"/>
    </w:lvl>
  </w:abstractNum>
  <w:abstractNum w:abstractNumId="2">
    <w:nsid w:val="04001CE4"/>
    <w:multiLevelType w:val="hybridMultilevel"/>
    <w:tmpl w:val="1F08D858"/>
    <w:lvl w:ilvl="0" w:tplc="E208F584">
      <w:start w:val="1"/>
      <w:numFmt w:val="bullet"/>
      <w:lvlText w:val=""/>
      <w:legacy w:legacy="1" w:legacySpace="0" w:legacyIndent="283"/>
      <w:lvlJc w:val="left"/>
      <w:pPr>
        <w:ind w:left="100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57896"/>
    <w:multiLevelType w:val="hybridMultilevel"/>
    <w:tmpl w:val="ECC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6400E"/>
    <w:multiLevelType w:val="hybridMultilevel"/>
    <w:tmpl w:val="09B857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D43FF2"/>
    <w:multiLevelType w:val="hybridMultilevel"/>
    <w:tmpl w:val="ABC0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D2D17D1"/>
    <w:multiLevelType w:val="hybridMultilevel"/>
    <w:tmpl w:val="6A7A5396"/>
    <w:lvl w:ilvl="0" w:tplc="BB7AD282">
      <w:start w:val="1"/>
      <w:numFmt w:val="bullet"/>
      <w:pStyle w:val="BulletList10pt"/>
      <w:lvlText w:val=""/>
      <w:lvlJc w:val="left"/>
      <w:pPr>
        <w:tabs>
          <w:tab w:val="num" w:pos="227"/>
        </w:tabs>
        <w:ind w:left="227" w:hanging="227"/>
      </w:pPr>
      <w:rPr>
        <w:rFonts w:ascii="Symbol" w:hAnsi="Symbol" w:hint="default"/>
        <w:b w:val="0"/>
        <w:i w:val="0"/>
        <w:sz w:val="20"/>
      </w:rPr>
    </w:lvl>
    <w:lvl w:ilvl="1" w:tplc="B280678A">
      <w:start w:val="1"/>
      <w:numFmt w:val="bullet"/>
      <w:pStyle w:val="BulletList10pt"/>
      <w:lvlText w:val=""/>
      <w:lvlJc w:val="left"/>
      <w:pPr>
        <w:tabs>
          <w:tab w:val="num" w:pos="1307"/>
        </w:tabs>
        <w:ind w:left="1307" w:hanging="227"/>
      </w:pPr>
      <w:rPr>
        <w:rFonts w:ascii="Symbol" w:hAnsi="Symbol" w:hint="default"/>
        <w:b w:val="0"/>
        <w:i w:val="0"/>
        <w:sz w:val="20"/>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144C60D0"/>
    <w:multiLevelType w:val="hybridMultilevel"/>
    <w:tmpl w:val="5B10E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511F16"/>
    <w:multiLevelType w:val="hybridMultilevel"/>
    <w:tmpl w:val="7D42C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F26D76"/>
    <w:multiLevelType w:val="hybridMultilevel"/>
    <w:tmpl w:val="37ECB880"/>
    <w:lvl w:ilvl="0" w:tplc="74FA0258">
      <w:numFmt w:val="bullet"/>
      <w:lvlText w:val="•"/>
      <w:lvlJc w:val="left"/>
      <w:pPr>
        <w:ind w:left="360" w:hanging="360"/>
      </w:pPr>
      <w:rPr>
        <w:rFonts w:ascii="Times New Roman" w:eastAsia="Times New Roman" w:hAnsi="Times New Roman"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8FB7B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1CA80A03"/>
    <w:multiLevelType w:val="hybridMultilevel"/>
    <w:tmpl w:val="72708D66"/>
    <w:lvl w:ilvl="0" w:tplc="EA149566">
      <w:start w:val="1"/>
      <w:numFmt w:val="decimal"/>
      <w:lvlText w:val="%1."/>
      <w:lvlJc w:val="left"/>
      <w:pPr>
        <w:tabs>
          <w:tab w:val="num" w:pos="720"/>
        </w:tabs>
        <w:ind w:left="720" w:hanging="720"/>
      </w:pPr>
      <w:rPr>
        <w:rFonts w:ascii="Times New Roman" w:eastAsia="Times New Roman" w:hAnsi="Times New Roman" w:cs="Times New Roman"/>
        <w:i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CB9115A"/>
    <w:multiLevelType w:val="hybridMultilevel"/>
    <w:tmpl w:val="E66E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85483C"/>
    <w:multiLevelType w:val="hybridMultilevel"/>
    <w:tmpl w:val="E904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55562FC"/>
    <w:multiLevelType w:val="hybridMultilevel"/>
    <w:tmpl w:val="36FE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B5C56"/>
    <w:multiLevelType w:val="hybridMultilevel"/>
    <w:tmpl w:val="C88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16756"/>
    <w:multiLevelType w:val="hybridMultilevel"/>
    <w:tmpl w:val="2094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D9054D"/>
    <w:multiLevelType w:val="hybridMultilevel"/>
    <w:tmpl w:val="04BAD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E3639C"/>
    <w:multiLevelType w:val="hybridMultilevel"/>
    <w:tmpl w:val="AE023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F82796"/>
    <w:multiLevelType w:val="hybridMultilevel"/>
    <w:tmpl w:val="04BE4A3E"/>
    <w:lvl w:ilvl="0" w:tplc="93EE9EA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AD3967"/>
    <w:multiLevelType w:val="hybridMultilevel"/>
    <w:tmpl w:val="67580C0C"/>
    <w:lvl w:ilvl="0" w:tplc="F336F1F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EB67BBC"/>
    <w:multiLevelType w:val="hybridMultilevel"/>
    <w:tmpl w:val="32486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DE6FE5"/>
    <w:multiLevelType w:val="hybridMultilevel"/>
    <w:tmpl w:val="FF04DE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3932AD8"/>
    <w:multiLevelType w:val="hybridMultilevel"/>
    <w:tmpl w:val="C898E22E"/>
    <w:lvl w:ilvl="0" w:tplc="6ED42AC8">
      <w:start w:val="1"/>
      <w:numFmt w:val="bullet"/>
      <w:pStyle w:val="BulletIndent"/>
      <w:lvlText w:val=""/>
      <w:lvlJc w:val="left"/>
      <w:pPr>
        <w:tabs>
          <w:tab w:val="num" w:pos="357"/>
        </w:tabs>
        <w:ind w:left="714"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44E53FAE"/>
    <w:multiLevelType w:val="hybridMultilevel"/>
    <w:tmpl w:val="5922E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C63B12"/>
    <w:multiLevelType w:val="hybridMultilevel"/>
    <w:tmpl w:val="C2781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98F464E"/>
    <w:multiLevelType w:val="hybridMultilevel"/>
    <w:tmpl w:val="B31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B871A2"/>
    <w:multiLevelType w:val="hybridMultilevel"/>
    <w:tmpl w:val="3630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1156CC"/>
    <w:multiLevelType w:val="hybridMultilevel"/>
    <w:tmpl w:val="F634C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DE4646"/>
    <w:multiLevelType w:val="hybridMultilevel"/>
    <w:tmpl w:val="722A5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385133"/>
    <w:multiLevelType w:val="hybridMultilevel"/>
    <w:tmpl w:val="D44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5D75A9"/>
    <w:multiLevelType w:val="hybridMultilevel"/>
    <w:tmpl w:val="E8603B78"/>
    <w:lvl w:ilvl="0" w:tplc="0C090001">
      <w:start w:val="1"/>
      <w:numFmt w:val="bullet"/>
      <w:lvlText w:val=""/>
      <w:lvlJc w:val="left"/>
      <w:pPr>
        <w:tabs>
          <w:tab w:val="num" w:pos="990"/>
        </w:tabs>
        <w:ind w:left="990" w:hanging="360"/>
      </w:pPr>
      <w:rPr>
        <w:rFonts w:ascii="Symbol" w:hAnsi="Symbol" w:hint="default"/>
      </w:rPr>
    </w:lvl>
    <w:lvl w:ilvl="1" w:tplc="0C090003" w:tentative="1">
      <w:start w:val="1"/>
      <w:numFmt w:val="bullet"/>
      <w:lvlText w:val="o"/>
      <w:lvlJc w:val="left"/>
      <w:pPr>
        <w:tabs>
          <w:tab w:val="num" w:pos="1710"/>
        </w:tabs>
        <w:ind w:left="1710" w:hanging="360"/>
      </w:pPr>
      <w:rPr>
        <w:rFonts w:ascii="Courier New" w:hAnsi="Courier New" w:cs="Courier New" w:hint="default"/>
      </w:rPr>
    </w:lvl>
    <w:lvl w:ilvl="2" w:tplc="0C090005" w:tentative="1">
      <w:start w:val="1"/>
      <w:numFmt w:val="bullet"/>
      <w:lvlText w:val=""/>
      <w:lvlJc w:val="left"/>
      <w:pPr>
        <w:tabs>
          <w:tab w:val="num" w:pos="2430"/>
        </w:tabs>
        <w:ind w:left="2430" w:hanging="360"/>
      </w:pPr>
      <w:rPr>
        <w:rFonts w:ascii="Wingdings" w:hAnsi="Wingdings" w:hint="default"/>
      </w:rPr>
    </w:lvl>
    <w:lvl w:ilvl="3" w:tplc="0C090001" w:tentative="1">
      <w:start w:val="1"/>
      <w:numFmt w:val="bullet"/>
      <w:lvlText w:val=""/>
      <w:lvlJc w:val="left"/>
      <w:pPr>
        <w:tabs>
          <w:tab w:val="num" w:pos="3150"/>
        </w:tabs>
        <w:ind w:left="3150" w:hanging="360"/>
      </w:pPr>
      <w:rPr>
        <w:rFonts w:ascii="Symbol" w:hAnsi="Symbol" w:hint="default"/>
      </w:rPr>
    </w:lvl>
    <w:lvl w:ilvl="4" w:tplc="0C090003" w:tentative="1">
      <w:start w:val="1"/>
      <w:numFmt w:val="bullet"/>
      <w:lvlText w:val="o"/>
      <w:lvlJc w:val="left"/>
      <w:pPr>
        <w:tabs>
          <w:tab w:val="num" w:pos="3870"/>
        </w:tabs>
        <w:ind w:left="3870" w:hanging="360"/>
      </w:pPr>
      <w:rPr>
        <w:rFonts w:ascii="Courier New" w:hAnsi="Courier New" w:cs="Courier New" w:hint="default"/>
      </w:rPr>
    </w:lvl>
    <w:lvl w:ilvl="5" w:tplc="0C090005" w:tentative="1">
      <w:start w:val="1"/>
      <w:numFmt w:val="bullet"/>
      <w:lvlText w:val=""/>
      <w:lvlJc w:val="left"/>
      <w:pPr>
        <w:tabs>
          <w:tab w:val="num" w:pos="4590"/>
        </w:tabs>
        <w:ind w:left="4590" w:hanging="360"/>
      </w:pPr>
      <w:rPr>
        <w:rFonts w:ascii="Wingdings" w:hAnsi="Wingdings" w:hint="default"/>
      </w:rPr>
    </w:lvl>
    <w:lvl w:ilvl="6" w:tplc="0C090001" w:tentative="1">
      <w:start w:val="1"/>
      <w:numFmt w:val="bullet"/>
      <w:lvlText w:val=""/>
      <w:lvlJc w:val="left"/>
      <w:pPr>
        <w:tabs>
          <w:tab w:val="num" w:pos="5310"/>
        </w:tabs>
        <w:ind w:left="5310" w:hanging="360"/>
      </w:pPr>
      <w:rPr>
        <w:rFonts w:ascii="Symbol" w:hAnsi="Symbol" w:hint="default"/>
      </w:rPr>
    </w:lvl>
    <w:lvl w:ilvl="7" w:tplc="0C090003" w:tentative="1">
      <w:start w:val="1"/>
      <w:numFmt w:val="bullet"/>
      <w:lvlText w:val="o"/>
      <w:lvlJc w:val="left"/>
      <w:pPr>
        <w:tabs>
          <w:tab w:val="num" w:pos="6030"/>
        </w:tabs>
        <w:ind w:left="6030" w:hanging="360"/>
      </w:pPr>
      <w:rPr>
        <w:rFonts w:ascii="Courier New" w:hAnsi="Courier New" w:cs="Courier New" w:hint="default"/>
      </w:rPr>
    </w:lvl>
    <w:lvl w:ilvl="8" w:tplc="0C090005" w:tentative="1">
      <w:start w:val="1"/>
      <w:numFmt w:val="bullet"/>
      <w:lvlText w:val=""/>
      <w:lvlJc w:val="left"/>
      <w:pPr>
        <w:tabs>
          <w:tab w:val="num" w:pos="6750"/>
        </w:tabs>
        <w:ind w:left="6750" w:hanging="360"/>
      </w:pPr>
      <w:rPr>
        <w:rFonts w:ascii="Wingdings" w:hAnsi="Wingdings" w:hint="default"/>
      </w:rPr>
    </w:lvl>
  </w:abstractNum>
  <w:abstractNum w:abstractNumId="32">
    <w:nsid w:val="66354CD2"/>
    <w:multiLevelType w:val="hybridMultilevel"/>
    <w:tmpl w:val="B9FA5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574E6C"/>
    <w:multiLevelType w:val="hybridMultilevel"/>
    <w:tmpl w:val="7612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870AA9"/>
    <w:multiLevelType w:val="hybridMultilevel"/>
    <w:tmpl w:val="613C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74F38"/>
    <w:multiLevelType w:val="hybridMultilevel"/>
    <w:tmpl w:val="CC8A67AE"/>
    <w:lvl w:ilvl="0" w:tplc="FFFFFFFF">
      <w:start w:val="1"/>
      <w:numFmt w:val="bullet"/>
      <w:pStyle w:val="BulletLis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B320C1B"/>
    <w:multiLevelType w:val="hybridMultilevel"/>
    <w:tmpl w:val="5756EC3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53364"/>
    <w:multiLevelType w:val="hybridMultilevel"/>
    <w:tmpl w:val="2760168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9400DD"/>
    <w:multiLevelType w:val="hybridMultilevel"/>
    <w:tmpl w:val="82241D7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6"/>
  </w:num>
  <w:num w:numId="6">
    <w:abstractNumId w:val="23"/>
  </w:num>
  <w:num w:numId="7">
    <w:abstractNumId w:val="10"/>
  </w:num>
  <w:num w:numId="8">
    <w:abstractNumId w:val="35"/>
  </w:num>
  <w:num w:numId="9">
    <w:abstractNumId w:val="38"/>
  </w:num>
  <w:num w:numId="10">
    <w:abstractNumId w:val="31"/>
  </w:num>
  <w:num w:numId="11">
    <w:abstractNumId w:val="22"/>
  </w:num>
  <w:num w:numId="12">
    <w:abstractNumId w:val="32"/>
  </w:num>
  <w:num w:numId="13">
    <w:abstractNumId w:val="9"/>
  </w:num>
  <w:num w:numId="14">
    <w:abstractNumId w:val="37"/>
  </w:num>
  <w:num w:numId="15">
    <w:abstractNumId w:val="15"/>
  </w:num>
  <w:num w:numId="16">
    <w:abstractNumId w:val="29"/>
  </w:num>
  <w:num w:numId="17">
    <w:abstractNumId w:val="12"/>
  </w:num>
  <w:num w:numId="18">
    <w:abstractNumId w:val="25"/>
  </w:num>
  <w:num w:numId="19">
    <w:abstractNumId w:val="7"/>
  </w:num>
  <w:num w:numId="20">
    <w:abstractNumId w:val="4"/>
  </w:num>
  <w:num w:numId="21">
    <w:abstractNumId w:val="19"/>
  </w:num>
  <w:num w:numId="22">
    <w:abstractNumId w:val="20"/>
  </w:num>
  <w:num w:numId="23">
    <w:abstractNumId w:val="18"/>
  </w:num>
  <w:num w:numId="24">
    <w:abstractNumId w:val="8"/>
  </w:num>
  <w:num w:numId="25">
    <w:abstractNumId w:val="26"/>
  </w:num>
  <w:num w:numId="26">
    <w:abstractNumId w:val="33"/>
  </w:num>
  <w:num w:numId="27">
    <w:abstractNumId w:val="24"/>
  </w:num>
  <w:num w:numId="28">
    <w:abstractNumId w:val="27"/>
  </w:num>
  <w:num w:numId="29">
    <w:abstractNumId w:val="21"/>
  </w:num>
  <w:num w:numId="30">
    <w:abstractNumId w:val="5"/>
  </w:num>
  <w:num w:numId="31">
    <w:abstractNumId w:val="11"/>
  </w:num>
  <w:num w:numId="32">
    <w:abstractNumId w:val="17"/>
  </w:num>
  <w:num w:numId="33">
    <w:abstractNumId w:val="28"/>
  </w:num>
  <w:num w:numId="34">
    <w:abstractNumId w:val="16"/>
  </w:num>
  <w:num w:numId="35">
    <w:abstractNumId w:val="3"/>
  </w:num>
  <w:num w:numId="36">
    <w:abstractNumId w:val="13"/>
  </w:num>
  <w:num w:numId="37">
    <w:abstractNumId w:val="30"/>
  </w:num>
  <w:num w:numId="38">
    <w:abstractNumId w:val="34"/>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A3"/>
    <w:rsid w:val="0000125B"/>
    <w:rsid w:val="00001FEA"/>
    <w:rsid w:val="000024E4"/>
    <w:rsid w:val="00002BAF"/>
    <w:rsid w:val="000037FF"/>
    <w:rsid w:val="00003EC6"/>
    <w:rsid w:val="0000420B"/>
    <w:rsid w:val="000046E9"/>
    <w:rsid w:val="00006009"/>
    <w:rsid w:val="00010C58"/>
    <w:rsid w:val="00010EB7"/>
    <w:rsid w:val="000116D1"/>
    <w:rsid w:val="000117FD"/>
    <w:rsid w:val="00011C5F"/>
    <w:rsid w:val="000155ED"/>
    <w:rsid w:val="00015D02"/>
    <w:rsid w:val="00015D9F"/>
    <w:rsid w:val="0001631E"/>
    <w:rsid w:val="00017532"/>
    <w:rsid w:val="00021849"/>
    <w:rsid w:val="000223AD"/>
    <w:rsid w:val="000261F8"/>
    <w:rsid w:val="00026274"/>
    <w:rsid w:val="00027015"/>
    <w:rsid w:val="0003027A"/>
    <w:rsid w:val="00032750"/>
    <w:rsid w:val="0003370F"/>
    <w:rsid w:val="0003491A"/>
    <w:rsid w:val="00035565"/>
    <w:rsid w:val="000361E7"/>
    <w:rsid w:val="00036856"/>
    <w:rsid w:val="00036BBB"/>
    <w:rsid w:val="0004114D"/>
    <w:rsid w:val="00041F50"/>
    <w:rsid w:val="00042B20"/>
    <w:rsid w:val="000469B4"/>
    <w:rsid w:val="00046D19"/>
    <w:rsid w:val="00050411"/>
    <w:rsid w:val="0005074E"/>
    <w:rsid w:val="00050F4C"/>
    <w:rsid w:val="00054083"/>
    <w:rsid w:val="00054861"/>
    <w:rsid w:val="000558A2"/>
    <w:rsid w:val="00055D90"/>
    <w:rsid w:val="000567BF"/>
    <w:rsid w:val="0006095A"/>
    <w:rsid w:val="000612AE"/>
    <w:rsid w:val="00061C56"/>
    <w:rsid w:val="00063233"/>
    <w:rsid w:val="00064E05"/>
    <w:rsid w:val="0006692B"/>
    <w:rsid w:val="000737F2"/>
    <w:rsid w:val="00073A82"/>
    <w:rsid w:val="00074EB3"/>
    <w:rsid w:val="00076B60"/>
    <w:rsid w:val="00081056"/>
    <w:rsid w:val="00081C03"/>
    <w:rsid w:val="00082525"/>
    <w:rsid w:val="000860E4"/>
    <w:rsid w:val="00086C42"/>
    <w:rsid w:val="00087EB7"/>
    <w:rsid w:val="000906BA"/>
    <w:rsid w:val="0009313F"/>
    <w:rsid w:val="0009315D"/>
    <w:rsid w:val="000932CE"/>
    <w:rsid w:val="00093699"/>
    <w:rsid w:val="000938C3"/>
    <w:rsid w:val="000948AC"/>
    <w:rsid w:val="00094E99"/>
    <w:rsid w:val="000A12B7"/>
    <w:rsid w:val="000A1800"/>
    <w:rsid w:val="000A2513"/>
    <w:rsid w:val="000A3C4E"/>
    <w:rsid w:val="000A3F78"/>
    <w:rsid w:val="000A7278"/>
    <w:rsid w:val="000A788D"/>
    <w:rsid w:val="000B0737"/>
    <w:rsid w:val="000B0889"/>
    <w:rsid w:val="000B0ED1"/>
    <w:rsid w:val="000B2021"/>
    <w:rsid w:val="000B328F"/>
    <w:rsid w:val="000B3471"/>
    <w:rsid w:val="000B3957"/>
    <w:rsid w:val="000B3B63"/>
    <w:rsid w:val="000B483F"/>
    <w:rsid w:val="000B4D0D"/>
    <w:rsid w:val="000B681B"/>
    <w:rsid w:val="000B6AA7"/>
    <w:rsid w:val="000C1E48"/>
    <w:rsid w:val="000C1E84"/>
    <w:rsid w:val="000C30AF"/>
    <w:rsid w:val="000C47AA"/>
    <w:rsid w:val="000C51DB"/>
    <w:rsid w:val="000C550A"/>
    <w:rsid w:val="000C665E"/>
    <w:rsid w:val="000C69AE"/>
    <w:rsid w:val="000D1429"/>
    <w:rsid w:val="000D4B1C"/>
    <w:rsid w:val="000D4C85"/>
    <w:rsid w:val="000E1042"/>
    <w:rsid w:val="000E142D"/>
    <w:rsid w:val="000E2E11"/>
    <w:rsid w:val="000E3E45"/>
    <w:rsid w:val="000E4025"/>
    <w:rsid w:val="000E470E"/>
    <w:rsid w:val="000E711B"/>
    <w:rsid w:val="000E76D4"/>
    <w:rsid w:val="000F0477"/>
    <w:rsid w:val="000F0CC3"/>
    <w:rsid w:val="000F1D0E"/>
    <w:rsid w:val="000F48C4"/>
    <w:rsid w:val="000F48DB"/>
    <w:rsid w:val="000F54FD"/>
    <w:rsid w:val="000F62E6"/>
    <w:rsid w:val="000F6622"/>
    <w:rsid w:val="000F7018"/>
    <w:rsid w:val="00101773"/>
    <w:rsid w:val="00101EE4"/>
    <w:rsid w:val="00101F3E"/>
    <w:rsid w:val="00103875"/>
    <w:rsid w:val="001042B4"/>
    <w:rsid w:val="00105616"/>
    <w:rsid w:val="00105C47"/>
    <w:rsid w:val="00106440"/>
    <w:rsid w:val="001065A6"/>
    <w:rsid w:val="00106CE1"/>
    <w:rsid w:val="00107DDB"/>
    <w:rsid w:val="00111025"/>
    <w:rsid w:val="00112955"/>
    <w:rsid w:val="001145D8"/>
    <w:rsid w:val="00116CB5"/>
    <w:rsid w:val="00116F3C"/>
    <w:rsid w:val="0011756B"/>
    <w:rsid w:val="00117ABD"/>
    <w:rsid w:val="001237A5"/>
    <w:rsid w:val="00123CEA"/>
    <w:rsid w:val="001276D3"/>
    <w:rsid w:val="00131B83"/>
    <w:rsid w:val="00132A31"/>
    <w:rsid w:val="00134331"/>
    <w:rsid w:val="00134592"/>
    <w:rsid w:val="00134D5F"/>
    <w:rsid w:val="00135284"/>
    <w:rsid w:val="00135B20"/>
    <w:rsid w:val="00135E82"/>
    <w:rsid w:val="00137798"/>
    <w:rsid w:val="00140731"/>
    <w:rsid w:val="001414E2"/>
    <w:rsid w:val="001433D3"/>
    <w:rsid w:val="00144358"/>
    <w:rsid w:val="00150D7F"/>
    <w:rsid w:val="00150FB7"/>
    <w:rsid w:val="00151027"/>
    <w:rsid w:val="00156629"/>
    <w:rsid w:val="00156765"/>
    <w:rsid w:val="001567BB"/>
    <w:rsid w:val="00156ACB"/>
    <w:rsid w:val="001575BA"/>
    <w:rsid w:val="001602F1"/>
    <w:rsid w:val="001605FA"/>
    <w:rsid w:val="001612EE"/>
    <w:rsid w:val="00163086"/>
    <w:rsid w:val="00164CD4"/>
    <w:rsid w:val="00166DAA"/>
    <w:rsid w:val="00166FAD"/>
    <w:rsid w:val="0016717B"/>
    <w:rsid w:val="001708C6"/>
    <w:rsid w:val="00171447"/>
    <w:rsid w:val="00171807"/>
    <w:rsid w:val="00173422"/>
    <w:rsid w:val="0017673E"/>
    <w:rsid w:val="00176BA6"/>
    <w:rsid w:val="00177A9B"/>
    <w:rsid w:val="001818C2"/>
    <w:rsid w:val="00183970"/>
    <w:rsid w:val="00183F32"/>
    <w:rsid w:val="0018479E"/>
    <w:rsid w:val="00184880"/>
    <w:rsid w:val="00185C13"/>
    <w:rsid w:val="001870B3"/>
    <w:rsid w:val="001878B7"/>
    <w:rsid w:val="00191FF9"/>
    <w:rsid w:val="0019278E"/>
    <w:rsid w:val="00192E20"/>
    <w:rsid w:val="001944BC"/>
    <w:rsid w:val="00195279"/>
    <w:rsid w:val="00196E91"/>
    <w:rsid w:val="001A09F0"/>
    <w:rsid w:val="001A15DF"/>
    <w:rsid w:val="001A1F50"/>
    <w:rsid w:val="001A3BF6"/>
    <w:rsid w:val="001A47AA"/>
    <w:rsid w:val="001A4936"/>
    <w:rsid w:val="001A4F6C"/>
    <w:rsid w:val="001A6920"/>
    <w:rsid w:val="001B027A"/>
    <w:rsid w:val="001B247A"/>
    <w:rsid w:val="001B2678"/>
    <w:rsid w:val="001B2A77"/>
    <w:rsid w:val="001B40F8"/>
    <w:rsid w:val="001B5D21"/>
    <w:rsid w:val="001B6837"/>
    <w:rsid w:val="001B77FC"/>
    <w:rsid w:val="001C145C"/>
    <w:rsid w:val="001C250E"/>
    <w:rsid w:val="001C33AD"/>
    <w:rsid w:val="001C4582"/>
    <w:rsid w:val="001C459C"/>
    <w:rsid w:val="001C5449"/>
    <w:rsid w:val="001C57F3"/>
    <w:rsid w:val="001C68FC"/>
    <w:rsid w:val="001C77D6"/>
    <w:rsid w:val="001D04E7"/>
    <w:rsid w:val="001D660E"/>
    <w:rsid w:val="001D71DF"/>
    <w:rsid w:val="001E0614"/>
    <w:rsid w:val="001E193E"/>
    <w:rsid w:val="001E2FD1"/>
    <w:rsid w:val="001E46E3"/>
    <w:rsid w:val="001E4FF3"/>
    <w:rsid w:val="001E51F6"/>
    <w:rsid w:val="001E5C01"/>
    <w:rsid w:val="001E696D"/>
    <w:rsid w:val="001F1BDF"/>
    <w:rsid w:val="001F22AD"/>
    <w:rsid w:val="001F3453"/>
    <w:rsid w:val="001F356D"/>
    <w:rsid w:val="001F74E4"/>
    <w:rsid w:val="0020179A"/>
    <w:rsid w:val="0020241C"/>
    <w:rsid w:val="00205571"/>
    <w:rsid w:val="002058C9"/>
    <w:rsid w:val="0020677F"/>
    <w:rsid w:val="002106D7"/>
    <w:rsid w:val="00210F2C"/>
    <w:rsid w:val="002122E6"/>
    <w:rsid w:val="00214125"/>
    <w:rsid w:val="0021439D"/>
    <w:rsid w:val="00214AD3"/>
    <w:rsid w:val="00215B6D"/>
    <w:rsid w:val="0021660F"/>
    <w:rsid w:val="00217CEF"/>
    <w:rsid w:val="0022209F"/>
    <w:rsid w:val="00230045"/>
    <w:rsid w:val="0023027B"/>
    <w:rsid w:val="00230F9D"/>
    <w:rsid w:val="00237B0F"/>
    <w:rsid w:val="00240336"/>
    <w:rsid w:val="002408C0"/>
    <w:rsid w:val="00241DDE"/>
    <w:rsid w:val="00242728"/>
    <w:rsid w:val="002472AF"/>
    <w:rsid w:val="00247AB9"/>
    <w:rsid w:val="002523BF"/>
    <w:rsid w:val="002525FC"/>
    <w:rsid w:val="00252813"/>
    <w:rsid w:val="00253484"/>
    <w:rsid w:val="00255650"/>
    <w:rsid w:val="00256592"/>
    <w:rsid w:val="00256F79"/>
    <w:rsid w:val="00260436"/>
    <w:rsid w:val="00260E94"/>
    <w:rsid w:val="00261109"/>
    <w:rsid w:val="0026123C"/>
    <w:rsid w:val="00263609"/>
    <w:rsid w:val="002653F4"/>
    <w:rsid w:val="002661F2"/>
    <w:rsid w:val="00266334"/>
    <w:rsid w:val="00267479"/>
    <w:rsid w:val="00270B23"/>
    <w:rsid w:val="002711F3"/>
    <w:rsid w:val="00271659"/>
    <w:rsid w:val="00273C74"/>
    <w:rsid w:val="00273F80"/>
    <w:rsid w:val="00274DC1"/>
    <w:rsid w:val="00275818"/>
    <w:rsid w:val="002762B2"/>
    <w:rsid w:val="00276447"/>
    <w:rsid w:val="00280252"/>
    <w:rsid w:val="00281BE0"/>
    <w:rsid w:val="00286BAF"/>
    <w:rsid w:val="00293124"/>
    <w:rsid w:val="00293A00"/>
    <w:rsid w:val="00293EF6"/>
    <w:rsid w:val="002945CA"/>
    <w:rsid w:val="002963B0"/>
    <w:rsid w:val="00297AA3"/>
    <w:rsid w:val="002A0374"/>
    <w:rsid w:val="002A03A8"/>
    <w:rsid w:val="002A1032"/>
    <w:rsid w:val="002A16C1"/>
    <w:rsid w:val="002A1988"/>
    <w:rsid w:val="002A3205"/>
    <w:rsid w:val="002A4045"/>
    <w:rsid w:val="002A46A9"/>
    <w:rsid w:val="002A5885"/>
    <w:rsid w:val="002A756C"/>
    <w:rsid w:val="002A7CA7"/>
    <w:rsid w:val="002B173C"/>
    <w:rsid w:val="002B27D8"/>
    <w:rsid w:val="002B2EA4"/>
    <w:rsid w:val="002B2F8E"/>
    <w:rsid w:val="002B3101"/>
    <w:rsid w:val="002B3548"/>
    <w:rsid w:val="002B3CE1"/>
    <w:rsid w:val="002B4283"/>
    <w:rsid w:val="002B66E0"/>
    <w:rsid w:val="002B6C45"/>
    <w:rsid w:val="002C0023"/>
    <w:rsid w:val="002C1F57"/>
    <w:rsid w:val="002C34C8"/>
    <w:rsid w:val="002C49AA"/>
    <w:rsid w:val="002D2326"/>
    <w:rsid w:val="002D2848"/>
    <w:rsid w:val="002D2C01"/>
    <w:rsid w:val="002D46A6"/>
    <w:rsid w:val="002D6F0B"/>
    <w:rsid w:val="002D6F4A"/>
    <w:rsid w:val="002D78D9"/>
    <w:rsid w:val="002D7CD6"/>
    <w:rsid w:val="002E26DF"/>
    <w:rsid w:val="002F0C80"/>
    <w:rsid w:val="002F0F89"/>
    <w:rsid w:val="002F1409"/>
    <w:rsid w:val="002F1838"/>
    <w:rsid w:val="002F253E"/>
    <w:rsid w:val="002F33C6"/>
    <w:rsid w:val="002F3875"/>
    <w:rsid w:val="002F3961"/>
    <w:rsid w:val="002F3BF8"/>
    <w:rsid w:val="002F436C"/>
    <w:rsid w:val="002F463B"/>
    <w:rsid w:val="002F5F5B"/>
    <w:rsid w:val="002F6038"/>
    <w:rsid w:val="002F6DF9"/>
    <w:rsid w:val="002F7454"/>
    <w:rsid w:val="0030048F"/>
    <w:rsid w:val="003025CF"/>
    <w:rsid w:val="003026D2"/>
    <w:rsid w:val="003035D1"/>
    <w:rsid w:val="00303800"/>
    <w:rsid w:val="00303D8A"/>
    <w:rsid w:val="00304130"/>
    <w:rsid w:val="00304316"/>
    <w:rsid w:val="00304CE4"/>
    <w:rsid w:val="003053EB"/>
    <w:rsid w:val="00306E62"/>
    <w:rsid w:val="00307392"/>
    <w:rsid w:val="00307CD7"/>
    <w:rsid w:val="00313DC8"/>
    <w:rsid w:val="00314E32"/>
    <w:rsid w:val="003160F0"/>
    <w:rsid w:val="00316867"/>
    <w:rsid w:val="00317C82"/>
    <w:rsid w:val="003208E8"/>
    <w:rsid w:val="00323C47"/>
    <w:rsid w:val="003249F1"/>
    <w:rsid w:val="00325095"/>
    <w:rsid w:val="0033178A"/>
    <w:rsid w:val="0033397D"/>
    <w:rsid w:val="0033531E"/>
    <w:rsid w:val="003358A6"/>
    <w:rsid w:val="00340461"/>
    <w:rsid w:val="00341059"/>
    <w:rsid w:val="003414E4"/>
    <w:rsid w:val="003441F8"/>
    <w:rsid w:val="00344472"/>
    <w:rsid w:val="0034596F"/>
    <w:rsid w:val="00346C98"/>
    <w:rsid w:val="003473CD"/>
    <w:rsid w:val="00352B70"/>
    <w:rsid w:val="00352BC7"/>
    <w:rsid w:val="003535A3"/>
    <w:rsid w:val="003536CD"/>
    <w:rsid w:val="00354268"/>
    <w:rsid w:val="00354C8F"/>
    <w:rsid w:val="00355041"/>
    <w:rsid w:val="00355AC6"/>
    <w:rsid w:val="00360530"/>
    <w:rsid w:val="00365049"/>
    <w:rsid w:val="00365A58"/>
    <w:rsid w:val="00366188"/>
    <w:rsid w:val="00366CEE"/>
    <w:rsid w:val="00367AE3"/>
    <w:rsid w:val="00370900"/>
    <w:rsid w:val="00372538"/>
    <w:rsid w:val="003738A7"/>
    <w:rsid w:val="00373B9E"/>
    <w:rsid w:val="00374A4F"/>
    <w:rsid w:val="00375792"/>
    <w:rsid w:val="00377177"/>
    <w:rsid w:val="0037773B"/>
    <w:rsid w:val="003779C0"/>
    <w:rsid w:val="00377BC0"/>
    <w:rsid w:val="00377E0B"/>
    <w:rsid w:val="00377E7D"/>
    <w:rsid w:val="0038097F"/>
    <w:rsid w:val="00381097"/>
    <w:rsid w:val="0038190B"/>
    <w:rsid w:val="0038240D"/>
    <w:rsid w:val="00383A83"/>
    <w:rsid w:val="00384CE3"/>
    <w:rsid w:val="00385303"/>
    <w:rsid w:val="0038601D"/>
    <w:rsid w:val="003866DF"/>
    <w:rsid w:val="00386C6A"/>
    <w:rsid w:val="00387C05"/>
    <w:rsid w:val="003919F8"/>
    <w:rsid w:val="00391FF5"/>
    <w:rsid w:val="00393E99"/>
    <w:rsid w:val="003972BE"/>
    <w:rsid w:val="003973DD"/>
    <w:rsid w:val="003A170F"/>
    <w:rsid w:val="003A1D4A"/>
    <w:rsid w:val="003A2FF8"/>
    <w:rsid w:val="003A4366"/>
    <w:rsid w:val="003A4895"/>
    <w:rsid w:val="003A5CAC"/>
    <w:rsid w:val="003A5D3A"/>
    <w:rsid w:val="003A66D2"/>
    <w:rsid w:val="003A6F79"/>
    <w:rsid w:val="003B05DB"/>
    <w:rsid w:val="003B1450"/>
    <w:rsid w:val="003B147F"/>
    <w:rsid w:val="003B3B42"/>
    <w:rsid w:val="003B694D"/>
    <w:rsid w:val="003C26E0"/>
    <w:rsid w:val="003C4335"/>
    <w:rsid w:val="003C5C92"/>
    <w:rsid w:val="003C7499"/>
    <w:rsid w:val="003C79B9"/>
    <w:rsid w:val="003D335D"/>
    <w:rsid w:val="003D3631"/>
    <w:rsid w:val="003E10CE"/>
    <w:rsid w:val="003E1C43"/>
    <w:rsid w:val="003E2177"/>
    <w:rsid w:val="003E39B1"/>
    <w:rsid w:val="003E3E53"/>
    <w:rsid w:val="003E43DD"/>
    <w:rsid w:val="003E5752"/>
    <w:rsid w:val="003E6709"/>
    <w:rsid w:val="003E7F2A"/>
    <w:rsid w:val="003F03A3"/>
    <w:rsid w:val="003F14BA"/>
    <w:rsid w:val="003F2AE0"/>
    <w:rsid w:val="003F3C27"/>
    <w:rsid w:val="003F41D6"/>
    <w:rsid w:val="003F41DC"/>
    <w:rsid w:val="003F59D8"/>
    <w:rsid w:val="0040118A"/>
    <w:rsid w:val="00401CC1"/>
    <w:rsid w:val="00403C91"/>
    <w:rsid w:val="00404AB3"/>
    <w:rsid w:val="00404AF5"/>
    <w:rsid w:val="00407922"/>
    <w:rsid w:val="00407FE1"/>
    <w:rsid w:val="00411739"/>
    <w:rsid w:val="00411C81"/>
    <w:rsid w:val="00412CA6"/>
    <w:rsid w:val="00413681"/>
    <w:rsid w:val="00413D9B"/>
    <w:rsid w:val="00416F0D"/>
    <w:rsid w:val="00420274"/>
    <w:rsid w:val="004204B3"/>
    <w:rsid w:val="004244FC"/>
    <w:rsid w:val="00424938"/>
    <w:rsid w:val="00425702"/>
    <w:rsid w:val="00426389"/>
    <w:rsid w:val="00426FB3"/>
    <w:rsid w:val="0042777A"/>
    <w:rsid w:val="00430C79"/>
    <w:rsid w:val="00430EB5"/>
    <w:rsid w:val="00431AFF"/>
    <w:rsid w:val="00432156"/>
    <w:rsid w:val="00433CDE"/>
    <w:rsid w:val="00434160"/>
    <w:rsid w:val="0043424C"/>
    <w:rsid w:val="00436398"/>
    <w:rsid w:val="00437115"/>
    <w:rsid w:val="00443B28"/>
    <w:rsid w:val="00443C6C"/>
    <w:rsid w:val="004450A6"/>
    <w:rsid w:val="00447CE7"/>
    <w:rsid w:val="00452611"/>
    <w:rsid w:val="004561CA"/>
    <w:rsid w:val="0045642B"/>
    <w:rsid w:val="00456EDE"/>
    <w:rsid w:val="0045751F"/>
    <w:rsid w:val="0046011A"/>
    <w:rsid w:val="004618DA"/>
    <w:rsid w:val="004626FE"/>
    <w:rsid w:val="00463311"/>
    <w:rsid w:val="004638B7"/>
    <w:rsid w:val="004655C7"/>
    <w:rsid w:val="0046565A"/>
    <w:rsid w:val="00470C5B"/>
    <w:rsid w:val="00470FB6"/>
    <w:rsid w:val="0047542A"/>
    <w:rsid w:val="004758EC"/>
    <w:rsid w:val="00480B5A"/>
    <w:rsid w:val="00480CCA"/>
    <w:rsid w:val="00481F1C"/>
    <w:rsid w:val="00482389"/>
    <w:rsid w:val="00492901"/>
    <w:rsid w:val="004931AE"/>
    <w:rsid w:val="00494661"/>
    <w:rsid w:val="0049604F"/>
    <w:rsid w:val="00496FBA"/>
    <w:rsid w:val="00497AEB"/>
    <w:rsid w:val="004A1640"/>
    <w:rsid w:val="004A21CD"/>
    <w:rsid w:val="004A2876"/>
    <w:rsid w:val="004A2E59"/>
    <w:rsid w:val="004A3342"/>
    <w:rsid w:val="004A33B0"/>
    <w:rsid w:val="004A389D"/>
    <w:rsid w:val="004A38DE"/>
    <w:rsid w:val="004A3BEC"/>
    <w:rsid w:val="004A7848"/>
    <w:rsid w:val="004A79EB"/>
    <w:rsid w:val="004B28CB"/>
    <w:rsid w:val="004B356A"/>
    <w:rsid w:val="004B656A"/>
    <w:rsid w:val="004B74AD"/>
    <w:rsid w:val="004B7F1C"/>
    <w:rsid w:val="004C08AA"/>
    <w:rsid w:val="004C08DD"/>
    <w:rsid w:val="004C09F8"/>
    <w:rsid w:val="004C0D63"/>
    <w:rsid w:val="004C180F"/>
    <w:rsid w:val="004C1AA0"/>
    <w:rsid w:val="004C1EE8"/>
    <w:rsid w:val="004C3340"/>
    <w:rsid w:val="004C3663"/>
    <w:rsid w:val="004C4450"/>
    <w:rsid w:val="004C56D7"/>
    <w:rsid w:val="004C5EE7"/>
    <w:rsid w:val="004D01A3"/>
    <w:rsid w:val="004D0564"/>
    <w:rsid w:val="004D3C2E"/>
    <w:rsid w:val="004D679D"/>
    <w:rsid w:val="004E0D32"/>
    <w:rsid w:val="004E1B50"/>
    <w:rsid w:val="004E2D5E"/>
    <w:rsid w:val="004E2E2C"/>
    <w:rsid w:val="004E3688"/>
    <w:rsid w:val="004E4061"/>
    <w:rsid w:val="004E40AA"/>
    <w:rsid w:val="004E4345"/>
    <w:rsid w:val="004F0FB0"/>
    <w:rsid w:val="004F11A0"/>
    <w:rsid w:val="004F11ED"/>
    <w:rsid w:val="004F2C51"/>
    <w:rsid w:val="004F2D6B"/>
    <w:rsid w:val="004F3F43"/>
    <w:rsid w:val="004F54B2"/>
    <w:rsid w:val="004F5821"/>
    <w:rsid w:val="00500562"/>
    <w:rsid w:val="00503C3C"/>
    <w:rsid w:val="00505AB1"/>
    <w:rsid w:val="00506312"/>
    <w:rsid w:val="0050681B"/>
    <w:rsid w:val="00506CA2"/>
    <w:rsid w:val="00506ED8"/>
    <w:rsid w:val="0051130D"/>
    <w:rsid w:val="00511C09"/>
    <w:rsid w:val="00512ADB"/>
    <w:rsid w:val="00512D09"/>
    <w:rsid w:val="0051429C"/>
    <w:rsid w:val="00514F55"/>
    <w:rsid w:val="00515B59"/>
    <w:rsid w:val="00515EC0"/>
    <w:rsid w:val="005202F8"/>
    <w:rsid w:val="005203C0"/>
    <w:rsid w:val="00520839"/>
    <w:rsid w:val="00520930"/>
    <w:rsid w:val="00521047"/>
    <w:rsid w:val="005222F5"/>
    <w:rsid w:val="0052416F"/>
    <w:rsid w:val="0052506C"/>
    <w:rsid w:val="00530E27"/>
    <w:rsid w:val="00533E9D"/>
    <w:rsid w:val="005355AF"/>
    <w:rsid w:val="005373D8"/>
    <w:rsid w:val="00537606"/>
    <w:rsid w:val="00537893"/>
    <w:rsid w:val="00542D30"/>
    <w:rsid w:val="005431D6"/>
    <w:rsid w:val="00543B0E"/>
    <w:rsid w:val="00544EE7"/>
    <w:rsid w:val="00545AD8"/>
    <w:rsid w:val="00546E8A"/>
    <w:rsid w:val="00547634"/>
    <w:rsid w:val="00551A5D"/>
    <w:rsid w:val="005551AD"/>
    <w:rsid w:val="005569C4"/>
    <w:rsid w:val="00557A99"/>
    <w:rsid w:val="00557AAA"/>
    <w:rsid w:val="0056418E"/>
    <w:rsid w:val="00564978"/>
    <w:rsid w:val="00565976"/>
    <w:rsid w:val="00565986"/>
    <w:rsid w:val="005667BC"/>
    <w:rsid w:val="005711DB"/>
    <w:rsid w:val="0057158A"/>
    <w:rsid w:val="00572FA0"/>
    <w:rsid w:val="005741D8"/>
    <w:rsid w:val="005743E5"/>
    <w:rsid w:val="00575D29"/>
    <w:rsid w:val="00576178"/>
    <w:rsid w:val="0057648D"/>
    <w:rsid w:val="005768E4"/>
    <w:rsid w:val="00576E04"/>
    <w:rsid w:val="0057770E"/>
    <w:rsid w:val="00581C0E"/>
    <w:rsid w:val="0058206A"/>
    <w:rsid w:val="005826CD"/>
    <w:rsid w:val="00584D8A"/>
    <w:rsid w:val="00584E47"/>
    <w:rsid w:val="00587EF6"/>
    <w:rsid w:val="00592988"/>
    <w:rsid w:val="00593182"/>
    <w:rsid w:val="005936C3"/>
    <w:rsid w:val="005942F3"/>
    <w:rsid w:val="0059573A"/>
    <w:rsid w:val="00595FB7"/>
    <w:rsid w:val="00596BB1"/>
    <w:rsid w:val="0059766F"/>
    <w:rsid w:val="005A0114"/>
    <w:rsid w:val="005A167D"/>
    <w:rsid w:val="005A1801"/>
    <w:rsid w:val="005A1807"/>
    <w:rsid w:val="005A2FEB"/>
    <w:rsid w:val="005A337D"/>
    <w:rsid w:val="005A44B9"/>
    <w:rsid w:val="005A606D"/>
    <w:rsid w:val="005A6083"/>
    <w:rsid w:val="005A7232"/>
    <w:rsid w:val="005B00C4"/>
    <w:rsid w:val="005B3D5D"/>
    <w:rsid w:val="005B3E2D"/>
    <w:rsid w:val="005B71CE"/>
    <w:rsid w:val="005B7B88"/>
    <w:rsid w:val="005C087F"/>
    <w:rsid w:val="005C0DB0"/>
    <w:rsid w:val="005C12AC"/>
    <w:rsid w:val="005C1705"/>
    <w:rsid w:val="005C1F3E"/>
    <w:rsid w:val="005C2291"/>
    <w:rsid w:val="005C41D5"/>
    <w:rsid w:val="005C4757"/>
    <w:rsid w:val="005C526C"/>
    <w:rsid w:val="005C5594"/>
    <w:rsid w:val="005C76A2"/>
    <w:rsid w:val="005D39D8"/>
    <w:rsid w:val="005D441C"/>
    <w:rsid w:val="005D5B24"/>
    <w:rsid w:val="005E0598"/>
    <w:rsid w:val="005E19BA"/>
    <w:rsid w:val="005E222A"/>
    <w:rsid w:val="005E2C58"/>
    <w:rsid w:val="005E40C4"/>
    <w:rsid w:val="005E5D61"/>
    <w:rsid w:val="005E6029"/>
    <w:rsid w:val="005E6D77"/>
    <w:rsid w:val="005F0701"/>
    <w:rsid w:val="005F0D01"/>
    <w:rsid w:val="005F25E5"/>
    <w:rsid w:val="005F3E89"/>
    <w:rsid w:val="005F4C1F"/>
    <w:rsid w:val="005F62FC"/>
    <w:rsid w:val="005F67D6"/>
    <w:rsid w:val="005F6C3E"/>
    <w:rsid w:val="005F74A6"/>
    <w:rsid w:val="005F77F4"/>
    <w:rsid w:val="006004D2"/>
    <w:rsid w:val="00600880"/>
    <w:rsid w:val="00600B20"/>
    <w:rsid w:val="00601DB0"/>
    <w:rsid w:val="006029AD"/>
    <w:rsid w:val="006044D1"/>
    <w:rsid w:val="00604578"/>
    <w:rsid w:val="00604986"/>
    <w:rsid w:val="00604B02"/>
    <w:rsid w:val="006056CF"/>
    <w:rsid w:val="00605F61"/>
    <w:rsid w:val="0060677C"/>
    <w:rsid w:val="006106B2"/>
    <w:rsid w:val="00613869"/>
    <w:rsid w:val="006140A6"/>
    <w:rsid w:val="00615B34"/>
    <w:rsid w:val="00620D1C"/>
    <w:rsid w:val="00623A1D"/>
    <w:rsid w:val="00623D26"/>
    <w:rsid w:val="00624E3B"/>
    <w:rsid w:val="00624E7E"/>
    <w:rsid w:val="00626F6B"/>
    <w:rsid w:val="00630ACA"/>
    <w:rsid w:val="006313CB"/>
    <w:rsid w:val="00631FFB"/>
    <w:rsid w:val="006322EB"/>
    <w:rsid w:val="00640D0D"/>
    <w:rsid w:val="00641001"/>
    <w:rsid w:val="00642A46"/>
    <w:rsid w:val="00643448"/>
    <w:rsid w:val="00643DCE"/>
    <w:rsid w:val="00644ACD"/>
    <w:rsid w:val="00646785"/>
    <w:rsid w:val="0065078E"/>
    <w:rsid w:val="006513CC"/>
    <w:rsid w:val="00656A92"/>
    <w:rsid w:val="00657554"/>
    <w:rsid w:val="00660900"/>
    <w:rsid w:val="00660ABC"/>
    <w:rsid w:val="00662271"/>
    <w:rsid w:val="00662719"/>
    <w:rsid w:val="00663B7A"/>
    <w:rsid w:val="006642BF"/>
    <w:rsid w:val="00664786"/>
    <w:rsid w:val="006650EC"/>
    <w:rsid w:val="0066616D"/>
    <w:rsid w:val="006662C5"/>
    <w:rsid w:val="0066780E"/>
    <w:rsid w:val="0067114F"/>
    <w:rsid w:val="00671C7A"/>
    <w:rsid w:val="006732E8"/>
    <w:rsid w:val="006733E1"/>
    <w:rsid w:val="00675249"/>
    <w:rsid w:val="0067558B"/>
    <w:rsid w:val="00675A97"/>
    <w:rsid w:val="00676A16"/>
    <w:rsid w:val="00681330"/>
    <w:rsid w:val="00681439"/>
    <w:rsid w:val="00682E32"/>
    <w:rsid w:val="006835B7"/>
    <w:rsid w:val="00685AE8"/>
    <w:rsid w:val="00687D3A"/>
    <w:rsid w:val="006917A1"/>
    <w:rsid w:val="00692A6A"/>
    <w:rsid w:val="0069403A"/>
    <w:rsid w:val="00695FC8"/>
    <w:rsid w:val="00696E44"/>
    <w:rsid w:val="006971B5"/>
    <w:rsid w:val="006A2301"/>
    <w:rsid w:val="006A3640"/>
    <w:rsid w:val="006A41DA"/>
    <w:rsid w:val="006A4C55"/>
    <w:rsid w:val="006A7F39"/>
    <w:rsid w:val="006B092F"/>
    <w:rsid w:val="006B1DD6"/>
    <w:rsid w:val="006B35D9"/>
    <w:rsid w:val="006B369D"/>
    <w:rsid w:val="006B7DC9"/>
    <w:rsid w:val="006C0272"/>
    <w:rsid w:val="006C226A"/>
    <w:rsid w:val="006C3991"/>
    <w:rsid w:val="006C39A9"/>
    <w:rsid w:val="006C3E8F"/>
    <w:rsid w:val="006C4A10"/>
    <w:rsid w:val="006C5371"/>
    <w:rsid w:val="006C6E53"/>
    <w:rsid w:val="006C7CD4"/>
    <w:rsid w:val="006D0B5A"/>
    <w:rsid w:val="006D151A"/>
    <w:rsid w:val="006D1802"/>
    <w:rsid w:val="006D1A98"/>
    <w:rsid w:val="006D31D7"/>
    <w:rsid w:val="006D38F9"/>
    <w:rsid w:val="006D634F"/>
    <w:rsid w:val="006D662B"/>
    <w:rsid w:val="006D7F68"/>
    <w:rsid w:val="006E2402"/>
    <w:rsid w:val="006E33A3"/>
    <w:rsid w:val="006E7097"/>
    <w:rsid w:val="006F02C4"/>
    <w:rsid w:val="006F0FD8"/>
    <w:rsid w:val="006F1118"/>
    <w:rsid w:val="006F2A9C"/>
    <w:rsid w:val="006F3F29"/>
    <w:rsid w:val="006F4CDE"/>
    <w:rsid w:val="006F6D9A"/>
    <w:rsid w:val="006F73F2"/>
    <w:rsid w:val="00700058"/>
    <w:rsid w:val="00701DE9"/>
    <w:rsid w:val="007052FB"/>
    <w:rsid w:val="00706015"/>
    <w:rsid w:val="00712621"/>
    <w:rsid w:val="00712E3B"/>
    <w:rsid w:val="00713223"/>
    <w:rsid w:val="00714119"/>
    <w:rsid w:val="0071561D"/>
    <w:rsid w:val="00717FFE"/>
    <w:rsid w:val="007205FB"/>
    <w:rsid w:val="0072457B"/>
    <w:rsid w:val="00726498"/>
    <w:rsid w:val="0072693F"/>
    <w:rsid w:val="007270FC"/>
    <w:rsid w:val="00730F10"/>
    <w:rsid w:val="0073130B"/>
    <w:rsid w:val="0073314F"/>
    <w:rsid w:val="00733506"/>
    <w:rsid w:val="00733588"/>
    <w:rsid w:val="0073369A"/>
    <w:rsid w:val="0073399A"/>
    <w:rsid w:val="00734D46"/>
    <w:rsid w:val="007417EB"/>
    <w:rsid w:val="00741F5F"/>
    <w:rsid w:val="00742036"/>
    <w:rsid w:val="00742A86"/>
    <w:rsid w:val="00742AF6"/>
    <w:rsid w:val="00743128"/>
    <w:rsid w:val="00746477"/>
    <w:rsid w:val="00747FC2"/>
    <w:rsid w:val="00751BD0"/>
    <w:rsid w:val="00751F77"/>
    <w:rsid w:val="0075249C"/>
    <w:rsid w:val="00752E4D"/>
    <w:rsid w:val="00762F5F"/>
    <w:rsid w:val="00764D33"/>
    <w:rsid w:val="00765600"/>
    <w:rsid w:val="0076579B"/>
    <w:rsid w:val="00766F8B"/>
    <w:rsid w:val="00770DBF"/>
    <w:rsid w:val="007712F4"/>
    <w:rsid w:val="007738B6"/>
    <w:rsid w:val="007744E4"/>
    <w:rsid w:val="00774613"/>
    <w:rsid w:val="007761EE"/>
    <w:rsid w:val="00776ACE"/>
    <w:rsid w:val="007805CF"/>
    <w:rsid w:val="007810E8"/>
    <w:rsid w:val="0078175F"/>
    <w:rsid w:val="00782278"/>
    <w:rsid w:val="00785443"/>
    <w:rsid w:val="00785482"/>
    <w:rsid w:val="00786B6F"/>
    <w:rsid w:val="00787947"/>
    <w:rsid w:val="00790D9B"/>
    <w:rsid w:val="0079204B"/>
    <w:rsid w:val="007927E4"/>
    <w:rsid w:val="00793716"/>
    <w:rsid w:val="00794000"/>
    <w:rsid w:val="007945F3"/>
    <w:rsid w:val="00794701"/>
    <w:rsid w:val="007954D9"/>
    <w:rsid w:val="00795715"/>
    <w:rsid w:val="00795B9F"/>
    <w:rsid w:val="007A1444"/>
    <w:rsid w:val="007A1AB1"/>
    <w:rsid w:val="007A231B"/>
    <w:rsid w:val="007A290F"/>
    <w:rsid w:val="007A3C1F"/>
    <w:rsid w:val="007A4EA9"/>
    <w:rsid w:val="007A5D85"/>
    <w:rsid w:val="007A753B"/>
    <w:rsid w:val="007A76B9"/>
    <w:rsid w:val="007B3ED1"/>
    <w:rsid w:val="007B445D"/>
    <w:rsid w:val="007B4C68"/>
    <w:rsid w:val="007B4CCE"/>
    <w:rsid w:val="007B528A"/>
    <w:rsid w:val="007B59CF"/>
    <w:rsid w:val="007B6360"/>
    <w:rsid w:val="007C0436"/>
    <w:rsid w:val="007C2BB7"/>
    <w:rsid w:val="007C2E0F"/>
    <w:rsid w:val="007C30C0"/>
    <w:rsid w:val="007C4A65"/>
    <w:rsid w:val="007C6088"/>
    <w:rsid w:val="007D150D"/>
    <w:rsid w:val="007D4A9D"/>
    <w:rsid w:val="007D4B78"/>
    <w:rsid w:val="007D4D03"/>
    <w:rsid w:val="007D5E5D"/>
    <w:rsid w:val="007D5ED0"/>
    <w:rsid w:val="007D777E"/>
    <w:rsid w:val="007D78BB"/>
    <w:rsid w:val="007D7ED5"/>
    <w:rsid w:val="007E1B6D"/>
    <w:rsid w:val="007E24E3"/>
    <w:rsid w:val="007E2750"/>
    <w:rsid w:val="007E2F4D"/>
    <w:rsid w:val="007E76E6"/>
    <w:rsid w:val="007E78DA"/>
    <w:rsid w:val="007F0120"/>
    <w:rsid w:val="007F3169"/>
    <w:rsid w:val="007F325B"/>
    <w:rsid w:val="007F752F"/>
    <w:rsid w:val="007F7CFB"/>
    <w:rsid w:val="008010BD"/>
    <w:rsid w:val="008033D6"/>
    <w:rsid w:val="008047D3"/>
    <w:rsid w:val="00804D58"/>
    <w:rsid w:val="00805017"/>
    <w:rsid w:val="00805559"/>
    <w:rsid w:val="00806419"/>
    <w:rsid w:val="0081042A"/>
    <w:rsid w:val="008107A9"/>
    <w:rsid w:val="0081099D"/>
    <w:rsid w:val="008116A7"/>
    <w:rsid w:val="008117EA"/>
    <w:rsid w:val="00813A9D"/>
    <w:rsid w:val="00813F63"/>
    <w:rsid w:val="00815611"/>
    <w:rsid w:val="00816B4E"/>
    <w:rsid w:val="008172B8"/>
    <w:rsid w:val="00817B2A"/>
    <w:rsid w:val="008200E7"/>
    <w:rsid w:val="00822520"/>
    <w:rsid w:val="00827E3E"/>
    <w:rsid w:val="0083072C"/>
    <w:rsid w:val="00830A1C"/>
    <w:rsid w:val="00831C15"/>
    <w:rsid w:val="0083327A"/>
    <w:rsid w:val="008335BB"/>
    <w:rsid w:val="00833B1E"/>
    <w:rsid w:val="0083433F"/>
    <w:rsid w:val="008357DA"/>
    <w:rsid w:val="008379DD"/>
    <w:rsid w:val="00837F54"/>
    <w:rsid w:val="0084158C"/>
    <w:rsid w:val="0084214D"/>
    <w:rsid w:val="00842DAD"/>
    <w:rsid w:val="00843267"/>
    <w:rsid w:val="00844405"/>
    <w:rsid w:val="00845FB5"/>
    <w:rsid w:val="008466F3"/>
    <w:rsid w:val="008473EE"/>
    <w:rsid w:val="008541F7"/>
    <w:rsid w:val="00854802"/>
    <w:rsid w:val="00854A26"/>
    <w:rsid w:val="008562C6"/>
    <w:rsid w:val="00857861"/>
    <w:rsid w:val="00860635"/>
    <w:rsid w:val="00866132"/>
    <w:rsid w:val="0086723C"/>
    <w:rsid w:val="0086784F"/>
    <w:rsid w:val="008678A5"/>
    <w:rsid w:val="008716BF"/>
    <w:rsid w:val="0087275A"/>
    <w:rsid w:val="008738E0"/>
    <w:rsid w:val="00874AC3"/>
    <w:rsid w:val="008762C6"/>
    <w:rsid w:val="008769FA"/>
    <w:rsid w:val="00876DE7"/>
    <w:rsid w:val="00882602"/>
    <w:rsid w:val="00882E95"/>
    <w:rsid w:val="00883400"/>
    <w:rsid w:val="00885473"/>
    <w:rsid w:val="00890227"/>
    <w:rsid w:val="0089077B"/>
    <w:rsid w:val="008907E1"/>
    <w:rsid w:val="00891C2C"/>
    <w:rsid w:val="008921D0"/>
    <w:rsid w:val="008921EE"/>
    <w:rsid w:val="008954BE"/>
    <w:rsid w:val="00895DD2"/>
    <w:rsid w:val="00896326"/>
    <w:rsid w:val="008967E3"/>
    <w:rsid w:val="00897B0A"/>
    <w:rsid w:val="008A32F9"/>
    <w:rsid w:val="008A5B5E"/>
    <w:rsid w:val="008A640B"/>
    <w:rsid w:val="008B0CB9"/>
    <w:rsid w:val="008B1EC0"/>
    <w:rsid w:val="008B2FE9"/>
    <w:rsid w:val="008B495A"/>
    <w:rsid w:val="008B5712"/>
    <w:rsid w:val="008B5D49"/>
    <w:rsid w:val="008B63C5"/>
    <w:rsid w:val="008C0405"/>
    <w:rsid w:val="008C04A5"/>
    <w:rsid w:val="008C05BF"/>
    <w:rsid w:val="008C0AF7"/>
    <w:rsid w:val="008C1C19"/>
    <w:rsid w:val="008C2B78"/>
    <w:rsid w:val="008C2BCD"/>
    <w:rsid w:val="008C6422"/>
    <w:rsid w:val="008C7770"/>
    <w:rsid w:val="008D05D3"/>
    <w:rsid w:val="008D1245"/>
    <w:rsid w:val="008D12BA"/>
    <w:rsid w:val="008D15AC"/>
    <w:rsid w:val="008D2180"/>
    <w:rsid w:val="008D3036"/>
    <w:rsid w:val="008D4400"/>
    <w:rsid w:val="008D4D67"/>
    <w:rsid w:val="008D6D8F"/>
    <w:rsid w:val="008E07E8"/>
    <w:rsid w:val="008E1CEF"/>
    <w:rsid w:val="008E214E"/>
    <w:rsid w:val="008E3818"/>
    <w:rsid w:val="008E3A56"/>
    <w:rsid w:val="008E5BDC"/>
    <w:rsid w:val="008E5E27"/>
    <w:rsid w:val="008E6CE8"/>
    <w:rsid w:val="008E71AA"/>
    <w:rsid w:val="008F0938"/>
    <w:rsid w:val="008F17E8"/>
    <w:rsid w:val="008F47C5"/>
    <w:rsid w:val="008F55B1"/>
    <w:rsid w:val="008F5780"/>
    <w:rsid w:val="008F6B4D"/>
    <w:rsid w:val="008F7319"/>
    <w:rsid w:val="00900965"/>
    <w:rsid w:val="0090167C"/>
    <w:rsid w:val="00902020"/>
    <w:rsid w:val="0090377F"/>
    <w:rsid w:val="00904F4D"/>
    <w:rsid w:val="0090513E"/>
    <w:rsid w:val="00906B23"/>
    <w:rsid w:val="00914E20"/>
    <w:rsid w:val="00915469"/>
    <w:rsid w:val="00916525"/>
    <w:rsid w:val="009167A3"/>
    <w:rsid w:val="00917D60"/>
    <w:rsid w:val="00924057"/>
    <w:rsid w:val="00925912"/>
    <w:rsid w:val="00931448"/>
    <w:rsid w:val="00931DF5"/>
    <w:rsid w:val="0093218E"/>
    <w:rsid w:val="00932414"/>
    <w:rsid w:val="00932667"/>
    <w:rsid w:val="0093322F"/>
    <w:rsid w:val="0093431F"/>
    <w:rsid w:val="00936A44"/>
    <w:rsid w:val="00941778"/>
    <w:rsid w:val="00943E47"/>
    <w:rsid w:val="0094484D"/>
    <w:rsid w:val="009460CC"/>
    <w:rsid w:val="00946C4B"/>
    <w:rsid w:val="00946D6E"/>
    <w:rsid w:val="00947936"/>
    <w:rsid w:val="0095169B"/>
    <w:rsid w:val="0095214F"/>
    <w:rsid w:val="00953B85"/>
    <w:rsid w:val="009550FD"/>
    <w:rsid w:val="009569C1"/>
    <w:rsid w:val="00957047"/>
    <w:rsid w:val="00957C3F"/>
    <w:rsid w:val="00957D12"/>
    <w:rsid w:val="00967B99"/>
    <w:rsid w:val="0097078A"/>
    <w:rsid w:val="00970A3F"/>
    <w:rsid w:val="0097370C"/>
    <w:rsid w:val="00973BDC"/>
    <w:rsid w:val="00975411"/>
    <w:rsid w:val="00975660"/>
    <w:rsid w:val="009808E9"/>
    <w:rsid w:val="0098309B"/>
    <w:rsid w:val="00983322"/>
    <w:rsid w:val="00984B16"/>
    <w:rsid w:val="009857D5"/>
    <w:rsid w:val="009862E7"/>
    <w:rsid w:val="00987FBD"/>
    <w:rsid w:val="009918F4"/>
    <w:rsid w:val="00992C74"/>
    <w:rsid w:val="0099364E"/>
    <w:rsid w:val="00993B72"/>
    <w:rsid w:val="00995413"/>
    <w:rsid w:val="009976EF"/>
    <w:rsid w:val="00997763"/>
    <w:rsid w:val="00997CB5"/>
    <w:rsid w:val="009A26B4"/>
    <w:rsid w:val="009A29B9"/>
    <w:rsid w:val="009A2E19"/>
    <w:rsid w:val="009A4E64"/>
    <w:rsid w:val="009A5FE9"/>
    <w:rsid w:val="009A6EA9"/>
    <w:rsid w:val="009A74AA"/>
    <w:rsid w:val="009A79F0"/>
    <w:rsid w:val="009B1A95"/>
    <w:rsid w:val="009B1B4F"/>
    <w:rsid w:val="009B2922"/>
    <w:rsid w:val="009C2208"/>
    <w:rsid w:val="009C53D4"/>
    <w:rsid w:val="009C6233"/>
    <w:rsid w:val="009C6A42"/>
    <w:rsid w:val="009C7C7B"/>
    <w:rsid w:val="009D0D1A"/>
    <w:rsid w:val="009D1116"/>
    <w:rsid w:val="009D3F4E"/>
    <w:rsid w:val="009D5042"/>
    <w:rsid w:val="009D58DD"/>
    <w:rsid w:val="009E141E"/>
    <w:rsid w:val="009E4E02"/>
    <w:rsid w:val="009E7BA0"/>
    <w:rsid w:val="009E7DD2"/>
    <w:rsid w:val="009F0365"/>
    <w:rsid w:val="009F0AFA"/>
    <w:rsid w:val="009F1B37"/>
    <w:rsid w:val="009F2B34"/>
    <w:rsid w:val="009F7857"/>
    <w:rsid w:val="00A002CF"/>
    <w:rsid w:val="00A0074E"/>
    <w:rsid w:val="00A00B0C"/>
    <w:rsid w:val="00A03B94"/>
    <w:rsid w:val="00A046A1"/>
    <w:rsid w:val="00A04FFE"/>
    <w:rsid w:val="00A05DDF"/>
    <w:rsid w:val="00A06F9D"/>
    <w:rsid w:val="00A07488"/>
    <w:rsid w:val="00A10F03"/>
    <w:rsid w:val="00A1207F"/>
    <w:rsid w:val="00A1208A"/>
    <w:rsid w:val="00A13285"/>
    <w:rsid w:val="00A133D2"/>
    <w:rsid w:val="00A13D7B"/>
    <w:rsid w:val="00A17E02"/>
    <w:rsid w:val="00A2219B"/>
    <w:rsid w:val="00A234E5"/>
    <w:rsid w:val="00A2392D"/>
    <w:rsid w:val="00A23AA5"/>
    <w:rsid w:val="00A30003"/>
    <w:rsid w:val="00A33454"/>
    <w:rsid w:val="00A3387D"/>
    <w:rsid w:val="00A34745"/>
    <w:rsid w:val="00A34BE9"/>
    <w:rsid w:val="00A370F5"/>
    <w:rsid w:val="00A37F72"/>
    <w:rsid w:val="00A42C15"/>
    <w:rsid w:val="00A44328"/>
    <w:rsid w:val="00A46106"/>
    <w:rsid w:val="00A505F4"/>
    <w:rsid w:val="00A51ABD"/>
    <w:rsid w:val="00A52530"/>
    <w:rsid w:val="00A53341"/>
    <w:rsid w:val="00A53345"/>
    <w:rsid w:val="00A534B4"/>
    <w:rsid w:val="00A53804"/>
    <w:rsid w:val="00A54457"/>
    <w:rsid w:val="00A5762B"/>
    <w:rsid w:val="00A60CF2"/>
    <w:rsid w:val="00A626AE"/>
    <w:rsid w:val="00A629D1"/>
    <w:rsid w:val="00A63D8D"/>
    <w:rsid w:val="00A676A8"/>
    <w:rsid w:val="00A72CDB"/>
    <w:rsid w:val="00A72D70"/>
    <w:rsid w:val="00A736DB"/>
    <w:rsid w:val="00A751C3"/>
    <w:rsid w:val="00A7628E"/>
    <w:rsid w:val="00A76B93"/>
    <w:rsid w:val="00A77CAB"/>
    <w:rsid w:val="00A8068E"/>
    <w:rsid w:val="00A82C05"/>
    <w:rsid w:val="00A83349"/>
    <w:rsid w:val="00A85E91"/>
    <w:rsid w:val="00A86DE7"/>
    <w:rsid w:val="00A87409"/>
    <w:rsid w:val="00A90D97"/>
    <w:rsid w:val="00A92940"/>
    <w:rsid w:val="00A9317B"/>
    <w:rsid w:val="00A938C0"/>
    <w:rsid w:val="00A95228"/>
    <w:rsid w:val="00A96069"/>
    <w:rsid w:val="00A964E6"/>
    <w:rsid w:val="00A9714E"/>
    <w:rsid w:val="00AA0BAA"/>
    <w:rsid w:val="00AA19B9"/>
    <w:rsid w:val="00AA1F21"/>
    <w:rsid w:val="00AA28F4"/>
    <w:rsid w:val="00AA36B0"/>
    <w:rsid w:val="00AA50FF"/>
    <w:rsid w:val="00AA743F"/>
    <w:rsid w:val="00AA7593"/>
    <w:rsid w:val="00AB01E1"/>
    <w:rsid w:val="00AB1859"/>
    <w:rsid w:val="00AB1C50"/>
    <w:rsid w:val="00AB21C3"/>
    <w:rsid w:val="00AB2338"/>
    <w:rsid w:val="00AB2C7B"/>
    <w:rsid w:val="00AB38D3"/>
    <w:rsid w:val="00AB4427"/>
    <w:rsid w:val="00AB5043"/>
    <w:rsid w:val="00AB729F"/>
    <w:rsid w:val="00AC041A"/>
    <w:rsid w:val="00AC0675"/>
    <w:rsid w:val="00AC150D"/>
    <w:rsid w:val="00AC23F3"/>
    <w:rsid w:val="00AC294E"/>
    <w:rsid w:val="00AD272F"/>
    <w:rsid w:val="00AD3B91"/>
    <w:rsid w:val="00AD3C66"/>
    <w:rsid w:val="00AD545F"/>
    <w:rsid w:val="00AD566A"/>
    <w:rsid w:val="00AD764B"/>
    <w:rsid w:val="00AE0722"/>
    <w:rsid w:val="00AE093C"/>
    <w:rsid w:val="00AE2D7E"/>
    <w:rsid w:val="00AE2E85"/>
    <w:rsid w:val="00AE48D9"/>
    <w:rsid w:val="00AE54FB"/>
    <w:rsid w:val="00AE5542"/>
    <w:rsid w:val="00AE6D6C"/>
    <w:rsid w:val="00AF112B"/>
    <w:rsid w:val="00AF408E"/>
    <w:rsid w:val="00AF4C56"/>
    <w:rsid w:val="00AF5761"/>
    <w:rsid w:val="00AF5B9A"/>
    <w:rsid w:val="00AF5EA0"/>
    <w:rsid w:val="00AF62E6"/>
    <w:rsid w:val="00AF6381"/>
    <w:rsid w:val="00AF6CD5"/>
    <w:rsid w:val="00B00469"/>
    <w:rsid w:val="00B00B6C"/>
    <w:rsid w:val="00B00C6B"/>
    <w:rsid w:val="00B061C3"/>
    <w:rsid w:val="00B07994"/>
    <w:rsid w:val="00B07C30"/>
    <w:rsid w:val="00B1016C"/>
    <w:rsid w:val="00B10379"/>
    <w:rsid w:val="00B117EF"/>
    <w:rsid w:val="00B11AFF"/>
    <w:rsid w:val="00B12B1E"/>
    <w:rsid w:val="00B12E72"/>
    <w:rsid w:val="00B13197"/>
    <w:rsid w:val="00B13F61"/>
    <w:rsid w:val="00B17506"/>
    <w:rsid w:val="00B20E1E"/>
    <w:rsid w:val="00B2132B"/>
    <w:rsid w:val="00B226E6"/>
    <w:rsid w:val="00B22F52"/>
    <w:rsid w:val="00B234AC"/>
    <w:rsid w:val="00B25423"/>
    <w:rsid w:val="00B2542E"/>
    <w:rsid w:val="00B2758D"/>
    <w:rsid w:val="00B31020"/>
    <w:rsid w:val="00B31135"/>
    <w:rsid w:val="00B3177F"/>
    <w:rsid w:val="00B3262B"/>
    <w:rsid w:val="00B33EF7"/>
    <w:rsid w:val="00B34BD5"/>
    <w:rsid w:val="00B42081"/>
    <w:rsid w:val="00B440CE"/>
    <w:rsid w:val="00B440EA"/>
    <w:rsid w:val="00B529C7"/>
    <w:rsid w:val="00B53F90"/>
    <w:rsid w:val="00B54F63"/>
    <w:rsid w:val="00B570E0"/>
    <w:rsid w:val="00B57C53"/>
    <w:rsid w:val="00B61542"/>
    <w:rsid w:val="00B61D89"/>
    <w:rsid w:val="00B65E6F"/>
    <w:rsid w:val="00B6714B"/>
    <w:rsid w:val="00B80F19"/>
    <w:rsid w:val="00B83DE6"/>
    <w:rsid w:val="00B878F9"/>
    <w:rsid w:val="00B9281C"/>
    <w:rsid w:val="00B92862"/>
    <w:rsid w:val="00B93281"/>
    <w:rsid w:val="00B9460B"/>
    <w:rsid w:val="00B94CA1"/>
    <w:rsid w:val="00B951ED"/>
    <w:rsid w:val="00B96F92"/>
    <w:rsid w:val="00BA1492"/>
    <w:rsid w:val="00BA15DD"/>
    <w:rsid w:val="00BA3005"/>
    <w:rsid w:val="00BA5323"/>
    <w:rsid w:val="00BA5F70"/>
    <w:rsid w:val="00BA6838"/>
    <w:rsid w:val="00BA7877"/>
    <w:rsid w:val="00BA7F9E"/>
    <w:rsid w:val="00BB13E6"/>
    <w:rsid w:val="00BB69C4"/>
    <w:rsid w:val="00BC2E46"/>
    <w:rsid w:val="00BC31AA"/>
    <w:rsid w:val="00BC407D"/>
    <w:rsid w:val="00BC6F5E"/>
    <w:rsid w:val="00BD2366"/>
    <w:rsid w:val="00BD25E8"/>
    <w:rsid w:val="00BD262B"/>
    <w:rsid w:val="00BD36F8"/>
    <w:rsid w:val="00BD4163"/>
    <w:rsid w:val="00BD6323"/>
    <w:rsid w:val="00BE1454"/>
    <w:rsid w:val="00BE26ED"/>
    <w:rsid w:val="00BE38E6"/>
    <w:rsid w:val="00BE6940"/>
    <w:rsid w:val="00BE77A4"/>
    <w:rsid w:val="00BF1034"/>
    <w:rsid w:val="00BF1578"/>
    <w:rsid w:val="00BF1B2F"/>
    <w:rsid w:val="00BF297B"/>
    <w:rsid w:val="00BF78E4"/>
    <w:rsid w:val="00C00944"/>
    <w:rsid w:val="00C00EE4"/>
    <w:rsid w:val="00C03FEC"/>
    <w:rsid w:val="00C0407C"/>
    <w:rsid w:val="00C04574"/>
    <w:rsid w:val="00C045A9"/>
    <w:rsid w:val="00C10FBC"/>
    <w:rsid w:val="00C13142"/>
    <w:rsid w:val="00C1388A"/>
    <w:rsid w:val="00C14589"/>
    <w:rsid w:val="00C14D43"/>
    <w:rsid w:val="00C15640"/>
    <w:rsid w:val="00C210CD"/>
    <w:rsid w:val="00C2116C"/>
    <w:rsid w:val="00C22153"/>
    <w:rsid w:val="00C25755"/>
    <w:rsid w:val="00C27163"/>
    <w:rsid w:val="00C274D8"/>
    <w:rsid w:val="00C302C6"/>
    <w:rsid w:val="00C322C3"/>
    <w:rsid w:val="00C32A6F"/>
    <w:rsid w:val="00C335FE"/>
    <w:rsid w:val="00C33E94"/>
    <w:rsid w:val="00C3442E"/>
    <w:rsid w:val="00C34623"/>
    <w:rsid w:val="00C34CB5"/>
    <w:rsid w:val="00C35865"/>
    <w:rsid w:val="00C36E66"/>
    <w:rsid w:val="00C40B45"/>
    <w:rsid w:val="00C413F1"/>
    <w:rsid w:val="00C453D1"/>
    <w:rsid w:val="00C469A0"/>
    <w:rsid w:val="00C47D50"/>
    <w:rsid w:val="00C508DB"/>
    <w:rsid w:val="00C547CF"/>
    <w:rsid w:val="00C56391"/>
    <w:rsid w:val="00C56479"/>
    <w:rsid w:val="00C57906"/>
    <w:rsid w:val="00C60152"/>
    <w:rsid w:val="00C60627"/>
    <w:rsid w:val="00C60EC0"/>
    <w:rsid w:val="00C6206D"/>
    <w:rsid w:val="00C631B4"/>
    <w:rsid w:val="00C659A1"/>
    <w:rsid w:val="00C65C69"/>
    <w:rsid w:val="00C70D91"/>
    <w:rsid w:val="00C7249C"/>
    <w:rsid w:val="00C7267B"/>
    <w:rsid w:val="00C72AE4"/>
    <w:rsid w:val="00C75865"/>
    <w:rsid w:val="00C77174"/>
    <w:rsid w:val="00C80C95"/>
    <w:rsid w:val="00C814F7"/>
    <w:rsid w:val="00C816FD"/>
    <w:rsid w:val="00C84F09"/>
    <w:rsid w:val="00C85AAC"/>
    <w:rsid w:val="00C869E1"/>
    <w:rsid w:val="00C86EB8"/>
    <w:rsid w:val="00C9064A"/>
    <w:rsid w:val="00C917DC"/>
    <w:rsid w:val="00C92F35"/>
    <w:rsid w:val="00C9560C"/>
    <w:rsid w:val="00C956F0"/>
    <w:rsid w:val="00C95C70"/>
    <w:rsid w:val="00C97215"/>
    <w:rsid w:val="00C978B8"/>
    <w:rsid w:val="00CA0DE6"/>
    <w:rsid w:val="00CA0F62"/>
    <w:rsid w:val="00CA3797"/>
    <w:rsid w:val="00CA51C1"/>
    <w:rsid w:val="00CB0866"/>
    <w:rsid w:val="00CB2071"/>
    <w:rsid w:val="00CB2D0E"/>
    <w:rsid w:val="00CB2ED7"/>
    <w:rsid w:val="00CB3217"/>
    <w:rsid w:val="00CB4D10"/>
    <w:rsid w:val="00CB6285"/>
    <w:rsid w:val="00CB6C36"/>
    <w:rsid w:val="00CB7178"/>
    <w:rsid w:val="00CB78D9"/>
    <w:rsid w:val="00CC2F49"/>
    <w:rsid w:val="00CC311F"/>
    <w:rsid w:val="00CC3A75"/>
    <w:rsid w:val="00CC3FFC"/>
    <w:rsid w:val="00CC56FF"/>
    <w:rsid w:val="00CD2A43"/>
    <w:rsid w:val="00CD32BD"/>
    <w:rsid w:val="00CD6507"/>
    <w:rsid w:val="00CD6623"/>
    <w:rsid w:val="00CD6708"/>
    <w:rsid w:val="00CD6EB8"/>
    <w:rsid w:val="00CE0353"/>
    <w:rsid w:val="00CE3BC6"/>
    <w:rsid w:val="00CE4B20"/>
    <w:rsid w:val="00CE5C5B"/>
    <w:rsid w:val="00CE6F05"/>
    <w:rsid w:val="00CF0926"/>
    <w:rsid w:val="00CF12A3"/>
    <w:rsid w:val="00CF17B9"/>
    <w:rsid w:val="00CF26F4"/>
    <w:rsid w:val="00CF4067"/>
    <w:rsid w:val="00CF7900"/>
    <w:rsid w:val="00D03514"/>
    <w:rsid w:val="00D03C90"/>
    <w:rsid w:val="00D03D58"/>
    <w:rsid w:val="00D047CC"/>
    <w:rsid w:val="00D04A71"/>
    <w:rsid w:val="00D1031B"/>
    <w:rsid w:val="00D11215"/>
    <w:rsid w:val="00D1133D"/>
    <w:rsid w:val="00D11D24"/>
    <w:rsid w:val="00D129E8"/>
    <w:rsid w:val="00D12C84"/>
    <w:rsid w:val="00D133CF"/>
    <w:rsid w:val="00D15F48"/>
    <w:rsid w:val="00D171E6"/>
    <w:rsid w:val="00D21C73"/>
    <w:rsid w:val="00D22CE5"/>
    <w:rsid w:val="00D2326D"/>
    <w:rsid w:val="00D23DA3"/>
    <w:rsid w:val="00D27805"/>
    <w:rsid w:val="00D31634"/>
    <w:rsid w:val="00D35B81"/>
    <w:rsid w:val="00D36AA5"/>
    <w:rsid w:val="00D41D85"/>
    <w:rsid w:val="00D42491"/>
    <w:rsid w:val="00D428E1"/>
    <w:rsid w:val="00D46973"/>
    <w:rsid w:val="00D47289"/>
    <w:rsid w:val="00D50BA1"/>
    <w:rsid w:val="00D52715"/>
    <w:rsid w:val="00D551F8"/>
    <w:rsid w:val="00D560B9"/>
    <w:rsid w:val="00D62F33"/>
    <w:rsid w:val="00D63013"/>
    <w:rsid w:val="00D635CC"/>
    <w:rsid w:val="00D678CE"/>
    <w:rsid w:val="00D67C32"/>
    <w:rsid w:val="00D7070F"/>
    <w:rsid w:val="00D708B8"/>
    <w:rsid w:val="00D70B3A"/>
    <w:rsid w:val="00D70FEF"/>
    <w:rsid w:val="00D731AF"/>
    <w:rsid w:val="00D75255"/>
    <w:rsid w:val="00D76ACD"/>
    <w:rsid w:val="00D8026B"/>
    <w:rsid w:val="00D84D14"/>
    <w:rsid w:val="00D84F02"/>
    <w:rsid w:val="00D86A08"/>
    <w:rsid w:val="00D91617"/>
    <w:rsid w:val="00D91A10"/>
    <w:rsid w:val="00D93C5B"/>
    <w:rsid w:val="00D94D44"/>
    <w:rsid w:val="00D9739A"/>
    <w:rsid w:val="00D97ACE"/>
    <w:rsid w:val="00DA0787"/>
    <w:rsid w:val="00DA09B0"/>
    <w:rsid w:val="00DA2CB9"/>
    <w:rsid w:val="00DA4D48"/>
    <w:rsid w:val="00DA6A02"/>
    <w:rsid w:val="00DA750E"/>
    <w:rsid w:val="00DB0772"/>
    <w:rsid w:val="00DB1AEF"/>
    <w:rsid w:val="00DB2D61"/>
    <w:rsid w:val="00DB38E9"/>
    <w:rsid w:val="00DB3FCB"/>
    <w:rsid w:val="00DB42B7"/>
    <w:rsid w:val="00DB5F36"/>
    <w:rsid w:val="00DB6758"/>
    <w:rsid w:val="00DB6791"/>
    <w:rsid w:val="00DB7A41"/>
    <w:rsid w:val="00DC07AC"/>
    <w:rsid w:val="00DC0D26"/>
    <w:rsid w:val="00DC12C9"/>
    <w:rsid w:val="00DC16E8"/>
    <w:rsid w:val="00DC50AA"/>
    <w:rsid w:val="00DC6AC6"/>
    <w:rsid w:val="00DD0FBB"/>
    <w:rsid w:val="00DD18BA"/>
    <w:rsid w:val="00DD1EB5"/>
    <w:rsid w:val="00DD47B2"/>
    <w:rsid w:val="00DD4901"/>
    <w:rsid w:val="00DE125D"/>
    <w:rsid w:val="00DE16C5"/>
    <w:rsid w:val="00DE1A3C"/>
    <w:rsid w:val="00DE2A91"/>
    <w:rsid w:val="00DE3813"/>
    <w:rsid w:val="00DE5421"/>
    <w:rsid w:val="00DE550D"/>
    <w:rsid w:val="00DE7278"/>
    <w:rsid w:val="00DE79AF"/>
    <w:rsid w:val="00DF0B58"/>
    <w:rsid w:val="00DF1CF5"/>
    <w:rsid w:val="00E0073E"/>
    <w:rsid w:val="00E01526"/>
    <w:rsid w:val="00E0246A"/>
    <w:rsid w:val="00E04450"/>
    <w:rsid w:val="00E06C94"/>
    <w:rsid w:val="00E113BE"/>
    <w:rsid w:val="00E172BE"/>
    <w:rsid w:val="00E17DDC"/>
    <w:rsid w:val="00E21232"/>
    <w:rsid w:val="00E21C54"/>
    <w:rsid w:val="00E248EF"/>
    <w:rsid w:val="00E260AE"/>
    <w:rsid w:val="00E26F08"/>
    <w:rsid w:val="00E30AC4"/>
    <w:rsid w:val="00E31BC0"/>
    <w:rsid w:val="00E33BD6"/>
    <w:rsid w:val="00E33FE3"/>
    <w:rsid w:val="00E343FF"/>
    <w:rsid w:val="00E34E4E"/>
    <w:rsid w:val="00E353CA"/>
    <w:rsid w:val="00E3555E"/>
    <w:rsid w:val="00E37329"/>
    <w:rsid w:val="00E404E3"/>
    <w:rsid w:val="00E40F38"/>
    <w:rsid w:val="00E40FA2"/>
    <w:rsid w:val="00E42CB2"/>
    <w:rsid w:val="00E44388"/>
    <w:rsid w:val="00E478CF"/>
    <w:rsid w:val="00E5071D"/>
    <w:rsid w:val="00E53E89"/>
    <w:rsid w:val="00E5724C"/>
    <w:rsid w:val="00E60B76"/>
    <w:rsid w:val="00E6162F"/>
    <w:rsid w:val="00E6298D"/>
    <w:rsid w:val="00E630A2"/>
    <w:rsid w:val="00E65DCC"/>
    <w:rsid w:val="00E66DED"/>
    <w:rsid w:val="00E70F0F"/>
    <w:rsid w:val="00E713BD"/>
    <w:rsid w:val="00E71E57"/>
    <w:rsid w:val="00E726F9"/>
    <w:rsid w:val="00E75D66"/>
    <w:rsid w:val="00E76DE7"/>
    <w:rsid w:val="00E77739"/>
    <w:rsid w:val="00E77C19"/>
    <w:rsid w:val="00E8497F"/>
    <w:rsid w:val="00E873B6"/>
    <w:rsid w:val="00E874FA"/>
    <w:rsid w:val="00E90EBF"/>
    <w:rsid w:val="00E91945"/>
    <w:rsid w:val="00E91B42"/>
    <w:rsid w:val="00E921ED"/>
    <w:rsid w:val="00E92C0A"/>
    <w:rsid w:val="00E94179"/>
    <w:rsid w:val="00E9474E"/>
    <w:rsid w:val="00E94F0F"/>
    <w:rsid w:val="00E9537D"/>
    <w:rsid w:val="00EA0E30"/>
    <w:rsid w:val="00EA1A4B"/>
    <w:rsid w:val="00EA6081"/>
    <w:rsid w:val="00EA6F88"/>
    <w:rsid w:val="00EA7990"/>
    <w:rsid w:val="00EB1602"/>
    <w:rsid w:val="00EB325B"/>
    <w:rsid w:val="00EB44CD"/>
    <w:rsid w:val="00EB573C"/>
    <w:rsid w:val="00EB6A92"/>
    <w:rsid w:val="00EC01DF"/>
    <w:rsid w:val="00EC1CF8"/>
    <w:rsid w:val="00EC355F"/>
    <w:rsid w:val="00EC3E9C"/>
    <w:rsid w:val="00EC4BF0"/>
    <w:rsid w:val="00EC61E3"/>
    <w:rsid w:val="00EC65F0"/>
    <w:rsid w:val="00EC68F0"/>
    <w:rsid w:val="00EC79F2"/>
    <w:rsid w:val="00EC7A4B"/>
    <w:rsid w:val="00ED10D8"/>
    <w:rsid w:val="00ED18FD"/>
    <w:rsid w:val="00ED1B28"/>
    <w:rsid w:val="00ED44F6"/>
    <w:rsid w:val="00ED73A4"/>
    <w:rsid w:val="00EE11C8"/>
    <w:rsid w:val="00EE1B1F"/>
    <w:rsid w:val="00EE2F43"/>
    <w:rsid w:val="00EE331F"/>
    <w:rsid w:val="00EE4A8B"/>
    <w:rsid w:val="00EE5DF0"/>
    <w:rsid w:val="00EE607F"/>
    <w:rsid w:val="00EE608A"/>
    <w:rsid w:val="00EE7570"/>
    <w:rsid w:val="00EF05ED"/>
    <w:rsid w:val="00EF0B8D"/>
    <w:rsid w:val="00EF2259"/>
    <w:rsid w:val="00EF3102"/>
    <w:rsid w:val="00EF4B3B"/>
    <w:rsid w:val="00EF5637"/>
    <w:rsid w:val="00EF5718"/>
    <w:rsid w:val="00F01A57"/>
    <w:rsid w:val="00F0260D"/>
    <w:rsid w:val="00F02879"/>
    <w:rsid w:val="00F05CC1"/>
    <w:rsid w:val="00F0652F"/>
    <w:rsid w:val="00F06C89"/>
    <w:rsid w:val="00F071C6"/>
    <w:rsid w:val="00F07795"/>
    <w:rsid w:val="00F07A3D"/>
    <w:rsid w:val="00F11A86"/>
    <w:rsid w:val="00F143D2"/>
    <w:rsid w:val="00F15141"/>
    <w:rsid w:val="00F1532A"/>
    <w:rsid w:val="00F172BC"/>
    <w:rsid w:val="00F17EFB"/>
    <w:rsid w:val="00F24314"/>
    <w:rsid w:val="00F27A4C"/>
    <w:rsid w:val="00F31A89"/>
    <w:rsid w:val="00F32827"/>
    <w:rsid w:val="00F34354"/>
    <w:rsid w:val="00F35014"/>
    <w:rsid w:val="00F36C63"/>
    <w:rsid w:val="00F37F66"/>
    <w:rsid w:val="00F4157D"/>
    <w:rsid w:val="00F421CA"/>
    <w:rsid w:val="00F42268"/>
    <w:rsid w:val="00F44567"/>
    <w:rsid w:val="00F46C1D"/>
    <w:rsid w:val="00F472AF"/>
    <w:rsid w:val="00F53232"/>
    <w:rsid w:val="00F5576F"/>
    <w:rsid w:val="00F55A95"/>
    <w:rsid w:val="00F57934"/>
    <w:rsid w:val="00F66EAA"/>
    <w:rsid w:val="00F702E0"/>
    <w:rsid w:val="00F7036F"/>
    <w:rsid w:val="00F70DDF"/>
    <w:rsid w:val="00F70E57"/>
    <w:rsid w:val="00F71494"/>
    <w:rsid w:val="00F718E4"/>
    <w:rsid w:val="00F71DDA"/>
    <w:rsid w:val="00F74210"/>
    <w:rsid w:val="00F74E5F"/>
    <w:rsid w:val="00F764EA"/>
    <w:rsid w:val="00F7650F"/>
    <w:rsid w:val="00F76859"/>
    <w:rsid w:val="00F76A82"/>
    <w:rsid w:val="00F80DC4"/>
    <w:rsid w:val="00F80DE8"/>
    <w:rsid w:val="00F817BD"/>
    <w:rsid w:val="00F84CB6"/>
    <w:rsid w:val="00F8541E"/>
    <w:rsid w:val="00F858D6"/>
    <w:rsid w:val="00F86CD6"/>
    <w:rsid w:val="00F86D83"/>
    <w:rsid w:val="00F918E8"/>
    <w:rsid w:val="00F940A4"/>
    <w:rsid w:val="00F94955"/>
    <w:rsid w:val="00F97C61"/>
    <w:rsid w:val="00FA11B5"/>
    <w:rsid w:val="00FA2C72"/>
    <w:rsid w:val="00FA4E66"/>
    <w:rsid w:val="00FA5008"/>
    <w:rsid w:val="00FA5961"/>
    <w:rsid w:val="00FA710E"/>
    <w:rsid w:val="00FA753A"/>
    <w:rsid w:val="00FA7E97"/>
    <w:rsid w:val="00FB0CB6"/>
    <w:rsid w:val="00FB118B"/>
    <w:rsid w:val="00FB329D"/>
    <w:rsid w:val="00FB342A"/>
    <w:rsid w:val="00FB397A"/>
    <w:rsid w:val="00FB4317"/>
    <w:rsid w:val="00FC100C"/>
    <w:rsid w:val="00FC4686"/>
    <w:rsid w:val="00FC5C3E"/>
    <w:rsid w:val="00FC65CC"/>
    <w:rsid w:val="00FD01EA"/>
    <w:rsid w:val="00FD19CE"/>
    <w:rsid w:val="00FD3F3F"/>
    <w:rsid w:val="00FD47D7"/>
    <w:rsid w:val="00FD5E6B"/>
    <w:rsid w:val="00FD7388"/>
    <w:rsid w:val="00FE019E"/>
    <w:rsid w:val="00FE02A5"/>
    <w:rsid w:val="00FE038C"/>
    <w:rsid w:val="00FE1A04"/>
    <w:rsid w:val="00FE32DD"/>
    <w:rsid w:val="00FE4797"/>
    <w:rsid w:val="00FE5F57"/>
    <w:rsid w:val="00FE674D"/>
    <w:rsid w:val="00FE70A4"/>
    <w:rsid w:val="00FE7535"/>
    <w:rsid w:val="00FF0ABB"/>
    <w:rsid w:val="00FF571D"/>
    <w:rsid w:val="00FF5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qFormat="1"/>
    <w:lsdException w:name="page number" w:uiPriority="5"/>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b/>
      <w:sz w:val="22"/>
      <w:szCs w:val="20"/>
      <w:lang w:val="en-GB"/>
    </w:rPr>
  </w:style>
  <w:style w:type="paragraph" w:styleId="Heading2">
    <w:name w:val="heading 2"/>
    <w:basedOn w:val="Normal"/>
    <w:next w:val="Normal"/>
    <w:link w:val="Heading2Char"/>
    <w:uiPriority w:val="1"/>
    <w:qFormat/>
    <w:pPr>
      <w:keepNext/>
      <w:overflowPunct w:val="0"/>
      <w:autoSpaceDE w:val="0"/>
      <w:autoSpaceDN w:val="0"/>
      <w:adjustRightInd w:val="0"/>
      <w:spacing w:before="480" w:after="240"/>
      <w:textAlignment w:val="baseline"/>
      <w:outlineLvl w:val="1"/>
    </w:pPr>
    <w:rPr>
      <w:b/>
      <w:color w:val="000000"/>
      <w:szCs w:val="20"/>
      <w:lang w:val="en-GB"/>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b/>
      <w:szCs w:val="20"/>
      <w:lang w:val="en-AU"/>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i/>
      <w:szCs w:val="20"/>
      <w:lang w:val="en-AU"/>
    </w:rPr>
  </w:style>
  <w:style w:type="paragraph" w:styleId="Heading5">
    <w:name w:val="heading 5"/>
    <w:basedOn w:val="Normal"/>
    <w:next w:val="Normal"/>
    <w:qFormat/>
    <w:pPr>
      <w:keepNext/>
      <w:overflowPunct w:val="0"/>
      <w:autoSpaceDE w:val="0"/>
      <w:autoSpaceDN w:val="0"/>
      <w:adjustRightInd w:val="0"/>
      <w:textAlignment w:val="baseline"/>
      <w:outlineLvl w:val="4"/>
    </w:pPr>
    <w:rPr>
      <w:i/>
      <w:szCs w:val="20"/>
      <w:lang w:val="en-GB"/>
    </w:rPr>
  </w:style>
  <w:style w:type="paragraph" w:styleId="Heading6">
    <w:name w:val="heading 6"/>
    <w:basedOn w:val="Normal"/>
    <w:next w:val="Normal"/>
    <w:qFormat/>
    <w:pPr>
      <w:keepNext/>
      <w:overflowPunct w:val="0"/>
      <w:autoSpaceDE w:val="0"/>
      <w:autoSpaceDN w:val="0"/>
      <w:adjustRightInd w:val="0"/>
      <w:ind w:right="-449"/>
      <w:jc w:val="both"/>
      <w:textAlignment w:val="baseline"/>
      <w:outlineLvl w:val="5"/>
    </w:pPr>
    <w:rPr>
      <w:b/>
      <w:i/>
      <w:noProof/>
      <w:sz w:val="22"/>
      <w:szCs w:val="20"/>
      <w:lang w:val="en-GB"/>
    </w:rPr>
  </w:style>
  <w:style w:type="paragraph" w:styleId="Heading7">
    <w:name w:val="heading 7"/>
    <w:aliases w:val="TemplateHeading 7"/>
    <w:basedOn w:val="Normal"/>
    <w:next w:val="Normal"/>
    <w:link w:val="Heading7Char"/>
    <w:qFormat/>
    <w:pPr>
      <w:keepNext/>
      <w:jc w:val="center"/>
      <w:outlineLvl w:val="6"/>
    </w:pPr>
    <w:rPr>
      <w:rFonts w:ascii="Arial" w:hAnsi="Arial"/>
      <w:b/>
      <w:bCs/>
      <w:sz w:val="32"/>
      <w:lang w:val="en-AU"/>
    </w:rPr>
  </w:style>
  <w:style w:type="paragraph" w:styleId="Heading8">
    <w:name w:val="heading 8"/>
    <w:aliases w:val="TemplateHeading 8"/>
    <w:basedOn w:val="Normal"/>
    <w:next w:val="Normal"/>
    <w:link w:val="Heading8Char"/>
    <w:qFormat/>
    <w:pPr>
      <w:keepNext/>
      <w:jc w:val="center"/>
      <w:outlineLvl w:val="7"/>
    </w:pPr>
    <w:rPr>
      <w:rFonts w:ascii="Arial" w:hAnsi="Arial" w:cs="Arial"/>
      <w:b/>
      <w:bCs/>
      <w:sz w:val="36"/>
      <w:lang w:val="en-AU"/>
    </w:rPr>
  </w:style>
  <w:style w:type="paragraph" w:styleId="Heading9">
    <w:name w:val="heading 9"/>
    <w:aliases w:val="TemplateHeading 9"/>
    <w:basedOn w:val="Normal"/>
    <w:next w:val="Normal"/>
    <w:link w:val="Heading9Char"/>
    <w:qFormat/>
    <w:pPr>
      <w:keepNext/>
      <w:jc w:val="center"/>
      <w:outlineLvl w:val="8"/>
    </w:pPr>
    <w:rPr>
      <w:rFonts w:ascii="Arial" w:hAnsi="Arial" w:cs="Arial"/>
      <w:b/>
      <w:b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noProof/>
      <w:sz w:val="22"/>
      <w:szCs w:val="20"/>
      <w:lang w:val="en-GB"/>
    </w:rPr>
  </w:style>
  <w:style w:type="paragraph" w:styleId="TOC1">
    <w:name w:val="toc 1"/>
    <w:aliases w:val="CMI TOC1"/>
    <w:basedOn w:val="Normal"/>
    <w:next w:val="Normal"/>
    <w:autoRedefine/>
    <w:uiPriority w:val="39"/>
    <w:pPr>
      <w:tabs>
        <w:tab w:val="left" w:pos="2693"/>
      </w:tabs>
      <w:overflowPunct w:val="0"/>
      <w:autoSpaceDE w:val="0"/>
      <w:autoSpaceDN w:val="0"/>
      <w:adjustRightInd w:val="0"/>
      <w:spacing w:before="120" w:after="80"/>
      <w:textAlignment w:val="baseline"/>
    </w:pPr>
    <w:rPr>
      <w:b/>
      <w:sz w:val="20"/>
      <w:szCs w:val="20"/>
      <w:lang w:val="en-AU"/>
    </w:rPr>
  </w:style>
  <w:style w:type="paragraph" w:customStyle="1" w:styleId="CMIheading1">
    <w:name w:val="CMI heading 1"/>
    <w:basedOn w:val="Normal"/>
    <w:pPr>
      <w:keepNext/>
      <w:pBdr>
        <w:top w:val="single" w:sz="6" w:space="1" w:color="auto"/>
        <w:bottom w:val="single" w:sz="6" w:space="1" w:color="auto"/>
      </w:pBdr>
      <w:overflowPunct w:val="0"/>
      <w:autoSpaceDE w:val="0"/>
      <w:autoSpaceDN w:val="0"/>
      <w:adjustRightInd w:val="0"/>
      <w:spacing w:before="260" w:after="180"/>
      <w:textAlignment w:val="baseline"/>
    </w:pPr>
    <w:rPr>
      <w:rFonts w:ascii="Arial" w:hAnsi="Arial"/>
      <w:b/>
      <w:sz w:val="26"/>
      <w:szCs w:val="20"/>
      <w:lang w:val="en-AU"/>
    </w:rPr>
  </w:style>
  <w:style w:type="paragraph" w:customStyle="1" w:styleId="CMIheading2">
    <w:name w:val="CMI heading 2"/>
    <w:basedOn w:val="Normal"/>
    <w:pPr>
      <w:keepNext/>
      <w:overflowPunct w:val="0"/>
      <w:autoSpaceDE w:val="0"/>
      <w:autoSpaceDN w:val="0"/>
      <w:adjustRightInd w:val="0"/>
      <w:spacing w:before="200" w:after="80"/>
      <w:textAlignment w:val="baseline"/>
    </w:pPr>
    <w:rPr>
      <w:rFonts w:ascii="Arial" w:hAnsi="Arial"/>
      <w:b/>
      <w:i/>
      <w:sz w:val="22"/>
      <w:szCs w:val="20"/>
      <w:lang w:val="en-AU"/>
    </w:rPr>
  </w:style>
  <w:style w:type="paragraph" w:styleId="BodyText">
    <w:name w:val="Body Text"/>
    <w:basedOn w:val="Normal"/>
    <w:link w:val="BodyTextChar"/>
    <w:uiPriority w:val="1"/>
    <w:qFormat/>
    <w:pPr>
      <w:overflowPunct w:val="0"/>
      <w:autoSpaceDE w:val="0"/>
      <w:autoSpaceDN w:val="0"/>
      <w:adjustRightInd w:val="0"/>
      <w:textAlignment w:val="baseline"/>
    </w:pPr>
    <w:rPr>
      <w:color w:val="000000"/>
      <w:sz w:val="22"/>
      <w:szCs w:val="20"/>
      <w:lang w:val="en-GB"/>
    </w:rPr>
  </w:style>
  <w:style w:type="paragraph" w:styleId="BodyText3">
    <w:name w:val="Body Text 3"/>
    <w:basedOn w:val="Normal"/>
    <w:pPr>
      <w:overflowPunct w:val="0"/>
      <w:autoSpaceDE w:val="0"/>
      <w:autoSpaceDN w:val="0"/>
      <w:adjustRightInd w:val="0"/>
      <w:textAlignment w:val="baseline"/>
    </w:pPr>
    <w:rPr>
      <w:sz w:val="22"/>
      <w:szCs w:val="20"/>
      <w:lang w:val="en-GB"/>
    </w:rPr>
  </w:style>
  <w:style w:type="paragraph" w:styleId="BodyText2">
    <w:name w:val="Body Text 2"/>
    <w:basedOn w:val="Normal"/>
    <w:pPr>
      <w:tabs>
        <w:tab w:val="left" w:pos="1134"/>
      </w:tabs>
      <w:overflowPunct w:val="0"/>
      <w:autoSpaceDE w:val="0"/>
      <w:autoSpaceDN w:val="0"/>
      <w:adjustRightInd w:val="0"/>
      <w:ind w:left="1134" w:hanging="1134"/>
      <w:textAlignment w:val="baseline"/>
    </w:pPr>
    <w:rPr>
      <w:b/>
      <w:color w:val="000000"/>
      <w:sz w:val="20"/>
      <w:szCs w:val="20"/>
      <w:lang w:val="en-GB"/>
    </w:rPr>
  </w:style>
  <w:style w:type="paragraph" w:styleId="CommentText">
    <w:name w:val="annotation text"/>
    <w:basedOn w:val="Normal"/>
    <w:link w:val="CommentTextChar"/>
    <w:uiPriority w:val="99"/>
    <w:semiHidden/>
    <w:pPr>
      <w:overflowPunct w:val="0"/>
      <w:autoSpaceDE w:val="0"/>
      <w:autoSpaceDN w:val="0"/>
      <w:adjustRightInd w:val="0"/>
      <w:textAlignment w:val="baseline"/>
    </w:pPr>
    <w:rPr>
      <w:color w:val="000000"/>
      <w:sz w:val="20"/>
      <w:szCs w:val="20"/>
      <w:lang w:val="en-GB"/>
    </w:rPr>
  </w:style>
  <w:style w:type="paragraph" w:styleId="Footer">
    <w:name w:val="footer"/>
    <w:basedOn w:val="Normal"/>
    <w:link w:val="FooterChar"/>
    <w:pPr>
      <w:tabs>
        <w:tab w:val="center" w:pos="4153"/>
        <w:tab w:val="right" w:pos="8306"/>
      </w:tabs>
      <w:overflowPunct w:val="0"/>
      <w:autoSpaceDE w:val="0"/>
      <w:autoSpaceDN w:val="0"/>
      <w:adjustRightInd w:val="0"/>
      <w:textAlignment w:val="baseline"/>
    </w:pPr>
    <w:rPr>
      <w:color w:val="000000"/>
      <w:szCs w:val="20"/>
      <w:lang w:val="en-GB"/>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color w:val="000000"/>
      <w:szCs w:val="20"/>
      <w:lang w:val="en-GB"/>
    </w:rPr>
  </w:style>
  <w:style w:type="paragraph" w:customStyle="1" w:styleId="rk2linie1">
    <w:name w:val="rk2linie1"/>
    <w:basedOn w:val="Normal"/>
    <w:next w:val="Normal"/>
    <w:pPr>
      <w:overflowPunct w:val="0"/>
      <w:autoSpaceDE w:val="0"/>
      <w:autoSpaceDN w:val="0"/>
      <w:adjustRightInd w:val="0"/>
      <w:spacing w:before="280"/>
      <w:jc w:val="center"/>
      <w:textAlignment w:val="baseline"/>
    </w:pPr>
    <w:rPr>
      <w:rFonts w:ascii="Arial" w:hAnsi="Arial"/>
      <w:b/>
      <w:sz w:val="28"/>
      <w:szCs w:val="20"/>
      <w:lang w:val="en-GB"/>
    </w:rPr>
  </w:style>
  <w:style w:type="paragraph" w:styleId="EndnoteText">
    <w:name w:val="endnote text"/>
    <w:basedOn w:val="Normal"/>
    <w:semiHidden/>
    <w:pPr>
      <w:tabs>
        <w:tab w:val="left" w:pos="567"/>
      </w:tabs>
    </w:pPr>
    <w:rPr>
      <w:sz w:val="22"/>
      <w:szCs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semiHidden/>
    <w:pPr>
      <w:overflowPunct/>
      <w:autoSpaceDE/>
      <w:autoSpaceDN/>
      <w:adjustRightInd/>
      <w:textAlignment w:val="auto"/>
    </w:pPr>
    <w:rPr>
      <w:b/>
      <w:bCs/>
      <w:color w:val="auto"/>
      <w:lang w:val="en-US"/>
    </w:rPr>
  </w:style>
  <w:style w:type="paragraph" w:customStyle="1" w:styleId="TableText">
    <w:name w:val="Table Text"/>
    <w:link w:val="TableTextChar"/>
    <w:pPr>
      <w:keepNext/>
      <w:keepLines/>
      <w:spacing w:after="20"/>
    </w:pPr>
    <w:rPr>
      <w:lang w:val="en-GB" w:eastAsia="en-US"/>
    </w:rPr>
  </w:style>
  <w:style w:type="character" w:customStyle="1" w:styleId="TableTextChar">
    <w:name w:val="Table Text Char"/>
    <w:link w:val="TableText"/>
    <w:rPr>
      <w:lang w:val="en-GB" w:eastAsia="en-US" w:bidi="ar-SA"/>
    </w:rPr>
  </w:style>
  <w:style w:type="paragraph" w:styleId="Caption">
    <w:name w:val="caption"/>
    <w:next w:val="BodyText"/>
    <w:qFormat/>
    <w:pPr>
      <w:tabs>
        <w:tab w:val="left" w:pos="1134"/>
      </w:tabs>
      <w:suppressAutoHyphens/>
      <w:spacing w:before="120" w:after="60"/>
      <w:ind w:left="1134" w:hanging="1134"/>
    </w:pPr>
    <w:rPr>
      <w:b/>
      <w:bCs/>
      <w:sz w:val="24"/>
      <w:lang w:val="en-GB" w:eastAsia="en-US"/>
    </w:rPr>
  </w:style>
  <w:style w:type="paragraph" w:customStyle="1" w:styleId="BulletList10pt">
    <w:name w:val="Bullet List 10 pt"/>
    <w:pPr>
      <w:numPr>
        <w:ilvl w:val="1"/>
        <w:numId w:val="5"/>
      </w:numPr>
      <w:tabs>
        <w:tab w:val="clear" w:pos="1307"/>
        <w:tab w:val="num" w:pos="360"/>
      </w:tabs>
      <w:suppressAutoHyphens/>
      <w:ind w:left="0" w:firstLine="0"/>
    </w:pPr>
    <w:rPr>
      <w:szCs w:val="24"/>
      <w:lang w:val="en-GB" w:eastAsia="en-US"/>
    </w:rPr>
  </w:style>
  <w:style w:type="paragraph" w:customStyle="1" w:styleId="BulletIndent">
    <w:name w:val="Bullet Indent"/>
    <w:basedOn w:val="Normal"/>
    <w:uiPriority w:val="99"/>
    <w:pPr>
      <w:numPr>
        <w:numId w:val="6"/>
      </w:numPr>
      <w:tabs>
        <w:tab w:val="clear" w:pos="357"/>
        <w:tab w:val="num" w:pos="360"/>
      </w:tabs>
      <w:suppressAutoHyphens/>
      <w:spacing w:line="264" w:lineRule="auto"/>
      <w:ind w:left="0" w:firstLine="0"/>
    </w:pPr>
    <w:rPr>
      <w:szCs w:val="20"/>
      <w:lang w:val="en-GB"/>
    </w:rPr>
  </w:style>
  <w:style w:type="paragraph" w:customStyle="1" w:styleId="TableFootnoteFormat">
    <w:name w:val="Table Footnote Format"/>
    <w:basedOn w:val="TableText"/>
    <w:pPr>
      <w:keepNext w:val="0"/>
      <w:keepLines w:val="0"/>
      <w:spacing w:before="40" w:after="40"/>
    </w:pPr>
  </w:style>
  <w:style w:type="numbering" w:styleId="111111">
    <w:name w:val="Outline List 2"/>
    <w:basedOn w:val="NoList"/>
    <w:semiHidden/>
    <w:pPr>
      <w:numPr>
        <w:numId w:val="7"/>
      </w:numPr>
    </w:pPr>
  </w:style>
  <w:style w:type="table" w:customStyle="1" w:styleId="TableHeader">
    <w:name w:val="TableHeader"/>
    <w:basedOn w:val="TableNormal"/>
    <w:rPr>
      <w:sz w:val="18"/>
    </w:rPr>
    <w:tblPr>
      <w:tblBorders>
        <w:insideV w:val="single" w:sz="4" w:space="0" w:color="auto"/>
      </w:tblBorders>
    </w:tblPr>
  </w:style>
  <w:style w:type="paragraph" w:customStyle="1" w:styleId="BulletList">
    <w:name w:val="Bullet List"/>
    <w:basedOn w:val="BodyText"/>
    <w:link w:val="BulletListChar"/>
    <w:pPr>
      <w:numPr>
        <w:numId w:val="8"/>
      </w:numPr>
      <w:tabs>
        <w:tab w:val="clear" w:pos="357"/>
        <w:tab w:val="num" w:pos="643"/>
      </w:tabs>
      <w:suppressAutoHyphens/>
      <w:overflowPunct/>
      <w:autoSpaceDE/>
      <w:autoSpaceDN/>
      <w:adjustRightInd/>
      <w:spacing w:line="264" w:lineRule="auto"/>
      <w:ind w:left="643" w:hanging="360"/>
      <w:textAlignment w:val="auto"/>
    </w:pPr>
    <w:rPr>
      <w:color w:val="auto"/>
      <w:sz w:val="24"/>
    </w:rPr>
  </w:style>
  <w:style w:type="character" w:customStyle="1" w:styleId="BulletListChar">
    <w:name w:val="Bullet List Char"/>
    <w:link w:val="BulletList"/>
    <w:rPr>
      <w:sz w:val="24"/>
      <w:lang w:val="en-GB" w:eastAsia="en-US" w:bidi="ar-SA"/>
    </w:rPr>
  </w:style>
  <w:style w:type="paragraph" w:styleId="NormalWeb">
    <w:name w:val="Normal (Web)"/>
    <w:basedOn w:val="Normal"/>
    <w:pPr>
      <w:spacing w:before="100" w:beforeAutospacing="1" w:after="100" w:afterAutospacing="1"/>
    </w:pPr>
    <w:rPr>
      <w:lang w:val="en-AU" w:eastAsia="en-AU"/>
    </w:rPr>
  </w:style>
  <w:style w:type="character" w:styleId="Strong">
    <w:name w:val="Strong"/>
    <w:qFormat/>
    <w:rPr>
      <w:b/>
      <w:bCs/>
    </w:rPr>
  </w:style>
  <w:style w:type="character" w:styleId="Hyperlink">
    <w:name w:val="Hyperlink"/>
    <w:uiPriority w:val="99"/>
    <w:rPr>
      <w:color w:val="0000FF"/>
      <w:u w:val="single"/>
    </w:rPr>
  </w:style>
  <w:style w:type="paragraph" w:customStyle="1" w:styleId="CM12">
    <w:name w:val="CM12"/>
    <w:basedOn w:val="Normal"/>
    <w:next w:val="Normal"/>
    <w:pPr>
      <w:autoSpaceDE w:val="0"/>
      <w:autoSpaceDN w:val="0"/>
      <w:adjustRightInd w:val="0"/>
      <w:spacing w:line="278" w:lineRule="atLeast"/>
    </w:pPr>
    <w:rPr>
      <w:lang w:val="en-AU" w:eastAsia="en-AU"/>
    </w:rPr>
  </w:style>
  <w:style w:type="character" w:customStyle="1" w:styleId="dpro">
    <w:name w:val="dpro"/>
    <w:semiHidden/>
    <w:rPr>
      <w:rFonts w:ascii="Verdana" w:hAnsi="Verdana"/>
      <w:b w:val="0"/>
      <w:bCs w:val="0"/>
      <w:i w:val="0"/>
      <w:iCs w:val="0"/>
      <w:strike w:val="0"/>
      <w:color w:val="0000FF"/>
      <w:sz w:val="20"/>
      <w:szCs w:val="20"/>
      <w:u w:val="none"/>
    </w:rPr>
  </w:style>
  <w:style w:type="character" w:customStyle="1" w:styleId="CommentTextChar">
    <w:name w:val="Comment Text Char"/>
    <w:link w:val="CommentText"/>
    <w:uiPriority w:val="99"/>
    <w:semiHidden/>
    <w:locked/>
    <w:rsid w:val="0019278E"/>
    <w:rPr>
      <w:color w:val="000000"/>
      <w:lang w:val="en-GB" w:eastAsia="en-US"/>
    </w:rPr>
  </w:style>
  <w:style w:type="character" w:styleId="PageNumber">
    <w:name w:val="page number"/>
    <w:basedOn w:val="DefaultParagraphFont"/>
    <w:uiPriority w:val="5"/>
    <w:rsid w:val="002B2F8E"/>
  </w:style>
  <w:style w:type="paragraph" w:customStyle="1" w:styleId="Manufacturer">
    <w:name w:val="Manufacturer"/>
    <w:basedOn w:val="Normal"/>
    <w:rsid w:val="007810E8"/>
    <w:pPr>
      <w:spacing w:before="20" w:after="20" w:line="260" w:lineRule="exact"/>
      <w:jc w:val="both"/>
    </w:pPr>
    <w:rPr>
      <w:color w:val="000000"/>
      <w:sz w:val="20"/>
      <w:szCs w:val="20"/>
      <w:lang w:val="pt-BR"/>
    </w:rPr>
  </w:style>
  <w:style w:type="character" w:customStyle="1" w:styleId="Heading7Char">
    <w:name w:val="Heading 7 Char"/>
    <w:aliases w:val="TemplateHeading 7 Char"/>
    <w:link w:val="Heading7"/>
    <w:uiPriority w:val="1"/>
    <w:rsid w:val="0040118A"/>
    <w:rPr>
      <w:rFonts w:ascii="Arial" w:hAnsi="Arial"/>
      <w:b/>
      <w:bCs/>
      <w:sz w:val="32"/>
      <w:szCs w:val="24"/>
      <w:lang w:eastAsia="en-US"/>
    </w:rPr>
  </w:style>
  <w:style w:type="character" w:customStyle="1" w:styleId="Heading8Char">
    <w:name w:val="Heading 8 Char"/>
    <w:aliases w:val="TemplateHeading 8 Char"/>
    <w:link w:val="Heading8"/>
    <w:uiPriority w:val="1"/>
    <w:rsid w:val="0040118A"/>
    <w:rPr>
      <w:rFonts w:ascii="Arial" w:hAnsi="Arial" w:cs="Arial"/>
      <w:b/>
      <w:bCs/>
      <w:sz w:val="36"/>
      <w:szCs w:val="24"/>
      <w:lang w:eastAsia="en-US"/>
    </w:rPr>
  </w:style>
  <w:style w:type="character" w:customStyle="1" w:styleId="Heading9Char">
    <w:name w:val="Heading 9 Char"/>
    <w:aliases w:val="TemplateHeading 9 Char"/>
    <w:link w:val="Heading9"/>
    <w:uiPriority w:val="1"/>
    <w:rsid w:val="0040118A"/>
    <w:rPr>
      <w:rFonts w:ascii="Arial" w:hAnsi="Arial" w:cs="Arial"/>
      <w:b/>
      <w:bCs/>
      <w:sz w:val="22"/>
      <w:szCs w:val="24"/>
      <w:lang w:eastAsia="en-US"/>
    </w:rPr>
  </w:style>
  <w:style w:type="character" w:customStyle="1" w:styleId="HeaderChar">
    <w:name w:val="Header Char"/>
    <w:link w:val="Header"/>
    <w:uiPriority w:val="99"/>
    <w:rsid w:val="0040118A"/>
    <w:rPr>
      <w:color w:val="000000"/>
      <w:sz w:val="24"/>
      <w:lang w:val="en-GB" w:eastAsia="en-US"/>
    </w:rPr>
  </w:style>
  <w:style w:type="paragraph" w:styleId="ListParagraph">
    <w:name w:val="List Paragraph"/>
    <w:basedOn w:val="Normal"/>
    <w:uiPriority w:val="34"/>
    <w:qFormat/>
    <w:rsid w:val="005E6029"/>
    <w:pPr>
      <w:ind w:left="720"/>
      <w:contextualSpacing/>
    </w:pPr>
  </w:style>
  <w:style w:type="paragraph" w:styleId="Revision">
    <w:name w:val="Revision"/>
    <w:hidden/>
    <w:uiPriority w:val="99"/>
    <w:semiHidden/>
    <w:rsid w:val="0051429C"/>
    <w:rPr>
      <w:sz w:val="24"/>
      <w:szCs w:val="24"/>
      <w:lang w:val="en-US" w:eastAsia="en-US"/>
    </w:rPr>
  </w:style>
  <w:style w:type="character" w:customStyle="1" w:styleId="FooterChar">
    <w:name w:val="Footer Char"/>
    <w:link w:val="Footer"/>
    <w:rsid w:val="004C08DD"/>
    <w:rPr>
      <w:color w:val="000000"/>
      <w:sz w:val="24"/>
      <w:lang w:val="en-GB" w:eastAsia="en-US"/>
    </w:rPr>
  </w:style>
  <w:style w:type="paragraph" w:customStyle="1" w:styleId="TableFootnote">
    <w:name w:val="Table Footnote"/>
    <w:basedOn w:val="TableText"/>
    <w:uiPriority w:val="15"/>
    <w:qFormat/>
    <w:rsid w:val="00443C6C"/>
    <w:pPr>
      <w:keepNext w:val="0"/>
      <w:suppressAutoHyphens/>
      <w:spacing w:before="40" w:after="40" w:line="264" w:lineRule="auto"/>
    </w:pPr>
    <w:rPr>
      <w:szCs w:val="24"/>
      <w:lang w:eastAsia="en-GB"/>
    </w:rPr>
  </w:style>
  <w:style w:type="character" w:customStyle="1" w:styleId="Heading2Char">
    <w:name w:val="Heading 2 Char"/>
    <w:link w:val="Heading2"/>
    <w:uiPriority w:val="1"/>
    <w:rsid w:val="00813A9D"/>
    <w:rPr>
      <w:b/>
      <w:color w:val="000000"/>
      <w:sz w:val="24"/>
      <w:lang w:val="en-GB" w:eastAsia="en-US"/>
    </w:rPr>
  </w:style>
  <w:style w:type="character" w:customStyle="1" w:styleId="BodyTextChar">
    <w:name w:val="Body Text Char"/>
    <w:link w:val="BodyText"/>
    <w:uiPriority w:val="1"/>
    <w:rsid w:val="000C51DB"/>
    <w:rPr>
      <w:color w:val="000000"/>
      <w:sz w:val="22"/>
      <w:lang w:val="en-GB" w:eastAsia="en-US"/>
    </w:rPr>
  </w:style>
  <w:style w:type="character" w:customStyle="1" w:styleId="NoSpacingChar">
    <w:name w:val="No Spacing Char"/>
    <w:basedOn w:val="DefaultParagraphFont"/>
    <w:link w:val="NoSpacing"/>
    <w:uiPriority w:val="1"/>
    <w:locked/>
    <w:rsid w:val="00F37F66"/>
  </w:style>
  <w:style w:type="paragraph" w:styleId="NoSpacing">
    <w:name w:val="No Spacing"/>
    <w:link w:val="NoSpacingChar"/>
    <w:uiPriority w:val="1"/>
    <w:qFormat/>
    <w:rsid w:val="00F37F66"/>
  </w:style>
  <w:style w:type="paragraph" w:styleId="TOC2">
    <w:name w:val="toc 2"/>
    <w:basedOn w:val="Normal"/>
    <w:next w:val="Normal"/>
    <w:autoRedefine/>
    <w:uiPriority w:val="39"/>
    <w:rsid w:val="00184880"/>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qFormat="1"/>
    <w:lsdException w:name="page number" w:uiPriority="5"/>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b/>
      <w:sz w:val="22"/>
      <w:szCs w:val="20"/>
      <w:lang w:val="en-GB"/>
    </w:rPr>
  </w:style>
  <w:style w:type="paragraph" w:styleId="Heading2">
    <w:name w:val="heading 2"/>
    <w:basedOn w:val="Normal"/>
    <w:next w:val="Normal"/>
    <w:link w:val="Heading2Char"/>
    <w:uiPriority w:val="1"/>
    <w:qFormat/>
    <w:pPr>
      <w:keepNext/>
      <w:overflowPunct w:val="0"/>
      <w:autoSpaceDE w:val="0"/>
      <w:autoSpaceDN w:val="0"/>
      <w:adjustRightInd w:val="0"/>
      <w:spacing w:before="480" w:after="240"/>
      <w:textAlignment w:val="baseline"/>
      <w:outlineLvl w:val="1"/>
    </w:pPr>
    <w:rPr>
      <w:b/>
      <w:color w:val="000000"/>
      <w:szCs w:val="20"/>
      <w:lang w:val="en-GB"/>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b/>
      <w:szCs w:val="20"/>
      <w:lang w:val="en-AU"/>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i/>
      <w:szCs w:val="20"/>
      <w:lang w:val="en-AU"/>
    </w:rPr>
  </w:style>
  <w:style w:type="paragraph" w:styleId="Heading5">
    <w:name w:val="heading 5"/>
    <w:basedOn w:val="Normal"/>
    <w:next w:val="Normal"/>
    <w:qFormat/>
    <w:pPr>
      <w:keepNext/>
      <w:overflowPunct w:val="0"/>
      <w:autoSpaceDE w:val="0"/>
      <w:autoSpaceDN w:val="0"/>
      <w:adjustRightInd w:val="0"/>
      <w:textAlignment w:val="baseline"/>
      <w:outlineLvl w:val="4"/>
    </w:pPr>
    <w:rPr>
      <w:i/>
      <w:szCs w:val="20"/>
      <w:lang w:val="en-GB"/>
    </w:rPr>
  </w:style>
  <w:style w:type="paragraph" w:styleId="Heading6">
    <w:name w:val="heading 6"/>
    <w:basedOn w:val="Normal"/>
    <w:next w:val="Normal"/>
    <w:qFormat/>
    <w:pPr>
      <w:keepNext/>
      <w:overflowPunct w:val="0"/>
      <w:autoSpaceDE w:val="0"/>
      <w:autoSpaceDN w:val="0"/>
      <w:adjustRightInd w:val="0"/>
      <w:ind w:right="-449"/>
      <w:jc w:val="both"/>
      <w:textAlignment w:val="baseline"/>
      <w:outlineLvl w:val="5"/>
    </w:pPr>
    <w:rPr>
      <w:b/>
      <w:i/>
      <w:noProof/>
      <w:sz w:val="22"/>
      <w:szCs w:val="20"/>
      <w:lang w:val="en-GB"/>
    </w:rPr>
  </w:style>
  <w:style w:type="paragraph" w:styleId="Heading7">
    <w:name w:val="heading 7"/>
    <w:aliases w:val="TemplateHeading 7"/>
    <w:basedOn w:val="Normal"/>
    <w:next w:val="Normal"/>
    <w:link w:val="Heading7Char"/>
    <w:qFormat/>
    <w:pPr>
      <w:keepNext/>
      <w:jc w:val="center"/>
      <w:outlineLvl w:val="6"/>
    </w:pPr>
    <w:rPr>
      <w:rFonts w:ascii="Arial" w:hAnsi="Arial"/>
      <w:b/>
      <w:bCs/>
      <w:sz w:val="32"/>
      <w:lang w:val="en-AU"/>
    </w:rPr>
  </w:style>
  <w:style w:type="paragraph" w:styleId="Heading8">
    <w:name w:val="heading 8"/>
    <w:aliases w:val="TemplateHeading 8"/>
    <w:basedOn w:val="Normal"/>
    <w:next w:val="Normal"/>
    <w:link w:val="Heading8Char"/>
    <w:qFormat/>
    <w:pPr>
      <w:keepNext/>
      <w:jc w:val="center"/>
      <w:outlineLvl w:val="7"/>
    </w:pPr>
    <w:rPr>
      <w:rFonts w:ascii="Arial" w:hAnsi="Arial" w:cs="Arial"/>
      <w:b/>
      <w:bCs/>
      <w:sz w:val="36"/>
      <w:lang w:val="en-AU"/>
    </w:rPr>
  </w:style>
  <w:style w:type="paragraph" w:styleId="Heading9">
    <w:name w:val="heading 9"/>
    <w:aliases w:val="TemplateHeading 9"/>
    <w:basedOn w:val="Normal"/>
    <w:next w:val="Normal"/>
    <w:link w:val="Heading9Char"/>
    <w:qFormat/>
    <w:pPr>
      <w:keepNext/>
      <w:jc w:val="center"/>
      <w:outlineLvl w:val="8"/>
    </w:pPr>
    <w:rPr>
      <w:rFonts w:ascii="Arial" w:hAnsi="Arial" w:cs="Arial"/>
      <w:b/>
      <w:b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noProof/>
      <w:sz w:val="22"/>
      <w:szCs w:val="20"/>
      <w:lang w:val="en-GB"/>
    </w:rPr>
  </w:style>
  <w:style w:type="paragraph" w:styleId="TOC1">
    <w:name w:val="toc 1"/>
    <w:aliases w:val="CMI TOC1"/>
    <w:basedOn w:val="Normal"/>
    <w:next w:val="Normal"/>
    <w:autoRedefine/>
    <w:uiPriority w:val="39"/>
    <w:pPr>
      <w:tabs>
        <w:tab w:val="left" w:pos="2693"/>
      </w:tabs>
      <w:overflowPunct w:val="0"/>
      <w:autoSpaceDE w:val="0"/>
      <w:autoSpaceDN w:val="0"/>
      <w:adjustRightInd w:val="0"/>
      <w:spacing w:before="120" w:after="80"/>
      <w:textAlignment w:val="baseline"/>
    </w:pPr>
    <w:rPr>
      <w:b/>
      <w:sz w:val="20"/>
      <w:szCs w:val="20"/>
      <w:lang w:val="en-AU"/>
    </w:rPr>
  </w:style>
  <w:style w:type="paragraph" w:customStyle="1" w:styleId="CMIheading1">
    <w:name w:val="CMI heading 1"/>
    <w:basedOn w:val="Normal"/>
    <w:pPr>
      <w:keepNext/>
      <w:pBdr>
        <w:top w:val="single" w:sz="6" w:space="1" w:color="auto"/>
        <w:bottom w:val="single" w:sz="6" w:space="1" w:color="auto"/>
      </w:pBdr>
      <w:overflowPunct w:val="0"/>
      <w:autoSpaceDE w:val="0"/>
      <w:autoSpaceDN w:val="0"/>
      <w:adjustRightInd w:val="0"/>
      <w:spacing w:before="260" w:after="180"/>
      <w:textAlignment w:val="baseline"/>
    </w:pPr>
    <w:rPr>
      <w:rFonts w:ascii="Arial" w:hAnsi="Arial"/>
      <w:b/>
      <w:sz w:val="26"/>
      <w:szCs w:val="20"/>
      <w:lang w:val="en-AU"/>
    </w:rPr>
  </w:style>
  <w:style w:type="paragraph" w:customStyle="1" w:styleId="CMIheading2">
    <w:name w:val="CMI heading 2"/>
    <w:basedOn w:val="Normal"/>
    <w:pPr>
      <w:keepNext/>
      <w:overflowPunct w:val="0"/>
      <w:autoSpaceDE w:val="0"/>
      <w:autoSpaceDN w:val="0"/>
      <w:adjustRightInd w:val="0"/>
      <w:spacing w:before="200" w:after="80"/>
      <w:textAlignment w:val="baseline"/>
    </w:pPr>
    <w:rPr>
      <w:rFonts w:ascii="Arial" w:hAnsi="Arial"/>
      <w:b/>
      <w:i/>
      <w:sz w:val="22"/>
      <w:szCs w:val="20"/>
      <w:lang w:val="en-AU"/>
    </w:rPr>
  </w:style>
  <w:style w:type="paragraph" w:styleId="BodyText">
    <w:name w:val="Body Text"/>
    <w:basedOn w:val="Normal"/>
    <w:link w:val="BodyTextChar"/>
    <w:uiPriority w:val="1"/>
    <w:qFormat/>
    <w:pPr>
      <w:overflowPunct w:val="0"/>
      <w:autoSpaceDE w:val="0"/>
      <w:autoSpaceDN w:val="0"/>
      <w:adjustRightInd w:val="0"/>
      <w:textAlignment w:val="baseline"/>
    </w:pPr>
    <w:rPr>
      <w:color w:val="000000"/>
      <w:sz w:val="22"/>
      <w:szCs w:val="20"/>
      <w:lang w:val="en-GB"/>
    </w:rPr>
  </w:style>
  <w:style w:type="paragraph" w:styleId="BodyText3">
    <w:name w:val="Body Text 3"/>
    <w:basedOn w:val="Normal"/>
    <w:pPr>
      <w:overflowPunct w:val="0"/>
      <w:autoSpaceDE w:val="0"/>
      <w:autoSpaceDN w:val="0"/>
      <w:adjustRightInd w:val="0"/>
      <w:textAlignment w:val="baseline"/>
    </w:pPr>
    <w:rPr>
      <w:sz w:val="22"/>
      <w:szCs w:val="20"/>
      <w:lang w:val="en-GB"/>
    </w:rPr>
  </w:style>
  <w:style w:type="paragraph" w:styleId="BodyText2">
    <w:name w:val="Body Text 2"/>
    <w:basedOn w:val="Normal"/>
    <w:pPr>
      <w:tabs>
        <w:tab w:val="left" w:pos="1134"/>
      </w:tabs>
      <w:overflowPunct w:val="0"/>
      <w:autoSpaceDE w:val="0"/>
      <w:autoSpaceDN w:val="0"/>
      <w:adjustRightInd w:val="0"/>
      <w:ind w:left="1134" w:hanging="1134"/>
      <w:textAlignment w:val="baseline"/>
    </w:pPr>
    <w:rPr>
      <w:b/>
      <w:color w:val="000000"/>
      <w:sz w:val="20"/>
      <w:szCs w:val="20"/>
      <w:lang w:val="en-GB"/>
    </w:rPr>
  </w:style>
  <w:style w:type="paragraph" w:styleId="CommentText">
    <w:name w:val="annotation text"/>
    <w:basedOn w:val="Normal"/>
    <w:link w:val="CommentTextChar"/>
    <w:uiPriority w:val="99"/>
    <w:semiHidden/>
    <w:pPr>
      <w:overflowPunct w:val="0"/>
      <w:autoSpaceDE w:val="0"/>
      <w:autoSpaceDN w:val="0"/>
      <w:adjustRightInd w:val="0"/>
      <w:textAlignment w:val="baseline"/>
    </w:pPr>
    <w:rPr>
      <w:color w:val="000000"/>
      <w:sz w:val="20"/>
      <w:szCs w:val="20"/>
      <w:lang w:val="en-GB"/>
    </w:rPr>
  </w:style>
  <w:style w:type="paragraph" w:styleId="Footer">
    <w:name w:val="footer"/>
    <w:basedOn w:val="Normal"/>
    <w:link w:val="FooterChar"/>
    <w:pPr>
      <w:tabs>
        <w:tab w:val="center" w:pos="4153"/>
        <w:tab w:val="right" w:pos="8306"/>
      </w:tabs>
      <w:overflowPunct w:val="0"/>
      <w:autoSpaceDE w:val="0"/>
      <w:autoSpaceDN w:val="0"/>
      <w:adjustRightInd w:val="0"/>
      <w:textAlignment w:val="baseline"/>
    </w:pPr>
    <w:rPr>
      <w:color w:val="000000"/>
      <w:szCs w:val="20"/>
      <w:lang w:val="en-GB"/>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color w:val="000000"/>
      <w:szCs w:val="20"/>
      <w:lang w:val="en-GB"/>
    </w:rPr>
  </w:style>
  <w:style w:type="paragraph" w:customStyle="1" w:styleId="rk2linie1">
    <w:name w:val="rk2linie1"/>
    <w:basedOn w:val="Normal"/>
    <w:next w:val="Normal"/>
    <w:pPr>
      <w:overflowPunct w:val="0"/>
      <w:autoSpaceDE w:val="0"/>
      <w:autoSpaceDN w:val="0"/>
      <w:adjustRightInd w:val="0"/>
      <w:spacing w:before="280"/>
      <w:jc w:val="center"/>
      <w:textAlignment w:val="baseline"/>
    </w:pPr>
    <w:rPr>
      <w:rFonts w:ascii="Arial" w:hAnsi="Arial"/>
      <w:b/>
      <w:sz w:val="28"/>
      <w:szCs w:val="20"/>
      <w:lang w:val="en-GB"/>
    </w:rPr>
  </w:style>
  <w:style w:type="paragraph" w:styleId="EndnoteText">
    <w:name w:val="endnote text"/>
    <w:basedOn w:val="Normal"/>
    <w:semiHidden/>
    <w:pPr>
      <w:tabs>
        <w:tab w:val="left" w:pos="567"/>
      </w:tabs>
    </w:pPr>
    <w:rPr>
      <w:sz w:val="22"/>
      <w:szCs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semiHidden/>
    <w:pPr>
      <w:overflowPunct/>
      <w:autoSpaceDE/>
      <w:autoSpaceDN/>
      <w:adjustRightInd/>
      <w:textAlignment w:val="auto"/>
    </w:pPr>
    <w:rPr>
      <w:b/>
      <w:bCs/>
      <w:color w:val="auto"/>
      <w:lang w:val="en-US"/>
    </w:rPr>
  </w:style>
  <w:style w:type="paragraph" w:customStyle="1" w:styleId="TableText">
    <w:name w:val="Table Text"/>
    <w:link w:val="TableTextChar"/>
    <w:pPr>
      <w:keepNext/>
      <w:keepLines/>
      <w:spacing w:after="20"/>
    </w:pPr>
    <w:rPr>
      <w:lang w:val="en-GB" w:eastAsia="en-US"/>
    </w:rPr>
  </w:style>
  <w:style w:type="character" w:customStyle="1" w:styleId="TableTextChar">
    <w:name w:val="Table Text Char"/>
    <w:link w:val="TableText"/>
    <w:rPr>
      <w:lang w:val="en-GB" w:eastAsia="en-US" w:bidi="ar-SA"/>
    </w:rPr>
  </w:style>
  <w:style w:type="paragraph" w:styleId="Caption">
    <w:name w:val="caption"/>
    <w:next w:val="BodyText"/>
    <w:qFormat/>
    <w:pPr>
      <w:tabs>
        <w:tab w:val="left" w:pos="1134"/>
      </w:tabs>
      <w:suppressAutoHyphens/>
      <w:spacing w:before="120" w:after="60"/>
      <w:ind w:left="1134" w:hanging="1134"/>
    </w:pPr>
    <w:rPr>
      <w:b/>
      <w:bCs/>
      <w:sz w:val="24"/>
      <w:lang w:val="en-GB" w:eastAsia="en-US"/>
    </w:rPr>
  </w:style>
  <w:style w:type="paragraph" w:customStyle="1" w:styleId="BulletList10pt">
    <w:name w:val="Bullet List 10 pt"/>
    <w:pPr>
      <w:numPr>
        <w:ilvl w:val="1"/>
        <w:numId w:val="5"/>
      </w:numPr>
      <w:tabs>
        <w:tab w:val="clear" w:pos="1307"/>
        <w:tab w:val="num" w:pos="360"/>
      </w:tabs>
      <w:suppressAutoHyphens/>
      <w:ind w:left="0" w:firstLine="0"/>
    </w:pPr>
    <w:rPr>
      <w:szCs w:val="24"/>
      <w:lang w:val="en-GB" w:eastAsia="en-US"/>
    </w:rPr>
  </w:style>
  <w:style w:type="paragraph" w:customStyle="1" w:styleId="BulletIndent">
    <w:name w:val="Bullet Indent"/>
    <w:basedOn w:val="Normal"/>
    <w:uiPriority w:val="99"/>
    <w:pPr>
      <w:numPr>
        <w:numId w:val="6"/>
      </w:numPr>
      <w:tabs>
        <w:tab w:val="clear" w:pos="357"/>
        <w:tab w:val="num" w:pos="360"/>
      </w:tabs>
      <w:suppressAutoHyphens/>
      <w:spacing w:line="264" w:lineRule="auto"/>
      <w:ind w:left="0" w:firstLine="0"/>
    </w:pPr>
    <w:rPr>
      <w:szCs w:val="20"/>
      <w:lang w:val="en-GB"/>
    </w:rPr>
  </w:style>
  <w:style w:type="paragraph" w:customStyle="1" w:styleId="TableFootnoteFormat">
    <w:name w:val="Table Footnote Format"/>
    <w:basedOn w:val="TableText"/>
    <w:pPr>
      <w:keepNext w:val="0"/>
      <w:keepLines w:val="0"/>
      <w:spacing w:before="40" w:after="40"/>
    </w:pPr>
  </w:style>
  <w:style w:type="numbering" w:styleId="111111">
    <w:name w:val="Outline List 2"/>
    <w:basedOn w:val="NoList"/>
    <w:semiHidden/>
    <w:pPr>
      <w:numPr>
        <w:numId w:val="7"/>
      </w:numPr>
    </w:pPr>
  </w:style>
  <w:style w:type="table" w:customStyle="1" w:styleId="TableHeader">
    <w:name w:val="TableHeader"/>
    <w:basedOn w:val="TableNormal"/>
    <w:rPr>
      <w:sz w:val="18"/>
    </w:rPr>
    <w:tblPr>
      <w:tblBorders>
        <w:insideV w:val="single" w:sz="4" w:space="0" w:color="auto"/>
      </w:tblBorders>
    </w:tblPr>
  </w:style>
  <w:style w:type="paragraph" w:customStyle="1" w:styleId="BulletList">
    <w:name w:val="Bullet List"/>
    <w:basedOn w:val="BodyText"/>
    <w:link w:val="BulletListChar"/>
    <w:pPr>
      <w:numPr>
        <w:numId w:val="8"/>
      </w:numPr>
      <w:tabs>
        <w:tab w:val="clear" w:pos="357"/>
        <w:tab w:val="num" w:pos="643"/>
      </w:tabs>
      <w:suppressAutoHyphens/>
      <w:overflowPunct/>
      <w:autoSpaceDE/>
      <w:autoSpaceDN/>
      <w:adjustRightInd/>
      <w:spacing w:line="264" w:lineRule="auto"/>
      <w:ind w:left="643" w:hanging="360"/>
      <w:textAlignment w:val="auto"/>
    </w:pPr>
    <w:rPr>
      <w:color w:val="auto"/>
      <w:sz w:val="24"/>
    </w:rPr>
  </w:style>
  <w:style w:type="character" w:customStyle="1" w:styleId="BulletListChar">
    <w:name w:val="Bullet List Char"/>
    <w:link w:val="BulletList"/>
    <w:rPr>
      <w:sz w:val="24"/>
      <w:lang w:val="en-GB" w:eastAsia="en-US" w:bidi="ar-SA"/>
    </w:rPr>
  </w:style>
  <w:style w:type="paragraph" w:styleId="NormalWeb">
    <w:name w:val="Normal (Web)"/>
    <w:basedOn w:val="Normal"/>
    <w:pPr>
      <w:spacing w:before="100" w:beforeAutospacing="1" w:after="100" w:afterAutospacing="1"/>
    </w:pPr>
    <w:rPr>
      <w:lang w:val="en-AU" w:eastAsia="en-AU"/>
    </w:rPr>
  </w:style>
  <w:style w:type="character" w:styleId="Strong">
    <w:name w:val="Strong"/>
    <w:qFormat/>
    <w:rPr>
      <w:b/>
      <w:bCs/>
    </w:rPr>
  </w:style>
  <w:style w:type="character" w:styleId="Hyperlink">
    <w:name w:val="Hyperlink"/>
    <w:uiPriority w:val="99"/>
    <w:rPr>
      <w:color w:val="0000FF"/>
      <w:u w:val="single"/>
    </w:rPr>
  </w:style>
  <w:style w:type="paragraph" w:customStyle="1" w:styleId="CM12">
    <w:name w:val="CM12"/>
    <w:basedOn w:val="Normal"/>
    <w:next w:val="Normal"/>
    <w:pPr>
      <w:autoSpaceDE w:val="0"/>
      <w:autoSpaceDN w:val="0"/>
      <w:adjustRightInd w:val="0"/>
      <w:spacing w:line="278" w:lineRule="atLeast"/>
    </w:pPr>
    <w:rPr>
      <w:lang w:val="en-AU" w:eastAsia="en-AU"/>
    </w:rPr>
  </w:style>
  <w:style w:type="character" w:customStyle="1" w:styleId="dpro">
    <w:name w:val="dpro"/>
    <w:semiHidden/>
    <w:rPr>
      <w:rFonts w:ascii="Verdana" w:hAnsi="Verdana"/>
      <w:b w:val="0"/>
      <w:bCs w:val="0"/>
      <w:i w:val="0"/>
      <w:iCs w:val="0"/>
      <w:strike w:val="0"/>
      <w:color w:val="0000FF"/>
      <w:sz w:val="20"/>
      <w:szCs w:val="20"/>
      <w:u w:val="none"/>
    </w:rPr>
  </w:style>
  <w:style w:type="character" w:customStyle="1" w:styleId="CommentTextChar">
    <w:name w:val="Comment Text Char"/>
    <w:link w:val="CommentText"/>
    <w:uiPriority w:val="99"/>
    <w:semiHidden/>
    <w:locked/>
    <w:rsid w:val="0019278E"/>
    <w:rPr>
      <w:color w:val="000000"/>
      <w:lang w:val="en-GB" w:eastAsia="en-US"/>
    </w:rPr>
  </w:style>
  <w:style w:type="character" w:styleId="PageNumber">
    <w:name w:val="page number"/>
    <w:basedOn w:val="DefaultParagraphFont"/>
    <w:uiPriority w:val="5"/>
    <w:rsid w:val="002B2F8E"/>
  </w:style>
  <w:style w:type="paragraph" w:customStyle="1" w:styleId="Manufacturer">
    <w:name w:val="Manufacturer"/>
    <w:basedOn w:val="Normal"/>
    <w:rsid w:val="007810E8"/>
    <w:pPr>
      <w:spacing w:before="20" w:after="20" w:line="260" w:lineRule="exact"/>
      <w:jc w:val="both"/>
    </w:pPr>
    <w:rPr>
      <w:color w:val="000000"/>
      <w:sz w:val="20"/>
      <w:szCs w:val="20"/>
      <w:lang w:val="pt-BR"/>
    </w:rPr>
  </w:style>
  <w:style w:type="character" w:customStyle="1" w:styleId="Heading7Char">
    <w:name w:val="Heading 7 Char"/>
    <w:aliases w:val="TemplateHeading 7 Char"/>
    <w:link w:val="Heading7"/>
    <w:uiPriority w:val="1"/>
    <w:rsid w:val="0040118A"/>
    <w:rPr>
      <w:rFonts w:ascii="Arial" w:hAnsi="Arial"/>
      <w:b/>
      <w:bCs/>
      <w:sz w:val="32"/>
      <w:szCs w:val="24"/>
      <w:lang w:eastAsia="en-US"/>
    </w:rPr>
  </w:style>
  <w:style w:type="character" w:customStyle="1" w:styleId="Heading8Char">
    <w:name w:val="Heading 8 Char"/>
    <w:aliases w:val="TemplateHeading 8 Char"/>
    <w:link w:val="Heading8"/>
    <w:uiPriority w:val="1"/>
    <w:rsid w:val="0040118A"/>
    <w:rPr>
      <w:rFonts w:ascii="Arial" w:hAnsi="Arial" w:cs="Arial"/>
      <w:b/>
      <w:bCs/>
      <w:sz w:val="36"/>
      <w:szCs w:val="24"/>
      <w:lang w:eastAsia="en-US"/>
    </w:rPr>
  </w:style>
  <w:style w:type="character" w:customStyle="1" w:styleId="Heading9Char">
    <w:name w:val="Heading 9 Char"/>
    <w:aliases w:val="TemplateHeading 9 Char"/>
    <w:link w:val="Heading9"/>
    <w:uiPriority w:val="1"/>
    <w:rsid w:val="0040118A"/>
    <w:rPr>
      <w:rFonts w:ascii="Arial" w:hAnsi="Arial" w:cs="Arial"/>
      <w:b/>
      <w:bCs/>
      <w:sz w:val="22"/>
      <w:szCs w:val="24"/>
      <w:lang w:eastAsia="en-US"/>
    </w:rPr>
  </w:style>
  <w:style w:type="character" w:customStyle="1" w:styleId="HeaderChar">
    <w:name w:val="Header Char"/>
    <w:link w:val="Header"/>
    <w:uiPriority w:val="99"/>
    <w:rsid w:val="0040118A"/>
    <w:rPr>
      <w:color w:val="000000"/>
      <w:sz w:val="24"/>
      <w:lang w:val="en-GB" w:eastAsia="en-US"/>
    </w:rPr>
  </w:style>
  <w:style w:type="paragraph" w:styleId="ListParagraph">
    <w:name w:val="List Paragraph"/>
    <w:basedOn w:val="Normal"/>
    <w:uiPriority w:val="34"/>
    <w:qFormat/>
    <w:rsid w:val="005E6029"/>
    <w:pPr>
      <w:ind w:left="720"/>
      <w:contextualSpacing/>
    </w:pPr>
  </w:style>
  <w:style w:type="paragraph" w:styleId="Revision">
    <w:name w:val="Revision"/>
    <w:hidden/>
    <w:uiPriority w:val="99"/>
    <w:semiHidden/>
    <w:rsid w:val="0051429C"/>
    <w:rPr>
      <w:sz w:val="24"/>
      <w:szCs w:val="24"/>
      <w:lang w:val="en-US" w:eastAsia="en-US"/>
    </w:rPr>
  </w:style>
  <w:style w:type="character" w:customStyle="1" w:styleId="FooterChar">
    <w:name w:val="Footer Char"/>
    <w:link w:val="Footer"/>
    <w:rsid w:val="004C08DD"/>
    <w:rPr>
      <w:color w:val="000000"/>
      <w:sz w:val="24"/>
      <w:lang w:val="en-GB" w:eastAsia="en-US"/>
    </w:rPr>
  </w:style>
  <w:style w:type="paragraph" w:customStyle="1" w:styleId="TableFootnote">
    <w:name w:val="Table Footnote"/>
    <w:basedOn w:val="TableText"/>
    <w:uiPriority w:val="15"/>
    <w:qFormat/>
    <w:rsid w:val="00443C6C"/>
    <w:pPr>
      <w:keepNext w:val="0"/>
      <w:suppressAutoHyphens/>
      <w:spacing w:before="40" w:after="40" w:line="264" w:lineRule="auto"/>
    </w:pPr>
    <w:rPr>
      <w:szCs w:val="24"/>
      <w:lang w:eastAsia="en-GB"/>
    </w:rPr>
  </w:style>
  <w:style w:type="character" w:customStyle="1" w:styleId="Heading2Char">
    <w:name w:val="Heading 2 Char"/>
    <w:link w:val="Heading2"/>
    <w:uiPriority w:val="1"/>
    <w:rsid w:val="00813A9D"/>
    <w:rPr>
      <w:b/>
      <w:color w:val="000000"/>
      <w:sz w:val="24"/>
      <w:lang w:val="en-GB" w:eastAsia="en-US"/>
    </w:rPr>
  </w:style>
  <w:style w:type="character" w:customStyle="1" w:styleId="BodyTextChar">
    <w:name w:val="Body Text Char"/>
    <w:link w:val="BodyText"/>
    <w:uiPriority w:val="1"/>
    <w:rsid w:val="000C51DB"/>
    <w:rPr>
      <w:color w:val="000000"/>
      <w:sz w:val="22"/>
      <w:lang w:val="en-GB" w:eastAsia="en-US"/>
    </w:rPr>
  </w:style>
  <w:style w:type="character" w:customStyle="1" w:styleId="NoSpacingChar">
    <w:name w:val="No Spacing Char"/>
    <w:basedOn w:val="DefaultParagraphFont"/>
    <w:link w:val="NoSpacing"/>
    <w:uiPriority w:val="1"/>
    <w:locked/>
    <w:rsid w:val="00F37F66"/>
  </w:style>
  <w:style w:type="paragraph" w:styleId="NoSpacing">
    <w:name w:val="No Spacing"/>
    <w:link w:val="NoSpacingChar"/>
    <w:uiPriority w:val="1"/>
    <w:qFormat/>
    <w:rsid w:val="00F37F66"/>
  </w:style>
  <w:style w:type="paragraph" w:styleId="TOC2">
    <w:name w:val="toc 2"/>
    <w:basedOn w:val="Normal"/>
    <w:next w:val="Normal"/>
    <w:autoRedefine/>
    <w:uiPriority w:val="39"/>
    <w:rsid w:val="0018488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555">
      <w:bodyDiv w:val="1"/>
      <w:marLeft w:val="0"/>
      <w:marRight w:val="0"/>
      <w:marTop w:val="0"/>
      <w:marBottom w:val="0"/>
      <w:divBdr>
        <w:top w:val="none" w:sz="0" w:space="0" w:color="auto"/>
        <w:left w:val="none" w:sz="0" w:space="0" w:color="auto"/>
        <w:bottom w:val="none" w:sz="0" w:space="0" w:color="auto"/>
        <w:right w:val="none" w:sz="0" w:space="0" w:color="auto"/>
      </w:divBdr>
    </w:div>
    <w:div w:id="173419498">
      <w:bodyDiv w:val="1"/>
      <w:marLeft w:val="0"/>
      <w:marRight w:val="0"/>
      <w:marTop w:val="0"/>
      <w:marBottom w:val="0"/>
      <w:divBdr>
        <w:top w:val="none" w:sz="0" w:space="0" w:color="auto"/>
        <w:left w:val="none" w:sz="0" w:space="0" w:color="auto"/>
        <w:bottom w:val="none" w:sz="0" w:space="0" w:color="auto"/>
        <w:right w:val="none" w:sz="0" w:space="0" w:color="auto"/>
      </w:divBdr>
      <w:divsChild>
        <w:div w:id="826288988">
          <w:marLeft w:val="418"/>
          <w:marRight w:val="0"/>
          <w:marTop w:val="62"/>
          <w:marBottom w:val="0"/>
          <w:divBdr>
            <w:top w:val="none" w:sz="0" w:space="0" w:color="auto"/>
            <w:left w:val="none" w:sz="0" w:space="0" w:color="auto"/>
            <w:bottom w:val="none" w:sz="0" w:space="0" w:color="auto"/>
            <w:right w:val="none" w:sz="0" w:space="0" w:color="auto"/>
          </w:divBdr>
        </w:div>
      </w:divsChild>
    </w:div>
    <w:div w:id="279726122">
      <w:bodyDiv w:val="1"/>
      <w:marLeft w:val="0"/>
      <w:marRight w:val="0"/>
      <w:marTop w:val="0"/>
      <w:marBottom w:val="0"/>
      <w:divBdr>
        <w:top w:val="none" w:sz="0" w:space="0" w:color="auto"/>
        <w:left w:val="none" w:sz="0" w:space="0" w:color="auto"/>
        <w:bottom w:val="none" w:sz="0" w:space="0" w:color="auto"/>
        <w:right w:val="none" w:sz="0" w:space="0" w:color="auto"/>
      </w:divBdr>
    </w:div>
    <w:div w:id="352732234">
      <w:bodyDiv w:val="1"/>
      <w:marLeft w:val="0"/>
      <w:marRight w:val="0"/>
      <w:marTop w:val="0"/>
      <w:marBottom w:val="0"/>
      <w:divBdr>
        <w:top w:val="none" w:sz="0" w:space="0" w:color="auto"/>
        <w:left w:val="none" w:sz="0" w:space="0" w:color="auto"/>
        <w:bottom w:val="none" w:sz="0" w:space="0" w:color="auto"/>
        <w:right w:val="none" w:sz="0" w:space="0" w:color="auto"/>
      </w:divBdr>
    </w:div>
    <w:div w:id="373620864">
      <w:bodyDiv w:val="1"/>
      <w:marLeft w:val="0"/>
      <w:marRight w:val="0"/>
      <w:marTop w:val="0"/>
      <w:marBottom w:val="0"/>
      <w:divBdr>
        <w:top w:val="none" w:sz="0" w:space="0" w:color="auto"/>
        <w:left w:val="none" w:sz="0" w:space="0" w:color="auto"/>
        <w:bottom w:val="none" w:sz="0" w:space="0" w:color="auto"/>
        <w:right w:val="none" w:sz="0" w:space="0" w:color="auto"/>
      </w:divBdr>
    </w:div>
    <w:div w:id="395781670">
      <w:bodyDiv w:val="1"/>
      <w:marLeft w:val="0"/>
      <w:marRight w:val="0"/>
      <w:marTop w:val="0"/>
      <w:marBottom w:val="0"/>
      <w:divBdr>
        <w:top w:val="none" w:sz="0" w:space="0" w:color="auto"/>
        <w:left w:val="none" w:sz="0" w:space="0" w:color="auto"/>
        <w:bottom w:val="none" w:sz="0" w:space="0" w:color="auto"/>
        <w:right w:val="none" w:sz="0" w:space="0" w:color="auto"/>
      </w:divBdr>
    </w:div>
    <w:div w:id="449974726">
      <w:bodyDiv w:val="1"/>
      <w:marLeft w:val="0"/>
      <w:marRight w:val="0"/>
      <w:marTop w:val="0"/>
      <w:marBottom w:val="0"/>
      <w:divBdr>
        <w:top w:val="none" w:sz="0" w:space="0" w:color="auto"/>
        <w:left w:val="none" w:sz="0" w:space="0" w:color="auto"/>
        <w:bottom w:val="none" w:sz="0" w:space="0" w:color="auto"/>
        <w:right w:val="none" w:sz="0" w:space="0" w:color="auto"/>
      </w:divBdr>
    </w:div>
    <w:div w:id="503208710">
      <w:bodyDiv w:val="1"/>
      <w:marLeft w:val="0"/>
      <w:marRight w:val="0"/>
      <w:marTop w:val="0"/>
      <w:marBottom w:val="0"/>
      <w:divBdr>
        <w:top w:val="none" w:sz="0" w:space="0" w:color="auto"/>
        <w:left w:val="none" w:sz="0" w:space="0" w:color="auto"/>
        <w:bottom w:val="none" w:sz="0" w:space="0" w:color="auto"/>
        <w:right w:val="none" w:sz="0" w:space="0" w:color="auto"/>
      </w:divBdr>
    </w:div>
    <w:div w:id="609093312">
      <w:bodyDiv w:val="1"/>
      <w:marLeft w:val="0"/>
      <w:marRight w:val="0"/>
      <w:marTop w:val="0"/>
      <w:marBottom w:val="0"/>
      <w:divBdr>
        <w:top w:val="none" w:sz="0" w:space="0" w:color="auto"/>
        <w:left w:val="none" w:sz="0" w:space="0" w:color="auto"/>
        <w:bottom w:val="none" w:sz="0" w:space="0" w:color="auto"/>
        <w:right w:val="none" w:sz="0" w:space="0" w:color="auto"/>
      </w:divBdr>
      <w:divsChild>
        <w:div w:id="539561400">
          <w:marLeft w:val="0"/>
          <w:marRight w:val="0"/>
          <w:marTop w:val="0"/>
          <w:marBottom w:val="0"/>
          <w:divBdr>
            <w:top w:val="none" w:sz="0" w:space="0" w:color="auto"/>
            <w:left w:val="none" w:sz="0" w:space="0" w:color="auto"/>
            <w:bottom w:val="none" w:sz="0" w:space="0" w:color="auto"/>
            <w:right w:val="none" w:sz="0" w:space="0" w:color="auto"/>
          </w:divBdr>
        </w:div>
        <w:div w:id="1486967271">
          <w:marLeft w:val="0"/>
          <w:marRight w:val="0"/>
          <w:marTop w:val="0"/>
          <w:marBottom w:val="0"/>
          <w:divBdr>
            <w:top w:val="none" w:sz="0" w:space="0" w:color="auto"/>
            <w:left w:val="none" w:sz="0" w:space="0" w:color="auto"/>
            <w:bottom w:val="none" w:sz="0" w:space="0" w:color="auto"/>
            <w:right w:val="none" w:sz="0" w:space="0" w:color="auto"/>
          </w:divBdr>
        </w:div>
      </w:divsChild>
    </w:div>
    <w:div w:id="742606054">
      <w:bodyDiv w:val="1"/>
      <w:marLeft w:val="0"/>
      <w:marRight w:val="0"/>
      <w:marTop w:val="0"/>
      <w:marBottom w:val="0"/>
      <w:divBdr>
        <w:top w:val="none" w:sz="0" w:space="0" w:color="auto"/>
        <w:left w:val="none" w:sz="0" w:space="0" w:color="auto"/>
        <w:bottom w:val="none" w:sz="0" w:space="0" w:color="auto"/>
        <w:right w:val="none" w:sz="0" w:space="0" w:color="auto"/>
      </w:divBdr>
    </w:div>
    <w:div w:id="750473224">
      <w:bodyDiv w:val="1"/>
      <w:marLeft w:val="0"/>
      <w:marRight w:val="0"/>
      <w:marTop w:val="0"/>
      <w:marBottom w:val="0"/>
      <w:divBdr>
        <w:top w:val="none" w:sz="0" w:space="0" w:color="auto"/>
        <w:left w:val="none" w:sz="0" w:space="0" w:color="auto"/>
        <w:bottom w:val="none" w:sz="0" w:space="0" w:color="auto"/>
        <w:right w:val="none" w:sz="0" w:space="0" w:color="auto"/>
      </w:divBdr>
    </w:div>
    <w:div w:id="761610168">
      <w:bodyDiv w:val="1"/>
      <w:marLeft w:val="0"/>
      <w:marRight w:val="0"/>
      <w:marTop w:val="0"/>
      <w:marBottom w:val="0"/>
      <w:divBdr>
        <w:top w:val="none" w:sz="0" w:space="0" w:color="auto"/>
        <w:left w:val="none" w:sz="0" w:space="0" w:color="auto"/>
        <w:bottom w:val="none" w:sz="0" w:space="0" w:color="auto"/>
        <w:right w:val="none" w:sz="0" w:space="0" w:color="auto"/>
      </w:divBdr>
    </w:div>
    <w:div w:id="915356853">
      <w:bodyDiv w:val="1"/>
      <w:marLeft w:val="0"/>
      <w:marRight w:val="0"/>
      <w:marTop w:val="0"/>
      <w:marBottom w:val="0"/>
      <w:divBdr>
        <w:top w:val="none" w:sz="0" w:space="0" w:color="auto"/>
        <w:left w:val="none" w:sz="0" w:space="0" w:color="auto"/>
        <w:bottom w:val="none" w:sz="0" w:space="0" w:color="auto"/>
        <w:right w:val="none" w:sz="0" w:space="0" w:color="auto"/>
      </w:divBdr>
      <w:divsChild>
        <w:div w:id="1046487521">
          <w:marLeft w:val="850"/>
          <w:marRight w:val="0"/>
          <w:marTop w:val="62"/>
          <w:marBottom w:val="0"/>
          <w:divBdr>
            <w:top w:val="none" w:sz="0" w:space="0" w:color="auto"/>
            <w:left w:val="none" w:sz="0" w:space="0" w:color="auto"/>
            <w:bottom w:val="none" w:sz="0" w:space="0" w:color="auto"/>
            <w:right w:val="none" w:sz="0" w:space="0" w:color="auto"/>
          </w:divBdr>
        </w:div>
      </w:divsChild>
    </w:div>
    <w:div w:id="995256073">
      <w:bodyDiv w:val="1"/>
      <w:marLeft w:val="0"/>
      <w:marRight w:val="0"/>
      <w:marTop w:val="0"/>
      <w:marBottom w:val="0"/>
      <w:divBdr>
        <w:top w:val="none" w:sz="0" w:space="0" w:color="auto"/>
        <w:left w:val="none" w:sz="0" w:space="0" w:color="auto"/>
        <w:bottom w:val="none" w:sz="0" w:space="0" w:color="auto"/>
        <w:right w:val="none" w:sz="0" w:space="0" w:color="auto"/>
      </w:divBdr>
    </w:div>
    <w:div w:id="1017460059">
      <w:bodyDiv w:val="1"/>
      <w:marLeft w:val="0"/>
      <w:marRight w:val="0"/>
      <w:marTop w:val="0"/>
      <w:marBottom w:val="0"/>
      <w:divBdr>
        <w:top w:val="none" w:sz="0" w:space="0" w:color="auto"/>
        <w:left w:val="none" w:sz="0" w:space="0" w:color="auto"/>
        <w:bottom w:val="none" w:sz="0" w:space="0" w:color="auto"/>
        <w:right w:val="none" w:sz="0" w:space="0" w:color="auto"/>
      </w:divBdr>
    </w:div>
    <w:div w:id="1043946073">
      <w:bodyDiv w:val="1"/>
      <w:marLeft w:val="0"/>
      <w:marRight w:val="0"/>
      <w:marTop w:val="0"/>
      <w:marBottom w:val="0"/>
      <w:divBdr>
        <w:top w:val="none" w:sz="0" w:space="0" w:color="auto"/>
        <w:left w:val="none" w:sz="0" w:space="0" w:color="auto"/>
        <w:bottom w:val="none" w:sz="0" w:space="0" w:color="auto"/>
        <w:right w:val="none" w:sz="0" w:space="0" w:color="auto"/>
      </w:divBdr>
    </w:div>
    <w:div w:id="1129204925">
      <w:bodyDiv w:val="1"/>
      <w:marLeft w:val="0"/>
      <w:marRight w:val="0"/>
      <w:marTop w:val="0"/>
      <w:marBottom w:val="0"/>
      <w:divBdr>
        <w:top w:val="none" w:sz="0" w:space="0" w:color="auto"/>
        <w:left w:val="none" w:sz="0" w:space="0" w:color="auto"/>
        <w:bottom w:val="none" w:sz="0" w:space="0" w:color="auto"/>
        <w:right w:val="none" w:sz="0" w:space="0" w:color="auto"/>
      </w:divBdr>
      <w:divsChild>
        <w:div w:id="465051031">
          <w:marLeft w:val="418"/>
          <w:marRight w:val="0"/>
          <w:marTop w:val="72"/>
          <w:marBottom w:val="0"/>
          <w:divBdr>
            <w:top w:val="none" w:sz="0" w:space="0" w:color="auto"/>
            <w:left w:val="none" w:sz="0" w:space="0" w:color="auto"/>
            <w:bottom w:val="none" w:sz="0" w:space="0" w:color="auto"/>
            <w:right w:val="none" w:sz="0" w:space="0" w:color="auto"/>
          </w:divBdr>
        </w:div>
      </w:divsChild>
    </w:div>
    <w:div w:id="1248466817">
      <w:bodyDiv w:val="1"/>
      <w:marLeft w:val="0"/>
      <w:marRight w:val="0"/>
      <w:marTop w:val="0"/>
      <w:marBottom w:val="0"/>
      <w:divBdr>
        <w:top w:val="none" w:sz="0" w:space="0" w:color="auto"/>
        <w:left w:val="none" w:sz="0" w:space="0" w:color="auto"/>
        <w:bottom w:val="none" w:sz="0" w:space="0" w:color="auto"/>
        <w:right w:val="none" w:sz="0" w:space="0" w:color="auto"/>
      </w:divBdr>
    </w:div>
    <w:div w:id="1318924179">
      <w:bodyDiv w:val="1"/>
      <w:marLeft w:val="0"/>
      <w:marRight w:val="0"/>
      <w:marTop w:val="0"/>
      <w:marBottom w:val="0"/>
      <w:divBdr>
        <w:top w:val="none" w:sz="0" w:space="0" w:color="auto"/>
        <w:left w:val="none" w:sz="0" w:space="0" w:color="auto"/>
        <w:bottom w:val="none" w:sz="0" w:space="0" w:color="auto"/>
        <w:right w:val="none" w:sz="0" w:space="0" w:color="auto"/>
      </w:divBdr>
    </w:div>
    <w:div w:id="1507861609">
      <w:bodyDiv w:val="1"/>
      <w:marLeft w:val="0"/>
      <w:marRight w:val="0"/>
      <w:marTop w:val="0"/>
      <w:marBottom w:val="0"/>
      <w:divBdr>
        <w:top w:val="none" w:sz="0" w:space="0" w:color="auto"/>
        <w:left w:val="none" w:sz="0" w:space="0" w:color="auto"/>
        <w:bottom w:val="none" w:sz="0" w:space="0" w:color="auto"/>
        <w:right w:val="none" w:sz="0" w:space="0" w:color="auto"/>
      </w:divBdr>
    </w:div>
    <w:div w:id="1509174011">
      <w:bodyDiv w:val="1"/>
      <w:marLeft w:val="0"/>
      <w:marRight w:val="0"/>
      <w:marTop w:val="0"/>
      <w:marBottom w:val="0"/>
      <w:divBdr>
        <w:top w:val="none" w:sz="0" w:space="0" w:color="auto"/>
        <w:left w:val="none" w:sz="0" w:space="0" w:color="auto"/>
        <w:bottom w:val="none" w:sz="0" w:space="0" w:color="auto"/>
        <w:right w:val="none" w:sz="0" w:space="0" w:color="auto"/>
      </w:divBdr>
    </w:div>
    <w:div w:id="1528059429">
      <w:bodyDiv w:val="1"/>
      <w:marLeft w:val="0"/>
      <w:marRight w:val="0"/>
      <w:marTop w:val="0"/>
      <w:marBottom w:val="0"/>
      <w:divBdr>
        <w:top w:val="none" w:sz="0" w:space="0" w:color="auto"/>
        <w:left w:val="none" w:sz="0" w:space="0" w:color="auto"/>
        <w:bottom w:val="none" w:sz="0" w:space="0" w:color="auto"/>
        <w:right w:val="none" w:sz="0" w:space="0" w:color="auto"/>
      </w:divBdr>
    </w:div>
    <w:div w:id="1879048242">
      <w:bodyDiv w:val="1"/>
      <w:marLeft w:val="0"/>
      <w:marRight w:val="0"/>
      <w:marTop w:val="0"/>
      <w:marBottom w:val="0"/>
      <w:divBdr>
        <w:top w:val="none" w:sz="0" w:space="0" w:color="auto"/>
        <w:left w:val="none" w:sz="0" w:space="0" w:color="auto"/>
        <w:bottom w:val="none" w:sz="0" w:space="0" w:color="auto"/>
        <w:right w:val="none" w:sz="0" w:space="0" w:color="auto"/>
      </w:divBdr>
    </w:div>
    <w:div w:id="1880892319">
      <w:bodyDiv w:val="1"/>
      <w:marLeft w:val="0"/>
      <w:marRight w:val="0"/>
      <w:marTop w:val="0"/>
      <w:marBottom w:val="0"/>
      <w:divBdr>
        <w:top w:val="none" w:sz="0" w:space="0" w:color="auto"/>
        <w:left w:val="none" w:sz="0" w:space="0" w:color="auto"/>
        <w:bottom w:val="none" w:sz="0" w:space="0" w:color="auto"/>
        <w:right w:val="none" w:sz="0" w:space="0" w:color="auto"/>
      </w:divBdr>
    </w:div>
    <w:div w:id="2005736515">
      <w:bodyDiv w:val="1"/>
      <w:marLeft w:val="0"/>
      <w:marRight w:val="0"/>
      <w:marTop w:val="0"/>
      <w:marBottom w:val="0"/>
      <w:divBdr>
        <w:top w:val="none" w:sz="0" w:space="0" w:color="auto"/>
        <w:left w:val="none" w:sz="0" w:space="0" w:color="auto"/>
        <w:bottom w:val="none" w:sz="0" w:space="0" w:color="auto"/>
        <w:right w:val="none" w:sz="0" w:space="0" w:color="auto"/>
      </w:divBdr>
      <w:divsChild>
        <w:div w:id="506210423">
          <w:marLeft w:val="85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DE61388F65745877FEAC2433E5836" ma:contentTypeVersion="11" ma:contentTypeDescription="Create a new document." ma:contentTypeScope="" ma:versionID="6e6dd88e699d1acf50ff8d7242114994">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1B28-7B5D-438F-A665-DCABB886FC2B}">
  <ds:schemaRefs>
    <ds:schemaRef ds:uri="http://schemas.microsoft.com/office/2006/metadata/longProperties"/>
  </ds:schemaRefs>
</ds:datastoreItem>
</file>

<file path=customXml/itemProps2.xml><?xml version="1.0" encoding="utf-8"?>
<ds:datastoreItem xmlns:ds="http://schemas.openxmlformats.org/officeDocument/2006/customXml" ds:itemID="{147A68B4-B24E-4C87-B770-6C11624CB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C9A4D6-38A8-4D82-9238-E4C248A89FF4}">
  <ds:schemaRefs>
    <ds:schemaRef ds:uri="http://schemas.microsoft.com/sharepoint/v3/contenttype/forms"/>
  </ds:schemaRefs>
</ds:datastoreItem>
</file>

<file path=customXml/itemProps4.xml><?xml version="1.0" encoding="utf-8"?>
<ds:datastoreItem xmlns:ds="http://schemas.openxmlformats.org/officeDocument/2006/customXml" ds:itemID="{9A9E41DE-2EE5-4568-91D8-0374B9A18DA8}">
  <ds:schemaRefs>
    <ds:schemaRef ds:uri="http://schemas.openxmlformats.org/officeDocument/2006/bibliography"/>
  </ds:schemaRefs>
</ds:datastoreItem>
</file>

<file path=customXml/itemProps5.xml><?xml version="1.0" encoding="utf-8"?>
<ds:datastoreItem xmlns:ds="http://schemas.openxmlformats.org/officeDocument/2006/customXml" ds:itemID="{44CDB9B5-FACE-436F-80D1-C3C0B1A6E030}">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EDE8B372-5489-46E6-A548-9C2DDDA4FC63}">
  <ds:schemaRefs>
    <ds:schemaRef ds:uri="http://schemas.openxmlformats.org/officeDocument/2006/bibliography"/>
  </ds:schemaRefs>
</ds:datastoreItem>
</file>

<file path=customXml/itemProps7.xml><?xml version="1.0" encoding="utf-8"?>
<ds:datastoreItem xmlns:ds="http://schemas.openxmlformats.org/officeDocument/2006/customXml" ds:itemID="{CBDD7C4E-FFE6-4F71-A7D1-E9B94980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10016</Words>
  <Characters>59131</Characters>
  <Application>Microsoft Office Word</Application>
  <DocSecurity>0</DocSecurity>
  <Lines>1598</Lines>
  <Paragraphs>684</Paragraphs>
  <ScaleCrop>false</ScaleCrop>
  <HeadingPairs>
    <vt:vector size="2" baseType="variant">
      <vt:variant>
        <vt:lpstr>Title</vt:lpstr>
      </vt:variant>
      <vt:variant>
        <vt:i4>1</vt:i4>
      </vt:variant>
    </vt:vector>
  </HeadingPairs>
  <TitlesOfParts>
    <vt:vector size="1" baseType="lpstr">
      <vt:lpstr>Saxenda (ccds v5) dpi10.docx</vt:lpstr>
    </vt:vector>
  </TitlesOfParts>
  <Company>novo</Company>
  <LinksUpToDate>false</LinksUpToDate>
  <CharactersWithSpaces>68463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Liraglutide</dc:title>
  <dc:subject>prescription medicines</dc:subject>
  <dc:creator>ctda@novonordisk.com</dc:creator>
  <cp:keywords>AusPARs</cp:keywords>
  <dc:description/>
  <cp:lastModifiedBy>LACK, Janet</cp:lastModifiedBy>
  <cp:revision>3</cp:revision>
  <cp:lastPrinted>2018-01-12T03:03:00Z</cp:lastPrinted>
  <dcterms:created xsi:type="dcterms:W3CDTF">2019-07-17T00:00:00Z</dcterms:created>
  <dcterms:modified xsi:type="dcterms:W3CDTF">2019-07-17T00:59:00Z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0x010100539DE61388F65745877FEAC2433E5836</vt:lpwstr>
  </property>
</Properties>
</file>