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B73D60" w:rsidP="00096AA7">
            <w:pPr>
              <w:rPr>
                <w:rFonts w:ascii="Arial" w:hAnsi="Arial" w:cs="Arial"/>
                <w:b/>
                <w:color w:val="002C47"/>
                <w:sz w:val="36"/>
                <w:szCs w:val="36"/>
              </w:rPr>
            </w:pPr>
            <w:r>
              <w:rPr>
                <w:rFonts w:ascii="Arial" w:hAnsi="Arial" w:cs="Arial"/>
                <w:b/>
                <w:color w:val="002C47"/>
                <w:sz w:val="36"/>
                <w:szCs w:val="36"/>
              </w:rPr>
              <w:t>December</w:t>
            </w:r>
            <w:r w:rsidR="00DD4ABD">
              <w:rPr>
                <w:rFonts w:ascii="Arial" w:hAnsi="Arial" w:cs="Arial"/>
                <w:b/>
                <w:color w:val="002C47"/>
                <w:sz w:val="36"/>
                <w:szCs w:val="36"/>
              </w:rPr>
              <w:t xml:space="preserve"> </w:t>
            </w:r>
            <w:r w:rsidR="0015400E">
              <w:rPr>
                <w:rFonts w:ascii="Arial" w:hAnsi="Arial" w:cs="Arial"/>
                <w:b/>
                <w:color w:val="002C47"/>
                <w:sz w:val="36"/>
                <w:szCs w:val="36"/>
              </w:rPr>
              <w:t>20</w:t>
            </w:r>
            <w:r w:rsidR="008B28CA">
              <w:rPr>
                <w:rFonts w:ascii="Arial" w:hAnsi="Arial" w:cs="Arial"/>
                <w:b/>
                <w:color w:val="002C47"/>
                <w:sz w:val="36"/>
                <w:szCs w:val="36"/>
              </w:rPr>
              <w:t>1</w:t>
            </w:r>
            <w:r w:rsidR="00BA1CFD">
              <w:rPr>
                <w:rFonts w:ascii="Arial" w:hAnsi="Arial" w:cs="Arial"/>
                <w:b/>
                <w:color w:val="002C47"/>
                <w:sz w:val="36"/>
                <w:szCs w:val="36"/>
              </w:rPr>
              <w:t>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Australian Pu</w:t>
            </w:r>
            <w:r w:rsidR="002D1789">
              <w:rPr>
                <w:color w:val="FFFFFF" w:themeColor="background1"/>
              </w:rPr>
              <w:t>blic Assessment Report for l</w:t>
            </w:r>
            <w:r w:rsidR="00BA1CFD">
              <w:rPr>
                <w:color w:val="FFFFFF" w:themeColor="background1"/>
              </w:rPr>
              <w:t xml:space="preserve">evonorgestrel / </w:t>
            </w:r>
            <w:r w:rsidR="002D1789" w:rsidRPr="002D1789">
              <w:rPr>
                <w:color w:val="FFFFFF" w:themeColor="background1"/>
              </w:rPr>
              <w:t>ethinyloestradiol</w:t>
            </w:r>
          </w:p>
        </w:tc>
      </w:tr>
      <w:tr w:rsidR="0032583B" w:rsidRPr="00B64760" w:rsidTr="0032583B">
        <w:tc>
          <w:tcPr>
            <w:tcW w:w="9079" w:type="dxa"/>
          </w:tcPr>
          <w:p w:rsidR="0032583B" w:rsidRPr="008E7846" w:rsidRDefault="00C47846" w:rsidP="0032583B">
            <w:pPr>
              <w:pStyle w:val="Subtitle"/>
              <w:rPr>
                <w:color w:val="FFFFFF" w:themeColor="background1"/>
              </w:rPr>
            </w:pPr>
            <w:r>
              <w:rPr>
                <w:color w:val="FFFFFF" w:themeColor="background1"/>
              </w:rPr>
              <w:t>Proprietary Product Name: Seasonique</w:t>
            </w:r>
          </w:p>
        </w:tc>
      </w:tr>
      <w:tr w:rsidR="0032583B" w:rsidRPr="00B64760" w:rsidTr="0032583B">
        <w:trPr>
          <w:trHeight w:val="486"/>
        </w:trPr>
        <w:tc>
          <w:tcPr>
            <w:tcW w:w="9079" w:type="dxa"/>
          </w:tcPr>
          <w:p w:rsidR="0032583B" w:rsidRPr="008E7846" w:rsidRDefault="002D1789" w:rsidP="0032583B">
            <w:pPr>
              <w:pStyle w:val="Subtitle"/>
              <w:rPr>
                <w:color w:val="FFFFFF" w:themeColor="background1"/>
              </w:rPr>
            </w:pPr>
            <w:r>
              <w:rPr>
                <w:color w:val="FFFFFF" w:themeColor="background1"/>
              </w:rPr>
              <w:t xml:space="preserve">Sponsor: </w:t>
            </w:r>
            <w:r w:rsidR="00EA0C54">
              <w:rPr>
                <w:color w:val="FFFFFF" w:themeColor="background1"/>
              </w:rPr>
              <w:t>Teva Pharma</w:t>
            </w:r>
            <w:r w:rsidRPr="002D1789">
              <w:rPr>
                <w:color w:val="FFFFFF" w:themeColor="background1"/>
              </w:rPr>
              <w:t xml:space="preserve">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441C3F">
      <w:pPr>
        <w:pStyle w:val="Heading2"/>
      </w:pPr>
      <w:bookmarkStart w:id="0" w:name="_Toc434232633"/>
      <w:bookmarkStart w:id="1" w:name="_Toc465959609"/>
      <w:bookmarkStart w:id="2" w:name="_Toc466027918"/>
      <w:bookmarkStart w:id="3" w:name="_Toc468181688"/>
      <w:r>
        <w:t>About AusPARs</w:t>
      </w:r>
      <w:bookmarkEnd w:id="0"/>
      <w:bookmarkEnd w:id="1"/>
      <w:bookmarkEnd w:id="2"/>
      <w:bookmarkEnd w:id="3"/>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516DE">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4" w:name="_Toc247691501" w:displacedByCustomXml="next"/>
    <w:bookmarkStart w:id="5"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F33DC"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68181689" w:history="1">
            <w:r w:rsidR="00FF33DC" w:rsidRPr="00BD5198">
              <w:rPr>
                <w:rStyle w:val="Hyperlink"/>
                <w:noProof/>
              </w:rPr>
              <w:t>Common abbreviations</w:t>
            </w:r>
            <w:r w:rsidR="00FF33DC">
              <w:rPr>
                <w:noProof/>
                <w:webHidden/>
              </w:rPr>
              <w:tab/>
            </w:r>
            <w:r w:rsidR="00FF33DC">
              <w:rPr>
                <w:noProof/>
                <w:webHidden/>
              </w:rPr>
              <w:fldChar w:fldCharType="begin"/>
            </w:r>
            <w:r w:rsidR="00FF33DC">
              <w:rPr>
                <w:noProof/>
                <w:webHidden/>
              </w:rPr>
              <w:instrText xml:space="preserve"> PAGEREF _Toc468181689 \h </w:instrText>
            </w:r>
            <w:r w:rsidR="00FF33DC">
              <w:rPr>
                <w:noProof/>
                <w:webHidden/>
              </w:rPr>
            </w:r>
            <w:r w:rsidR="00FF33DC">
              <w:rPr>
                <w:noProof/>
                <w:webHidden/>
              </w:rPr>
              <w:fldChar w:fldCharType="separate"/>
            </w:r>
            <w:r w:rsidR="00FF33DC">
              <w:rPr>
                <w:noProof/>
                <w:webHidden/>
              </w:rPr>
              <w:t>5</w:t>
            </w:r>
            <w:r w:rsidR="00FF33DC">
              <w:rPr>
                <w:noProof/>
                <w:webHidden/>
              </w:rPr>
              <w:fldChar w:fldCharType="end"/>
            </w:r>
          </w:hyperlink>
        </w:p>
        <w:p w:rsidR="00FF33DC" w:rsidRDefault="00953EBF">
          <w:pPr>
            <w:pStyle w:val="TOC2"/>
            <w:rPr>
              <w:rFonts w:asciiTheme="minorHAnsi" w:eastAsiaTheme="minorEastAsia" w:hAnsiTheme="minorHAnsi" w:cstheme="minorBidi"/>
              <w:b w:val="0"/>
              <w:noProof/>
              <w:sz w:val="22"/>
              <w:lang w:eastAsia="en-AU"/>
            </w:rPr>
          </w:pPr>
          <w:hyperlink w:anchor="_Toc468181690" w:history="1">
            <w:r w:rsidR="00FF33DC" w:rsidRPr="00BD5198">
              <w:rPr>
                <w:rStyle w:val="Hyperlink"/>
                <w:noProof/>
              </w:rPr>
              <w:t>I. Introduction to product submission</w:t>
            </w:r>
            <w:r w:rsidR="00FF33DC">
              <w:rPr>
                <w:noProof/>
                <w:webHidden/>
              </w:rPr>
              <w:tab/>
            </w:r>
            <w:r w:rsidR="00FF33DC">
              <w:rPr>
                <w:noProof/>
                <w:webHidden/>
              </w:rPr>
              <w:fldChar w:fldCharType="begin"/>
            </w:r>
            <w:r w:rsidR="00FF33DC">
              <w:rPr>
                <w:noProof/>
                <w:webHidden/>
              </w:rPr>
              <w:instrText xml:space="preserve"> PAGEREF _Toc468181690 \h </w:instrText>
            </w:r>
            <w:r w:rsidR="00FF33DC">
              <w:rPr>
                <w:noProof/>
                <w:webHidden/>
              </w:rPr>
            </w:r>
            <w:r w:rsidR="00FF33DC">
              <w:rPr>
                <w:noProof/>
                <w:webHidden/>
              </w:rPr>
              <w:fldChar w:fldCharType="separate"/>
            </w:r>
            <w:r w:rsidR="00FF33DC">
              <w:rPr>
                <w:noProof/>
                <w:webHidden/>
              </w:rPr>
              <w:t>6</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691" w:history="1">
            <w:r w:rsidR="00FF33DC" w:rsidRPr="00BD5198">
              <w:rPr>
                <w:rStyle w:val="Hyperlink"/>
                <w:noProof/>
                <w:lang w:eastAsia="en-AU"/>
              </w:rPr>
              <w:t>Submission details</w:t>
            </w:r>
            <w:r w:rsidR="00FF33DC">
              <w:rPr>
                <w:noProof/>
                <w:webHidden/>
              </w:rPr>
              <w:tab/>
            </w:r>
            <w:r w:rsidR="00FF33DC">
              <w:rPr>
                <w:noProof/>
                <w:webHidden/>
              </w:rPr>
              <w:fldChar w:fldCharType="begin"/>
            </w:r>
            <w:r w:rsidR="00FF33DC">
              <w:rPr>
                <w:noProof/>
                <w:webHidden/>
              </w:rPr>
              <w:instrText xml:space="preserve"> PAGEREF _Toc468181691 \h </w:instrText>
            </w:r>
            <w:r w:rsidR="00FF33DC">
              <w:rPr>
                <w:noProof/>
                <w:webHidden/>
              </w:rPr>
            </w:r>
            <w:r w:rsidR="00FF33DC">
              <w:rPr>
                <w:noProof/>
                <w:webHidden/>
              </w:rPr>
              <w:fldChar w:fldCharType="separate"/>
            </w:r>
            <w:r w:rsidR="00FF33DC">
              <w:rPr>
                <w:noProof/>
                <w:webHidden/>
              </w:rPr>
              <w:t>6</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692" w:history="1">
            <w:r w:rsidR="00FF33DC" w:rsidRPr="00BD5198">
              <w:rPr>
                <w:rStyle w:val="Hyperlink"/>
                <w:noProof/>
              </w:rPr>
              <w:t>Product background</w:t>
            </w:r>
            <w:r w:rsidR="00FF33DC">
              <w:rPr>
                <w:noProof/>
                <w:webHidden/>
              </w:rPr>
              <w:tab/>
            </w:r>
            <w:r w:rsidR="00FF33DC">
              <w:rPr>
                <w:noProof/>
                <w:webHidden/>
              </w:rPr>
              <w:fldChar w:fldCharType="begin"/>
            </w:r>
            <w:r w:rsidR="00FF33DC">
              <w:rPr>
                <w:noProof/>
                <w:webHidden/>
              </w:rPr>
              <w:instrText xml:space="preserve"> PAGEREF _Toc468181692 \h </w:instrText>
            </w:r>
            <w:r w:rsidR="00FF33DC">
              <w:rPr>
                <w:noProof/>
                <w:webHidden/>
              </w:rPr>
            </w:r>
            <w:r w:rsidR="00FF33DC">
              <w:rPr>
                <w:noProof/>
                <w:webHidden/>
              </w:rPr>
              <w:fldChar w:fldCharType="separate"/>
            </w:r>
            <w:r w:rsidR="00FF33DC">
              <w:rPr>
                <w:noProof/>
                <w:webHidden/>
              </w:rPr>
              <w:t>7</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693" w:history="1">
            <w:r w:rsidR="00FF33DC" w:rsidRPr="00BD5198">
              <w:rPr>
                <w:rStyle w:val="Hyperlink"/>
                <w:noProof/>
              </w:rPr>
              <w:t>Regulatory status</w:t>
            </w:r>
            <w:r w:rsidR="00FF33DC">
              <w:rPr>
                <w:noProof/>
                <w:webHidden/>
              </w:rPr>
              <w:tab/>
            </w:r>
            <w:r w:rsidR="00FF33DC">
              <w:rPr>
                <w:noProof/>
                <w:webHidden/>
              </w:rPr>
              <w:fldChar w:fldCharType="begin"/>
            </w:r>
            <w:r w:rsidR="00FF33DC">
              <w:rPr>
                <w:noProof/>
                <w:webHidden/>
              </w:rPr>
              <w:instrText xml:space="preserve"> PAGEREF _Toc468181693 \h </w:instrText>
            </w:r>
            <w:r w:rsidR="00FF33DC">
              <w:rPr>
                <w:noProof/>
                <w:webHidden/>
              </w:rPr>
            </w:r>
            <w:r w:rsidR="00FF33DC">
              <w:rPr>
                <w:noProof/>
                <w:webHidden/>
              </w:rPr>
              <w:fldChar w:fldCharType="separate"/>
            </w:r>
            <w:r w:rsidR="00FF33DC">
              <w:rPr>
                <w:noProof/>
                <w:webHidden/>
              </w:rPr>
              <w:t>7</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694" w:history="1">
            <w:r w:rsidR="00FF33DC" w:rsidRPr="00BD5198">
              <w:rPr>
                <w:rStyle w:val="Hyperlink"/>
                <w:noProof/>
              </w:rPr>
              <w:t>Product Information</w:t>
            </w:r>
            <w:r w:rsidR="00FF33DC">
              <w:rPr>
                <w:noProof/>
                <w:webHidden/>
              </w:rPr>
              <w:tab/>
            </w:r>
            <w:r w:rsidR="00FF33DC">
              <w:rPr>
                <w:noProof/>
                <w:webHidden/>
              </w:rPr>
              <w:fldChar w:fldCharType="begin"/>
            </w:r>
            <w:r w:rsidR="00FF33DC">
              <w:rPr>
                <w:noProof/>
                <w:webHidden/>
              </w:rPr>
              <w:instrText xml:space="preserve"> PAGEREF _Toc468181694 \h </w:instrText>
            </w:r>
            <w:r w:rsidR="00FF33DC">
              <w:rPr>
                <w:noProof/>
                <w:webHidden/>
              </w:rPr>
            </w:r>
            <w:r w:rsidR="00FF33DC">
              <w:rPr>
                <w:noProof/>
                <w:webHidden/>
              </w:rPr>
              <w:fldChar w:fldCharType="separate"/>
            </w:r>
            <w:r w:rsidR="00FF33DC">
              <w:rPr>
                <w:noProof/>
                <w:webHidden/>
              </w:rPr>
              <w:t>7</w:t>
            </w:r>
            <w:r w:rsidR="00FF33DC">
              <w:rPr>
                <w:noProof/>
                <w:webHidden/>
              </w:rPr>
              <w:fldChar w:fldCharType="end"/>
            </w:r>
          </w:hyperlink>
        </w:p>
        <w:p w:rsidR="00FF33DC" w:rsidRDefault="00953EBF">
          <w:pPr>
            <w:pStyle w:val="TOC2"/>
            <w:rPr>
              <w:rFonts w:asciiTheme="minorHAnsi" w:eastAsiaTheme="minorEastAsia" w:hAnsiTheme="minorHAnsi" w:cstheme="minorBidi"/>
              <w:b w:val="0"/>
              <w:noProof/>
              <w:sz w:val="22"/>
              <w:lang w:eastAsia="en-AU"/>
            </w:rPr>
          </w:pPr>
          <w:hyperlink w:anchor="_Toc468181695" w:history="1">
            <w:r w:rsidR="00FF33DC" w:rsidRPr="00BD5198">
              <w:rPr>
                <w:rStyle w:val="Hyperlink"/>
                <w:noProof/>
              </w:rPr>
              <w:t>II. Quality findings</w:t>
            </w:r>
            <w:r w:rsidR="00FF33DC">
              <w:rPr>
                <w:noProof/>
                <w:webHidden/>
              </w:rPr>
              <w:tab/>
            </w:r>
            <w:r w:rsidR="00FF33DC">
              <w:rPr>
                <w:noProof/>
                <w:webHidden/>
              </w:rPr>
              <w:fldChar w:fldCharType="begin"/>
            </w:r>
            <w:r w:rsidR="00FF33DC">
              <w:rPr>
                <w:noProof/>
                <w:webHidden/>
              </w:rPr>
              <w:instrText xml:space="preserve"> PAGEREF _Toc468181695 \h </w:instrText>
            </w:r>
            <w:r w:rsidR="00FF33DC">
              <w:rPr>
                <w:noProof/>
                <w:webHidden/>
              </w:rPr>
            </w:r>
            <w:r w:rsidR="00FF33DC">
              <w:rPr>
                <w:noProof/>
                <w:webHidden/>
              </w:rPr>
              <w:fldChar w:fldCharType="separate"/>
            </w:r>
            <w:r w:rsidR="00FF33DC">
              <w:rPr>
                <w:noProof/>
                <w:webHidden/>
              </w:rPr>
              <w:t>8</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696" w:history="1">
            <w:r w:rsidR="00FF33DC" w:rsidRPr="00BD5198">
              <w:rPr>
                <w:rStyle w:val="Hyperlink"/>
                <w:noProof/>
              </w:rPr>
              <w:t>Introduction</w:t>
            </w:r>
            <w:r w:rsidR="00FF33DC">
              <w:rPr>
                <w:noProof/>
                <w:webHidden/>
              </w:rPr>
              <w:tab/>
            </w:r>
            <w:r w:rsidR="00FF33DC">
              <w:rPr>
                <w:noProof/>
                <w:webHidden/>
              </w:rPr>
              <w:fldChar w:fldCharType="begin"/>
            </w:r>
            <w:r w:rsidR="00FF33DC">
              <w:rPr>
                <w:noProof/>
                <w:webHidden/>
              </w:rPr>
              <w:instrText xml:space="preserve"> PAGEREF _Toc468181696 \h </w:instrText>
            </w:r>
            <w:r w:rsidR="00FF33DC">
              <w:rPr>
                <w:noProof/>
                <w:webHidden/>
              </w:rPr>
            </w:r>
            <w:r w:rsidR="00FF33DC">
              <w:rPr>
                <w:noProof/>
                <w:webHidden/>
              </w:rPr>
              <w:fldChar w:fldCharType="separate"/>
            </w:r>
            <w:r w:rsidR="00FF33DC">
              <w:rPr>
                <w:noProof/>
                <w:webHidden/>
              </w:rPr>
              <w:t>8</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697" w:history="1">
            <w:r w:rsidR="00FF33DC" w:rsidRPr="00BD5198">
              <w:rPr>
                <w:rStyle w:val="Hyperlink"/>
                <w:noProof/>
              </w:rPr>
              <w:t>Drug substance (active ingredient)</w:t>
            </w:r>
            <w:r w:rsidR="00FF33DC">
              <w:rPr>
                <w:noProof/>
                <w:webHidden/>
              </w:rPr>
              <w:tab/>
            </w:r>
            <w:r w:rsidR="00FF33DC">
              <w:rPr>
                <w:noProof/>
                <w:webHidden/>
              </w:rPr>
              <w:fldChar w:fldCharType="begin"/>
            </w:r>
            <w:r w:rsidR="00FF33DC">
              <w:rPr>
                <w:noProof/>
                <w:webHidden/>
              </w:rPr>
              <w:instrText xml:space="preserve"> PAGEREF _Toc468181697 \h </w:instrText>
            </w:r>
            <w:r w:rsidR="00FF33DC">
              <w:rPr>
                <w:noProof/>
                <w:webHidden/>
              </w:rPr>
            </w:r>
            <w:r w:rsidR="00FF33DC">
              <w:rPr>
                <w:noProof/>
                <w:webHidden/>
              </w:rPr>
              <w:fldChar w:fldCharType="separate"/>
            </w:r>
            <w:r w:rsidR="00FF33DC">
              <w:rPr>
                <w:noProof/>
                <w:webHidden/>
              </w:rPr>
              <w:t>8</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698" w:history="1">
            <w:r w:rsidR="00FF33DC" w:rsidRPr="00BD5198">
              <w:rPr>
                <w:rStyle w:val="Hyperlink"/>
                <w:noProof/>
              </w:rPr>
              <w:t>Drug product</w:t>
            </w:r>
            <w:r w:rsidR="00FF33DC">
              <w:rPr>
                <w:noProof/>
                <w:webHidden/>
              </w:rPr>
              <w:tab/>
            </w:r>
            <w:r w:rsidR="00FF33DC">
              <w:rPr>
                <w:noProof/>
                <w:webHidden/>
              </w:rPr>
              <w:fldChar w:fldCharType="begin"/>
            </w:r>
            <w:r w:rsidR="00FF33DC">
              <w:rPr>
                <w:noProof/>
                <w:webHidden/>
              </w:rPr>
              <w:instrText xml:space="preserve"> PAGEREF _Toc468181698 \h </w:instrText>
            </w:r>
            <w:r w:rsidR="00FF33DC">
              <w:rPr>
                <w:noProof/>
                <w:webHidden/>
              </w:rPr>
            </w:r>
            <w:r w:rsidR="00FF33DC">
              <w:rPr>
                <w:noProof/>
                <w:webHidden/>
              </w:rPr>
              <w:fldChar w:fldCharType="separate"/>
            </w:r>
            <w:r w:rsidR="00FF33DC">
              <w:rPr>
                <w:noProof/>
                <w:webHidden/>
              </w:rPr>
              <w:t>8</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699" w:history="1">
            <w:r w:rsidR="00FF33DC" w:rsidRPr="00BD5198">
              <w:rPr>
                <w:rStyle w:val="Hyperlink"/>
                <w:noProof/>
              </w:rPr>
              <w:t>Biopharmaceutics</w:t>
            </w:r>
            <w:r w:rsidR="00FF33DC">
              <w:rPr>
                <w:noProof/>
                <w:webHidden/>
              </w:rPr>
              <w:tab/>
            </w:r>
            <w:r w:rsidR="00FF33DC">
              <w:rPr>
                <w:noProof/>
                <w:webHidden/>
              </w:rPr>
              <w:fldChar w:fldCharType="begin"/>
            </w:r>
            <w:r w:rsidR="00FF33DC">
              <w:rPr>
                <w:noProof/>
                <w:webHidden/>
              </w:rPr>
              <w:instrText xml:space="preserve"> PAGEREF _Toc468181699 \h </w:instrText>
            </w:r>
            <w:r w:rsidR="00FF33DC">
              <w:rPr>
                <w:noProof/>
                <w:webHidden/>
              </w:rPr>
            </w:r>
            <w:r w:rsidR="00FF33DC">
              <w:rPr>
                <w:noProof/>
                <w:webHidden/>
              </w:rPr>
              <w:fldChar w:fldCharType="separate"/>
            </w:r>
            <w:r w:rsidR="00FF33DC">
              <w:rPr>
                <w:noProof/>
                <w:webHidden/>
              </w:rPr>
              <w:t>10</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700" w:history="1">
            <w:r w:rsidR="00FF33DC" w:rsidRPr="00BD5198">
              <w:rPr>
                <w:rStyle w:val="Hyperlink"/>
                <w:noProof/>
              </w:rPr>
              <w:t>Quality summary and conclusions</w:t>
            </w:r>
            <w:r w:rsidR="00FF33DC">
              <w:rPr>
                <w:noProof/>
                <w:webHidden/>
              </w:rPr>
              <w:tab/>
            </w:r>
            <w:r w:rsidR="00FF33DC">
              <w:rPr>
                <w:noProof/>
                <w:webHidden/>
              </w:rPr>
              <w:fldChar w:fldCharType="begin"/>
            </w:r>
            <w:r w:rsidR="00FF33DC">
              <w:rPr>
                <w:noProof/>
                <w:webHidden/>
              </w:rPr>
              <w:instrText xml:space="preserve"> PAGEREF _Toc468181700 \h </w:instrText>
            </w:r>
            <w:r w:rsidR="00FF33DC">
              <w:rPr>
                <w:noProof/>
                <w:webHidden/>
              </w:rPr>
            </w:r>
            <w:r w:rsidR="00FF33DC">
              <w:rPr>
                <w:noProof/>
                <w:webHidden/>
              </w:rPr>
              <w:fldChar w:fldCharType="separate"/>
            </w:r>
            <w:r w:rsidR="00FF33DC">
              <w:rPr>
                <w:noProof/>
                <w:webHidden/>
              </w:rPr>
              <w:t>10</w:t>
            </w:r>
            <w:r w:rsidR="00FF33DC">
              <w:rPr>
                <w:noProof/>
                <w:webHidden/>
              </w:rPr>
              <w:fldChar w:fldCharType="end"/>
            </w:r>
          </w:hyperlink>
        </w:p>
        <w:p w:rsidR="00FF33DC" w:rsidRDefault="00953EBF">
          <w:pPr>
            <w:pStyle w:val="TOC2"/>
            <w:rPr>
              <w:rFonts w:asciiTheme="minorHAnsi" w:eastAsiaTheme="minorEastAsia" w:hAnsiTheme="minorHAnsi" w:cstheme="minorBidi"/>
              <w:b w:val="0"/>
              <w:noProof/>
              <w:sz w:val="22"/>
              <w:lang w:eastAsia="en-AU"/>
            </w:rPr>
          </w:pPr>
          <w:hyperlink w:anchor="_Toc468181701" w:history="1">
            <w:r w:rsidR="00FF33DC" w:rsidRPr="00BD5198">
              <w:rPr>
                <w:rStyle w:val="Hyperlink"/>
                <w:noProof/>
              </w:rPr>
              <w:t>III. Nonclinical findings</w:t>
            </w:r>
            <w:r w:rsidR="00FF33DC">
              <w:rPr>
                <w:noProof/>
                <w:webHidden/>
              </w:rPr>
              <w:tab/>
            </w:r>
            <w:r w:rsidR="00FF33DC">
              <w:rPr>
                <w:noProof/>
                <w:webHidden/>
              </w:rPr>
              <w:fldChar w:fldCharType="begin"/>
            </w:r>
            <w:r w:rsidR="00FF33DC">
              <w:rPr>
                <w:noProof/>
                <w:webHidden/>
              </w:rPr>
              <w:instrText xml:space="preserve"> PAGEREF _Toc468181701 \h </w:instrText>
            </w:r>
            <w:r w:rsidR="00FF33DC">
              <w:rPr>
                <w:noProof/>
                <w:webHidden/>
              </w:rPr>
            </w:r>
            <w:r w:rsidR="00FF33DC">
              <w:rPr>
                <w:noProof/>
                <w:webHidden/>
              </w:rPr>
              <w:fldChar w:fldCharType="separate"/>
            </w:r>
            <w:r w:rsidR="00FF33DC">
              <w:rPr>
                <w:noProof/>
                <w:webHidden/>
              </w:rPr>
              <w:t>10</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702" w:history="1">
            <w:r w:rsidR="00FF33DC" w:rsidRPr="00BD5198">
              <w:rPr>
                <w:rStyle w:val="Hyperlink"/>
                <w:noProof/>
              </w:rPr>
              <w:t>Assessment</w:t>
            </w:r>
            <w:r w:rsidR="00FF33DC">
              <w:rPr>
                <w:noProof/>
                <w:webHidden/>
              </w:rPr>
              <w:tab/>
            </w:r>
            <w:r w:rsidR="00FF33DC">
              <w:rPr>
                <w:noProof/>
                <w:webHidden/>
              </w:rPr>
              <w:fldChar w:fldCharType="begin"/>
            </w:r>
            <w:r w:rsidR="00FF33DC">
              <w:rPr>
                <w:noProof/>
                <w:webHidden/>
              </w:rPr>
              <w:instrText xml:space="preserve"> PAGEREF _Toc468181702 \h </w:instrText>
            </w:r>
            <w:r w:rsidR="00FF33DC">
              <w:rPr>
                <w:noProof/>
                <w:webHidden/>
              </w:rPr>
            </w:r>
            <w:r w:rsidR="00FF33DC">
              <w:rPr>
                <w:noProof/>
                <w:webHidden/>
              </w:rPr>
              <w:fldChar w:fldCharType="separate"/>
            </w:r>
            <w:r w:rsidR="00FF33DC">
              <w:rPr>
                <w:noProof/>
                <w:webHidden/>
              </w:rPr>
              <w:t>10</w:t>
            </w:r>
            <w:r w:rsidR="00FF33DC">
              <w:rPr>
                <w:noProof/>
                <w:webHidden/>
              </w:rPr>
              <w:fldChar w:fldCharType="end"/>
            </w:r>
          </w:hyperlink>
        </w:p>
        <w:p w:rsidR="00FF33DC" w:rsidRDefault="00953EBF">
          <w:pPr>
            <w:pStyle w:val="TOC2"/>
            <w:rPr>
              <w:rFonts w:asciiTheme="minorHAnsi" w:eastAsiaTheme="minorEastAsia" w:hAnsiTheme="minorHAnsi" w:cstheme="minorBidi"/>
              <w:b w:val="0"/>
              <w:noProof/>
              <w:sz w:val="22"/>
              <w:lang w:eastAsia="en-AU"/>
            </w:rPr>
          </w:pPr>
          <w:hyperlink w:anchor="_Toc468181703" w:history="1">
            <w:r w:rsidR="00FF33DC" w:rsidRPr="00BD5198">
              <w:rPr>
                <w:rStyle w:val="Hyperlink"/>
                <w:noProof/>
              </w:rPr>
              <w:t>IV. Clinical findings</w:t>
            </w:r>
            <w:r w:rsidR="00FF33DC">
              <w:rPr>
                <w:noProof/>
                <w:webHidden/>
              </w:rPr>
              <w:tab/>
            </w:r>
            <w:r w:rsidR="00FF33DC">
              <w:rPr>
                <w:noProof/>
                <w:webHidden/>
              </w:rPr>
              <w:fldChar w:fldCharType="begin"/>
            </w:r>
            <w:r w:rsidR="00FF33DC">
              <w:rPr>
                <w:noProof/>
                <w:webHidden/>
              </w:rPr>
              <w:instrText xml:space="preserve"> PAGEREF _Toc468181703 \h </w:instrText>
            </w:r>
            <w:r w:rsidR="00FF33DC">
              <w:rPr>
                <w:noProof/>
                <w:webHidden/>
              </w:rPr>
            </w:r>
            <w:r w:rsidR="00FF33DC">
              <w:rPr>
                <w:noProof/>
                <w:webHidden/>
              </w:rPr>
              <w:fldChar w:fldCharType="separate"/>
            </w:r>
            <w:r w:rsidR="00FF33DC">
              <w:rPr>
                <w:noProof/>
                <w:webHidden/>
              </w:rPr>
              <w:t>11</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704" w:history="1">
            <w:r w:rsidR="00FF33DC" w:rsidRPr="00BD5198">
              <w:rPr>
                <w:rStyle w:val="Hyperlink"/>
                <w:noProof/>
              </w:rPr>
              <w:t>Introduction</w:t>
            </w:r>
            <w:r w:rsidR="00FF33DC">
              <w:rPr>
                <w:noProof/>
                <w:webHidden/>
              </w:rPr>
              <w:tab/>
            </w:r>
            <w:r w:rsidR="00FF33DC">
              <w:rPr>
                <w:noProof/>
                <w:webHidden/>
              </w:rPr>
              <w:fldChar w:fldCharType="begin"/>
            </w:r>
            <w:r w:rsidR="00FF33DC">
              <w:rPr>
                <w:noProof/>
                <w:webHidden/>
              </w:rPr>
              <w:instrText xml:space="preserve"> PAGEREF _Toc468181704 \h </w:instrText>
            </w:r>
            <w:r w:rsidR="00FF33DC">
              <w:rPr>
                <w:noProof/>
                <w:webHidden/>
              </w:rPr>
            </w:r>
            <w:r w:rsidR="00FF33DC">
              <w:rPr>
                <w:noProof/>
                <w:webHidden/>
              </w:rPr>
              <w:fldChar w:fldCharType="separate"/>
            </w:r>
            <w:r w:rsidR="00FF33DC">
              <w:rPr>
                <w:noProof/>
                <w:webHidden/>
              </w:rPr>
              <w:t>11</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705" w:history="1">
            <w:r w:rsidR="00FF33DC" w:rsidRPr="00BD5198">
              <w:rPr>
                <w:rStyle w:val="Hyperlink"/>
                <w:noProof/>
              </w:rPr>
              <w:t>Pharmacokinetics</w:t>
            </w:r>
            <w:r w:rsidR="00FF33DC">
              <w:rPr>
                <w:noProof/>
                <w:webHidden/>
              </w:rPr>
              <w:tab/>
            </w:r>
            <w:r w:rsidR="00FF33DC">
              <w:rPr>
                <w:noProof/>
                <w:webHidden/>
              </w:rPr>
              <w:fldChar w:fldCharType="begin"/>
            </w:r>
            <w:r w:rsidR="00FF33DC">
              <w:rPr>
                <w:noProof/>
                <w:webHidden/>
              </w:rPr>
              <w:instrText xml:space="preserve"> PAGEREF _Toc468181705 \h </w:instrText>
            </w:r>
            <w:r w:rsidR="00FF33DC">
              <w:rPr>
                <w:noProof/>
                <w:webHidden/>
              </w:rPr>
            </w:r>
            <w:r w:rsidR="00FF33DC">
              <w:rPr>
                <w:noProof/>
                <w:webHidden/>
              </w:rPr>
              <w:fldChar w:fldCharType="separate"/>
            </w:r>
            <w:r w:rsidR="00FF33DC">
              <w:rPr>
                <w:noProof/>
                <w:webHidden/>
              </w:rPr>
              <w:t>12</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706" w:history="1">
            <w:r w:rsidR="00FF33DC" w:rsidRPr="00BD5198">
              <w:rPr>
                <w:rStyle w:val="Hyperlink"/>
                <w:noProof/>
              </w:rPr>
              <w:t>Pharmacodynamics</w:t>
            </w:r>
            <w:r w:rsidR="00FF33DC">
              <w:rPr>
                <w:noProof/>
                <w:webHidden/>
              </w:rPr>
              <w:tab/>
            </w:r>
            <w:r w:rsidR="00FF33DC">
              <w:rPr>
                <w:noProof/>
                <w:webHidden/>
              </w:rPr>
              <w:fldChar w:fldCharType="begin"/>
            </w:r>
            <w:r w:rsidR="00FF33DC">
              <w:rPr>
                <w:noProof/>
                <w:webHidden/>
              </w:rPr>
              <w:instrText xml:space="preserve"> PAGEREF _Toc468181706 \h </w:instrText>
            </w:r>
            <w:r w:rsidR="00FF33DC">
              <w:rPr>
                <w:noProof/>
                <w:webHidden/>
              </w:rPr>
            </w:r>
            <w:r w:rsidR="00FF33DC">
              <w:rPr>
                <w:noProof/>
                <w:webHidden/>
              </w:rPr>
              <w:fldChar w:fldCharType="separate"/>
            </w:r>
            <w:r w:rsidR="00FF33DC">
              <w:rPr>
                <w:noProof/>
                <w:webHidden/>
              </w:rPr>
              <w:t>12</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707" w:history="1">
            <w:r w:rsidR="00FF33DC" w:rsidRPr="00BD5198">
              <w:rPr>
                <w:rStyle w:val="Hyperlink"/>
                <w:noProof/>
              </w:rPr>
              <w:t>Dosage selection for the pivotal studies</w:t>
            </w:r>
            <w:r w:rsidR="00FF33DC">
              <w:rPr>
                <w:noProof/>
                <w:webHidden/>
              </w:rPr>
              <w:tab/>
            </w:r>
            <w:r w:rsidR="00FF33DC">
              <w:rPr>
                <w:noProof/>
                <w:webHidden/>
              </w:rPr>
              <w:fldChar w:fldCharType="begin"/>
            </w:r>
            <w:r w:rsidR="00FF33DC">
              <w:rPr>
                <w:noProof/>
                <w:webHidden/>
              </w:rPr>
              <w:instrText xml:space="preserve"> PAGEREF _Toc468181707 \h </w:instrText>
            </w:r>
            <w:r w:rsidR="00FF33DC">
              <w:rPr>
                <w:noProof/>
                <w:webHidden/>
              </w:rPr>
            </w:r>
            <w:r w:rsidR="00FF33DC">
              <w:rPr>
                <w:noProof/>
                <w:webHidden/>
              </w:rPr>
              <w:fldChar w:fldCharType="separate"/>
            </w:r>
            <w:r w:rsidR="00FF33DC">
              <w:rPr>
                <w:noProof/>
                <w:webHidden/>
              </w:rPr>
              <w:t>13</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708" w:history="1">
            <w:r w:rsidR="00FF33DC" w:rsidRPr="00BD5198">
              <w:rPr>
                <w:rStyle w:val="Hyperlink"/>
                <w:noProof/>
              </w:rPr>
              <w:t>Efficacy</w:t>
            </w:r>
            <w:r w:rsidR="00FF33DC">
              <w:rPr>
                <w:noProof/>
                <w:webHidden/>
              </w:rPr>
              <w:tab/>
            </w:r>
            <w:r w:rsidR="00FF33DC">
              <w:rPr>
                <w:noProof/>
                <w:webHidden/>
              </w:rPr>
              <w:fldChar w:fldCharType="begin"/>
            </w:r>
            <w:r w:rsidR="00FF33DC">
              <w:rPr>
                <w:noProof/>
                <w:webHidden/>
              </w:rPr>
              <w:instrText xml:space="preserve"> PAGEREF _Toc468181708 \h </w:instrText>
            </w:r>
            <w:r w:rsidR="00FF33DC">
              <w:rPr>
                <w:noProof/>
                <w:webHidden/>
              </w:rPr>
            </w:r>
            <w:r w:rsidR="00FF33DC">
              <w:rPr>
                <w:noProof/>
                <w:webHidden/>
              </w:rPr>
              <w:fldChar w:fldCharType="separate"/>
            </w:r>
            <w:r w:rsidR="00FF33DC">
              <w:rPr>
                <w:noProof/>
                <w:webHidden/>
              </w:rPr>
              <w:t>13</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709" w:history="1">
            <w:r w:rsidR="00FF33DC" w:rsidRPr="00BD5198">
              <w:rPr>
                <w:rStyle w:val="Hyperlink"/>
                <w:noProof/>
              </w:rPr>
              <w:t>Safety</w:t>
            </w:r>
            <w:r w:rsidR="00FF33DC">
              <w:rPr>
                <w:noProof/>
                <w:webHidden/>
              </w:rPr>
              <w:tab/>
            </w:r>
            <w:r w:rsidR="00FF33DC">
              <w:rPr>
                <w:noProof/>
                <w:webHidden/>
              </w:rPr>
              <w:fldChar w:fldCharType="begin"/>
            </w:r>
            <w:r w:rsidR="00FF33DC">
              <w:rPr>
                <w:noProof/>
                <w:webHidden/>
              </w:rPr>
              <w:instrText xml:space="preserve"> PAGEREF _Toc468181709 \h </w:instrText>
            </w:r>
            <w:r w:rsidR="00FF33DC">
              <w:rPr>
                <w:noProof/>
                <w:webHidden/>
              </w:rPr>
            </w:r>
            <w:r w:rsidR="00FF33DC">
              <w:rPr>
                <w:noProof/>
                <w:webHidden/>
              </w:rPr>
              <w:fldChar w:fldCharType="separate"/>
            </w:r>
            <w:r w:rsidR="00FF33DC">
              <w:rPr>
                <w:noProof/>
                <w:webHidden/>
              </w:rPr>
              <w:t>14</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710" w:history="1">
            <w:r w:rsidR="00FF33DC" w:rsidRPr="00BD5198">
              <w:rPr>
                <w:rStyle w:val="Hyperlink"/>
                <w:noProof/>
              </w:rPr>
              <w:t>First round benefit-risk assessment</w:t>
            </w:r>
            <w:r w:rsidR="00FF33DC">
              <w:rPr>
                <w:noProof/>
                <w:webHidden/>
              </w:rPr>
              <w:tab/>
            </w:r>
            <w:r w:rsidR="00FF33DC">
              <w:rPr>
                <w:noProof/>
                <w:webHidden/>
              </w:rPr>
              <w:fldChar w:fldCharType="begin"/>
            </w:r>
            <w:r w:rsidR="00FF33DC">
              <w:rPr>
                <w:noProof/>
                <w:webHidden/>
              </w:rPr>
              <w:instrText xml:space="preserve"> PAGEREF _Toc468181710 \h </w:instrText>
            </w:r>
            <w:r w:rsidR="00FF33DC">
              <w:rPr>
                <w:noProof/>
                <w:webHidden/>
              </w:rPr>
            </w:r>
            <w:r w:rsidR="00FF33DC">
              <w:rPr>
                <w:noProof/>
                <w:webHidden/>
              </w:rPr>
              <w:fldChar w:fldCharType="separate"/>
            </w:r>
            <w:r w:rsidR="00FF33DC">
              <w:rPr>
                <w:noProof/>
                <w:webHidden/>
              </w:rPr>
              <w:t>17</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711" w:history="1">
            <w:r w:rsidR="00FF33DC" w:rsidRPr="00BD5198">
              <w:rPr>
                <w:rStyle w:val="Hyperlink"/>
                <w:noProof/>
              </w:rPr>
              <w:t>First round recommendation regarding authorisation</w:t>
            </w:r>
            <w:r w:rsidR="00FF33DC">
              <w:rPr>
                <w:noProof/>
                <w:webHidden/>
              </w:rPr>
              <w:tab/>
            </w:r>
            <w:r w:rsidR="00FF33DC">
              <w:rPr>
                <w:noProof/>
                <w:webHidden/>
              </w:rPr>
              <w:fldChar w:fldCharType="begin"/>
            </w:r>
            <w:r w:rsidR="00FF33DC">
              <w:rPr>
                <w:noProof/>
                <w:webHidden/>
              </w:rPr>
              <w:instrText xml:space="preserve"> PAGEREF _Toc468181711 \h </w:instrText>
            </w:r>
            <w:r w:rsidR="00FF33DC">
              <w:rPr>
                <w:noProof/>
                <w:webHidden/>
              </w:rPr>
            </w:r>
            <w:r w:rsidR="00FF33DC">
              <w:rPr>
                <w:noProof/>
                <w:webHidden/>
              </w:rPr>
              <w:fldChar w:fldCharType="separate"/>
            </w:r>
            <w:r w:rsidR="00FF33DC">
              <w:rPr>
                <w:noProof/>
                <w:webHidden/>
              </w:rPr>
              <w:t>18</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712" w:history="1">
            <w:r w:rsidR="00FF33DC" w:rsidRPr="00BD5198">
              <w:rPr>
                <w:rStyle w:val="Hyperlink"/>
                <w:noProof/>
              </w:rPr>
              <w:t>Clinical questions</w:t>
            </w:r>
            <w:r w:rsidR="00FF33DC">
              <w:rPr>
                <w:noProof/>
                <w:webHidden/>
              </w:rPr>
              <w:tab/>
            </w:r>
            <w:r w:rsidR="00FF33DC">
              <w:rPr>
                <w:noProof/>
                <w:webHidden/>
              </w:rPr>
              <w:fldChar w:fldCharType="begin"/>
            </w:r>
            <w:r w:rsidR="00FF33DC">
              <w:rPr>
                <w:noProof/>
                <w:webHidden/>
              </w:rPr>
              <w:instrText xml:space="preserve"> PAGEREF _Toc468181712 \h </w:instrText>
            </w:r>
            <w:r w:rsidR="00FF33DC">
              <w:rPr>
                <w:noProof/>
                <w:webHidden/>
              </w:rPr>
            </w:r>
            <w:r w:rsidR="00FF33DC">
              <w:rPr>
                <w:noProof/>
                <w:webHidden/>
              </w:rPr>
              <w:fldChar w:fldCharType="separate"/>
            </w:r>
            <w:r w:rsidR="00FF33DC">
              <w:rPr>
                <w:noProof/>
                <w:webHidden/>
              </w:rPr>
              <w:t>18</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713" w:history="1">
            <w:r w:rsidR="00FF33DC" w:rsidRPr="00BD5198">
              <w:rPr>
                <w:rStyle w:val="Hyperlink"/>
                <w:noProof/>
              </w:rPr>
              <w:t>Second round evaluation</w:t>
            </w:r>
            <w:r w:rsidR="00FF33DC">
              <w:rPr>
                <w:noProof/>
                <w:webHidden/>
              </w:rPr>
              <w:tab/>
            </w:r>
            <w:r w:rsidR="00FF33DC">
              <w:rPr>
                <w:noProof/>
                <w:webHidden/>
              </w:rPr>
              <w:fldChar w:fldCharType="begin"/>
            </w:r>
            <w:r w:rsidR="00FF33DC">
              <w:rPr>
                <w:noProof/>
                <w:webHidden/>
              </w:rPr>
              <w:instrText xml:space="preserve"> PAGEREF _Toc468181713 \h </w:instrText>
            </w:r>
            <w:r w:rsidR="00FF33DC">
              <w:rPr>
                <w:noProof/>
                <w:webHidden/>
              </w:rPr>
            </w:r>
            <w:r w:rsidR="00FF33DC">
              <w:rPr>
                <w:noProof/>
                <w:webHidden/>
              </w:rPr>
              <w:fldChar w:fldCharType="separate"/>
            </w:r>
            <w:r w:rsidR="00FF33DC">
              <w:rPr>
                <w:noProof/>
                <w:webHidden/>
              </w:rPr>
              <w:t>18</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714" w:history="1">
            <w:r w:rsidR="00FF33DC" w:rsidRPr="00BD5198">
              <w:rPr>
                <w:rStyle w:val="Hyperlink"/>
                <w:noProof/>
              </w:rPr>
              <w:t>Second round benefit-risk assessment</w:t>
            </w:r>
            <w:r w:rsidR="00FF33DC">
              <w:rPr>
                <w:noProof/>
                <w:webHidden/>
              </w:rPr>
              <w:tab/>
            </w:r>
            <w:r w:rsidR="00FF33DC">
              <w:rPr>
                <w:noProof/>
                <w:webHidden/>
              </w:rPr>
              <w:fldChar w:fldCharType="begin"/>
            </w:r>
            <w:r w:rsidR="00FF33DC">
              <w:rPr>
                <w:noProof/>
                <w:webHidden/>
              </w:rPr>
              <w:instrText xml:space="preserve"> PAGEREF _Toc468181714 \h </w:instrText>
            </w:r>
            <w:r w:rsidR="00FF33DC">
              <w:rPr>
                <w:noProof/>
                <w:webHidden/>
              </w:rPr>
            </w:r>
            <w:r w:rsidR="00FF33DC">
              <w:rPr>
                <w:noProof/>
                <w:webHidden/>
              </w:rPr>
              <w:fldChar w:fldCharType="separate"/>
            </w:r>
            <w:r w:rsidR="00FF33DC">
              <w:rPr>
                <w:noProof/>
                <w:webHidden/>
              </w:rPr>
              <w:t>18</w:t>
            </w:r>
            <w:r w:rsidR="00FF33DC">
              <w:rPr>
                <w:noProof/>
                <w:webHidden/>
              </w:rPr>
              <w:fldChar w:fldCharType="end"/>
            </w:r>
          </w:hyperlink>
        </w:p>
        <w:p w:rsidR="00FF33DC" w:rsidRDefault="00953EBF">
          <w:pPr>
            <w:pStyle w:val="TOC2"/>
            <w:rPr>
              <w:rFonts w:asciiTheme="minorHAnsi" w:eastAsiaTheme="minorEastAsia" w:hAnsiTheme="minorHAnsi" w:cstheme="minorBidi"/>
              <w:b w:val="0"/>
              <w:noProof/>
              <w:sz w:val="22"/>
              <w:lang w:eastAsia="en-AU"/>
            </w:rPr>
          </w:pPr>
          <w:hyperlink w:anchor="_Toc468181715" w:history="1">
            <w:r w:rsidR="00FF33DC" w:rsidRPr="00BD5198">
              <w:rPr>
                <w:rStyle w:val="Hyperlink"/>
                <w:noProof/>
              </w:rPr>
              <w:t>V. Pharmacovigilance findings</w:t>
            </w:r>
            <w:r w:rsidR="00FF33DC">
              <w:rPr>
                <w:noProof/>
                <w:webHidden/>
              </w:rPr>
              <w:tab/>
            </w:r>
            <w:r w:rsidR="00FF33DC">
              <w:rPr>
                <w:noProof/>
                <w:webHidden/>
              </w:rPr>
              <w:fldChar w:fldCharType="begin"/>
            </w:r>
            <w:r w:rsidR="00FF33DC">
              <w:rPr>
                <w:noProof/>
                <w:webHidden/>
              </w:rPr>
              <w:instrText xml:space="preserve"> PAGEREF _Toc468181715 \h </w:instrText>
            </w:r>
            <w:r w:rsidR="00FF33DC">
              <w:rPr>
                <w:noProof/>
                <w:webHidden/>
              </w:rPr>
            </w:r>
            <w:r w:rsidR="00FF33DC">
              <w:rPr>
                <w:noProof/>
                <w:webHidden/>
              </w:rPr>
              <w:fldChar w:fldCharType="separate"/>
            </w:r>
            <w:r w:rsidR="00FF33DC">
              <w:rPr>
                <w:noProof/>
                <w:webHidden/>
              </w:rPr>
              <w:t>18</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716" w:history="1">
            <w:r w:rsidR="00FF33DC" w:rsidRPr="00BD5198">
              <w:rPr>
                <w:rStyle w:val="Hyperlink"/>
                <w:noProof/>
                <w:lang w:eastAsia="en-AU"/>
              </w:rPr>
              <w:t>Risk management plan</w:t>
            </w:r>
            <w:r w:rsidR="00FF33DC">
              <w:rPr>
                <w:noProof/>
                <w:webHidden/>
              </w:rPr>
              <w:tab/>
            </w:r>
            <w:r w:rsidR="00FF33DC">
              <w:rPr>
                <w:noProof/>
                <w:webHidden/>
              </w:rPr>
              <w:fldChar w:fldCharType="begin"/>
            </w:r>
            <w:r w:rsidR="00FF33DC">
              <w:rPr>
                <w:noProof/>
                <w:webHidden/>
              </w:rPr>
              <w:instrText xml:space="preserve"> PAGEREF _Toc468181716 \h </w:instrText>
            </w:r>
            <w:r w:rsidR="00FF33DC">
              <w:rPr>
                <w:noProof/>
                <w:webHidden/>
              </w:rPr>
            </w:r>
            <w:r w:rsidR="00FF33DC">
              <w:rPr>
                <w:noProof/>
                <w:webHidden/>
              </w:rPr>
              <w:fldChar w:fldCharType="separate"/>
            </w:r>
            <w:r w:rsidR="00FF33DC">
              <w:rPr>
                <w:noProof/>
                <w:webHidden/>
              </w:rPr>
              <w:t>18</w:t>
            </w:r>
            <w:r w:rsidR="00FF33DC">
              <w:rPr>
                <w:noProof/>
                <w:webHidden/>
              </w:rPr>
              <w:fldChar w:fldCharType="end"/>
            </w:r>
          </w:hyperlink>
        </w:p>
        <w:p w:rsidR="00FF33DC" w:rsidRDefault="00953EBF">
          <w:pPr>
            <w:pStyle w:val="TOC2"/>
            <w:rPr>
              <w:rFonts w:asciiTheme="minorHAnsi" w:eastAsiaTheme="minorEastAsia" w:hAnsiTheme="minorHAnsi" w:cstheme="minorBidi"/>
              <w:b w:val="0"/>
              <w:noProof/>
              <w:sz w:val="22"/>
              <w:lang w:eastAsia="en-AU"/>
            </w:rPr>
          </w:pPr>
          <w:hyperlink w:anchor="_Toc468181717" w:history="1">
            <w:r w:rsidR="00FF33DC" w:rsidRPr="00BD5198">
              <w:rPr>
                <w:rStyle w:val="Hyperlink"/>
                <w:noProof/>
              </w:rPr>
              <w:t>VI. Overall conclusion and risk/benefit assessment</w:t>
            </w:r>
            <w:r w:rsidR="00FF33DC">
              <w:rPr>
                <w:noProof/>
                <w:webHidden/>
              </w:rPr>
              <w:tab/>
            </w:r>
            <w:r w:rsidR="00FF33DC">
              <w:rPr>
                <w:noProof/>
                <w:webHidden/>
              </w:rPr>
              <w:fldChar w:fldCharType="begin"/>
            </w:r>
            <w:r w:rsidR="00FF33DC">
              <w:rPr>
                <w:noProof/>
                <w:webHidden/>
              </w:rPr>
              <w:instrText xml:space="preserve"> PAGEREF _Toc468181717 \h </w:instrText>
            </w:r>
            <w:r w:rsidR="00FF33DC">
              <w:rPr>
                <w:noProof/>
                <w:webHidden/>
              </w:rPr>
            </w:r>
            <w:r w:rsidR="00FF33DC">
              <w:rPr>
                <w:noProof/>
                <w:webHidden/>
              </w:rPr>
              <w:fldChar w:fldCharType="separate"/>
            </w:r>
            <w:r w:rsidR="00FF33DC">
              <w:rPr>
                <w:noProof/>
                <w:webHidden/>
              </w:rPr>
              <w:t>26</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718" w:history="1">
            <w:r w:rsidR="00FF33DC" w:rsidRPr="00BD5198">
              <w:rPr>
                <w:rStyle w:val="Hyperlink"/>
                <w:noProof/>
              </w:rPr>
              <w:t>Quality</w:t>
            </w:r>
            <w:r w:rsidR="00FF33DC">
              <w:rPr>
                <w:noProof/>
                <w:webHidden/>
              </w:rPr>
              <w:tab/>
            </w:r>
            <w:r w:rsidR="00FF33DC">
              <w:rPr>
                <w:noProof/>
                <w:webHidden/>
              </w:rPr>
              <w:fldChar w:fldCharType="begin"/>
            </w:r>
            <w:r w:rsidR="00FF33DC">
              <w:rPr>
                <w:noProof/>
                <w:webHidden/>
              </w:rPr>
              <w:instrText xml:space="preserve"> PAGEREF _Toc468181718 \h </w:instrText>
            </w:r>
            <w:r w:rsidR="00FF33DC">
              <w:rPr>
                <w:noProof/>
                <w:webHidden/>
              </w:rPr>
            </w:r>
            <w:r w:rsidR="00FF33DC">
              <w:rPr>
                <w:noProof/>
                <w:webHidden/>
              </w:rPr>
              <w:fldChar w:fldCharType="separate"/>
            </w:r>
            <w:r w:rsidR="00FF33DC">
              <w:rPr>
                <w:noProof/>
                <w:webHidden/>
              </w:rPr>
              <w:t>26</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719" w:history="1">
            <w:r w:rsidR="00FF33DC" w:rsidRPr="00BD5198">
              <w:rPr>
                <w:rStyle w:val="Hyperlink"/>
                <w:noProof/>
              </w:rPr>
              <w:t>Nonclinical</w:t>
            </w:r>
            <w:r w:rsidR="00FF33DC">
              <w:rPr>
                <w:noProof/>
                <w:webHidden/>
              </w:rPr>
              <w:tab/>
            </w:r>
            <w:r w:rsidR="00FF33DC">
              <w:rPr>
                <w:noProof/>
                <w:webHidden/>
              </w:rPr>
              <w:fldChar w:fldCharType="begin"/>
            </w:r>
            <w:r w:rsidR="00FF33DC">
              <w:rPr>
                <w:noProof/>
                <w:webHidden/>
              </w:rPr>
              <w:instrText xml:space="preserve"> PAGEREF _Toc468181719 \h </w:instrText>
            </w:r>
            <w:r w:rsidR="00FF33DC">
              <w:rPr>
                <w:noProof/>
                <w:webHidden/>
              </w:rPr>
            </w:r>
            <w:r w:rsidR="00FF33DC">
              <w:rPr>
                <w:noProof/>
                <w:webHidden/>
              </w:rPr>
              <w:fldChar w:fldCharType="separate"/>
            </w:r>
            <w:r w:rsidR="00FF33DC">
              <w:rPr>
                <w:noProof/>
                <w:webHidden/>
              </w:rPr>
              <w:t>26</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720" w:history="1">
            <w:r w:rsidR="00FF33DC" w:rsidRPr="00BD5198">
              <w:rPr>
                <w:rStyle w:val="Hyperlink"/>
                <w:noProof/>
              </w:rPr>
              <w:t>Clinical</w:t>
            </w:r>
            <w:r w:rsidR="00FF33DC">
              <w:rPr>
                <w:noProof/>
                <w:webHidden/>
              </w:rPr>
              <w:tab/>
            </w:r>
            <w:r w:rsidR="00FF33DC">
              <w:rPr>
                <w:noProof/>
                <w:webHidden/>
              </w:rPr>
              <w:fldChar w:fldCharType="begin"/>
            </w:r>
            <w:r w:rsidR="00FF33DC">
              <w:rPr>
                <w:noProof/>
                <w:webHidden/>
              </w:rPr>
              <w:instrText xml:space="preserve"> PAGEREF _Toc468181720 \h </w:instrText>
            </w:r>
            <w:r w:rsidR="00FF33DC">
              <w:rPr>
                <w:noProof/>
                <w:webHidden/>
              </w:rPr>
            </w:r>
            <w:r w:rsidR="00FF33DC">
              <w:rPr>
                <w:noProof/>
                <w:webHidden/>
              </w:rPr>
              <w:fldChar w:fldCharType="separate"/>
            </w:r>
            <w:r w:rsidR="00FF33DC">
              <w:rPr>
                <w:noProof/>
                <w:webHidden/>
              </w:rPr>
              <w:t>26</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721" w:history="1">
            <w:r w:rsidR="00FF33DC" w:rsidRPr="00BD5198">
              <w:rPr>
                <w:rStyle w:val="Hyperlink"/>
                <w:noProof/>
                <w:lang w:eastAsia="en-AU"/>
              </w:rPr>
              <w:t>Risk management plan</w:t>
            </w:r>
            <w:r w:rsidR="00FF33DC">
              <w:rPr>
                <w:noProof/>
                <w:webHidden/>
              </w:rPr>
              <w:tab/>
            </w:r>
            <w:r w:rsidR="00FF33DC">
              <w:rPr>
                <w:noProof/>
                <w:webHidden/>
              </w:rPr>
              <w:fldChar w:fldCharType="begin"/>
            </w:r>
            <w:r w:rsidR="00FF33DC">
              <w:rPr>
                <w:noProof/>
                <w:webHidden/>
              </w:rPr>
              <w:instrText xml:space="preserve"> PAGEREF _Toc468181721 \h </w:instrText>
            </w:r>
            <w:r w:rsidR="00FF33DC">
              <w:rPr>
                <w:noProof/>
                <w:webHidden/>
              </w:rPr>
            </w:r>
            <w:r w:rsidR="00FF33DC">
              <w:rPr>
                <w:noProof/>
                <w:webHidden/>
              </w:rPr>
              <w:fldChar w:fldCharType="separate"/>
            </w:r>
            <w:r w:rsidR="00FF33DC">
              <w:rPr>
                <w:noProof/>
                <w:webHidden/>
              </w:rPr>
              <w:t>33</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722" w:history="1">
            <w:r w:rsidR="00FF33DC" w:rsidRPr="00BD5198">
              <w:rPr>
                <w:rStyle w:val="Hyperlink"/>
                <w:noProof/>
              </w:rPr>
              <w:t>Risk-benefit analysis</w:t>
            </w:r>
            <w:r w:rsidR="00FF33DC">
              <w:rPr>
                <w:noProof/>
                <w:webHidden/>
              </w:rPr>
              <w:tab/>
            </w:r>
            <w:r w:rsidR="00FF33DC">
              <w:rPr>
                <w:noProof/>
                <w:webHidden/>
              </w:rPr>
              <w:fldChar w:fldCharType="begin"/>
            </w:r>
            <w:r w:rsidR="00FF33DC">
              <w:rPr>
                <w:noProof/>
                <w:webHidden/>
              </w:rPr>
              <w:instrText xml:space="preserve"> PAGEREF _Toc468181722 \h </w:instrText>
            </w:r>
            <w:r w:rsidR="00FF33DC">
              <w:rPr>
                <w:noProof/>
                <w:webHidden/>
              </w:rPr>
            </w:r>
            <w:r w:rsidR="00FF33DC">
              <w:rPr>
                <w:noProof/>
                <w:webHidden/>
              </w:rPr>
              <w:fldChar w:fldCharType="separate"/>
            </w:r>
            <w:r w:rsidR="00FF33DC">
              <w:rPr>
                <w:noProof/>
                <w:webHidden/>
              </w:rPr>
              <w:t>33</w:t>
            </w:r>
            <w:r w:rsidR="00FF33DC">
              <w:rPr>
                <w:noProof/>
                <w:webHidden/>
              </w:rPr>
              <w:fldChar w:fldCharType="end"/>
            </w:r>
          </w:hyperlink>
        </w:p>
        <w:p w:rsidR="00FF33DC" w:rsidRDefault="00953EBF">
          <w:pPr>
            <w:pStyle w:val="TOC3"/>
            <w:rPr>
              <w:rFonts w:asciiTheme="minorHAnsi" w:eastAsiaTheme="minorEastAsia" w:hAnsiTheme="minorHAnsi" w:cstheme="minorBidi"/>
              <w:noProof/>
              <w:lang w:eastAsia="en-AU"/>
            </w:rPr>
          </w:pPr>
          <w:hyperlink w:anchor="_Toc468181723" w:history="1">
            <w:r w:rsidR="00FF33DC" w:rsidRPr="00BD5198">
              <w:rPr>
                <w:rStyle w:val="Hyperlink"/>
                <w:noProof/>
              </w:rPr>
              <w:t>Outcome</w:t>
            </w:r>
            <w:r w:rsidR="00FF33DC">
              <w:rPr>
                <w:noProof/>
                <w:webHidden/>
              </w:rPr>
              <w:tab/>
            </w:r>
            <w:r w:rsidR="00FF33DC">
              <w:rPr>
                <w:noProof/>
                <w:webHidden/>
              </w:rPr>
              <w:fldChar w:fldCharType="begin"/>
            </w:r>
            <w:r w:rsidR="00FF33DC">
              <w:rPr>
                <w:noProof/>
                <w:webHidden/>
              </w:rPr>
              <w:instrText xml:space="preserve"> PAGEREF _Toc468181723 \h </w:instrText>
            </w:r>
            <w:r w:rsidR="00FF33DC">
              <w:rPr>
                <w:noProof/>
                <w:webHidden/>
              </w:rPr>
            </w:r>
            <w:r w:rsidR="00FF33DC">
              <w:rPr>
                <w:noProof/>
                <w:webHidden/>
              </w:rPr>
              <w:fldChar w:fldCharType="separate"/>
            </w:r>
            <w:r w:rsidR="00FF33DC">
              <w:rPr>
                <w:noProof/>
                <w:webHidden/>
              </w:rPr>
              <w:t>35</w:t>
            </w:r>
            <w:r w:rsidR="00FF33DC">
              <w:rPr>
                <w:noProof/>
                <w:webHidden/>
              </w:rPr>
              <w:fldChar w:fldCharType="end"/>
            </w:r>
          </w:hyperlink>
        </w:p>
        <w:p w:rsidR="00FF33DC" w:rsidRDefault="00953EBF">
          <w:pPr>
            <w:pStyle w:val="TOC2"/>
            <w:rPr>
              <w:rFonts w:asciiTheme="minorHAnsi" w:eastAsiaTheme="minorEastAsia" w:hAnsiTheme="minorHAnsi" w:cstheme="minorBidi"/>
              <w:b w:val="0"/>
              <w:noProof/>
              <w:sz w:val="22"/>
              <w:lang w:eastAsia="en-AU"/>
            </w:rPr>
          </w:pPr>
          <w:hyperlink w:anchor="_Toc468181724" w:history="1">
            <w:r w:rsidR="00FF33DC" w:rsidRPr="00BD5198">
              <w:rPr>
                <w:rStyle w:val="Hyperlink"/>
                <w:noProof/>
              </w:rPr>
              <w:t>Attachment 1. Product Information</w:t>
            </w:r>
            <w:r w:rsidR="00FF33DC">
              <w:rPr>
                <w:noProof/>
                <w:webHidden/>
              </w:rPr>
              <w:tab/>
            </w:r>
            <w:r w:rsidR="00FF33DC">
              <w:rPr>
                <w:noProof/>
                <w:webHidden/>
              </w:rPr>
              <w:fldChar w:fldCharType="begin"/>
            </w:r>
            <w:r w:rsidR="00FF33DC">
              <w:rPr>
                <w:noProof/>
                <w:webHidden/>
              </w:rPr>
              <w:instrText xml:space="preserve"> PAGEREF _Toc468181724 \h </w:instrText>
            </w:r>
            <w:r w:rsidR="00FF33DC">
              <w:rPr>
                <w:noProof/>
                <w:webHidden/>
              </w:rPr>
            </w:r>
            <w:r w:rsidR="00FF33DC">
              <w:rPr>
                <w:noProof/>
                <w:webHidden/>
              </w:rPr>
              <w:fldChar w:fldCharType="separate"/>
            </w:r>
            <w:r w:rsidR="00FF33DC">
              <w:rPr>
                <w:noProof/>
                <w:webHidden/>
              </w:rPr>
              <w:t>35</w:t>
            </w:r>
            <w:r w:rsidR="00FF33DC">
              <w:rPr>
                <w:noProof/>
                <w:webHidden/>
              </w:rPr>
              <w:fldChar w:fldCharType="end"/>
            </w:r>
          </w:hyperlink>
        </w:p>
        <w:p w:rsidR="00FF33DC" w:rsidRDefault="00953EBF">
          <w:pPr>
            <w:pStyle w:val="TOC2"/>
            <w:rPr>
              <w:rFonts w:asciiTheme="minorHAnsi" w:eastAsiaTheme="minorEastAsia" w:hAnsiTheme="minorHAnsi" w:cstheme="minorBidi"/>
              <w:b w:val="0"/>
              <w:noProof/>
              <w:sz w:val="22"/>
              <w:lang w:eastAsia="en-AU"/>
            </w:rPr>
          </w:pPr>
          <w:hyperlink w:anchor="_Toc468181725" w:history="1">
            <w:r w:rsidR="00FF33DC" w:rsidRPr="00BD5198">
              <w:rPr>
                <w:rStyle w:val="Hyperlink"/>
                <w:noProof/>
                <w:lang w:eastAsia="en-AU"/>
              </w:rPr>
              <w:t>Attachment 2. Extract from the Clinical Evaluation Report</w:t>
            </w:r>
            <w:r w:rsidR="00FF33DC">
              <w:rPr>
                <w:noProof/>
                <w:webHidden/>
              </w:rPr>
              <w:tab/>
            </w:r>
            <w:r w:rsidR="00FF33DC">
              <w:rPr>
                <w:noProof/>
                <w:webHidden/>
              </w:rPr>
              <w:fldChar w:fldCharType="begin"/>
            </w:r>
            <w:r w:rsidR="00FF33DC">
              <w:rPr>
                <w:noProof/>
                <w:webHidden/>
              </w:rPr>
              <w:instrText xml:space="preserve"> PAGEREF _Toc468181725 \h </w:instrText>
            </w:r>
            <w:r w:rsidR="00FF33DC">
              <w:rPr>
                <w:noProof/>
                <w:webHidden/>
              </w:rPr>
            </w:r>
            <w:r w:rsidR="00FF33DC">
              <w:rPr>
                <w:noProof/>
                <w:webHidden/>
              </w:rPr>
              <w:fldChar w:fldCharType="separate"/>
            </w:r>
            <w:r w:rsidR="00FF33DC">
              <w:rPr>
                <w:noProof/>
                <w:webHidden/>
              </w:rPr>
              <w:t>35</w:t>
            </w:r>
            <w:r w:rsidR="00FF33DC">
              <w:rPr>
                <w:noProof/>
                <w:webHidden/>
              </w:rPr>
              <w:fldChar w:fldCharType="end"/>
            </w:r>
          </w:hyperlink>
        </w:p>
        <w:p w:rsidR="003A7F6C" w:rsidRPr="00B811C6" w:rsidRDefault="00DB6124" w:rsidP="00B811C6">
          <w:pPr>
            <w:pStyle w:val="TOC2"/>
          </w:pPr>
          <w:r>
            <w:fldChar w:fldCharType="end"/>
          </w:r>
        </w:p>
      </w:sdtContent>
    </w:sdt>
    <w:bookmarkStart w:id="6"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7" w:name="_Toc351716269"/>
      <w:bookmarkStart w:id="8" w:name="_Toc351718881"/>
      <w:bookmarkStart w:id="9" w:name="_Toc355338616"/>
      <w:bookmarkStart w:id="10" w:name="_Toc356306144"/>
      <w:bookmarkStart w:id="11" w:name="_Toc468181689"/>
      <w:r>
        <w:lastRenderedPageBreak/>
        <w:t>Common</w:t>
      </w:r>
      <w:r w:rsidR="00FD119B" w:rsidRPr="00FD119B">
        <w:t xml:space="preserve"> abbreviations</w:t>
      </w:r>
      <w:bookmarkEnd w:id="7"/>
      <w:bookmarkEnd w:id="8"/>
      <w:bookmarkEnd w:id="9"/>
      <w:bookmarkEnd w:id="10"/>
      <w:bookmarkEnd w:id="11"/>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6A0938" w:rsidRPr="00FD119B" w:rsidTr="00953EBF">
        <w:tc>
          <w:tcPr>
            <w:tcW w:w="1809" w:type="dxa"/>
          </w:tcPr>
          <w:p w:rsidR="006A0938" w:rsidRPr="00FD119B" w:rsidRDefault="006A0938" w:rsidP="00953EBF">
            <w:pPr>
              <w:ind w:left="142" w:right="0"/>
              <w:rPr>
                <w:color w:val="auto"/>
                <w:szCs w:val="22"/>
                <w:lang w:eastAsia="en-US"/>
              </w:rPr>
            </w:pPr>
            <w:r>
              <w:rPr>
                <w:color w:val="auto"/>
                <w:szCs w:val="22"/>
                <w:lang w:eastAsia="en-US"/>
              </w:rPr>
              <w:t>ACPM</w:t>
            </w:r>
          </w:p>
        </w:tc>
        <w:tc>
          <w:tcPr>
            <w:tcW w:w="6911" w:type="dxa"/>
          </w:tcPr>
          <w:p w:rsidR="006A0938" w:rsidRPr="00FD119B" w:rsidRDefault="006A0938" w:rsidP="00953EBF">
            <w:pPr>
              <w:ind w:left="176" w:right="0"/>
              <w:rPr>
                <w:color w:val="auto"/>
                <w:szCs w:val="22"/>
                <w:lang w:eastAsia="en-US"/>
              </w:rPr>
            </w:pPr>
            <w:r w:rsidRPr="00D72B7E">
              <w:rPr>
                <w:rFonts w:asciiTheme="minorHAnsi" w:hAnsiTheme="minorHAnsi"/>
              </w:rPr>
              <w:t>Advisory Committee on Prescription Medicines</w:t>
            </w:r>
          </w:p>
        </w:tc>
      </w:tr>
      <w:tr w:rsidR="006A0938" w:rsidRPr="00FD119B" w:rsidTr="00953EBF">
        <w:tc>
          <w:tcPr>
            <w:tcW w:w="1809" w:type="dxa"/>
          </w:tcPr>
          <w:p w:rsidR="006A0938" w:rsidRPr="00FD119B" w:rsidRDefault="006A0938" w:rsidP="00953EBF">
            <w:pPr>
              <w:ind w:left="142" w:right="0"/>
              <w:rPr>
                <w:color w:val="auto"/>
                <w:szCs w:val="22"/>
                <w:lang w:eastAsia="en-US"/>
              </w:rPr>
            </w:pPr>
            <w:r>
              <w:rPr>
                <w:color w:val="auto"/>
                <w:szCs w:val="22"/>
                <w:lang w:eastAsia="en-US"/>
              </w:rPr>
              <w:t>AE</w:t>
            </w:r>
          </w:p>
        </w:tc>
        <w:tc>
          <w:tcPr>
            <w:tcW w:w="6911" w:type="dxa"/>
          </w:tcPr>
          <w:p w:rsidR="006A0938" w:rsidRPr="00FD119B" w:rsidRDefault="006A0938" w:rsidP="00953EBF">
            <w:pPr>
              <w:ind w:left="176" w:right="0"/>
              <w:rPr>
                <w:color w:val="auto"/>
                <w:szCs w:val="22"/>
                <w:lang w:eastAsia="en-US"/>
              </w:rPr>
            </w:pPr>
            <w:r>
              <w:rPr>
                <w:color w:val="auto"/>
                <w:szCs w:val="22"/>
                <w:lang w:eastAsia="en-US"/>
              </w:rPr>
              <w:t>adverse event</w:t>
            </w:r>
          </w:p>
        </w:tc>
      </w:tr>
      <w:tr w:rsidR="006A0938" w:rsidRPr="00FD119B" w:rsidTr="00953EBF">
        <w:tc>
          <w:tcPr>
            <w:tcW w:w="1809" w:type="dxa"/>
          </w:tcPr>
          <w:p w:rsidR="006A0938" w:rsidRPr="00FD119B" w:rsidRDefault="006A0938" w:rsidP="00953EBF">
            <w:pPr>
              <w:ind w:left="142" w:right="0"/>
              <w:rPr>
                <w:color w:val="auto"/>
                <w:szCs w:val="22"/>
                <w:lang w:eastAsia="en-US"/>
              </w:rPr>
            </w:pPr>
            <w:r>
              <w:rPr>
                <w:color w:val="auto"/>
                <w:szCs w:val="22"/>
                <w:lang w:eastAsia="en-US"/>
              </w:rPr>
              <w:t>ARTG</w:t>
            </w:r>
          </w:p>
        </w:tc>
        <w:tc>
          <w:tcPr>
            <w:tcW w:w="6911" w:type="dxa"/>
          </w:tcPr>
          <w:p w:rsidR="006A0938" w:rsidRPr="00FD119B" w:rsidRDefault="006A0938" w:rsidP="00953EBF">
            <w:pPr>
              <w:ind w:left="176" w:right="0"/>
              <w:rPr>
                <w:color w:val="auto"/>
                <w:szCs w:val="22"/>
                <w:lang w:eastAsia="en-US"/>
              </w:rPr>
            </w:pPr>
            <w:r w:rsidRPr="00BC372B">
              <w:rPr>
                <w:color w:val="auto"/>
                <w:szCs w:val="22"/>
                <w:lang w:eastAsia="en-US"/>
              </w:rPr>
              <w:t>Australian Register of Therapeutic Goods</w:t>
            </w:r>
          </w:p>
        </w:tc>
      </w:tr>
      <w:tr w:rsidR="006A0938" w:rsidRPr="00FD119B" w:rsidTr="00953EBF">
        <w:tc>
          <w:tcPr>
            <w:tcW w:w="1809" w:type="dxa"/>
          </w:tcPr>
          <w:p w:rsidR="006A0938" w:rsidRPr="00FD119B" w:rsidRDefault="006A0938" w:rsidP="00953EBF">
            <w:pPr>
              <w:ind w:left="142" w:right="0"/>
              <w:rPr>
                <w:color w:val="auto"/>
                <w:szCs w:val="22"/>
                <w:lang w:eastAsia="en-US"/>
              </w:rPr>
            </w:pPr>
            <w:r>
              <w:rPr>
                <w:color w:val="auto"/>
                <w:szCs w:val="22"/>
                <w:lang w:eastAsia="en-US"/>
              </w:rPr>
              <w:t>ASA</w:t>
            </w:r>
          </w:p>
        </w:tc>
        <w:tc>
          <w:tcPr>
            <w:tcW w:w="6911" w:type="dxa"/>
          </w:tcPr>
          <w:p w:rsidR="006A0938" w:rsidRPr="00FD119B" w:rsidRDefault="006A0938" w:rsidP="00953EBF">
            <w:pPr>
              <w:ind w:left="176" w:right="0"/>
              <w:rPr>
                <w:color w:val="auto"/>
                <w:szCs w:val="22"/>
                <w:lang w:eastAsia="en-US"/>
              </w:rPr>
            </w:pPr>
            <w:r w:rsidRPr="00E70B46">
              <w:t>Australian Specific Annex</w:t>
            </w:r>
          </w:p>
        </w:tc>
      </w:tr>
      <w:tr w:rsidR="0005265B" w:rsidRPr="00FD119B" w:rsidTr="00953EBF">
        <w:tc>
          <w:tcPr>
            <w:tcW w:w="1809" w:type="dxa"/>
          </w:tcPr>
          <w:p w:rsidR="0005265B" w:rsidRPr="00B10A51" w:rsidRDefault="0005265B" w:rsidP="00953EBF">
            <w:pPr>
              <w:ind w:left="142" w:right="0"/>
              <w:rPr>
                <w:color w:val="auto"/>
                <w:szCs w:val="22"/>
                <w:lang w:eastAsia="en-US"/>
              </w:rPr>
            </w:pPr>
            <w:r w:rsidRPr="00B10A51">
              <w:rPr>
                <w:color w:val="auto"/>
                <w:szCs w:val="22"/>
                <w:lang w:eastAsia="en-US"/>
              </w:rPr>
              <w:t>ATE</w:t>
            </w:r>
          </w:p>
        </w:tc>
        <w:tc>
          <w:tcPr>
            <w:tcW w:w="6911" w:type="dxa"/>
          </w:tcPr>
          <w:p w:rsidR="0005265B" w:rsidRPr="00B10A51" w:rsidRDefault="0005265B" w:rsidP="00953EBF">
            <w:pPr>
              <w:ind w:left="176" w:right="0"/>
              <w:rPr>
                <w:color w:val="auto"/>
                <w:szCs w:val="22"/>
                <w:lang w:eastAsia="en-US"/>
              </w:rPr>
            </w:pPr>
            <w:r w:rsidRPr="00B10A51">
              <w:rPr>
                <w:rFonts w:asciiTheme="minorHAnsi" w:hAnsiTheme="minorHAnsi"/>
                <w:szCs w:val="22"/>
              </w:rPr>
              <w:t>arterial thromboembolic event</w:t>
            </w:r>
          </w:p>
        </w:tc>
      </w:tr>
      <w:tr w:rsidR="006A0938" w:rsidRPr="00FD119B" w:rsidTr="00953EBF">
        <w:tc>
          <w:tcPr>
            <w:tcW w:w="1809" w:type="dxa"/>
          </w:tcPr>
          <w:p w:rsidR="006A0938" w:rsidRPr="00FD119B" w:rsidRDefault="006A0938" w:rsidP="00953EBF">
            <w:pPr>
              <w:ind w:left="142" w:right="0"/>
              <w:rPr>
                <w:color w:val="auto"/>
                <w:szCs w:val="22"/>
                <w:lang w:eastAsia="en-US"/>
              </w:rPr>
            </w:pPr>
            <w:r>
              <w:rPr>
                <w:color w:val="auto"/>
                <w:szCs w:val="22"/>
                <w:lang w:eastAsia="en-US"/>
              </w:rPr>
              <w:t>AUC</w:t>
            </w:r>
          </w:p>
        </w:tc>
        <w:tc>
          <w:tcPr>
            <w:tcW w:w="6911" w:type="dxa"/>
          </w:tcPr>
          <w:p w:rsidR="006A0938" w:rsidRPr="00FD119B" w:rsidRDefault="006A0938" w:rsidP="00953EBF">
            <w:pPr>
              <w:ind w:left="176" w:right="0"/>
              <w:rPr>
                <w:color w:val="auto"/>
                <w:szCs w:val="22"/>
                <w:lang w:eastAsia="en-US"/>
              </w:rPr>
            </w:pPr>
            <w:r>
              <w:rPr>
                <w:color w:val="auto"/>
                <w:szCs w:val="22"/>
                <w:lang w:eastAsia="en-US"/>
              </w:rPr>
              <w:t xml:space="preserve">area under the </w:t>
            </w:r>
            <w:r w:rsidRPr="00FE542B">
              <w:rPr>
                <w:color w:val="auto"/>
                <w:szCs w:val="22"/>
                <w:lang w:eastAsia="en-US"/>
              </w:rPr>
              <w:t>plasm</w:t>
            </w:r>
            <w:r>
              <w:rPr>
                <w:color w:val="auto"/>
                <w:szCs w:val="22"/>
                <w:lang w:eastAsia="en-US"/>
              </w:rPr>
              <w:t>a drug concentration-time curve</w:t>
            </w:r>
          </w:p>
        </w:tc>
      </w:tr>
      <w:tr w:rsidR="006A0938" w:rsidRPr="00FD119B" w:rsidTr="00953EBF">
        <w:tc>
          <w:tcPr>
            <w:tcW w:w="1809" w:type="dxa"/>
          </w:tcPr>
          <w:p w:rsidR="006A0938" w:rsidRPr="00FD119B" w:rsidRDefault="006A0938" w:rsidP="00953EBF">
            <w:pPr>
              <w:ind w:left="142" w:right="0"/>
              <w:rPr>
                <w:color w:val="auto"/>
                <w:szCs w:val="22"/>
                <w:lang w:eastAsia="en-US"/>
              </w:rPr>
            </w:pPr>
            <w:r>
              <w:rPr>
                <w:color w:val="auto"/>
                <w:szCs w:val="22"/>
                <w:lang w:eastAsia="en-US"/>
              </w:rPr>
              <w:t>AUC</w:t>
            </w:r>
            <w:r w:rsidRPr="00012CDA">
              <w:rPr>
                <w:color w:val="auto"/>
                <w:szCs w:val="22"/>
                <w:vertAlign w:val="subscript"/>
                <w:lang w:eastAsia="en-US"/>
              </w:rPr>
              <w:t>t1-t2</w:t>
            </w:r>
          </w:p>
        </w:tc>
        <w:tc>
          <w:tcPr>
            <w:tcW w:w="6911" w:type="dxa"/>
          </w:tcPr>
          <w:p w:rsidR="006A0938" w:rsidRPr="00FD119B" w:rsidRDefault="006A0938" w:rsidP="00953EBF">
            <w:pPr>
              <w:ind w:left="176" w:right="0"/>
              <w:rPr>
                <w:color w:val="auto"/>
                <w:szCs w:val="22"/>
                <w:lang w:eastAsia="en-US"/>
              </w:rPr>
            </w:pPr>
            <w:r>
              <w:rPr>
                <w:color w:val="auto"/>
                <w:szCs w:val="22"/>
                <w:lang w:eastAsia="en-US"/>
              </w:rPr>
              <w:t xml:space="preserve">area under the </w:t>
            </w:r>
            <w:r w:rsidRPr="00FE542B">
              <w:rPr>
                <w:color w:val="auto"/>
                <w:szCs w:val="22"/>
                <w:lang w:eastAsia="en-US"/>
              </w:rPr>
              <w:t>plasm</w:t>
            </w:r>
            <w:r>
              <w:rPr>
                <w:color w:val="auto"/>
                <w:szCs w:val="22"/>
                <w:lang w:eastAsia="en-US"/>
              </w:rPr>
              <w:t>a drug concentration-time curve from t1 to t2</w:t>
            </w:r>
          </w:p>
        </w:tc>
      </w:tr>
      <w:tr w:rsidR="0005265B" w:rsidRPr="00FD119B" w:rsidTr="00953EBF">
        <w:tc>
          <w:tcPr>
            <w:tcW w:w="1809" w:type="dxa"/>
          </w:tcPr>
          <w:p w:rsidR="0005265B" w:rsidRPr="00FD119B" w:rsidRDefault="0005265B" w:rsidP="00953EBF">
            <w:pPr>
              <w:ind w:left="142" w:right="0"/>
              <w:rPr>
                <w:color w:val="auto"/>
                <w:szCs w:val="22"/>
                <w:lang w:eastAsia="en-US"/>
              </w:rPr>
            </w:pPr>
            <w:r>
              <w:rPr>
                <w:color w:val="auto"/>
                <w:szCs w:val="22"/>
                <w:lang w:eastAsia="en-US"/>
              </w:rPr>
              <w:t>BMD</w:t>
            </w:r>
          </w:p>
        </w:tc>
        <w:tc>
          <w:tcPr>
            <w:tcW w:w="6911" w:type="dxa"/>
          </w:tcPr>
          <w:p w:rsidR="0005265B" w:rsidRPr="00FD119B" w:rsidRDefault="0005265B" w:rsidP="00953EBF">
            <w:pPr>
              <w:ind w:left="176" w:right="0"/>
              <w:rPr>
                <w:color w:val="auto"/>
                <w:szCs w:val="22"/>
                <w:lang w:eastAsia="en-US"/>
              </w:rPr>
            </w:pPr>
            <w:r w:rsidRPr="00A96B19">
              <w:t>bone mineral density</w:t>
            </w:r>
          </w:p>
        </w:tc>
      </w:tr>
      <w:tr w:rsidR="0005265B" w:rsidRPr="00FD119B" w:rsidTr="00953EBF">
        <w:tc>
          <w:tcPr>
            <w:tcW w:w="1809" w:type="dxa"/>
          </w:tcPr>
          <w:p w:rsidR="0005265B" w:rsidRPr="00FD119B" w:rsidRDefault="0005265B" w:rsidP="00953EBF">
            <w:pPr>
              <w:ind w:left="142" w:right="0"/>
              <w:rPr>
                <w:color w:val="auto"/>
                <w:szCs w:val="22"/>
                <w:lang w:eastAsia="en-US"/>
              </w:rPr>
            </w:pPr>
            <w:r>
              <w:rPr>
                <w:color w:val="auto"/>
                <w:szCs w:val="22"/>
                <w:lang w:eastAsia="en-US"/>
              </w:rPr>
              <w:t>CHC</w:t>
            </w:r>
          </w:p>
        </w:tc>
        <w:tc>
          <w:tcPr>
            <w:tcW w:w="6911" w:type="dxa"/>
          </w:tcPr>
          <w:p w:rsidR="0005265B" w:rsidRPr="00FD119B" w:rsidRDefault="0005265B" w:rsidP="00953EBF">
            <w:pPr>
              <w:ind w:left="176" w:right="0"/>
              <w:rPr>
                <w:color w:val="auto"/>
                <w:szCs w:val="22"/>
                <w:lang w:eastAsia="en-US"/>
              </w:rPr>
            </w:pPr>
            <w:r>
              <w:t>combined hormonal</w:t>
            </w:r>
            <w:r w:rsidRPr="001D30AB">
              <w:t xml:space="preserve"> contraceptive</w:t>
            </w:r>
          </w:p>
        </w:tc>
      </w:tr>
      <w:tr w:rsidR="006A0938" w:rsidRPr="00FD119B" w:rsidTr="00953EBF">
        <w:tc>
          <w:tcPr>
            <w:tcW w:w="1809" w:type="dxa"/>
          </w:tcPr>
          <w:p w:rsidR="006A0938" w:rsidRPr="00FD119B" w:rsidRDefault="006A0938" w:rsidP="00953EBF">
            <w:pPr>
              <w:ind w:left="142" w:right="0"/>
              <w:rPr>
                <w:color w:val="auto"/>
                <w:szCs w:val="22"/>
                <w:lang w:eastAsia="en-US"/>
              </w:rPr>
            </w:pPr>
            <w:r>
              <w:rPr>
                <w:color w:val="auto"/>
                <w:szCs w:val="22"/>
                <w:lang w:eastAsia="en-US"/>
              </w:rPr>
              <w:t>CHMP</w:t>
            </w:r>
          </w:p>
        </w:tc>
        <w:tc>
          <w:tcPr>
            <w:tcW w:w="6911" w:type="dxa"/>
          </w:tcPr>
          <w:p w:rsidR="006A0938" w:rsidRPr="00FD119B" w:rsidRDefault="006A0938" w:rsidP="00953EBF">
            <w:pPr>
              <w:ind w:left="176" w:right="0"/>
              <w:rPr>
                <w:color w:val="auto"/>
                <w:szCs w:val="22"/>
                <w:lang w:eastAsia="en-US"/>
              </w:rPr>
            </w:pPr>
            <w:r w:rsidRPr="00A47EC3">
              <w:t>Committee for Medicinal Products for Human Use</w:t>
            </w:r>
          </w:p>
        </w:tc>
      </w:tr>
      <w:tr w:rsidR="006A0938" w:rsidRPr="00FD119B" w:rsidTr="00953EBF">
        <w:tc>
          <w:tcPr>
            <w:tcW w:w="1809" w:type="dxa"/>
          </w:tcPr>
          <w:p w:rsidR="006A0938" w:rsidRPr="00FD119B" w:rsidRDefault="006A0938" w:rsidP="00953EBF">
            <w:pPr>
              <w:ind w:left="142" w:right="0"/>
              <w:rPr>
                <w:color w:val="auto"/>
                <w:szCs w:val="22"/>
                <w:lang w:eastAsia="en-US"/>
              </w:rPr>
            </w:pPr>
            <w:proofErr w:type="spellStart"/>
            <w:r>
              <w:rPr>
                <w:color w:val="auto"/>
                <w:szCs w:val="22"/>
                <w:lang w:eastAsia="en-US"/>
              </w:rPr>
              <w:t>Cmax</w:t>
            </w:r>
            <w:proofErr w:type="spellEnd"/>
          </w:p>
        </w:tc>
        <w:tc>
          <w:tcPr>
            <w:tcW w:w="6911" w:type="dxa"/>
          </w:tcPr>
          <w:p w:rsidR="006A0938" w:rsidRPr="00FD119B" w:rsidRDefault="006A0938" w:rsidP="00953EBF">
            <w:pPr>
              <w:ind w:left="176" w:right="0"/>
              <w:rPr>
                <w:color w:val="auto"/>
                <w:szCs w:val="22"/>
                <w:lang w:eastAsia="en-US"/>
              </w:rPr>
            </w:pPr>
            <w:r>
              <w:rPr>
                <w:color w:val="auto"/>
                <w:szCs w:val="22"/>
                <w:lang w:eastAsia="en-US"/>
              </w:rPr>
              <w:t xml:space="preserve">maximum </w:t>
            </w:r>
            <w:r w:rsidRPr="00E13B41">
              <w:rPr>
                <w:color w:val="auto"/>
                <w:szCs w:val="22"/>
                <w:lang w:eastAsia="en-US"/>
              </w:rPr>
              <w:t>serum concentration</w:t>
            </w:r>
            <w:r>
              <w:rPr>
                <w:color w:val="auto"/>
                <w:szCs w:val="22"/>
                <w:lang w:eastAsia="en-US"/>
              </w:rPr>
              <w:t xml:space="preserve"> of drug</w:t>
            </w:r>
          </w:p>
        </w:tc>
      </w:tr>
      <w:tr w:rsidR="006A0938" w:rsidRPr="00FD119B" w:rsidTr="00953EBF">
        <w:tc>
          <w:tcPr>
            <w:tcW w:w="1809" w:type="dxa"/>
          </w:tcPr>
          <w:p w:rsidR="006A0938" w:rsidRPr="00FD119B" w:rsidRDefault="006A0938" w:rsidP="00953EBF">
            <w:pPr>
              <w:ind w:left="142" w:right="0"/>
              <w:rPr>
                <w:color w:val="auto"/>
                <w:szCs w:val="22"/>
                <w:lang w:eastAsia="en-US"/>
              </w:rPr>
            </w:pPr>
            <w:r>
              <w:rPr>
                <w:color w:val="auto"/>
                <w:szCs w:val="22"/>
                <w:lang w:eastAsia="en-US"/>
              </w:rPr>
              <w:t>CMI</w:t>
            </w:r>
          </w:p>
        </w:tc>
        <w:tc>
          <w:tcPr>
            <w:tcW w:w="6911" w:type="dxa"/>
          </w:tcPr>
          <w:p w:rsidR="006A0938" w:rsidRPr="00FD119B" w:rsidRDefault="006A0938" w:rsidP="00953EBF">
            <w:pPr>
              <w:ind w:left="176" w:right="0"/>
              <w:rPr>
                <w:color w:val="auto"/>
                <w:szCs w:val="22"/>
                <w:lang w:eastAsia="en-US"/>
              </w:rPr>
            </w:pPr>
            <w:r w:rsidRPr="00DC1AC4">
              <w:t>Consumer Medicine Information</w:t>
            </w:r>
          </w:p>
        </w:tc>
      </w:tr>
      <w:tr w:rsidR="0005265B" w:rsidRPr="00FD119B" w:rsidTr="00953EBF">
        <w:tc>
          <w:tcPr>
            <w:tcW w:w="1809" w:type="dxa"/>
          </w:tcPr>
          <w:p w:rsidR="0005265B" w:rsidRPr="00FD119B" w:rsidRDefault="0005265B" w:rsidP="00953EBF">
            <w:pPr>
              <w:ind w:left="142" w:right="0"/>
              <w:rPr>
                <w:color w:val="auto"/>
                <w:szCs w:val="22"/>
                <w:lang w:eastAsia="en-US"/>
              </w:rPr>
            </w:pPr>
            <w:r>
              <w:rPr>
                <w:color w:val="auto"/>
                <w:szCs w:val="22"/>
                <w:lang w:eastAsia="en-US"/>
              </w:rPr>
              <w:t>COC</w:t>
            </w:r>
          </w:p>
        </w:tc>
        <w:tc>
          <w:tcPr>
            <w:tcW w:w="6911" w:type="dxa"/>
          </w:tcPr>
          <w:p w:rsidR="0005265B" w:rsidRPr="00FD119B" w:rsidRDefault="0005265B" w:rsidP="00953EBF">
            <w:pPr>
              <w:ind w:left="176" w:right="0"/>
              <w:rPr>
                <w:color w:val="auto"/>
                <w:szCs w:val="22"/>
                <w:lang w:eastAsia="en-US"/>
              </w:rPr>
            </w:pPr>
            <w:r w:rsidRPr="001D30AB">
              <w:t>combined oral contraceptive</w:t>
            </w:r>
          </w:p>
        </w:tc>
      </w:tr>
      <w:tr w:rsidR="006A0938" w:rsidRPr="00FD119B" w:rsidTr="00953EBF">
        <w:tc>
          <w:tcPr>
            <w:tcW w:w="1809" w:type="dxa"/>
          </w:tcPr>
          <w:p w:rsidR="006A0938" w:rsidRPr="00FD119B" w:rsidRDefault="006A0938" w:rsidP="00953EBF">
            <w:pPr>
              <w:ind w:left="142" w:right="0"/>
              <w:rPr>
                <w:color w:val="auto"/>
                <w:szCs w:val="22"/>
                <w:lang w:eastAsia="en-US"/>
              </w:rPr>
            </w:pPr>
            <w:r>
              <w:rPr>
                <w:color w:val="auto"/>
                <w:szCs w:val="22"/>
                <w:lang w:eastAsia="en-US"/>
              </w:rPr>
              <w:t>EMA</w:t>
            </w:r>
          </w:p>
        </w:tc>
        <w:tc>
          <w:tcPr>
            <w:tcW w:w="6911" w:type="dxa"/>
          </w:tcPr>
          <w:p w:rsidR="006A0938" w:rsidRPr="00FD119B" w:rsidRDefault="006A0938" w:rsidP="00953EBF">
            <w:pPr>
              <w:ind w:left="176" w:right="0"/>
              <w:rPr>
                <w:color w:val="auto"/>
                <w:szCs w:val="22"/>
                <w:lang w:eastAsia="en-US"/>
              </w:rPr>
            </w:pPr>
            <w:r>
              <w:rPr>
                <w:color w:val="auto"/>
                <w:szCs w:val="22"/>
                <w:lang w:eastAsia="en-US"/>
              </w:rPr>
              <w:t>European Medicines Agency</w:t>
            </w:r>
          </w:p>
        </w:tc>
      </w:tr>
      <w:tr w:rsidR="006A0938" w:rsidRPr="00FD119B" w:rsidTr="00953EBF">
        <w:tc>
          <w:tcPr>
            <w:tcW w:w="1809" w:type="dxa"/>
          </w:tcPr>
          <w:p w:rsidR="006A0938" w:rsidRPr="00FD119B" w:rsidRDefault="006A0938" w:rsidP="00953EBF">
            <w:pPr>
              <w:ind w:left="142" w:right="0"/>
              <w:rPr>
                <w:color w:val="auto"/>
                <w:szCs w:val="22"/>
                <w:lang w:eastAsia="en-US"/>
              </w:rPr>
            </w:pPr>
            <w:r>
              <w:rPr>
                <w:color w:val="auto"/>
                <w:szCs w:val="22"/>
                <w:lang w:eastAsia="en-US"/>
              </w:rPr>
              <w:t>FDA</w:t>
            </w:r>
          </w:p>
        </w:tc>
        <w:tc>
          <w:tcPr>
            <w:tcW w:w="6911" w:type="dxa"/>
          </w:tcPr>
          <w:p w:rsidR="006A0938" w:rsidRPr="00FD119B" w:rsidRDefault="006A0938" w:rsidP="00953EBF">
            <w:pPr>
              <w:ind w:left="176" w:right="0"/>
              <w:rPr>
                <w:color w:val="auto"/>
                <w:szCs w:val="22"/>
                <w:lang w:eastAsia="en-US"/>
              </w:rPr>
            </w:pPr>
            <w:r>
              <w:rPr>
                <w:color w:val="auto"/>
                <w:szCs w:val="22"/>
                <w:lang w:eastAsia="en-US"/>
              </w:rPr>
              <w:t>Food and Drug Administration (US)</w:t>
            </w:r>
          </w:p>
        </w:tc>
      </w:tr>
      <w:tr w:rsidR="0005265B" w:rsidRPr="00FD119B" w:rsidTr="00953EBF">
        <w:tc>
          <w:tcPr>
            <w:tcW w:w="1809" w:type="dxa"/>
          </w:tcPr>
          <w:p w:rsidR="0005265B" w:rsidRPr="00FD119B" w:rsidRDefault="0005265B" w:rsidP="00953EBF">
            <w:pPr>
              <w:ind w:left="142" w:right="0"/>
              <w:rPr>
                <w:color w:val="auto"/>
                <w:szCs w:val="22"/>
                <w:lang w:eastAsia="en-US"/>
              </w:rPr>
            </w:pPr>
            <w:r>
              <w:rPr>
                <w:color w:val="auto"/>
                <w:szCs w:val="22"/>
                <w:lang w:eastAsia="en-US"/>
              </w:rPr>
              <w:t>HFI</w:t>
            </w:r>
          </w:p>
        </w:tc>
        <w:tc>
          <w:tcPr>
            <w:tcW w:w="6911" w:type="dxa"/>
          </w:tcPr>
          <w:p w:rsidR="0005265B" w:rsidRPr="00FD119B" w:rsidRDefault="0005265B" w:rsidP="00953EBF">
            <w:pPr>
              <w:ind w:left="176" w:right="0"/>
              <w:rPr>
                <w:color w:val="auto"/>
                <w:szCs w:val="22"/>
                <w:lang w:eastAsia="en-US"/>
              </w:rPr>
            </w:pPr>
            <w:r w:rsidRPr="001D30AB">
              <w:t>hormone free interval</w:t>
            </w:r>
          </w:p>
        </w:tc>
      </w:tr>
      <w:tr w:rsidR="0005265B" w:rsidRPr="00FD119B" w:rsidTr="00953EBF">
        <w:tc>
          <w:tcPr>
            <w:tcW w:w="1809" w:type="dxa"/>
          </w:tcPr>
          <w:p w:rsidR="0005265B" w:rsidRPr="00FD119B" w:rsidRDefault="0005265B" w:rsidP="00953EBF">
            <w:pPr>
              <w:ind w:left="142" w:right="0"/>
              <w:rPr>
                <w:color w:val="auto"/>
                <w:szCs w:val="22"/>
                <w:lang w:eastAsia="en-US"/>
              </w:rPr>
            </w:pPr>
            <w:r>
              <w:rPr>
                <w:color w:val="auto"/>
                <w:szCs w:val="22"/>
                <w:lang w:eastAsia="en-US"/>
              </w:rPr>
              <w:t>OCP</w:t>
            </w:r>
          </w:p>
        </w:tc>
        <w:tc>
          <w:tcPr>
            <w:tcW w:w="6911" w:type="dxa"/>
          </w:tcPr>
          <w:p w:rsidR="0005265B" w:rsidRPr="00FD119B" w:rsidRDefault="0005265B" w:rsidP="00953EBF">
            <w:pPr>
              <w:ind w:left="176" w:right="0"/>
              <w:rPr>
                <w:color w:val="auto"/>
                <w:szCs w:val="22"/>
                <w:lang w:eastAsia="en-US"/>
              </w:rPr>
            </w:pPr>
            <w:r>
              <w:rPr>
                <w:color w:val="auto"/>
                <w:szCs w:val="22"/>
                <w:lang w:eastAsia="en-US"/>
              </w:rPr>
              <w:t>o</w:t>
            </w:r>
            <w:r w:rsidRPr="005303A8">
              <w:rPr>
                <w:color w:val="auto"/>
                <w:szCs w:val="22"/>
                <w:lang w:eastAsia="en-US"/>
              </w:rPr>
              <w:t>ral contraceptive formulation</w:t>
            </w:r>
          </w:p>
        </w:tc>
      </w:tr>
      <w:tr w:rsidR="006A0938" w:rsidRPr="00FD119B" w:rsidTr="00953EBF">
        <w:tc>
          <w:tcPr>
            <w:tcW w:w="1809" w:type="dxa"/>
          </w:tcPr>
          <w:p w:rsidR="006A0938" w:rsidRPr="00FD119B" w:rsidRDefault="006A0938" w:rsidP="00953EBF">
            <w:pPr>
              <w:ind w:left="142" w:right="0"/>
              <w:rPr>
                <w:color w:val="auto"/>
                <w:szCs w:val="22"/>
                <w:lang w:eastAsia="en-US"/>
              </w:rPr>
            </w:pPr>
            <w:r>
              <w:rPr>
                <w:color w:val="auto"/>
                <w:szCs w:val="22"/>
                <w:lang w:eastAsia="en-US"/>
              </w:rPr>
              <w:t>PD</w:t>
            </w:r>
          </w:p>
        </w:tc>
        <w:tc>
          <w:tcPr>
            <w:tcW w:w="6911" w:type="dxa"/>
          </w:tcPr>
          <w:p w:rsidR="006A0938" w:rsidRPr="00FD119B" w:rsidRDefault="006A0938" w:rsidP="00953EBF">
            <w:pPr>
              <w:ind w:left="176" w:right="0"/>
              <w:rPr>
                <w:color w:val="auto"/>
                <w:szCs w:val="22"/>
                <w:lang w:eastAsia="en-US"/>
              </w:rPr>
            </w:pPr>
            <w:r>
              <w:rPr>
                <w:color w:val="auto"/>
                <w:szCs w:val="22"/>
                <w:lang w:eastAsia="en-US"/>
              </w:rPr>
              <w:t>pharmacodynamic(s)</w:t>
            </w:r>
          </w:p>
        </w:tc>
      </w:tr>
      <w:tr w:rsidR="006A0938" w:rsidRPr="00FD119B" w:rsidTr="00953EBF">
        <w:tc>
          <w:tcPr>
            <w:tcW w:w="1809" w:type="dxa"/>
          </w:tcPr>
          <w:p w:rsidR="006A0938" w:rsidRPr="00FD119B" w:rsidRDefault="006A0938" w:rsidP="00953EBF">
            <w:pPr>
              <w:ind w:left="142" w:right="0"/>
              <w:rPr>
                <w:color w:val="auto"/>
                <w:szCs w:val="22"/>
                <w:lang w:eastAsia="en-US"/>
              </w:rPr>
            </w:pPr>
            <w:r>
              <w:rPr>
                <w:color w:val="auto"/>
                <w:szCs w:val="22"/>
                <w:lang w:eastAsia="en-US"/>
              </w:rPr>
              <w:t>PI</w:t>
            </w:r>
          </w:p>
        </w:tc>
        <w:tc>
          <w:tcPr>
            <w:tcW w:w="6911" w:type="dxa"/>
          </w:tcPr>
          <w:p w:rsidR="006A0938" w:rsidRPr="00FD119B" w:rsidRDefault="006A0938" w:rsidP="00953EBF">
            <w:pPr>
              <w:ind w:left="176" w:right="0"/>
              <w:rPr>
                <w:color w:val="auto"/>
                <w:szCs w:val="22"/>
                <w:lang w:eastAsia="en-US"/>
              </w:rPr>
            </w:pPr>
            <w:r w:rsidRPr="00940A89">
              <w:t>Product Information</w:t>
            </w:r>
          </w:p>
        </w:tc>
      </w:tr>
      <w:tr w:rsidR="006A0938" w:rsidRPr="00FD119B" w:rsidTr="00953EBF">
        <w:tc>
          <w:tcPr>
            <w:tcW w:w="1809" w:type="dxa"/>
          </w:tcPr>
          <w:p w:rsidR="006A0938" w:rsidRPr="00FD119B" w:rsidRDefault="006A0938" w:rsidP="00953EBF">
            <w:pPr>
              <w:ind w:left="142" w:right="0"/>
              <w:rPr>
                <w:color w:val="auto"/>
                <w:szCs w:val="22"/>
                <w:lang w:eastAsia="en-US"/>
              </w:rPr>
            </w:pPr>
            <w:r>
              <w:rPr>
                <w:color w:val="auto"/>
                <w:szCs w:val="22"/>
                <w:lang w:eastAsia="en-US"/>
              </w:rPr>
              <w:t>PK</w:t>
            </w:r>
          </w:p>
        </w:tc>
        <w:tc>
          <w:tcPr>
            <w:tcW w:w="6911" w:type="dxa"/>
          </w:tcPr>
          <w:p w:rsidR="006A0938" w:rsidRPr="00FD119B" w:rsidRDefault="006A0938" w:rsidP="00953EBF">
            <w:pPr>
              <w:ind w:left="176" w:right="0"/>
              <w:rPr>
                <w:color w:val="auto"/>
                <w:szCs w:val="22"/>
                <w:lang w:eastAsia="en-US"/>
              </w:rPr>
            </w:pPr>
            <w:r>
              <w:rPr>
                <w:color w:val="auto"/>
                <w:szCs w:val="22"/>
                <w:lang w:eastAsia="en-US"/>
              </w:rPr>
              <w:t>pharmacokinetic(s)</w:t>
            </w:r>
          </w:p>
        </w:tc>
      </w:tr>
      <w:tr w:rsidR="006A0938" w:rsidRPr="00FD119B" w:rsidTr="00953EBF">
        <w:tc>
          <w:tcPr>
            <w:tcW w:w="1809" w:type="dxa"/>
          </w:tcPr>
          <w:p w:rsidR="006A0938" w:rsidRPr="00FD119B" w:rsidRDefault="006A0938" w:rsidP="00953EBF">
            <w:pPr>
              <w:ind w:left="142" w:right="0"/>
              <w:rPr>
                <w:color w:val="auto"/>
                <w:szCs w:val="22"/>
                <w:lang w:eastAsia="en-US"/>
              </w:rPr>
            </w:pPr>
            <w:r>
              <w:rPr>
                <w:color w:val="auto"/>
                <w:szCs w:val="22"/>
                <w:lang w:eastAsia="en-US"/>
              </w:rPr>
              <w:t>RMP</w:t>
            </w:r>
          </w:p>
        </w:tc>
        <w:tc>
          <w:tcPr>
            <w:tcW w:w="6911" w:type="dxa"/>
          </w:tcPr>
          <w:p w:rsidR="006A0938" w:rsidRPr="00FD119B" w:rsidRDefault="006A0938" w:rsidP="00953EBF">
            <w:pPr>
              <w:ind w:left="176" w:right="0"/>
              <w:rPr>
                <w:color w:val="auto"/>
                <w:szCs w:val="22"/>
                <w:lang w:eastAsia="en-US"/>
              </w:rPr>
            </w:pPr>
            <w:r w:rsidRPr="00487AA4">
              <w:rPr>
                <w:rFonts w:asciiTheme="minorHAnsi" w:hAnsiTheme="minorHAnsi"/>
                <w:szCs w:val="22"/>
              </w:rPr>
              <w:t>Risk Management Plan</w:t>
            </w:r>
          </w:p>
        </w:tc>
      </w:tr>
      <w:tr w:rsidR="006A0938" w:rsidRPr="00FD119B" w:rsidTr="00953EBF">
        <w:tc>
          <w:tcPr>
            <w:tcW w:w="1809" w:type="dxa"/>
          </w:tcPr>
          <w:p w:rsidR="006A0938" w:rsidRPr="00FD119B" w:rsidRDefault="006A0938" w:rsidP="00953EBF">
            <w:pPr>
              <w:ind w:left="142" w:right="0"/>
              <w:rPr>
                <w:color w:val="auto"/>
                <w:szCs w:val="22"/>
                <w:lang w:eastAsia="en-US"/>
              </w:rPr>
            </w:pPr>
            <w:r>
              <w:rPr>
                <w:color w:val="auto"/>
                <w:szCs w:val="22"/>
                <w:lang w:eastAsia="en-US"/>
              </w:rPr>
              <w:t>SAE</w:t>
            </w:r>
          </w:p>
        </w:tc>
        <w:tc>
          <w:tcPr>
            <w:tcW w:w="6911" w:type="dxa"/>
          </w:tcPr>
          <w:p w:rsidR="006A0938" w:rsidRPr="00FD119B" w:rsidRDefault="006A0938" w:rsidP="00953EBF">
            <w:pPr>
              <w:ind w:left="176" w:right="0"/>
              <w:rPr>
                <w:color w:val="auto"/>
                <w:szCs w:val="22"/>
                <w:lang w:eastAsia="en-US"/>
              </w:rPr>
            </w:pPr>
            <w:r>
              <w:rPr>
                <w:color w:val="auto"/>
                <w:szCs w:val="22"/>
                <w:lang w:eastAsia="en-US"/>
              </w:rPr>
              <w:t>serious adverse event</w:t>
            </w:r>
          </w:p>
        </w:tc>
      </w:tr>
      <w:tr w:rsidR="006A0938" w:rsidRPr="00FD119B" w:rsidTr="00953EBF">
        <w:tc>
          <w:tcPr>
            <w:tcW w:w="1809" w:type="dxa"/>
          </w:tcPr>
          <w:p w:rsidR="006A0938" w:rsidRPr="00FD119B" w:rsidRDefault="006A0938" w:rsidP="00953EBF">
            <w:pPr>
              <w:ind w:left="142" w:right="0"/>
              <w:rPr>
                <w:color w:val="auto"/>
                <w:szCs w:val="22"/>
                <w:lang w:eastAsia="en-US"/>
              </w:rPr>
            </w:pPr>
            <w:r w:rsidRPr="000540E5">
              <w:t>t½</w:t>
            </w:r>
          </w:p>
        </w:tc>
        <w:tc>
          <w:tcPr>
            <w:tcW w:w="6911" w:type="dxa"/>
          </w:tcPr>
          <w:p w:rsidR="006A0938" w:rsidRPr="00FD119B" w:rsidRDefault="006A0938" w:rsidP="00953EBF">
            <w:pPr>
              <w:ind w:left="176" w:right="0"/>
              <w:rPr>
                <w:color w:val="auto"/>
                <w:szCs w:val="22"/>
                <w:lang w:eastAsia="en-US"/>
              </w:rPr>
            </w:pPr>
            <w:r>
              <w:rPr>
                <w:color w:val="auto"/>
                <w:szCs w:val="22"/>
                <w:lang w:eastAsia="en-US"/>
              </w:rPr>
              <w:t>elimination half life</w:t>
            </w:r>
          </w:p>
        </w:tc>
      </w:tr>
      <w:tr w:rsidR="006A0938" w:rsidRPr="00FD119B" w:rsidTr="00953EBF">
        <w:tc>
          <w:tcPr>
            <w:tcW w:w="1809" w:type="dxa"/>
          </w:tcPr>
          <w:p w:rsidR="006A0938" w:rsidRPr="00FD119B" w:rsidRDefault="006A0938" w:rsidP="00953EBF">
            <w:pPr>
              <w:ind w:left="142" w:right="0"/>
              <w:rPr>
                <w:color w:val="auto"/>
                <w:szCs w:val="22"/>
                <w:lang w:eastAsia="en-US"/>
              </w:rPr>
            </w:pPr>
            <w:proofErr w:type="spellStart"/>
            <w:r>
              <w:t>T</w:t>
            </w:r>
            <w:r w:rsidRPr="004F6826">
              <w:t>max</w:t>
            </w:r>
            <w:proofErr w:type="spellEnd"/>
          </w:p>
        </w:tc>
        <w:tc>
          <w:tcPr>
            <w:tcW w:w="6911" w:type="dxa"/>
          </w:tcPr>
          <w:p w:rsidR="006A0938" w:rsidRPr="00FD119B" w:rsidRDefault="006A0938" w:rsidP="00953EBF">
            <w:pPr>
              <w:ind w:left="176" w:right="0"/>
              <w:rPr>
                <w:color w:val="auto"/>
                <w:szCs w:val="22"/>
                <w:lang w:eastAsia="en-US"/>
              </w:rPr>
            </w:pPr>
            <w:r>
              <w:rPr>
                <w:color w:val="auto"/>
                <w:szCs w:val="22"/>
                <w:lang w:eastAsia="en-US"/>
              </w:rPr>
              <w:t>T</w:t>
            </w:r>
            <w:r w:rsidRPr="00C81A01">
              <w:rPr>
                <w:color w:val="auto"/>
                <w:szCs w:val="22"/>
                <w:lang w:eastAsia="en-US"/>
              </w:rPr>
              <w:t>ime taken to reach the maximum concentration</w:t>
            </w:r>
            <w:r>
              <w:rPr>
                <w:color w:val="auto"/>
                <w:szCs w:val="22"/>
                <w:lang w:eastAsia="en-US"/>
              </w:rPr>
              <w:t xml:space="preserve"> (</w:t>
            </w:r>
            <w:proofErr w:type="spellStart"/>
            <w:r>
              <w:rPr>
                <w:color w:val="auto"/>
                <w:szCs w:val="22"/>
                <w:lang w:eastAsia="en-US"/>
              </w:rPr>
              <w:t>Cmax</w:t>
            </w:r>
            <w:proofErr w:type="spellEnd"/>
            <w:r>
              <w:rPr>
                <w:color w:val="auto"/>
                <w:szCs w:val="22"/>
                <w:lang w:eastAsia="en-US"/>
              </w:rPr>
              <w:t>)</w:t>
            </w:r>
          </w:p>
        </w:tc>
      </w:tr>
      <w:tr w:rsidR="00BD7F5A" w:rsidRPr="00FD119B" w:rsidTr="00953EBF">
        <w:tc>
          <w:tcPr>
            <w:tcW w:w="1809" w:type="dxa"/>
          </w:tcPr>
          <w:p w:rsidR="00BD7F5A" w:rsidRPr="00B10A51" w:rsidRDefault="00CA3D7F" w:rsidP="00953EBF">
            <w:pPr>
              <w:ind w:left="142" w:right="0"/>
              <w:rPr>
                <w:color w:val="auto"/>
                <w:szCs w:val="22"/>
                <w:lang w:eastAsia="en-US"/>
              </w:rPr>
            </w:pPr>
            <w:r w:rsidRPr="00B10A51">
              <w:rPr>
                <w:color w:val="auto"/>
                <w:szCs w:val="22"/>
                <w:lang w:eastAsia="en-US"/>
              </w:rPr>
              <w:t>VTE</w:t>
            </w:r>
          </w:p>
        </w:tc>
        <w:tc>
          <w:tcPr>
            <w:tcW w:w="6911" w:type="dxa"/>
          </w:tcPr>
          <w:p w:rsidR="00BD7F5A" w:rsidRPr="00B10A51" w:rsidRDefault="00CA3D7F" w:rsidP="00953EBF">
            <w:pPr>
              <w:ind w:left="176" w:right="0"/>
              <w:rPr>
                <w:color w:val="auto"/>
                <w:szCs w:val="22"/>
                <w:lang w:eastAsia="en-US"/>
              </w:rPr>
            </w:pPr>
            <w:r w:rsidRPr="00B10A51">
              <w:rPr>
                <w:rFonts w:asciiTheme="minorHAnsi" w:hAnsiTheme="minorHAnsi"/>
                <w:szCs w:val="22"/>
              </w:rPr>
              <w:t>venous thromboembolic event</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12" w:name="_Toc468181690"/>
      <w:r>
        <w:lastRenderedPageBreak/>
        <w:t>I.</w:t>
      </w:r>
      <w:r w:rsidR="008E7846">
        <w:t xml:space="preserve"> Introduction to product submission</w:t>
      </w:r>
      <w:bookmarkEnd w:id="12"/>
      <w:bookmarkEnd w:id="4"/>
      <w:bookmarkEnd w:id="6"/>
    </w:p>
    <w:p w:rsidR="008E7846" w:rsidRDefault="008E7846" w:rsidP="008E7846">
      <w:pPr>
        <w:pStyle w:val="Heading3"/>
        <w:rPr>
          <w:lang w:eastAsia="en-AU"/>
        </w:rPr>
      </w:pPr>
      <w:bookmarkStart w:id="13" w:name="_Toc247691502"/>
      <w:bookmarkStart w:id="14" w:name="_Toc314842483"/>
      <w:bookmarkStart w:id="15" w:name="_Toc468181691"/>
      <w:r>
        <w:rPr>
          <w:lang w:eastAsia="en-AU"/>
        </w:rPr>
        <w:t>Submission details</w:t>
      </w:r>
      <w:bookmarkEnd w:id="13"/>
      <w:bookmarkEnd w:id="14"/>
      <w:bookmarkEnd w:id="15"/>
    </w:p>
    <w:tbl>
      <w:tblPr>
        <w:tblW w:w="9214" w:type="dxa"/>
        <w:tblInd w:w="108" w:type="dxa"/>
        <w:tblLook w:val="01E0" w:firstRow="1" w:lastRow="1" w:firstColumn="1" w:lastColumn="1" w:noHBand="0" w:noVBand="0"/>
      </w:tblPr>
      <w:tblGrid>
        <w:gridCol w:w="2907"/>
        <w:gridCol w:w="6307"/>
      </w:tblGrid>
      <w:tr w:rsidR="008E7846" w:rsidRPr="003D1E62" w:rsidTr="0047566A">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5F38FB" w:rsidP="005F38FB">
            <w:r>
              <w:t>Major variation (</w:t>
            </w:r>
            <w:r w:rsidRPr="005F38FB">
              <w:t>cha</w:t>
            </w:r>
            <w:r>
              <w:t xml:space="preserve">nge in dosage amount and </w:t>
            </w:r>
            <w:r w:rsidRPr="005F38FB">
              <w:t>regimen</w:t>
            </w:r>
            <w:r>
              <w:t>)</w:t>
            </w:r>
          </w:p>
        </w:tc>
      </w:tr>
      <w:tr w:rsidR="008E7846" w:rsidRPr="003D1E62" w:rsidTr="0047566A">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71224F" w:rsidP="0071224F">
            <w:r>
              <w:t>Approved</w:t>
            </w:r>
          </w:p>
        </w:tc>
      </w:tr>
      <w:tr w:rsidR="008E7846" w:rsidRPr="003D1E62" w:rsidTr="0047566A">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5825AA" w:rsidP="001B5C90">
            <w:r>
              <w:t>23 May 2016</w:t>
            </w:r>
          </w:p>
        </w:tc>
      </w:tr>
      <w:tr w:rsidR="00ED2922" w:rsidRPr="003D1E62" w:rsidTr="0047566A">
        <w:trPr>
          <w:trHeight w:hRule="exact" w:val="454"/>
        </w:trPr>
        <w:tc>
          <w:tcPr>
            <w:tcW w:w="2907" w:type="dxa"/>
          </w:tcPr>
          <w:p w:rsidR="00ED2922" w:rsidRPr="00441C3F" w:rsidRDefault="00ED2922" w:rsidP="001B5C90">
            <w:pPr>
              <w:rPr>
                <w:i/>
              </w:rPr>
            </w:pPr>
            <w:r w:rsidRPr="00441C3F">
              <w:rPr>
                <w:i/>
              </w:rPr>
              <w:t>Date of entry onto ARTG</w:t>
            </w:r>
          </w:p>
        </w:tc>
        <w:tc>
          <w:tcPr>
            <w:tcW w:w="6307" w:type="dxa"/>
          </w:tcPr>
          <w:p w:rsidR="00ED2922" w:rsidRPr="00441C3F" w:rsidRDefault="00AF35A1" w:rsidP="00EC463D">
            <w:pPr>
              <w:rPr>
                <w:i/>
              </w:rPr>
            </w:pPr>
            <w:r>
              <w:t>24 May 2016</w:t>
            </w:r>
          </w:p>
        </w:tc>
      </w:tr>
      <w:tr w:rsidR="008E7846" w:rsidRPr="00487162" w:rsidTr="0047566A">
        <w:tc>
          <w:tcPr>
            <w:tcW w:w="2907" w:type="dxa"/>
          </w:tcPr>
          <w:p w:rsidR="008E7846" w:rsidRPr="00487162" w:rsidRDefault="0071224F" w:rsidP="00E45619">
            <w:pPr>
              <w:rPr>
                <w:i/>
              </w:rPr>
            </w:pPr>
            <w:r>
              <w:rPr>
                <w:i/>
              </w:rPr>
              <w:t>Active ingredients</w:t>
            </w:r>
            <w:r w:rsidR="001B5C90">
              <w:rPr>
                <w:i/>
              </w:rPr>
              <w:t>:</w:t>
            </w:r>
          </w:p>
        </w:tc>
        <w:tc>
          <w:tcPr>
            <w:tcW w:w="6307" w:type="dxa"/>
          </w:tcPr>
          <w:p w:rsidR="008E7846" w:rsidRPr="00487162" w:rsidRDefault="00137DCB" w:rsidP="00E45619">
            <w:r>
              <w:t>Levonorgestrel/</w:t>
            </w:r>
            <w:r w:rsidR="00FA2D4F" w:rsidRPr="00FA2D4F">
              <w:t>ethinyloestradiol</w:t>
            </w:r>
          </w:p>
        </w:tc>
      </w:tr>
      <w:tr w:rsidR="008E7846" w:rsidRPr="00487162" w:rsidTr="0047566A">
        <w:tc>
          <w:tcPr>
            <w:tcW w:w="2907" w:type="dxa"/>
          </w:tcPr>
          <w:p w:rsidR="008E7846" w:rsidRPr="00487162" w:rsidRDefault="008E7846" w:rsidP="001B5C90">
            <w:pPr>
              <w:rPr>
                <w:i/>
              </w:rPr>
            </w:pPr>
            <w:r w:rsidRPr="00487162">
              <w:rPr>
                <w:i/>
              </w:rPr>
              <w:t>Product</w:t>
            </w:r>
            <w:r w:rsidR="0071224F">
              <w:rPr>
                <w:i/>
              </w:rPr>
              <w:t xml:space="preserve"> name</w:t>
            </w:r>
            <w:r w:rsidR="001B5C90">
              <w:rPr>
                <w:i/>
              </w:rPr>
              <w:t>:</w:t>
            </w:r>
          </w:p>
        </w:tc>
        <w:tc>
          <w:tcPr>
            <w:tcW w:w="6307" w:type="dxa"/>
          </w:tcPr>
          <w:p w:rsidR="008E7846" w:rsidRPr="00487162" w:rsidRDefault="0071224F" w:rsidP="00E45619">
            <w:r>
              <w:t>Seasonique</w:t>
            </w:r>
          </w:p>
        </w:tc>
      </w:tr>
      <w:tr w:rsidR="008E7846" w:rsidRPr="00487162" w:rsidTr="0047566A">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2A2BB1" w:rsidRDefault="0071224F" w:rsidP="0071224F">
            <w:pPr>
              <w:rPr>
                <w:rFonts w:asciiTheme="minorHAnsi" w:hAnsiTheme="minorHAnsi"/>
              </w:rPr>
            </w:pPr>
            <w:r w:rsidRPr="00E718A1">
              <w:rPr>
                <w:rFonts w:asciiTheme="minorHAnsi" w:hAnsiTheme="minorHAnsi"/>
              </w:rPr>
              <w:t>Teva Pharma Australia Pty Ltd</w:t>
            </w:r>
          </w:p>
          <w:p w:rsidR="0071224F" w:rsidRDefault="0071224F" w:rsidP="0071224F">
            <w:pPr>
              <w:rPr>
                <w:rFonts w:asciiTheme="minorHAnsi" w:hAnsiTheme="minorHAnsi"/>
              </w:rPr>
            </w:pPr>
            <w:r>
              <w:rPr>
                <w:rFonts w:asciiTheme="minorHAnsi" w:hAnsiTheme="minorHAnsi"/>
              </w:rPr>
              <w:t>Level 2, 37 Epping Road</w:t>
            </w:r>
          </w:p>
          <w:p w:rsidR="008E7846" w:rsidRPr="0071224F" w:rsidRDefault="0071224F" w:rsidP="00E45619">
            <w:pPr>
              <w:rPr>
                <w:rFonts w:asciiTheme="minorHAnsi" w:hAnsiTheme="minorHAnsi"/>
              </w:rPr>
            </w:pPr>
            <w:r w:rsidRPr="00E718A1">
              <w:rPr>
                <w:rFonts w:asciiTheme="minorHAnsi" w:hAnsiTheme="minorHAnsi"/>
              </w:rPr>
              <w:t>Macquarie Park NSW 2113</w:t>
            </w:r>
          </w:p>
        </w:tc>
      </w:tr>
      <w:tr w:rsidR="008E7846" w:rsidRPr="00487162" w:rsidTr="0047566A">
        <w:tc>
          <w:tcPr>
            <w:tcW w:w="2907" w:type="dxa"/>
          </w:tcPr>
          <w:p w:rsidR="008E7846" w:rsidRPr="00487162" w:rsidRDefault="00DD4ABD" w:rsidP="00E45619">
            <w:pPr>
              <w:rPr>
                <w:i/>
              </w:rPr>
            </w:pPr>
            <w:r>
              <w:rPr>
                <w:i/>
              </w:rPr>
              <w:t>Dose form</w:t>
            </w:r>
            <w:r w:rsidR="001B5C90">
              <w:rPr>
                <w:i/>
              </w:rPr>
              <w:t>:</w:t>
            </w:r>
          </w:p>
        </w:tc>
        <w:tc>
          <w:tcPr>
            <w:tcW w:w="6307" w:type="dxa"/>
          </w:tcPr>
          <w:p w:rsidR="008E7846" w:rsidRPr="00487162" w:rsidRDefault="00DD4ABD" w:rsidP="00E45619">
            <w:r>
              <w:t xml:space="preserve">Film </w:t>
            </w:r>
            <w:r w:rsidRPr="00DD4ABD">
              <w:t>coated immediate release tablet in combination pack</w:t>
            </w:r>
          </w:p>
        </w:tc>
      </w:tr>
      <w:tr w:rsidR="008E7846" w:rsidRPr="00487162" w:rsidTr="0047566A">
        <w:tc>
          <w:tcPr>
            <w:tcW w:w="2907" w:type="dxa"/>
          </w:tcPr>
          <w:p w:rsidR="008E7846" w:rsidRPr="00487162" w:rsidRDefault="00DD4ABD" w:rsidP="00E45619">
            <w:pPr>
              <w:rPr>
                <w:i/>
              </w:rPr>
            </w:pPr>
            <w:r>
              <w:rPr>
                <w:i/>
              </w:rPr>
              <w:t>Strengths</w:t>
            </w:r>
            <w:r w:rsidR="008E7846" w:rsidRPr="00487162">
              <w:rPr>
                <w:i/>
              </w:rPr>
              <w:t xml:space="preserve">: </w:t>
            </w:r>
          </w:p>
        </w:tc>
        <w:tc>
          <w:tcPr>
            <w:tcW w:w="6307" w:type="dxa"/>
          </w:tcPr>
          <w:p w:rsidR="008E7846" w:rsidRPr="00487162" w:rsidRDefault="00DD4ABD" w:rsidP="00E45619">
            <w:r w:rsidRPr="00FA6D18">
              <w:t xml:space="preserve">150 </w:t>
            </w:r>
            <w:r>
              <w:rPr>
                <w:rFonts w:ascii="Times New Roman" w:hAnsi="Times New Roman"/>
              </w:rPr>
              <w:t>µ</w:t>
            </w:r>
            <w:r w:rsidRPr="00FA6D18">
              <w:t>g (</w:t>
            </w:r>
            <w:r w:rsidR="00137DCB">
              <w:t>levonorgestrel</w:t>
            </w:r>
            <w:r w:rsidRPr="00FA6D18">
              <w:t xml:space="preserve">)/30 </w:t>
            </w:r>
            <w:r>
              <w:rPr>
                <w:rFonts w:ascii="Times New Roman" w:hAnsi="Times New Roman"/>
              </w:rPr>
              <w:t>µ</w:t>
            </w:r>
            <w:r w:rsidRPr="00FA6D18">
              <w:t>g (</w:t>
            </w:r>
            <w:r w:rsidR="00137DCB" w:rsidRPr="00FA2D4F">
              <w:t>ethinyloestradiol</w:t>
            </w:r>
            <w:r w:rsidRPr="00FA6D18">
              <w:t xml:space="preserve">) tablet and 10 </w:t>
            </w:r>
            <w:r>
              <w:rPr>
                <w:rFonts w:ascii="Times New Roman" w:hAnsi="Times New Roman"/>
              </w:rPr>
              <w:t>µ</w:t>
            </w:r>
            <w:r w:rsidRPr="00FA6D18">
              <w:t>g (</w:t>
            </w:r>
            <w:r w:rsidR="00137DCB" w:rsidRPr="00FA2D4F">
              <w:t>ethinyloestradiol</w:t>
            </w:r>
            <w:r w:rsidRPr="00FA6D18">
              <w:t>) tablet</w:t>
            </w:r>
          </w:p>
        </w:tc>
      </w:tr>
      <w:tr w:rsidR="008E7846" w:rsidRPr="00487162" w:rsidTr="0047566A">
        <w:tc>
          <w:tcPr>
            <w:tcW w:w="2907" w:type="dxa"/>
          </w:tcPr>
          <w:p w:rsidR="008E7846" w:rsidRPr="00487162" w:rsidRDefault="00DD4ABD" w:rsidP="00E45619">
            <w:pPr>
              <w:rPr>
                <w:i/>
              </w:rPr>
            </w:pPr>
            <w:r>
              <w:rPr>
                <w:i/>
              </w:rPr>
              <w:t>Container</w:t>
            </w:r>
            <w:r w:rsidR="008E7846" w:rsidRPr="00487162">
              <w:rPr>
                <w:i/>
              </w:rPr>
              <w:t>:</w:t>
            </w:r>
          </w:p>
        </w:tc>
        <w:tc>
          <w:tcPr>
            <w:tcW w:w="6307" w:type="dxa"/>
          </w:tcPr>
          <w:p w:rsidR="008E7846" w:rsidRPr="00DD4ABD" w:rsidRDefault="00DD4ABD" w:rsidP="00970D79">
            <w:r w:rsidRPr="00DD4ABD">
              <w:t>The tablets are packaged in PVC/TE/PVDC//AL blisters. The product is a c</w:t>
            </w:r>
            <w:r w:rsidR="00C94157">
              <w:t>omposite pack consisting of 84 x</w:t>
            </w:r>
            <w:r w:rsidRPr="00DD4ABD">
              <w:t xml:space="preserve"> levonorgestrel (150 </w:t>
            </w:r>
            <w:r>
              <w:rPr>
                <w:rFonts w:ascii="Times New Roman" w:hAnsi="Times New Roman"/>
              </w:rPr>
              <w:t>µ</w:t>
            </w:r>
            <w:r w:rsidRPr="00DD4ABD">
              <w:t xml:space="preserve">g)/ethinyloestradiol (30 </w:t>
            </w:r>
            <w:r>
              <w:rPr>
                <w:rFonts w:ascii="Times New Roman" w:hAnsi="Times New Roman"/>
              </w:rPr>
              <w:t>µ</w:t>
            </w:r>
            <w:r w:rsidRPr="00DD4ABD">
              <w:t>g) film</w:t>
            </w:r>
            <w:r w:rsidR="00970D79">
              <w:t xml:space="preserve"> </w:t>
            </w:r>
            <w:r w:rsidRPr="00DD4ABD">
              <w:t>coated immediate rel</w:t>
            </w:r>
            <w:r w:rsidR="00C94157">
              <w:t>ease combination tablets and 7 x</w:t>
            </w:r>
            <w:r w:rsidRPr="00DD4ABD">
              <w:t xml:space="preserve"> ethinyloestradiol (10 </w:t>
            </w:r>
            <w:r>
              <w:rPr>
                <w:rFonts w:ascii="Times New Roman" w:hAnsi="Times New Roman"/>
              </w:rPr>
              <w:t>µ</w:t>
            </w:r>
            <w:r w:rsidRPr="00DD4ABD">
              <w:t>g) film</w:t>
            </w:r>
            <w:r w:rsidR="00C94157">
              <w:t xml:space="preserve"> </w:t>
            </w:r>
            <w:r w:rsidRPr="00DD4ABD">
              <w:t>coated immediate release tablets. Each pack provides for a 91</w:t>
            </w:r>
            <w:r w:rsidR="00C94157">
              <w:t xml:space="preserve"> </w:t>
            </w:r>
            <w:r w:rsidRPr="00DD4ABD">
              <w:t>day regimen.</w:t>
            </w:r>
          </w:p>
        </w:tc>
      </w:tr>
      <w:tr w:rsidR="008E7846" w:rsidRPr="00487162" w:rsidTr="0047566A">
        <w:tc>
          <w:tcPr>
            <w:tcW w:w="2907" w:type="dxa"/>
          </w:tcPr>
          <w:p w:rsidR="008E7846" w:rsidRPr="00487162" w:rsidRDefault="00B244BA" w:rsidP="00E45619">
            <w:pPr>
              <w:rPr>
                <w:i/>
              </w:rPr>
            </w:pPr>
            <w:r>
              <w:rPr>
                <w:i/>
              </w:rPr>
              <w:t>Pack size</w:t>
            </w:r>
            <w:r w:rsidR="008E7846" w:rsidRPr="00487162">
              <w:rPr>
                <w:i/>
              </w:rPr>
              <w:t>:</w:t>
            </w:r>
          </w:p>
        </w:tc>
        <w:tc>
          <w:tcPr>
            <w:tcW w:w="6307" w:type="dxa"/>
          </w:tcPr>
          <w:p w:rsidR="008E7846" w:rsidRPr="00B244BA" w:rsidRDefault="00B244BA" w:rsidP="00970D79">
            <w:r w:rsidRPr="00B244BA">
              <w:t>Each pack provides for a 91</w:t>
            </w:r>
            <w:r w:rsidR="00970D79">
              <w:t xml:space="preserve"> </w:t>
            </w:r>
            <w:r w:rsidRPr="00B244BA">
              <w:t>day regimen (84 combination tablets + 7 mono tablets).</w:t>
            </w:r>
          </w:p>
        </w:tc>
      </w:tr>
      <w:tr w:rsidR="008E7846" w:rsidRPr="00487162" w:rsidTr="0047566A">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487162" w:rsidRDefault="00AA7E27" w:rsidP="00E45619">
            <w:pPr>
              <w:rPr>
                <w:rFonts w:eastAsia="MS Mincho"/>
                <w:lang w:eastAsia="ja-JP"/>
              </w:rPr>
            </w:pPr>
            <w:r w:rsidRPr="00AA7E27">
              <w:rPr>
                <w:lang w:eastAsia="ja-JP"/>
              </w:rPr>
              <w:t>Seasonique is indicated for use as an oral contraceptive</w:t>
            </w:r>
            <w:r>
              <w:rPr>
                <w:lang w:eastAsia="ja-JP"/>
              </w:rPr>
              <w:t>.</w:t>
            </w:r>
          </w:p>
        </w:tc>
      </w:tr>
      <w:tr w:rsidR="008E7846" w:rsidRPr="00487162" w:rsidTr="0047566A">
        <w:tc>
          <w:tcPr>
            <w:tcW w:w="2907" w:type="dxa"/>
          </w:tcPr>
          <w:p w:rsidR="008E7846" w:rsidRPr="00487162" w:rsidRDefault="00FD40E5" w:rsidP="00E45619">
            <w:pPr>
              <w:rPr>
                <w:i/>
              </w:rPr>
            </w:pPr>
            <w:r>
              <w:rPr>
                <w:i/>
              </w:rPr>
              <w:t>Route</w:t>
            </w:r>
            <w:r w:rsidR="008E7846" w:rsidRPr="00487162">
              <w:rPr>
                <w:i/>
              </w:rPr>
              <w:t xml:space="preserve"> of administration:</w:t>
            </w:r>
          </w:p>
        </w:tc>
        <w:tc>
          <w:tcPr>
            <w:tcW w:w="6307" w:type="dxa"/>
          </w:tcPr>
          <w:p w:rsidR="008E7846" w:rsidRPr="00487162" w:rsidRDefault="00B244BA" w:rsidP="00E45619">
            <w:r>
              <w:t>Oral</w:t>
            </w:r>
          </w:p>
        </w:tc>
      </w:tr>
      <w:tr w:rsidR="008E7846" w:rsidRPr="00487162" w:rsidTr="0047566A">
        <w:tc>
          <w:tcPr>
            <w:tcW w:w="2907" w:type="dxa"/>
          </w:tcPr>
          <w:p w:rsidR="008E7846" w:rsidRPr="00487162" w:rsidRDefault="008E7846" w:rsidP="00E45619">
            <w:pPr>
              <w:rPr>
                <w:i/>
              </w:rPr>
            </w:pPr>
            <w:r w:rsidRPr="00487162">
              <w:rPr>
                <w:i/>
              </w:rPr>
              <w:t>Dosage:</w:t>
            </w:r>
          </w:p>
        </w:tc>
        <w:tc>
          <w:tcPr>
            <w:tcW w:w="6307" w:type="dxa"/>
          </w:tcPr>
          <w:p w:rsidR="008E7846" w:rsidRPr="00487162" w:rsidRDefault="00FD40E5" w:rsidP="00E45619">
            <w:r w:rsidRPr="00FD40E5">
              <w:t xml:space="preserve">The dosing regimen commences with the first combination tablet from ‘Month 1’ blister on the first day of the menstrual bleed or (if changing from another combined hormonal contraceptive drug (COC)) on the day after the last active tablet of their previous COC. The recommended dose is one pink combination tablet daily for 84 consecutive days followed by one white (10 </w:t>
            </w:r>
            <w:r>
              <w:rPr>
                <w:rFonts w:ascii="Times New Roman" w:hAnsi="Times New Roman"/>
              </w:rPr>
              <w:t>µ</w:t>
            </w:r>
            <w:r w:rsidRPr="00FD40E5">
              <w:t>g) ethinyloestradiol tablet once daily for 7 days.</w:t>
            </w:r>
          </w:p>
        </w:tc>
      </w:tr>
      <w:tr w:rsidR="008E7846" w:rsidRPr="00487162" w:rsidTr="0047566A">
        <w:tc>
          <w:tcPr>
            <w:tcW w:w="2907" w:type="dxa"/>
          </w:tcPr>
          <w:p w:rsidR="008E7846" w:rsidRPr="00487162" w:rsidRDefault="008E7846" w:rsidP="001B5C90">
            <w:pPr>
              <w:rPr>
                <w:i/>
              </w:rPr>
            </w:pPr>
            <w:r w:rsidRPr="00487162">
              <w:rPr>
                <w:i/>
              </w:rPr>
              <w:t xml:space="preserve">ARTG </w:t>
            </w:r>
            <w:r w:rsidR="001B5C90">
              <w:rPr>
                <w:i/>
              </w:rPr>
              <w:t>n</w:t>
            </w:r>
            <w:r w:rsidR="00AA7E27">
              <w:rPr>
                <w:i/>
              </w:rPr>
              <w:t>umber</w:t>
            </w:r>
            <w:r w:rsidR="001B5C90">
              <w:rPr>
                <w:i/>
              </w:rPr>
              <w:t>:</w:t>
            </w:r>
          </w:p>
        </w:tc>
        <w:tc>
          <w:tcPr>
            <w:tcW w:w="6307" w:type="dxa"/>
          </w:tcPr>
          <w:p w:rsidR="008E7846" w:rsidRPr="00487162" w:rsidRDefault="00AA7E27" w:rsidP="00E45619">
            <w:r w:rsidRPr="00AA7E27">
              <w:t>238384</w:t>
            </w:r>
          </w:p>
        </w:tc>
      </w:tr>
    </w:tbl>
    <w:p w:rsidR="008E7846" w:rsidRDefault="008E7846" w:rsidP="008E7846">
      <w:pPr>
        <w:pStyle w:val="Heading3"/>
      </w:pPr>
      <w:bookmarkStart w:id="16" w:name="_Toc247691503"/>
      <w:bookmarkStart w:id="17" w:name="_Toc314842484"/>
      <w:bookmarkStart w:id="18" w:name="_Toc468181692"/>
      <w:r>
        <w:lastRenderedPageBreak/>
        <w:t>Product background</w:t>
      </w:r>
      <w:bookmarkEnd w:id="16"/>
      <w:bookmarkEnd w:id="17"/>
      <w:bookmarkEnd w:id="18"/>
    </w:p>
    <w:p w:rsidR="007C775E" w:rsidRDefault="000B442F" w:rsidP="002A2BB1">
      <w:r w:rsidRPr="006928C3">
        <w:t xml:space="preserve">This AusPAR describes the application by </w:t>
      </w:r>
      <w:r w:rsidR="00D03D91" w:rsidRPr="006928C3">
        <w:t>Teva Pharma Australia Pty Ltd</w:t>
      </w:r>
      <w:r w:rsidR="006928C3" w:rsidRPr="006928C3">
        <w:t xml:space="preserve"> to register a new product (trade name: Seasonique) with a major variation comprising of a change in dosage amount and dosage regimen.</w:t>
      </w:r>
    </w:p>
    <w:p w:rsidR="001D30AB" w:rsidRPr="001D30AB" w:rsidRDefault="001D30AB" w:rsidP="001D30AB">
      <w:r w:rsidRPr="001D30AB">
        <w:t xml:space="preserve">Although this is a new product, the submission is described as </w:t>
      </w:r>
      <w:r w:rsidR="00AB7A0F">
        <w:t xml:space="preserve">major variation, </w:t>
      </w:r>
      <w:r w:rsidRPr="001D30AB">
        <w:t>which covers changes in dosage amount, frequency of use or dosage regimen - as its constituent substances ethinyloestradiol and levonorgestrel are already used together in a number of combined oral contraceptive (COC) formulations currently approved for use in Australia.  Altogether th</w:t>
      </w:r>
      <w:r w:rsidR="00AB7A0F">
        <w:t xml:space="preserve">ere are 21 COCs so registered. </w:t>
      </w:r>
      <w:r w:rsidRPr="001D30AB">
        <w:t>All of these are designed for use in a 28 day cycle regimen, imitating the</w:t>
      </w:r>
      <w:r w:rsidR="00AB7A0F">
        <w:t xml:space="preserve"> normal human menstrual cycle. </w:t>
      </w:r>
      <w:r w:rsidRPr="001D30AB">
        <w:t>The majority employ ethinyloestradiol and levonorgestrel at a dosage of either 30 µg/150 µg or 20 µg/100 µg for 21 days followed by a 7 day hormone free interval (HFI) achieved by either pla</w:t>
      </w:r>
      <w:r w:rsidR="00E6341B">
        <w:t xml:space="preserve">cebo tablets or missed dosage. </w:t>
      </w:r>
      <w:r w:rsidRPr="001D30AB">
        <w:t>One preparation uses</w:t>
      </w:r>
      <w:r w:rsidR="00E6341B">
        <w:t xml:space="preserve"> a dose ratio of 50 µg/125 µg. </w:t>
      </w:r>
      <w:r w:rsidRPr="001D30AB">
        <w:t xml:space="preserve">Three others employ a </w:t>
      </w:r>
      <w:proofErr w:type="spellStart"/>
      <w:r w:rsidRPr="001D30AB">
        <w:t>triphasic</w:t>
      </w:r>
      <w:proofErr w:type="spellEnd"/>
      <w:r w:rsidRPr="001D30AB">
        <w:t xml:space="preserve"> dosage regimen of 30 µg ethinyloestradiol and 50 µg levonorgestrel for 6 days, followed by 5 days of 40 mg/75 µg and then 10 days of 30 mg/125 µg, followed by 7 placebo tablets.</w:t>
      </w:r>
    </w:p>
    <w:p w:rsidR="00E6341B" w:rsidRPr="003D4FFE" w:rsidRDefault="00E6341B" w:rsidP="003D4FFE">
      <w:r w:rsidRPr="003D4FFE">
        <w:t xml:space="preserve">Ethinyloestradiol and levonorgestrel are synthetic steroid hormones with predominantly oestrogenic and </w:t>
      </w:r>
      <w:proofErr w:type="spellStart"/>
      <w:r w:rsidRPr="003D4FFE">
        <w:t>progestogenic</w:t>
      </w:r>
      <w:proofErr w:type="spellEnd"/>
      <w:r w:rsidRPr="003D4FFE">
        <w:t xml:space="preserve"> actions</w:t>
      </w:r>
      <w:r w:rsidR="003D4FFE" w:rsidRPr="003D4FFE">
        <w:t>,</w:t>
      </w:r>
      <w:r w:rsidRPr="003D4FFE">
        <w:t xml:space="preserve"> respectively.</w:t>
      </w:r>
    </w:p>
    <w:p w:rsidR="00E6341B" w:rsidRDefault="00E6341B" w:rsidP="002A2BB1">
      <w:bookmarkStart w:id="19" w:name="_Toc429572845"/>
      <w:r w:rsidRPr="00E6341B">
        <w:t>The propose</w:t>
      </w:r>
      <w:r>
        <w:t>d indication for Seasonique is:</w:t>
      </w:r>
    </w:p>
    <w:p w:rsidR="00E6341B" w:rsidRPr="00E6341B" w:rsidRDefault="00E6341B" w:rsidP="00E6341B">
      <w:pPr>
        <w:ind w:firstLine="720"/>
        <w:rPr>
          <w:i/>
        </w:rPr>
      </w:pPr>
      <w:proofErr w:type="gramStart"/>
      <w:r w:rsidRPr="00E6341B">
        <w:rPr>
          <w:i/>
        </w:rPr>
        <w:t>for</w:t>
      </w:r>
      <w:proofErr w:type="gramEnd"/>
      <w:r w:rsidRPr="00E6341B">
        <w:rPr>
          <w:i/>
        </w:rPr>
        <w:t xml:space="preserve"> use as an oral contraceptive.</w:t>
      </w:r>
      <w:bookmarkEnd w:id="19"/>
    </w:p>
    <w:p w:rsidR="001D30AB" w:rsidRPr="001D30AB" w:rsidRDefault="001D30AB" w:rsidP="001D30AB">
      <w:r w:rsidRPr="001D30AB">
        <w:t>The novel aspect of this product with regard to registration in Australia is the use of an extended cycle regimen for this particular combinat</w:t>
      </w:r>
      <w:r w:rsidR="00AB7A0F">
        <w:t xml:space="preserve">ion of synthetic sex steroids. </w:t>
      </w:r>
      <w:r w:rsidRPr="001D30AB">
        <w:t xml:space="preserve">The principle of the extended cycle regimen is not novel, as it </w:t>
      </w:r>
      <w:r>
        <w:t>is described in the literature</w:t>
      </w:r>
      <w:r w:rsidRPr="001D30AB">
        <w:t>,</w:t>
      </w:r>
      <w:r w:rsidR="00E6341B">
        <w:rPr>
          <w:rStyle w:val="FootnoteReference"/>
        </w:rPr>
        <w:footnoteReference w:id="1"/>
      </w:r>
      <w:r w:rsidRPr="001D30AB">
        <w:t xml:space="preserve"> and a 91 day cycle product similar to Seasonique but inclu</w:t>
      </w:r>
      <w:r w:rsidR="00AB7A0F">
        <w:t xml:space="preserve">ding a 7 </w:t>
      </w:r>
      <w:r w:rsidRPr="001D30AB">
        <w:t>day HFI rather than 7 days of ethi</w:t>
      </w:r>
      <w:r w:rsidR="00AB7A0F">
        <w:t>nyloestradiol 10 µg (Seasonale)</w:t>
      </w:r>
      <w:r w:rsidRPr="001D30AB">
        <w:t xml:space="preserve"> has been registered in the US since</w:t>
      </w:r>
      <w:r w:rsidR="00E6341B">
        <w:t xml:space="preserve"> 2003 and in Canada since 2007. </w:t>
      </w:r>
      <w:r w:rsidRPr="001D30AB">
        <w:t xml:space="preserve">Also, a formulation containing a different combination of synthetic steroids (ethinyloestradiol 20 µg and </w:t>
      </w:r>
      <w:proofErr w:type="spellStart"/>
      <w:r w:rsidRPr="001D30AB">
        <w:t>drospirenone</w:t>
      </w:r>
      <w:proofErr w:type="spellEnd"/>
      <w:r w:rsidRPr="001D30AB">
        <w:t xml:space="preserve"> 3 mg) in a 120 day cycle has been registered in Australia since 2012.</w:t>
      </w:r>
    </w:p>
    <w:p w:rsidR="002A2BB1" w:rsidRDefault="00386150" w:rsidP="008E7846">
      <w:pPr>
        <w:pStyle w:val="Heading3"/>
      </w:pPr>
      <w:bookmarkStart w:id="20" w:name="_Toc314842485"/>
      <w:bookmarkStart w:id="21" w:name="_Toc468181693"/>
      <w:bookmarkStart w:id="22" w:name="_Toc247691504"/>
      <w:r>
        <w:t>Regulatory s</w:t>
      </w:r>
      <w:r w:rsidR="008E7846">
        <w:t>tatus</w:t>
      </w:r>
      <w:bookmarkEnd w:id="20"/>
      <w:bookmarkEnd w:id="21"/>
      <w:bookmarkEnd w:id="22"/>
    </w:p>
    <w:p w:rsidR="001968E7" w:rsidRDefault="001968E7" w:rsidP="000B442F">
      <w:bookmarkStart w:id="23" w:name="_Toc247691505"/>
      <w:bookmarkStart w:id="24" w:name="_Toc314842486"/>
      <w:proofErr w:type="spellStart"/>
      <w:r>
        <w:rPr>
          <w:rFonts w:asciiTheme="minorHAnsi" w:hAnsiTheme="minorHAnsi"/>
        </w:rPr>
        <w:t>Seasonique</w:t>
      </w:r>
      <w:proofErr w:type="spellEnd"/>
      <w:r>
        <w:rPr>
          <w:rFonts w:asciiTheme="minorHAnsi" w:hAnsiTheme="minorHAnsi"/>
        </w:rPr>
        <w:t xml:space="preserve"> is registered in the US (approved 25 May 2006), Canada (approved 30</w:t>
      </w:r>
      <w:r>
        <w:rPr>
          <w:rFonts w:asciiTheme="minorHAnsi" w:hAnsiTheme="minorHAnsi"/>
          <w:vertAlign w:val="superscript"/>
        </w:rPr>
        <w:t xml:space="preserve"> </w:t>
      </w:r>
      <w:r>
        <w:rPr>
          <w:rFonts w:asciiTheme="minorHAnsi" w:hAnsiTheme="minorHAnsi"/>
        </w:rPr>
        <w:t>March 2010), and in various EU countries via the decentralised procedure (European Commission decision 12 January 2015</w:t>
      </w:r>
      <w:r w:rsidR="00280173">
        <w:rPr>
          <w:rFonts w:asciiTheme="minorHAnsi" w:hAnsiTheme="minorHAnsi"/>
        </w:rPr>
        <w:t>)</w:t>
      </w:r>
      <w:r>
        <w:rPr>
          <w:rFonts w:asciiTheme="minorHAnsi" w:hAnsiTheme="minorHAnsi"/>
        </w:rPr>
        <w:t>.</w:t>
      </w:r>
    </w:p>
    <w:p w:rsidR="008E7846" w:rsidRDefault="008E7846" w:rsidP="00940A89">
      <w:pPr>
        <w:pStyle w:val="Heading3"/>
      </w:pPr>
      <w:bookmarkStart w:id="25" w:name="_Toc468181694"/>
      <w:r>
        <w:t>Product Information</w:t>
      </w:r>
      <w:bookmarkEnd w:id="23"/>
      <w:bookmarkEnd w:id="24"/>
      <w:bookmarkEnd w:id="25"/>
    </w:p>
    <w:p w:rsidR="00940A89" w:rsidRDefault="00940A89" w:rsidP="00940A89">
      <w:pPr>
        <w:rPr>
          <w:b/>
          <w:bCs/>
        </w:rPr>
      </w:pPr>
      <w:bookmarkStart w:id="26" w:name="_Toc247691506"/>
      <w:bookmarkStart w:id="27" w:name="_Toc314842487"/>
      <w:r w:rsidRPr="00940A89">
        <w:t xml:space="preserve">The approved Product Information (PI)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4"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28" w:name="_Toc468181695"/>
      <w:r>
        <w:lastRenderedPageBreak/>
        <w:t>II. Quality</w:t>
      </w:r>
      <w:bookmarkEnd w:id="5"/>
      <w:r>
        <w:t xml:space="preserve"> findings</w:t>
      </w:r>
      <w:bookmarkEnd w:id="26"/>
      <w:bookmarkEnd w:id="27"/>
      <w:bookmarkEnd w:id="28"/>
    </w:p>
    <w:p w:rsidR="00940A89" w:rsidRDefault="00940A89" w:rsidP="00940A89">
      <w:pPr>
        <w:pStyle w:val="Heading3"/>
      </w:pPr>
      <w:bookmarkStart w:id="29" w:name="_Toc468181696"/>
      <w:bookmarkStart w:id="30" w:name="_Toc247691507"/>
      <w:bookmarkStart w:id="31" w:name="_Toc314842488"/>
      <w:r w:rsidRPr="00940A89">
        <w:t>Introduction</w:t>
      </w:r>
      <w:bookmarkEnd w:id="29"/>
    </w:p>
    <w:p w:rsidR="002A2BB1" w:rsidRDefault="006928C3" w:rsidP="006928C3">
      <w:r w:rsidRPr="006928C3">
        <w:t xml:space="preserve">The product is to be supplied in three monthly blisters packaged inside an inner carton folder which is placed within an aluminium foil pouch and sealed, then packaged in an outer carton. Each inner carton contains 2 blisters containing 28 combination tablets and 1 blister containing 28 combination tablets + 7 ethinyloestradiol 10 </w:t>
      </w:r>
      <w:r>
        <w:t>µ</w:t>
      </w:r>
      <w:r w:rsidRPr="006928C3">
        <w:t>g tablets. Each blister is labelled by month (Month 1 and Month 2 for combination tablet blisters and Month 3 for the blister containing combination + mono tablets).</w:t>
      </w:r>
    </w:p>
    <w:p w:rsidR="006928C3" w:rsidRPr="006928C3" w:rsidRDefault="006928C3" w:rsidP="002A2BB1">
      <w:pPr>
        <w:ind w:right="-285"/>
      </w:pPr>
      <w:r w:rsidRPr="006928C3">
        <w:t xml:space="preserve">The product is indicated for use as an oral contraceptive. The dosing regimen commences with the first combination tablet from Month 1 blister on the first day of the menstrual bleed or (if changing from another </w:t>
      </w:r>
      <w:r w:rsidR="00AB7A0F">
        <w:t>COC</w:t>
      </w:r>
      <w:r w:rsidRPr="006928C3">
        <w:t>) on the day after the last active</w:t>
      </w:r>
      <w:r w:rsidR="00AB7A0F">
        <w:t xml:space="preserve"> tablet of their previous COC. </w:t>
      </w:r>
      <w:r w:rsidRPr="006928C3">
        <w:t xml:space="preserve">The recommended dose is one pink combination tablet daily for 84 consecutive days followed by one white (10 </w:t>
      </w:r>
      <w:r>
        <w:t>µ</w:t>
      </w:r>
      <w:r w:rsidRPr="006928C3">
        <w:t>g) ethinyloestradiol tablet once daily for 7</w:t>
      </w:r>
      <w:r w:rsidR="002A2BB1">
        <w:t xml:space="preserve"> </w:t>
      </w:r>
      <w:r w:rsidRPr="006928C3">
        <w:t>days.</w:t>
      </w:r>
    </w:p>
    <w:p w:rsidR="006928C3" w:rsidRPr="006928C3" w:rsidRDefault="006928C3" w:rsidP="006928C3">
      <w:r w:rsidRPr="006928C3">
        <w:t xml:space="preserve">Both active ingredients are subject to </w:t>
      </w:r>
      <w:r w:rsidR="00AB7A0F">
        <w:t xml:space="preserve">British, European and US </w:t>
      </w:r>
      <w:r w:rsidR="00AB7A0F" w:rsidRPr="00AB7A0F">
        <w:t xml:space="preserve">Pharmacopoeia </w:t>
      </w:r>
      <w:r w:rsidR="009012AE">
        <w:t>drug substance monographs.</w:t>
      </w:r>
    </w:p>
    <w:p w:rsidR="008E7846" w:rsidRDefault="008E7846" w:rsidP="00940A89">
      <w:pPr>
        <w:pStyle w:val="Heading3"/>
      </w:pPr>
      <w:bookmarkStart w:id="32" w:name="_Toc468181697"/>
      <w:r w:rsidRPr="008751DC">
        <w:t xml:space="preserve">Drug </w:t>
      </w:r>
      <w:r>
        <w:t>s</w:t>
      </w:r>
      <w:r w:rsidRPr="008751DC">
        <w:t>ubstance</w:t>
      </w:r>
      <w:r>
        <w:t xml:space="preserve"> (active ingredient)</w:t>
      </w:r>
      <w:bookmarkEnd w:id="30"/>
      <w:bookmarkEnd w:id="31"/>
      <w:bookmarkEnd w:id="32"/>
    </w:p>
    <w:p w:rsidR="00B65480" w:rsidRPr="005A2529" w:rsidRDefault="00B65480" w:rsidP="005A2529">
      <w:r w:rsidRPr="005A2529">
        <w:t xml:space="preserve">Levonorgestrel and ethinyloestradiol drug substances (Figure 1) are each subject to </w:t>
      </w:r>
      <w:proofErr w:type="gramStart"/>
      <w:r w:rsidRPr="005A2529">
        <w:t>an</w:t>
      </w:r>
      <w:proofErr w:type="gramEnd"/>
      <w:r w:rsidRPr="005A2529">
        <w:t xml:space="preserve"> </w:t>
      </w:r>
      <w:r w:rsidR="009012AE" w:rsidRPr="00AB7A0F">
        <w:t>European Directorate for the Quality of Medicines</w:t>
      </w:r>
      <w:r w:rsidR="009012AE">
        <w:t xml:space="preserve"> (</w:t>
      </w:r>
      <w:r w:rsidR="009012AE" w:rsidRPr="006928C3">
        <w:t>EDQM</w:t>
      </w:r>
      <w:r w:rsidR="009012AE">
        <w:t>)</w:t>
      </w:r>
      <w:r w:rsidR="009012AE" w:rsidRPr="006928C3">
        <w:t xml:space="preserve"> Certificates of Suitability</w:t>
      </w:r>
      <w:r w:rsidRPr="005A2529">
        <w:t>.</w:t>
      </w:r>
    </w:p>
    <w:p w:rsidR="008E7846" w:rsidRDefault="00D51576" w:rsidP="002A2BB1">
      <w:pPr>
        <w:pStyle w:val="FigureTitle"/>
      </w:pPr>
      <w:r>
        <w:t xml:space="preserve">Figure 1: Chemical structures of </w:t>
      </w:r>
      <w:r w:rsidR="00AA0B32">
        <w:t>l</w:t>
      </w:r>
      <w:r w:rsidR="00AA0B32" w:rsidRPr="00B65480">
        <w:t>evonorgestrel and ethinyloestradiol</w:t>
      </w:r>
      <w:r w:rsidR="00AA0B32">
        <w:t>.</w:t>
      </w:r>
    </w:p>
    <w:p w:rsidR="00AA0B32" w:rsidRDefault="00AA0B32" w:rsidP="002A2BB1">
      <w:r>
        <w:rPr>
          <w:noProof/>
          <w:lang w:eastAsia="en-AU"/>
        </w:rPr>
        <w:drawing>
          <wp:inline distT="0" distB="0" distL="0" distR="0" wp14:anchorId="717A5EF1" wp14:editId="7E99301E">
            <wp:extent cx="4386877" cy="1595399"/>
            <wp:effectExtent l="0" t="0" r="0" b="5080"/>
            <wp:docPr id="1" name="Picture 1" descr="Figure 1: Chemical structures of levonorgestrel and ethinyloestradi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90579" cy="1596745"/>
                    </a:xfrm>
                    <a:prstGeom prst="rect">
                      <a:avLst/>
                    </a:prstGeom>
                  </pic:spPr>
                </pic:pic>
              </a:graphicData>
            </a:graphic>
          </wp:inline>
        </w:drawing>
      </w:r>
    </w:p>
    <w:p w:rsidR="0051131E" w:rsidRPr="0051131E" w:rsidRDefault="0051131E" w:rsidP="0051131E">
      <w:r w:rsidRPr="0051131E">
        <w:t xml:space="preserve">One polymorphic form is known for anhydrous </w:t>
      </w:r>
      <w:proofErr w:type="spellStart"/>
      <w:r w:rsidRPr="0051131E">
        <w:t>ethinylestradiol</w:t>
      </w:r>
      <w:proofErr w:type="spellEnd"/>
      <w:r w:rsidRPr="0051131E">
        <w:t xml:space="preserve">, while the manufacturing process for levonorgestrel yields a single crystalline form of the drug substance. Both levonorgestrel and ethinyloestradiol drug substances are micronised prior to use in the product to the acceptable particle size distribution (PSD) </w:t>
      </w:r>
      <w:r>
        <w:t>specification limits.</w:t>
      </w:r>
      <w:r w:rsidR="00DF7AD9">
        <w:t xml:space="preserve"> </w:t>
      </w:r>
      <w:r w:rsidRPr="0051131E">
        <w:t>The manufacturing and quality control of the drug substances (including the drug substance specifications) are</w:t>
      </w:r>
      <w:r w:rsidR="00DB15B7">
        <w:t xml:space="preserve"> acceptable.</w:t>
      </w:r>
    </w:p>
    <w:p w:rsidR="008E7846" w:rsidRDefault="008E7846" w:rsidP="008E7846">
      <w:pPr>
        <w:pStyle w:val="Heading3"/>
      </w:pPr>
      <w:bookmarkStart w:id="33" w:name="_Toc247691508"/>
      <w:bookmarkStart w:id="34" w:name="_Toc314842490"/>
      <w:bookmarkStart w:id="35" w:name="_Toc468181698"/>
      <w:r w:rsidRPr="008751DC">
        <w:t xml:space="preserve">Drug </w:t>
      </w:r>
      <w:r>
        <w:t>p</w:t>
      </w:r>
      <w:r w:rsidRPr="008751DC">
        <w:t>roduct</w:t>
      </w:r>
      <w:bookmarkEnd w:id="33"/>
      <w:bookmarkEnd w:id="34"/>
      <w:bookmarkEnd w:id="35"/>
    </w:p>
    <w:p w:rsidR="002A2BB1" w:rsidRDefault="00DB15B7" w:rsidP="00DB15B7">
      <w:r w:rsidRPr="00DB15B7">
        <w:t>The product is manufactured by conventional dry blending and com</w:t>
      </w:r>
      <w:r w:rsidR="009012AE">
        <w:t xml:space="preserve">pression manufacturing and film </w:t>
      </w:r>
      <w:r w:rsidRPr="00DB15B7">
        <w:t>coating process.</w:t>
      </w:r>
    </w:p>
    <w:p w:rsidR="00DB15B7" w:rsidRPr="00DB15B7" w:rsidRDefault="00DB15B7" w:rsidP="00DB15B7">
      <w:r w:rsidRPr="00DB15B7">
        <w:t xml:space="preserve">The </w:t>
      </w:r>
      <w:proofErr w:type="spellStart"/>
      <w:r w:rsidRPr="00DB15B7">
        <w:t>levonorgestrel</w:t>
      </w:r>
      <w:proofErr w:type="spellEnd"/>
      <w:r w:rsidRPr="00DB15B7">
        <w:t>/</w:t>
      </w:r>
      <w:proofErr w:type="spellStart"/>
      <w:r w:rsidRPr="00DB15B7">
        <w:t>ethinyloestradiol</w:t>
      </w:r>
      <w:proofErr w:type="spellEnd"/>
      <w:r w:rsidRPr="00DB15B7">
        <w:t xml:space="preserve"> tablet contains 150 </w:t>
      </w:r>
      <w:r>
        <w:t>µ</w:t>
      </w:r>
      <w:r w:rsidRPr="00DB15B7">
        <w:t xml:space="preserve">g levonorgestrel, 30 </w:t>
      </w:r>
      <w:r>
        <w:t>µ</w:t>
      </w:r>
      <w:r w:rsidRPr="00DB15B7">
        <w:t xml:space="preserve">g ethinyloestradiol as the active ingredients and 5 other conventional and commercially sourced excipients including anhydrous lactose, </w:t>
      </w:r>
      <w:proofErr w:type="spellStart"/>
      <w:r w:rsidRPr="00DB15B7">
        <w:t>hypromellose</w:t>
      </w:r>
      <w:proofErr w:type="spellEnd"/>
      <w:r w:rsidRPr="00DB15B7">
        <w:t xml:space="preserve">, microcrystalline cellulose, magnesium stearate and the proprietary coating agent </w:t>
      </w:r>
      <w:proofErr w:type="spellStart"/>
      <w:r w:rsidRPr="00DB15B7">
        <w:t>Opadry</w:t>
      </w:r>
      <w:proofErr w:type="spellEnd"/>
      <w:r w:rsidRPr="00DB15B7">
        <w:t xml:space="preserve"> Pink YS-1-14012. The </w:t>
      </w:r>
      <w:proofErr w:type="spellStart"/>
      <w:r w:rsidRPr="00DB15B7">
        <w:t>ethinyloestradiol</w:t>
      </w:r>
      <w:proofErr w:type="spellEnd"/>
      <w:r w:rsidRPr="00DB15B7">
        <w:t xml:space="preserve"> monotherapy tablet contains 10 </w:t>
      </w:r>
      <w:r>
        <w:t>µ</w:t>
      </w:r>
      <w:r w:rsidRPr="00DB15B7">
        <w:t xml:space="preserve">g ethinyloestradiol and 5 other conventional and commercially sourced excipients including anhydrous lactose, </w:t>
      </w:r>
      <w:proofErr w:type="spellStart"/>
      <w:r w:rsidRPr="00DB15B7">
        <w:t>polacrillin</w:t>
      </w:r>
      <w:proofErr w:type="spellEnd"/>
      <w:r w:rsidRPr="00DB15B7">
        <w:t xml:space="preserve"> </w:t>
      </w:r>
      <w:r w:rsidRPr="00DB15B7">
        <w:lastRenderedPageBreak/>
        <w:t xml:space="preserve">potassium, microcrystalline cellulose, magnesium stearate and the proprietary coating agent </w:t>
      </w:r>
      <w:proofErr w:type="spellStart"/>
      <w:r w:rsidRPr="00DB15B7">
        <w:t>Opadry</w:t>
      </w:r>
      <w:proofErr w:type="spellEnd"/>
      <w:r w:rsidRPr="00DB15B7">
        <w:t xml:space="preserve"> II White Y-22-7719.</w:t>
      </w:r>
    </w:p>
    <w:p w:rsidR="002A2BB1" w:rsidRDefault="00DB15B7" w:rsidP="00DB15B7">
      <w:r w:rsidRPr="00DB15B7">
        <w:t>The quality of the product is controlled by specifications that includes tests and limits for Appearance, Identification, Assay, Uniformity of Dosage Units, Related Substances, Dissolution, Water Content and Microbiological Quality.</w:t>
      </w:r>
    </w:p>
    <w:p w:rsidR="00DB15B7" w:rsidRPr="00DB15B7" w:rsidRDefault="00DB15B7" w:rsidP="00DB15B7">
      <w:r w:rsidRPr="00DB15B7">
        <w:t>While the dissolution test method is acceptable, the dissolution acceptance limit was not adequately justified by the data obtained from clinical batches. Although the s</w:t>
      </w:r>
      <w:r w:rsidR="00AD7EBE">
        <w:t>ponsor agrees that the</w:t>
      </w:r>
      <w:r w:rsidRPr="00DB15B7">
        <w:t xml:space="preserve"> limits </w:t>
      </w:r>
      <w:r w:rsidR="00AD7EBE">
        <w:t xml:space="preserve">that are supported by the clinical batch data </w:t>
      </w:r>
      <w:r w:rsidRPr="00DB15B7">
        <w:t>would provide a more discriminatory method and better product quality control, the sponsor has asked to retain the originally proposed (wider) limit. If the sponsor does not amend the dissolution specification limits in the response, then</w:t>
      </w:r>
      <w:r w:rsidR="008E5F80">
        <w:t xml:space="preserve"> the</w:t>
      </w:r>
      <w:r w:rsidRPr="00DB15B7">
        <w:t xml:space="preserve"> </w:t>
      </w:r>
      <w:r w:rsidR="00901270">
        <w:t>Pharmaceutical Chemistry Section (</w:t>
      </w:r>
      <w:r w:rsidRPr="00DB15B7">
        <w:t>PCS</w:t>
      </w:r>
      <w:r w:rsidR="00901270">
        <w:t>) of TGA</w:t>
      </w:r>
      <w:r w:rsidRPr="00DB15B7">
        <w:t xml:space="preserve"> recommend that the supported dissolution limits will be made a condition of registration. This matter remains outstanding, pending the sponsor’s response to the evaluation report.</w:t>
      </w:r>
    </w:p>
    <w:p w:rsidR="00DB15B7" w:rsidRPr="00DB15B7" w:rsidRDefault="00DB15B7" w:rsidP="00DB15B7">
      <w:r w:rsidRPr="00DB15B7">
        <w:t xml:space="preserve">The proposed release and expiry limits for specified degradation products are in line with the </w:t>
      </w:r>
      <w:r w:rsidR="009012AE" w:rsidRPr="009012AE">
        <w:t xml:space="preserve">International Conference on Harmonisation </w:t>
      </w:r>
      <w:r w:rsidR="009012AE">
        <w:t>(</w:t>
      </w:r>
      <w:r w:rsidRPr="00DB15B7">
        <w:t>ICH</w:t>
      </w:r>
      <w:r w:rsidR="009012AE">
        <w:t>)</w:t>
      </w:r>
      <w:r w:rsidRPr="00DB15B7">
        <w:t xml:space="preserve"> identification and qualification threshold of 1.0%, based on the recommended daily dose of 150 </w:t>
      </w:r>
      <w:r>
        <w:t>µ</w:t>
      </w:r>
      <w:r w:rsidRPr="00DB15B7">
        <w:t xml:space="preserve">g levonorgestrel and 30 </w:t>
      </w:r>
      <w:r>
        <w:t>µ</w:t>
      </w:r>
      <w:r w:rsidRPr="00DB15B7">
        <w:t xml:space="preserve">g ethinyloestradiol (as the worst case </w:t>
      </w:r>
      <w:r w:rsidR="000A0770">
        <w:t>between the combination versus</w:t>
      </w:r>
      <w:r w:rsidRPr="00DB15B7">
        <w:t xml:space="preserve"> mono tablets). However, the storage stability data showed an increasing trend in impurities Δ9</w:t>
      </w:r>
      <w:proofErr w:type="gramStart"/>
      <w:r w:rsidRPr="00DB15B7">
        <w:t>,11</w:t>
      </w:r>
      <w:proofErr w:type="gramEnd"/>
      <w:r w:rsidRPr="00DB15B7">
        <w:t>–</w:t>
      </w:r>
      <w:proofErr w:type="spellStart"/>
      <w:r w:rsidRPr="00DB15B7">
        <w:t>Ethinylestradiol</w:t>
      </w:r>
      <w:proofErr w:type="spellEnd"/>
      <w:r w:rsidRPr="00DB15B7">
        <w:t>, 6-Keto-ethinylestradiol, and single unknown impurity for the combination tablet. However, the release and expiry related substance specification limits do not permit such increase and therefore, the release limits are not acceptable and no shelf life can be set at this stage. The same applies to the mono tablet, where the storage stability data showed an increasing trend in Δ9</w:t>
      </w:r>
      <w:proofErr w:type="gramStart"/>
      <w:r w:rsidRPr="00DB15B7">
        <w:t>,11</w:t>
      </w:r>
      <w:proofErr w:type="gramEnd"/>
      <w:r w:rsidRPr="00DB15B7">
        <w:t>–</w:t>
      </w:r>
      <w:proofErr w:type="spellStart"/>
      <w:r w:rsidRPr="00DB15B7">
        <w:t>Ethinylestradiol</w:t>
      </w:r>
      <w:proofErr w:type="spellEnd"/>
      <w:r w:rsidRPr="00DB15B7">
        <w:t xml:space="preserve"> and 6-Keto-ethinylestradiol, but again the release and expiry specification limits do not permit such increases. For this reason</w:t>
      </w:r>
      <w:r w:rsidR="008E5F80">
        <w:t>,</w:t>
      </w:r>
      <w:r w:rsidR="00B010C8">
        <w:t xml:space="preserve"> PCS cannot recommend approval.</w:t>
      </w:r>
    </w:p>
    <w:p w:rsidR="00DB15B7" w:rsidRPr="00DB15B7" w:rsidRDefault="00DB15B7" w:rsidP="00DB15B7">
      <w:pPr>
        <w:rPr>
          <w:highlight w:val="yellow"/>
        </w:rPr>
      </w:pPr>
      <w:r w:rsidRPr="00DB15B7">
        <w:t>All other release specification limits and expiry specification limits are otherwise acceptable.</w:t>
      </w:r>
    </w:p>
    <w:p w:rsidR="002A2BB1" w:rsidRDefault="00DB15B7" w:rsidP="00DB15B7">
      <w:r w:rsidRPr="00DB15B7">
        <w:t xml:space="preserve">The analytical methods used to analyse the product were adequately described and validated. </w:t>
      </w:r>
    </w:p>
    <w:p w:rsidR="00DB15B7" w:rsidRDefault="00DB15B7" w:rsidP="00DB15B7">
      <w:r w:rsidRPr="00DB15B7">
        <w:t xml:space="preserve">Acceptable </w:t>
      </w:r>
      <w:r w:rsidR="008E5F80">
        <w:t>Good Manufacturing Practice (</w:t>
      </w:r>
      <w:r w:rsidRPr="00DB15B7">
        <w:t>GMP</w:t>
      </w:r>
      <w:r w:rsidR="008E5F80">
        <w:t>)</w:t>
      </w:r>
      <w:r w:rsidRPr="00DB15B7">
        <w:t xml:space="preserve"> clearance was provided for most of the manufacturing sites, except for the</w:t>
      </w:r>
      <w:r>
        <w:t xml:space="preserve"> finished product manufacturer</w:t>
      </w:r>
      <w:r w:rsidRPr="00DB15B7">
        <w:t>. The sponsor has submitted an application to renew the GMP clearance for this site, but a new GMP clearance has not been issued. T</w:t>
      </w:r>
      <w:r w:rsidR="00AD7EBE">
        <w:t>his matter remains outstanding.</w:t>
      </w:r>
      <w:r w:rsidR="00AD7EBE">
        <w:rPr>
          <w:rStyle w:val="FootnoteReference"/>
        </w:rPr>
        <w:footnoteReference w:id="2"/>
      </w:r>
    </w:p>
    <w:p w:rsidR="00A11C49" w:rsidRDefault="00A11C49" w:rsidP="00A11C49">
      <w:r w:rsidRPr="00A11C49">
        <w:t xml:space="preserve">The stability data supplied supported a </w:t>
      </w:r>
      <w:r w:rsidRPr="00A11C49">
        <w:rPr>
          <w:b/>
        </w:rPr>
        <w:t>shelf life of 24 months</w:t>
      </w:r>
      <w:r w:rsidRPr="00A11C49">
        <w:t xml:space="preserve"> for the unopened product in PVC/TE</w:t>
      </w:r>
      <w:r w:rsidR="003C34A0">
        <w:t xml:space="preserve"> </w:t>
      </w:r>
      <w:r w:rsidRPr="00A11C49">
        <w:t xml:space="preserve">(thermo-elastomer)/PVDC//AL blisters when it is </w:t>
      </w:r>
      <w:r w:rsidRPr="00A11C49">
        <w:rPr>
          <w:b/>
        </w:rPr>
        <w:t>stored below 25 °C</w:t>
      </w:r>
      <w:r w:rsidRPr="00A11C49">
        <w:t xml:space="preserve"> (in the original pack to pro</w:t>
      </w:r>
      <w:r w:rsidR="00027916">
        <w:t>tect from light and moisture).</w:t>
      </w:r>
    </w:p>
    <w:p w:rsidR="00027916" w:rsidRDefault="00027916" w:rsidP="00027916">
      <w:pPr>
        <w:pStyle w:val="Heading4"/>
      </w:pPr>
      <w:r>
        <w:t>Update</w:t>
      </w:r>
    </w:p>
    <w:p w:rsidR="002A2BB1" w:rsidRDefault="00027916" w:rsidP="00027916">
      <w:r w:rsidRPr="00A11C49">
        <w:t>Acceptable GMP clearance was subsequently provided for this manufacturing site.</w:t>
      </w:r>
    </w:p>
    <w:p w:rsidR="00027916" w:rsidRPr="00A11C49" w:rsidRDefault="00027916" w:rsidP="00027916">
      <w:r w:rsidRPr="00A11C49">
        <w:t>The sponsor subsequently agreed to change the dissolution specification limits and related substances release specification limits. The dissolution test method is acceptable. The dissolution acceptance limits are supported by the clinical batch dissolution data and are acceptable.</w:t>
      </w:r>
    </w:p>
    <w:p w:rsidR="002A2BB1" w:rsidRDefault="00027916" w:rsidP="00027916">
      <w:r w:rsidRPr="00A11C49">
        <w:t>The revised release specification limits for related substances are acceptable on the basis of the stability trends.</w:t>
      </w:r>
    </w:p>
    <w:p w:rsidR="008E7846" w:rsidRDefault="008E7846" w:rsidP="008E7846">
      <w:pPr>
        <w:pStyle w:val="Heading3"/>
      </w:pPr>
      <w:bookmarkStart w:id="36" w:name="_Toc314842491"/>
      <w:bookmarkStart w:id="37" w:name="_Toc468181699"/>
      <w:r>
        <w:lastRenderedPageBreak/>
        <w:t>Biopharmaceutics</w:t>
      </w:r>
      <w:bookmarkEnd w:id="36"/>
      <w:bookmarkEnd w:id="37"/>
    </w:p>
    <w:p w:rsidR="002A2BB1" w:rsidRDefault="003C34A0" w:rsidP="00FC5D38">
      <w:r w:rsidRPr="00FC5D38">
        <w:t xml:space="preserve">The pivotal clinical studies were performed using Seasonique CT which is a different formulation to the proposed product with respect to the coating agents and colours. To justify this approach, the sponsor provided adequate </w:t>
      </w:r>
      <w:proofErr w:type="spellStart"/>
      <w:r w:rsidRPr="00FC5D38">
        <w:t>physico</w:t>
      </w:r>
      <w:proofErr w:type="spellEnd"/>
      <w:r w:rsidRPr="00FC5D38">
        <w:t>-chemical data (including dissolution profile data) and it is accepted from a pharmaceutical chemistry perspective that the proposed tablets will be bioequivalent to the clinical trial tablets.</w:t>
      </w:r>
    </w:p>
    <w:p w:rsidR="008E7846" w:rsidRPr="008751DC" w:rsidRDefault="008E7846" w:rsidP="008E7846">
      <w:pPr>
        <w:pStyle w:val="Heading3"/>
      </w:pPr>
      <w:bookmarkStart w:id="38" w:name="_Toc247691509"/>
      <w:bookmarkStart w:id="39" w:name="_Toc314842493"/>
      <w:bookmarkStart w:id="40" w:name="_Toc468181700"/>
      <w:r>
        <w:t>Quality s</w:t>
      </w:r>
      <w:r w:rsidRPr="008751DC">
        <w:t>ummary</w:t>
      </w:r>
      <w:r>
        <w:t xml:space="preserve"> and conclusions</w:t>
      </w:r>
      <w:bookmarkEnd w:id="38"/>
      <w:bookmarkEnd w:id="39"/>
      <w:bookmarkEnd w:id="40"/>
    </w:p>
    <w:p w:rsidR="00FC5D38" w:rsidRPr="00FC5D38" w:rsidRDefault="00FC5D38" w:rsidP="00FC5D38">
      <w:r w:rsidRPr="00FC5D38">
        <w:t xml:space="preserve">There are no further outstanding issues that require resolution and approval can be recommended from a pharmaceutical chemistry and </w:t>
      </w:r>
      <w:r w:rsidR="00E07056">
        <w:t>biopharmaceutics perspective.</w:t>
      </w:r>
    </w:p>
    <w:p w:rsidR="002A2BB1" w:rsidRDefault="00FC5D38" w:rsidP="00E07056">
      <w:r w:rsidRPr="00E07056">
        <w:t>The application has not been consid</w:t>
      </w:r>
      <w:r w:rsidR="00CE0AD7">
        <w:t>ered by the Pharmaceutical Subc</w:t>
      </w:r>
      <w:r w:rsidRPr="00E07056">
        <w:t xml:space="preserve">ommittee </w:t>
      </w:r>
      <w:r w:rsidR="00CE0AD7">
        <w:t xml:space="preserve">(PSC) </w:t>
      </w:r>
      <w:r w:rsidRPr="00E07056">
        <w:t xml:space="preserve">of the ACPM because no issues requiring their expertise were identified during the chemistry and quality evaluation. </w:t>
      </w:r>
    </w:p>
    <w:p w:rsidR="008E7846" w:rsidRDefault="008E7846" w:rsidP="008E7846">
      <w:pPr>
        <w:pStyle w:val="Heading2"/>
      </w:pPr>
      <w:bookmarkStart w:id="41" w:name="_Toc196046439"/>
      <w:bookmarkStart w:id="42" w:name="_Toc247691510"/>
      <w:bookmarkStart w:id="43" w:name="_Toc314842494"/>
      <w:bookmarkStart w:id="44" w:name="_Toc468181701"/>
      <w:r>
        <w:t>III. Nonclinical</w:t>
      </w:r>
      <w:bookmarkEnd w:id="41"/>
      <w:r>
        <w:t xml:space="preserve"> findings</w:t>
      </w:r>
      <w:bookmarkEnd w:id="42"/>
      <w:bookmarkEnd w:id="43"/>
      <w:bookmarkEnd w:id="44"/>
    </w:p>
    <w:p w:rsidR="00432FAB" w:rsidRPr="00432FAB" w:rsidRDefault="00432FAB" w:rsidP="00432FAB">
      <w:pPr>
        <w:pStyle w:val="Heading3"/>
      </w:pPr>
      <w:bookmarkStart w:id="45" w:name="_Toc468181702"/>
      <w:r>
        <w:t>Assessment</w:t>
      </w:r>
      <w:bookmarkEnd w:id="45"/>
    </w:p>
    <w:p w:rsidR="005A2529" w:rsidRPr="005A2529" w:rsidRDefault="005A2529" w:rsidP="005A2529">
      <w:pPr>
        <w:pStyle w:val="ListBullet"/>
      </w:pPr>
      <w:bookmarkStart w:id="46" w:name="_Toc247691511"/>
      <w:bookmarkStart w:id="47" w:name="_Toc314842495"/>
      <w:r>
        <w:t>The sponsor</w:t>
      </w:r>
      <w:r w:rsidRPr="005A2529">
        <w:t xml:space="preserve"> has applied to register Seasonique, consisting of tablets containing levonorgestrel and ethinyloestradiol in combination (150 </w:t>
      </w:r>
      <w:proofErr w:type="spellStart"/>
      <w:r w:rsidRPr="005A2529">
        <w:t>μg</w:t>
      </w:r>
      <w:proofErr w:type="spellEnd"/>
      <w:r w:rsidRPr="005A2529">
        <w:t xml:space="preserve">/30 </w:t>
      </w:r>
      <w:proofErr w:type="spellStart"/>
      <w:r w:rsidRPr="005A2529">
        <w:t>μg</w:t>
      </w:r>
      <w:proofErr w:type="spellEnd"/>
      <w:r w:rsidRPr="005A2529">
        <w:t xml:space="preserve">) and tablets containing ethinyloestradiol as a single agent (10 </w:t>
      </w:r>
      <w:proofErr w:type="spellStart"/>
      <w:r w:rsidRPr="005A2529">
        <w:t>μg</w:t>
      </w:r>
      <w:proofErr w:type="spellEnd"/>
      <w:r w:rsidRPr="005A2529">
        <w:t>). The product is proposed to be used as an oral contraceptive, with the dosing regimen involving once daily administration of one tablet on a continuous 91</w:t>
      </w:r>
      <w:r w:rsidR="00BE35A3">
        <w:t xml:space="preserve"> </w:t>
      </w:r>
      <w:r w:rsidRPr="005A2529">
        <w:t>day cycle</w:t>
      </w:r>
      <w:r w:rsidR="006D6449">
        <w:t>:</w:t>
      </w:r>
      <w:r w:rsidR="00BE35A3">
        <w:t xml:space="preserve"> the levonorgestrel/</w:t>
      </w:r>
      <w:r w:rsidRPr="005A2529">
        <w:t>ethinyloestradiol tablet is taken for 84 consecutive days followed by the ethinyloestradiol tablet for 7 days. Formulation details are given.</w:t>
      </w:r>
    </w:p>
    <w:p w:rsidR="005A2529" w:rsidRPr="005A2529" w:rsidRDefault="005A2529" w:rsidP="005A2529">
      <w:pPr>
        <w:pStyle w:val="ListBullet"/>
      </w:pPr>
      <w:r w:rsidRPr="005A2529">
        <w:t>This application represents a major variation (change in dosage regimen) for levonorg</w:t>
      </w:r>
      <w:r w:rsidR="00BE35A3">
        <w:t>estrel/ethinyloestradiol. E</w:t>
      </w:r>
      <w:r w:rsidRPr="005A2529">
        <w:t>xisting levonorgestrel/ethinyloestradiol</w:t>
      </w:r>
      <w:r w:rsidR="00B65ABD">
        <w:t xml:space="preserve"> </w:t>
      </w:r>
      <w:r w:rsidRPr="005A2529">
        <w:t>containing contraceptive products are taken on a 28</w:t>
      </w:r>
      <w:r w:rsidR="00BE35A3">
        <w:t xml:space="preserve"> </w:t>
      </w:r>
      <w:r w:rsidRPr="005A2529">
        <w:t>day cycle (21 days active phase with levonorgestrel and ethinyloestradiol in combination; 7 days placebo or tablet</w:t>
      </w:r>
      <w:r w:rsidR="00BB7BCE">
        <w:t xml:space="preserve"> </w:t>
      </w:r>
      <w:r w:rsidRPr="005A2529">
        <w:t>free phase). The sponsor proposes that the removal of an inactive phase provides greater ovarian suppression, re</w:t>
      </w:r>
      <w:r w:rsidR="00BB7BCE">
        <w:t xml:space="preserve">duces the potential for hormone </w:t>
      </w:r>
      <w:r w:rsidRPr="005A2529">
        <w:t>withdrawal symptoms and improves the bleeding profile.</w:t>
      </w:r>
    </w:p>
    <w:p w:rsidR="005A2529" w:rsidRPr="005A2529" w:rsidRDefault="005A2529" w:rsidP="005A2529">
      <w:pPr>
        <w:pStyle w:val="ListBullet"/>
      </w:pPr>
      <w:r w:rsidRPr="005A2529">
        <w:t>The maximum daily dose of the two active ingredients is not increased with Sea</w:t>
      </w:r>
      <w:r w:rsidR="00BB7BCE">
        <w:t xml:space="preserve">sonique compared with </w:t>
      </w:r>
      <w:r w:rsidRPr="005A2529">
        <w:t>existing approved therapies.</w:t>
      </w:r>
    </w:p>
    <w:p w:rsidR="005A2529" w:rsidRPr="005A2529" w:rsidRDefault="00432FAB" w:rsidP="005A2529">
      <w:pPr>
        <w:pStyle w:val="ListBullet"/>
      </w:pPr>
      <w:r>
        <w:t>The nonclinical dossier</w:t>
      </w:r>
      <w:r w:rsidR="005A2529" w:rsidRPr="005A2529">
        <w:t xml:space="preserve"> comprised 68 literature references, but was not a formal literature</w:t>
      </w:r>
      <w:r w:rsidR="00875B96">
        <w:t xml:space="preserve"> </w:t>
      </w:r>
      <w:r w:rsidR="005A2529" w:rsidRPr="005A2529">
        <w:t>based submission. The nonclinical data do not cover the change in dosing regimen. It is acceptable that this be addressed from clinical data only, particularly given that hormonal regulation of reproductive function is highly species</w:t>
      </w:r>
      <w:r w:rsidR="00BB7BCE">
        <w:t xml:space="preserve"> </w:t>
      </w:r>
      <w:r w:rsidR="005A2529" w:rsidRPr="005A2529">
        <w:t>specific, making extrapolation of animal data to humans difficult.</w:t>
      </w:r>
    </w:p>
    <w:p w:rsidR="005A2529" w:rsidRPr="005A2529" w:rsidRDefault="005A2529" w:rsidP="005A2529">
      <w:pPr>
        <w:pStyle w:val="ListBullet"/>
      </w:pPr>
      <w:r w:rsidRPr="005A2529">
        <w:t xml:space="preserve">The literature references submitted by the sponsor in the nonclinical dossier have been offered to support statements proposed for the </w:t>
      </w:r>
      <w:r w:rsidR="00BB7BCE">
        <w:t>PI</w:t>
      </w:r>
      <w:r w:rsidRPr="005A2529">
        <w:t xml:space="preserve"> document that deviate from text approved in existing Australian PIs for l</w:t>
      </w:r>
      <w:r w:rsidR="002A27AC">
        <w:t xml:space="preserve">evonorgestrel/ethinyloestradiol </w:t>
      </w:r>
      <w:r w:rsidRPr="005A2529">
        <w:t xml:space="preserve">containing products. </w:t>
      </w:r>
      <w:proofErr w:type="gramStart"/>
      <w:r w:rsidRPr="005A2529">
        <w:t>These deal</w:t>
      </w:r>
      <w:proofErr w:type="gramEnd"/>
      <w:r w:rsidRPr="005A2529">
        <w:t xml:space="preserve"> with Distribution, Metabolism, Use in Pregnancy, Genotoxicity and Carcinogenicity.</w:t>
      </w:r>
    </w:p>
    <w:p w:rsidR="005A2529" w:rsidRPr="005A2529" w:rsidRDefault="005A2529" w:rsidP="005A2529">
      <w:pPr>
        <w:pStyle w:val="ListBullet"/>
      </w:pPr>
      <w:r w:rsidRPr="005A2529">
        <w:t xml:space="preserve">There are no nonclinical objections to the registration of Seasonique. The </w:t>
      </w:r>
      <w:r w:rsidR="002A27AC">
        <w:t>PI</w:t>
      </w:r>
      <w:r w:rsidRPr="005A2529">
        <w:t>, though, should be amended as described. In particular, known or suspected pregnancy should be added as a contraindication.</w:t>
      </w:r>
    </w:p>
    <w:p w:rsidR="008E7846" w:rsidRPr="00254787" w:rsidRDefault="008E7846" w:rsidP="008E7846">
      <w:pPr>
        <w:pStyle w:val="Heading2"/>
      </w:pPr>
      <w:bookmarkStart w:id="48" w:name="_Toc196046462"/>
      <w:bookmarkStart w:id="49" w:name="_Toc247691516"/>
      <w:bookmarkStart w:id="50" w:name="_Toc314842500"/>
      <w:bookmarkStart w:id="51" w:name="_Toc468181703"/>
      <w:bookmarkStart w:id="52" w:name="_Toc163441353"/>
      <w:bookmarkStart w:id="53" w:name="_Toc163441348"/>
      <w:bookmarkEnd w:id="46"/>
      <w:bookmarkEnd w:id="47"/>
      <w:r>
        <w:lastRenderedPageBreak/>
        <w:t xml:space="preserve">IV. </w:t>
      </w:r>
      <w:r w:rsidRPr="00254787">
        <w:t>Clinical</w:t>
      </w:r>
      <w:bookmarkEnd w:id="48"/>
      <w:r>
        <w:t xml:space="preserve"> </w:t>
      </w:r>
      <w:r w:rsidR="003A7F6C">
        <w:t>f</w:t>
      </w:r>
      <w:r>
        <w:t>indings</w:t>
      </w:r>
      <w:bookmarkEnd w:id="49"/>
      <w:bookmarkEnd w:id="50"/>
      <w:bookmarkEnd w:id="51"/>
    </w:p>
    <w:p w:rsidR="00C80137" w:rsidRDefault="00C80137" w:rsidP="00D425BB">
      <w:bookmarkStart w:id="54"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55" w:name="_Toc247691517"/>
      <w:bookmarkStart w:id="56" w:name="_Toc314842501"/>
      <w:bookmarkStart w:id="57" w:name="_Toc468181704"/>
      <w:r w:rsidRPr="00254787">
        <w:t>Introduction</w:t>
      </w:r>
      <w:bookmarkEnd w:id="54"/>
      <w:bookmarkEnd w:id="55"/>
      <w:bookmarkEnd w:id="56"/>
      <w:bookmarkEnd w:id="57"/>
    </w:p>
    <w:p w:rsidR="00B65ABD" w:rsidRPr="00B65ABD" w:rsidRDefault="00B65ABD" w:rsidP="00B65ABD">
      <w:r w:rsidRPr="00B65ABD">
        <w:t xml:space="preserve">Ethinyloestradiol and levonorgestrel are synthetic steroid hormones with predominantly oestrogenic and </w:t>
      </w:r>
      <w:proofErr w:type="spellStart"/>
      <w:r w:rsidRPr="00B65ABD">
        <w:t>progestogenic</w:t>
      </w:r>
      <w:proofErr w:type="spellEnd"/>
      <w:r w:rsidRPr="00B65ABD">
        <w:t xml:space="preserve"> actions, respectively.</w:t>
      </w:r>
    </w:p>
    <w:p w:rsidR="002A2BB1" w:rsidRDefault="00B65ABD" w:rsidP="00B65ABD">
      <w:bookmarkStart w:id="58" w:name="_Toc429572847"/>
      <w:r w:rsidRPr="00B65ABD">
        <w:t>The submission proposes registration of the two dosage forms and strengths as described above:</w:t>
      </w:r>
      <w:bookmarkEnd w:id="58"/>
    </w:p>
    <w:p w:rsidR="002A2BB1" w:rsidRDefault="00B65ABD" w:rsidP="00B65ABD">
      <w:pPr>
        <w:pStyle w:val="ListBullet"/>
      </w:pPr>
      <w:bookmarkStart w:id="59" w:name="_Toc429572848"/>
      <w:r w:rsidRPr="00B65ABD">
        <w:t xml:space="preserve">an oral tablet containing the combination of ethinyloestradiol 30 µg and </w:t>
      </w:r>
      <w:proofErr w:type="spellStart"/>
      <w:r w:rsidRPr="00B65ABD">
        <w:t>levonorgestrel</w:t>
      </w:r>
      <w:proofErr w:type="spellEnd"/>
      <w:r w:rsidRPr="00B65ABD">
        <w:t xml:space="preserve"> 150 µg</w:t>
      </w:r>
      <w:bookmarkEnd w:id="59"/>
    </w:p>
    <w:p w:rsidR="00B65ABD" w:rsidRPr="00B65ABD" w:rsidRDefault="00B65ABD" w:rsidP="00B65ABD">
      <w:pPr>
        <w:pStyle w:val="ListBullet"/>
      </w:pPr>
      <w:bookmarkStart w:id="60" w:name="_Toc429572849"/>
      <w:proofErr w:type="gramStart"/>
      <w:r w:rsidRPr="00B65ABD">
        <w:t>an</w:t>
      </w:r>
      <w:proofErr w:type="gramEnd"/>
      <w:r w:rsidRPr="00B65ABD">
        <w:t xml:space="preserve"> oral tablet containing ethinyloestradiol 10 µg</w:t>
      </w:r>
      <w:bookmarkEnd w:id="60"/>
      <w:r w:rsidR="00321025">
        <w:t>.</w:t>
      </w:r>
    </w:p>
    <w:p w:rsidR="00605AD4" w:rsidRDefault="00605AD4" w:rsidP="00605AD4">
      <w:pPr>
        <w:pStyle w:val="Heading4"/>
      </w:pPr>
      <w:bookmarkStart w:id="61" w:name="_Toc196046464"/>
      <w:bookmarkStart w:id="62" w:name="_Toc247691518"/>
      <w:bookmarkStart w:id="63" w:name="_Toc314842502"/>
      <w:r w:rsidRPr="00605AD4">
        <w:t xml:space="preserve">Clinical </w:t>
      </w:r>
      <w:r w:rsidR="00F45446">
        <w:t>r</w:t>
      </w:r>
      <w:r w:rsidRPr="00605AD4">
        <w:t>ationale</w:t>
      </w:r>
    </w:p>
    <w:p w:rsidR="0099163E" w:rsidRPr="0099163E" w:rsidRDefault="0099163E" w:rsidP="0099163E">
      <w:r w:rsidRPr="0099163E">
        <w:t xml:space="preserve">COCs were originally developed in the 1960s using a 28 day cycle because it was felt appropriate to mimic the physiological ovarian cycle in which menstruation occurs when progesterone levels fall at the end of the luteal phase in the absence </w:t>
      </w:r>
      <w:r w:rsidR="00321025">
        <w:t xml:space="preserve">of conception having occurred. </w:t>
      </w:r>
      <w:r w:rsidRPr="0099163E">
        <w:t xml:space="preserve">Typically, 21-22 days of a combined oestrogen/progestogen tablet are given followed by </w:t>
      </w:r>
      <w:r>
        <w:t>a 6-7 day HFI</w:t>
      </w:r>
      <w:r w:rsidRPr="0099163E">
        <w:t xml:space="preserve"> during which withdra</w:t>
      </w:r>
      <w:r>
        <w:t xml:space="preserve">wal bleeding occurs. </w:t>
      </w:r>
      <w:r w:rsidRPr="0099163E">
        <w:t>Early COC formulations contained oestrogen doses of or equivalent to ethinyloestradiol in the 50-100 µg range.  These were associated with significant side</w:t>
      </w:r>
      <w:r w:rsidR="00321025">
        <w:t xml:space="preserve"> </w:t>
      </w:r>
      <w:r w:rsidRPr="0099163E">
        <w:t>effects, particularly thromboembolic disorders, and subsequent product development involved lowering the ethinyloestradiol (or equivalent) dose to the 20-30 µg level as in the applicant product.</w:t>
      </w:r>
    </w:p>
    <w:p w:rsidR="0099163E" w:rsidRPr="0099163E" w:rsidRDefault="0099163E" w:rsidP="0099163E">
      <w:r w:rsidRPr="0099163E">
        <w:t>Following the acceptance of COCs as a safe and effective method of contraception, they came into use also as a means of regulating the menstrual cycle in women with a variety of cycle disorders involving irregular, excessively frequent or infrequent menstruation.  The practice then developed of giving COC tablets continuously as a form of medically induced amenorrhoea for women with medical conditions which worsened during menstruation.  The principle of using this method for women desiring contraception but without medical indications for menstrual suppression</w:t>
      </w:r>
      <w:r>
        <w:t xml:space="preserve"> is well summarised by Edelman</w:t>
      </w:r>
      <w:r w:rsidRPr="0099163E">
        <w:t>,</w:t>
      </w:r>
      <w:r>
        <w:rPr>
          <w:rStyle w:val="FootnoteReference"/>
        </w:rPr>
        <w:footnoteReference w:id="3"/>
      </w:r>
      <w:r w:rsidRPr="0099163E">
        <w:t xml:space="preserve"> who cites the proven safety and acceptability of the approach as encouraging compliance with the contraceptive regimen and having the potential to improve women's quality of life.</w:t>
      </w:r>
    </w:p>
    <w:p w:rsidR="0099163E" w:rsidRPr="0099163E" w:rsidRDefault="0099163E" w:rsidP="0099163E">
      <w:r w:rsidRPr="0099163E">
        <w:t xml:space="preserve">The rationale for using 7 days administration of the low 10 µg dose of ethinyloestradiol in place of the HFI is outlined </w:t>
      </w:r>
      <w:r w:rsidR="00027916">
        <w:t xml:space="preserve">and </w:t>
      </w:r>
      <w:r w:rsidRPr="0099163E">
        <w:t>is based on the hypothesis that this will maintain suppression of the hypothalamic-pituitary-ovarian axis during the HFI, thus limiting the possibility of escape ovulation so that contraceptive efficacy might be improved or at least maintained.  It is also postulated that this regimen might reduce the likelihood of hormone withdrawal symptoms during the HFI, and improve the pattern of withdrawal bleeding.</w:t>
      </w:r>
    </w:p>
    <w:p w:rsidR="00605AD4" w:rsidRDefault="00605AD4" w:rsidP="00605AD4">
      <w:pPr>
        <w:pStyle w:val="Heading4"/>
      </w:pPr>
      <w:r w:rsidRPr="00605AD4">
        <w:t>Guidance</w:t>
      </w:r>
    </w:p>
    <w:p w:rsidR="00232A97" w:rsidRPr="00232A97" w:rsidRDefault="00321025" w:rsidP="00232A97">
      <w:r>
        <w:t>The relevant EMA guideline</w:t>
      </w:r>
      <w:r>
        <w:rPr>
          <w:rStyle w:val="FootnoteReference"/>
        </w:rPr>
        <w:footnoteReference w:id="4"/>
      </w:r>
      <w:r>
        <w:t xml:space="preserve"> </w:t>
      </w:r>
      <w:r w:rsidR="00812AF3" w:rsidRPr="00812AF3">
        <w:t>(adopted by the TGA) is noted.</w:t>
      </w:r>
    </w:p>
    <w:p w:rsidR="00605AD4" w:rsidRDefault="00605AD4" w:rsidP="00605AD4">
      <w:pPr>
        <w:pStyle w:val="Heading4"/>
      </w:pPr>
      <w:r w:rsidRPr="00605AD4">
        <w:lastRenderedPageBreak/>
        <w:t>Contents of the clinical dossier</w:t>
      </w:r>
    </w:p>
    <w:p w:rsidR="00812AF3" w:rsidRPr="00812AF3" w:rsidRDefault="00812AF3" w:rsidP="00812AF3">
      <w:r w:rsidRPr="00812AF3">
        <w:t>The submission contained the following clinical information:</w:t>
      </w:r>
    </w:p>
    <w:p w:rsidR="00812AF3" w:rsidRPr="00812AF3" w:rsidRDefault="00812AF3" w:rsidP="00812AF3">
      <w:pPr>
        <w:pStyle w:val="ListBullet"/>
      </w:pPr>
      <w:r w:rsidRPr="00812AF3">
        <w:t>6 clinical pharmacology studies, including 2 that provided pharmacokinetic data and 4 that provided pharmacodynamic data.</w:t>
      </w:r>
    </w:p>
    <w:p w:rsidR="00812AF3" w:rsidRPr="00812AF3" w:rsidRDefault="00812AF3" w:rsidP="00812AF3">
      <w:pPr>
        <w:pStyle w:val="ListBullet"/>
      </w:pPr>
      <w:r w:rsidRPr="00812AF3">
        <w:t>1 pivotal efficacy/safety study.</w:t>
      </w:r>
    </w:p>
    <w:p w:rsidR="00812AF3" w:rsidRPr="00812AF3" w:rsidRDefault="00812AF3" w:rsidP="00812AF3">
      <w:pPr>
        <w:pStyle w:val="ListBullet"/>
      </w:pPr>
      <w:r w:rsidRPr="00812AF3">
        <w:t>4 other efficacy/safety studies.</w:t>
      </w:r>
    </w:p>
    <w:p w:rsidR="00605AD4" w:rsidRDefault="00605AD4" w:rsidP="00605AD4">
      <w:pPr>
        <w:pStyle w:val="Heading4"/>
      </w:pPr>
      <w:r w:rsidRPr="00605AD4">
        <w:t>Paediatric data</w:t>
      </w:r>
    </w:p>
    <w:p w:rsidR="00812AF3" w:rsidRPr="005C376C" w:rsidRDefault="00812AF3" w:rsidP="005C376C">
      <w:bookmarkStart w:id="64" w:name="_Toc429572866"/>
      <w:r w:rsidRPr="005C376C">
        <w:t>The submission di</w:t>
      </w:r>
      <w:r w:rsidR="00F300CE">
        <w:t xml:space="preserve">d not include paediatric data. </w:t>
      </w:r>
      <w:r w:rsidRPr="005C376C">
        <w:t>The product is n</w:t>
      </w:r>
      <w:r w:rsidR="003D3891">
        <w:t>ot intended for paediatric use.</w:t>
      </w:r>
      <w:r w:rsidRPr="005C376C">
        <w:t xml:space="preserve"> Note however that data has been submitted in relation to adolescent females (study DR-105-202) and comments on the potential for use in this age group are included in this report.</w:t>
      </w:r>
      <w:bookmarkEnd w:id="64"/>
    </w:p>
    <w:p w:rsidR="00605AD4" w:rsidRDefault="00605AD4" w:rsidP="00605AD4">
      <w:pPr>
        <w:pStyle w:val="Heading4"/>
      </w:pPr>
      <w:r w:rsidRPr="00605AD4">
        <w:t>Good clinical practice</w:t>
      </w:r>
    </w:p>
    <w:p w:rsidR="005C376C" w:rsidRPr="00F300CE" w:rsidRDefault="005C376C" w:rsidP="00F300CE">
      <w:r w:rsidRPr="00F300CE">
        <w:t>The submitted studies all state compliance with the required guidelines and appear to have been conducted accordingly.</w:t>
      </w:r>
    </w:p>
    <w:p w:rsidR="008E7846" w:rsidRDefault="008E7846" w:rsidP="00605AD4">
      <w:pPr>
        <w:pStyle w:val="Heading3"/>
      </w:pPr>
      <w:bookmarkStart w:id="65" w:name="_Toc468181705"/>
      <w:r w:rsidRPr="00254787">
        <w:t>Pharmacokinetics</w:t>
      </w:r>
      <w:bookmarkEnd w:id="52"/>
      <w:bookmarkEnd w:id="61"/>
      <w:bookmarkEnd w:id="62"/>
      <w:bookmarkEnd w:id="63"/>
      <w:bookmarkEnd w:id="65"/>
    </w:p>
    <w:p w:rsidR="00232A97" w:rsidRDefault="00232A97" w:rsidP="002A2BB1">
      <w:pPr>
        <w:pStyle w:val="Heading4"/>
      </w:pPr>
      <w:r>
        <w:t>Studies providing pharmacokinetic data</w:t>
      </w:r>
    </w:p>
    <w:p w:rsidR="001F0560" w:rsidRPr="00305F8F" w:rsidRDefault="001F0560" w:rsidP="00305F8F">
      <w:r w:rsidRPr="00305F8F">
        <w:t xml:space="preserve">Summaries of the pharmacokinetic studies are presented in this report. </w:t>
      </w:r>
      <w:r w:rsidR="00305F8F">
        <w:t xml:space="preserve">Table 1 </w:t>
      </w:r>
      <w:r w:rsidRPr="00305F8F">
        <w:t>shows the studies relating to each pharmacokinetic topic and the location of each study summary.</w:t>
      </w:r>
    </w:p>
    <w:p w:rsidR="001F0560" w:rsidRPr="00305F8F" w:rsidRDefault="001F0560" w:rsidP="00626F80">
      <w:pPr>
        <w:pStyle w:val="TableTitle"/>
      </w:pPr>
      <w:bookmarkStart w:id="66" w:name="_Ref272426277"/>
      <w:bookmarkStart w:id="67" w:name="_Toc429572870"/>
      <w:bookmarkStart w:id="68" w:name="_Toc429573005"/>
      <w:r w:rsidRPr="00305F8F">
        <w:t>Table</w:t>
      </w:r>
      <w:bookmarkEnd w:id="66"/>
      <w:r w:rsidRPr="00305F8F">
        <w:t xml:space="preserve"> 1: Submitted pharmacokinetic studies.</w:t>
      </w:r>
      <w:bookmarkEnd w:id="67"/>
      <w:bookmarkEnd w:id="68"/>
    </w:p>
    <w:tbl>
      <w:tblPr>
        <w:tblStyle w:val="TableTGAblue"/>
        <w:tblW w:w="7329" w:type="dxa"/>
        <w:tblLayout w:type="fixed"/>
        <w:tblLook w:val="00A0" w:firstRow="1" w:lastRow="0" w:firstColumn="1" w:lastColumn="0" w:noHBand="0" w:noVBand="0"/>
      </w:tblPr>
      <w:tblGrid>
        <w:gridCol w:w="1635"/>
        <w:gridCol w:w="3611"/>
        <w:gridCol w:w="2083"/>
      </w:tblGrid>
      <w:tr w:rsidR="00626F80" w:rsidRPr="00EE5211" w:rsidTr="002A2BB1">
        <w:trPr>
          <w:cnfStyle w:val="100000000000" w:firstRow="1" w:lastRow="0" w:firstColumn="0" w:lastColumn="0" w:oddVBand="0" w:evenVBand="0" w:oddHBand="0" w:evenHBand="0" w:firstRowFirstColumn="0" w:firstRowLastColumn="0" w:lastRowFirstColumn="0" w:lastRowLastColumn="0"/>
          <w:trHeight w:val="392"/>
        </w:trPr>
        <w:tc>
          <w:tcPr>
            <w:tcW w:w="1635" w:type="dxa"/>
          </w:tcPr>
          <w:p w:rsidR="00626F80" w:rsidRPr="00EE5211" w:rsidRDefault="00626F80" w:rsidP="002A2BB1">
            <w:pPr>
              <w:rPr>
                <w:b w:val="0"/>
              </w:rPr>
            </w:pPr>
            <w:r w:rsidRPr="00EE5211">
              <w:t>PK topic</w:t>
            </w:r>
          </w:p>
        </w:tc>
        <w:tc>
          <w:tcPr>
            <w:tcW w:w="3611" w:type="dxa"/>
          </w:tcPr>
          <w:p w:rsidR="00626F80" w:rsidRPr="00EE5211" w:rsidRDefault="00626F80" w:rsidP="002A2BB1">
            <w:pPr>
              <w:rPr>
                <w:b w:val="0"/>
              </w:rPr>
            </w:pPr>
            <w:r w:rsidRPr="00EE5211">
              <w:t>Subtopic</w:t>
            </w:r>
          </w:p>
        </w:tc>
        <w:tc>
          <w:tcPr>
            <w:tcW w:w="2083" w:type="dxa"/>
          </w:tcPr>
          <w:p w:rsidR="00626F80" w:rsidRPr="00EE5211" w:rsidRDefault="00626F80" w:rsidP="002A2BB1">
            <w:pPr>
              <w:rPr>
                <w:b w:val="0"/>
              </w:rPr>
            </w:pPr>
            <w:r w:rsidRPr="00EE5211">
              <w:t>Study ID</w:t>
            </w:r>
          </w:p>
        </w:tc>
      </w:tr>
      <w:tr w:rsidR="00626F80" w:rsidRPr="00EE5211" w:rsidTr="002A2BB1">
        <w:trPr>
          <w:trHeight w:val="190"/>
        </w:trPr>
        <w:tc>
          <w:tcPr>
            <w:tcW w:w="1635" w:type="dxa"/>
            <w:vMerge w:val="restart"/>
          </w:tcPr>
          <w:p w:rsidR="00626F80" w:rsidRPr="00EE5211" w:rsidRDefault="00626F80" w:rsidP="002A2BB1">
            <w:r w:rsidRPr="00EE5211">
              <w:t>PK in healthy adults</w:t>
            </w:r>
          </w:p>
        </w:tc>
        <w:tc>
          <w:tcPr>
            <w:tcW w:w="3611" w:type="dxa"/>
          </w:tcPr>
          <w:p w:rsidR="00626F80" w:rsidRPr="00EE5211" w:rsidRDefault="00626F80" w:rsidP="002A2BB1">
            <w:r w:rsidRPr="00EE5211">
              <w:t>General PK</w:t>
            </w:r>
            <w:r w:rsidRPr="00EE5211">
              <w:tab/>
              <w:t>- Multi-dose</w:t>
            </w:r>
          </w:p>
        </w:tc>
        <w:tc>
          <w:tcPr>
            <w:tcW w:w="2083" w:type="dxa"/>
          </w:tcPr>
          <w:p w:rsidR="00626F80" w:rsidRPr="00EE5211" w:rsidRDefault="00626F80" w:rsidP="002A2BB1">
            <w:r w:rsidRPr="00EE5211">
              <w:t>10216207</w:t>
            </w:r>
          </w:p>
        </w:tc>
      </w:tr>
      <w:tr w:rsidR="00626F80" w:rsidRPr="00EE5211" w:rsidTr="002A2BB1">
        <w:trPr>
          <w:trHeight w:val="121"/>
        </w:trPr>
        <w:tc>
          <w:tcPr>
            <w:tcW w:w="1635" w:type="dxa"/>
            <w:vMerge/>
          </w:tcPr>
          <w:p w:rsidR="00626F80" w:rsidRPr="00EE5211" w:rsidRDefault="00626F80" w:rsidP="002A2BB1"/>
        </w:tc>
        <w:tc>
          <w:tcPr>
            <w:tcW w:w="3611" w:type="dxa"/>
          </w:tcPr>
          <w:p w:rsidR="00626F80" w:rsidRPr="00EE5211" w:rsidRDefault="00626F80" w:rsidP="002A2BB1">
            <w:r w:rsidRPr="00EE5211">
              <w:t>Bioequivalence† - Single dose</w:t>
            </w:r>
          </w:p>
        </w:tc>
        <w:tc>
          <w:tcPr>
            <w:tcW w:w="2083" w:type="dxa"/>
          </w:tcPr>
          <w:p w:rsidR="00626F80" w:rsidRPr="00EE5211" w:rsidRDefault="00626F80" w:rsidP="002A2BB1">
            <w:r w:rsidRPr="00EE5211">
              <w:t>10416204</w:t>
            </w:r>
          </w:p>
        </w:tc>
      </w:tr>
    </w:tbl>
    <w:p w:rsidR="001F0560" w:rsidRPr="00F73E27" w:rsidRDefault="001F0560" w:rsidP="002A2BB1">
      <w:pPr>
        <w:pStyle w:val="TableDescription"/>
      </w:pPr>
      <w:r w:rsidRPr="00F73E27">
        <w:t>† Bioequivalence of clinical trial versus market formulation.</w:t>
      </w:r>
    </w:p>
    <w:p w:rsidR="00605AD4" w:rsidRDefault="00605AD4" w:rsidP="00605AD4">
      <w:pPr>
        <w:pStyle w:val="Heading4"/>
      </w:pPr>
      <w:r>
        <w:t>Evaluator’s conclusions on pharmacokinetics</w:t>
      </w:r>
    </w:p>
    <w:p w:rsidR="00626F80" w:rsidRPr="00626F80" w:rsidRDefault="00626F80" w:rsidP="00626F80">
      <w:r w:rsidRPr="00626F80">
        <w:t>The sponsor has provided sufficient data to ext</w:t>
      </w:r>
      <w:r w:rsidR="003D3891">
        <w:t>end existing knowledge on the pharmacokinetics (PK)</w:t>
      </w:r>
      <w:r w:rsidRPr="00626F80">
        <w:t xml:space="preserve"> of the product’s constituent substances to cover the particular characteristics of the applicant product Seasonique and describes these adequately in the draft PI.</w:t>
      </w:r>
    </w:p>
    <w:p w:rsidR="008E7846" w:rsidRDefault="008E7846" w:rsidP="008E7846">
      <w:pPr>
        <w:pStyle w:val="Heading3"/>
      </w:pPr>
      <w:bookmarkStart w:id="69" w:name="_Toc196046481"/>
      <w:bookmarkStart w:id="70" w:name="_Toc247691520"/>
      <w:bookmarkStart w:id="71" w:name="_Toc314842503"/>
      <w:bookmarkStart w:id="72" w:name="_Toc468181706"/>
      <w:r w:rsidRPr="00254787">
        <w:t>Pharmacodynamics</w:t>
      </w:r>
      <w:bookmarkEnd w:id="53"/>
      <w:bookmarkEnd w:id="69"/>
      <w:bookmarkEnd w:id="70"/>
      <w:bookmarkEnd w:id="71"/>
      <w:bookmarkEnd w:id="72"/>
    </w:p>
    <w:p w:rsidR="00605AD4" w:rsidRDefault="00605AD4" w:rsidP="00605AD4">
      <w:pPr>
        <w:pStyle w:val="Heading4"/>
      </w:pPr>
      <w:r>
        <w:t>Studies providing pharmacodynamic data</w:t>
      </w:r>
    </w:p>
    <w:p w:rsidR="00626F80" w:rsidRPr="00626F80" w:rsidRDefault="00626F80" w:rsidP="00626F80">
      <w:r w:rsidRPr="00626F80">
        <w:t xml:space="preserve">Summaries of the pharmacodynamic </w:t>
      </w:r>
      <w:r w:rsidR="00036EE1">
        <w:t xml:space="preserve">(PD) </w:t>
      </w:r>
      <w:r w:rsidRPr="00626F80">
        <w:t xml:space="preserve">studies are presented in </w:t>
      </w:r>
      <w:r>
        <w:t xml:space="preserve">this report. Table 2 </w:t>
      </w:r>
      <w:r w:rsidRPr="00626F80">
        <w:t>shows the studies relating to each pharmacodynamic topic and the location of each study summary.</w:t>
      </w:r>
    </w:p>
    <w:p w:rsidR="00626F80" w:rsidRPr="00F73E27" w:rsidRDefault="00626F80" w:rsidP="0023782B">
      <w:pPr>
        <w:pStyle w:val="TableTitle"/>
      </w:pPr>
      <w:bookmarkStart w:id="73" w:name="_Ref269985397"/>
      <w:bookmarkStart w:id="74" w:name="_Toc429572877"/>
      <w:bookmarkStart w:id="75" w:name="_Toc429573006"/>
      <w:proofErr w:type="gramStart"/>
      <w:r w:rsidRPr="00F73E27">
        <w:lastRenderedPageBreak/>
        <w:t>Table</w:t>
      </w:r>
      <w:bookmarkEnd w:id="73"/>
      <w:r w:rsidR="0023782B">
        <w:t xml:space="preserve"> 2: </w:t>
      </w:r>
      <w:r w:rsidRPr="00F73E27">
        <w:t>Submitted pharmacodynamic studies.</w:t>
      </w:r>
      <w:bookmarkEnd w:id="74"/>
      <w:bookmarkEnd w:id="75"/>
      <w:proofErr w:type="gramEnd"/>
    </w:p>
    <w:tbl>
      <w:tblPr>
        <w:tblStyle w:val="TableTGAblue"/>
        <w:tblW w:w="7934" w:type="dxa"/>
        <w:tblLayout w:type="fixed"/>
        <w:tblLook w:val="00A0" w:firstRow="1" w:lastRow="0" w:firstColumn="1" w:lastColumn="0" w:noHBand="0" w:noVBand="0"/>
      </w:tblPr>
      <w:tblGrid>
        <w:gridCol w:w="2235"/>
        <w:gridCol w:w="3260"/>
        <w:gridCol w:w="2439"/>
      </w:tblGrid>
      <w:tr w:rsidR="00EE5211" w:rsidRPr="00EE5211" w:rsidTr="00EE5211">
        <w:trPr>
          <w:cnfStyle w:val="100000000000" w:firstRow="1" w:lastRow="0" w:firstColumn="0" w:lastColumn="0" w:oddVBand="0" w:evenVBand="0" w:oddHBand="0" w:evenHBand="0" w:firstRowFirstColumn="0" w:firstRowLastColumn="0" w:lastRowFirstColumn="0" w:lastRowLastColumn="0"/>
        </w:trPr>
        <w:tc>
          <w:tcPr>
            <w:tcW w:w="2235" w:type="dxa"/>
          </w:tcPr>
          <w:p w:rsidR="00EE5211" w:rsidRPr="00EE5211" w:rsidRDefault="00EE5211" w:rsidP="002A2BB1">
            <w:pPr>
              <w:rPr>
                <w:b w:val="0"/>
              </w:rPr>
            </w:pPr>
            <w:r w:rsidRPr="00EE5211">
              <w:t>PD Topic</w:t>
            </w:r>
          </w:p>
        </w:tc>
        <w:tc>
          <w:tcPr>
            <w:tcW w:w="3260" w:type="dxa"/>
          </w:tcPr>
          <w:p w:rsidR="00EE5211" w:rsidRPr="00EE5211" w:rsidRDefault="00EE5211" w:rsidP="002A2BB1">
            <w:pPr>
              <w:rPr>
                <w:b w:val="0"/>
              </w:rPr>
            </w:pPr>
            <w:r w:rsidRPr="00EE5211">
              <w:t>Subtopic</w:t>
            </w:r>
          </w:p>
        </w:tc>
        <w:tc>
          <w:tcPr>
            <w:tcW w:w="2439" w:type="dxa"/>
          </w:tcPr>
          <w:p w:rsidR="00EE5211" w:rsidRPr="00EE5211" w:rsidRDefault="00EE5211" w:rsidP="002A2BB1">
            <w:pPr>
              <w:rPr>
                <w:b w:val="0"/>
              </w:rPr>
            </w:pPr>
            <w:r w:rsidRPr="00EE5211">
              <w:t>Study ID</w:t>
            </w:r>
          </w:p>
        </w:tc>
      </w:tr>
      <w:tr w:rsidR="00EE5211" w:rsidRPr="00EE5211" w:rsidTr="00EE5211">
        <w:tc>
          <w:tcPr>
            <w:tcW w:w="2235" w:type="dxa"/>
            <w:vMerge w:val="restart"/>
          </w:tcPr>
          <w:p w:rsidR="00EE5211" w:rsidRPr="00EE5211" w:rsidRDefault="00EE5211" w:rsidP="002A2BB1">
            <w:r w:rsidRPr="00EE5211">
              <w:t>Primary Pharmacology</w:t>
            </w:r>
          </w:p>
        </w:tc>
        <w:tc>
          <w:tcPr>
            <w:tcW w:w="3260" w:type="dxa"/>
          </w:tcPr>
          <w:p w:rsidR="00EE5211" w:rsidRPr="00EE5211" w:rsidRDefault="00EE5211" w:rsidP="002A2BB1">
            <w:r w:rsidRPr="00EE5211">
              <w:t>Effect on inhibition of ovarian function</w:t>
            </w:r>
          </w:p>
        </w:tc>
        <w:tc>
          <w:tcPr>
            <w:tcW w:w="2439" w:type="dxa"/>
          </w:tcPr>
          <w:p w:rsidR="00EE5211" w:rsidRPr="00EE5211" w:rsidRDefault="00EE5211" w:rsidP="002A2BB1">
            <w:r w:rsidRPr="00EE5211">
              <w:t>DR-PSE-310</w:t>
            </w:r>
          </w:p>
        </w:tc>
      </w:tr>
      <w:tr w:rsidR="00EE5211" w:rsidRPr="00EE5211" w:rsidTr="00EE5211">
        <w:tc>
          <w:tcPr>
            <w:tcW w:w="2235" w:type="dxa"/>
            <w:vMerge/>
          </w:tcPr>
          <w:p w:rsidR="00EE5211" w:rsidRPr="00EE5211" w:rsidRDefault="00EE5211" w:rsidP="002A2BB1"/>
        </w:tc>
        <w:tc>
          <w:tcPr>
            <w:tcW w:w="3260" w:type="dxa"/>
          </w:tcPr>
          <w:p w:rsidR="00EE5211" w:rsidRPr="00EE5211" w:rsidRDefault="00EE5211" w:rsidP="002A2BB1"/>
        </w:tc>
        <w:tc>
          <w:tcPr>
            <w:tcW w:w="2439" w:type="dxa"/>
          </w:tcPr>
          <w:p w:rsidR="00EE5211" w:rsidRPr="00EE5211" w:rsidRDefault="00EE5211" w:rsidP="002A2BB1">
            <w:r w:rsidRPr="00EE5211">
              <w:t>DR-PSE-312</w:t>
            </w:r>
          </w:p>
        </w:tc>
      </w:tr>
      <w:tr w:rsidR="00EE5211" w:rsidRPr="00EE5211" w:rsidTr="00EE5211">
        <w:tc>
          <w:tcPr>
            <w:tcW w:w="2235" w:type="dxa"/>
            <w:vMerge/>
          </w:tcPr>
          <w:p w:rsidR="00EE5211" w:rsidRPr="00EE5211" w:rsidRDefault="00EE5211" w:rsidP="002A2BB1"/>
        </w:tc>
        <w:tc>
          <w:tcPr>
            <w:tcW w:w="3260" w:type="dxa"/>
          </w:tcPr>
          <w:p w:rsidR="00EE5211" w:rsidRPr="00EE5211" w:rsidRDefault="00EE5211" w:rsidP="002A2BB1">
            <w:r w:rsidRPr="00EE5211">
              <w:t>Effect on suppression of ovulation</w:t>
            </w:r>
          </w:p>
        </w:tc>
        <w:tc>
          <w:tcPr>
            <w:tcW w:w="2439" w:type="dxa"/>
          </w:tcPr>
          <w:p w:rsidR="00EE5211" w:rsidRPr="00EE5211" w:rsidRDefault="00EE5211" w:rsidP="002A2BB1">
            <w:r w:rsidRPr="00EE5211">
              <w:t>DR-105-101</w:t>
            </w:r>
          </w:p>
        </w:tc>
      </w:tr>
      <w:tr w:rsidR="00EE5211" w:rsidRPr="00EE5211" w:rsidTr="00EE5211">
        <w:tc>
          <w:tcPr>
            <w:tcW w:w="2235" w:type="dxa"/>
          </w:tcPr>
          <w:p w:rsidR="00EE5211" w:rsidRPr="00EE5211" w:rsidRDefault="00EE5211" w:rsidP="002A2BB1">
            <w:r w:rsidRPr="00EE5211">
              <w:t>Secondary Pharmacology</w:t>
            </w:r>
          </w:p>
        </w:tc>
        <w:tc>
          <w:tcPr>
            <w:tcW w:w="3260" w:type="dxa"/>
          </w:tcPr>
          <w:p w:rsidR="00EE5211" w:rsidRPr="00EE5211" w:rsidRDefault="00EE5211" w:rsidP="002A2BB1">
            <w:r w:rsidRPr="00EE5211">
              <w:t>Effect on blood coagulation</w:t>
            </w:r>
          </w:p>
        </w:tc>
        <w:tc>
          <w:tcPr>
            <w:tcW w:w="2439" w:type="dxa"/>
          </w:tcPr>
          <w:p w:rsidR="00EE5211" w:rsidRPr="00EE5211" w:rsidRDefault="00EE5211" w:rsidP="002A2BB1">
            <w:r w:rsidRPr="00EE5211">
              <w:t>PSE-HSP-203</w:t>
            </w:r>
          </w:p>
        </w:tc>
      </w:tr>
    </w:tbl>
    <w:p w:rsidR="00626F80" w:rsidRPr="00690658" w:rsidRDefault="00626F80" w:rsidP="002A2BB1">
      <w:pPr>
        <w:pStyle w:val="TableDescription"/>
      </w:pPr>
      <w:r w:rsidRPr="00690658">
        <w:t>None of the pharmacodynamic studies had deficiencies that excluded their results from consideration.</w:t>
      </w:r>
    </w:p>
    <w:p w:rsidR="00605AD4" w:rsidRDefault="00605AD4" w:rsidP="00605AD4">
      <w:pPr>
        <w:pStyle w:val="Heading4"/>
      </w:pPr>
      <w:r>
        <w:t>Evaluator’s conclusions on pharmacodynamics</w:t>
      </w:r>
    </w:p>
    <w:p w:rsidR="00690658" w:rsidRPr="00690658" w:rsidRDefault="00690658" w:rsidP="002A2BB1">
      <w:r w:rsidRPr="00690658">
        <w:t xml:space="preserve">The submitted studies provide evidence that suppression of ovarian function and inhibition of ovulation is maintained throughout the extended cycle form of administration of this </w:t>
      </w:r>
      <w:r w:rsidR="005303A8">
        <w:t>o</w:t>
      </w:r>
      <w:r w:rsidR="005303A8" w:rsidRPr="005303A8">
        <w:t xml:space="preserve">ral contraceptive formulation </w:t>
      </w:r>
      <w:r w:rsidR="005303A8">
        <w:t>(</w:t>
      </w:r>
      <w:r w:rsidRPr="00690658">
        <w:t>OCP</w:t>
      </w:r>
      <w:r w:rsidR="005303A8">
        <w:t>)</w:t>
      </w:r>
      <w:r w:rsidRPr="00690658">
        <w:t xml:space="preserve"> formulation, and that replacement of the hormone free interval with 7 days of 10 µg ethinyloestradiol improves these PD actions in a way which would be consistent with improved contraceptive efficacy.</w:t>
      </w:r>
    </w:p>
    <w:p w:rsidR="008E7846" w:rsidRDefault="00605AD4" w:rsidP="00605AD4">
      <w:pPr>
        <w:pStyle w:val="Heading3"/>
      </w:pPr>
      <w:bookmarkStart w:id="76" w:name="_Toc468181707"/>
      <w:r>
        <w:t>Dosage selection for the pivotal studies</w:t>
      </w:r>
      <w:bookmarkEnd w:id="76"/>
    </w:p>
    <w:p w:rsidR="00690658" w:rsidRPr="00690658" w:rsidRDefault="00690658" w:rsidP="00690658">
      <w:r w:rsidRPr="00690658">
        <w:t xml:space="preserve">The entire development program for Seasonique described by the sponsor employs the dosage combination of ethinyloestradiol 30 µg and levonorgestrel 150 µg for continuous daily administration over the 84 days of active combined oestrogen/progestogen administration, this being a dosage of </w:t>
      </w:r>
      <w:r w:rsidR="002A2BB1" w:rsidRPr="00690658">
        <w:t>well</w:t>
      </w:r>
      <w:r w:rsidR="002A2BB1">
        <w:t>-</w:t>
      </w:r>
      <w:r w:rsidR="002A2BB1" w:rsidRPr="00690658">
        <w:t>established</w:t>
      </w:r>
      <w:r w:rsidRPr="00690658">
        <w:t xml:space="preserve"> efficacy in the various 21 or 22 day cycle COC formulations in existing use as described </w:t>
      </w:r>
      <w:r w:rsidR="00F81752">
        <w:t xml:space="preserve">above. </w:t>
      </w:r>
      <w:r w:rsidRPr="00690658">
        <w:t>The dosage of 10 µg ethinyloestradiol for the 7 day period of administration occupying days 84-91 of the Seasonique cycle finds suppo</w:t>
      </w:r>
      <w:r>
        <w:t xml:space="preserve">rt in the PD studies described. </w:t>
      </w:r>
      <w:r w:rsidRPr="00690658">
        <w:t>In pivotal study PSE-301, this 10 µg dose over days 84-91 of the cycle is compared with a 30 µg dose.</w:t>
      </w:r>
    </w:p>
    <w:p w:rsidR="008E7846" w:rsidRPr="00254787" w:rsidRDefault="008E7846" w:rsidP="008E7846">
      <w:pPr>
        <w:pStyle w:val="Heading3"/>
      </w:pPr>
      <w:bookmarkStart w:id="77" w:name="_Toc163441372"/>
      <w:bookmarkStart w:id="78" w:name="_Toc196046485"/>
      <w:bookmarkStart w:id="79" w:name="_Toc247691521"/>
      <w:bookmarkStart w:id="80" w:name="_Toc314842504"/>
      <w:bookmarkStart w:id="81" w:name="_Toc468181708"/>
      <w:r w:rsidRPr="00254787">
        <w:t>Efficacy</w:t>
      </w:r>
      <w:bookmarkEnd w:id="77"/>
      <w:bookmarkEnd w:id="78"/>
      <w:bookmarkEnd w:id="79"/>
      <w:bookmarkEnd w:id="80"/>
      <w:bookmarkEnd w:id="81"/>
    </w:p>
    <w:p w:rsidR="00605AD4" w:rsidRDefault="00605AD4" w:rsidP="00605AD4">
      <w:pPr>
        <w:pStyle w:val="Heading4"/>
      </w:pPr>
      <w:bookmarkStart w:id="82" w:name="_Toc184439992"/>
      <w:bookmarkStart w:id="83" w:name="_Toc184440279"/>
      <w:bookmarkStart w:id="84" w:name="_Toc184444657"/>
      <w:bookmarkStart w:id="85" w:name="_Toc196046487"/>
      <w:r>
        <w:t>Studies providing efficacy data</w:t>
      </w:r>
    </w:p>
    <w:p w:rsidR="00584594" w:rsidRPr="00584594" w:rsidRDefault="00584594" w:rsidP="00584594">
      <w:bookmarkStart w:id="86" w:name="_Ref243301615"/>
      <w:bookmarkStart w:id="87" w:name="_Ref271040927"/>
      <w:bookmarkStart w:id="88" w:name="_Ref271040932"/>
      <w:bookmarkStart w:id="89" w:name="_Toc272414653"/>
      <w:bookmarkStart w:id="90" w:name="_Toc290846275"/>
      <w:bookmarkStart w:id="91" w:name="_Toc429572888"/>
      <w:r w:rsidRPr="00584594">
        <w:rPr>
          <w:b/>
        </w:rPr>
        <w:t xml:space="preserve">Study </w:t>
      </w:r>
      <w:bookmarkEnd w:id="86"/>
      <w:bookmarkEnd w:id="87"/>
      <w:bookmarkEnd w:id="88"/>
      <w:bookmarkEnd w:id="89"/>
      <w:bookmarkEnd w:id="90"/>
      <w:r w:rsidRPr="00584594">
        <w:rPr>
          <w:b/>
        </w:rPr>
        <w:t>PSE-301</w:t>
      </w:r>
      <w:bookmarkEnd w:id="91"/>
      <w:r w:rsidRPr="00584594">
        <w:t xml:space="preserve"> was a pivotal efficacy study. This was a two </w:t>
      </w:r>
      <w:proofErr w:type="gramStart"/>
      <w:r w:rsidRPr="00584594">
        <w:t>arm,</w:t>
      </w:r>
      <w:proofErr w:type="gramEnd"/>
      <w:r w:rsidRPr="00584594">
        <w:t xml:space="preserve"> randomised, multicentre open</w:t>
      </w:r>
      <w:r w:rsidR="006F771E">
        <w:t xml:space="preserve"> </w:t>
      </w:r>
      <w:r w:rsidRPr="00584594">
        <w:t>label study conducted at 36 US sites between April 2002 and April 2004.  The primary objective was to demonstrate efficacy and safety of two 91 day cycle extended regimen COC formulations: DP3-84/10 (Seasonique), and a similar product DP3-84/30 as described above, in which the HFI was replaced with a 30 µg rather tha</w:t>
      </w:r>
      <w:r w:rsidR="00036EE1">
        <w:t>n 10 µg ethinyloestradiol dose.</w:t>
      </w:r>
      <w:r w:rsidRPr="00584594">
        <w:t xml:space="preserve"> In each arm, subjects were to take the assigned treatment for one year (four 91 d</w:t>
      </w:r>
      <w:r w:rsidR="006F771E">
        <w:t xml:space="preserve">ay cycles). </w:t>
      </w:r>
      <w:r w:rsidRPr="00584594">
        <w:t>Secondary objectives were to observe the inc</w:t>
      </w:r>
      <w:r w:rsidR="006F771E">
        <w:t xml:space="preserve">idence or severity of "hormonal </w:t>
      </w:r>
      <w:r w:rsidRPr="00584594">
        <w:t>related symptoms" during the treatment period and to observe the number of reported days of scheduled (withdrawal) and unscheduled (breakthrough) menstrual bleeding and/or spotting.</w:t>
      </w:r>
    </w:p>
    <w:p w:rsidR="00584594" w:rsidRPr="00584594" w:rsidRDefault="00584594" w:rsidP="00584594">
      <w:bookmarkStart w:id="92" w:name="_Toc290846278"/>
      <w:bookmarkStart w:id="93" w:name="_Ref429281262"/>
      <w:bookmarkStart w:id="94" w:name="_Toc429572891"/>
      <w:r w:rsidRPr="00584594">
        <w:rPr>
          <w:b/>
        </w:rPr>
        <w:t xml:space="preserve">Study </w:t>
      </w:r>
      <w:bookmarkEnd w:id="92"/>
      <w:r w:rsidRPr="00584594">
        <w:rPr>
          <w:b/>
        </w:rPr>
        <w:t>PSE-302</w:t>
      </w:r>
      <w:bookmarkEnd w:id="93"/>
      <w:bookmarkEnd w:id="94"/>
      <w:r>
        <w:t xml:space="preserve"> was another efficacy study. </w:t>
      </w:r>
      <w:r w:rsidR="006F771E">
        <w:t xml:space="preserve">This four </w:t>
      </w:r>
      <w:r w:rsidRPr="00584594">
        <w:t xml:space="preserve">arm, randomised, multicentre, open label study was conducted at 7 US sites over the same timeframe (April 2002-2004) as the </w:t>
      </w:r>
      <w:r w:rsidRPr="00584594">
        <w:lastRenderedPageBreak/>
        <w:t>p</w:t>
      </w:r>
      <w:r>
        <w:t xml:space="preserve">ivotal efficacy </w:t>
      </w:r>
      <w:r w:rsidR="006F771E">
        <w:t>S</w:t>
      </w:r>
      <w:r>
        <w:t xml:space="preserve">tudy PSE 301. </w:t>
      </w:r>
      <w:r w:rsidRPr="00584594">
        <w:t>With a much smaller planned study population (400, 100 per arm) its objectives were to provide supportive efficacy data well as additional safety data in the form of endometrial biopsies to be performed before and at the end of the study; the safety data also included analysis of the bleeding pro</w:t>
      </w:r>
      <w:r>
        <w:t>files and this is detailed</w:t>
      </w:r>
      <w:r w:rsidRPr="00584594">
        <w:t>.</w:t>
      </w:r>
    </w:p>
    <w:p w:rsidR="008E7846" w:rsidRDefault="00605AD4" w:rsidP="00605AD4">
      <w:pPr>
        <w:pStyle w:val="Heading4"/>
      </w:pPr>
      <w:r>
        <w:t>Evaluator’s conclusions on efficacy</w:t>
      </w:r>
    </w:p>
    <w:p w:rsidR="00F62D28" w:rsidRPr="00F62D28" w:rsidRDefault="00F62D28" w:rsidP="00F62D28">
      <w:r w:rsidRPr="00F62D28">
        <w:t>All contraceptive methods, including COCs, have a failure rate, the measurement of which is the incidence of on-trea</w:t>
      </w:r>
      <w:r w:rsidR="00657A6E">
        <w:t xml:space="preserve">tment pregnancy (Pearl index). </w:t>
      </w:r>
      <w:r w:rsidRPr="00F62D28">
        <w:t>The measurement of efficacy of any novel COC is therefore how its failure rate compares with that of o</w:t>
      </w:r>
      <w:r w:rsidR="002D0CA7">
        <w:t xml:space="preserve">ther established COC products. </w:t>
      </w:r>
      <w:r w:rsidRPr="00F62D28">
        <w:t xml:space="preserve">For this particular submission, the question is whether the extended cycle regimen differs either positively or negatively in efficacy by comparison with a standard 28 day cycle formulation containing the same constituent substances.  In this respect the pivotal efficacy </w:t>
      </w:r>
      <w:r w:rsidR="002D0CA7">
        <w:t>Study 301</w:t>
      </w:r>
      <w:r w:rsidRPr="00F62D28">
        <w:t xml:space="preserve"> has a high dropout </w:t>
      </w:r>
      <w:proofErr w:type="gramStart"/>
      <w:r w:rsidRPr="00F62D28">
        <w:t>rate,</w:t>
      </w:r>
      <w:proofErr w:type="gramEnd"/>
      <w:r w:rsidRPr="00F62D28">
        <w:t xml:space="preserve"> and poor compliance in some subjects.  There are multiple confounding factors which contribute to the failure rate o</w:t>
      </w:r>
      <w:r w:rsidR="00657A6E">
        <w:t xml:space="preserve">f oral contraceptive regimens. </w:t>
      </w:r>
      <w:r w:rsidRPr="00F62D28">
        <w:t>The most important of these are compliance and the demography of the study popu</w:t>
      </w:r>
      <w:r w:rsidR="002D0CA7">
        <w:t xml:space="preserve">lation including cultural (for example, </w:t>
      </w:r>
      <w:r w:rsidRPr="00F62D28">
        <w:t>level of sexual activity) and biological (</w:t>
      </w:r>
      <w:r w:rsidR="002D0CA7">
        <w:t xml:space="preserve">for example, </w:t>
      </w:r>
      <w:r w:rsidR="00657A6E">
        <w:t xml:space="preserve">incidence of obesity) factors. </w:t>
      </w:r>
      <w:r w:rsidRPr="00F62D28">
        <w:t>As is discussed at length in</w:t>
      </w:r>
      <w:r w:rsidR="00657A6E">
        <w:t xml:space="preserve"> the clinical overview</w:t>
      </w:r>
      <w:r w:rsidRPr="00F62D28">
        <w:t>, it is well documented that there is a substantial difference in failure rate betwe</w:t>
      </w:r>
      <w:r>
        <w:t>en US and European populations</w:t>
      </w:r>
      <w:r w:rsidRPr="00F62D28">
        <w:t>.</w:t>
      </w:r>
      <w:r>
        <w:rPr>
          <w:rStyle w:val="FootnoteReference"/>
        </w:rPr>
        <w:footnoteReference w:id="5"/>
      </w:r>
      <w:r w:rsidR="005E6316">
        <w:t xml:space="preserve"> </w:t>
      </w:r>
      <w:r w:rsidRPr="00F62D28">
        <w:t>A published comparison of US and European studies using the same methodology showed an approximately four</w:t>
      </w:r>
      <w:r w:rsidR="002D0CA7">
        <w:t xml:space="preserve"> </w:t>
      </w:r>
      <w:r w:rsidRPr="00F62D28">
        <w:t>fold</w:t>
      </w:r>
      <w:r w:rsidR="005E6316">
        <w:t xml:space="preserve"> higher failure rate in the US.</w:t>
      </w:r>
      <w:r w:rsidR="00657A6E">
        <w:rPr>
          <w:rStyle w:val="FootnoteReference"/>
        </w:rPr>
        <w:footnoteReference w:id="6"/>
      </w:r>
    </w:p>
    <w:p w:rsidR="00F62D28" w:rsidRPr="00F62D28" w:rsidRDefault="00F62D28" w:rsidP="00F62D28">
      <w:r w:rsidRPr="00F62D28">
        <w:t>The pivotal tr</w:t>
      </w:r>
      <w:r w:rsidR="002D0CA7">
        <w:t>ial is of low quality (50% drop</w:t>
      </w:r>
      <w:r w:rsidRPr="00F62D28">
        <w:t>outs) but was the same pivotal trial used to register the product in Canada, US and various EU countries.</w:t>
      </w:r>
    </w:p>
    <w:p w:rsidR="008E7846" w:rsidRPr="002E238E" w:rsidRDefault="008E7846" w:rsidP="008E7846">
      <w:pPr>
        <w:pStyle w:val="Heading3"/>
      </w:pPr>
      <w:bookmarkStart w:id="95" w:name="_Toc163441378"/>
      <w:bookmarkStart w:id="96" w:name="_Toc196046495"/>
      <w:bookmarkStart w:id="97" w:name="_Toc247691522"/>
      <w:bookmarkStart w:id="98" w:name="_Toc314842505"/>
      <w:bookmarkStart w:id="99" w:name="_Toc468181709"/>
      <w:bookmarkEnd w:id="82"/>
      <w:bookmarkEnd w:id="83"/>
      <w:bookmarkEnd w:id="84"/>
      <w:bookmarkEnd w:id="85"/>
      <w:r w:rsidRPr="002E238E">
        <w:t>Safety</w:t>
      </w:r>
      <w:bookmarkEnd w:id="95"/>
      <w:bookmarkEnd w:id="96"/>
      <w:bookmarkEnd w:id="97"/>
      <w:bookmarkEnd w:id="98"/>
      <w:bookmarkEnd w:id="99"/>
    </w:p>
    <w:p w:rsidR="00605AD4" w:rsidRDefault="00605AD4" w:rsidP="00605AD4">
      <w:pPr>
        <w:pStyle w:val="Heading4"/>
      </w:pPr>
      <w:bookmarkStart w:id="100" w:name="_Toc247691524"/>
      <w:bookmarkStart w:id="101" w:name="_Toc314842508"/>
      <w:bookmarkStart w:id="102" w:name="_Toc196046504"/>
      <w:bookmarkStart w:id="103" w:name="_Toc163441390"/>
      <w:r w:rsidRPr="00605AD4">
        <w:t>Studies providing safety data</w:t>
      </w:r>
    </w:p>
    <w:p w:rsidR="00A96B19" w:rsidRPr="00F73E27" w:rsidRDefault="00A96B19" w:rsidP="00A96B19">
      <w:pPr>
        <w:pStyle w:val="Heading5"/>
      </w:pPr>
      <w:bookmarkStart w:id="104" w:name="_Ref268776745"/>
      <w:r w:rsidRPr="00F73E27">
        <w:t>Pivotal efficacy stud</w:t>
      </w:r>
      <w:bookmarkEnd w:id="104"/>
      <w:r w:rsidRPr="00F73E27">
        <w:t>y</w:t>
      </w:r>
    </w:p>
    <w:p w:rsidR="00A96B19" w:rsidRPr="00A96B19" w:rsidRDefault="00A96B19" w:rsidP="00A96B19">
      <w:r w:rsidRPr="00A96B19">
        <w:t xml:space="preserve">In the pivotal efficacy </w:t>
      </w:r>
      <w:r w:rsidR="002D0CA7">
        <w:t>S</w:t>
      </w:r>
      <w:r w:rsidRPr="00A96B19">
        <w:t>tudy PSE-301, safety was evaluated by assessment of adverse events (AEs), tabulation of concomitant medications, recording of vital signs and physical examination when appropriate, and the performance of routine laboratory tests as specified in th</w:t>
      </w:r>
      <w:r w:rsidR="005303A8">
        <w:t xml:space="preserve">e protocol. </w:t>
      </w:r>
      <w:r w:rsidRPr="00A96B19">
        <w:t>These included plasma lipids in view of the known effects of OCPs on these parameters.</w:t>
      </w:r>
    </w:p>
    <w:p w:rsidR="00A96B19" w:rsidRPr="00A96B19" w:rsidRDefault="00A96B19" w:rsidP="00A96B19">
      <w:r w:rsidRPr="00A96B19">
        <w:t>AEs were reported during scheduled study visits and also during regular monthly telephone contacts, their severity graded and likely relationship to study medication reco</w:t>
      </w:r>
      <w:r w:rsidR="005303A8">
        <w:t xml:space="preserve">rded by the site investigator. </w:t>
      </w:r>
      <w:r w:rsidRPr="00A96B19">
        <w:t>In this and in all of the other studies reported below, the subjects’ menstrual bleeding pattern was regarded as an AE of particular interest and recorded as days of either spotting or bleeding, the distinction being made on the basis of whether sanitary protection was required.</w:t>
      </w:r>
    </w:p>
    <w:p w:rsidR="00A96B19" w:rsidRPr="00F73E27" w:rsidRDefault="00A96B19" w:rsidP="00A96B19">
      <w:pPr>
        <w:pStyle w:val="Heading5"/>
      </w:pPr>
      <w:r w:rsidRPr="00F73E27">
        <w:t>Non-pivotal efficacy study</w:t>
      </w:r>
    </w:p>
    <w:p w:rsidR="00A96B19" w:rsidRPr="00A96B19" w:rsidRDefault="00A96B19" w:rsidP="00A96B19">
      <w:r w:rsidRPr="00A96B19">
        <w:t>One non-pivotal efficacy study provided safety data, as follows:</w:t>
      </w:r>
    </w:p>
    <w:p w:rsidR="00A96B19" w:rsidRPr="00A96B19" w:rsidRDefault="00A96B19" w:rsidP="00A96B19">
      <w:pPr>
        <w:pStyle w:val="ListBullet"/>
      </w:pPr>
      <w:r w:rsidRPr="00A96B19">
        <w:t>Study PSE-302 provided data on 372 subjects randomised to 4 treat</w:t>
      </w:r>
      <w:r>
        <w:t>ment groups as described above</w:t>
      </w:r>
      <w:r w:rsidR="003373D3">
        <w:t xml:space="preserve">. </w:t>
      </w:r>
      <w:r w:rsidRPr="00A96B19">
        <w:t xml:space="preserve">In addition to safety data collected using the same protocol as the </w:t>
      </w:r>
      <w:r w:rsidRPr="00A96B19">
        <w:lastRenderedPageBreak/>
        <w:t>pivotal study, endometrial histology was assessed by biopsies obtained before and at the end of the study and is reported as a safety issue of special interest.</w:t>
      </w:r>
    </w:p>
    <w:p w:rsidR="00A96B19" w:rsidRPr="00F73E27" w:rsidRDefault="00A96B19" w:rsidP="00A96B19">
      <w:pPr>
        <w:pStyle w:val="Heading5"/>
      </w:pPr>
      <w:r w:rsidRPr="00F73E27">
        <w:t>Other studies evaluable for safety only</w:t>
      </w:r>
    </w:p>
    <w:p w:rsidR="00A96B19" w:rsidRPr="00F73E27" w:rsidRDefault="00A96B19" w:rsidP="00A96B19">
      <w:pPr>
        <w:pStyle w:val="Heading6"/>
      </w:pPr>
      <w:bookmarkStart w:id="105" w:name="_Toc429572896"/>
      <w:r w:rsidRPr="00F73E27">
        <w:t>Study DR-PSE-304</w:t>
      </w:r>
      <w:bookmarkEnd w:id="105"/>
    </w:p>
    <w:p w:rsidR="00A96B19" w:rsidRPr="00A96B19" w:rsidRDefault="003373D3" w:rsidP="00A96B19">
      <w:r>
        <w:t xml:space="preserve">This was a long </w:t>
      </w:r>
      <w:r w:rsidR="00A96B19" w:rsidRPr="00A96B19">
        <w:t>term extension study which enrolled subjects completin</w:t>
      </w:r>
      <w:r>
        <w:t xml:space="preserve">g Studies PSE-301 and PSE-302. </w:t>
      </w:r>
      <w:r w:rsidR="00A96B19" w:rsidRPr="00A96B19">
        <w:t>Although designed to document up to 5 years of use, the maximum duration documented in the report is three years, achieved by 1</w:t>
      </w:r>
      <w:r w:rsidR="00A96B19">
        <w:t>16 of the 320 subjects treated</w:t>
      </w:r>
      <w:r w:rsidR="00A96B19" w:rsidRPr="00A96B19">
        <w:t xml:space="preserve">.  Approximately midway through the study, in June 2005, and following completion of the pivotal study PSE-301, all subjects were switched to the DP3-84/10 (Seasonique) formulation as this, rather than the DP3-84/30 formulation, had been selected for </w:t>
      </w:r>
      <w:r w:rsidR="004B5AA1">
        <w:t>marketing application in the US</w:t>
      </w:r>
      <w:r w:rsidR="00A96B19" w:rsidRPr="00A96B19">
        <w:t>.</w:t>
      </w:r>
    </w:p>
    <w:p w:rsidR="00A96B19" w:rsidRPr="00F73E27" w:rsidRDefault="00A96B19" w:rsidP="00A96B19">
      <w:pPr>
        <w:pStyle w:val="Heading6"/>
      </w:pPr>
      <w:bookmarkStart w:id="106" w:name="_Toc429572897"/>
      <w:r w:rsidRPr="00F73E27">
        <w:t>Studies DR-PSE-305 and DR-PSE-306</w:t>
      </w:r>
      <w:bookmarkEnd w:id="106"/>
    </w:p>
    <w:p w:rsidR="00A96B19" w:rsidRPr="00A96B19" w:rsidRDefault="00A96B19" w:rsidP="00A96B19">
      <w:r w:rsidRPr="00A96B19">
        <w:t>These two studies were performed to evaluate efficacy of Seasonique for the treatment of cyclical pelvic pain in adult and adolescent females respectively. Safety data were collected using the same protocol</w:t>
      </w:r>
      <w:r w:rsidR="004B5AA1">
        <w:t xml:space="preserve"> as used in the pivotal study. </w:t>
      </w:r>
      <w:r w:rsidRPr="00A96B19">
        <w:t xml:space="preserve">In </w:t>
      </w:r>
      <w:r w:rsidR="004B5AA1">
        <w:t>S</w:t>
      </w:r>
      <w:r w:rsidRPr="00A96B19">
        <w:t>tudy 305, subjects were randomised to receive either Seasonique (n</w:t>
      </w:r>
      <w:r w:rsidR="004B5AA1">
        <w:t xml:space="preserve"> </w:t>
      </w:r>
      <w:r w:rsidRPr="00A96B19">
        <w:t>=</w:t>
      </w:r>
      <w:r w:rsidR="004B5AA1">
        <w:t xml:space="preserve"> </w:t>
      </w:r>
      <w:r w:rsidRPr="00A96B19">
        <w:t>91) or Portia (n</w:t>
      </w:r>
      <w:r w:rsidR="004B5AA1">
        <w:t xml:space="preserve"> </w:t>
      </w:r>
      <w:r w:rsidRPr="00A96B19">
        <w:t>=</w:t>
      </w:r>
      <w:r w:rsidR="004B5AA1">
        <w:t xml:space="preserve"> </w:t>
      </w:r>
      <w:r w:rsidRPr="00A96B19">
        <w:t>82), a 28 day cycle formulation using the same constituent substances and doses as Se</w:t>
      </w:r>
      <w:r w:rsidR="004B5AA1">
        <w:t xml:space="preserve">asonique. </w:t>
      </w:r>
      <w:r w:rsidRPr="00A96B19">
        <w:t xml:space="preserve">In </w:t>
      </w:r>
      <w:r w:rsidR="004B5AA1">
        <w:t>S</w:t>
      </w:r>
      <w:r w:rsidRPr="00A96B19">
        <w:t>tudy 306, 47 subjects were randomised to Seasonique and 48 to placebo.</w:t>
      </w:r>
    </w:p>
    <w:p w:rsidR="00A96B19" w:rsidRPr="00F73E27" w:rsidRDefault="00A96B19" w:rsidP="00A96B19">
      <w:pPr>
        <w:pStyle w:val="Heading6"/>
      </w:pPr>
      <w:bookmarkStart w:id="107" w:name="_Ref429463058"/>
      <w:bookmarkStart w:id="108" w:name="_Toc429572898"/>
      <w:r w:rsidRPr="00F73E27">
        <w:t>Study DR-105-202</w:t>
      </w:r>
      <w:bookmarkEnd w:id="107"/>
      <w:bookmarkEnd w:id="108"/>
    </w:p>
    <w:p w:rsidR="00A96B19" w:rsidRPr="00A96B19" w:rsidRDefault="00A96B19" w:rsidP="00A96B19">
      <w:r w:rsidRPr="00A96B19">
        <w:t xml:space="preserve">This study was performed to assess the effect on bone mineral density (BMD) of Seasonique administered to adolescent females (age 12-18 years inclusive) over a period of 12 months.  421 subjects were randomised to Seasonique, and 412 to </w:t>
      </w:r>
      <w:proofErr w:type="spellStart"/>
      <w:r w:rsidRPr="00A96B19">
        <w:t>Lessina</w:t>
      </w:r>
      <w:proofErr w:type="spellEnd"/>
      <w:r w:rsidRPr="00A96B19">
        <w:t>, a 28 day cycle OCP formulation containing ethinyloestradiol 20 µg/levonorgestrel 100 µg.  In addition there was a control group of 437 subjects who received no treatment.  Although strictly not fitting this description, the BMD data are presented as an AE of special interest below</w:t>
      </w:r>
      <w:r>
        <w:t>.</w:t>
      </w:r>
    </w:p>
    <w:p w:rsidR="00A96B19" w:rsidRPr="00F73E27" w:rsidRDefault="00A96B19" w:rsidP="00A96B19">
      <w:pPr>
        <w:pStyle w:val="Heading6"/>
      </w:pPr>
      <w:r w:rsidRPr="00F73E27">
        <w:t>Clinical pharmacology studies</w:t>
      </w:r>
    </w:p>
    <w:p w:rsidR="00A96B19" w:rsidRPr="00A96B19" w:rsidRDefault="00A96B19" w:rsidP="00A96B19">
      <w:r w:rsidRPr="00A96B19">
        <w:t>Safety data collected during the PK/PD studies are included in the overall safety data pool but contribute a relatively small component.</w:t>
      </w:r>
    </w:p>
    <w:p w:rsidR="00605AD4" w:rsidRDefault="00605AD4" w:rsidP="00605AD4">
      <w:pPr>
        <w:pStyle w:val="Heading4"/>
      </w:pPr>
      <w:r w:rsidRPr="00605AD4">
        <w:t>Patient exposure</w:t>
      </w:r>
    </w:p>
    <w:p w:rsidR="00A96B19" w:rsidRPr="00A96B19" w:rsidRDefault="00A96B19" w:rsidP="00A96B19">
      <w:r w:rsidRPr="00A96B19">
        <w:t xml:space="preserve">In the clinical development program, the majority of exposure to DP3-84/10 (Seasonique) and comparator products, was of up to 12 months duration and occurred in pivotal study 301 and supporting study 302.  Cumulative exposure of all subjects treated in these studies </w:t>
      </w:r>
      <w:r>
        <w:t>is shown in Table 3.</w:t>
      </w:r>
    </w:p>
    <w:p w:rsidR="00232A97" w:rsidRDefault="00D40C1D" w:rsidP="000E529F">
      <w:pPr>
        <w:pStyle w:val="TableTitle"/>
      </w:pPr>
      <w:proofErr w:type="gramStart"/>
      <w:r>
        <w:lastRenderedPageBreak/>
        <w:t>Table 3:</w:t>
      </w:r>
      <w:r w:rsidR="009954C5" w:rsidRPr="009954C5">
        <w:t xml:space="preserve"> </w:t>
      </w:r>
      <w:r w:rsidR="009954C5" w:rsidRPr="00A96B19">
        <w:t>Cumulative exposure</w:t>
      </w:r>
      <w:r>
        <w:t>.</w:t>
      </w:r>
      <w:proofErr w:type="gramEnd"/>
    </w:p>
    <w:p w:rsidR="00D40C1D" w:rsidRDefault="00D40C1D" w:rsidP="00A96B19">
      <w:r>
        <w:rPr>
          <w:noProof/>
          <w:lang w:eastAsia="en-AU"/>
        </w:rPr>
        <w:drawing>
          <wp:inline distT="0" distB="0" distL="0" distR="0" wp14:anchorId="23832B4F" wp14:editId="7A21328A">
            <wp:extent cx="3283805" cy="2232707"/>
            <wp:effectExtent l="0" t="0" r="0" b="0"/>
            <wp:docPr id="2" name="Picture 2" descr="Table 3: Cumulative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88394" cy="2235827"/>
                    </a:xfrm>
                    <a:prstGeom prst="rect">
                      <a:avLst/>
                    </a:prstGeom>
                  </pic:spPr>
                </pic:pic>
              </a:graphicData>
            </a:graphic>
          </wp:inline>
        </w:drawing>
      </w:r>
    </w:p>
    <w:p w:rsidR="000E529F" w:rsidRPr="000E529F" w:rsidRDefault="000E529F" w:rsidP="000E529F">
      <w:pPr>
        <w:ind w:left="720"/>
        <w:rPr>
          <w:i/>
        </w:rPr>
      </w:pPr>
      <w:r w:rsidRPr="000E529F">
        <w:rPr>
          <w:i/>
        </w:rPr>
        <w:t>Comment: the exact number of completed cycles is not given in the study report.  However, from the above table it is estimated that total exposure of all treatment groups is approximately 1600 woman-years, or 20,800 completed 28 day cycles (evaluator calculation).  Of this, approximately 50% represents exposure to Seasonique itself and the remainder exposure to similar 30 µg ethinyloestradiol/150 µg levonorgestrel products, the majority to DP3-84/30 which also has an 84 day cycle.</w:t>
      </w:r>
    </w:p>
    <w:p w:rsidR="000E529F" w:rsidRPr="000E529F" w:rsidRDefault="000E529F" w:rsidP="000E529F">
      <w:r w:rsidRPr="000E529F">
        <w:t xml:space="preserve">Longer term exposure to both 84 cycle day preparations occurred in </w:t>
      </w:r>
      <w:r w:rsidR="00B9212B">
        <w:t>s</w:t>
      </w:r>
      <w:r w:rsidR="008E5F17">
        <w:t>tudy DR-PSE-304, as shown in Table 4.</w:t>
      </w:r>
    </w:p>
    <w:p w:rsidR="00B57E92" w:rsidRDefault="00A70B37" w:rsidP="00B57E92">
      <w:pPr>
        <w:pStyle w:val="TableTitle"/>
      </w:pPr>
      <w:r>
        <w:t>Table 4</w:t>
      </w:r>
      <w:r w:rsidR="00B57E92">
        <w:t xml:space="preserve">: </w:t>
      </w:r>
      <w:r w:rsidR="00B9212B" w:rsidRPr="000E529F">
        <w:t>Longer term exposure</w:t>
      </w:r>
      <w:r w:rsidR="00B57E92">
        <w:t>.</w:t>
      </w:r>
    </w:p>
    <w:p w:rsidR="00D40C1D" w:rsidRDefault="00A70B37" w:rsidP="000E529F">
      <w:r>
        <w:rPr>
          <w:noProof/>
          <w:lang w:eastAsia="en-AU"/>
        </w:rPr>
        <w:drawing>
          <wp:inline distT="0" distB="0" distL="0" distR="0" wp14:anchorId="669CC4DA" wp14:editId="2738CE9E">
            <wp:extent cx="2582554" cy="1200501"/>
            <wp:effectExtent l="0" t="0" r="8255" b="0"/>
            <wp:docPr id="5" name="Picture 5" descr="Table 4: Longer term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85253" cy="1201756"/>
                    </a:xfrm>
                    <a:prstGeom prst="rect">
                      <a:avLst/>
                    </a:prstGeom>
                  </pic:spPr>
                </pic:pic>
              </a:graphicData>
            </a:graphic>
          </wp:inline>
        </w:drawing>
      </w:r>
    </w:p>
    <w:p w:rsidR="00A70B37" w:rsidRPr="00A70B37" w:rsidRDefault="00B9212B" w:rsidP="00A70B37">
      <w:r>
        <w:t xml:space="preserve">A total of </w:t>
      </w:r>
      <w:r w:rsidR="00A70B37" w:rsidRPr="00A70B37">
        <w:t>244 subjects completed one year of treatment, 173 completed t</w:t>
      </w:r>
      <w:r>
        <w:t xml:space="preserve">wo </w:t>
      </w:r>
      <w:proofErr w:type="gramStart"/>
      <w:r>
        <w:t>years,</w:t>
      </w:r>
      <w:proofErr w:type="gramEnd"/>
      <w:r>
        <w:t xml:space="preserve"> and 116 three years. </w:t>
      </w:r>
      <w:r w:rsidR="00A70B37" w:rsidRPr="00A70B37">
        <w:t>Total exposure was equivalent to 8,292 28 day cycles, 4411 of which were for the Seasonique p</w:t>
      </w:r>
      <w:r w:rsidR="00A70B37">
        <w:t>roduct, equivalent to 638 woman</w:t>
      </w:r>
      <w:r w:rsidR="00A70B37" w:rsidRPr="00A70B37">
        <w:t>-years (339 for Seasonique).</w:t>
      </w:r>
    </w:p>
    <w:p w:rsidR="00A70B37" w:rsidRPr="00A70B37" w:rsidRDefault="00A70B37" w:rsidP="00A70B37">
      <w:r w:rsidRPr="00A70B37">
        <w:t>In the supportive safety studies, exposure to Seasonique is estimated as follows:</w:t>
      </w:r>
    </w:p>
    <w:p w:rsidR="00A70B37" w:rsidRPr="00A70B37" w:rsidRDefault="00A70B37" w:rsidP="00A70B37">
      <w:pPr>
        <w:pStyle w:val="ListBullet"/>
      </w:pPr>
      <w:r>
        <w:t xml:space="preserve">DR-105-202: </w:t>
      </w:r>
      <w:r w:rsidRPr="00A70B37">
        <w:t>296 woman-years</w:t>
      </w:r>
    </w:p>
    <w:p w:rsidR="00A70B37" w:rsidRPr="00A70B37" w:rsidRDefault="00A70B37" w:rsidP="00A70B37">
      <w:pPr>
        <w:pStyle w:val="ListBullet"/>
      </w:pPr>
      <w:r>
        <w:t xml:space="preserve">PSE-305: </w:t>
      </w:r>
      <w:r w:rsidRPr="00A70B37">
        <w:t>32 woman-years</w:t>
      </w:r>
    </w:p>
    <w:p w:rsidR="00A70B37" w:rsidRPr="00A70B37" w:rsidRDefault="00A70B37" w:rsidP="00A70B37">
      <w:pPr>
        <w:pStyle w:val="ListBullet"/>
      </w:pPr>
      <w:r>
        <w:t xml:space="preserve">PSE-306: </w:t>
      </w:r>
      <w:r w:rsidRPr="00A70B37">
        <w:t>16 woman-years</w:t>
      </w:r>
    </w:p>
    <w:p w:rsidR="00A70B37" w:rsidRPr="00A70B37" w:rsidRDefault="00A70B37" w:rsidP="00A70B37">
      <w:r w:rsidRPr="00A70B37">
        <w:t xml:space="preserve">In summary, overall exposure to the applicant product Seasonique in the submitted studies is approximately </w:t>
      </w:r>
      <w:r w:rsidRPr="00A70B37">
        <w:rPr>
          <w:b/>
        </w:rPr>
        <w:t>1160 woman-years, equivalent to 15,080 28 day cycles</w:t>
      </w:r>
      <w:r w:rsidRPr="00A70B37">
        <w:t xml:space="preserve"> (evaluator calculation) accompanied by a similar amount of exposure to comparator products containing the same constituents and mostly also with the 84 day cycle of continuous exposure.</w:t>
      </w:r>
    </w:p>
    <w:p w:rsidR="00605AD4" w:rsidRDefault="00605AD4" w:rsidP="00605AD4">
      <w:pPr>
        <w:pStyle w:val="Heading4"/>
      </w:pPr>
      <w:r w:rsidRPr="00605AD4">
        <w:t>Post</w:t>
      </w:r>
      <w:r w:rsidR="00E63418">
        <w:t xml:space="preserve"> </w:t>
      </w:r>
      <w:r w:rsidRPr="00605AD4">
        <w:t>marketing data</w:t>
      </w:r>
    </w:p>
    <w:p w:rsidR="00232A97" w:rsidRPr="00061BEF" w:rsidRDefault="00061BEF" w:rsidP="00061BEF">
      <w:r w:rsidRPr="00061BEF">
        <w:t xml:space="preserve">A summary of </w:t>
      </w:r>
      <w:r w:rsidR="004655F0">
        <w:t>post marketing data is provided</w:t>
      </w:r>
      <w:r w:rsidRPr="00061BEF">
        <w:t>. In the period up to December 2013 (7.5 years fol</w:t>
      </w:r>
      <w:r w:rsidR="00B9212B">
        <w:t>lowing market release in the US</w:t>
      </w:r>
      <w:r w:rsidRPr="00061BEF">
        <w:t xml:space="preserve">) 1.55 million prescriptions were written for </w:t>
      </w:r>
      <w:r w:rsidRPr="00061BEF">
        <w:lastRenderedPageBreak/>
        <w:t>Seasonique. Exposure was estimated at 385,101 woman-years. During this period 466 AEs were reported, most commonly some form of vaginal bleeding. Based on the sales data the sponsor estimates the rate of such reported bleeding as being 0.06%. A tabulation of adverse events by system organ class notified to the FDA in the period up until June 2010 is provided. This lists 363 reported events covering a wide clinical spectrum. None seem unexpected in the context of long</w:t>
      </w:r>
      <w:r w:rsidR="00B9212B">
        <w:t xml:space="preserve"> </w:t>
      </w:r>
      <w:r w:rsidRPr="00061BEF">
        <w:t>term COC use.</w:t>
      </w:r>
    </w:p>
    <w:p w:rsidR="00605AD4" w:rsidRPr="00605AD4" w:rsidRDefault="00605AD4" w:rsidP="00605AD4">
      <w:pPr>
        <w:pStyle w:val="Heading4"/>
      </w:pPr>
      <w:r w:rsidRPr="00605AD4">
        <w:t>Evaluator’s conclusions on safety</w:t>
      </w:r>
    </w:p>
    <w:p w:rsidR="004655F0" w:rsidRPr="004655F0" w:rsidRDefault="004655F0" w:rsidP="004655F0">
      <w:r w:rsidRPr="004655F0">
        <w:t>The overall safety of Seasonique is well demonstrated by the included studies, on a</w:t>
      </w:r>
      <w:r w:rsidR="001730D4">
        <w:t xml:space="preserve">n adequate number of subjects. </w:t>
      </w:r>
      <w:r w:rsidRPr="004655F0">
        <w:t xml:space="preserve">The pattern of </w:t>
      </w:r>
      <w:r w:rsidR="00B9212B">
        <w:t>AEs</w:t>
      </w:r>
      <w:r w:rsidRPr="004655F0">
        <w:t xml:space="preserve"> demonstrated in the included studies matches that associated with existing approved COC preparations of the same formulation as Seasonique.</w:t>
      </w:r>
    </w:p>
    <w:p w:rsidR="004655F0" w:rsidRPr="004655F0" w:rsidRDefault="004655F0" w:rsidP="004655F0">
      <w:r w:rsidRPr="004655F0">
        <w:t>Use of Seasonique is associated with a menstrual bleeding profile which differs from that associated with conventional 28 day cycle COCs; the extended cycle regimen means that there are less frequent scheduled withdrawal bleeds, but there is an increased frequency of intermenstrual, unscheduled bleeding which is most prominent during the first year of use and has in the included studies been associated with a sig</w:t>
      </w:r>
      <w:r w:rsidR="001730D4">
        <w:t xml:space="preserve">nificant discontinuation rate. </w:t>
      </w:r>
      <w:r w:rsidRPr="004655F0">
        <w:t>This is not a safety issue but may affect the acceptability of the</w:t>
      </w:r>
      <w:r w:rsidR="001730D4">
        <w:t xml:space="preserve"> product for women who use it. </w:t>
      </w:r>
      <w:r w:rsidRPr="004655F0">
        <w:t>The bleeding is not associated with any adverse effects on the endometrium.</w:t>
      </w:r>
    </w:p>
    <w:p w:rsidR="004655F0" w:rsidRPr="004655F0" w:rsidRDefault="004655F0" w:rsidP="004655F0">
      <w:r w:rsidRPr="004655F0">
        <w:t>The inclusion in the application of safety data on adolescent post</w:t>
      </w:r>
      <w:r w:rsidR="001730D4">
        <w:t xml:space="preserve"> </w:t>
      </w:r>
      <w:proofErr w:type="spellStart"/>
      <w:r w:rsidRPr="004655F0">
        <w:t>menarchal</w:t>
      </w:r>
      <w:proofErr w:type="spellEnd"/>
      <w:r w:rsidRPr="004655F0">
        <w:t xml:space="preserve"> subjects is appropri</w:t>
      </w:r>
      <w:r w:rsidR="001730D4">
        <w:t>ate as the proposed indication “use as an oral contraceptive”</w:t>
      </w:r>
      <w:r w:rsidRPr="004655F0">
        <w:t xml:space="preserve"> may include its use in that population.</w:t>
      </w:r>
    </w:p>
    <w:p w:rsidR="004655F0" w:rsidRPr="004655F0" w:rsidRDefault="007F4D8D" w:rsidP="004655F0">
      <w:r w:rsidRPr="007F4D8D">
        <w:t xml:space="preserve">Risk of </w:t>
      </w:r>
      <w:r w:rsidR="00064DD5" w:rsidRPr="00B10A51">
        <w:rPr>
          <w:rFonts w:asciiTheme="minorHAnsi" w:hAnsiTheme="minorHAnsi"/>
        </w:rPr>
        <w:t>venous thromboembolic event</w:t>
      </w:r>
      <w:r w:rsidR="00064DD5">
        <w:t xml:space="preserve">s (VTEs) and </w:t>
      </w:r>
      <w:r w:rsidR="00064DD5" w:rsidRPr="00B10A51">
        <w:rPr>
          <w:rFonts w:asciiTheme="minorHAnsi" w:hAnsiTheme="minorHAnsi"/>
        </w:rPr>
        <w:t>arterial thromboembolic event</w:t>
      </w:r>
      <w:r w:rsidR="00064DD5">
        <w:rPr>
          <w:rFonts w:asciiTheme="minorHAnsi" w:hAnsiTheme="minorHAnsi"/>
        </w:rPr>
        <w:t>s</w:t>
      </w:r>
      <w:r w:rsidR="00064DD5" w:rsidRPr="004655F0">
        <w:t xml:space="preserve"> </w:t>
      </w:r>
      <w:r w:rsidR="00064DD5">
        <w:t xml:space="preserve">(ATEs) </w:t>
      </w:r>
      <w:r w:rsidR="004655F0" w:rsidRPr="004655F0">
        <w:t xml:space="preserve">are too </w:t>
      </w:r>
      <w:proofErr w:type="gramStart"/>
      <w:r w:rsidR="004655F0" w:rsidRPr="004655F0">
        <w:t>uncommon/rare</w:t>
      </w:r>
      <w:proofErr w:type="gramEnd"/>
      <w:r w:rsidR="004655F0" w:rsidRPr="004655F0">
        <w:t xml:space="preserve"> to make any sort of estimate from the pre-market clinical trial.</w:t>
      </w:r>
    </w:p>
    <w:p w:rsidR="004655F0" w:rsidRPr="004655F0" w:rsidRDefault="004655F0" w:rsidP="004655F0">
      <w:r w:rsidRPr="004655F0">
        <w:t>There was one case</w:t>
      </w:r>
      <w:r w:rsidR="00D346FF">
        <w:t xml:space="preserve"> of venous thrombotic event </w:t>
      </w:r>
      <w:r w:rsidRPr="004655F0">
        <w:t>reported with Seasonique in a patient having a mutation in factor V Leiden. One case of arterial thrombotic event was reported with DP3-84/30 in a patient with predisposing thrombotic risk factors. No conclusion could be drawn from single cases.</w:t>
      </w:r>
    </w:p>
    <w:p w:rsidR="00605AD4" w:rsidRPr="00605AD4" w:rsidRDefault="00605AD4" w:rsidP="00605AD4">
      <w:pPr>
        <w:pStyle w:val="Heading3"/>
        <w:rPr>
          <w:rFonts w:eastAsia="Cambria"/>
        </w:rPr>
      </w:pPr>
      <w:bookmarkStart w:id="109" w:name="_Toc468181710"/>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09"/>
    </w:p>
    <w:p w:rsidR="00605AD4" w:rsidRDefault="00605AD4" w:rsidP="00605AD4">
      <w:pPr>
        <w:pStyle w:val="Heading4"/>
      </w:pPr>
      <w:r w:rsidRPr="00605AD4">
        <w:t>First round assessment of benefits</w:t>
      </w:r>
    </w:p>
    <w:p w:rsidR="004655F0" w:rsidRPr="004655F0" w:rsidRDefault="004655F0" w:rsidP="004655F0">
      <w:r w:rsidRPr="004655F0">
        <w:t>The benefits of Seasonique in the proposed usage are:</w:t>
      </w:r>
    </w:p>
    <w:p w:rsidR="004655F0" w:rsidRPr="004655F0" w:rsidRDefault="004655F0" w:rsidP="004655F0">
      <w:pPr>
        <w:pStyle w:val="ListBullet"/>
      </w:pPr>
      <w:r w:rsidRPr="004655F0">
        <w:t>Contraception with a level of reliability commensurate with that of most currently available oral contraceptive formulations.</w:t>
      </w:r>
    </w:p>
    <w:p w:rsidR="004655F0" w:rsidRPr="004655F0" w:rsidRDefault="004655F0" w:rsidP="004655F0">
      <w:pPr>
        <w:pStyle w:val="ListBullet"/>
      </w:pPr>
      <w:r w:rsidRPr="004655F0">
        <w:t>Reduction in the frequency of menstruation from once per month to four times per year.</w:t>
      </w:r>
    </w:p>
    <w:p w:rsidR="004655F0" w:rsidRPr="004655F0" w:rsidRDefault="004655F0" w:rsidP="004655F0">
      <w:pPr>
        <w:pStyle w:val="ListBullet"/>
      </w:pPr>
      <w:r w:rsidRPr="004655F0">
        <w:t>For those users who have troublesome menstruation</w:t>
      </w:r>
      <w:r w:rsidR="007F4D8D">
        <w:t xml:space="preserve"> </w:t>
      </w:r>
      <w:r w:rsidRPr="004655F0">
        <w:t>related symptoms, a reduction in frequency of those symptoms also (note that this is not a benefit claimed by the sponsor, but is a likely one).</w:t>
      </w:r>
    </w:p>
    <w:p w:rsidR="00605AD4" w:rsidRDefault="00605AD4" w:rsidP="00605AD4">
      <w:pPr>
        <w:pStyle w:val="Heading4"/>
      </w:pPr>
      <w:r w:rsidRPr="00605AD4">
        <w:t>First round assessment of risks</w:t>
      </w:r>
    </w:p>
    <w:p w:rsidR="004655F0" w:rsidRPr="004655F0" w:rsidRDefault="004655F0" w:rsidP="004655F0">
      <w:r w:rsidRPr="004655F0">
        <w:t>The risks of Seasonique in the proposed usage are:</w:t>
      </w:r>
    </w:p>
    <w:p w:rsidR="004655F0" w:rsidRPr="004655F0" w:rsidRDefault="004655F0" w:rsidP="004655F0">
      <w:pPr>
        <w:pStyle w:val="ListBullet"/>
      </w:pPr>
      <w:r w:rsidRPr="004655F0">
        <w:t>The established, well documented risks of oral contraceptive formulations containing oestrogen/progestogen doses at the level used in Seasonique (for example, an increased risk of venous thromboembolic disorders).</w:t>
      </w:r>
    </w:p>
    <w:p w:rsidR="004655F0" w:rsidRPr="004655F0" w:rsidRDefault="004655F0" w:rsidP="004655F0">
      <w:pPr>
        <w:pStyle w:val="ListBullet"/>
      </w:pPr>
      <w:r w:rsidRPr="004655F0">
        <w:lastRenderedPageBreak/>
        <w:t>Unpredictable intermenstrual bleeding, with the possibility of being in the small proportion of users in whom this occurs to an unacceptable degree.</w:t>
      </w:r>
    </w:p>
    <w:p w:rsidR="004655F0" w:rsidRPr="004655F0" w:rsidRDefault="004655F0" w:rsidP="004655F0">
      <w:pPr>
        <w:pStyle w:val="ListBullet"/>
      </w:pPr>
      <w:r w:rsidRPr="004655F0">
        <w:t xml:space="preserve">VTE/ATE </w:t>
      </w:r>
      <w:proofErr w:type="gramStart"/>
      <w:r w:rsidRPr="004655F0">
        <w:t>are</w:t>
      </w:r>
      <w:proofErr w:type="gramEnd"/>
      <w:r w:rsidRPr="004655F0">
        <w:t xml:space="preserve"> too rare to be characterised in the pre-market data. It is unknown whether VTE/ATE is more or less common with Seasonique than with other </w:t>
      </w:r>
      <w:r w:rsidR="00EB1785">
        <w:t>combined hormonal</w:t>
      </w:r>
      <w:r w:rsidR="00EB1785" w:rsidRPr="001D30AB">
        <w:t xml:space="preserve"> contraceptive</w:t>
      </w:r>
      <w:r w:rsidR="00EB1785" w:rsidRPr="004655F0">
        <w:t xml:space="preserve"> </w:t>
      </w:r>
      <w:r w:rsidR="00EB1785">
        <w:t>(</w:t>
      </w:r>
      <w:r w:rsidRPr="004655F0">
        <w:t>CHC</w:t>
      </w:r>
      <w:r w:rsidR="00EB1785">
        <w:t>)</w:t>
      </w:r>
      <w:r w:rsidRPr="004655F0">
        <w:t xml:space="preserve"> with shorter cycles.</w:t>
      </w:r>
    </w:p>
    <w:p w:rsidR="00605AD4" w:rsidRPr="00605AD4" w:rsidRDefault="00605AD4" w:rsidP="00605AD4">
      <w:pPr>
        <w:pStyle w:val="Heading4"/>
      </w:pPr>
      <w:r w:rsidRPr="00605AD4">
        <w:t>First round assessment of benefit-risk balance</w:t>
      </w:r>
    </w:p>
    <w:p w:rsidR="004655F0" w:rsidRPr="004655F0" w:rsidRDefault="004655F0" w:rsidP="004655F0">
      <w:r w:rsidRPr="004655F0">
        <w:t>At this point in time, pending the sponsor’s response and further TGA evaluation, the benefit-risk balance of Seasonique, given the proposed usage, is favourable.</w:t>
      </w:r>
    </w:p>
    <w:p w:rsidR="00605AD4" w:rsidRPr="00605AD4" w:rsidRDefault="00605AD4" w:rsidP="00605AD4">
      <w:pPr>
        <w:pStyle w:val="Heading3"/>
        <w:rPr>
          <w:rFonts w:eastAsia="Cambria"/>
        </w:rPr>
      </w:pPr>
      <w:bookmarkStart w:id="110" w:name="_Toc468181711"/>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r</w:t>
      </w:r>
      <w:r w:rsidRPr="00605AD4">
        <w:rPr>
          <w:rFonts w:eastAsia="Cambria"/>
        </w:rPr>
        <w:t xml:space="preserve">ecommendation </w:t>
      </w:r>
      <w:r w:rsidR="00E63418">
        <w:rPr>
          <w:rFonts w:eastAsia="Cambria"/>
        </w:rPr>
        <w:t>r</w:t>
      </w:r>
      <w:r w:rsidRPr="00605AD4">
        <w:rPr>
          <w:rFonts w:eastAsia="Cambria"/>
        </w:rPr>
        <w:t xml:space="preserve">egarding </w:t>
      </w:r>
      <w:r w:rsidR="00E63418">
        <w:rPr>
          <w:rFonts w:eastAsia="Cambria"/>
        </w:rPr>
        <w:t>a</w:t>
      </w:r>
      <w:r w:rsidRPr="00605AD4">
        <w:rPr>
          <w:rFonts w:eastAsia="Cambria"/>
        </w:rPr>
        <w:t>uthorisation</w:t>
      </w:r>
      <w:bookmarkEnd w:id="110"/>
    </w:p>
    <w:p w:rsidR="004655F0" w:rsidRPr="00B22820" w:rsidRDefault="004655F0" w:rsidP="00B22820">
      <w:r w:rsidRPr="00B22820">
        <w:t>At this point in time, and pending the sponsor’s response and further TGA evaluation, no objection is seen to approval of the application.</w:t>
      </w:r>
    </w:p>
    <w:p w:rsidR="00605AD4" w:rsidRPr="00605AD4" w:rsidRDefault="00605AD4" w:rsidP="00605AD4">
      <w:pPr>
        <w:pStyle w:val="Heading3"/>
        <w:rPr>
          <w:rFonts w:eastAsia="Cambria"/>
        </w:rPr>
      </w:pPr>
      <w:bookmarkStart w:id="111" w:name="_Toc468181712"/>
      <w:r w:rsidRPr="00605AD4">
        <w:rPr>
          <w:rFonts w:eastAsia="Cambria"/>
        </w:rPr>
        <w:t xml:space="preserve">Clinical </w:t>
      </w:r>
      <w:r w:rsidR="00E63418">
        <w:rPr>
          <w:rFonts w:eastAsia="Cambria"/>
        </w:rPr>
        <w:t>q</w:t>
      </w:r>
      <w:r w:rsidRPr="00605AD4">
        <w:rPr>
          <w:rFonts w:eastAsia="Cambria"/>
        </w:rPr>
        <w:t>uestions</w:t>
      </w:r>
      <w:bookmarkEnd w:id="111"/>
    </w:p>
    <w:p w:rsidR="00B22820" w:rsidRPr="00B22820" w:rsidRDefault="00B22820" w:rsidP="00B22820">
      <w:pPr>
        <w:pStyle w:val="ListBullet"/>
      </w:pPr>
      <w:r w:rsidRPr="00B22820">
        <w:t>Is there any information about whether the risk of the uncommon adverse reactions of VTE and ATE is greater or lesser with Seasonique compared to 30</w:t>
      </w:r>
      <w:r w:rsidR="001A2256">
        <w:t xml:space="preserve"> </w:t>
      </w:r>
      <w:r w:rsidRPr="00B22820">
        <w:t>day</w:t>
      </w:r>
      <w:r w:rsidR="001A2256">
        <w:t xml:space="preserve"> </w:t>
      </w:r>
      <w:r w:rsidRPr="00B22820">
        <w:t>cycle CHC?</w:t>
      </w:r>
    </w:p>
    <w:p w:rsidR="00B22820" w:rsidRPr="00B22820" w:rsidRDefault="00B22820" w:rsidP="00B22820">
      <w:pPr>
        <w:pStyle w:val="ListBullet"/>
      </w:pPr>
      <w:r w:rsidRPr="00B22820">
        <w:t>Are any post</w:t>
      </w:r>
      <w:r w:rsidR="001A2256">
        <w:t xml:space="preserve"> </w:t>
      </w:r>
      <w:r w:rsidRPr="00B22820">
        <w:t>marketing studies of the comparative risk of VTE or ATE planned?</w:t>
      </w:r>
    </w:p>
    <w:p w:rsidR="00605AD4" w:rsidRPr="00605AD4" w:rsidRDefault="00605AD4" w:rsidP="00605AD4">
      <w:pPr>
        <w:pStyle w:val="Heading3"/>
        <w:rPr>
          <w:rFonts w:eastAsia="Cambria"/>
        </w:rPr>
      </w:pPr>
      <w:bookmarkStart w:id="112" w:name="_Toc468181713"/>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e</w:t>
      </w:r>
      <w:r w:rsidRPr="00605AD4">
        <w:rPr>
          <w:rFonts w:eastAsia="Cambria"/>
        </w:rPr>
        <w:t>valuation</w:t>
      </w:r>
      <w:bookmarkEnd w:id="112"/>
    </w:p>
    <w:p w:rsidR="00605AD4" w:rsidRPr="00605AD4" w:rsidRDefault="00F44924" w:rsidP="00605AD4">
      <w:r>
        <w:t>Details are provided in Attachment 2.</w:t>
      </w:r>
    </w:p>
    <w:p w:rsidR="00605AD4" w:rsidRPr="00605AD4" w:rsidRDefault="00605AD4" w:rsidP="00546154">
      <w:pPr>
        <w:pStyle w:val="Heading3"/>
        <w:rPr>
          <w:rFonts w:eastAsia="Cambria"/>
        </w:rPr>
      </w:pPr>
      <w:bookmarkStart w:id="113" w:name="_Toc468181714"/>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13"/>
    </w:p>
    <w:p w:rsidR="00605AD4" w:rsidRPr="00241A41" w:rsidRDefault="00241A41" w:rsidP="00546154">
      <w:pPr>
        <w:rPr>
          <w:b/>
        </w:rPr>
      </w:pPr>
      <w:r>
        <w:t>T</w:t>
      </w:r>
      <w:r w:rsidRPr="00241A41">
        <w:t>he sponsor has provided satisfactory r</w:t>
      </w:r>
      <w:r>
        <w:t>esponses to the questions posed.</w:t>
      </w:r>
    </w:p>
    <w:p w:rsidR="008E7846" w:rsidRPr="00E41208" w:rsidRDefault="008E7846" w:rsidP="00546154">
      <w:pPr>
        <w:pStyle w:val="Heading2"/>
      </w:pPr>
      <w:bookmarkStart w:id="114" w:name="_Toc468181715"/>
      <w:r w:rsidRPr="00E41208">
        <w:t xml:space="preserve">V. Pharmacovigilance </w:t>
      </w:r>
      <w:r>
        <w:t>f</w:t>
      </w:r>
      <w:r w:rsidRPr="00E41208">
        <w:t>indings</w:t>
      </w:r>
      <w:bookmarkEnd w:id="100"/>
      <w:bookmarkEnd w:id="101"/>
      <w:bookmarkEnd w:id="114"/>
    </w:p>
    <w:p w:rsidR="008E7846" w:rsidRDefault="00386150" w:rsidP="008E7846">
      <w:pPr>
        <w:pStyle w:val="Heading3"/>
        <w:rPr>
          <w:lang w:eastAsia="en-AU"/>
        </w:rPr>
      </w:pPr>
      <w:bookmarkStart w:id="115" w:name="_Toc247691526"/>
      <w:bookmarkStart w:id="116" w:name="_Toc314842509"/>
      <w:bookmarkStart w:id="117" w:name="_Toc468181716"/>
      <w:r>
        <w:rPr>
          <w:lang w:eastAsia="en-AU"/>
        </w:rPr>
        <w:t>Risk m</w:t>
      </w:r>
      <w:r w:rsidR="008E7846">
        <w:rPr>
          <w:lang w:eastAsia="en-AU"/>
        </w:rPr>
        <w:t xml:space="preserve">anagement </w:t>
      </w:r>
      <w:r>
        <w:rPr>
          <w:lang w:eastAsia="en-AU"/>
        </w:rPr>
        <w:t>p</w:t>
      </w:r>
      <w:r w:rsidR="008E7846">
        <w:rPr>
          <w:lang w:eastAsia="en-AU"/>
        </w:rPr>
        <w:t>lan</w:t>
      </w:r>
      <w:bookmarkEnd w:id="115"/>
      <w:bookmarkEnd w:id="116"/>
      <w:bookmarkEnd w:id="117"/>
    </w:p>
    <w:p w:rsidR="008E7846" w:rsidRDefault="00EF1FEB" w:rsidP="008E7846">
      <w:pPr>
        <w:rPr>
          <w:lang w:eastAsia="en-AU"/>
        </w:rPr>
      </w:pPr>
      <w:r>
        <w:rPr>
          <w:lang w:eastAsia="en-AU"/>
        </w:rPr>
        <w:t>The sponsor submitted an</w:t>
      </w:r>
      <w:r w:rsidRPr="00EF1FEB">
        <w:t xml:space="preserve"> </w:t>
      </w:r>
      <w:r w:rsidRPr="00EF1FEB">
        <w:rPr>
          <w:lang w:eastAsia="en-AU"/>
        </w:rPr>
        <w:t>EU-RMP Versi</w:t>
      </w:r>
      <w:r w:rsidR="001A2256">
        <w:rPr>
          <w:lang w:eastAsia="en-AU"/>
        </w:rPr>
        <w:t>on 4.0 (dated 17 April 2015, Data Lock Point</w:t>
      </w:r>
      <w:r w:rsidRPr="00EF1FEB">
        <w:rPr>
          <w:lang w:eastAsia="en-AU"/>
        </w:rPr>
        <w:t xml:space="preserve"> 28 February 2015) with Australian Specific Annex </w:t>
      </w:r>
      <w:r w:rsidR="001A2256">
        <w:rPr>
          <w:lang w:eastAsia="en-AU"/>
        </w:rPr>
        <w:t xml:space="preserve">(ASA) </w:t>
      </w:r>
      <w:r w:rsidRPr="00EF1FEB">
        <w:rPr>
          <w:lang w:eastAsia="en-AU"/>
        </w:rPr>
        <w:t>Version (dated 28 April 2015)</w:t>
      </w:r>
      <w:r>
        <w:rPr>
          <w:lang w:eastAsia="en-AU"/>
        </w:rPr>
        <w:t>, which was reviewed by the RMP evaluator.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3A584C">
        <w:rPr>
          <w:lang w:eastAsia="en-AU"/>
        </w:rPr>
        <w:t>4</w:t>
      </w:r>
      <w:r>
        <w:rPr>
          <w:lang w:eastAsia="en-AU"/>
        </w:rPr>
        <w:t>.</w:t>
      </w:r>
    </w:p>
    <w:p w:rsidR="00232A97" w:rsidRDefault="00232A97" w:rsidP="00232A97">
      <w:pPr>
        <w:pStyle w:val="TableTitle"/>
      </w:pPr>
      <w:proofErr w:type="gramStart"/>
      <w:r>
        <w:t xml:space="preserve">Table </w:t>
      </w:r>
      <w:r w:rsidR="003A584C">
        <w:t>4</w:t>
      </w:r>
      <w:r>
        <w:t>:</w:t>
      </w:r>
      <w:r w:rsidRPr="004C5C28">
        <w:t xml:space="preserve"> </w:t>
      </w:r>
      <w:r>
        <w:t>Ongoing safety concerns.</w:t>
      </w:r>
      <w:proofErr w:type="gramEnd"/>
    </w:p>
    <w:tbl>
      <w:tblPr>
        <w:tblStyle w:val="TableTGAblue"/>
        <w:tblW w:w="0" w:type="auto"/>
        <w:tblLook w:val="04A0" w:firstRow="1" w:lastRow="0" w:firstColumn="1" w:lastColumn="0" w:noHBand="0" w:noVBand="1"/>
      </w:tblPr>
      <w:tblGrid>
        <w:gridCol w:w="2475"/>
        <w:gridCol w:w="6245"/>
      </w:tblGrid>
      <w:tr w:rsidR="003A584C" w:rsidRPr="003A584C" w:rsidTr="003A584C">
        <w:trPr>
          <w:cnfStyle w:val="100000000000" w:firstRow="1" w:lastRow="0" w:firstColumn="0" w:lastColumn="0" w:oddVBand="0" w:evenVBand="0" w:oddHBand="0" w:evenHBand="0" w:firstRowFirstColumn="0" w:firstRowLastColumn="0" w:lastRowFirstColumn="0" w:lastRowLastColumn="0"/>
        </w:trPr>
        <w:tc>
          <w:tcPr>
            <w:tcW w:w="9854" w:type="dxa"/>
            <w:gridSpan w:val="2"/>
          </w:tcPr>
          <w:p w:rsidR="003A584C" w:rsidRPr="003A584C" w:rsidRDefault="003A584C" w:rsidP="002A2BB1">
            <w:pPr>
              <w:rPr>
                <w:b w:val="0"/>
              </w:rPr>
            </w:pPr>
            <w:r w:rsidRPr="003A584C">
              <w:t>Summary – Ongoing Safety Concerns</w:t>
            </w:r>
          </w:p>
        </w:tc>
      </w:tr>
      <w:tr w:rsidR="003A584C" w:rsidRPr="003A584C" w:rsidTr="003A584C">
        <w:tc>
          <w:tcPr>
            <w:tcW w:w="2660" w:type="dxa"/>
            <w:vMerge w:val="restart"/>
          </w:tcPr>
          <w:p w:rsidR="003A584C" w:rsidRPr="003A584C" w:rsidRDefault="003A584C" w:rsidP="002A2BB1">
            <w:r w:rsidRPr="003A584C">
              <w:t>Important identified risks</w:t>
            </w:r>
          </w:p>
        </w:tc>
        <w:tc>
          <w:tcPr>
            <w:tcW w:w="7194" w:type="dxa"/>
          </w:tcPr>
          <w:p w:rsidR="003A584C" w:rsidRPr="003A584C" w:rsidRDefault="003A584C" w:rsidP="002A2BB1">
            <w:r w:rsidRPr="003A584C">
              <w:t>Venous thromboembolic events</w:t>
            </w:r>
          </w:p>
        </w:tc>
      </w:tr>
      <w:tr w:rsidR="003A584C" w:rsidRPr="003A584C" w:rsidTr="003A584C">
        <w:tc>
          <w:tcPr>
            <w:tcW w:w="2660" w:type="dxa"/>
            <w:vMerge/>
          </w:tcPr>
          <w:p w:rsidR="003A584C" w:rsidRPr="003A584C" w:rsidRDefault="003A584C" w:rsidP="002A2BB1"/>
        </w:tc>
        <w:tc>
          <w:tcPr>
            <w:tcW w:w="7194" w:type="dxa"/>
          </w:tcPr>
          <w:p w:rsidR="003A584C" w:rsidRPr="003A584C" w:rsidRDefault="003A584C" w:rsidP="002A2BB1">
            <w:r w:rsidRPr="003A584C">
              <w:t>Arterial thromboembolic events</w:t>
            </w:r>
          </w:p>
        </w:tc>
      </w:tr>
      <w:tr w:rsidR="003A584C" w:rsidRPr="003A584C" w:rsidTr="003A584C">
        <w:tc>
          <w:tcPr>
            <w:tcW w:w="2660" w:type="dxa"/>
            <w:vMerge/>
          </w:tcPr>
          <w:p w:rsidR="003A584C" w:rsidRPr="003A584C" w:rsidRDefault="003A584C" w:rsidP="002A2BB1"/>
        </w:tc>
        <w:tc>
          <w:tcPr>
            <w:tcW w:w="7194" w:type="dxa"/>
          </w:tcPr>
          <w:p w:rsidR="003A584C" w:rsidRPr="003A584C" w:rsidRDefault="003A584C" w:rsidP="002A2BB1">
            <w:r w:rsidRPr="003A584C">
              <w:t>Liver tumours (benign and malign)</w:t>
            </w:r>
          </w:p>
        </w:tc>
      </w:tr>
      <w:tr w:rsidR="003A584C" w:rsidRPr="003A584C" w:rsidTr="003A584C">
        <w:tc>
          <w:tcPr>
            <w:tcW w:w="2660" w:type="dxa"/>
            <w:vMerge/>
          </w:tcPr>
          <w:p w:rsidR="003A584C" w:rsidRPr="003A584C" w:rsidRDefault="003A584C" w:rsidP="002A2BB1"/>
        </w:tc>
        <w:tc>
          <w:tcPr>
            <w:tcW w:w="7194" w:type="dxa"/>
          </w:tcPr>
          <w:p w:rsidR="003A584C" w:rsidRPr="003A584C" w:rsidRDefault="003A584C" w:rsidP="002A2BB1">
            <w:r w:rsidRPr="003A584C">
              <w:t>Cycle disorders</w:t>
            </w:r>
          </w:p>
        </w:tc>
      </w:tr>
      <w:tr w:rsidR="003A584C" w:rsidRPr="003A584C" w:rsidTr="003A584C">
        <w:tc>
          <w:tcPr>
            <w:tcW w:w="2660" w:type="dxa"/>
            <w:vMerge/>
          </w:tcPr>
          <w:p w:rsidR="003A584C" w:rsidRPr="003A584C" w:rsidRDefault="003A584C" w:rsidP="002A2BB1"/>
        </w:tc>
        <w:tc>
          <w:tcPr>
            <w:tcW w:w="7194" w:type="dxa"/>
          </w:tcPr>
          <w:p w:rsidR="003A584C" w:rsidRPr="003A584C" w:rsidRDefault="003A584C" w:rsidP="002A2BB1">
            <w:r w:rsidRPr="003A584C">
              <w:t>Depression</w:t>
            </w:r>
          </w:p>
        </w:tc>
      </w:tr>
      <w:tr w:rsidR="003A584C" w:rsidRPr="003A584C" w:rsidTr="003A584C">
        <w:tc>
          <w:tcPr>
            <w:tcW w:w="2660" w:type="dxa"/>
            <w:vMerge/>
          </w:tcPr>
          <w:p w:rsidR="003A584C" w:rsidRPr="003A584C" w:rsidRDefault="003A584C" w:rsidP="002A2BB1"/>
        </w:tc>
        <w:tc>
          <w:tcPr>
            <w:tcW w:w="7194" w:type="dxa"/>
          </w:tcPr>
          <w:p w:rsidR="003A584C" w:rsidRPr="003A584C" w:rsidRDefault="003A584C" w:rsidP="002A2BB1">
            <w:r w:rsidRPr="003A584C">
              <w:t>Effects on hereditary angioedema</w:t>
            </w:r>
          </w:p>
        </w:tc>
      </w:tr>
      <w:tr w:rsidR="003A584C" w:rsidRPr="003A584C" w:rsidTr="003A584C">
        <w:tc>
          <w:tcPr>
            <w:tcW w:w="2660" w:type="dxa"/>
            <w:vMerge w:val="restart"/>
          </w:tcPr>
          <w:p w:rsidR="003A584C" w:rsidRPr="003A584C" w:rsidRDefault="003A584C" w:rsidP="002A2BB1">
            <w:r w:rsidRPr="003A584C">
              <w:t>Important potential risk</w:t>
            </w:r>
          </w:p>
        </w:tc>
        <w:tc>
          <w:tcPr>
            <w:tcW w:w="7194" w:type="dxa"/>
          </w:tcPr>
          <w:p w:rsidR="003A584C" w:rsidRPr="003A584C" w:rsidRDefault="003A584C" w:rsidP="002A2BB1">
            <w:r w:rsidRPr="003A584C">
              <w:t>Breast cancer</w:t>
            </w:r>
          </w:p>
        </w:tc>
      </w:tr>
      <w:tr w:rsidR="003A584C" w:rsidRPr="003A584C" w:rsidTr="003A584C">
        <w:tc>
          <w:tcPr>
            <w:tcW w:w="2660" w:type="dxa"/>
            <w:vMerge/>
          </w:tcPr>
          <w:p w:rsidR="003A584C" w:rsidRPr="003A584C" w:rsidRDefault="003A584C" w:rsidP="002A2BB1"/>
        </w:tc>
        <w:tc>
          <w:tcPr>
            <w:tcW w:w="7194" w:type="dxa"/>
          </w:tcPr>
          <w:p w:rsidR="003A584C" w:rsidRPr="003A584C" w:rsidRDefault="003A584C" w:rsidP="002A2BB1">
            <w:r w:rsidRPr="003A584C">
              <w:t>Cervical dysplasia/cancer</w:t>
            </w:r>
          </w:p>
        </w:tc>
      </w:tr>
      <w:tr w:rsidR="003A584C" w:rsidRPr="003A584C" w:rsidTr="003A584C">
        <w:tc>
          <w:tcPr>
            <w:tcW w:w="2660" w:type="dxa"/>
            <w:vMerge/>
          </w:tcPr>
          <w:p w:rsidR="003A584C" w:rsidRPr="003A584C" w:rsidRDefault="003A584C" w:rsidP="002A2BB1"/>
        </w:tc>
        <w:tc>
          <w:tcPr>
            <w:tcW w:w="7194" w:type="dxa"/>
          </w:tcPr>
          <w:p w:rsidR="003A584C" w:rsidRPr="003A584C" w:rsidRDefault="003A584C" w:rsidP="002A2BB1">
            <w:r w:rsidRPr="003A584C">
              <w:t>Decreased bone density in adolescents</w:t>
            </w:r>
          </w:p>
        </w:tc>
      </w:tr>
      <w:tr w:rsidR="003A584C" w:rsidRPr="003A584C" w:rsidTr="003A584C">
        <w:tc>
          <w:tcPr>
            <w:tcW w:w="2660" w:type="dxa"/>
            <w:vMerge/>
          </w:tcPr>
          <w:p w:rsidR="003A584C" w:rsidRPr="003A584C" w:rsidRDefault="003A584C" w:rsidP="002A2BB1"/>
        </w:tc>
        <w:tc>
          <w:tcPr>
            <w:tcW w:w="7194" w:type="dxa"/>
          </w:tcPr>
          <w:p w:rsidR="003A584C" w:rsidRPr="003A584C" w:rsidRDefault="003A584C" w:rsidP="002A2BB1">
            <w:r w:rsidRPr="003A584C">
              <w:t>Weight increase</w:t>
            </w:r>
          </w:p>
        </w:tc>
      </w:tr>
      <w:tr w:rsidR="003A584C" w:rsidRPr="003A584C" w:rsidTr="003A584C">
        <w:tc>
          <w:tcPr>
            <w:tcW w:w="2660" w:type="dxa"/>
            <w:vMerge/>
          </w:tcPr>
          <w:p w:rsidR="003A584C" w:rsidRPr="003A584C" w:rsidRDefault="003A584C" w:rsidP="002A2BB1"/>
        </w:tc>
        <w:tc>
          <w:tcPr>
            <w:tcW w:w="7194" w:type="dxa"/>
          </w:tcPr>
          <w:p w:rsidR="003A584C" w:rsidRPr="003A584C" w:rsidRDefault="003A584C" w:rsidP="002A2BB1">
            <w:r w:rsidRPr="003A584C">
              <w:t>Unrecognised pregnancies and the consequences of delayed pregnancy detection</w:t>
            </w:r>
          </w:p>
        </w:tc>
      </w:tr>
      <w:tr w:rsidR="003A584C" w:rsidRPr="003A584C" w:rsidTr="003A584C">
        <w:tc>
          <w:tcPr>
            <w:tcW w:w="2660" w:type="dxa"/>
            <w:vMerge/>
          </w:tcPr>
          <w:p w:rsidR="003A584C" w:rsidRPr="003A584C" w:rsidRDefault="003A584C" w:rsidP="002A2BB1"/>
        </w:tc>
        <w:tc>
          <w:tcPr>
            <w:tcW w:w="7194" w:type="dxa"/>
          </w:tcPr>
          <w:p w:rsidR="003A584C" w:rsidRPr="003A584C" w:rsidRDefault="003A584C" w:rsidP="002A2BB1">
            <w:r w:rsidRPr="003A584C">
              <w:t>Detrimental effects on Crohn’s disease and ulcerative [NB: add ‘colitis’]</w:t>
            </w:r>
          </w:p>
        </w:tc>
      </w:tr>
      <w:tr w:rsidR="003A584C" w:rsidRPr="003A584C" w:rsidTr="003A584C">
        <w:tc>
          <w:tcPr>
            <w:tcW w:w="2660" w:type="dxa"/>
            <w:vMerge w:val="restart"/>
          </w:tcPr>
          <w:p w:rsidR="003A584C" w:rsidRPr="003A584C" w:rsidRDefault="003A584C" w:rsidP="002A2BB1">
            <w:r w:rsidRPr="003A584C">
              <w:t>Important missing information</w:t>
            </w:r>
          </w:p>
        </w:tc>
        <w:tc>
          <w:tcPr>
            <w:tcW w:w="7194" w:type="dxa"/>
          </w:tcPr>
          <w:p w:rsidR="003A584C" w:rsidRPr="003A584C" w:rsidRDefault="003A584C" w:rsidP="002A2BB1">
            <w:r w:rsidRPr="003A584C">
              <w:t>Return to fertility</w:t>
            </w:r>
          </w:p>
        </w:tc>
      </w:tr>
      <w:tr w:rsidR="003A584C" w:rsidRPr="003A584C" w:rsidTr="003A584C">
        <w:tc>
          <w:tcPr>
            <w:tcW w:w="2660" w:type="dxa"/>
            <w:vMerge/>
          </w:tcPr>
          <w:p w:rsidR="003A584C" w:rsidRPr="003A584C" w:rsidRDefault="003A584C" w:rsidP="002A2BB1"/>
        </w:tc>
        <w:tc>
          <w:tcPr>
            <w:tcW w:w="7194" w:type="dxa"/>
          </w:tcPr>
          <w:p w:rsidR="003A584C" w:rsidRPr="003A584C" w:rsidRDefault="003A584C" w:rsidP="002A2BB1">
            <w:r w:rsidRPr="003A584C">
              <w:t>Use in women under 18 years of age</w:t>
            </w:r>
          </w:p>
        </w:tc>
      </w:tr>
      <w:tr w:rsidR="003A584C" w:rsidRPr="003A584C" w:rsidTr="003A584C">
        <w:tc>
          <w:tcPr>
            <w:tcW w:w="2660" w:type="dxa"/>
            <w:vMerge/>
          </w:tcPr>
          <w:p w:rsidR="003A584C" w:rsidRPr="003A584C" w:rsidRDefault="003A584C" w:rsidP="002A2BB1"/>
        </w:tc>
        <w:tc>
          <w:tcPr>
            <w:tcW w:w="7194" w:type="dxa"/>
          </w:tcPr>
          <w:p w:rsidR="003A584C" w:rsidRPr="003A584C" w:rsidRDefault="003A584C" w:rsidP="002A2BB1">
            <w:r w:rsidRPr="003A584C">
              <w:t>Long-term safety</w:t>
            </w:r>
          </w:p>
        </w:tc>
      </w:tr>
    </w:tbl>
    <w:p w:rsidR="003A584C" w:rsidRPr="00511344" w:rsidRDefault="003A584C" w:rsidP="003A584C">
      <w:pPr>
        <w:pStyle w:val="Heading5"/>
      </w:pPr>
      <w:r w:rsidRPr="002D00C6">
        <w:t>RMP</w:t>
      </w:r>
      <w:r w:rsidRPr="00511344">
        <w:t xml:space="preserve"> </w:t>
      </w:r>
      <w:r>
        <w:t>reviewer comment</w:t>
      </w:r>
    </w:p>
    <w:p w:rsidR="003A584C" w:rsidRPr="003A584C" w:rsidRDefault="003A584C" w:rsidP="003A584C">
      <w:r w:rsidRPr="003A584C">
        <w:t xml:space="preserve">Notwithstanding to the evaluation of the non-clinical and clinical aspects of the </w:t>
      </w:r>
      <w:r w:rsidR="00EC50E9">
        <w:t>Safety Specification</w:t>
      </w:r>
      <w:r w:rsidRPr="003A584C">
        <w:t>, the summary of safety concerns is considered incomplete in the context of this application. From review of the advice presented in the PI:</w:t>
      </w:r>
    </w:p>
    <w:p w:rsidR="003A584C" w:rsidRPr="003A584C" w:rsidRDefault="003A584C" w:rsidP="003A584C">
      <w:pPr>
        <w:pStyle w:val="ListBullet"/>
      </w:pPr>
      <w:r w:rsidRPr="003A584C">
        <w:t>‘Diabetes mellitus with vascular involvement’ is listed as a Contraindication, with Precautions also highlighting potential risks in this population. ‘Diabetes mellitus with vascular involvement’ should be included as an important potential risk to better monitor this population in future reporting.</w:t>
      </w:r>
    </w:p>
    <w:p w:rsidR="003A584C" w:rsidRPr="003A584C" w:rsidRDefault="003A584C" w:rsidP="003A584C">
      <w:pPr>
        <w:pStyle w:val="ListBullet"/>
      </w:pPr>
      <w:r w:rsidRPr="003A584C">
        <w:t>‘Pancreatitis or a history thereof if associated with severe hypertriglyceridemia’ is listed as a Contraindication, with Precautions also highlighting this risk. ‘Pancreatitis or a history thereof if associated with severe hypertriglyceridemia’ should be included as an important potential risk.</w:t>
      </w:r>
    </w:p>
    <w:p w:rsidR="003A584C" w:rsidRPr="003A584C" w:rsidRDefault="003A584C" w:rsidP="003A584C">
      <w:pPr>
        <w:pStyle w:val="ListBullet"/>
      </w:pPr>
      <w:r w:rsidRPr="003A584C">
        <w:t>There are Precautions relating to hypertension: If, during the use of a COC in pre-existing hypertension, constantly elevated blood pressure values or a significant increase in blood pressure do not respond adequately to antihypertensive treatment, the COC must be withdrawn. ‘Pre-existing or non-responsive hypertension’ should be included as an important potential risk.</w:t>
      </w:r>
    </w:p>
    <w:p w:rsidR="003A584C" w:rsidRPr="003A584C" w:rsidRDefault="003A584C" w:rsidP="003A584C">
      <w:r w:rsidRPr="003A584C">
        <w:t>‘History of migraine with focal neurological symptoms’ is listed as a Contraindication. As this particular identified safety concern is shared across oral contraceptives, it is acceptable for this to not be included in the Summary.</w:t>
      </w:r>
    </w:p>
    <w:p w:rsidR="003A584C" w:rsidRPr="003A584C" w:rsidRDefault="003A584C" w:rsidP="003A584C">
      <w:proofErr w:type="spellStart"/>
      <w:r w:rsidRPr="003A584C">
        <w:t>Chloasma</w:t>
      </w:r>
      <w:proofErr w:type="spellEnd"/>
      <w:r w:rsidRPr="003A584C">
        <w:t xml:space="preserve"> is identified as an effect associated with COCs in women predisposed to the condition. There are Precautions related to this outcome in the PI, in addition to it being identified as a ‘serious adverse event’</w:t>
      </w:r>
      <w:r w:rsidR="00F7714E">
        <w:t xml:space="preserve"> (SAE)</w:t>
      </w:r>
      <w:r w:rsidRPr="003A584C">
        <w:t xml:space="preserve">. While it is noted that </w:t>
      </w:r>
      <w:proofErr w:type="spellStart"/>
      <w:r w:rsidRPr="003A584C">
        <w:t>chloasma</w:t>
      </w:r>
      <w:proofErr w:type="spellEnd"/>
      <w:r w:rsidRPr="003A584C">
        <w:t xml:space="preserve"> may be </w:t>
      </w:r>
      <w:r w:rsidRPr="003A584C">
        <w:lastRenderedPageBreak/>
        <w:t>distressing to patients, it is not considered to meet the definition of a serious adverse event and therefore does not require inclusion in the Summary.</w:t>
      </w:r>
    </w:p>
    <w:p w:rsidR="003A584C" w:rsidRPr="003A584C" w:rsidRDefault="003A584C" w:rsidP="003A584C">
      <w:r w:rsidRPr="003A584C">
        <w:t xml:space="preserve">There is a typographical error in the </w:t>
      </w:r>
      <w:r w:rsidR="00F7714E">
        <w:t>summary</w:t>
      </w:r>
      <w:r w:rsidRPr="003A584C">
        <w:t>, being omission of the word ‘colitis’ after the term ‘ulcerative’. This should be corrected in the next RMP submission. Further, the RMP documentation refers to tumours as both ‘malign’ and ‘malignant’ – the sponsor should be consistent with this descriptor in future RMP submissions.</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3A584C" w:rsidRDefault="003A584C" w:rsidP="003A584C">
      <w:r w:rsidRPr="003A584C">
        <w:t>In the EU-RMP, the sponsor proposes routine and additional pharmacovigilance for the identified/potential risks and missing information presented in the Summary of Sa</w:t>
      </w:r>
      <w:r w:rsidR="007C7E06">
        <w:t>fety Concerns</w:t>
      </w:r>
      <w:r w:rsidR="00971B1D">
        <w:t xml:space="preserve"> (Table 5).</w:t>
      </w:r>
    </w:p>
    <w:p w:rsidR="003A584C" w:rsidRPr="003A584C" w:rsidRDefault="003A584C" w:rsidP="007C7E06">
      <w:pPr>
        <w:pStyle w:val="TableTitle"/>
      </w:pPr>
      <w:r>
        <w:t xml:space="preserve">Table 5: </w:t>
      </w:r>
      <w:r w:rsidR="007C7E06">
        <w:t>Safety concerns and planned actions</w:t>
      </w:r>
    </w:p>
    <w:tbl>
      <w:tblPr>
        <w:tblStyle w:val="TableTGAblue"/>
        <w:tblW w:w="0" w:type="auto"/>
        <w:tblLook w:val="04A0" w:firstRow="1" w:lastRow="0" w:firstColumn="1" w:lastColumn="0" w:noHBand="0" w:noVBand="1"/>
      </w:tblPr>
      <w:tblGrid>
        <w:gridCol w:w="3794"/>
        <w:gridCol w:w="4926"/>
      </w:tblGrid>
      <w:tr w:rsidR="003A584C" w:rsidRPr="007C7E06" w:rsidTr="002A2BB1">
        <w:trPr>
          <w:cnfStyle w:val="100000000000" w:firstRow="1" w:lastRow="0" w:firstColumn="0" w:lastColumn="0" w:oddVBand="0" w:evenVBand="0" w:oddHBand="0" w:evenHBand="0" w:firstRowFirstColumn="0" w:firstRowLastColumn="0" w:lastRowFirstColumn="0" w:lastRowLastColumn="0"/>
        </w:trPr>
        <w:tc>
          <w:tcPr>
            <w:tcW w:w="3794" w:type="dxa"/>
          </w:tcPr>
          <w:p w:rsidR="003A584C" w:rsidRPr="007C7E06" w:rsidRDefault="003A584C" w:rsidP="002A2BB1">
            <w:pPr>
              <w:rPr>
                <w:b w:val="0"/>
              </w:rPr>
            </w:pPr>
            <w:r w:rsidRPr="007C7E06">
              <w:t>Safety concern</w:t>
            </w:r>
          </w:p>
        </w:tc>
        <w:tc>
          <w:tcPr>
            <w:tcW w:w="4926" w:type="dxa"/>
          </w:tcPr>
          <w:p w:rsidR="003A584C" w:rsidRPr="007C7E06" w:rsidRDefault="003A584C" w:rsidP="002A2BB1">
            <w:pPr>
              <w:rPr>
                <w:b w:val="0"/>
              </w:rPr>
            </w:pPr>
            <w:r w:rsidRPr="007C7E06">
              <w:t>Planned action(s)</w:t>
            </w:r>
          </w:p>
        </w:tc>
      </w:tr>
      <w:tr w:rsidR="003A584C" w:rsidRPr="007C7E06" w:rsidTr="002A2BB1">
        <w:tc>
          <w:tcPr>
            <w:tcW w:w="3794" w:type="dxa"/>
          </w:tcPr>
          <w:p w:rsidR="003A584C" w:rsidRPr="007C7E06" w:rsidRDefault="003A584C" w:rsidP="002A2BB1">
            <w:pPr>
              <w:rPr>
                <w:i/>
              </w:rPr>
            </w:pPr>
            <w:r w:rsidRPr="007C7E06">
              <w:rPr>
                <w:i/>
              </w:rPr>
              <w:t>Important identified risks</w:t>
            </w:r>
          </w:p>
        </w:tc>
        <w:tc>
          <w:tcPr>
            <w:tcW w:w="4926" w:type="dxa"/>
          </w:tcPr>
          <w:p w:rsidR="003A584C" w:rsidRPr="007C7E06" w:rsidRDefault="003A584C" w:rsidP="002A2BB1"/>
        </w:tc>
      </w:tr>
      <w:tr w:rsidR="003A584C" w:rsidRPr="007C7E06" w:rsidTr="002A2BB1">
        <w:tc>
          <w:tcPr>
            <w:tcW w:w="3794" w:type="dxa"/>
          </w:tcPr>
          <w:p w:rsidR="003A584C" w:rsidRPr="007C7E06" w:rsidRDefault="003A584C" w:rsidP="002A2BB1">
            <w:r w:rsidRPr="007C7E06">
              <w:t>Venous thromboembolic events (VTEs)</w:t>
            </w:r>
          </w:p>
        </w:tc>
        <w:tc>
          <w:tcPr>
            <w:tcW w:w="4926" w:type="dxa"/>
          </w:tcPr>
          <w:p w:rsidR="003A584C" w:rsidRPr="007C7E06" w:rsidRDefault="003A584C" w:rsidP="002A2BB1">
            <w:r w:rsidRPr="007C7E06">
              <w:t>Routine pharmacovigilance</w:t>
            </w:r>
          </w:p>
          <w:p w:rsidR="003A584C" w:rsidRPr="007C7E06" w:rsidRDefault="003A584C" w:rsidP="002A2BB1">
            <w:r w:rsidRPr="007C7E06">
              <w:t>Specific follow-up questionnaire</w:t>
            </w:r>
          </w:p>
          <w:p w:rsidR="003A584C" w:rsidRPr="007C7E06" w:rsidRDefault="003A584C" w:rsidP="002A2BB1">
            <w:r w:rsidRPr="007C7E06">
              <w:t>Post-authorisation safety study (PASS) [see following text]</w:t>
            </w:r>
          </w:p>
        </w:tc>
      </w:tr>
      <w:tr w:rsidR="003A584C" w:rsidRPr="007C7E06" w:rsidTr="002A2BB1">
        <w:tc>
          <w:tcPr>
            <w:tcW w:w="3794" w:type="dxa"/>
          </w:tcPr>
          <w:p w:rsidR="003A584C" w:rsidRPr="007C7E06" w:rsidRDefault="003A584C" w:rsidP="002A2BB1">
            <w:r w:rsidRPr="007C7E06">
              <w:t>Arterial thromboembolic events (ATE)</w:t>
            </w:r>
          </w:p>
        </w:tc>
        <w:tc>
          <w:tcPr>
            <w:tcW w:w="4926" w:type="dxa"/>
          </w:tcPr>
          <w:p w:rsidR="003A584C" w:rsidRPr="007C7E06" w:rsidRDefault="003A584C" w:rsidP="002A2BB1">
            <w:r w:rsidRPr="007C7E06">
              <w:t>Routine pharmacovigilance</w:t>
            </w:r>
          </w:p>
          <w:p w:rsidR="003A584C" w:rsidRPr="007C7E06" w:rsidRDefault="003A584C" w:rsidP="002A2BB1">
            <w:r w:rsidRPr="007C7E06">
              <w:t>Specific follow-up questionnaire</w:t>
            </w:r>
          </w:p>
        </w:tc>
      </w:tr>
      <w:tr w:rsidR="003A584C" w:rsidRPr="007C7E06" w:rsidTr="002A2BB1">
        <w:tc>
          <w:tcPr>
            <w:tcW w:w="3794" w:type="dxa"/>
          </w:tcPr>
          <w:p w:rsidR="003A584C" w:rsidRPr="007C7E06" w:rsidRDefault="003A584C" w:rsidP="002A2BB1">
            <w:r w:rsidRPr="007C7E06">
              <w:t>Liver tumours (benign and malign)</w:t>
            </w:r>
          </w:p>
        </w:tc>
        <w:tc>
          <w:tcPr>
            <w:tcW w:w="4926" w:type="dxa"/>
          </w:tcPr>
          <w:p w:rsidR="003A584C" w:rsidRPr="007C7E06" w:rsidRDefault="003A584C" w:rsidP="002A2BB1">
            <w:r w:rsidRPr="007C7E06">
              <w:t>Routine pharmacovigilance</w:t>
            </w:r>
          </w:p>
        </w:tc>
      </w:tr>
      <w:tr w:rsidR="003A584C" w:rsidRPr="007C7E06" w:rsidTr="002A2BB1">
        <w:tc>
          <w:tcPr>
            <w:tcW w:w="3794" w:type="dxa"/>
          </w:tcPr>
          <w:p w:rsidR="003A584C" w:rsidRPr="007C7E06" w:rsidRDefault="003A584C" w:rsidP="002A2BB1">
            <w:r w:rsidRPr="007C7E06">
              <w:t>Cycle disorders</w:t>
            </w:r>
          </w:p>
        </w:tc>
        <w:tc>
          <w:tcPr>
            <w:tcW w:w="4926" w:type="dxa"/>
          </w:tcPr>
          <w:p w:rsidR="003A584C" w:rsidRPr="007C7E06" w:rsidRDefault="003A584C" w:rsidP="002A2BB1">
            <w:r w:rsidRPr="007C7E06">
              <w:t>Routine pharmacovigilance</w:t>
            </w:r>
          </w:p>
        </w:tc>
      </w:tr>
      <w:tr w:rsidR="003A584C" w:rsidRPr="007C7E06" w:rsidTr="002A2BB1">
        <w:tc>
          <w:tcPr>
            <w:tcW w:w="3794" w:type="dxa"/>
          </w:tcPr>
          <w:p w:rsidR="003A584C" w:rsidRPr="007C7E06" w:rsidRDefault="003A584C" w:rsidP="002A2BB1">
            <w:r w:rsidRPr="007C7E06">
              <w:t>Depression</w:t>
            </w:r>
          </w:p>
        </w:tc>
        <w:tc>
          <w:tcPr>
            <w:tcW w:w="4926" w:type="dxa"/>
          </w:tcPr>
          <w:p w:rsidR="003A584C" w:rsidRPr="007C7E06" w:rsidRDefault="003A584C" w:rsidP="002A2BB1">
            <w:r w:rsidRPr="007C7E06">
              <w:t>Routine pharmacovigilance</w:t>
            </w:r>
          </w:p>
          <w:p w:rsidR="003A584C" w:rsidRPr="007C7E06" w:rsidRDefault="003A584C" w:rsidP="002A2BB1">
            <w:r w:rsidRPr="007C7E06">
              <w:t>Specific follow-up questionnaire</w:t>
            </w:r>
          </w:p>
        </w:tc>
      </w:tr>
      <w:tr w:rsidR="003A584C" w:rsidRPr="007C7E06" w:rsidTr="002A2BB1">
        <w:tc>
          <w:tcPr>
            <w:tcW w:w="3794" w:type="dxa"/>
          </w:tcPr>
          <w:p w:rsidR="003A584C" w:rsidRPr="007C7E06" w:rsidRDefault="003A584C" w:rsidP="002A2BB1">
            <w:r w:rsidRPr="007C7E06">
              <w:t>Effects on hereditary angioedema</w:t>
            </w:r>
          </w:p>
        </w:tc>
        <w:tc>
          <w:tcPr>
            <w:tcW w:w="4926" w:type="dxa"/>
          </w:tcPr>
          <w:p w:rsidR="003A584C" w:rsidRPr="007C7E06" w:rsidRDefault="003A584C" w:rsidP="002A2BB1">
            <w:r w:rsidRPr="007C7E06">
              <w:t>Routine pharmacovigilance</w:t>
            </w:r>
          </w:p>
        </w:tc>
      </w:tr>
      <w:tr w:rsidR="003A584C" w:rsidRPr="007C7E06" w:rsidTr="002A2BB1">
        <w:tc>
          <w:tcPr>
            <w:tcW w:w="3794" w:type="dxa"/>
          </w:tcPr>
          <w:p w:rsidR="003A584C" w:rsidRPr="007C7E06" w:rsidRDefault="003A584C" w:rsidP="002A2BB1">
            <w:pPr>
              <w:rPr>
                <w:i/>
              </w:rPr>
            </w:pPr>
            <w:r w:rsidRPr="007C7E06">
              <w:rPr>
                <w:i/>
              </w:rPr>
              <w:t>Important potential risks</w:t>
            </w:r>
          </w:p>
        </w:tc>
        <w:tc>
          <w:tcPr>
            <w:tcW w:w="4926" w:type="dxa"/>
          </w:tcPr>
          <w:p w:rsidR="003A584C" w:rsidRPr="007C7E06" w:rsidRDefault="003A584C" w:rsidP="002A2BB1"/>
        </w:tc>
      </w:tr>
      <w:tr w:rsidR="003A584C" w:rsidRPr="007C7E06" w:rsidTr="002A2BB1">
        <w:tc>
          <w:tcPr>
            <w:tcW w:w="3794" w:type="dxa"/>
          </w:tcPr>
          <w:p w:rsidR="003A584C" w:rsidRPr="007C7E06" w:rsidRDefault="003A584C" w:rsidP="002A2BB1">
            <w:r w:rsidRPr="007C7E06">
              <w:t>Breast cancer</w:t>
            </w:r>
          </w:p>
        </w:tc>
        <w:tc>
          <w:tcPr>
            <w:tcW w:w="4926" w:type="dxa"/>
          </w:tcPr>
          <w:p w:rsidR="003A584C" w:rsidRPr="007C7E06" w:rsidRDefault="003A584C" w:rsidP="002A2BB1">
            <w:r w:rsidRPr="007C7E06">
              <w:t>Routine pharmacovigilance</w:t>
            </w:r>
          </w:p>
          <w:p w:rsidR="003A584C" w:rsidRPr="007C7E06" w:rsidRDefault="003A584C" w:rsidP="002A2BB1">
            <w:r w:rsidRPr="007C7E06">
              <w:t>Specific follow-up questionnaire</w:t>
            </w:r>
          </w:p>
        </w:tc>
      </w:tr>
      <w:tr w:rsidR="003A584C" w:rsidRPr="007C7E06" w:rsidTr="002A2BB1">
        <w:tc>
          <w:tcPr>
            <w:tcW w:w="3794" w:type="dxa"/>
          </w:tcPr>
          <w:p w:rsidR="003A584C" w:rsidRPr="007C7E06" w:rsidRDefault="003A584C" w:rsidP="002A2BB1">
            <w:r w:rsidRPr="007C7E06">
              <w:t>Cervical dysplasia/cancer</w:t>
            </w:r>
          </w:p>
        </w:tc>
        <w:tc>
          <w:tcPr>
            <w:tcW w:w="4926" w:type="dxa"/>
          </w:tcPr>
          <w:p w:rsidR="003A584C" w:rsidRPr="007C7E06" w:rsidRDefault="003A584C" w:rsidP="002A2BB1">
            <w:r w:rsidRPr="007C7E06">
              <w:t>Routine pharmacovigilance</w:t>
            </w:r>
          </w:p>
        </w:tc>
      </w:tr>
      <w:tr w:rsidR="003A584C" w:rsidRPr="007C7E06" w:rsidTr="002A2BB1">
        <w:tc>
          <w:tcPr>
            <w:tcW w:w="3794" w:type="dxa"/>
          </w:tcPr>
          <w:p w:rsidR="003A584C" w:rsidRPr="007C7E06" w:rsidRDefault="003A584C" w:rsidP="002A2BB1">
            <w:r w:rsidRPr="007C7E06">
              <w:t>Decreased bone density in adolescents</w:t>
            </w:r>
          </w:p>
        </w:tc>
        <w:tc>
          <w:tcPr>
            <w:tcW w:w="4926" w:type="dxa"/>
          </w:tcPr>
          <w:p w:rsidR="003A584C" w:rsidRPr="007C7E06" w:rsidRDefault="003A584C" w:rsidP="002A2BB1">
            <w:r w:rsidRPr="007C7E06">
              <w:t>Routine pharmacovigilance</w:t>
            </w:r>
          </w:p>
        </w:tc>
      </w:tr>
      <w:tr w:rsidR="003A584C" w:rsidRPr="007C7E06" w:rsidTr="002A2BB1">
        <w:tc>
          <w:tcPr>
            <w:tcW w:w="3794" w:type="dxa"/>
          </w:tcPr>
          <w:p w:rsidR="003A584C" w:rsidRPr="007C7E06" w:rsidRDefault="003A584C" w:rsidP="002A2BB1">
            <w:r w:rsidRPr="007C7E06">
              <w:t>Weight increase</w:t>
            </w:r>
          </w:p>
        </w:tc>
        <w:tc>
          <w:tcPr>
            <w:tcW w:w="4926" w:type="dxa"/>
          </w:tcPr>
          <w:p w:rsidR="003A584C" w:rsidRPr="007C7E06" w:rsidRDefault="003A584C" w:rsidP="002A2BB1">
            <w:r w:rsidRPr="007C7E06">
              <w:t>Routine pharmacovigilance</w:t>
            </w:r>
          </w:p>
        </w:tc>
      </w:tr>
      <w:tr w:rsidR="003A584C" w:rsidRPr="007C7E06" w:rsidTr="002A2BB1">
        <w:tc>
          <w:tcPr>
            <w:tcW w:w="3794" w:type="dxa"/>
          </w:tcPr>
          <w:p w:rsidR="003A584C" w:rsidRPr="007C7E06" w:rsidRDefault="003A584C" w:rsidP="002A2BB1">
            <w:r w:rsidRPr="007C7E06">
              <w:t xml:space="preserve">Unrecognised pregnancies and the consequences of delayed </w:t>
            </w:r>
            <w:r w:rsidRPr="007C7E06">
              <w:lastRenderedPageBreak/>
              <w:t>pregnancy detection</w:t>
            </w:r>
          </w:p>
        </w:tc>
        <w:tc>
          <w:tcPr>
            <w:tcW w:w="4926" w:type="dxa"/>
          </w:tcPr>
          <w:p w:rsidR="003A584C" w:rsidRPr="007C7E06" w:rsidRDefault="003A584C" w:rsidP="002A2BB1">
            <w:r w:rsidRPr="007C7E06">
              <w:lastRenderedPageBreak/>
              <w:t>Routine pharmacovigilance</w:t>
            </w:r>
          </w:p>
          <w:p w:rsidR="003A584C" w:rsidRPr="007C7E06" w:rsidRDefault="003A584C" w:rsidP="002A2BB1">
            <w:r w:rsidRPr="007C7E06">
              <w:t xml:space="preserve">Specific follow-up questionnaire on delayed </w:t>
            </w:r>
            <w:r w:rsidRPr="007C7E06">
              <w:lastRenderedPageBreak/>
              <w:t>pregnancy detection</w:t>
            </w:r>
          </w:p>
        </w:tc>
      </w:tr>
      <w:tr w:rsidR="003A584C" w:rsidRPr="007C7E06" w:rsidTr="002A2BB1">
        <w:tc>
          <w:tcPr>
            <w:tcW w:w="3794" w:type="dxa"/>
          </w:tcPr>
          <w:p w:rsidR="003A584C" w:rsidRPr="007C7E06" w:rsidRDefault="003A584C" w:rsidP="002A2BB1">
            <w:r w:rsidRPr="007C7E06">
              <w:lastRenderedPageBreak/>
              <w:t>Detrimental effects on Crohn’s disease and ulcerative colitis</w:t>
            </w:r>
          </w:p>
        </w:tc>
        <w:tc>
          <w:tcPr>
            <w:tcW w:w="4926" w:type="dxa"/>
          </w:tcPr>
          <w:p w:rsidR="003A584C" w:rsidRPr="007C7E06" w:rsidRDefault="003A584C" w:rsidP="002A2BB1">
            <w:r w:rsidRPr="007C7E06">
              <w:t>Routine pharmacovigilance</w:t>
            </w:r>
          </w:p>
        </w:tc>
      </w:tr>
      <w:tr w:rsidR="003A584C" w:rsidRPr="007C7E06" w:rsidTr="002A2BB1">
        <w:tc>
          <w:tcPr>
            <w:tcW w:w="3794" w:type="dxa"/>
          </w:tcPr>
          <w:p w:rsidR="003A584C" w:rsidRPr="007C7E06" w:rsidRDefault="003A584C" w:rsidP="002A2BB1">
            <w:pPr>
              <w:rPr>
                <w:i/>
              </w:rPr>
            </w:pPr>
            <w:r w:rsidRPr="007C7E06">
              <w:rPr>
                <w:i/>
              </w:rPr>
              <w:t>Missing information</w:t>
            </w:r>
          </w:p>
        </w:tc>
        <w:tc>
          <w:tcPr>
            <w:tcW w:w="4926" w:type="dxa"/>
          </w:tcPr>
          <w:p w:rsidR="003A584C" w:rsidRPr="007C7E06" w:rsidRDefault="003A584C" w:rsidP="002A2BB1"/>
        </w:tc>
      </w:tr>
      <w:tr w:rsidR="003A584C" w:rsidRPr="007C7E06" w:rsidTr="002A2BB1">
        <w:tc>
          <w:tcPr>
            <w:tcW w:w="3794" w:type="dxa"/>
          </w:tcPr>
          <w:p w:rsidR="003A584C" w:rsidRPr="007C7E06" w:rsidRDefault="003A584C" w:rsidP="002A2BB1">
            <w:r w:rsidRPr="007C7E06">
              <w:t>Return to fertility</w:t>
            </w:r>
          </w:p>
        </w:tc>
        <w:tc>
          <w:tcPr>
            <w:tcW w:w="4926" w:type="dxa"/>
          </w:tcPr>
          <w:p w:rsidR="003A584C" w:rsidRPr="007C7E06" w:rsidRDefault="003A584C" w:rsidP="002A2BB1">
            <w:r w:rsidRPr="007C7E06">
              <w:t>Routine pharmacovigilance</w:t>
            </w:r>
          </w:p>
          <w:p w:rsidR="003A584C" w:rsidRPr="007C7E06" w:rsidRDefault="003A584C" w:rsidP="002A2BB1">
            <w:r w:rsidRPr="007C7E06">
              <w:t>Specific follow-up questionnaire on fertility disorders</w:t>
            </w:r>
          </w:p>
        </w:tc>
      </w:tr>
      <w:tr w:rsidR="003A584C" w:rsidRPr="007C7E06" w:rsidTr="002A2BB1">
        <w:tc>
          <w:tcPr>
            <w:tcW w:w="3794" w:type="dxa"/>
          </w:tcPr>
          <w:p w:rsidR="003A584C" w:rsidRPr="007C7E06" w:rsidRDefault="003A584C" w:rsidP="002A2BB1">
            <w:r w:rsidRPr="007C7E06">
              <w:t>Use in women under 18 years of age</w:t>
            </w:r>
          </w:p>
        </w:tc>
        <w:tc>
          <w:tcPr>
            <w:tcW w:w="4926" w:type="dxa"/>
          </w:tcPr>
          <w:p w:rsidR="003A584C" w:rsidRPr="007C7E06" w:rsidRDefault="003A584C" w:rsidP="002A2BB1">
            <w:r w:rsidRPr="007C7E06">
              <w:t>Routine pharmacovigilance</w:t>
            </w:r>
          </w:p>
        </w:tc>
      </w:tr>
      <w:tr w:rsidR="003A584C" w:rsidRPr="007C7E06" w:rsidTr="002A2BB1">
        <w:tc>
          <w:tcPr>
            <w:tcW w:w="3794" w:type="dxa"/>
          </w:tcPr>
          <w:p w:rsidR="003A584C" w:rsidRPr="007C7E06" w:rsidRDefault="003A584C" w:rsidP="002A2BB1">
            <w:r w:rsidRPr="007C7E06">
              <w:t>Long-term safety</w:t>
            </w:r>
          </w:p>
        </w:tc>
        <w:tc>
          <w:tcPr>
            <w:tcW w:w="4926" w:type="dxa"/>
          </w:tcPr>
          <w:p w:rsidR="003A584C" w:rsidRPr="007C7E06" w:rsidRDefault="003A584C" w:rsidP="002A2BB1">
            <w:r w:rsidRPr="007C7E06">
              <w:t>Routine pharmacovigilance</w:t>
            </w:r>
          </w:p>
        </w:tc>
      </w:tr>
    </w:tbl>
    <w:p w:rsidR="003A584C" w:rsidRPr="007C5A5E" w:rsidRDefault="003A584C" w:rsidP="007C5A5E">
      <w:r w:rsidRPr="007C5A5E">
        <w:t>The sponsor has identified the VTE Post-Authorisation Safety Study (PASS) as planned for 4Q2015, with final analysis anticipated when data covering at least three years is available. It is identified in the EU-RMP that that the VTE PASS may also address other ris</w:t>
      </w:r>
      <w:r w:rsidR="00F7714E">
        <w:t xml:space="preserve">ks as secondary endpoints (for example, </w:t>
      </w:r>
      <w:r w:rsidRPr="007C5A5E">
        <w:t>ATE [including acute myocardial infarction, ischaemic stroke, and cerebrovascular accidents], fertility, breast cancer and other gynaecological cancers, pregnancy outcomes, and delayed pregnancy detection). A synopsis of the protocol was provided with the submission.</w:t>
      </w:r>
    </w:p>
    <w:p w:rsidR="003A584C" w:rsidRDefault="003A584C" w:rsidP="007C5A5E">
      <w:r w:rsidRPr="007C5A5E">
        <w:t xml:space="preserve">Samples of the follow-up questionnaires were provided with the submission and are considered appropriate for the reporting of targeted </w:t>
      </w:r>
      <w:r w:rsidR="00F7714E">
        <w:t>AEs</w:t>
      </w:r>
      <w:r w:rsidRPr="007C5A5E">
        <w:t>.</w:t>
      </w:r>
    </w:p>
    <w:p w:rsidR="007C5A5E" w:rsidRPr="00511344" w:rsidRDefault="007C5A5E" w:rsidP="007C5A5E">
      <w:pPr>
        <w:pStyle w:val="Heading5"/>
      </w:pPr>
      <w:r w:rsidRPr="002D00C6">
        <w:t>RMP</w:t>
      </w:r>
      <w:r w:rsidRPr="00511344">
        <w:t xml:space="preserve"> </w:t>
      </w:r>
      <w:r>
        <w:t>reviewer comment</w:t>
      </w:r>
    </w:p>
    <w:p w:rsidR="003A584C" w:rsidRPr="007C5A5E" w:rsidRDefault="003A584C" w:rsidP="007C5A5E">
      <w:r w:rsidRPr="007C5A5E">
        <w:t>There is no definite objection to the pharmacovigilance plan proposed by the sponsor in the context of this application. It is noted from the ASA that there are no additional pharmacovigilance activities planned for the Australian market not reported in the EU-RMP.</w:t>
      </w:r>
    </w:p>
    <w:p w:rsidR="003A584C" w:rsidRPr="007C5A5E" w:rsidRDefault="003A584C" w:rsidP="007C5A5E">
      <w:r w:rsidRPr="007C5A5E">
        <w:t>The sponsor has indicated that interim analysis of the P</w:t>
      </w:r>
      <w:r w:rsidR="00064DD5">
        <w:t xml:space="preserve">ASS study will be conducted one </w:t>
      </w:r>
      <w:r w:rsidRPr="007C5A5E">
        <w:t xml:space="preserve">year after the date of launch in Europe or reimbursement of </w:t>
      </w:r>
      <w:r w:rsidR="00064DD5">
        <w:t>Seasonique</w:t>
      </w:r>
      <w:r w:rsidRPr="007C5A5E">
        <w:t>. The sponsor should provide the results of this interim analysis in the future when available.</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7C5A5E" w:rsidRPr="007C5A5E" w:rsidRDefault="007C5A5E" w:rsidP="007C5A5E">
      <w:r w:rsidRPr="007C5A5E">
        <w:t>The sponsor proposes routine ris</w:t>
      </w:r>
      <w:r w:rsidR="00064DD5">
        <w:t xml:space="preserve">k minimisation activities (that is, </w:t>
      </w:r>
      <w:r w:rsidRPr="007C5A5E">
        <w:t>PI labelling) for all identified/potential safety concerns and missing information.</w:t>
      </w:r>
    </w:p>
    <w:p w:rsidR="007C5A5E" w:rsidRPr="007C5A5E" w:rsidRDefault="007C5A5E" w:rsidP="007C5A5E">
      <w:r w:rsidRPr="007C5A5E">
        <w:t>The proposed risk minimisation activities are discussed further below.</w:t>
      </w:r>
    </w:p>
    <w:p w:rsidR="007C5A5E" w:rsidRPr="00511344" w:rsidRDefault="007C5A5E" w:rsidP="007C5A5E">
      <w:pPr>
        <w:pStyle w:val="Heading5"/>
      </w:pPr>
      <w:r w:rsidRPr="00F10D0A">
        <w:t>RMP</w:t>
      </w:r>
      <w:r>
        <w:t xml:space="preserve"> reviewer comment</w:t>
      </w:r>
    </w:p>
    <w:p w:rsidR="007C5A5E" w:rsidRPr="007C5A5E" w:rsidRDefault="007C5A5E" w:rsidP="007C5A5E">
      <w:r w:rsidRPr="007C5A5E">
        <w:t>The sponsor’s conclusions with regards to proposed risk minimisation activities are considered reasonable in the context of this submission. Risk minimisation activities are further discussed below.</w:t>
      </w:r>
    </w:p>
    <w:p w:rsidR="002A2BB1" w:rsidRDefault="006F25B8" w:rsidP="006F25B8">
      <w:pPr>
        <w:pStyle w:val="Heading4"/>
        <w:rPr>
          <w:lang w:eastAsia="en-AU"/>
        </w:rPr>
      </w:pPr>
      <w:bookmarkStart w:id="118" w:name="_Toc247691527"/>
      <w:r w:rsidRPr="006F25B8">
        <w:rPr>
          <w:lang w:eastAsia="en-AU"/>
        </w:rPr>
        <w:t>Reconciliation of issues outlined in the RMP report</w:t>
      </w:r>
    </w:p>
    <w:p w:rsidR="00F1158B" w:rsidRDefault="00F1158B" w:rsidP="00F1158B">
      <w:pPr>
        <w:rPr>
          <w:lang w:eastAsia="en-AU"/>
        </w:rPr>
      </w:pPr>
      <w:r>
        <w:rPr>
          <w:lang w:eastAsia="en-AU"/>
        </w:rPr>
        <w:t>The following section summarises the first round evaluation of the RMP, the sponsor’s responses to issues raised by the TGA RMP reviewer, and the RMP reviewer’s evaluation of the sponsor’s responses.</w:t>
      </w:r>
    </w:p>
    <w:p w:rsidR="007C5A5E" w:rsidRDefault="007C5A5E" w:rsidP="007C5A5E">
      <w:pPr>
        <w:pStyle w:val="Heading5"/>
      </w:pPr>
      <w:r w:rsidRPr="00A24C10">
        <w:lastRenderedPageBreak/>
        <w:t xml:space="preserve">Recommendation </w:t>
      </w:r>
      <w:r>
        <w:t xml:space="preserve">#1 </w:t>
      </w:r>
      <w:r w:rsidRPr="00A24C10">
        <w:t>in RMP evaluation report</w:t>
      </w:r>
    </w:p>
    <w:p w:rsidR="007C5A5E" w:rsidRPr="000B2059" w:rsidRDefault="006F23C8" w:rsidP="007C5A5E">
      <w:r w:rsidRPr="006F23C8">
        <w:t xml:space="preserve">Safety considerations may be raised by the nonclinical and clinical evaluators through the consolidated </w:t>
      </w:r>
      <w:r w:rsidR="00064DD5">
        <w:t>S</w:t>
      </w:r>
      <w:r w:rsidRPr="006F23C8">
        <w:t xml:space="preserve">ection 31 request and/or the </w:t>
      </w:r>
      <w:r w:rsidR="00064DD5">
        <w:t>n</w:t>
      </w:r>
      <w:r w:rsidRPr="006F23C8">
        <w:t xml:space="preserve">onclinical and </w:t>
      </w:r>
      <w:r w:rsidR="00064DD5">
        <w:t>c</w:t>
      </w:r>
      <w:r w:rsidRPr="006F23C8">
        <w:t xml:space="preserve">linical </w:t>
      </w:r>
      <w:r w:rsidR="00064DD5">
        <w:t>e</w:t>
      </w:r>
      <w:r w:rsidRPr="006F23C8">
        <w:t xml:space="preserve">valuation </w:t>
      </w:r>
      <w:r w:rsidR="00064DD5">
        <w:t>r</w:t>
      </w:r>
      <w:r w:rsidRPr="006F23C8">
        <w:t xml:space="preserve">eports respectively. It is important to ensure that the information provided in response to these includes consideration of the relevance for the </w:t>
      </w:r>
      <w:r w:rsidR="00064DD5">
        <w:t>RMP</w:t>
      </w:r>
      <w:r w:rsidRPr="006F23C8">
        <w:t>, and any specific information needed to address this issue in the RMP. For any safety considerations so raised, the sponsor should provide information that is relevant and necessary to address the issue in the RMP.</w:t>
      </w:r>
    </w:p>
    <w:p w:rsidR="007C5A5E" w:rsidRDefault="007C5A5E" w:rsidP="007C5A5E">
      <w:pPr>
        <w:pStyle w:val="Heading5"/>
      </w:pPr>
      <w:r>
        <w:t>Sponsor response</w:t>
      </w:r>
    </w:p>
    <w:p w:rsidR="006F23C8" w:rsidRPr="006F23C8" w:rsidRDefault="006F23C8" w:rsidP="006F23C8">
      <w:r w:rsidRPr="006F23C8">
        <w:t xml:space="preserve">Safety considerations were raised by the </w:t>
      </w:r>
      <w:r w:rsidR="00B939E7">
        <w:t>n</w:t>
      </w:r>
      <w:r w:rsidR="00B939E7" w:rsidRPr="006F23C8">
        <w:t xml:space="preserve">onclinical and </w:t>
      </w:r>
      <w:r w:rsidR="00B939E7">
        <w:t>c</w:t>
      </w:r>
      <w:r w:rsidR="00B939E7" w:rsidRPr="006F23C8">
        <w:t xml:space="preserve">linical </w:t>
      </w:r>
      <w:r w:rsidR="00B939E7">
        <w:t>e</w:t>
      </w:r>
      <w:r w:rsidR="00B939E7" w:rsidRPr="006F23C8">
        <w:t xml:space="preserve">valuation </w:t>
      </w:r>
      <w:r w:rsidRPr="006F23C8">
        <w:t>reports that may of the relevance for the RMP are related to risks of VTE and ATE. These risks are already recogni</w:t>
      </w:r>
      <w:r w:rsidR="00B939E7">
        <w:t>s</w:t>
      </w:r>
      <w:r w:rsidRPr="006F23C8">
        <w:t>ed as important identified risks, and are adequately characteri</w:t>
      </w:r>
      <w:r w:rsidR="00B939E7">
        <w:t>s</w:t>
      </w:r>
      <w:r w:rsidRPr="006F23C8">
        <w:t>ed in the RMP.</w:t>
      </w:r>
    </w:p>
    <w:p w:rsidR="006F23C8" w:rsidRPr="006F23C8" w:rsidRDefault="006F23C8" w:rsidP="006F23C8">
      <w:r w:rsidRPr="006F23C8">
        <w:t xml:space="preserve">No additional safety considerations were raised by the nonclinical and clinical evaluators that are of the relevance for the </w:t>
      </w:r>
      <w:r w:rsidR="00B939E7">
        <w:t>RMP</w:t>
      </w:r>
      <w:r w:rsidRPr="006F23C8">
        <w:t>.</w:t>
      </w:r>
    </w:p>
    <w:p w:rsidR="007C5A5E" w:rsidRPr="006F23C8" w:rsidRDefault="006F23C8" w:rsidP="006F23C8">
      <w:r w:rsidRPr="006F23C8">
        <w:t>Teva is planning to conduct a retrospective longitudinal cohort study to assess the safety of short</w:t>
      </w:r>
      <w:r w:rsidR="00B939E7">
        <w:t xml:space="preserve"> </w:t>
      </w:r>
      <w:r w:rsidRPr="006F23C8">
        <w:t>and long</w:t>
      </w:r>
      <w:r w:rsidR="00B939E7">
        <w:t xml:space="preserve"> </w:t>
      </w:r>
      <w:r w:rsidRPr="006F23C8">
        <w:t xml:space="preserve">term use of </w:t>
      </w:r>
      <w:r w:rsidR="00B939E7">
        <w:t>Seasonique</w:t>
      </w:r>
      <w:r w:rsidRPr="006F23C8">
        <w:t xml:space="preserve">. </w:t>
      </w:r>
      <w:r w:rsidR="003956E7">
        <w:t xml:space="preserve">Primary objective of this post </w:t>
      </w:r>
      <w:r w:rsidRPr="006F23C8">
        <w:t>marketing authori</w:t>
      </w:r>
      <w:r w:rsidR="00B939E7">
        <w:t>s</w:t>
      </w:r>
      <w:r w:rsidRPr="006F23C8">
        <w:t>ation safety study (PASS) is to compar</w:t>
      </w:r>
      <w:r w:rsidR="003956E7">
        <w:t>e the incidence rates of VTE</w:t>
      </w:r>
      <w:r w:rsidRPr="006F23C8">
        <w:t xml:space="preserve"> in women exposed to </w:t>
      </w:r>
      <w:r w:rsidR="00B939E7">
        <w:t>Seasonique</w:t>
      </w:r>
      <w:r w:rsidRPr="006F23C8">
        <w:t xml:space="preserve"> with women exposed to 28</w:t>
      </w:r>
      <w:r w:rsidR="00B939E7">
        <w:t xml:space="preserve"> </w:t>
      </w:r>
      <w:r w:rsidRPr="006F23C8">
        <w:t>day cycle levonorgestrel</w:t>
      </w:r>
      <w:r w:rsidR="00B939E7">
        <w:t xml:space="preserve"> </w:t>
      </w:r>
      <w:r w:rsidRPr="006F23C8">
        <w:t xml:space="preserve">containing combined oral contraceptives (COCLNG). </w:t>
      </w:r>
      <w:r w:rsidR="00B939E7">
        <w:t>ATE</w:t>
      </w:r>
      <w:r w:rsidRPr="006F23C8">
        <w:t xml:space="preserve"> was set as a secondary objective of the study.</w:t>
      </w:r>
    </w:p>
    <w:p w:rsidR="007C5A5E" w:rsidRDefault="007C5A5E" w:rsidP="007C5A5E">
      <w:pPr>
        <w:pStyle w:val="Heading5"/>
      </w:pPr>
      <w:r>
        <w:t>Evaluator’s comment</w:t>
      </w:r>
    </w:p>
    <w:p w:rsidR="007C5A5E" w:rsidRPr="006F23C8" w:rsidRDefault="006F23C8" w:rsidP="006F23C8">
      <w:r w:rsidRPr="006F23C8">
        <w:t>The sponsor’s response is noted and is satisfactory from a RMP perspective.</w:t>
      </w:r>
    </w:p>
    <w:p w:rsidR="00A61AD1" w:rsidRDefault="00A61AD1" w:rsidP="00A61AD1">
      <w:pPr>
        <w:pStyle w:val="Heading5"/>
      </w:pPr>
      <w:r w:rsidRPr="00A24C10">
        <w:t xml:space="preserve">Recommendation </w:t>
      </w:r>
      <w:r>
        <w:t>#</w:t>
      </w:r>
      <w:r w:rsidR="007C5A5E">
        <w:t>2</w:t>
      </w:r>
      <w:r>
        <w:t xml:space="preserve"> </w:t>
      </w:r>
      <w:r w:rsidRPr="00A24C10">
        <w:t>in RMP evaluation report</w:t>
      </w:r>
    </w:p>
    <w:p w:rsidR="00A61AD1" w:rsidRPr="000B2059" w:rsidRDefault="006F23C8" w:rsidP="00A61AD1">
      <w:r w:rsidRPr="00E11CC9">
        <w:rPr>
          <w:rFonts w:asciiTheme="minorHAnsi" w:hAnsiTheme="minorHAnsi" w:cstheme="minorHAnsi"/>
        </w:rPr>
        <w:t>‘Diabetes mellitus with vascular involvement’ is listed as a Contraindication</w:t>
      </w:r>
      <w:r>
        <w:rPr>
          <w:rFonts w:asciiTheme="minorHAnsi" w:hAnsiTheme="minorHAnsi" w:cstheme="minorHAnsi"/>
        </w:rPr>
        <w:t xml:space="preserve"> in the PI</w:t>
      </w:r>
      <w:r w:rsidRPr="00E11CC9">
        <w:rPr>
          <w:rFonts w:asciiTheme="minorHAnsi" w:hAnsiTheme="minorHAnsi" w:cstheme="minorHAnsi"/>
        </w:rPr>
        <w:t>, with Precautions also highlighting potential risks in this population. ‘Diabetes mellitus with vascular involvement’ should be included as an im</w:t>
      </w:r>
      <w:r>
        <w:rPr>
          <w:rFonts w:asciiTheme="minorHAnsi" w:hAnsiTheme="minorHAnsi" w:cstheme="minorHAnsi"/>
        </w:rPr>
        <w:t>portant potential risk in the Summary of Safety Concerns.</w:t>
      </w:r>
    </w:p>
    <w:p w:rsidR="00A61AD1" w:rsidRDefault="00A61AD1" w:rsidP="00A61AD1">
      <w:pPr>
        <w:pStyle w:val="Heading5"/>
      </w:pPr>
      <w:r>
        <w:t>Sponsor response</w:t>
      </w:r>
    </w:p>
    <w:p w:rsidR="006F23C8" w:rsidRPr="006F23C8" w:rsidRDefault="006F23C8" w:rsidP="006F23C8">
      <w:r w:rsidRPr="006F23C8">
        <w:t>Diabetes mellitus with vascular involvement is a condition considered as a risk factor for develo</w:t>
      </w:r>
      <w:r w:rsidR="00B65D85">
        <w:t xml:space="preserve">pment of </w:t>
      </w:r>
      <w:r w:rsidR="0018155D">
        <w:t>ATE</w:t>
      </w:r>
      <w:r w:rsidRPr="006F23C8">
        <w:t>;</w:t>
      </w:r>
      <w:r w:rsidR="00CD1FC7">
        <w:rPr>
          <w:rStyle w:val="FootnoteReference"/>
        </w:rPr>
        <w:footnoteReference w:id="7"/>
      </w:r>
      <w:r w:rsidRPr="006F23C8">
        <w:t xml:space="preserve"> however, the primary risk being ATE.</w:t>
      </w:r>
    </w:p>
    <w:p w:rsidR="006F23C8" w:rsidRPr="006F23C8" w:rsidRDefault="006F23C8" w:rsidP="006F23C8">
      <w:r w:rsidRPr="006F23C8">
        <w:t>ATE and VTE are already included as important identified risks in the RMP and a PASS is planned to further evaluate and characteri</w:t>
      </w:r>
      <w:r w:rsidR="0073527D">
        <w:t>s</w:t>
      </w:r>
      <w:r w:rsidRPr="006F23C8">
        <w:t xml:space="preserve">e these risks. The </w:t>
      </w:r>
      <w:r w:rsidR="0018155D">
        <w:t>PI</w:t>
      </w:r>
      <w:r w:rsidRPr="006F23C8">
        <w:t xml:space="preserve"> states that diabetes mellitus is one of medical conditions which have been associated with adverse vascular events.</w:t>
      </w:r>
    </w:p>
    <w:p w:rsidR="006F23C8" w:rsidRPr="006F23C8" w:rsidRDefault="006F23C8" w:rsidP="006F23C8">
      <w:r w:rsidRPr="006F23C8">
        <w:t xml:space="preserve">PI also states that diabetic women should be carefully observed, particularly in the early stage of COC use, which is considered sufficient. Although COCs may have an effect on peripheral insulin resistance and glucose tolerance, there is no evidence for a need to alter the therapeutic regimen in diabetics using </w:t>
      </w:r>
      <w:r w:rsidR="0018155D">
        <w:t>low</w:t>
      </w:r>
      <w:r w:rsidR="003956E7">
        <w:t xml:space="preserve"> </w:t>
      </w:r>
      <w:r w:rsidR="0018155D">
        <w:t>dose COCs (containing &lt; 50 µ</w:t>
      </w:r>
      <w:r w:rsidRPr="006F23C8">
        <w:t>g ethinyloestradiol).</w:t>
      </w:r>
    </w:p>
    <w:p w:rsidR="006F23C8" w:rsidRPr="006F23C8" w:rsidRDefault="006F23C8" w:rsidP="006F23C8">
      <w:r w:rsidRPr="006F23C8">
        <w:t>Additionally, specific follow-up questionnaire distribution will be triggered in case of spontaneously received case reports directly from healthcare professionals and patients/cons</w:t>
      </w:r>
      <w:r w:rsidR="003956E7">
        <w:t>umers for all events under SMQ “</w:t>
      </w:r>
      <w:r w:rsidRPr="006F23C8">
        <w:t xml:space="preserve">Embolic </w:t>
      </w:r>
      <w:r w:rsidR="003956E7">
        <w:t>and thrombotic events, arterial”</w:t>
      </w:r>
      <w:r w:rsidRPr="006F23C8">
        <w:t>. According to the questionnaire, patients will be asked if they have history of diabetes and the medical history will be taken into account when assessing the risk of ATE.</w:t>
      </w:r>
    </w:p>
    <w:p w:rsidR="00A61AD1" w:rsidRPr="006F23C8" w:rsidRDefault="006F23C8" w:rsidP="006F23C8">
      <w:r w:rsidRPr="006F23C8">
        <w:lastRenderedPageBreak/>
        <w:t xml:space="preserve">Therefore, we consider that the currently </w:t>
      </w:r>
      <w:r w:rsidR="00FD1F03">
        <w:t>proposed safety concerns and pharmacovigilance</w:t>
      </w:r>
      <w:r w:rsidRPr="006F23C8">
        <w:t xml:space="preserve"> activities in the RMP are sufficient.</w:t>
      </w:r>
    </w:p>
    <w:p w:rsidR="00A61AD1" w:rsidRDefault="00A61AD1" w:rsidP="00A61AD1">
      <w:pPr>
        <w:pStyle w:val="Heading5"/>
      </w:pPr>
      <w:r>
        <w:t>Evaluator’s comment</w:t>
      </w:r>
    </w:p>
    <w:p w:rsidR="00A61AD1" w:rsidRPr="00495F4B" w:rsidRDefault="006F23C8" w:rsidP="00495F4B">
      <w:r w:rsidRPr="00495F4B">
        <w:t>The sponsor’s response is satisfactory from a RMP perspective.</w:t>
      </w:r>
    </w:p>
    <w:p w:rsidR="007C5A5E" w:rsidRDefault="007C5A5E" w:rsidP="007C5A5E">
      <w:pPr>
        <w:pStyle w:val="Heading5"/>
      </w:pPr>
      <w:r w:rsidRPr="00A24C10">
        <w:t xml:space="preserve">Recommendation </w:t>
      </w:r>
      <w:r>
        <w:t xml:space="preserve">#3 </w:t>
      </w:r>
      <w:r w:rsidRPr="00A24C10">
        <w:t>in RMP evaluation report</w:t>
      </w:r>
    </w:p>
    <w:p w:rsidR="007C5A5E" w:rsidRPr="00495F4B" w:rsidRDefault="00495F4B" w:rsidP="00495F4B">
      <w:r w:rsidRPr="00495F4B">
        <w:t>‘Pancreatitis or a history thereof if associated with severe hypertriglyceridemia’ is listed as a Contraindication in the PI, with Precautions also highlighting this risk. ‘Pancreatitis or a history thereof if associated with severe hypertriglyceridemia’ should be included as an important potential risk in the Summary of Safety Concerns.</w:t>
      </w:r>
    </w:p>
    <w:p w:rsidR="007C5A5E" w:rsidRDefault="007C5A5E" w:rsidP="007C5A5E">
      <w:pPr>
        <w:pStyle w:val="Heading5"/>
      </w:pPr>
      <w:r>
        <w:t>Sponsor response</w:t>
      </w:r>
    </w:p>
    <w:p w:rsidR="00495F4B" w:rsidRPr="00495F4B" w:rsidRDefault="00495F4B" w:rsidP="00495F4B">
      <w:r w:rsidRPr="00495F4B">
        <w:t xml:space="preserve">Pancreatitis or a history thereof if associated with severe hypertriglyceridemia was established as exclusion criteria in the clinical trial development plan, and therefore is included as a contraindication. One of the risk factors for developing pancreatitis is hyperlipidaemia which is a known metabolic effect of all COCs and does not represent a new safety concern. </w:t>
      </w:r>
      <w:r w:rsidR="00924D2E">
        <w:t>According to Martindale</w:t>
      </w:r>
      <w:r w:rsidRPr="00495F4B">
        <w:t>,</w:t>
      </w:r>
      <w:r w:rsidR="004A329E">
        <w:rPr>
          <w:rStyle w:val="FootnoteReference"/>
        </w:rPr>
        <w:footnoteReference w:id="8"/>
      </w:r>
      <w:r w:rsidRPr="00495F4B">
        <w:t xml:space="preserve"> the oestrogen component increases triglycerides, but decreases low</w:t>
      </w:r>
      <w:r w:rsidR="00E92BEA">
        <w:t xml:space="preserve"> </w:t>
      </w:r>
      <w:r w:rsidRPr="00495F4B">
        <w:t>density lipoproteins, whereas the progestogen component tends to decrease high</w:t>
      </w:r>
      <w:r w:rsidR="00E92BEA">
        <w:t xml:space="preserve"> </w:t>
      </w:r>
      <w:r w:rsidRPr="00495F4B">
        <w:t>density lipoproteins and increase low-density lipoproteins, particularly if it is androgenic (19-nortestosterone-derived) progestogens. It is known that hypertriglyceridemia may cause chronic pancreatitis and high serum triglyceride level (usually more than 1000 mg/</w:t>
      </w:r>
      <w:proofErr w:type="spellStart"/>
      <w:r w:rsidRPr="00495F4B">
        <w:t>dL</w:t>
      </w:r>
      <w:proofErr w:type="spellEnd"/>
      <w:r w:rsidRPr="00495F4B">
        <w:t>) can trigger acute pancreatitis. Epidemiological evidence also suggests that the composition of blood lipids may be one of several risk factors involved in the aetiology of various adverse cardiovasc</w:t>
      </w:r>
      <w:r w:rsidR="00E92BEA">
        <w:t>ular events</w:t>
      </w:r>
      <w:r>
        <w:t>.</w:t>
      </w:r>
      <w:r w:rsidR="004A329E">
        <w:rPr>
          <w:rStyle w:val="FootnoteReference"/>
        </w:rPr>
        <w:footnoteReference w:id="9"/>
      </w:r>
    </w:p>
    <w:p w:rsidR="00495F4B" w:rsidRPr="00495F4B" w:rsidRDefault="00495F4B" w:rsidP="00495F4B">
      <w:r w:rsidRPr="00495F4B">
        <w:t xml:space="preserve">Pancreatitis is listed in the RMP as an important pharmacological class effect. Only 2 cases of pancreatitis were reported so far, both in patients included in clinical trial program and were co-reported with </w:t>
      </w:r>
      <w:proofErr w:type="spellStart"/>
      <w:r w:rsidRPr="00495F4B">
        <w:t>cholelithiasis</w:t>
      </w:r>
      <w:proofErr w:type="spellEnd"/>
      <w:r w:rsidRPr="00495F4B">
        <w:t xml:space="preserve">, which is another risk factor for developing pancreatitis. One patient had a history of </w:t>
      </w:r>
      <w:proofErr w:type="spellStart"/>
      <w:r w:rsidRPr="00495F4B">
        <w:t>cholelithiasis</w:t>
      </w:r>
      <w:proofErr w:type="spellEnd"/>
      <w:r w:rsidRPr="00495F4B">
        <w:t xml:space="preserve">, while the other experienced </w:t>
      </w:r>
      <w:proofErr w:type="spellStart"/>
      <w:r w:rsidRPr="00495F4B">
        <w:t>cholelithiasis</w:t>
      </w:r>
      <w:proofErr w:type="spellEnd"/>
      <w:r w:rsidRPr="00495F4B">
        <w:t xml:space="preserve"> followed by pancreatitis while being treated with </w:t>
      </w:r>
      <w:r w:rsidR="009D69A0">
        <w:t>Seasonique</w:t>
      </w:r>
      <w:r w:rsidRPr="00495F4B">
        <w:t xml:space="preserve">. Therefore, the first event was reported as not related to </w:t>
      </w:r>
      <w:r w:rsidR="009D69A0">
        <w:t>Seasonique</w:t>
      </w:r>
      <w:r w:rsidRPr="00495F4B">
        <w:t>, but the possible relationship could not be excluded in the second case. Nevertheless, there was no sufficient information to indisputably confirm the link. Both events resulted in recovery at the time of reporting. No cases of pancreatitis were reported in post</w:t>
      </w:r>
      <w:r w:rsidR="00E92BEA">
        <w:t xml:space="preserve"> </w:t>
      </w:r>
      <w:r w:rsidRPr="00495F4B">
        <w:t>marketing.</w:t>
      </w:r>
    </w:p>
    <w:p w:rsidR="00495F4B" w:rsidRPr="00495F4B" w:rsidRDefault="00495F4B" w:rsidP="00495F4B">
      <w:r w:rsidRPr="00495F4B">
        <w:t xml:space="preserve">Routine pharmacovigilance activities are considered sufficient to monitor this risk of hypertriglyceridemia and associated risk factors and possible outcomes including pancreatitis. The PI states that women with hypertriglyceridemia, or a family history thereof, may be at an increased risk of pancreatitis when using COCs. </w:t>
      </w:r>
      <w:r w:rsidR="00E92BEA">
        <w:t>Seasonique</w:t>
      </w:r>
      <w:r w:rsidRPr="00495F4B">
        <w:t xml:space="preserve"> is contraindicated in patients with pancreatitis or a history thereof if associated with severe hypertriglyceridemia.</w:t>
      </w:r>
    </w:p>
    <w:p w:rsidR="00495F4B" w:rsidRPr="00495F4B" w:rsidRDefault="00495F4B" w:rsidP="00495F4B">
      <w:r w:rsidRPr="00495F4B">
        <w:t xml:space="preserve">Additionally, since hypertriglyceridemia is considered to be a risk factor for development of ATE and, according to a specific questionnaire for ATE, patients that experienced ATE will be asked if they have history of </w:t>
      </w:r>
      <w:proofErr w:type="spellStart"/>
      <w:r w:rsidRPr="00495F4B">
        <w:t>dyslipoproteinemia</w:t>
      </w:r>
      <w:proofErr w:type="spellEnd"/>
      <w:r w:rsidRPr="00495F4B">
        <w:t>, hypertriglyceridemia or pancreatitis (as the history of pancreatitis may also be related to hypertriglyceridemia).</w:t>
      </w:r>
    </w:p>
    <w:p w:rsidR="007C5A5E" w:rsidRPr="00495F4B" w:rsidRDefault="00495F4B" w:rsidP="00495F4B">
      <w:r w:rsidRPr="00495F4B">
        <w:t>Therefore, we consider that the currently proposed safety concerns in the RMP are sufficient.</w:t>
      </w:r>
    </w:p>
    <w:p w:rsidR="007C5A5E" w:rsidRDefault="007C5A5E" w:rsidP="007C5A5E">
      <w:pPr>
        <w:pStyle w:val="Heading5"/>
      </w:pPr>
      <w:r>
        <w:t>Evaluator’s comment</w:t>
      </w:r>
    </w:p>
    <w:p w:rsidR="007C5A5E" w:rsidRPr="001E2338" w:rsidRDefault="001E2338" w:rsidP="001E2338">
      <w:r w:rsidRPr="001E2338">
        <w:t>The sponsor’s response is satisfactory from a RMP perspective.</w:t>
      </w:r>
    </w:p>
    <w:p w:rsidR="007C5A5E" w:rsidRDefault="007C5A5E" w:rsidP="007C5A5E">
      <w:pPr>
        <w:pStyle w:val="Heading5"/>
      </w:pPr>
      <w:r w:rsidRPr="00A24C10">
        <w:lastRenderedPageBreak/>
        <w:t xml:space="preserve">Recommendation </w:t>
      </w:r>
      <w:r>
        <w:t xml:space="preserve">#4 </w:t>
      </w:r>
      <w:r w:rsidRPr="00A24C10">
        <w:t>in RMP evaluation report</w:t>
      </w:r>
    </w:p>
    <w:p w:rsidR="007C5A5E" w:rsidRPr="001E2338" w:rsidRDefault="001E2338" w:rsidP="001E2338">
      <w:r w:rsidRPr="001E2338">
        <w:t>There are Precautions in the PI relating to hypertension: If, during the use of a COC in pre-existing hypertension, constantly elevated blood pressure values or a significant increase in blood pressure do not respond adequately to antihypertensive treatment, the COC must be withdrawn. ‘Pre-existing or non-responsive hypertension’ should be included as an important potential risk in the Summary of Safety Concerns.</w:t>
      </w:r>
    </w:p>
    <w:p w:rsidR="007C5A5E" w:rsidRDefault="007C5A5E" w:rsidP="007C5A5E">
      <w:pPr>
        <w:pStyle w:val="Heading5"/>
      </w:pPr>
      <w:r>
        <w:t>Sponsor response</w:t>
      </w:r>
    </w:p>
    <w:p w:rsidR="001E2338" w:rsidRPr="001E2338" w:rsidRDefault="001E2338" w:rsidP="001E2338">
      <w:r w:rsidRPr="001E2338">
        <w:t xml:space="preserve">Hypertension is a well-known metabolic effect of all COCs (due to their steroid structure) and is considered primarily to be a risk factor for development of cardiovascular effects, including </w:t>
      </w:r>
      <w:r w:rsidR="006C5B9C">
        <w:t>ATE</w:t>
      </w:r>
      <w:r w:rsidRPr="001E2338">
        <w:t>,</w:t>
      </w:r>
      <w:r>
        <w:rPr>
          <w:rStyle w:val="FootnoteReference"/>
        </w:rPr>
        <w:footnoteReference w:id="10"/>
      </w:r>
      <w:r w:rsidRPr="001E2338">
        <w:t xml:space="preserve"> and not a new safety concern.</w:t>
      </w:r>
    </w:p>
    <w:p w:rsidR="001E2338" w:rsidRPr="001E2338" w:rsidRDefault="001E2338" w:rsidP="001E2338">
      <w:r w:rsidRPr="001E2338">
        <w:t>The PI states that the risk of arterial thromboembolic complications or of a cerebrovascular accident in COC users increases with hypertension. Although small increases in blood pressure have been reported in many women taking COCs, clinically relevant increases are rare. Only in these rare cases an immediate discontinuation of COC use is justified. If, during the use of a COC in pre-existing hypertension, constantly elevated blood pressure values or a significant increase in blood pressure do not respond adequately to antihypertensive treatment, the COC must be withdrawn. Where considered appropriate, COC use may be resumed if normotensive values can be achieved with antihypertensive therapy.</w:t>
      </w:r>
    </w:p>
    <w:p w:rsidR="001E2338" w:rsidRPr="001E2338" w:rsidRDefault="001E2338" w:rsidP="001E2338">
      <w:r w:rsidRPr="001E2338">
        <w:t>The risk is sufficiently communicated in the product information and routine pharmacovigilance are considered sufficient to monitor this risk. Additionally, when an event related to ATE is reported, specific questionnaire will be triggered and patients will be checked for history of hypertension. If confirmed, the history of hypertension will be considered when assessing the report.</w:t>
      </w:r>
    </w:p>
    <w:p w:rsidR="007C5A5E" w:rsidRPr="001E2338" w:rsidRDefault="001E2338" w:rsidP="001E2338">
      <w:r w:rsidRPr="001E2338">
        <w:t>Therefore, we consider that the currently proposed safety concerns and monitoring as described in the RMP are sufficient.</w:t>
      </w:r>
    </w:p>
    <w:p w:rsidR="007C5A5E" w:rsidRDefault="007C5A5E" w:rsidP="007C5A5E">
      <w:pPr>
        <w:pStyle w:val="Heading5"/>
      </w:pPr>
      <w:r>
        <w:t>Evaluator’s comment</w:t>
      </w:r>
    </w:p>
    <w:p w:rsidR="007C5A5E" w:rsidRPr="001E2338" w:rsidRDefault="001E2338" w:rsidP="001E2338">
      <w:r w:rsidRPr="001E2338">
        <w:t>The sponsor’s response is satisfactory from a RMP perspective.</w:t>
      </w:r>
    </w:p>
    <w:p w:rsidR="007C5A5E" w:rsidRDefault="007C5A5E" w:rsidP="007C5A5E">
      <w:pPr>
        <w:pStyle w:val="Heading5"/>
      </w:pPr>
      <w:r w:rsidRPr="00A24C10">
        <w:t xml:space="preserve">Recommendation </w:t>
      </w:r>
      <w:r>
        <w:t xml:space="preserve">#5 </w:t>
      </w:r>
      <w:r w:rsidRPr="00A24C10">
        <w:t>in RMP evaluation report</w:t>
      </w:r>
    </w:p>
    <w:p w:rsidR="007C5A5E" w:rsidRPr="001E2338" w:rsidRDefault="001E2338" w:rsidP="001E2338">
      <w:r w:rsidRPr="001E2338">
        <w:t>There is a typographical error in the</w:t>
      </w:r>
      <w:r>
        <w:t xml:space="preserve"> Summary</w:t>
      </w:r>
      <w:r w:rsidRPr="001E2338">
        <w:t>, being omission of the word ‘colitis’ after the term ‘ulcerative’. This should be corrected in the next RMP submission. Further, the RMP documentation refers to tumours as both ‘malign’ and ‘malignant’ – the sponsor should be consistent with this descriptor in future RMP submissions.</w:t>
      </w:r>
    </w:p>
    <w:p w:rsidR="007C5A5E" w:rsidRDefault="007C5A5E" w:rsidP="007C5A5E">
      <w:pPr>
        <w:pStyle w:val="Heading5"/>
      </w:pPr>
      <w:r>
        <w:t>Sponsor response</w:t>
      </w:r>
    </w:p>
    <w:p w:rsidR="007C5A5E" w:rsidRPr="001E2338" w:rsidRDefault="001E2338" w:rsidP="001E2338">
      <w:r w:rsidRPr="001E2338">
        <w:t>Teva agrees to apply the requested revisions. New version of the EU RMP has already incorporated these changes. Revised version 4.0 of the EU RMP (sign off date 23 Nov 2</w:t>
      </w:r>
      <w:r w:rsidR="006C5B9C">
        <w:t>015) was submitted in EU on 21</w:t>
      </w:r>
      <w:r w:rsidRPr="001E2338">
        <w:t xml:space="preserve"> December 2015 and is also appended to this response. Since the last version was not approved, the versioning 4.0 remains in the document, but internally this version is considered to be 4.0.1 to distinguish it from the previous version.</w:t>
      </w:r>
    </w:p>
    <w:p w:rsidR="007C5A5E" w:rsidRDefault="007C5A5E" w:rsidP="007C5A5E">
      <w:pPr>
        <w:pStyle w:val="Heading5"/>
      </w:pPr>
      <w:r>
        <w:t>Evaluator’s comment</w:t>
      </w:r>
    </w:p>
    <w:p w:rsidR="007C5A5E" w:rsidRPr="001E2338" w:rsidRDefault="001E2338" w:rsidP="001E2338">
      <w:r w:rsidRPr="001E2338">
        <w:t>The sponsor’s response is noted.</w:t>
      </w:r>
    </w:p>
    <w:p w:rsidR="007C5A5E" w:rsidRDefault="007C5A5E" w:rsidP="007C5A5E">
      <w:pPr>
        <w:pStyle w:val="Heading5"/>
      </w:pPr>
      <w:r w:rsidRPr="00A24C10">
        <w:t xml:space="preserve">Recommendation </w:t>
      </w:r>
      <w:r>
        <w:t xml:space="preserve">#6 </w:t>
      </w:r>
      <w:r w:rsidRPr="00A24C10">
        <w:t>in RMP evaluation report</w:t>
      </w:r>
    </w:p>
    <w:p w:rsidR="007C5A5E" w:rsidRPr="001E2338" w:rsidRDefault="001E2338" w:rsidP="001E2338">
      <w:r w:rsidRPr="001E2338">
        <w:t xml:space="preserve">The sponsor has indicated that interim analysis of the PASS study will be conducted one-year after the date of launch in Europe or reimbursement of </w:t>
      </w:r>
      <w:r w:rsidR="006C5B9C">
        <w:t>Seasonique</w:t>
      </w:r>
      <w:r w:rsidRPr="001E2338">
        <w:t xml:space="preserve">. The sponsor </w:t>
      </w:r>
      <w:r w:rsidRPr="001E2338">
        <w:lastRenderedPageBreak/>
        <w:t>should commit to providing the results of this interim analysis in the future when available.</w:t>
      </w:r>
    </w:p>
    <w:p w:rsidR="007C5A5E" w:rsidRDefault="007C5A5E" w:rsidP="007C5A5E">
      <w:pPr>
        <w:pStyle w:val="Heading5"/>
      </w:pPr>
      <w:r>
        <w:t>Sponsor response</w:t>
      </w:r>
    </w:p>
    <w:p w:rsidR="007C5A5E" w:rsidRPr="001E2338" w:rsidRDefault="001E2338" w:rsidP="001E2338">
      <w:r w:rsidRPr="001E2338">
        <w:t>Teva is committed to providing the results of this interim analysis in the future when available. The updated study milestones are presented in the revised version of the RMP.</w:t>
      </w:r>
    </w:p>
    <w:p w:rsidR="007C5A5E" w:rsidRDefault="007C5A5E" w:rsidP="007C5A5E">
      <w:pPr>
        <w:pStyle w:val="Heading5"/>
      </w:pPr>
      <w:r>
        <w:t>Evaluator’s comment</w:t>
      </w:r>
    </w:p>
    <w:p w:rsidR="001E2338" w:rsidRPr="001E2338" w:rsidRDefault="001E2338" w:rsidP="001E2338">
      <w:r w:rsidRPr="001E2338">
        <w:t>The sponsor’s response is noted.</w:t>
      </w:r>
    </w:p>
    <w:p w:rsidR="007C5A5E" w:rsidRDefault="007C5A5E" w:rsidP="007C5A5E">
      <w:pPr>
        <w:pStyle w:val="Heading5"/>
      </w:pPr>
      <w:r w:rsidRPr="00A24C10">
        <w:t xml:space="preserve">Recommendation </w:t>
      </w:r>
      <w:r>
        <w:t xml:space="preserve">#7 </w:t>
      </w:r>
      <w:r w:rsidRPr="00A24C10">
        <w:t>in RMP evaluation report</w:t>
      </w:r>
    </w:p>
    <w:p w:rsidR="007C5A5E" w:rsidRPr="00460869" w:rsidRDefault="00460869" w:rsidP="00460869">
      <w:r w:rsidRPr="00460869">
        <w:t xml:space="preserve">The SmPC has a clear Contraindication for use of </w:t>
      </w:r>
      <w:r w:rsidR="006C5B9C">
        <w:t>Seasonique</w:t>
      </w:r>
      <w:r w:rsidRPr="00460869">
        <w:t xml:space="preserve"> ‘in association with herbal remedy St. John’s Wort (</w:t>
      </w:r>
      <w:proofErr w:type="spellStart"/>
      <w:r w:rsidRPr="00460869">
        <w:t>hypericum</w:t>
      </w:r>
      <w:proofErr w:type="spellEnd"/>
      <w:r w:rsidRPr="00460869">
        <w:t xml:space="preserve"> </w:t>
      </w:r>
      <w:proofErr w:type="spellStart"/>
      <w:r w:rsidRPr="00460869">
        <w:t>perforatum</w:t>
      </w:r>
      <w:proofErr w:type="spellEnd"/>
      <w:r w:rsidRPr="00460869">
        <w:t xml:space="preserve">).’ As relevant to Australia, this Contraindication should be included to enhance safe use of </w:t>
      </w:r>
      <w:r w:rsidR="006C5B9C">
        <w:t>Seasonique</w:t>
      </w:r>
      <w:r w:rsidRPr="00460869">
        <w:t>.</w:t>
      </w:r>
    </w:p>
    <w:p w:rsidR="007C5A5E" w:rsidRDefault="007C5A5E" w:rsidP="007C5A5E">
      <w:pPr>
        <w:pStyle w:val="Heading5"/>
      </w:pPr>
      <w:r>
        <w:t>Sponsor response</w:t>
      </w:r>
    </w:p>
    <w:p w:rsidR="007C5A5E" w:rsidRPr="00460869" w:rsidRDefault="00460869" w:rsidP="00460869">
      <w:r w:rsidRPr="00460869">
        <w:t>The PI has been updated to include “In association with herbal remedy St. John’s Wort (</w:t>
      </w:r>
      <w:proofErr w:type="spellStart"/>
      <w:r w:rsidRPr="00460869">
        <w:t>hypericum</w:t>
      </w:r>
      <w:proofErr w:type="spellEnd"/>
      <w:r w:rsidRPr="00460869">
        <w:t xml:space="preserve"> </w:t>
      </w:r>
      <w:proofErr w:type="spellStart"/>
      <w:r w:rsidRPr="00460869">
        <w:t>perforatum</w:t>
      </w:r>
      <w:proofErr w:type="spellEnd"/>
      <w:r w:rsidRPr="00460869">
        <w:t>” i</w:t>
      </w:r>
      <w:r>
        <w:t xml:space="preserve">n the </w:t>
      </w:r>
      <w:r w:rsidR="006C5B9C" w:rsidRPr="00460869">
        <w:t>Contraindication</w:t>
      </w:r>
      <w:r w:rsidR="006C5B9C">
        <w:t>s</w:t>
      </w:r>
      <w:r>
        <w:t xml:space="preserve"> section).</w:t>
      </w:r>
    </w:p>
    <w:p w:rsidR="007C5A5E" w:rsidRDefault="007C5A5E" w:rsidP="007C5A5E">
      <w:pPr>
        <w:pStyle w:val="Heading5"/>
      </w:pPr>
      <w:r>
        <w:t>Evaluator’s comment</w:t>
      </w:r>
    </w:p>
    <w:p w:rsidR="007C5A5E" w:rsidRPr="00C765F0" w:rsidRDefault="00281C96" w:rsidP="00C765F0">
      <w:r w:rsidRPr="00C765F0">
        <w:t>The sponsor’s response is satisfactory from a RMP perspective. This issue remains for final determination by the Delegate.</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085175" w:rsidRPr="00107999" w:rsidRDefault="00085175" w:rsidP="00085175">
      <w:pPr>
        <w:pStyle w:val="Heading5"/>
      </w:pPr>
      <w:r w:rsidRPr="00107999">
        <w:t>Outstanding issues</w:t>
      </w:r>
    </w:p>
    <w:p w:rsidR="002A2BB1" w:rsidRDefault="00085175" w:rsidP="00085175">
      <w:pPr>
        <w:pStyle w:val="Heading6"/>
      </w:pPr>
      <w:r w:rsidRPr="009F15FD">
        <w:t>Issues in relation to the RMP</w:t>
      </w:r>
    </w:p>
    <w:p w:rsidR="00C765F0" w:rsidRDefault="00C765F0" w:rsidP="00C765F0">
      <w:r w:rsidRPr="00C765F0">
        <w:t>There are no outstanding issues in relation to the RMP for this submission.</w:t>
      </w:r>
    </w:p>
    <w:p w:rsidR="00C765F0" w:rsidRPr="00C765F0" w:rsidRDefault="00C765F0" w:rsidP="00C765F0">
      <w:pPr>
        <w:pStyle w:val="Heading6"/>
      </w:pPr>
      <w:r w:rsidRPr="00C765F0">
        <w:t>Advice from the Advisory Committee on the Safety of Medicines (ACSOM)</w:t>
      </w:r>
    </w:p>
    <w:p w:rsidR="00C765F0" w:rsidRPr="00C765F0" w:rsidRDefault="00C765F0" w:rsidP="00C765F0">
      <w:r w:rsidRPr="00C765F0">
        <w:t>ACSOM advice was not sought for this submission.</w:t>
      </w:r>
    </w:p>
    <w:p w:rsidR="00085175" w:rsidRPr="00E24D4B" w:rsidRDefault="00085175" w:rsidP="00085175">
      <w:pPr>
        <w:pStyle w:val="Heading5"/>
      </w:pPr>
      <w:r w:rsidRPr="00E24D4B">
        <w:t>Comments on the safety specification of the RMP</w:t>
      </w:r>
    </w:p>
    <w:p w:rsidR="002A2BB1" w:rsidRDefault="00085175" w:rsidP="00085175">
      <w:pPr>
        <w:pStyle w:val="Heading6"/>
      </w:pPr>
      <w:r w:rsidRPr="00E24D4B">
        <w:t xml:space="preserve">Clinical </w:t>
      </w:r>
      <w:r>
        <w:t>e</w:t>
      </w:r>
      <w:r w:rsidRPr="00E24D4B">
        <w:t xml:space="preserve">valuation </w:t>
      </w:r>
      <w:r>
        <w:t>r</w:t>
      </w:r>
      <w:r w:rsidRPr="00E24D4B">
        <w:t>eport</w:t>
      </w:r>
    </w:p>
    <w:p w:rsidR="00950F3D" w:rsidRPr="00950F3D" w:rsidRDefault="00950F3D" w:rsidP="00950F3D">
      <w:r w:rsidRPr="00950F3D">
        <w:t xml:space="preserve">There were no comments on the Safety Specification of the RMP in the Round 1 </w:t>
      </w:r>
      <w:r w:rsidR="00ED6955">
        <w:t>c</w:t>
      </w:r>
      <w:r w:rsidRPr="00950F3D">
        <w:t xml:space="preserve">linical </w:t>
      </w:r>
      <w:r w:rsidR="00ED6955">
        <w:t>e</w:t>
      </w:r>
      <w:r w:rsidRPr="00950F3D">
        <w:t xml:space="preserve">valuation. In the follow-up evaluation, the </w:t>
      </w:r>
      <w:r w:rsidR="00ED6955">
        <w:t>c</w:t>
      </w:r>
      <w:r w:rsidRPr="00950F3D">
        <w:t>lin</w:t>
      </w:r>
      <w:r w:rsidR="00ED6955">
        <w:t>i</w:t>
      </w:r>
      <w:r w:rsidRPr="00950F3D">
        <w:t xml:space="preserve">cal </w:t>
      </w:r>
      <w:r w:rsidR="00ED6955">
        <w:t>e</w:t>
      </w:r>
      <w:r w:rsidRPr="00950F3D">
        <w:t>valuator noted the following:</w:t>
      </w:r>
    </w:p>
    <w:p w:rsidR="00950F3D" w:rsidRPr="00950F3D" w:rsidRDefault="00950F3D" w:rsidP="00950F3D">
      <w:pPr>
        <w:ind w:left="720"/>
        <w:rPr>
          <w:i/>
        </w:rPr>
      </w:pPr>
      <w:r w:rsidRPr="00950F3D">
        <w:rPr>
          <w:i/>
        </w:rPr>
        <w:t xml:space="preserve">A total of nine questions regarding the RMP were put to the sponsor in the </w:t>
      </w:r>
      <w:r w:rsidR="00ED6955">
        <w:rPr>
          <w:i/>
        </w:rPr>
        <w:t>S</w:t>
      </w:r>
      <w:r w:rsidRPr="00950F3D">
        <w:rPr>
          <w:i/>
        </w:rPr>
        <w:t xml:space="preserve">ection 31 request. These did not arise from my </w:t>
      </w:r>
      <w:r w:rsidR="00ED6955">
        <w:rPr>
          <w:i/>
        </w:rPr>
        <w:t>clinical evaluation report</w:t>
      </w:r>
      <w:r w:rsidRPr="00950F3D">
        <w:rPr>
          <w:i/>
        </w:rPr>
        <w:t>. I presume that there has been a separate RMP evaluation report and that the author of this will examine the sponsor’s responses. The questions posed address specific issues regarding diabetes, pancreatitis and hypertension and otherwise refer to some requested changes in the product information. The sponsor’s responses appear to me to address the issues in a satisfactory way and to detail changes which have been made to the PI and CMI as recommended.</w:t>
      </w:r>
    </w:p>
    <w:p w:rsidR="002A2BB1" w:rsidRDefault="00085175" w:rsidP="00085175">
      <w:pPr>
        <w:pStyle w:val="Heading6"/>
      </w:pPr>
      <w:r>
        <w:t>Nonc</w:t>
      </w:r>
      <w:r w:rsidRPr="004A71C1">
        <w:t xml:space="preserve">linical </w:t>
      </w:r>
      <w:r>
        <w:t>e</w:t>
      </w:r>
      <w:r w:rsidRPr="004A71C1">
        <w:t xml:space="preserve">valuation </w:t>
      </w:r>
      <w:r>
        <w:t>r</w:t>
      </w:r>
      <w:r w:rsidRPr="004A71C1">
        <w:t>eport</w:t>
      </w:r>
    </w:p>
    <w:p w:rsidR="009C743B" w:rsidRPr="009C743B" w:rsidRDefault="009C743B" w:rsidP="009C743B">
      <w:r w:rsidRPr="009C743B">
        <w:t xml:space="preserve">The </w:t>
      </w:r>
      <w:r w:rsidR="00ED6955">
        <w:t>n</w:t>
      </w:r>
      <w:r w:rsidRPr="009C743B">
        <w:t xml:space="preserve">onclinical </w:t>
      </w:r>
      <w:r w:rsidR="00ED6955">
        <w:t>e</w:t>
      </w:r>
      <w:r w:rsidRPr="009C743B">
        <w:t xml:space="preserve">valuation </w:t>
      </w:r>
      <w:r w:rsidR="00ED6955">
        <w:t>r</w:t>
      </w:r>
      <w:r w:rsidRPr="009C743B">
        <w:t>eport makes no specific reference to the safety specification of the RMP.</w:t>
      </w:r>
    </w:p>
    <w:p w:rsidR="00085175" w:rsidRPr="00E24D4B" w:rsidRDefault="00085175" w:rsidP="00085175">
      <w:pPr>
        <w:pStyle w:val="Heading5"/>
      </w:pPr>
      <w:r w:rsidRPr="008B1938">
        <w:t xml:space="preserve">Key changes to the updated </w:t>
      </w:r>
      <w:r>
        <w:t>RMP</w:t>
      </w:r>
    </w:p>
    <w:p w:rsidR="009C743B" w:rsidRPr="009C743B" w:rsidRDefault="009C743B" w:rsidP="009C743B">
      <w:r w:rsidRPr="009C743B">
        <w:t>EU-RMP Version 4.0 (dated 17 April 2015, DLP 28 February 2015) with Australian Specific Annex Version (dated 28 April 2015)</w:t>
      </w:r>
      <w:r>
        <w:t xml:space="preserve"> </w:t>
      </w:r>
      <w:r w:rsidRPr="009C743B">
        <w:t>has been superseded by:</w:t>
      </w:r>
    </w:p>
    <w:p w:rsidR="009C743B" w:rsidRPr="009C743B" w:rsidRDefault="009C743B" w:rsidP="009C743B">
      <w:pPr>
        <w:ind w:left="720"/>
        <w:rPr>
          <w:i/>
        </w:rPr>
      </w:pPr>
      <w:r w:rsidRPr="009C743B">
        <w:rPr>
          <w:i/>
        </w:rPr>
        <w:lastRenderedPageBreak/>
        <w:t>EU-RMP Version 4.0 (as Teva internal version 4.0.1, dated 23 November 2015, DLP 20 November 2015) and Australian Specific Annex (dated 28 April 2015)</w:t>
      </w:r>
    </w:p>
    <w:p w:rsidR="009C743B" w:rsidRPr="009C743B" w:rsidRDefault="009C743B" w:rsidP="009C743B">
      <w:r w:rsidRPr="009C743B">
        <w:t>In their response to the TGA S</w:t>
      </w:r>
      <w:r w:rsidR="00ED6955">
        <w:t xml:space="preserve">ection </w:t>
      </w:r>
      <w:r w:rsidRPr="009C743B">
        <w:t>31 Request</w:t>
      </w:r>
      <w:r>
        <w:t xml:space="preserve">, </w:t>
      </w:r>
      <w:r w:rsidRPr="009C743B">
        <w:t>the sponsor provided a RMP updated with minor amendments (Version 4.0 [as Teva internal version 4.0.1], dated 23 November 2015, DLP 20 November 2015; see sponsor response to recommendation 5 in table below).  There are no significant changes to the safety specification, pharmacovigilance activities, or risk minimisation activities in the revised version.</w:t>
      </w:r>
    </w:p>
    <w:p w:rsidR="002A2BB1" w:rsidRDefault="00085175" w:rsidP="00085175">
      <w:pPr>
        <w:pStyle w:val="Heading5"/>
      </w:pPr>
      <w:r w:rsidRPr="0065641D">
        <w:t>Suggested wording for conditions of registration</w:t>
      </w:r>
    </w:p>
    <w:p w:rsidR="00085175" w:rsidRPr="0065641D" w:rsidRDefault="00085175" w:rsidP="00085175">
      <w:pPr>
        <w:pStyle w:val="Heading6"/>
      </w:pPr>
      <w:r w:rsidRPr="0065641D">
        <w:t>RMP</w:t>
      </w:r>
    </w:p>
    <w:p w:rsidR="00EF4FC0" w:rsidRDefault="00EF4FC0" w:rsidP="00085175">
      <w:r w:rsidRPr="00EF4FC0">
        <w:t>Any changes to which the sponsor agreed become part of the risk management system, whether they are included in the currently available version of the RMP document, or not includ</w:t>
      </w:r>
      <w:r>
        <w:t>ed, inadvertently or otherwise.</w:t>
      </w:r>
    </w:p>
    <w:p w:rsidR="00EF4FC0" w:rsidRDefault="00EF4FC0" w:rsidP="00085175">
      <w:r>
        <w:t>The suggested wording is:</w:t>
      </w:r>
    </w:p>
    <w:p w:rsidR="00085175" w:rsidRPr="00EF4FC0" w:rsidRDefault="00EF4FC0" w:rsidP="00EF4FC0">
      <w:pPr>
        <w:ind w:left="720"/>
        <w:rPr>
          <w:i/>
        </w:rPr>
      </w:pPr>
      <w:r w:rsidRPr="00EF4FC0">
        <w:rPr>
          <w:i/>
        </w:rPr>
        <w:t xml:space="preserve">Implement RMP Version 4.0 (as Teva internal Version 4.0.1, dated 23 November 2015, DLP 20 November 2015) with </w:t>
      </w:r>
      <w:r w:rsidR="00ED6955">
        <w:rPr>
          <w:i/>
        </w:rPr>
        <w:t>ASA</w:t>
      </w:r>
      <w:r w:rsidRPr="00EF4FC0">
        <w:rPr>
          <w:i/>
        </w:rPr>
        <w:t xml:space="preserve"> Version (dated 28 April 2015) and any future updates as a condition of registration.</w:t>
      </w:r>
    </w:p>
    <w:p w:rsidR="008E7846" w:rsidRPr="00792A32" w:rsidRDefault="008E7846" w:rsidP="008E7846">
      <w:pPr>
        <w:pStyle w:val="Heading2"/>
      </w:pPr>
      <w:bookmarkStart w:id="119" w:name="_Toc314842510"/>
      <w:bookmarkStart w:id="120" w:name="_Toc468181717"/>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2"/>
      <w:bookmarkEnd w:id="118"/>
      <w:bookmarkEnd w:id="119"/>
      <w:bookmarkEnd w:id="120"/>
    </w:p>
    <w:p w:rsidR="008E7846" w:rsidRDefault="008E7846" w:rsidP="008E7846">
      <w:bookmarkStart w:id="121"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22" w:name="_Toc314842511"/>
      <w:bookmarkStart w:id="123" w:name="_Toc468181718"/>
      <w:r>
        <w:t>Quality</w:t>
      </w:r>
      <w:bookmarkEnd w:id="121"/>
      <w:bookmarkEnd w:id="122"/>
      <w:bookmarkEnd w:id="123"/>
    </w:p>
    <w:p w:rsidR="00CC5DF0" w:rsidRPr="00CC5DF0" w:rsidRDefault="00CC5DF0" w:rsidP="00CC5DF0">
      <w:r w:rsidRPr="00CC5DF0">
        <w:t xml:space="preserve">The </w:t>
      </w:r>
      <w:r w:rsidR="00ED6955">
        <w:t>p</w:t>
      </w:r>
      <w:r w:rsidRPr="00CC5DF0">
        <w:t xml:space="preserve">harmaceutical </w:t>
      </w:r>
      <w:r w:rsidR="00ED6955">
        <w:t>c</w:t>
      </w:r>
      <w:r w:rsidRPr="00CC5DF0">
        <w:t xml:space="preserve">hemistry </w:t>
      </w:r>
      <w:r w:rsidR="00ED6955">
        <w:t>e</w:t>
      </w:r>
      <w:r w:rsidRPr="00CC5DF0">
        <w:t>valuator advised that there are no further outstanding issues that require resolution and approval can be recommended from a pharmaceutical chemistry and biopharmaceutics perspective.</w:t>
      </w:r>
    </w:p>
    <w:p w:rsidR="008E7846" w:rsidRDefault="008E7846" w:rsidP="008E7846">
      <w:pPr>
        <w:pStyle w:val="Heading3"/>
      </w:pPr>
      <w:bookmarkStart w:id="124" w:name="_Toc314842512"/>
      <w:bookmarkStart w:id="125" w:name="_Toc468181719"/>
      <w:r>
        <w:t>Nonclinical</w:t>
      </w:r>
      <w:bookmarkEnd w:id="124"/>
      <w:bookmarkEnd w:id="125"/>
    </w:p>
    <w:p w:rsidR="00CC5DF0" w:rsidRPr="00CC5DF0" w:rsidRDefault="00CC5DF0" w:rsidP="00CC5DF0">
      <w:r w:rsidRPr="00CC5DF0">
        <w:t xml:space="preserve">The </w:t>
      </w:r>
      <w:r w:rsidR="00ED6955">
        <w:t>n</w:t>
      </w:r>
      <w:r w:rsidRPr="00CC5DF0">
        <w:t xml:space="preserve">onclinical </w:t>
      </w:r>
      <w:r w:rsidR="00ED6955">
        <w:t>e</w:t>
      </w:r>
      <w:r w:rsidRPr="00CC5DF0">
        <w:t xml:space="preserve">valuator did not have any objections to the registration of Seasonique. The </w:t>
      </w:r>
      <w:r w:rsidR="00ED6955">
        <w:t>s</w:t>
      </w:r>
      <w:r w:rsidRPr="00CC5DF0">
        <w:t>ponsor has pr</w:t>
      </w:r>
      <w:r w:rsidR="00ED6955">
        <w:t>ovided an amended PI as per nonclinical e</w:t>
      </w:r>
      <w:r w:rsidRPr="00CC5DF0">
        <w:t>valuator’s recommendations.</w:t>
      </w:r>
    </w:p>
    <w:p w:rsidR="008E7846" w:rsidRDefault="008E7846" w:rsidP="008E7846">
      <w:pPr>
        <w:pStyle w:val="Heading3"/>
      </w:pPr>
      <w:bookmarkStart w:id="126" w:name="_Toc247691530"/>
      <w:bookmarkStart w:id="127" w:name="_Toc314842513"/>
      <w:bookmarkStart w:id="128" w:name="_Toc468181720"/>
      <w:r>
        <w:t>Clinical</w:t>
      </w:r>
      <w:bookmarkEnd w:id="126"/>
      <w:bookmarkEnd w:id="127"/>
      <w:bookmarkEnd w:id="128"/>
    </w:p>
    <w:p w:rsidR="00CC5DF0" w:rsidRPr="00141882" w:rsidRDefault="00CC5DF0" w:rsidP="00CC5DF0">
      <w:pPr>
        <w:pStyle w:val="Heading4"/>
      </w:pPr>
      <w:bookmarkStart w:id="129" w:name="_Toc314842514"/>
      <w:r w:rsidRPr="00141882">
        <w:t>Pharmacology</w:t>
      </w:r>
    </w:p>
    <w:p w:rsidR="002A2BB1" w:rsidRDefault="00ED6955" w:rsidP="00CC5DF0">
      <w:r>
        <w:t>The general PK</w:t>
      </w:r>
      <w:r w:rsidR="00CC5DF0" w:rsidRPr="00CC5DF0">
        <w:t xml:space="preserve"> of the two constituent substances ethinyloestradiol and levonorgestrel are well established given the multiple formulations containing this combination previously registered in Australia.</w:t>
      </w:r>
    </w:p>
    <w:p w:rsidR="002A2BB1" w:rsidRDefault="00CC5DF0" w:rsidP="00CC5DF0">
      <w:r w:rsidRPr="00CC5DF0">
        <w:t>There were two PK stu</w:t>
      </w:r>
      <w:r w:rsidR="00FB7137">
        <w:t>dies submitted</w:t>
      </w:r>
      <w:r w:rsidR="0016764D">
        <w:t>. The single dose S</w:t>
      </w:r>
      <w:r w:rsidRPr="00CC5DF0">
        <w:t>tudy 10416204 established bioequivalence of the clinical trial formulation and the to-be</w:t>
      </w:r>
      <w:r w:rsidR="00520A14">
        <w:t>-marketed formulation in the US</w:t>
      </w:r>
      <w:r w:rsidRPr="00CC5DF0">
        <w:t xml:space="preserve">. A study comparing the US marketed formulation and the proposed formulation in Australia has not been conducted; the </w:t>
      </w:r>
      <w:r w:rsidR="00520A14">
        <w:t>c</w:t>
      </w:r>
      <w:r w:rsidRPr="00CC5DF0">
        <w:t xml:space="preserve">linical </w:t>
      </w:r>
      <w:r w:rsidR="00520A14">
        <w:t>e</w:t>
      </w:r>
      <w:r w:rsidRPr="00CC5DF0">
        <w:t>valuator noted the formulations to be identical in active and excipient components, except for the co</w:t>
      </w:r>
      <w:r w:rsidR="00520A14">
        <w:t>ating colour</w:t>
      </w:r>
      <w:r w:rsidRPr="00CC5DF0">
        <w:t>.</w:t>
      </w:r>
    </w:p>
    <w:p w:rsidR="002A2BB1" w:rsidRDefault="00CC5DF0" w:rsidP="00CC5DF0">
      <w:r w:rsidRPr="00CC5DF0">
        <w:t>Study 10216207 was an open</w:t>
      </w:r>
      <w:r w:rsidR="00520A14">
        <w:t xml:space="preserve"> </w:t>
      </w:r>
      <w:r w:rsidRPr="00CC5DF0">
        <w:t>label multiple dose study to evaluate</w:t>
      </w:r>
      <w:r w:rsidR="00520A14">
        <w:t xml:space="preserve"> the single and steady state PK</w:t>
      </w:r>
      <w:r w:rsidRPr="00CC5DF0">
        <w:t xml:space="preserve"> of a combination tablet containing ethinyloestradiol 30 </w:t>
      </w:r>
      <w:r w:rsidR="00520A14">
        <w:t>µg</w:t>
      </w:r>
      <w:r w:rsidRPr="00CC5DF0">
        <w:t xml:space="preserve"> and levonorgestrel 150 </w:t>
      </w:r>
      <w:r w:rsidR="00520A14">
        <w:t>µg</w:t>
      </w:r>
      <w:r w:rsidRPr="00CC5DF0">
        <w:t>. Subjects received a single table</w:t>
      </w:r>
      <w:r w:rsidR="00520A14">
        <w:t>t of ethinyloestradiol 30 µg/</w:t>
      </w:r>
      <w:r w:rsidRPr="00CC5DF0">
        <w:t xml:space="preserve">levonorgestrel 150 </w:t>
      </w:r>
      <w:r w:rsidR="00520A14">
        <w:t>µg</w:t>
      </w:r>
      <w:r w:rsidRPr="00CC5DF0">
        <w:t xml:space="preserve"> for </w:t>
      </w:r>
      <w:r w:rsidRPr="00CC5DF0">
        <w:lastRenderedPageBreak/>
        <w:t xml:space="preserve">84 days, followed by a single tablet of ethinyloestradiol 30 </w:t>
      </w:r>
      <w:r w:rsidR="00520A14">
        <w:t>µg</w:t>
      </w:r>
      <w:r w:rsidRPr="00CC5DF0">
        <w:t xml:space="preserve"> for 7 days. Steady</w:t>
      </w:r>
      <w:r w:rsidR="00515BDB">
        <w:t xml:space="preserve"> </w:t>
      </w:r>
      <w:r w:rsidRPr="00CC5DF0">
        <w:t>state for both ethinyloestradiol and levonorgestrel was reached by Day 21 with no evidence of accumulation thereafter.</w:t>
      </w:r>
    </w:p>
    <w:p w:rsidR="00CC5DF0" w:rsidRPr="00CC5DF0" w:rsidRDefault="00CC5DF0" w:rsidP="00CC5DF0">
      <w:pPr>
        <w:pStyle w:val="Heading5"/>
      </w:pPr>
      <w:r w:rsidRPr="00CC5DF0">
        <w:t xml:space="preserve">PD </w:t>
      </w:r>
      <w:r>
        <w:t>s</w:t>
      </w:r>
      <w:r w:rsidRPr="00CC5DF0">
        <w:t>tudies</w:t>
      </w:r>
    </w:p>
    <w:p w:rsidR="002A2BB1" w:rsidRDefault="00CC5DF0" w:rsidP="00CC5DF0">
      <w:r w:rsidRPr="00CC5DF0">
        <w:t>There were four PD studies:</w:t>
      </w:r>
    </w:p>
    <w:p w:rsidR="002A2BB1" w:rsidRDefault="00CC5DF0" w:rsidP="00CC5DF0">
      <w:pPr>
        <w:pStyle w:val="ListBullet"/>
      </w:pPr>
      <w:r w:rsidRPr="00CC5DF0">
        <w:t>Study PSE-310 was an open</w:t>
      </w:r>
      <w:r w:rsidR="00515BDB">
        <w:t xml:space="preserve"> </w:t>
      </w:r>
      <w:r w:rsidRPr="00CC5DF0">
        <w:t>label, randomised study to evaluate the suppression of the pituitary-ovarian axis with a COC regimen in which the HFI is replaced by 7 days administration of et</w:t>
      </w:r>
      <w:r w:rsidR="00B21BFE">
        <w:t>hinyloestradiol 10 µg</w:t>
      </w:r>
      <w:r w:rsidRPr="00CC5DF0">
        <w:t xml:space="preserve">. The three treatment arms were: Seasonique (84 </w:t>
      </w:r>
      <w:r w:rsidR="00B21BFE">
        <w:t>days ethinyloestradiol 30 µg/levonorgestrel 150 µg</w:t>
      </w:r>
      <w:r w:rsidRPr="00CC5DF0">
        <w:t xml:space="preserve"> followed by 7 </w:t>
      </w:r>
      <w:r w:rsidR="00B21BFE">
        <w:t>days of ethinyloestradiol 10 µg</w:t>
      </w:r>
      <w:r w:rsidRPr="00CC5DF0">
        <w:t xml:space="preserve">), Seasonale (84 </w:t>
      </w:r>
      <w:r w:rsidR="00B21BFE">
        <w:t>days ethinyloestradiol 30 µg/</w:t>
      </w:r>
      <w:r w:rsidRPr="00CC5DF0">
        <w:t xml:space="preserve">levonorgestrel 150 </w:t>
      </w:r>
      <w:r w:rsidR="00B21BFE">
        <w:t>µg</w:t>
      </w:r>
      <w:r w:rsidR="00B21BFE" w:rsidRPr="00CC5DF0">
        <w:t xml:space="preserve"> </w:t>
      </w:r>
      <w:r w:rsidRPr="00CC5DF0">
        <w:t>followed by 7 days placebo) or Portia (</w:t>
      </w:r>
      <w:r w:rsidR="00B21BFE">
        <w:t>21 days ethinyloestradiol 30 µg</w:t>
      </w:r>
      <w:r w:rsidRPr="00CC5DF0">
        <w:t xml:space="preserve">/levonorgestrel 150 </w:t>
      </w:r>
      <w:r w:rsidR="00B21BFE">
        <w:t>µg</w:t>
      </w:r>
      <w:r w:rsidRPr="00CC5DF0">
        <w:t xml:space="preserve"> followed by 7 days placebo, for three cycles). All subjects then received a follow-up Portia cycle during which follicular growth was assessed. Given the small sample size (n</w:t>
      </w:r>
      <w:r w:rsidR="00B21BFE">
        <w:t xml:space="preserve"> </w:t>
      </w:r>
      <w:r w:rsidRPr="00CC5DF0">
        <w:t>=</w:t>
      </w:r>
      <w:r w:rsidR="00B21BFE">
        <w:t xml:space="preserve"> </w:t>
      </w:r>
      <w:r w:rsidRPr="00CC5DF0">
        <w:t xml:space="preserve">10-12 subjects per arm), the </w:t>
      </w:r>
      <w:r w:rsidR="00385DA9">
        <w:t>c</w:t>
      </w:r>
      <w:r w:rsidRPr="00CC5DF0">
        <w:t xml:space="preserve">linical </w:t>
      </w:r>
      <w:r w:rsidR="00385DA9">
        <w:t>e</w:t>
      </w:r>
      <w:r w:rsidRPr="00CC5DF0">
        <w:t>valuator co</w:t>
      </w:r>
      <w:r w:rsidR="00B21BFE">
        <w:t xml:space="preserve">nsidered the study exploratory; </w:t>
      </w:r>
      <w:r w:rsidRPr="00CC5DF0">
        <w:t>however</w:t>
      </w:r>
      <w:r w:rsidR="00B21BFE">
        <w:t>,</w:t>
      </w:r>
      <w:r w:rsidRPr="00CC5DF0">
        <w:t xml:space="preserve"> serum FSH, LH</w:t>
      </w:r>
      <w:r w:rsidR="00B21BFE">
        <w:t>,</w:t>
      </w:r>
      <w:r w:rsidRPr="00CC5DF0">
        <w:t xml:space="preserve"> and particularly oestradiol remained more suppressed in the Seasonique arm compared with Seasonale. Further, there was evidence of greater suppression on follicular growth into the follow-up Portia cycle with </w:t>
      </w:r>
      <w:proofErr w:type="spellStart"/>
      <w:r w:rsidRPr="00CC5DF0">
        <w:t>Seasonique</w:t>
      </w:r>
      <w:proofErr w:type="spellEnd"/>
      <w:r w:rsidRPr="00CC5DF0">
        <w:t xml:space="preserve"> compared </w:t>
      </w:r>
      <w:r w:rsidR="00B21BFE">
        <w:t xml:space="preserve">with </w:t>
      </w:r>
      <w:proofErr w:type="spellStart"/>
      <w:r w:rsidR="00B21BFE">
        <w:t>Seasonale</w:t>
      </w:r>
      <w:proofErr w:type="spellEnd"/>
      <w:r w:rsidRPr="00CC5DF0">
        <w:t>.</w:t>
      </w:r>
    </w:p>
    <w:p w:rsidR="00CC5DF0" w:rsidRPr="00CC5DF0" w:rsidRDefault="00CC5DF0" w:rsidP="00CC5DF0">
      <w:pPr>
        <w:pStyle w:val="ListBullet"/>
      </w:pPr>
      <w:r w:rsidRPr="00CC5DF0">
        <w:t>Study PSE-312 was a similar study, evaluating the suppression of the p</w:t>
      </w:r>
      <w:r w:rsidR="00171E3C">
        <w:t xml:space="preserve">ituitary-ovarian axis with a 28 </w:t>
      </w:r>
      <w:r w:rsidRPr="00CC5DF0">
        <w:t xml:space="preserve">day cycle COC preparation (containing ethinyloestradiol 30 </w:t>
      </w:r>
      <w:r w:rsidR="00171E3C">
        <w:t>µg/</w:t>
      </w:r>
      <w:r w:rsidRPr="00CC5DF0">
        <w:t xml:space="preserve">levonorgestrel 150 </w:t>
      </w:r>
      <w:r w:rsidR="00171E3C">
        <w:t>µg</w:t>
      </w:r>
      <w:r w:rsidRPr="00CC5DF0">
        <w:t xml:space="preserve">) with ethinyloestradiol 10 </w:t>
      </w:r>
      <w:r w:rsidR="00171E3C">
        <w:t>µg</w:t>
      </w:r>
      <w:r w:rsidRPr="00CC5DF0">
        <w:t xml:space="preserve"> taken for 7 days during the usual HFI, for two cycles. Again this was a small study, and a similar pattern of hormonal suppression as seen in Study PSE-301 was observed, although a statistically significant difference between the active and placebo groups was observed for inhibin-B and oestradiol. The </w:t>
      </w:r>
      <w:r w:rsidR="00171E3C">
        <w:t>c</w:t>
      </w:r>
      <w:r w:rsidRPr="00CC5DF0">
        <w:t xml:space="preserve">linical </w:t>
      </w:r>
      <w:r w:rsidR="00171E3C">
        <w:t>e</w:t>
      </w:r>
      <w:r w:rsidRPr="00CC5DF0">
        <w:t xml:space="preserve">valuator noted suppression of ovarian activity by ethinyloestradiol 10 </w:t>
      </w:r>
      <w:r w:rsidR="00171E3C">
        <w:t>µg</w:t>
      </w:r>
      <w:r w:rsidRPr="00CC5DF0">
        <w:t xml:space="preserve"> during the HFI can occur with conventional 28</w:t>
      </w:r>
      <w:r w:rsidR="00171E3C">
        <w:t xml:space="preserve"> </w:t>
      </w:r>
      <w:r w:rsidRPr="00CC5DF0">
        <w:t>day COCs as well as with an extended cycle regimen.</w:t>
      </w:r>
    </w:p>
    <w:p w:rsidR="002A2BB1" w:rsidRDefault="00CC5DF0" w:rsidP="00CC5DF0">
      <w:pPr>
        <w:pStyle w:val="ListBullet"/>
      </w:pPr>
      <w:r w:rsidRPr="00CC5DF0">
        <w:t>Study DR105-101 was an open</w:t>
      </w:r>
      <w:r w:rsidR="00370DE0">
        <w:t xml:space="preserve"> </w:t>
      </w:r>
      <w:r w:rsidRPr="00CC5DF0">
        <w:t>label, uncontrolled, single cohort study to evaluate</w:t>
      </w:r>
      <w:r w:rsidR="00171E3C">
        <w:t xml:space="preserve"> ovulation inhibition with a 91 </w:t>
      </w:r>
      <w:r w:rsidRPr="00CC5DF0">
        <w:t xml:space="preserve">day course of Seasonique. Ovarian activity was assessed by transvaginal ultrasound and serum FSH, LH, oestradiol and progesterone at intervals of 28, 28 and 35 days. Whilst there were two instances of ovulation during interval 3, overall ovarian activity was more suppressed during intervals 2 and 3, with progressive fall in levels of LH, FSH, oestradiol and progesterone through to Day 84. Both FSH and LH levels rose during Days 85-91, suggesting some escape from gonadotrophin suppression in this period despite the </w:t>
      </w:r>
      <w:proofErr w:type="spellStart"/>
      <w:r w:rsidRPr="00CC5DF0">
        <w:t>ethinyloestradiol</w:t>
      </w:r>
      <w:proofErr w:type="spellEnd"/>
      <w:r w:rsidRPr="00CC5DF0">
        <w:t xml:space="preserve"> 10 </w:t>
      </w:r>
      <w:r w:rsidR="00171E3C">
        <w:t>µg</w:t>
      </w:r>
      <w:r w:rsidRPr="00CC5DF0">
        <w:t xml:space="preserve"> </w:t>
      </w:r>
      <w:proofErr w:type="gramStart"/>
      <w:r w:rsidRPr="00CC5DF0">
        <w:t>dose</w:t>
      </w:r>
      <w:proofErr w:type="gramEnd"/>
      <w:r w:rsidRPr="00CC5DF0">
        <w:t>.</w:t>
      </w:r>
    </w:p>
    <w:p w:rsidR="002A2BB1" w:rsidRDefault="00CC5DF0" w:rsidP="00CC5DF0">
      <w:pPr>
        <w:pStyle w:val="ListBullet"/>
      </w:pPr>
      <w:r w:rsidRPr="00CC5DF0">
        <w:t>Study PSE-HSP-203 was an open</w:t>
      </w:r>
      <w:r w:rsidR="00171E3C">
        <w:t xml:space="preserve"> </w:t>
      </w:r>
      <w:r w:rsidRPr="00CC5DF0">
        <w:t>label randomised study comparing the effect on haemostatic parameters of Seasonique with two standard 28 day COC preparations in healthy female subjects. During the six month treatment period subjects received either Seasonique (two 91</w:t>
      </w:r>
      <w:r w:rsidR="00171E3C">
        <w:t xml:space="preserve"> </w:t>
      </w:r>
      <w:r w:rsidRPr="00CC5DF0">
        <w:t xml:space="preserve">day cycles), </w:t>
      </w:r>
      <w:proofErr w:type="spellStart"/>
      <w:r w:rsidRPr="00CC5DF0">
        <w:t>Minidril</w:t>
      </w:r>
      <w:proofErr w:type="spellEnd"/>
      <w:r w:rsidRPr="00CC5DF0">
        <w:t xml:space="preserve"> (21 days of combination ethinyloestradiol 30 </w:t>
      </w:r>
      <w:r w:rsidR="00171E3C">
        <w:t>µg</w:t>
      </w:r>
      <w:r w:rsidRPr="00CC5DF0">
        <w:t xml:space="preserve"> and levonorgestrel 150 </w:t>
      </w:r>
      <w:r w:rsidR="00171E3C">
        <w:t>µg</w:t>
      </w:r>
      <w:r w:rsidRPr="00CC5DF0">
        <w:t xml:space="preserve"> followed by 7 days of no treatment, for a total of six cycles) or </w:t>
      </w:r>
      <w:proofErr w:type="spellStart"/>
      <w:r w:rsidRPr="00CC5DF0">
        <w:t>Marvelon</w:t>
      </w:r>
      <w:proofErr w:type="spellEnd"/>
      <w:r w:rsidRPr="00CC5DF0">
        <w:t xml:space="preserve"> (21 days of combination </w:t>
      </w:r>
      <w:proofErr w:type="spellStart"/>
      <w:r w:rsidRPr="00CC5DF0">
        <w:t>ethinyloestradiol</w:t>
      </w:r>
      <w:proofErr w:type="spellEnd"/>
      <w:r w:rsidRPr="00CC5DF0">
        <w:t xml:space="preserve"> 30 </w:t>
      </w:r>
      <w:r w:rsidR="00171E3C">
        <w:t>µg</w:t>
      </w:r>
      <w:r w:rsidRPr="00CC5DF0">
        <w:t>/</w:t>
      </w:r>
      <w:proofErr w:type="spellStart"/>
      <w:r w:rsidRPr="00CC5DF0">
        <w:t>desogestrel</w:t>
      </w:r>
      <w:proofErr w:type="spellEnd"/>
      <w:r w:rsidRPr="00CC5DF0">
        <w:t xml:space="preserve"> 150 </w:t>
      </w:r>
      <w:r w:rsidR="00171E3C">
        <w:t>µg</w:t>
      </w:r>
      <w:r w:rsidRPr="00CC5DF0">
        <w:t xml:space="preserve"> followed by 7 days of no treatment, for a total of six cycles). The primary efficacy parameter was the </w:t>
      </w:r>
      <w:proofErr w:type="spellStart"/>
      <w:r w:rsidRPr="00CC5DF0">
        <w:t>procoagulatory</w:t>
      </w:r>
      <w:proofErr w:type="spellEnd"/>
      <w:r w:rsidRPr="00CC5DF0">
        <w:t xml:space="preserve"> marker prothrombin fragments 1 + 2, measured at 3 months and 6 months. There was a similar degree of rise in prothrombin fragments for </w:t>
      </w:r>
      <w:proofErr w:type="spellStart"/>
      <w:r w:rsidRPr="00CC5DF0">
        <w:t>Seasonique</w:t>
      </w:r>
      <w:proofErr w:type="spellEnd"/>
      <w:r w:rsidRPr="00CC5DF0">
        <w:t xml:space="preserve"> compared with </w:t>
      </w:r>
      <w:proofErr w:type="spellStart"/>
      <w:r w:rsidRPr="00CC5DF0">
        <w:t>Minidril</w:t>
      </w:r>
      <w:proofErr w:type="spellEnd"/>
      <w:r w:rsidRPr="00CC5DF0">
        <w:t xml:space="preserve">, with a much greater rise (bordering on statistical significance) compared with </w:t>
      </w:r>
      <w:proofErr w:type="spellStart"/>
      <w:r w:rsidRPr="00CC5DF0">
        <w:t>Marvelon</w:t>
      </w:r>
      <w:proofErr w:type="spellEnd"/>
      <w:r w:rsidRPr="00CC5DF0">
        <w:t xml:space="preserve">. There were various changes noted for other </w:t>
      </w:r>
      <w:proofErr w:type="spellStart"/>
      <w:r w:rsidRPr="00CC5DF0">
        <w:t>procoagulatory</w:t>
      </w:r>
      <w:proofErr w:type="spellEnd"/>
      <w:r w:rsidR="008D7766">
        <w:t xml:space="preserve"> and </w:t>
      </w:r>
      <w:proofErr w:type="spellStart"/>
      <w:r w:rsidR="008D7766">
        <w:t>anticoagulatory</w:t>
      </w:r>
      <w:proofErr w:type="spellEnd"/>
      <w:r w:rsidR="008D7766">
        <w:t xml:space="preserve"> variables.</w:t>
      </w:r>
      <w:r w:rsidRPr="00CC5DF0">
        <w:t xml:space="preserve"> The </w:t>
      </w:r>
      <w:r w:rsidR="008D7766">
        <w:t>c</w:t>
      </w:r>
      <w:r w:rsidRPr="00CC5DF0">
        <w:t xml:space="preserve">linical </w:t>
      </w:r>
      <w:r w:rsidR="008D7766">
        <w:t>e</w:t>
      </w:r>
      <w:r w:rsidRPr="00CC5DF0">
        <w:t>valuator concluded the use of the extended cycle regimen did not constitute an additional thromboembolic risk wh</w:t>
      </w:r>
      <w:r w:rsidR="00EE6EED">
        <w:t xml:space="preserve">en compared to the standard 28 </w:t>
      </w:r>
      <w:r w:rsidRPr="00CC5DF0">
        <w:t>day cycle regimen.</w:t>
      </w:r>
    </w:p>
    <w:p w:rsidR="00CC5DF0" w:rsidRPr="00141882" w:rsidRDefault="00CC5DF0" w:rsidP="008A3359">
      <w:pPr>
        <w:pStyle w:val="Heading4"/>
      </w:pPr>
      <w:r w:rsidRPr="00141882">
        <w:lastRenderedPageBreak/>
        <w:t>Efficacy</w:t>
      </w:r>
    </w:p>
    <w:p w:rsidR="00CC5DF0" w:rsidRPr="008A3359" w:rsidRDefault="00CC5DF0" w:rsidP="008A3359">
      <w:r w:rsidRPr="008A3359">
        <w:t>There were two efficacy studies:</w:t>
      </w:r>
    </w:p>
    <w:p w:rsidR="00CC5DF0" w:rsidRPr="00B23B91" w:rsidRDefault="00CC5DF0" w:rsidP="008A3359">
      <w:pPr>
        <w:pStyle w:val="Heading5"/>
      </w:pPr>
      <w:r w:rsidRPr="00B23B91">
        <w:t>Pivotal Study</w:t>
      </w:r>
      <w:r>
        <w:t xml:space="preserve"> PSE-301</w:t>
      </w:r>
    </w:p>
    <w:p w:rsidR="00CC5DF0" w:rsidRPr="008A3359" w:rsidRDefault="00CC5DF0" w:rsidP="008A3359">
      <w:r w:rsidRPr="008A3359">
        <w:t>Study PSE-301 was a two</w:t>
      </w:r>
      <w:r w:rsidR="00EE6EED">
        <w:t xml:space="preserve"> </w:t>
      </w:r>
      <w:r w:rsidRPr="008A3359">
        <w:t>arm, randomised, multicentre, open</w:t>
      </w:r>
      <w:r w:rsidR="00EE6EED">
        <w:t xml:space="preserve"> </w:t>
      </w:r>
      <w:r w:rsidRPr="008A3359">
        <w:t>label study conducted in the USA from 2002-2004 to demonstrate the efficacy and safety of two 91</w:t>
      </w:r>
      <w:r w:rsidR="00EE6EED">
        <w:t xml:space="preserve"> </w:t>
      </w:r>
      <w:r w:rsidRPr="008A3359">
        <w:t>day cycle extended regimen COC formulations taken for one year in women desiring pregnancy pr</w:t>
      </w:r>
      <w:r w:rsidR="00EE6EED">
        <w:t>evention</w:t>
      </w:r>
      <w:r w:rsidRPr="008A3359">
        <w:t>. The two treatment arms were:</w:t>
      </w:r>
    </w:p>
    <w:p w:rsidR="002A2BB1" w:rsidRDefault="00CC5DF0" w:rsidP="00EE6EED">
      <w:pPr>
        <w:pStyle w:val="ListBullet"/>
      </w:pPr>
      <w:r w:rsidRPr="008A3359">
        <w:t xml:space="preserve">DP3-84/10 [Seasonique]: 84 days combination of ethinyloestradiol 30 </w:t>
      </w:r>
      <w:r w:rsidR="00EE6EED">
        <w:t>µg/</w:t>
      </w:r>
      <w:r w:rsidRPr="008A3359">
        <w:t xml:space="preserve">levonorgestrel 150 </w:t>
      </w:r>
      <w:r w:rsidR="00EE6EED">
        <w:t>µg</w:t>
      </w:r>
      <w:r w:rsidR="00EE6EED" w:rsidRPr="008A3359">
        <w:t xml:space="preserve"> </w:t>
      </w:r>
      <w:r w:rsidRPr="008A3359">
        <w:t xml:space="preserve">followed by 7 days </w:t>
      </w:r>
      <w:proofErr w:type="spellStart"/>
      <w:r w:rsidRPr="008A3359">
        <w:t>ethinyloestradiol</w:t>
      </w:r>
      <w:proofErr w:type="spellEnd"/>
      <w:r w:rsidRPr="008A3359">
        <w:t xml:space="preserve"> 10 </w:t>
      </w:r>
      <w:r w:rsidR="00EE6EED">
        <w:t>µg</w:t>
      </w:r>
      <w:r w:rsidRPr="008A3359">
        <w:t>.</w:t>
      </w:r>
    </w:p>
    <w:p w:rsidR="002A2BB1" w:rsidRDefault="00CC5DF0" w:rsidP="00EE6EED">
      <w:pPr>
        <w:pStyle w:val="ListBullet"/>
      </w:pPr>
      <w:r w:rsidRPr="008A3359">
        <w:t>DP3-84/30: a similar product comprising 8</w:t>
      </w:r>
      <w:r w:rsidR="00EE6EED">
        <w:t>4 day of ethinyloestradiol 30</w:t>
      </w:r>
      <w:r w:rsidR="00EE6EED" w:rsidRPr="00EE6EED">
        <w:t xml:space="preserve"> </w:t>
      </w:r>
      <w:r w:rsidR="00EE6EED">
        <w:t>µg /</w:t>
      </w:r>
      <w:r w:rsidRPr="008A3359">
        <w:t xml:space="preserve">levonorgestrel 150 </w:t>
      </w:r>
      <w:r w:rsidR="00EE6EED">
        <w:t>µg</w:t>
      </w:r>
      <w:r w:rsidR="00EE6EED" w:rsidRPr="008A3359">
        <w:t xml:space="preserve"> </w:t>
      </w:r>
      <w:r w:rsidRPr="008A3359">
        <w:t xml:space="preserve">and ethinyloestradiol 30 </w:t>
      </w:r>
      <w:r w:rsidR="00EE6EED">
        <w:t>µg</w:t>
      </w:r>
      <w:r w:rsidRPr="008A3359">
        <w:t xml:space="preserve"> for 7 days.</w:t>
      </w:r>
    </w:p>
    <w:p w:rsidR="002A2BB1" w:rsidRDefault="00CC5DF0" w:rsidP="008A3359">
      <w:r w:rsidRPr="008A3359">
        <w:t>The study population included sexually active women aged 18-40 years at risk of pregnancy who had a history of OC use prior to enrolment (continuous users), no prior history of OC use (fresh starts) or history of OC use, but not within the six months prior to enrolment (prior users). Women with contraindications to COC use were excluded. The majority of subjects were Caucasian (79.8%), with mean age 27.4 years and mean BMI 26.9 kg/m</w:t>
      </w:r>
      <w:r w:rsidRPr="00CE429D">
        <w:rPr>
          <w:vertAlign w:val="superscript"/>
        </w:rPr>
        <w:t>2</w:t>
      </w:r>
      <w:r w:rsidRPr="008A3359">
        <w:t>. 23.5% were smokers.</w:t>
      </w:r>
    </w:p>
    <w:p w:rsidR="00CC5DF0" w:rsidRPr="008A3359" w:rsidRDefault="00CC5DF0" w:rsidP="008A3359">
      <w:r w:rsidRPr="008A3359">
        <w:t>There were 2049 subjects randomised in a 1:1 ratio to either DP3-84/10 (n</w:t>
      </w:r>
      <w:r w:rsidR="00CE429D">
        <w:t xml:space="preserve"> </w:t>
      </w:r>
      <w:r w:rsidRPr="008A3359">
        <w:t>= 1025 randomised, n</w:t>
      </w:r>
      <w:r w:rsidR="00CE429D">
        <w:t xml:space="preserve"> </w:t>
      </w:r>
      <w:r w:rsidRPr="008A3359">
        <w:t>= 1013 treated) or DP3-84/30 (n</w:t>
      </w:r>
      <w:r w:rsidR="00CE429D">
        <w:t xml:space="preserve"> </w:t>
      </w:r>
      <w:r w:rsidRPr="008A3359">
        <w:t>= 1024 randomised, n</w:t>
      </w:r>
      <w:r w:rsidR="00CE429D">
        <w:t xml:space="preserve"> </w:t>
      </w:r>
      <w:r w:rsidRPr="008A3359">
        <w:t>= 1006 treated). Subjects received study medication for one year (four 91-day cycles).</w:t>
      </w:r>
    </w:p>
    <w:p w:rsidR="002A2BB1" w:rsidRDefault="00CC5DF0" w:rsidP="008A3359">
      <w:r w:rsidRPr="008A3359">
        <w:t>The primary efficacy endpoint was the on-treatment pregnancy rate (those pregnancies for which the conception date was on or after the date of first dose of study medication, but no more than 14 days after the last dose of combination medication), based on the Pearl Index, and calculated on the pregnancy intent-to-treat cohort (PITT; all subjects 18-35 years old with at least one complete cycle of treatment).</w:t>
      </w:r>
    </w:p>
    <w:p w:rsidR="002A2BB1" w:rsidRDefault="00CC5DF0" w:rsidP="008A3359">
      <w:r w:rsidRPr="008A3359">
        <w:t>The calculation was also made on other cohorts including the compliant use cohort (all complete cycles for patients in the PITT cohort in which no other birth control method was used and the patient was deemed to be compliant during the cycle (where non-compliance was defined as all cycles in which a patient skipped two or more consecutive pills or had a pattern of substantial non-compliance [an overall compliance of less than 80%] with study medication, or used a prohibited concomitant medication that may interact with OC therapy). 97.6% of subjects had ≥ 80% compliance.</w:t>
      </w:r>
    </w:p>
    <w:p w:rsidR="002A2BB1" w:rsidRDefault="00CC5DF0" w:rsidP="008A3359">
      <w:r w:rsidRPr="008A3359">
        <w:t>Secondary efficacy outcome was calculation of pregnancy rate using life table analysis.</w:t>
      </w:r>
    </w:p>
    <w:p w:rsidR="008A3359" w:rsidRDefault="00CC5DF0" w:rsidP="008A3359">
      <w:r w:rsidRPr="008A3359">
        <w:t>With regard to sample size,</w:t>
      </w:r>
      <w:r w:rsidR="008A3359">
        <w:t xml:space="preserve"> the </w:t>
      </w:r>
      <w:r w:rsidR="00CE429D">
        <w:t>c</w:t>
      </w:r>
      <w:r w:rsidR="008A3359">
        <w:t xml:space="preserve">linical </w:t>
      </w:r>
      <w:r w:rsidR="00CE429D">
        <w:t>e</w:t>
      </w:r>
      <w:r w:rsidR="008A3359">
        <w:t>valuator stated:</w:t>
      </w:r>
    </w:p>
    <w:p w:rsidR="00CC5DF0" w:rsidRPr="008A3359" w:rsidRDefault="00515569" w:rsidP="008A3359">
      <w:pPr>
        <w:ind w:left="284"/>
        <w:rPr>
          <w:i/>
        </w:rPr>
      </w:pPr>
      <w:proofErr w:type="gramStart"/>
      <w:r>
        <w:rPr>
          <w:i/>
        </w:rPr>
        <w:t>the</w:t>
      </w:r>
      <w:proofErr w:type="gramEnd"/>
      <w:r>
        <w:rPr>
          <w:i/>
        </w:rPr>
        <w:t xml:space="preserve"> study report states </w:t>
      </w:r>
      <w:r w:rsidR="00CC5DF0" w:rsidRPr="008A3359">
        <w:rPr>
          <w:i/>
        </w:rPr>
        <w:t>that dete</w:t>
      </w:r>
      <w:r w:rsidR="00B6707D">
        <w:rPr>
          <w:i/>
        </w:rPr>
        <w:t>rmination of method failure is “</w:t>
      </w:r>
      <w:r w:rsidR="00D02FA7">
        <w:rPr>
          <w:i/>
        </w:rPr>
        <w:t>generally based”</w:t>
      </w:r>
      <w:r w:rsidR="00CC5DF0" w:rsidRPr="008A3359">
        <w:rPr>
          <w:i/>
        </w:rPr>
        <w:t xml:space="preserve"> on exposure of approximately 10,000 women-months (28 day cycles), hence the selection of approximately 1000 subjects per treatment group.</w:t>
      </w:r>
    </w:p>
    <w:p w:rsidR="00CC5DF0" w:rsidRDefault="00B6707D" w:rsidP="00B6707D">
      <w:pPr>
        <w:pStyle w:val="Heading6"/>
      </w:pPr>
      <w:r>
        <w:t>Results of Study 301</w:t>
      </w:r>
    </w:p>
    <w:p w:rsidR="00CC5DF0" w:rsidRPr="00B6707D" w:rsidRDefault="00CC5DF0" w:rsidP="00B6707D">
      <w:r w:rsidRPr="00B6707D">
        <w:t>There was a high rate of discontinuation throughout the study, with 979 subjects (48.5% of those treated) completing the study. The main reasons for discontinuation were adverse event (18.0%)</w:t>
      </w:r>
      <w:proofErr w:type="gramStart"/>
      <w:r w:rsidRPr="00B6707D">
        <w:t>,</w:t>
      </w:r>
      <w:proofErr w:type="gramEnd"/>
      <w:r w:rsidRPr="00B6707D">
        <w:t xml:space="preserve"> lost-to-follow-up (14.8%) and patient decision (12.0%). Pregnancy accounted for 23 (1.1%) </w:t>
      </w:r>
      <w:proofErr w:type="gramStart"/>
      <w:r w:rsidRPr="00B6707D">
        <w:t>discontinuations,</w:t>
      </w:r>
      <w:proofErr w:type="gramEnd"/>
      <w:r w:rsidRPr="00B6707D">
        <w:t xml:space="preserve"> although the Clinical Evaluator noted 68 randomised subjects became pregnant during the study. For 23 cases pregnancy was the primary reason for discontinuation, with the Clinical Evaluator commenting the remaining 48 pregnancies occurred in patients reporting other primary reasons for discontinuation s</w:t>
      </w:r>
      <w:r w:rsidR="00CE429D">
        <w:t>uch as ‘personal decision’.</w:t>
      </w:r>
    </w:p>
    <w:p w:rsidR="002A2BB1" w:rsidRDefault="00CC5DF0" w:rsidP="00B6707D">
      <w:r w:rsidRPr="00B6707D">
        <w:lastRenderedPageBreak/>
        <w:t xml:space="preserve">Of the 364 (18.0%) of subjects who discontinued due to </w:t>
      </w:r>
      <w:r w:rsidR="00CE429D">
        <w:t>an AE</w:t>
      </w:r>
      <w:r w:rsidRPr="00B6707D">
        <w:t xml:space="preserve">, 147 (40%) withdrew due to bleeding and/or spotting episodes (generally balanced between the two treatment groups); the </w:t>
      </w:r>
      <w:r w:rsidR="00CE429D">
        <w:t>c</w:t>
      </w:r>
      <w:r w:rsidRPr="00B6707D">
        <w:t xml:space="preserve">linical </w:t>
      </w:r>
      <w:r w:rsidR="00CE429D">
        <w:t>e</w:t>
      </w:r>
      <w:r w:rsidRPr="00B6707D">
        <w:t>valuator noted 40 (16%) of those subjects who discontinued due to ‘personal decision’ also cited bleeding and/or spotting as at least part of the reason for the decision.</w:t>
      </w:r>
    </w:p>
    <w:p w:rsidR="00CC5DF0" w:rsidRDefault="00B6707D" w:rsidP="00B6707D">
      <w:pPr>
        <w:pStyle w:val="Heading6"/>
      </w:pPr>
      <w:r>
        <w:t>Primary efficacy analysis</w:t>
      </w:r>
    </w:p>
    <w:p w:rsidR="007B6132" w:rsidRDefault="00CC5DF0" w:rsidP="00B6707D">
      <w:r w:rsidRPr="00B6707D">
        <w:t>There were 20 on-treatment pregnancies (n= 13 in the DP3-84/30 cohort and n</w:t>
      </w:r>
      <w:r w:rsidR="00CE429D">
        <w:t xml:space="preserve"> </w:t>
      </w:r>
      <w:r w:rsidRPr="00B6707D">
        <w:t xml:space="preserve">= 7 in the DP3-84/10 cohort). Of these 20 pregnancies, 11 were considered ‘compliant-use’ (n = 8 and n = 3 in the in the DP3-84/30 and DP3-84/10 arms respectively). The </w:t>
      </w:r>
      <w:r w:rsidR="00CE429D">
        <w:t>c</w:t>
      </w:r>
      <w:r w:rsidRPr="00B6707D">
        <w:t xml:space="preserve">linical </w:t>
      </w:r>
      <w:r w:rsidR="00CE429D">
        <w:t>e</w:t>
      </w:r>
      <w:r w:rsidRPr="00B6707D">
        <w:t xml:space="preserve">valuator noted the remaining 48 pregnancies occurred either when the study drug was no longer taken, or when the Investigator deemed the subject to have been non-compliant. The results of the Pearl Index calculations are shown </w:t>
      </w:r>
      <w:r w:rsidR="00515569">
        <w:t xml:space="preserve">and reproduced below in Table </w:t>
      </w:r>
      <w:r w:rsidR="002C5117">
        <w:t>6</w:t>
      </w:r>
      <w:r w:rsidR="00515569">
        <w:t>.</w:t>
      </w:r>
    </w:p>
    <w:p w:rsidR="002C5117" w:rsidRPr="003A584C" w:rsidRDefault="002C5117" w:rsidP="002C5117">
      <w:pPr>
        <w:pStyle w:val="TableTitle"/>
      </w:pPr>
      <w:proofErr w:type="gramStart"/>
      <w:r>
        <w:t>Table 6: Safety concerns and planned actions.</w:t>
      </w:r>
      <w:proofErr w:type="gramEnd"/>
    </w:p>
    <w:p w:rsidR="00515569" w:rsidRDefault="002C5117" w:rsidP="00B6707D">
      <w:r>
        <w:rPr>
          <w:noProof/>
          <w:lang w:eastAsia="en-AU"/>
        </w:rPr>
        <w:drawing>
          <wp:inline distT="0" distB="0" distL="0" distR="0" wp14:anchorId="495B3AB2" wp14:editId="4BE79A73">
            <wp:extent cx="4162796" cy="1243502"/>
            <wp:effectExtent l="0" t="0" r="0" b="0"/>
            <wp:docPr id="6" name="Picture 6" descr="Table 6: Safety concerns and planned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61091" cy="1242993"/>
                    </a:xfrm>
                    <a:prstGeom prst="rect">
                      <a:avLst/>
                    </a:prstGeom>
                  </pic:spPr>
                </pic:pic>
              </a:graphicData>
            </a:graphic>
          </wp:inline>
        </w:drawing>
      </w:r>
    </w:p>
    <w:p w:rsidR="002A2BB1" w:rsidRDefault="002C5117" w:rsidP="002C5117">
      <w:r w:rsidRPr="002C5117">
        <w:t xml:space="preserve">The </w:t>
      </w:r>
      <w:r w:rsidR="00CE429D">
        <w:t>c</w:t>
      </w:r>
      <w:r w:rsidRPr="002C5117">
        <w:t xml:space="preserve">linical </w:t>
      </w:r>
      <w:r w:rsidR="00CE429D">
        <w:t>e</w:t>
      </w:r>
      <w:r w:rsidRPr="002C5117">
        <w:t>valuator commented:</w:t>
      </w:r>
    </w:p>
    <w:p w:rsidR="002C5117" w:rsidRPr="002C5117" w:rsidRDefault="002C5117" w:rsidP="002C5117">
      <w:pPr>
        <w:ind w:left="720"/>
        <w:rPr>
          <w:i/>
        </w:rPr>
      </w:pPr>
      <w:r w:rsidRPr="002C5117">
        <w:rPr>
          <w:i/>
        </w:rPr>
        <w:t>The study report postulates that the values for Pearl Index in the category PITT (excluding other BCMs) may be an overestimate as the excluded cycles include those in which subjects have recorded using a condom for prevention of sexually transmitted disease rather than as a BCM. This argument is plausible but it is also possible that the higher estimate in this cohort is a real finding indicativ</w:t>
      </w:r>
      <w:r w:rsidR="00CE429D">
        <w:rPr>
          <w:i/>
        </w:rPr>
        <w:t>e of the product’s “typical use”</w:t>
      </w:r>
      <w:r w:rsidRPr="002C5117">
        <w:rPr>
          <w:i/>
        </w:rPr>
        <w:t xml:space="preserve"> efficacy, at least in this population.</w:t>
      </w:r>
    </w:p>
    <w:p w:rsidR="002C5117" w:rsidRPr="002C5117" w:rsidRDefault="002C5117" w:rsidP="002C5117">
      <w:pPr>
        <w:ind w:left="720"/>
        <w:rPr>
          <w:i/>
        </w:rPr>
      </w:pPr>
      <w:r w:rsidRPr="002C5117">
        <w:rPr>
          <w:i/>
        </w:rPr>
        <w:t>The apparent difference between the two treatment groups is not explained, would not have been predicted on the basis of pharmacodynamic data, and is most likely a chance finding reflecting the relatively small numbers of pregnancies involved.</w:t>
      </w:r>
    </w:p>
    <w:p w:rsidR="002A2BB1" w:rsidRDefault="002C5117" w:rsidP="002C5117">
      <w:r w:rsidRPr="002C5117">
        <w:t>The results of the life table analysis were comparable with the Pearl Ind</w:t>
      </w:r>
      <w:r w:rsidR="00500DAF">
        <w:t>ex calculations</w:t>
      </w:r>
      <w:r w:rsidRPr="002C5117">
        <w:t>.</w:t>
      </w:r>
    </w:p>
    <w:p w:rsidR="002C5117" w:rsidRPr="002C5117" w:rsidRDefault="002C5117" w:rsidP="002C5117">
      <w:r w:rsidRPr="002C5117">
        <w:t xml:space="preserve">The </w:t>
      </w:r>
      <w:r w:rsidR="00CE429D">
        <w:t>c</w:t>
      </w:r>
      <w:r w:rsidRPr="002C5117">
        <w:t>linical</w:t>
      </w:r>
      <w:r w:rsidR="00CE429D">
        <w:t xml:space="preserve"> evaluator</w:t>
      </w:r>
      <w:r w:rsidRPr="002C5117">
        <w:t xml:space="preserve"> concluded the pivotal trial to be of low quality with </w:t>
      </w:r>
      <w:r w:rsidR="00CE429D">
        <w:t>50% drop</w:t>
      </w:r>
      <w:r w:rsidRPr="002C5117">
        <w:t>outs, however, noted this was the pivotal study su</w:t>
      </w:r>
      <w:r w:rsidR="00CE429D">
        <w:t>pporting registration in the US</w:t>
      </w:r>
      <w:r w:rsidRPr="002C5117">
        <w:t>, Canada and various EU countries.</w:t>
      </w:r>
    </w:p>
    <w:p w:rsidR="002C5117" w:rsidRPr="003C4E1E" w:rsidRDefault="002C5117" w:rsidP="00500DAF">
      <w:pPr>
        <w:pStyle w:val="Heading5"/>
      </w:pPr>
      <w:r>
        <w:t>Supportive Study PSE-302</w:t>
      </w:r>
    </w:p>
    <w:p w:rsidR="002C5117" w:rsidRPr="00500DAF" w:rsidRDefault="00CE429D" w:rsidP="00500DAF">
      <w:r>
        <w:t xml:space="preserve">Study PSE-302 was a 4 </w:t>
      </w:r>
      <w:proofErr w:type="gramStart"/>
      <w:r w:rsidR="002C5117" w:rsidRPr="00500DAF">
        <w:t>arm</w:t>
      </w:r>
      <w:proofErr w:type="gramEnd"/>
      <w:r w:rsidR="002C5117" w:rsidRPr="00500DAF">
        <w:t>, randomised, open</w:t>
      </w:r>
      <w:r>
        <w:t xml:space="preserve"> label, multi</w:t>
      </w:r>
      <w:r w:rsidR="002C5117" w:rsidRPr="00500DAF">
        <w:t>centre, 12 month study to provide supportive efficacy as well as additional safety data (endometrial biopsies).</w:t>
      </w:r>
    </w:p>
    <w:p w:rsidR="002C5117" w:rsidRPr="00500DAF" w:rsidRDefault="002C5117" w:rsidP="00500DAF">
      <w:r w:rsidRPr="00500DAF">
        <w:t>The study protocol, inclusion and exclusion criteria were similar to the pivotal efficacy study PSE-301. The study population comprised 400 women (n</w:t>
      </w:r>
      <w:r w:rsidR="00CE429D">
        <w:t xml:space="preserve"> </w:t>
      </w:r>
      <w:r w:rsidRPr="00500DAF">
        <w:t>=</w:t>
      </w:r>
      <w:r w:rsidR="00CE429D">
        <w:t xml:space="preserve"> </w:t>
      </w:r>
      <w:r w:rsidRPr="00500DAF">
        <w:t>100 per arm). The treatment arms were DP3-84/10 (Seasonique, n = 95 treated) and DP3-84/30 (n = 95 treated) as above, as well as the two additional arms:</w:t>
      </w:r>
    </w:p>
    <w:p w:rsidR="002C5117" w:rsidRPr="00500DAF" w:rsidRDefault="002C5117" w:rsidP="00500DAF">
      <w:pPr>
        <w:pStyle w:val="ListBullet"/>
      </w:pPr>
      <w:r w:rsidRPr="00500DAF">
        <w:t xml:space="preserve">DP3-25/30 (a 28-day cycle preparation of 25 days of ethinyloestradiol 30 </w:t>
      </w:r>
      <w:r w:rsidR="00CE429D">
        <w:t>µg/</w:t>
      </w:r>
      <w:r w:rsidRPr="00500DAF">
        <w:t xml:space="preserve">levonorgestrel 150 </w:t>
      </w:r>
      <w:r w:rsidR="00CE429D">
        <w:t>µg</w:t>
      </w:r>
      <w:r w:rsidRPr="00500DAF">
        <w:t xml:space="preserve"> followed by 3 days of ethinyloestradiol 30 </w:t>
      </w:r>
      <w:r w:rsidR="00CE429D">
        <w:t>µg</w:t>
      </w:r>
      <w:r w:rsidRPr="00500DAF">
        <w:t>; n = 89 treated)</w:t>
      </w:r>
    </w:p>
    <w:p w:rsidR="002A2BB1" w:rsidRDefault="002C5117" w:rsidP="00500DAF">
      <w:pPr>
        <w:pStyle w:val="ListBullet"/>
      </w:pPr>
      <w:r w:rsidRPr="00500DAF">
        <w:t xml:space="preserve">Nordette (commercially available 28-day cycle preparation of ethinyloestradiol 30 </w:t>
      </w:r>
      <w:r w:rsidR="00CE429D">
        <w:t>µg/</w:t>
      </w:r>
      <w:r w:rsidRPr="00500DAF">
        <w:t xml:space="preserve">levonorgestrel 150 </w:t>
      </w:r>
      <w:r w:rsidR="00CE429D">
        <w:t>µg</w:t>
      </w:r>
      <w:r w:rsidR="00CE429D" w:rsidRPr="00500DAF">
        <w:t xml:space="preserve"> </w:t>
      </w:r>
      <w:r w:rsidRPr="00500DAF">
        <w:t>administered for 21 days, followed by 7 days of placebo tablets; n = 93 treated),</w:t>
      </w:r>
    </w:p>
    <w:p w:rsidR="002C5117" w:rsidRPr="00500DAF" w:rsidRDefault="002C5117" w:rsidP="00500DAF">
      <w:r w:rsidRPr="00500DAF">
        <w:lastRenderedPageBreak/>
        <w:t xml:space="preserve">The </w:t>
      </w:r>
      <w:r w:rsidR="00CE429D">
        <w:t>s</w:t>
      </w:r>
      <w:r w:rsidRPr="00500DAF">
        <w:t>ponsor states the sample size of 400 patients was chosen to provide adequate information regarding endometrial biopsy findings; assuming a discontinuation rate of 50%, 40 patients per treatment arm was considered a reasonable number for the clinical evaluation of endometrial biopsy results.</w:t>
      </w:r>
    </w:p>
    <w:p w:rsidR="002A2BB1" w:rsidRDefault="002C5117" w:rsidP="00500DAF">
      <w:r w:rsidRPr="00500DAF">
        <w:t>The study was completed by 46 (48.4%), 40 (42.1%), 44 (49.4%) and 47 (50.5%) of subjects in the DP3-84/10, DP3-84/30, DP3-25/30 and Nordette cohorts</w:t>
      </w:r>
      <w:r w:rsidR="00CE429D">
        <w:t>,</w:t>
      </w:r>
      <w:r w:rsidRPr="00500DAF">
        <w:t xml:space="preserve"> respectively.</w:t>
      </w:r>
    </w:p>
    <w:p w:rsidR="002A2BB1" w:rsidRDefault="002C5117" w:rsidP="00500DAF">
      <w:r w:rsidRPr="00500DAF">
        <w:t>The treatment failure rates for the comp</w:t>
      </w:r>
      <w:r w:rsidR="00CE429D">
        <w:t>liant use subset of the PITT are shown. While</w:t>
      </w:r>
      <w:r w:rsidRPr="00500DAF">
        <w:t xml:space="preserve"> the numbers of on-treatment pregnancies (n = 1 for each of the DP3-84/10, DP3-84/30 and Nordette treatment groups, and n = 0 for the DP3-25/30 group) were small, the </w:t>
      </w:r>
      <w:r w:rsidR="00A3697E">
        <w:t>c</w:t>
      </w:r>
      <w:r w:rsidRPr="00500DAF">
        <w:t xml:space="preserve">linical </w:t>
      </w:r>
      <w:r w:rsidR="00A3697E">
        <w:t>e</w:t>
      </w:r>
      <w:r w:rsidRPr="00500DAF">
        <w:t xml:space="preserve">valuator noted the results were consistent with the contraceptive efficacy data of the pivotal </w:t>
      </w:r>
      <w:r w:rsidR="00A3697E">
        <w:t>S</w:t>
      </w:r>
      <w:r w:rsidRPr="00500DAF">
        <w:t>tudy PSE-301.</w:t>
      </w:r>
    </w:p>
    <w:p w:rsidR="002C5117" w:rsidRDefault="002C5117" w:rsidP="00500DAF">
      <w:pPr>
        <w:pStyle w:val="Heading4"/>
      </w:pPr>
      <w:r w:rsidRPr="00141882">
        <w:t>Safety</w:t>
      </w:r>
    </w:p>
    <w:p w:rsidR="002A2BB1" w:rsidRDefault="002C5117" w:rsidP="00500DAF">
      <w:r w:rsidRPr="00500DAF">
        <w:t xml:space="preserve">The majority of exposure to DP3-84/10 and comparators in the clinical development program was of up to 12 months duration and occurred in the pivotal Study PSE-301, and supportive </w:t>
      </w:r>
      <w:r w:rsidR="00655F3B">
        <w:t>S</w:t>
      </w:r>
      <w:r w:rsidRPr="00500DAF">
        <w:t>tudy PSE-302. Longer</w:t>
      </w:r>
      <w:r w:rsidR="00655F3B">
        <w:t xml:space="preserve"> </w:t>
      </w:r>
      <w:r w:rsidRPr="00500DAF">
        <w:t>term safety data were provided by Study PSE-304, a non-randomised extension study of a subset of subjects who had completed studies PSE-301 and PSE-302. This study included 320 subjects treated with DP3-84/10 (n</w:t>
      </w:r>
      <w:r w:rsidR="00231B30">
        <w:t xml:space="preserve"> </w:t>
      </w:r>
      <w:r w:rsidRPr="00500DAF">
        <w:t>=</w:t>
      </w:r>
      <w:r w:rsidR="00231B30">
        <w:t xml:space="preserve"> </w:t>
      </w:r>
      <w:r w:rsidRPr="00500DAF">
        <w:t>173 treated) or DP3-84/30 (n</w:t>
      </w:r>
      <w:r w:rsidR="00231B30">
        <w:t xml:space="preserve"> </w:t>
      </w:r>
      <w:r w:rsidRPr="00500DAF">
        <w:t>=</w:t>
      </w:r>
      <w:r w:rsidR="00231B30">
        <w:t xml:space="preserve"> </w:t>
      </w:r>
      <w:r w:rsidRPr="00500DAF">
        <w:t>147 treated; subsequently changed to DP3-84/10 approximately midway through the study when this formulation was selected f</w:t>
      </w:r>
      <w:r w:rsidR="00231B30">
        <w:t>or marketing approval in the US</w:t>
      </w:r>
      <w:r w:rsidRPr="00500DAF">
        <w:t>). This study was to provide data for 5 years follow up, although the study report provided data for maximum duration of 3 years (n</w:t>
      </w:r>
      <w:r w:rsidR="00231B30">
        <w:t xml:space="preserve"> </w:t>
      </w:r>
      <w:r w:rsidRPr="00500DAF">
        <w:t>=</w:t>
      </w:r>
      <w:r w:rsidR="00231B30">
        <w:t xml:space="preserve"> </w:t>
      </w:r>
      <w:r w:rsidRPr="00500DAF">
        <w:t>116 subjects treated).</w:t>
      </w:r>
    </w:p>
    <w:p w:rsidR="002A2BB1" w:rsidRDefault="002C5117" w:rsidP="00500DAF">
      <w:r w:rsidRPr="00500DAF">
        <w:t>Additional safety data were provided by Studies DR-PSE-305, DR-PSE-306 and DR-105-202.</w:t>
      </w:r>
    </w:p>
    <w:p w:rsidR="002C5117" w:rsidRPr="00500DAF" w:rsidRDefault="002C5117" w:rsidP="00500DAF">
      <w:r w:rsidRPr="00500DAF">
        <w:t xml:space="preserve">The </w:t>
      </w:r>
      <w:r w:rsidR="00231B30">
        <w:t>c</w:t>
      </w:r>
      <w:r w:rsidRPr="00500DAF">
        <w:t xml:space="preserve">linical </w:t>
      </w:r>
      <w:r w:rsidR="00231B30">
        <w:t>e</w:t>
      </w:r>
      <w:r w:rsidRPr="00500DAF">
        <w:t>valuator calculated the overall exposure to Seasonique in the submitted studies to be approximately 1160 woman-years (or 15, 080 completed 28-day cycles), with a similar amount of exposure to comparator products (mostly to the similar 84 day cycle product DP3-84/30).</w:t>
      </w:r>
    </w:p>
    <w:p w:rsidR="002C5117" w:rsidRPr="00500DAF" w:rsidRDefault="002C5117" w:rsidP="00500DAF">
      <w:r w:rsidRPr="00500DAF">
        <w:t>In the pivotal study PSE-301, the most frequent treatment</w:t>
      </w:r>
      <w:r w:rsidR="0083545F">
        <w:t xml:space="preserve"> </w:t>
      </w:r>
      <w:r w:rsidRPr="00500DAF">
        <w:t>emergent AE was inter</w:t>
      </w:r>
      <w:r w:rsidR="0083545F">
        <w:t>-</w:t>
      </w:r>
      <w:r w:rsidRPr="00500DAF">
        <w:t>menstrual bleeding (11.6%), and menorrhagia. Other AEs included those commonly experienced with COC preparations (nausea, acne NOS, weight increased, headache and breast tenderness) and were mostly balanced across the DP3-84/10 and DP3-84/30 treatment</w:t>
      </w:r>
      <w:r w:rsidR="0074125D">
        <w:t xml:space="preserve"> groups (Table 7).</w:t>
      </w:r>
    </w:p>
    <w:p w:rsidR="002C5117" w:rsidRDefault="0074125D" w:rsidP="0074125D">
      <w:pPr>
        <w:pStyle w:val="TableTitle"/>
      </w:pPr>
      <w:r>
        <w:lastRenderedPageBreak/>
        <w:t>Table 7:</w:t>
      </w:r>
      <w:r w:rsidRPr="0074125D">
        <w:t xml:space="preserve"> Study PSE-301: Treatment-related </w:t>
      </w:r>
      <w:r w:rsidR="0083545F">
        <w:t>AEs</w:t>
      </w:r>
      <w:r w:rsidRPr="0074125D">
        <w:t xml:space="preserve"> </w:t>
      </w:r>
      <w:r w:rsidR="0083545F">
        <w:t>o</w:t>
      </w:r>
      <w:r w:rsidRPr="0074125D">
        <w:t xml:space="preserve">ccurring in 2% or </w:t>
      </w:r>
      <w:r w:rsidR="0083545F">
        <w:t>m</w:t>
      </w:r>
      <w:r w:rsidRPr="0074125D">
        <w:t xml:space="preserve">ore of </w:t>
      </w:r>
      <w:r w:rsidR="0083545F">
        <w:t>a</w:t>
      </w:r>
      <w:r w:rsidRPr="0074125D">
        <w:t xml:space="preserve">ll </w:t>
      </w:r>
      <w:r w:rsidR="0083545F">
        <w:t>t</w:t>
      </w:r>
      <w:r w:rsidRPr="0074125D">
        <w:t xml:space="preserve">reated </w:t>
      </w:r>
      <w:r w:rsidR="0083545F">
        <w:t>p</w:t>
      </w:r>
      <w:r w:rsidRPr="0074125D">
        <w:t>atients (Safety)</w:t>
      </w:r>
      <w:r>
        <w:t>.</w:t>
      </w:r>
    </w:p>
    <w:p w:rsidR="0074125D" w:rsidRPr="00A43F95" w:rsidRDefault="00A43F95" w:rsidP="00A43F95">
      <w:r>
        <w:rPr>
          <w:noProof/>
          <w:lang w:eastAsia="en-AU"/>
        </w:rPr>
        <w:drawing>
          <wp:inline distT="0" distB="0" distL="0" distR="0" wp14:anchorId="0F1D1B2D" wp14:editId="6AA84850">
            <wp:extent cx="5041073" cy="2897001"/>
            <wp:effectExtent l="0" t="0" r="7620" b="0"/>
            <wp:docPr id="7" name="Picture 7" descr="Table 7: Study PSE-301: Treatment-related AEs occurring in 2% or more of all treated patients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39008" cy="2895814"/>
                    </a:xfrm>
                    <a:prstGeom prst="rect">
                      <a:avLst/>
                    </a:prstGeom>
                  </pic:spPr>
                </pic:pic>
              </a:graphicData>
            </a:graphic>
          </wp:inline>
        </w:drawing>
      </w:r>
    </w:p>
    <w:p w:rsidR="00A43F95" w:rsidRPr="00A43F95" w:rsidRDefault="00A43F95" w:rsidP="00A43F95">
      <w:r w:rsidRPr="00A43F95">
        <w:t>The AE profile of the supportive studies was generally similar.</w:t>
      </w:r>
    </w:p>
    <w:p w:rsidR="002A2BB1" w:rsidRDefault="00A43F95" w:rsidP="00A43F95">
      <w:r w:rsidRPr="00A43F95">
        <w:t xml:space="preserve">In the pivotal </w:t>
      </w:r>
      <w:r w:rsidR="009F00F9">
        <w:t>S</w:t>
      </w:r>
      <w:r w:rsidRPr="00A43F95">
        <w:t>tudy PSE-301, 6.7% of Seasonique subjects, and 8.5% of DP3-84/30 subjects discontinued due to AEs, mostly due to inter</w:t>
      </w:r>
      <w:r w:rsidR="009F00F9">
        <w:t>-</w:t>
      </w:r>
      <w:r w:rsidRPr="00A43F95">
        <w:t>menstrual bleeding or menorrhagia; other discontinuations were due to various symptoms including headache, acne, and breast tenderness.</w:t>
      </w:r>
    </w:p>
    <w:p w:rsidR="00A43F95" w:rsidRPr="001E594B" w:rsidRDefault="009F00F9" w:rsidP="00A43F95">
      <w:pPr>
        <w:pStyle w:val="Heading5"/>
      </w:pPr>
      <w:r>
        <w:t>AEs</w:t>
      </w:r>
      <w:r w:rsidR="00A43F95" w:rsidRPr="00E83099">
        <w:t xml:space="preserve"> of </w:t>
      </w:r>
      <w:r>
        <w:t>s</w:t>
      </w:r>
      <w:r w:rsidR="00A43F95" w:rsidRPr="00E83099">
        <w:t xml:space="preserve">pecial </w:t>
      </w:r>
      <w:r>
        <w:t>i</w:t>
      </w:r>
      <w:r w:rsidR="00A43F95" w:rsidRPr="00E83099">
        <w:t>nterest</w:t>
      </w:r>
    </w:p>
    <w:p w:rsidR="00A43F95" w:rsidRPr="00A43F95" w:rsidRDefault="00A43F95" w:rsidP="00A43F95">
      <w:pPr>
        <w:pStyle w:val="Heading6"/>
      </w:pPr>
      <w:r w:rsidRPr="00A43F95">
        <w:t xml:space="preserve">Scheduled and </w:t>
      </w:r>
      <w:r w:rsidR="009F00F9">
        <w:t>u</w:t>
      </w:r>
      <w:r w:rsidRPr="00A43F95">
        <w:t xml:space="preserve">nscheduled </w:t>
      </w:r>
      <w:r w:rsidR="009F00F9">
        <w:t>b</w:t>
      </w:r>
      <w:r w:rsidRPr="00A43F95">
        <w:t>leeding</w:t>
      </w:r>
    </w:p>
    <w:p w:rsidR="00A43F95" w:rsidRPr="00A43F95" w:rsidRDefault="00A43F95" w:rsidP="00A43F95">
      <w:r w:rsidRPr="00A43F95">
        <w:t xml:space="preserve">Scheduled (withdrawal) bleeding is </w:t>
      </w:r>
      <w:proofErr w:type="gramStart"/>
      <w:r w:rsidRPr="00A43F95">
        <w:t>bleeding/spotting</w:t>
      </w:r>
      <w:proofErr w:type="gramEnd"/>
      <w:r w:rsidRPr="00A43F95">
        <w:t xml:space="preserve"> during the 7 days of </w:t>
      </w:r>
      <w:proofErr w:type="spellStart"/>
      <w:r w:rsidRPr="00A43F95">
        <w:t>ethinyloestradiol</w:t>
      </w:r>
      <w:proofErr w:type="spellEnd"/>
      <w:r w:rsidRPr="00A43F95">
        <w:t xml:space="preserve"> monotherapy or placebo. Unscheduled bleeding is bleeding/spotting which occurs during the active combination oestrogen/progestogen administration.</w:t>
      </w:r>
    </w:p>
    <w:p w:rsidR="00A43F95" w:rsidRPr="00A43F95" w:rsidRDefault="00A43F95" w:rsidP="00A43F95">
      <w:r w:rsidRPr="00A43F95">
        <w:t xml:space="preserve">In pivotal </w:t>
      </w:r>
      <w:r w:rsidR="009F00F9">
        <w:t>S</w:t>
      </w:r>
      <w:r w:rsidRPr="00A43F95">
        <w:t>tudy PSE-301, the total number of days of total bleeding and/or spotting per cycle was noted to be highest in the first cycle, diminishing by cycle 3 and 4</w:t>
      </w:r>
      <w:r>
        <w:t xml:space="preserve"> (Table 8</w:t>
      </w:r>
      <w:r w:rsidRPr="00A43F95">
        <w:t>)</w:t>
      </w:r>
      <w:r>
        <w:t>.</w:t>
      </w:r>
    </w:p>
    <w:p w:rsidR="00A43F95" w:rsidRDefault="00A43F95" w:rsidP="00A43F95">
      <w:pPr>
        <w:pStyle w:val="TableTitle"/>
      </w:pPr>
      <w:r>
        <w:t>Table 8:</w:t>
      </w:r>
      <w:r w:rsidRPr="0074125D">
        <w:t xml:space="preserve"> </w:t>
      </w:r>
      <w:r w:rsidR="003B3CE4" w:rsidRPr="003B3CE4">
        <w:t>Total number of days of total bleeding and/or spotting per cycle (complete cycles only) – patients with at least one complete cycle of treatment (ITT)</w:t>
      </w:r>
      <w:r>
        <w:t>.</w:t>
      </w:r>
    </w:p>
    <w:p w:rsidR="0074125D" w:rsidRDefault="0088611C" w:rsidP="00A43F95">
      <w:r>
        <w:rPr>
          <w:noProof/>
          <w:lang w:eastAsia="en-AU"/>
        </w:rPr>
        <w:drawing>
          <wp:inline distT="0" distB="0" distL="0" distR="0" wp14:anchorId="54EB2364" wp14:editId="5BB9969B">
            <wp:extent cx="4246631" cy="1605644"/>
            <wp:effectExtent l="0" t="0" r="1905" b="0"/>
            <wp:docPr id="8" name="Picture 8" descr="Table 8: Total number of days of total bleeding and/or spotting per cycle (complete cycles only) – patients with at least one complete cycle of treatment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46159" cy="1605466"/>
                    </a:xfrm>
                    <a:prstGeom prst="rect">
                      <a:avLst/>
                    </a:prstGeom>
                  </pic:spPr>
                </pic:pic>
              </a:graphicData>
            </a:graphic>
          </wp:inline>
        </w:drawing>
      </w:r>
    </w:p>
    <w:p w:rsidR="00167021" w:rsidRPr="00167021" w:rsidRDefault="00167021" w:rsidP="00167021">
      <w:r w:rsidRPr="00167021">
        <w:t xml:space="preserve">The </w:t>
      </w:r>
      <w:r w:rsidR="00B6537C">
        <w:t>c</w:t>
      </w:r>
      <w:r w:rsidRPr="00167021">
        <w:t xml:space="preserve">linical </w:t>
      </w:r>
      <w:r w:rsidR="00B6537C">
        <w:t>e</w:t>
      </w:r>
      <w:r w:rsidRPr="00167021">
        <w:t>valuator noted the mean (and SD) values to be much higher than the median, suggesting higher rates of bleeding for a substantial proportion of subjects. In terms of unscheduled bleeding (generally considered less acceptable to users), this pattern was again observed; by cycle 4 the mean (SD) number of days of unscheduled bleeding/spotting per 91 day cycle had reduced to 7.6 (9.37) [3.2 (5.</w:t>
      </w:r>
      <w:r w:rsidR="00B6537C">
        <w:t xml:space="preserve">4) days for bleeding only], versus </w:t>
      </w:r>
      <w:r w:rsidRPr="00167021">
        <w:t>median value per patient month of 0.3.</w:t>
      </w:r>
    </w:p>
    <w:p w:rsidR="00167021" w:rsidRPr="00167021" w:rsidRDefault="00167021" w:rsidP="00167021">
      <w:r w:rsidRPr="00167021">
        <w:lastRenderedPageBreak/>
        <w:t xml:space="preserve">Study PSE-302 provided a comparison of the bleeding profile of Seasonique with conventional 28-day cycle preparation of ethinyloestradiol 30 </w:t>
      </w:r>
      <w:r w:rsidR="00B6537C">
        <w:t>µg/</w:t>
      </w:r>
      <w:r w:rsidRPr="00167021">
        <w:t>l</w:t>
      </w:r>
      <w:r w:rsidR="00B6537C">
        <w:t>evonorgestrel 150 µg (Nordette</w:t>
      </w:r>
      <w:r w:rsidRPr="00167021">
        <w:t xml:space="preserve">). The duration of withdrawal bleeding was similar for </w:t>
      </w:r>
      <w:proofErr w:type="spellStart"/>
      <w:r w:rsidRPr="00167021">
        <w:t>Seasonique</w:t>
      </w:r>
      <w:proofErr w:type="spellEnd"/>
      <w:r w:rsidRPr="00167021">
        <w:t xml:space="preserve"> a</w:t>
      </w:r>
      <w:r w:rsidR="00B6537C">
        <w:t xml:space="preserve">nd Nordette (mean 2.33 days versus </w:t>
      </w:r>
      <w:r w:rsidRPr="00167021">
        <w:t xml:space="preserve">2.07 days), with the frequency of withdrawal bleeds over 12 months of use much less on Seasonique as expected (4 times </w:t>
      </w:r>
      <w:r w:rsidR="00B6537C">
        <w:t>versus</w:t>
      </w:r>
      <w:r w:rsidRPr="00167021">
        <w:t xml:space="preserve"> 13 times with Nordette). Whilst the total number of unscheduled bleeding days over the 12 months was almost double for Seasonique users compared with Nordette users (mean 20.1 </w:t>
      </w:r>
      <w:r w:rsidR="00B6537C">
        <w:t>versus</w:t>
      </w:r>
      <w:r w:rsidRPr="00167021">
        <w:t xml:space="preserve"> 11.3 days), the </w:t>
      </w:r>
      <w:r w:rsidR="00B6537C">
        <w:t>c</w:t>
      </w:r>
      <w:r w:rsidRPr="00167021">
        <w:t xml:space="preserve">linical </w:t>
      </w:r>
      <w:r w:rsidR="00B6537C">
        <w:t>e</w:t>
      </w:r>
      <w:r w:rsidRPr="00167021">
        <w:t>valuator noted these conclusions were based on the first year of use, with the data suggesting an improvement in bleeding (particularly unscheduled bleeding) over the course of the first year.</w:t>
      </w:r>
    </w:p>
    <w:p w:rsidR="002A2BB1" w:rsidRDefault="00167021" w:rsidP="00167021">
      <w:r w:rsidRPr="00167021">
        <w:t>Longer term data available from Study PSE-304 suggest a progressive reduction in unscheduled bleeding over the 3 years (12 cycles)</w:t>
      </w:r>
      <w:proofErr w:type="gramStart"/>
      <w:r w:rsidRPr="00167021">
        <w:t>,</w:t>
      </w:r>
      <w:proofErr w:type="gramEnd"/>
      <w:r w:rsidRPr="00167021">
        <w:t xml:space="preserve"> although the </w:t>
      </w:r>
      <w:r w:rsidR="00B6537C">
        <w:t>c</w:t>
      </w:r>
      <w:r w:rsidRPr="00167021">
        <w:t xml:space="preserve">linical </w:t>
      </w:r>
      <w:r w:rsidR="00B6537C">
        <w:t>e</w:t>
      </w:r>
      <w:r w:rsidRPr="00167021">
        <w:t>valuator commented the higher mean and median values in earlier cycles may be due in part to subjects dropping ou</w:t>
      </w:r>
      <w:r w:rsidR="00B6537C">
        <w:t>t due to unacceptable bleeding</w:t>
      </w:r>
      <w:r w:rsidRPr="00167021">
        <w:t>.</w:t>
      </w:r>
    </w:p>
    <w:p w:rsidR="00167021" w:rsidRPr="00EC205F" w:rsidRDefault="00167021" w:rsidP="00167021">
      <w:pPr>
        <w:pStyle w:val="Heading6"/>
      </w:pPr>
      <w:r w:rsidRPr="00EC205F">
        <w:t xml:space="preserve">Endometrial </w:t>
      </w:r>
      <w:r w:rsidR="002A2BB1">
        <w:t>h</w:t>
      </w:r>
      <w:r w:rsidRPr="00EC205F">
        <w:t>istology</w:t>
      </w:r>
    </w:p>
    <w:p w:rsidR="002A2BB1" w:rsidRDefault="00167021" w:rsidP="00167021">
      <w:r w:rsidRPr="00167021">
        <w:t>In Study PSE-302, endometrial biopsies were obtained from 372 randomised subjects prior to treatment, and from 226 subjects during the last treatment cycle (n = 63 [66.3%] Seasonique subjects). There were no cases of endometrial hyperplasia or other abnormal unexpected findings reported.</w:t>
      </w:r>
    </w:p>
    <w:p w:rsidR="00167021" w:rsidRPr="004E3154" w:rsidRDefault="00167021" w:rsidP="00167021">
      <w:pPr>
        <w:pStyle w:val="Heading6"/>
      </w:pPr>
      <w:r w:rsidRPr="004E3154">
        <w:t>BMD</w:t>
      </w:r>
    </w:p>
    <w:p w:rsidR="00167021" w:rsidRPr="00167021" w:rsidRDefault="00167021" w:rsidP="00167021">
      <w:r w:rsidRPr="00167021">
        <w:t>Study DR-105-202 was a Phase II, randomised, open</w:t>
      </w:r>
      <w:r w:rsidR="008C58B6">
        <w:t xml:space="preserve"> </w:t>
      </w:r>
      <w:r w:rsidRPr="00167021">
        <w:t>label, controlled study to assess the effects on bone mineral density (BMD) of Seasonique (n</w:t>
      </w:r>
      <w:r w:rsidR="008C58B6">
        <w:t xml:space="preserve"> </w:t>
      </w:r>
      <w:r w:rsidRPr="00167021">
        <w:t>=</w:t>
      </w:r>
      <w:r w:rsidR="008C58B6">
        <w:t xml:space="preserve"> </w:t>
      </w:r>
      <w:r w:rsidRPr="00167021">
        <w:t>421) compared with a 28-day cycle COC formulation (</w:t>
      </w:r>
      <w:proofErr w:type="spellStart"/>
      <w:r w:rsidRPr="00167021">
        <w:t>Lessina</w:t>
      </w:r>
      <w:proofErr w:type="spellEnd"/>
      <w:r w:rsidRPr="00167021">
        <w:t xml:space="preserve">; </w:t>
      </w:r>
      <w:proofErr w:type="spellStart"/>
      <w:r w:rsidRPr="00167021">
        <w:t>ethinyloestradiol</w:t>
      </w:r>
      <w:proofErr w:type="spellEnd"/>
      <w:r w:rsidRPr="00167021">
        <w:t xml:space="preserve"> 20 </w:t>
      </w:r>
      <w:r w:rsidR="008C58B6">
        <w:t>µg/</w:t>
      </w:r>
      <w:proofErr w:type="spellStart"/>
      <w:r w:rsidRPr="00167021">
        <w:t>levonorgestrel</w:t>
      </w:r>
      <w:proofErr w:type="spellEnd"/>
      <w:r w:rsidRPr="00167021">
        <w:t xml:space="preserve"> 100 </w:t>
      </w:r>
      <w:r w:rsidR="008C58B6">
        <w:t>µg</w:t>
      </w:r>
      <w:r w:rsidRPr="00167021">
        <w:t>; n</w:t>
      </w:r>
      <w:r w:rsidR="008C58B6">
        <w:t xml:space="preserve"> </w:t>
      </w:r>
      <w:r w:rsidRPr="00167021">
        <w:t>=</w:t>
      </w:r>
      <w:r w:rsidR="008C58B6">
        <w:t xml:space="preserve"> </w:t>
      </w:r>
      <w:r w:rsidRPr="00167021">
        <w:t>412) and control (n</w:t>
      </w:r>
      <w:r w:rsidR="008C58B6">
        <w:t xml:space="preserve"> </w:t>
      </w:r>
      <w:r w:rsidRPr="00167021">
        <w:t>=</w:t>
      </w:r>
      <w:r w:rsidR="008C58B6">
        <w:t xml:space="preserve"> </w:t>
      </w:r>
      <w:r w:rsidRPr="00167021">
        <w:t xml:space="preserve">437) in adolescent females (aged 12-18 years) over 12 months. The primary efficacy variable was the percent change in baseline to 12 months in lumbar spine BMD. Non-inferiority of Seasonique to control was demonstrated (as was non-inferiority of the active comparator </w:t>
      </w:r>
      <w:proofErr w:type="spellStart"/>
      <w:r w:rsidRPr="00167021">
        <w:t>Lessina</w:t>
      </w:r>
      <w:proofErr w:type="spellEnd"/>
      <w:r w:rsidRPr="00167021">
        <w:t xml:space="preserve"> to control).</w:t>
      </w:r>
    </w:p>
    <w:p w:rsidR="00167021" w:rsidRPr="0082397E" w:rsidRDefault="008C58B6" w:rsidP="00167021">
      <w:pPr>
        <w:pStyle w:val="Heading6"/>
      </w:pPr>
      <w:r>
        <w:t xml:space="preserve">Post </w:t>
      </w:r>
      <w:r w:rsidR="00167021" w:rsidRPr="0082397E">
        <w:t>marketing experience</w:t>
      </w:r>
    </w:p>
    <w:p w:rsidR="002A2BB1" w:rsidRDefault="00167021" w:rsidP="00167021">
      <w:r w:rsidRPr="00167021">
        <w:t xml:space="preserve">The </w:t>
      </w:r>
      <w:r w:rsidR="008C58B6">
        <w:t>s</w:t>
      </w:r>
      <w:r w:rsidRPr="00167021">
        <w:t>ponsor stated over 1.5 million prescriptions were written for Seasonique from produc</w:t>
      </w:r>
      <w:r w:rsidR="00CD7B1A">
        <w:t>t launch (September 2006</w:t>
      </w:r>
      <w:r w:rsidRPr="00167021">
        <w:t xml:space="preserve">) up to December 2013, with an estimated exposure of 385,101 woman-years. There were 466 </w:t>
      </w:r>
      <w:r w:rsidR="00CD7B1A">
        <w:t>AEs</w:t>
      </w:r>
      <w:r w:rsidRPr="00167021">
        <w:t xml:space="preserve"> reported, most commonly related to vaginal bleeding. A tabulation of AEs by SO</w:t>
      </w:r>
      <w:r w:rsidR="00941C8E">
        <w:t>C reported to the FDA up to 29</w:t>
      </w:r>
      <w:r w:rsidRPr="00167021">
        <w:t xml:space="preserve"> June 2010 was provided. There were 363 AEs reported across a variety of SOCs, with the most frequent reported AE </w:t>
      </w:r>
      <w:proofErr w:type="spellStart"/>
      <w:r w:rsidRPr="00167021">
        <w:t>metrorrhagia</w:t>
      </w:r>
      <w:proofErr w:type="spellEnd"/>
      <w:r w:rsidRPr="00167021">
        <w:t xml:space="preserve"> (n = 60). The </w:t>
      </w:r>
      <w:r w:rsidR="00941C8E">
        <w:t>c</w:t>
      </w:r>
      <w:r w:rsidRPr="00167021">
        <w:t xml:space="preserve">linical </w:t>
      </w:r>
      <w:r w:rsidR="00941C8E">
        <w:t>e</w:t>
      </w:r>
      <w:r w:rsidRPr="00167021">
        <w:t>valuator did not consider any AE to be unexpected in the context of long term COC use.</w:t>
      </w:r>
    </w:p>
    <w:p w:rsidR="00167021" w:rsidRPr="00167021" w:rsidRDefault="00167021" w:rsidP="00167021">
      <w:r w:rsidRPr="00167021">
        <w:t>With regard to VTE and ATE, the following events were reported:</w:t>
      </w:r>
    </w:p>
    <w:p w:rsidR="00167021" w:rsidRPr="00167021" w:rsidRDefault="00167021" w:rsidP="00167021">
      <w:pPr>
        <w:pStyle w:val="ListBullet"/>
      </w:pPr>
      <w:r w:rsidRPr="00167021">
        <w:t>Vascular disorders SOC: DVT (n</w:t>
      </w:r>
      <w:r w:rsidR="00941C8E">
        <w:t xml:space="preserve"> </w:t>
      </w:r>
      <w:r w:rsidRPr="00167021">
        <w:t>=</w:t>
      </w:r>
      <w:r w:rsidR="00941C8E">
        <w:t xml:space="preserve"> </w:t>
      </w:r>
      <w:r w:rsidRPr="00167021">
        <w:t>2), thrombosis (n</w:t>
      </w:r>
      <w:r w:rsidR="00941C8E">
        <w:t xml:space="preserve"> </w:t>
      </w:r>
      <w:r w:rsidRPr="00167021">
        <w:t>=</w:t>
      </w:r>
      <w:r w:rsidR="00941C8E">
        <w:t xml:space="preserve"> </w:t>
      </w:r>
      <w:r w:rsidRPr="00167021">
        <w:t>4).</w:t>
      </w:r>
    </w:p>
    <w:p w:rsidR="00167021" w:rsidRPr="00167021" w:rsidRDefault="00167021" w:rsidP="00167021">
      <w:pPr>
        <w:pStyle w:val="ListBullet"/>
      </w:pPr>
      <w:r w:rsidRPr="00167021">
        <w:t>Respiratory, thoracic and mediastinal disorders SOC: pulmonary embolism (n</w:t>
      </w:r>
      <w:r w:rsidR="00941C8E">
        <w:t xml:space="preserve"> </w:t>
      </w:r>
      <w:r w:rsidRPr="00167021">
        <w:t>=</w:t>
      </w:r>
      <w:r w:rsidR="00941C8E">
        <w:t xml:space="preserve"> </w:t>
      </w:r>
      <w:r w:rsidRPr="00167021">
        <w:t>6), pulmonary thrombosis (n</w:t>
      </w:r>
      <w:r w:rsidR="00941C8E">
        <w:t xml:space="preserve"> </w:t>
      </w:r>
      <w:r w:rsidRPr="00167021">
        <w:t>=</w:t>
      </w:r>
      <w:r w:rsidR="00941C8E">
        <w:t xml:space="preserve"> </w:t>
      </w:r>
      <w:r w:rsidRPr="00167021">
        <w:t>2).</w:t>
      </w:r>
    </w:p>
    <w:p w:rsidR="00167021" w:rsidRPr="00167021" w:rsidRDefault="00167021" w:rsidP="00167021">
      <w:pPr>
        <w:pStyle w:val="ListBullet"/>
      </w:pPr>
      <w:r w:rsidRPr="00167021">
        <w:t>Nervous system disorders SOC: cerebral thrombosis (n</w:t>
      </w:r>
      <w:r w:rsidR="00941C8E">
        <w:t xml:space="preserve"> </w:t>
      </w:r>
      <w:r w:rsidRPr="00167021">
        <w:t>=</w:t>
      </w:r>
      <w:r w:rsidR="00941C8E">
        <w:t xml:space="preserve"> </w:t>
      </w:r>
      <w:r w:rsidRPr="00167021">
        <w:t>2), cerebrovascular accident (n</w:t>
      </w:r>
      <w:r w:rsidR="00941C8E">
        <w:t xml:space="preserve"> </w:t>
      </w:r>
      <w:r w:rsidRPr="00167021">
        <w:t>=</w:t>
      </w:r>
      <w:r w:rsidR="00941C8E">
        <w:t xml:space="preserve"> </w:t>
      </w:r>
      <w:r w:rsidRPr="00167021">
        <w:t>2)</w:t>
      </w:r>
    </w:p>
    <w:p w:rsidR="002A2BB1" w:rsidRDefault="00167021" w:rsidP="00167021">
      <w:r w:rsidRPr="00167021">
        <w:t>T</w:t>
      </w:r>
      <w:r w:rsidR="00941C8E">
        <w:t>he clinical evaluator noted VTE</w:t>
      </w:r>
      <w:r w:rsidRPr="00167021">
        <w:t>/ATE are too rare to be characterised by pre-market data, commenting the risk of same with Seasonique compared with other COCs with shorter cycles is unknown. In terms of post-market data, those events relating to VTE / ATE reported to the FDA (by preferred term), as noted above, were few (n</w:t>
      </w:r>
      <w:r w:rsidR="00941C8E">
        <w:t xml:space="preserve"> </w:t>
      </w:r>
      <w:r w:rsidRPr="00167021">
        <w:t>=</w:t>
      </w:r>
      <w:r w:rsidR="00941C8E">
        <w:t xml:space="preserve"> </w:t>
      </w:r>
      <w:r w:rsidRPr="00167021">
        <w:t xml:space="preserve">18 in total). As part of the Round 2 response, the </w:t>
      </w:r>
      <w:r w:rsidR="00941C8E">
        <w:t>s</w:t>
      </w:r>
      <w:r w:rsidRPr="00167021">
        <w:t xml:space="preserve">ponsor stated there is a post-marketing authorisation study planned to be conducted in the EU to compare the incidence of VTE (primary objective) and ATE (secondary objective) in users of Seasonique with users of a 28-day </w:t>
      </w:r>
      <w:r w:rsidRPr="00167021">
        <w:lastRenderedPageBreak/>
        <w:t>cycle levonorgestrel containing COC (Study protocol submitted to EU Authorities November 2015). Interim analysis to be conducted at 1 year post-launch in Europe, and final analysis when data for at least three years post launch available.</w:t>
      </w:r>
    </w:p>
    <w:p w:rsidR="008E7846" w:rsidRDefault="00386150" w:rsidP="007B6132">
      <w:pPr>
        <w:pStyle w:val="Heading3"/>
        <w:rPr>
          <w:lang w:eastAsia="en-AU"/>
        </w:rPr>
      </w:pPr>
      <w:bookmarkStart w:id="130" w:name="_Toc468181721"/>
      <w:r>
        <w:rPr>
          <w:lang w:eastAsia="en-AU"/>
        </w:rPr>
        <w:t>Risk m</w:t>
      </w:r>
      <w:r w:rsidR="008E7846">
        <w:rPr>
          <w:lang w:eastAsia="en-AU"/>
        </w:rPr>
        <w:t xml:space="preserve">anagement </w:t>
      </w:r>
      <w:r>
        <w:rPr>
          <w:lang w:eastAsia="en-AU"/>
        </w:rPr>
        <w:t>p</w:t>
      </w:r>
      <w:r w:rsidR="008E7846">
        <w:rPr>
          <w:lang w:eastAsia="en-AU"/>
        </w:rPr>
        <w:t>lan</w:t>
      </w:r>
      <w:bookmarkEnd w:id="129"/>
      <w:bookmarkEnd w:id="130"/>
    </w:p>
    <w:p w:rsidR="00167021" w:rsidRDefault="00167021" w:rsidP="00167021">
      <w:pPr>
        <w:spacing w:after="0" w:line="240" w:lineRule="auto"/>
        <w:jc w:val="both"/>
        <w:rPr>
          <w:rFonts w:asciiTheme="minorHAnsi" w:hAnsiTheme="minorHAnsi"/>
        </w:rPr>
      </w:pPr>
      <w:r>
        <w:rPr>
          <w:rFonts w:asciiTheme="minorHAnsi" w:hAnsiTheme="minorHAnsi"/>
        </w:rPr>
        <w:t>Summary of safety concerns</w:t>
      </w:r>
      <w:r w:rsidR="008338CF">
        <w:rPr>
          <w:rFonts w:asciiTheme="minorHAnsi" w:hAnsiTheme="minorHAnsi"/>
        </w:rPr>
        <w:t xml:space="preserve"> are shown in Table 9.</w:t>
      </w:r>
    </w:p>
    <w:p w:rsidR="008338CF" w:rsidRPr="004B50F5" w:rsidRDefault="008338CF" w:rsidP="004B50F5">
      <w:pPr>
        <w:pStyle w:val="TableTitle"/>
      </w:pPr>
      <w:r w:rsidRPr="004B50F5">
        <w:t xml:space="preserve">Table 9: </w:t>
      </w:r>
      <w:r w:rsidR="00FB3A9A">
        <w:t>Summary of safety concerns</w:t>
      </w:r>
    </w:p>
    <w:tbl>
      <w:tblPr>
        <w:tblStyle w:val="TableGrid"/>
        <w:tblW w:w="0" w:type="auto"/>
        <w:tblLook w:val="04A0" w:firstRow="1" w:lastRow="0" w:firstColumn="1" w:lastColumn="0" w:noHBand="0" w:noVBand="1"/>
      </w:tblPr>
      <w:tblGrid>
        <w:gridCol w:w="2235"/>
        <w:gridCol w:w="5528"/>
      </w:tblGrid>
      <w:tr w:rsidR="00167021" w:rsidRPr="004B50F5" w:rsidTr="00FB3A9A">
        <w:tc>
          <w:tcPr>
            <w:tcW w:w="2235" w:type="dxa"/>
            <w:shd w:val="clear" w:color="auto" w:fill="006DA7"/>
          </w:tcPr>
          <w:p w:rsidR="00167021" w:rsidRPr="00FB3A9A" w:rsidRDefault="00167021" w:rsidP="00FB3A9A">
            <w:pPr>
              <w:rPr>
                <w:b/>
                <w:color w:val="FFFFFF" w:themeColor="background1"/>
              </w:rPr>
            </w:pPr>
            <w:r w:rsidRPr="00FB3A9A">
              <w:rPr>
                <w:b/>
                <w:color w:val="FFFFFF" w:themeColor="background1"/>
              </w:rPr>
              <w:t>Important identified risks</w:t>
            </w:r>
          </w:p>
        </w:tc>
        <w:tc>
          <w:tcPr>
            <w:tcW w:w="5528" w:type="dxa"/>
          </w:tcPr>
          <w:p w:rsidR="00167021" w:rsidRPr="004B50F5" w:rsidRDefault="00167021" w:rsidP="00FB3A9A">
            <w:r w:rsidRPr="004B50F5">
              <w:t>VTE</w:t>
            </w:r>
          </w:p>
          <w:p w:rsidR="00167021" w:rsidRPr="004B50F5" w:rsidRDefault="00167021" w:rsidP="00FB3A9A">
            <w:r w:rsidRPr="004B50F5">
              <w:t>ATE</w:t>
            </w:r>
          </w:p>
          <w:p w:rsidR="00167021" w:rsidRPr="004B50F5" w:rsidRDefault="00167021" w:rsidP="00FB3A9A">
            <w:r w:rsidRPr="004B50F5">
              <w:t>Liver tumours (benign and malignant)</w:t>
            </w:r>
          </w:p>
          <w:p w:rsidR="00167021" w:rsidRPr="004B50F5" w:rsidRDefault="00167021" w:rsidP="00FB3A9A">
            <w:r w:rsidRPr="004B50F5">
              <w:t>Cycle disorders</w:t>
            </w:r>
          </w:p>
          <w:p w:rsidR="00167021" w:rsidRPr="004B50F5" w:rsidRDefault="00167021" w:rsidP="00FB3A9A">
            <w:r w:rsidRPr="004B50F5">
              <w:t>Depression</w:t>
            </w:r>
          </w:p>
          <w:p w:rsidR="00167021" w:rsidRPr="004B50F5" w:rsidRDefault="00167021" w:rsidP="00FB3A9A">
            <w:r w:rsidRPr="004B50F5">
              <w:t>Effect on hereditary angioedema</w:t>
            </w:r>
          </w:p>
        </w:tc>
      </w:tr>
      <w:tr w:rsidR="00167021" w:rsidRPr="004B50F5" w:rsidTr="00FB3A9A">
        <w:tc>
          <w:tcPr>
            <w:tcW w:w="2235" w:type="dxa"/>
            <w:shd w:val="clear" w:color="auto" w:fill="006DA7"/>
          </w:tcPr>
          <w:p w:rsidR="00167021" w:rsidRPr="00FB3A9A" w:rsidRDefault="00167021" w:rsidP="00FB3A9A">
            <w:pPr>
              <w:rPr>
                <w:b/>
                <w:color w:val="FFFFFF" w:themeColor="background1"/>
              </w:rPr>
            </w:pPr>
            <w:r w:rsidRPr="00FB3A9A">
              <w:rPr>
                <w:b/>
                <w:color w:val="FFFFFF" w:themeColor="background1"/>
              </w:rPr>
              <w:t>Important potential risks</w:t>
            </w:r>
          </w:p>
        </w:tc>
        <w:tc>
          <w:tcPr>
            <w:tcW w:w="5528" w:type="dxa"/>
          </w:tcPr>
          <w:p w:rsidR="00167021" w:rsidRPr="004B50F5" w:rsidRDefault="00167021" w:rsidP="00FB3A9A">
            <w:r w:rsidRPr="004B50F5">
              <w:t>Breast cancer</w:t>
            </w:r>
          </w:p>
          <w:p w:rsidR="00167021" w:rsidRPr="004B50F5" w:rsidRDefault="00167021" w:rsidP="00FB3A9A">
            <w:r w:rsidRPr="004B50F5">
              <w:t>Cervical dysplasia/cancer</w:t>
            </w:r>
          </w:p>
          <w:p w:rsidR="00167021" w:rsidRPr="004B50F5" w:rsidRDefault="00167021" w:rsidP="00FB3A9A">
            <w:r w:rsidRPr="004B50F5">
              <w:t>Decreased bone density in adolescents</w:t>
            </w:r>
          </w:p>
          <w:p w:rsidR="00167021" w:rsidRPr="004B50F5" w:rsidRDefault="00167021" w:rsidP="00FB3A9A">
            <w:r w:rsidRPr="004B50F5">
              <w:t>Weight increase</w:t>
            </w:r>
          </w:p>
          <w:p w:rsidR="00167021" w:rsidRPr="004B50F5" w:rsidRDefault="00167021" w:rsidP="00FB3A9A">
            <w:r w:rsidRPr="004B50F5">
              <w:t>Unrecognised pregnancy</w:t>
            </w:r>
          </w:p>
          <w:p w:rsidR="00167021" w:rsidRPr="004B50F5" w:rsidRDefault="00167021" w:rsidP="00FB3A9A">
            <w:r w:rsidRPr="004B50F5">
              <w:t>Detrimental effects on Crohn’s disease and ulcerative colitis</w:t>
            </w:r>
          </w:p>
        </w:tc>
      </w:tr>
      <w:tr w:rsidR="00167021" w:rsidRPr="004B50F5" w:rsidTr="00FB3A9A">
        <w:tc>
          <w:tcPr>
            <w:tcW w:w="2235" w:type="dxa"/>
            <w:shd w:val="clear" w:color="auto" w:fill="006DA7"/>
          </w:tcPr>
          <w:p w:rsidR="00167021" w:rsidRPr="00FB3A9A" w:rsidRDefault="00167021" w:rsidP="00FB3A9A">
            <w:pPr>
              <w:rPr>
                <w:b/>
                <w:color w:val="FFFFFF" w:themeColor="background1"/>
              </w:rPr>
            </w:pPr>
            <w:r w:rsidRPr="00FB3A9A">
              <w:rPr>
                <w:b/>
                <w:color w:val="FFFFFF" w:themeColor="background1"/>
              </w:rPr>
              <w:t>Missing information</w:t>
            </w:r>
          </w:p>
        </w:tc>
        <w:tc>
          <w:tcPr>
            <w:tcW w:w="5528" w:type="dxa"/>
          </w:tcPr>
          <w:p w:rsidR="00167021" w:rsidRPr="004B50F5" w:rsidRDefault="00167021" w:rsidP="00FB3A9A">
            <w:r w:rsidRPr="004B50F5">
              <w:t>Use in women younger than 18</w:t>
            </w:r>
          </w:p>
          <w:p w:rsidR="00167021" w:rsidRPr="004B50F5" w:rsidRDefault="00167021" w:rsidP="00FB3A9A">
            <w:r w:rsidRPr="004B50F5">
              <w:t>Long term safety</w:t>
            </w:r>
          </w:p>
        </w:tc>
      </w:tr>
    </w:tbl>
    <w:p w:rsidR="002A2BB1" w:rsidRDefault="0028070D" w:rsidP="00A23EA0">
      <w:r>
        <w:t xml:space="preserve">There </w:t>
      </w:r>
      <w:proofErr w:type="gramStart"/>
      <w:r>
        <w:t>are</w:t>
      </w:r>
      <w:proofErr w:type="gramEnd"/>
      <w:r>
        <w:t xml:space="preserve"> no additional pharmacovigilance</w:t>
      </w:r>
      <w:r w:rsidR="00167021" w:rsidRPr="00A23EA0">
        <w:t xml:space="preserve"> or risk minimisation activities proposed for Australia.</w:t>
      </w:r>
    </w:p>
    <w:p w:rsidR="00167021" w:rsidRPr="00A23EA0" w:rsidRDefault="00167021" w:rsidP="00A23EA0">
      <w:r w:rsidRPr="00A23EA0">
        <w:t xml:space="preserve">As outlined above under “Safety”, a </w:t>
      </w:r>
      <w:r w:rsidR="0028070D">
        <w:t>PASS</w:t>
      </w:r>
      <w:r w:rsidRPr="00A23EA0">
        <w:t xml:space="preserve"> is planned in EU to compare rates of VTE in women exposed to Seasonique versus those on a levonorgestrel</w:t>
      </w:r>
      <w:r w:rsidR="0028070D">
        <w:t xml:space="preserve"> containing CHC with a 28 </w:t>
      </w:r>
      <w:r w:rsidRPr="00A23EA0">
        <w:t>day cycle. The protocol is currently under development. ATE and breast cancer are secondary outcomes.</w:t>
      </w:r>
    </w:p>
    <w:p w:rsidR="008E7846" w:rsidRDefault="00AA0ED0" w:rsidP="008E7846">
      <w:pPr>
        <w:pStyle w:val="Heading3"/>
      </w:pPr>
      <w:bookmarkStart w:id="131" w:name="_Toc247691531"/>
      <w:bookmarkStart w:id="132" w:name="_Toc314842515"/>
      <w:bookmarkStart w:id="133" w:name="_Toc468181722"/>
      <w:bookmarkStart w:id="134" w:name="_Toc196046505"/>
      <w:bookmarkStart w:id="135" w:name="_Toc196046949"/>
      <w:r>
        <w:t>Risk-benefit a</w:t>
      </w:r>
      <w:r w:rsidR="008E7846">
        <w:t>nalysis</w:t>
      </w:r>
      <w:bookmarkEnd w:id="131"/>
      <w:bookmarkEnd w:id="132"/>
      <w:bookmarkEnd w:id="133"/>
    </w:p>
    <w:p w:rsidR="002A2BB1" w:rsidRDefault="00D23139" w:rsidP="00D23139">
      <w:pPr>
        <w:pStyle w:val="Heading4"/>
      </w:pPr>
      <w:r w:rsidRPr="00D23139">
        <w:t>Delegate’s considerations</w:t>
      </w:r>
    </w:p>
    <w:p w:rsidR="002A2BB1" w:rsidRDefault="00EF1B33" w:rsidP="00EF1B33">
      <w:r w:rsidRPr="00EF1B33">
        <w:t>The contraceptive efficacy of Seasonique has been adequately established. The safety of combined oral contraceptives is well</w:t>
      </w:r>
      <w:r w:rsidR="0028070D">
        <w:t xml:space="preserve"> </w:t>
      </w:r>
      <w:r w:rsidRPr="00EF1B33">
        <w:t>characterised. No new safety concerns were identified in the clinical trials for Seasonique. The post</w:t>
      </w:r>
      <w:r w:rsidR="0028070D">
        <w:t xml:space="preserve"> </w:t>
      </w:r>
      <w:r w:rsidRPr="00EF1B33">
        <w:t>marketing safety data from US and Canada are reassuring.</w:t>
      </w:r>
    </w:p>
    <w:p w:rsidR="00EF1B33" w:rsidRPr="00EF1B33" w:rsidRDefault="00EF1B33" w:rsidP="00EF1B33">
      <w:r w:rsidRPr="00EF1B33">
        <w:t xml:space="preserve">Whether </w:t>
      </w:r>
      <w:proofErr w:type="spellStart"/>
      <w:r w:rsidRPr="00EF1B33">
        <w:t>Seasonique</w:t>
      </w:r>
      <w:proofErr w:type="spellEnd"/>
      <w:r w:rsidRPr="00EF1B33">
        <w:t xml:space="preserve"> has a higher risk of VTE/ATE (rare events) compared to “standard” combined hormonal contraceptives (with a 28</w:t>
      </w:r>
      <w:r w:rsidR="0028070D">
        <w:t xml:space="preserve"> </w:t>
      </w:r>
      <w:r w:rsidRPr="00EF1B33">
        <w:t>day cycle) is not known. This current uncertainty will be addressed by statements in the PI/CMI. The uncertainty will be reduced via a PASS in the EU. Long</w:t>
      </w:r>
      <w:r w:rsidR="0028070D">
        <w:t xml:space="preserve"> </w:t>
      </w:r>
      <w:r w:rsidRPr="00EF1B33">
        <w:t>term safety on breast cancer is also not completely elucidated and will be addressed in the planned PASS (secondary endpoint).</w:t>
      </w:r>
    </w:p>
    <w:p w:rsidR="00D23139" w:rsidRDefault="00D23139" w:rsidP="00D23139">
      <w:pPr>
        <w:pStyle w:val="Heading4"/>
      </w:pPr>
      <w:r w:rsidRPr="00D23139">
        <w:lastRenderedPageBreak/>
        <w:t>Proposed action</w:t>
      </w:r>
    </w:p>
    <w:p w:rsidR="00232A97" w:rsidRDefault="00684424" w:rsidP="00232A97">
      <w:r>
        <w:t xml:space="preserve">The Delegate has </w:t>
      </w:r>
      <w:r w:rsidRPr="00684424">
        <w:t>no reason to say, at this time, that the application for Seasonique should not be approved for registration.</w:t>
      </w:r>
    </w:p>
    <w:p w:rsidR="00684424" w:rsidRPr="00232A97" w:rsidRDefault="00684424" w:rsidP="00232A97">
      <w:r w:rsidRPr="00684424">
        <w:t>Pending further advice, at this point in time, based on the available data, efficacy and safety have been satisfactorily established.</w:t>
      </w:r>
    </w:p>
    <w:p w:rsidR="00D23139" w:rsidRDefault="00D23139" w:rsidP="00D23139">
      <w:pPr>
        <w:pStyle w:val="Heading4"/>
      </w:pPr>
      <w:r w:rsidRPr="00D23139">
        <w:t>Request for ACPM advice</w:t>
      </w:r>
    </w:p>
    <w:p w:rsidR="00232A97" w:rsidRPr="00684424" w:rsidRDefault="00684424" w:rsidP="00684424">
      <w:r w:rsidRPr="00684424">
        <w:t>The committee is requested to provide advice on any issues that it thinks may be relevant to a decision on whether or not to approve this application.</w:t>
      </w:r>
    </w:p>
    <w:p w:rsidR="002A2BB1" w:rsidRDefault="00232A97" w:rsidP="00D23139">
      <w:pPr>
        <w:pStyle w:val="Heading4"/>
      </w:pPr>
      <w:r>
        <w:t>Response from s</w:t>
      </w:r>
      <w:r w:rsidR="00D23139" w:rsidRPr="00D23139">
        <w:t>ponsor</w:t>
      </w:r>
    </w:p>
    <w:p w:rsidR="00A56F2B" w:rsidRPr="00A56F2B" w:rsidRDefault="00A56F2B" w:rsidP="00A56F2B">
      <w:r w:rsidRPr="00A56F2B">
        <w:t xml:space="preserve">No issues or questions were raised in the </w:t>
      </w:r>
      <w:r>
        <w:t>D</w:t>
      </w:r>
      <w:r w:rsidRPr="00A56F2B">
        <w:t>elegate’s overview.</w:t>
      </w:r>
    </w:p>
    <w:p w:rsidR="00A56F2B" w:rsidRPr="00A56F2B" w:rsidRDefault="00A56F2B" w:rsidP="00A56F2B">
      <w:r w:rsidRPr="00A56F2B">
        <w:t>Please find included in this response dossier the following requested documents:</w:t>
      </w:r>
    </w:p>
    <w:p w:rsidR="00A56F2B" w:rsidRPr="00A56F2B" w:rsidRDefault="00A56F2B" w:rsidP="00A56F2B">
      <w:pPr>
        <w:pStyle w:val="ListBullet"/>
      </w:pPr>
      <w:r w:rsidRPr="00A56F2B">
        <w:t>Updated 1.11.1 Foreign regulatory status</w:t>
      </w:r>
    </w:p>
    <w:p w:rsidR="00A56F2B" w:rsidRPr="00A56F2B" w:rsidRDefault="00A56F2B" w:rsidP="00A56F2B">
      <w:pPr>
        <w:pStyle w:val="ListBullet"/>
      </w:pPr>
      <w:r w:rsidRPr="00A56F2B">
        <w:t>Updated 1.11.2 EU Summary of Product Characteristics</w:t>
      </w:r>
    </w:p>
    <w:p w:rsidR="00A56F2B" w:rsidRPr="00A56F2B" w:rsidRDefault="00A56F2B" w:rsidP="00A56F2B">
      <w:pPr>
        <w:pStyle w:val="ListBullet"/>
      </w:pPr>
      <w:r w:rsidRPr="00A56F2B">
        <w:t>1.11.2 US Prescribing Information</w:t>
      </w:r>
    </w:p>
    <w:p w:rsidR="00A56F2B" w:rsidRPr="00A56F2B" w:rsidRDefault="00A56F2B" w:rsidP="00A56F2B">
      <w:pPr>
        <w:pStyle w:val="ListBullet"/>
      </w:pPr>
      <w:r w:rsidRPr="00A56F2B">
        <w:t>1.11.2 Canada Product Monograph</w:t>
      </w:r>
    </w:p>
    <w:p w:rsidR="00A56F2B" w:rsidRPr="00A56F2B" w:rsidRDefault="00A56F2B" w:rsidP="00A56F2B">
      <w:pPr>
        <w:pStyle w:val="ListBullet"/>
      </w:pPr>
      <w:r w:rsidRPr="00A56F2B">
        <w:t>5.3.6 PSUR (13 January 2015 to 13 July 2015)</w:t>
      </w:r>
    </w:p>
    <w:p w:rsidR="00A56F2B" w:rsidRPr="00A56F2B" w:rsidRDefault="0028070D" w:rsidP="00A56F2B">
      <w:r>
        <w:t>As noted</w:t>
      </w:r>
      <w:r w:rsidR="00A56F2B" w:rsidRPr="00A56F2B">
        <w:t>, the products approved in US and Canada have different formulations (different colourant only) as well as different manufacturing sites.</w:t>
      </w:r>
    </w:p>
    <w:p w:rsidR="00A56F2B" w:rsidRPr="00A56F2B" w:rsidRDefault="00A56F2B" w:rsidP="00A56F2B">
      <w:r w:rsidRPr="00A56F2B">
        <w:t xml:space="preserve">Please refer to sequence 0002 for the latest versions of the </w:t>
      </w:r>
      <w:r w:rsidR="0028070D">
        <w:t>PI and CMI</w:t>
      </w:r>
      <w:r w:rsidRPr="00A56F2B">
        <w:t>. No changes have since been made to these documents.</w:t>
      </w:r>
    </w:p>
    <w:p w:rsidR="00232A97" w:rsidRPr="00A56F2B" w:rsidRDefault="00A56F2B" w:rsidP="00A56F2B">
      <w:r w:rsidRPr="00A56F2B">
        <w:t>The first PSUR for Seasonique covering the period from 13 January 2015 to 13 July 2015 is provided. No serious unexpected adverse drug reactions were reported in this period.</w:t>
      </w:r>
    </w:p>
    <w:p w:rsidR="008E7846" w:rsidRDefault="008E7846" w:rsidP="008E7846">
      <w:pPr>
        <w:pStyle w:val="Heading4"/>
      </w:pPr>
      <w:r>
        <w:t xml:space="preserve">Advisory Committee </w:t>
      </w:r>
      <w:r w:rsidR="00E63418">
        <w:t>c</w:t>
      </w:r>
      <w:r>
        <w:t>onsiderations</w:t>
      </w:r>
    </w:p>
    <w:p w:rsidR="00BA2AEF" w:rsidRPr="00BA2AEF" w:rsidRDefault="00BA2AEF" w:rsidP="00BA2AEF">
      <w:r w:rsidRPr="00BA2AEF">
        <w:t xml:space="preserve">The ACPM, taking into account the submitted evidence of efficacy, safety and quality, agreed with the </w:t>
      </w:r>
      <w:r w:rsidR="0005265B">
        <w:t>D</w:t>
      </w:r>
      <w:r w:rsidRPr="00BA2AEF">
        <w:t>elegate and considered S</w:t>
      </w:r>
      <w:r>
        <w:t>easonique</w:t>
      </w:r>
      <w:r w:rsidR="0005265B">
        <w:t xml:space="preserve"> film </w:t>
      </w:r>
      <w:r w:rsidRPr="00BA2AEF">
        <w:t>coated tablet, con</w:t>
      </w:r>
      <w:r w:rsidR="0005265B">
        <w:t>taining 150 µg levonorgestrel/</w:t>
      </w:r>
      <w:r w:rsidRPr="00BA2AEF">
        <w:t>3</w:t>
      </w:r>
      <w:r w:rsidR="0005265B">
        <w:t xml:space="preserve">0 µg ethinyloestradiol and film </w:t>
      </w:r>
      <w:r w:rsidRPr="00BA2AEF">
        <w:t>coated tablet containing 10 µg ethinyloestradiol of ethinyloestradiol to h</w:t>
      </w:r>
      <w:r w:rsidR="0005265B">
        <w:t>ave an overall positive benefit-</w:t>
      </w:r>
      <w:r w:rsidRPr="00BA2AEF">
        <w:t>r</w:t>
      </w:r>
      <w:r w:rsidR="0005265B">
        <w:t>isk profile for the indication:</w:t>
      </w:r>
    </w:p>
    <w:p w:rsidR="00BA2AEF" w:rsidRPr="00F32B65" w:rsidRDefault="00BA2AEF" w:rsidP="00F32B65">
      <w:pPr>
        <w:ind w:firstLine="720"/>
        <w:rPr>
          <w:i/>
        </w:rPr>
      </w:pPr>
      <w:r w:rsidRPr="00F32B65">
        <w:rPr>
          <w:i/>
        </w:rPr>
        <w:t>S</w:t>
      </w:r>
      <w:r w:rsidR="00F32B65">
        <w:rPr>
          <w:i/>
        </w:rPr>
        <w:t>easonique</w:t>
      </w:r>
      <w:r w:rsidRPr="00F32B65">
        <w:rPr>
          <w:i/>
        </w:rPr>
        <w:t xml:space="preserve"> is indicated for the use as an oral contraceptive</w:t>
      </w:r>
    </w:p>
    <w:p w:rsidR="00BA2AEF" w:rsidRPr="00D724FC" w:rsidRDefault="00BA2AEF" w:rsidP="00BC70E6">
      <w:pPr>
        <w:pStyle w:val="Heading5"/>
      </w:pPr>
      <w:r w:rsidRPr="00D724FC">
        <w:t>Proposed conditions of registration</w:t>
      </w:r>
    </w:p>
    <w:p w:rsidR="002A2BB1" w:rsidRDefault="00BA2AEF" w:rsidP="00BC70E6">
      <w:r w:rsidRPr="00BC70E6">
        <w:t xml:space="preserve">The ACPM agreed with the </w:t>
      </w:r>
      <w:r w:rsidR="0005265B">
        <w:t>D</w:t>
      </w:r>
      <w:r w:rsidRPr="00BC70E6">
        <w:t>elegate on the proposed conditions of registration.</w:t>
      </w:r>
    </w:p>
    <w:p w:rsidR="00BA2AEF" w:rsidRPr="00D724FC" w:rsidRDefault="00BA2AEF" w:rsidP="00BC70E6">
      <w:pPr>
        <w:pStyle w:val="Heading5"/>
        <w:rPr>
          <w:u w:val="single"/>
        </w:rPr>
      </w:pPr>
      <w:r w:rsidRPr="00D724FC">
        <w:t>Proposed Product Information (PI)/Consumer Medicine Information (CMI) amendments</w:t>
      </w:r>
    </w:p>
    <w:p w:rsidR="00BA2AEF" w:rsidRPr="00BC70E6" w:rsidRDefault="00BA2AEF" w:rsidP="00BC70E6">
      <w:r w:rsidRPr="00BC70E6">
        <w:t xml:space="preserve">The ACPM agreed with the delegate to the proposed amendments to the </w:t>
      </w:r>
      <w:r w:rsidR="0005265B">
        <w:t>PI</w:t>
      </w:r>
      <w:r w:rsidRPr="00BC70E6">
        <w:t xml:space="preserve"> and </w:t>
      </w:r>
      <w:r w:rsidR="0005265B">
        <w:t>CMI</w:t>
      </w:r>
      <w:r w:rsidRPr="00BC70E6">
        <w:t>.</w:t>
      </w:r>
    </w:p>
    <w:p w:rsidR="00BA2AEF" w:rsidRPr="00D724FC" w:rsidRDefault="00BA2AEF" w:rsidP="00BC70E6">
      <w:pPr>
        <w:pStyle w:val="Heading6"/>
        <w:rPr>
          <w:szCs w:val="22"/>
          <w:highlight w:val="yellow"/>
        </w:rPr>
      </w:pPr>
      <w:r w:rsidRPr="00D724FC">
        <w:t xml:space="preserve">Specific </w:t>
      </w:r>
      <w:r w:rsidR="00FB3A9A">
        <w:t>a</w:t>
      </w:r>
      <w:bookmarkStart w:id="136" w:name="_GoBack"/>
      <w:bookmarkEnd w:id="136"/>
      <w:r w:rsidRPr="00D724FC">
        <w:t>dvice</w:t>
      </w:r>
    </w:p>
    <w:p w:rsidR="00BA2AEF" w:rsidRPr="00BC70E6" w:rsidRDefault="00BA2AEF" w:rsidP="00BC70E6">
      <w:r w:rsidRPr="00BC70E6">
        <w:t xml:space="preserve">The ACPM advised the following in response to the </w:t>
      </w:r>
      <w:r w:rsidR="00BC70E6">
        <w:t>D</w:t>
      </w:r>
      <w:r w:rsidRPr="00BC70E6">
        <w:t xml:space="preserve">elegate’s request for advice </w:t>
      </w:r>
      <w:r w:rsidR="00773AC2">
        <w:t>on this submission.</w:t>
      </w:r>
    </w:p>
    <w:p w:rsidR="002A2BB1" w:rsidRDefault="00BA2AEF" w:rsidP="00BC70E6">
      <w:r w:rsidRPr="00BC70E6">
        <w:t>The ACPM advised that the data submitt</w:t>
      </w:r>
      <w:r w:rsidR="0005265B">
        <w:t xml:space="preserve">ed including the long term post </w:t>
      </w:r>
      <w:r w:rsidRPr="00BC70E6">
        <w:t xml:space="preserve">marketing data, supported efficacy and safety. The ACPM noted that this product may provide improved contraception for some patients due to decreased escape ovulation. The ACPM noted that </w:t>
      </w:r>
      <w:r w:rsidRPr="00BC70E6">
        <w:lastRenderedPageBreak/>
        <w:t>there did not seem to be any significant coagulation effect</w:t>
      </w:r>
      <w:r w:rsidR="0005265B">
        <w:t xml:space="preserve">s compared with the standard 28 </w:t>
      </w:r>
      <w:r w:rsidRPr="00BC70E6">
        <w:t>day regim</w:t>
      </w:r>
      <w:r w:rsidR="0005265B">
        <w:t>en. The drop</w:t>
      </w:r>
      <w:r w:rsidRPr="00BC70E6">
        <w:t>out rate was attributed to bleeding irregularities, which decreased with time on the medication.</w:t>
      </w:r>
    </w:p>
    <w:p w:rsidR="00BA2AEF" w:rsidRPr="00BC70E6" w:rsidRDefault="00BA2AEF" w:rsidP="00BC70E6">
      <w:r w:rsidRPr="00BC70E6">
        <w:t xml:space="preserve">The ACPM advised that implementation by the </w:t>
      </w:r>
      <w:r w:rsidR="001F70BB">
        <w:t>s</w:t>
      </w:r>
      <w:r w:rsidRPr="00BC70E6">
        <w:t>ponsor of the recommendations outlined above to the satisfaction of the TGA, in addition to the evidence of efficacy and safety provided would support the safe and effective use of this product.</w:t>
      </w:r>
    </w:p>
    <w:p w:rsidR="008E7846" w:rsidRPr="002E238E" w:rsidRDefault="008E7846" w:rsidP="008E7846">
      <w:pPr>
        <w:pStyle w:val="Heading3"/>
      </w:pPr>
      <w:bookmarkStart w:id="137" w:name="_Toc247691532"/>
      <w:bookmarkStart w:id="138" w:name="_Toc314842516"/>
      <w:bookmarkStart w:id="139" w:name="_Toc468181723"/>
      <w:bookmarkEnd w:id="103"/>
      <w:bookmarkEnd w:id="134"/>
      <w:bookmarkEnd w:id="135"/>
      <w:r>
        <w:t>Outcome</w:t>
      </w:r>
      <w:bookmarkEnd w:id="137"/>
      <w:bookmarkEnd w:id="138"/>
      <w:bookmarkEnd w:id="139"/>
    </w:p>
    <w:p w:rsidR="007B720A" w:rsidRPr="007E4282" w:rsidRDefault="00D23139" w:rsidP="007E4282">
      <w:bookmarkStart w:id="140" w:name="_Toc247691533"/>
      <w:bookmarkStart w:id="141" w:name="_Toc314842517"/>
      <w:r w:rsidRPr="007E4282">
        <w:t>Based on a review of quality, safety and efficacy, TG</w:t>
      </w:r>
      <w:r w:rsidR="007B720A" w:rsidRPr="007E4282">
        <w:t xml:space="preserve">A approved the registration of </w:t>
      </w:r>
      <w:r w:rsidR="00470A2D">
        <w:t>Seasonique</w:t>
      </w:r>
      <w:r w:rsidR="007B720A" w:rsidRPr="007E4282">
        <w:t xml:space="preserve"> levonorgestrel/ethinyloestradiol 150 </w:t>
      </w:r>
      <w:r w:rsidR="007E4282">
        <w:t>µg</w:t>
      </w:r>
      <w:r w:rsidR="007B720A" w:rsidRPr="007E4282">
        <w:t xml:space="preserve">/30 </w:t>
      </w:r>
      <w:r w:rsidR="007E4282">
        <w:t>µg</w:t>
      </w:r>
      <w:r w:rsidR="007B720A" w:rsidRPr="007E4282">
        <w:t xml:space="preserve"> film coated tablets blister pack and ethinyloestradiol 10 </w:t>
      </w:r>
      <w:r w:rsidR="00F519D9">
        <w:t>µg</w:t>
      </w:r>
      <w:r w:rsidR="007B720A" w:rsidRPr="007E4282">
        <w:t xml:space="preserve"> film coated tablets blister pack composite pack</w:t>
      </w:r>
    </w:p>
    <w:p w:rsidR="007B720A" w:rsidRPr="007E4282" w:rsidRDefault="007B720A" w:rsidP="007E4282">
      <w:r w:rsidRPr="007E4282">
        <w:t>The approved indication for this therapeutic good is:</w:t>
      </w:r>
    </w:p>
    <w:p w:rsidR="007B720A" w:rsidRPr="007E4282" w:rsidRDefault="007B720A" w:rsidP="007E4282">
      <w:pPr>
        <w:ind w:firstLine="720"/>
        <w:rPr>
          <w:i/>
        </w:rPr>
      </w:pPr>
      <w:r w:rsidRPr="007E4282">
        <w:rPr>
          <w:i/>
        </w:rPr>
        <w:t>Seasonique is indicated for use as an oral contraceptive.</w:t>
      </w:r>
    </w:p>
    <w:p w:rsidR="00D23139" w:rsidRPr="00D23139" w:rsidRDefault="00D23139" w:rsidP="00D23139">
      <w:pPr>
        <w:pStyle w:val="Heading4"/>
      </w:pPr>
      <w:r w:rsidRPr="00D23139">
        <w:t>Specific conditions of registration applying to these goods</w:t>
      </w:r>
    </w:p>
    <w:p w:rsidR="00D23139" w:rsidRPr="00D23139" w:rsidRDefault="003F7F72" w:rsidP="003F7F72">
      <w:pPr>
        <w:pStyle w:val="ListBullet"/>
      </w:pPr>
      <w:r w:rsidRPr="003F7F72">
        <w:t>The S</w:t>
      </w:r>
      <w:r w:rsidR="009C7076">
        <w:t>easonique</w:t>
      </w:r>
      <w:r w:rsidRPr="003F7F72">
        <w:t xml:space="preserve"> levonorgestrel/ethinyloestradiol + ethinyloestradiol EU </w:t>
      </w:r>
      <w:r w:rsidR="00696733">
        <w:t>RMP</w:t>
      </w:r>
      <w:r w:rsidRPr="003F7F72">
        <w:t xml:space="preserve">, version 4.0, (as Teva internal Version 4.0.1, dated 23 November 2015, DLP 20 November 2015) with </w:t>
      </w:r>
      <w:r w:rsidR="00696733">
        <w:t>ASA</w:t>
      </w:r>
      <w:r w:rsidRPr="003F7F72">
        <w:t xml:space="preserve"> version dated 28 April 2015 and any subsequent revisions, as agreed with the TGA will be implemented in Australia.</w:t>
      </w:r>
    </w:p>
    <w:p w:rsidR="008E7846" w:rsidRDefault="00A80B5B" w:rsidP="00D23139">
      <w:pPr>
        <w:pStyle w:val="Heading2"/>
      </w:pPr>
      <w:bookmarkStart w:id="142" w:name="_Toc468181724"/>
      <w:proofErr w:type="gramStart"/>
      <w:r>
        <w:t>Attachment 1.</w:t>
      </w:r>
      <w:proofErr w:type="gramEnd"/>
      <w:r>
        <w:t xml:space="preserve"> </w:t>
      </w:r>
      <w:r w:rsidR="008E7846">
        <w:t xml:space="preserve">Product </w:t>
      </w:r>
      <w:r w:rsidR="00AA0ED0">
        <w:t>I</w:t>
      </w:r>
      <w:r w:rsidR="008E7846">
        <w:t>nformation</w:t>
      </w:r>
      <w:bookmarkEnd w:id="140"/>
      <w:bookmarkEnd w:id="141"/>
      <w:bookmarkEnd w:id="142"/>
    </w:p>
    <w:p w:rsidR="00C80137" w:rsidRDefault="002B3624" w:rsidP="00C80137">
      <w:pPr>
        <w:rPr>
          <w:color w:val="000000"/>
          <w:lang w:eastAsia="en-AU"/>
        </w:rPr>
      </w:pPr>
      <w:r w:rsidRPr="00232A97">
        <w:t xml:space="preserve">The </w:t>
      </w:r>
      <w:r w:rsidR="00133A1B" w:rsidRPr="00232A97">
        <w:t>PI</w:t>
      </w:r>
      <w:r w:rsidRPr="00232A97">
        <w:t xml:space="preserve"> approved for </w:t>
      </w:r>
      <w:r w:rsidR="003F7F72">
        <w:t>Seasonique</w:t>
      </w:r>
      <w:r w:rsidRPr="00232A97">
        <w:t xml:space="preserve"> at the time this AusPAR was published is at Attachment 1. For the most recent </w:t>
      </w:r>
      <w:r w:rsidR="00133A1B" w:rsidRPr="00232A97">
        <w:t>PI,</w:t>
      </w:r>
      <w:r w:rsidRPr="00232A97">
        <w:t xml:space="preserve"> please refer to the </w:t>
      </w:r>
      <w:r w:rsidR="007C6B9B" w:rsidRPr="00232A97">
        <w:t>TGA website at &lt;</w:t>
      </w:r>
      <w:hyperlink r:id="rId21" w:history="1">
        <w:r w:rsidR="007C6B9B" w:rsidRPr="00232A97">
          <w:rPr>
            <w:rStyle w:val="Hyperlink"/>
          </w:rPr>
          <w:t>https://www.tga.gov.au/product-information-pi</w:t>
        </w:r>
      </w:hyperlink>
      <w:r w:rsidR="00232A97">
        <w:t>&gt;.</w:t>
      </w:r>
    </w:p>
    <w:p w:rsidR="00C80137" w:rsidRDefault="00C80137" w:rsidP="00C80137">
      <w:pPr>
        <w:pStyle w:val="Heading2"/>
        <w:rPr>
          <w:lang w:eastAsia="en-AU"/>
        </w:rPr>
      </w:pPr>
      <w:bookmarkStart w:id="143" w:name="_Toc468181725"/>
      <w:proofErr w:type="gramStart"/>
      <w:r>
        <w:rPr>
          <w:lang w:eastAsia="en-AU"/>
        </w:rPr>
        <w:t>Attachment 2.</w:t>
      </w:r>
      <w:proofErr w:type="gramEnd"/>
      <w:r w:rsidR="00A80B5B">
        <w:rPr>
          <w:lang w:eastAsia="en-AU"/>
        </w:rPr>
        <w:t xml:space="preserve"> </w:t>
      </w:r>
      <w:r>
        <w:rPr>
          <w:lang w:eastAsia="en-AU"/>
        </w:rPr>
        <w:t>Extract from the Clinical Evaluation Report</w:t>
      </w:r>
      <w:bookmarkEnd w:id="143"/>
    </w:p>
    <w:p w:rsidR="00291957" w:rsidRDefault="008E7846" w:rsidP="00232A97">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22"/>
          <w:headerReference w:type="default" r:id="rId23"/>
          <w:headerReference w:type="first" r:id="rId24"/>
          <w:footerReference w:type="first" r:id="rId2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26" w:history="1">
              <w:r w:rsidRPr="004C239D">
                <w:rPr>
                  <w:rStyle w:val="Hyperlink"/>
                </w:rPr>
                <w:t>info@tga.gov.au</w:t>
              </w:r>
            </w:hyperlink>
            <w:r w:rsidRPr="00487162">
              <w:t xml:space="preserve">  Phone: 1800 020 653  Fax: 02 6232 8605</w:t>
            </w:r>
          </w:p>
          <w:p w:rsidR="001C32CD" w:rsidRPr="004C239D" w:rsidRDefault="00953EBF" w:rsidP="00A05FA4">
            <w:pPr>
              <w:pStyle w:val="Address"/>
              <w:spacing w:line="260" w:lineRule="atLeast"/>
              <w:rPr>
                <w:b/>
                <w:color w:val="0000FF"/>
                <w:u w:val="single"/>
              </w:rPr>
            </w:pPr>
            <w:hyperlink r:id="rId27"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28"/>
      <w:headerReference w:type="default" r:id="rId29"/>
      <w:footerReference w:type="default" r:id="rId30"/>
      <w:headerReference w:type="first" r:id="rId31"/>
      <w:footerReference w:type="first" r:id="rId3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EBF" w:rsidRDefault="00953EBF" w:rsidP="00C40A36">
      <w:pPr>
        <w:spacing w:after="0"/>
      </w:pPr>
      <w:r>
        <w:separator/>
      </w:r>
    </w:p>
  </w:endnote>
  <w:endnote w:type="continuationSeparator" w:id="0">
    <w:p w:rsidR="00953EBF" w:rsidRDefault="00953EB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
    <w:panose1 w:val="020B060402020203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53EBF" w:rsidRPr="00487162" w:rsidTr="00DB750B">
      <w:trPr>
        <w:trHeight w:val="269"/>
      </w:trPr>
      <w:tc>
        <w:tcPr>
          <w:tcW w:w="7371" w:type="dxa"/>
          <w:tcMar>
            <w:top w:w="142" w:type="dxa"/>
            <w:bottom w:w="0" w:type="dxa"/>
          </w:tcMar>
        </w:tcPr>
        <w:p w:rsidR="00953EBF" w:rsidRPr="00487162" w:rsidRDefault="00953EBF" w:rsidP="00B73D60">
          <w:pPr>
            <w:pStyle w:val="Footer"/>
          </w:pPr>
          <w:r w:rsidRPr="00487162">
            <w:t>AusPA</w:t>
          </w:r>
          <w:r>
            <w:t xml:space="preserve">R Seasonique </w:t>
          </w:r>
          <w:r w:rsidRPr="002B1A75">
            <w:t>Teva Pharma Australia Pty Ltd</w:t>
          </w:r>
          <w:r>
            <w:t xml:space="preserve"> </w:t>
          </w:r>
          <w:r w:rsidRPr="002B1A75">
            <w:t>PM-2015-00767-1-5</w:t>
          </w:r>
          <w:r>
            <w:br/>
            <w:t>Final 9 December 2016</w:t>
          </w:r>
        </w:p>
      </w:tc>
      <w:tc>
        <w:tcPr>
          <w:tcW w:w="1490" w:type="dxa"/>
          <w:tcMar>
            <w:top w:w="142" w:type="dxa"/>
            <w:bottom w:w="0" w:type="dxa"/>
          </w:tcMar>
        </w:tcPr>
        <w:p w:rsidR="00953EBF" w:rsidRPr="00487162" w:rsidRDefault="00953EBF" w:rsidP="00DB750B">
          <w:pPr>
            <w:pStyle w:val="Footer"/>
            <w:jc w:val="right"/>
          </w:pPr>
          <w:r w:rsidRPr="00487162">
            <w:t xml:space="preserve">Page </w:t>
          </w:r>
          <w:r>
            <w:fldChar w:fldCharType="begin"/>
          </w:r>
          <w:r>
            <w:instrText xml:space="preserve"> PAGE  \* Arabic </w:instrText>
          </w:r>
          <w:r>
            <w:fldChar w:fldCharType="separate"/>
          </w:r>
          <w:r w:rsidR="00FB3A9A">
            <w:rPr>
              <w:noProof/>
            </w:rPr>
            <w:t>35</w:t>
          </w:r>
          <w:r>
            <w:fldChar w:fldCharType="end"/>
          </w:r>
          <w:r w:rsidRPr="00487162">
            <w:t xml:space="preserve"> of </w:t>
          </w:r>
          <w:r>
            <w:fldChar w:fldCharType="begin"/>
          </w:r>
          <w:r>
            <w:instrText xml:space="preserve"> NUMPAGES  \* Arabic </w:instrText>
          </w:r>
          <w:r>
            <w:fldChar w:fldCharType="separate"/>
          </w:r>
          <w:r w:rsidR="00FB3A9A">
            <w:rPr>
              <w:noProof/>
            </w:rPr>
            <w:t>36</w:t>
          </w:r>
          <w:r>
            <w:rPr>
              <w:noProof/>
            </w:rPr>
            <w:fldChar w:fldCharType="end"/>
          </w:r>
        </w:p>
      </w:tc>
    </w:tr>
  </w:tbl>
  <w:p w:rsidR="00953EBF" w:rsidRDefault="00953EBF"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53EBF" w:rsidRPr="00487162" w:rsidTr="00E45619">
      <w:trPr>
        <w:trHeight w:val="269"/>
      </w:trPr>
      <w:tc>
        <w:tcPr>
          <w:tcW w:w="4519" w:type="dxa"/>
          <w:tcBorders>
            <w:top w:val="single" w:sz="4" w:space="0" w:color="auto"/>
          </w:tcBorders>
          <w:tcMar>
            <w:top w:w="142" w:type="dxa"/>
            <w:bottom w:w="0" w:type="dxa"/>
          </w:tcMar>
        </w:tcPr>
        <w:p w:rsidR="00953EBF" w:rsidRPr="00487162" w:rsidRDefault="00953EBF" w:rsidP="00FE1DEE">
          <w:pPr>
            <w:pStyle w:val="Footer"/>
          </w:pPr>
          <w:r w:rsidRPr="00487162">
            <w:t>Document title, Part #, Section # - Section title</w:t>
          </w:r>
        </w:p>
        <w:p w:rsidR="00953EBF" w:rsidRPr="00487162" w:rsidRDefault="00953EBF" w:rsidP="00FE1DEE">
          <w:pPr>
            <w:pStyle w:val="Footer"/>
          </w:pPr>
          <w:r w:rsidRPr="00487162">
            <w:t>V1.0 October 2010</w:t>
          </w:r>
        </w:p>
      </w:tc>
      <w:tc>
        <w:tcPr>
          <w:tcW w:w="4342" w:type="dxa"/>
          <w:tcBorders>
            <w:top w:val="single" w:sz="4" w:space="0" w:color="auto"/>
          </w:tcBorders>
          <w:tcMar>
            <w:top w:w="142" w:type="dxa"/>
            <w:bottom w:w="0" w:type="dxa"/>
          </w:tcMar>
        </w:tcPr>
        <w:p w:rsidR="00953EBF" w:rsidRPr="00487162" w:rsidRDefault="00953EB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4</w:t>
          </w:r>
          <w:r>
            <w:rPr>
              <w:noProof/>
            </w:rPr>
            <w:fldChar w:fldCharType="end"/>
          </w:r>
        </w:p>
      </w:tc>
    </w:tr>
  </w:tbl>
  <w:p w:rsidR="00953EBF" w:rsidRDefault="00953EB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EBF" w:rsidRPr="001C32CD" w:rsidRDefault="00953EBF"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53EBF" w:rsidTr="0010601F">
      <w:trPr>
        <w:trHeight w:val="108"/>
      </w:trPr>
      <w:tc>
        <w:tcPr>
          <w:tcW w:w="8875" w:type="dxa"/>
          <w:gridSpan w:val="2"/>
          <w:tcBorders>
            <w:bottom w:val="single" w:sz="4" w:space="0" w:color="auto"/>
          </w:tcBorders>
          <w:tcMar>
            <w:right w:w="284" w:type="dxa"/>
          </w:tcMar>
        </w:tcPr>
        <w:p w:rsidR="00953EBF" w:rsidRDefault="00953EBF" w:rsidP="006E08B3">
          <w:pPr>
            <w:pStyle w:val="Heading3"/>
          </w:pPr>
          <w:r>
            <w:t>Copyright</w:t>
          </w:r>
        </w:p>
        <w:p w:rsidR="00953EBF" w:rsidRDefault="00953EBF" w:rsidP="006E08B3">
          <w:r>
            <w:rPr>
              <w:rFonts w:cs="Arial"/>
            </w:rPr>
            <w:t>©</w:t>
          </w:r>
          <w:r>
            <w:t xml:space="preserve"> Commonwealth of Australia [add year]</w:t>
          </w:r>
        </w:p>
        <w:p w:rsidR="00953EBF" w:rsidRDefault="00953EBF" w:rsidP="006E08B3"/>
        <w:p w:rsidR="00953EBF" w:rsidRDefault="00953EB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53EBF" w:rsidRDefault="00953EBF" w:rsidP="006E08B3"/>
        <w:p w:rsidR="00953EBF" w:rsidRDefault="00953EBF" w:rsidP="006E08B3">
          <w:pPr>
            <w:pStyle w:val="Heading3"/>
          </w:pPr>
          <w:r>
            <w:t>Confidentiality</w:t>
          </w:r>
        </w:p>
        <w:p w:rsidR="00953EBF" w:rsidRDefault="00953EB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53EBF" w:rsidRDefault="00953EBF" w:rsidP="006E08B3"/>
        <w:p w:rsidR="00953EBF" w:rsidRDefault="00953EBF" w:rsidP="006E08B3">
          <w:r>
            <w:t>For submission made by individuals, all personal details, other than your name, will be removed from your submission before it is published on the TGA’s Internet site.</w:t>
          </w:r>
        </w:p>
        <w:p w:rsidR="00953EBF" w:rsidRDefault="00953EBF" w:rsidP="006E08B3"/>
        <w:p w:rsidR="00953EBF" w:rsidRDefault="00953EBF"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53EBF" w:rsidTr="0010601F">
      <w:trPr>
        <w:trHeight w:val="417"/>
      </w:trPr>
      <w:tc>
        <w:tcPr>
          <w:tcW w:w="4519" w:type="dxa"/>
          <w:tcBorders>
            <w:top w:val="single" w:sz="4" w:space="0" w:color="auto"/>
          </w:tcBorders>
          <w:tcMar>
            <w:top w:w="142" w:type="dxa"/>
            <w:bottom w:w="0" w:type="dxa"/>
          </w:tcMar>
        </w:tcPr>
        <w:p w:rsidR="00953EBF" w:rsidRDefault="00953EBF" w:rsidP="006E08B3">
          <w:r>
            <w:t>Document title, Part #, Section # - Section title</w:t>
          </w:r>
        </w:p>
        <w:p w:rsidR="00953EBF" w:rsidRDefault="00953EBF" w:rsidP="006E08B3">
          <w:r>
            <w:t>V1.0 October 2010</w:t>
          </w:r>
        </w:p>
      </w:tc>
      <w:tc>
        <w:tcPr>
          <w:tcW w:w="4356" w:type="dxa"/>
          <w:tcBorders>
            <w:top w:val="single" w:sz="4" w:space="0" w:color="auto"/>
          </w:tcBorders>
          <w:tcMar>
            <w:top w:w="142" w:type="dxa"/>
            <w:bottom w:w="0" w:type="dxa"/>
          </w:tcMar>
        </w:tcPr>
        <w:p w:rsidR="00953EBF" w:rsidRDefault="00953EB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4</w:t>
          </w:r>
          <w:r>
            <w:rPr>
              <w:noProof/>
            </w:rPr>
            <w:fldChar w:fldCharType="end"/>
          </w:r>
          <w:r>
            <w:t xml:space="preserve">  </w:t>
          </w:r>
        </w:p>
      </w:tc>
    </w:tr>
  </w:tbl>
  <w:p w:rsidR="00953EBF" w:rsidRDefault="00953EB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EBF" w:rsidRDefault="00953EBF" w:rsidP="00C40A36">
      <w:pPr>
        <w:spacing w:after="0"/>
      </w:pPr>
      <w:r>
        <w:separator/>
      </w:r>
    </w:p>
  </w:footnote>
  <w:footnote w:type="continuationSeparator" w:id="0">
    <w:p w:rsidR="00953EBF" w:rsidRDefault="00953EBF" w:rsidP="00C40A36">
      <w:pPr>
        <w:spacing w:after="0"/>
      </w:pPr>
      <w:r>
        <w:continuationSeparator/>
      </w:r>
    </w:p>
  </w:footnote>
  <w:footnote w:id="1">
    <w:p w:rsidR="00953EBF" w:rsidRPr="00E6341B" w:rsidRDefault="00953EBF" w:rsidP="002A2BB1">
      <w:pPr>
        <w:pStyle w:val="FootnoteText"/>
        <w:rPr>
          <w:lang w:val="en-US"/>
        </w:rPr>
      </w:pPr>
      <w:r>
        <w:rPr>
          <w:rStyle w:val="FootnoteReference"/>
        </w:rPr>
        <w:footnoteRef/>
      </w:r>
      <w:r>
        <w:t xml:space="preserve"> </w:t>
      </w:r>
      <w:r w:rsidRPr="00396FDD">
        <w:t xml:space="preserve">Edelman A. Menstrual nirvana: amenorrhoea through the use of continuous oral contraceptives. </w:t>
      </w:r>
      <w:proofErr w:type="spellStart"/>
      <w:proofErr w:type="gramStart"/>
      <w:r w:rsidRPr="00722074">
        <w:rPr>
          <w:i/>
        </w:rPr>
        <w:t>Curr</w:t>
      </w:r>
      <w:proofErr w:type="spellEnd"/>
      <w:r w:rsidRPr="00722074">
        <w:rPr>
          <w:i/>
        </w:rPr>
        <w:t xml:space="preserve"> </w:t>
      </w:r>
      <w:proofErr w:type="spellStart"/>
      <w:r w:rsidRPr="00722074">
        <w:rPr>
          <w:i/>
        </w:rPr>
        <w:t>Womens</w:t>
      </w:r>
      <w:proofErr w:type="spellEnd"/>
      <w:r w:rsidRPr="00722074">
        <w:rPr>
          <w:i/>
        </w:rPr>
        <w:t xml:space="preserve"> Health Rep.</w:t>
      </w:r>
      <w:r>
        <w:t xml:space="preserve"> 2</w:t>
      </w:r>
      <w:r w:rsidRPr="00396FDD">
        <w:t>: 434</w:t>
      </w:r>
      <w:r>
        <w:t xml:space="preserve"> (2002).</w:t>
      </w:r>
      <w:proofErr w:type="gramEnd"/>
    </w:p>
  </w:footnote>
  <w:footnote w:id="2">
    <w:p w:rsidR="00953EBF" w:rsidRPr="00AD7EBE" w:rsidRDefault="00953EBF">
      <w:pPr>
        <w:pStyle w:val="FootnoteText"/>
        <w:rPr>
          <w:lang w:val="en-US"/>
        </w:rPr>
      </w:pPr>
      <w:r>
        <w:rPr>
          <w:rStyle w:val="FootnoteReference"/>
        </w:rPr>
        <w:footnoteRef/>
      </w:r>
      <w:r>
        <w:t xml:space="preserve"> </w:t>
      </w:r>
      <w:r>
        <w:rPr>
          <w:lang w:val="en-US"/>
        </w:rPr>
        <w:t xml:space="preserve">See update on </w:t>
      </w:r>
      <w:r w:rsidRPr="00B010C8">
        <w:rPr>
          <w:lang w:val="en-US"/>
        </w:rPr>
        <w:t>dissolution specification limits and related substances release specification limits</w:t>
      </w:r>
      <w:r>
        <w:rPr>
          <w:lang w:val="en-US"/>
        </w:rPr>
        <w:t xml:space="preserve"> below.</w:t>
      </w:r>
    </w:p>
  </w:footnote>
  <w:footnote w:id="3">
    <w:p w:rsidR="00953EBF" w:rsidRPr="0099163E" w:rsidRDefault="00953EBF">
      <w:pPr>
        <w:pStyle w:val="FootnoteText"/>
        <w:rPr>
          <w:lang w:val="en-US"/>
        </w:rPr>
      </w:pPr>
      <w:r>
        <w:rPr>
          <w:rStyle w:val="FootnoteReference"/>
        </w:rPr>
        <w:footnoteRef/>
      </w:r>
      <w:r>
        <w:t xml:space="preserve"> </w:t>
      </w:r>
      <w:r w:rsidRPr="00396FDD">
        <w:t xml:space="preserve">Edelman A. Menstrual nirvana: amenorrhoea through the use of continuous oral contraceptives. </w:t>
      </w:r>
      <w:proofErr w:type="spellStart"/>
      <w:proofErr w:type="gramStart"/>
      <w:r w:rsidRPr="00722074">
        <w:rPr>
          <w:i/>
        </w:rPr>
        <w:t>Curr</w:t>
      </w:r>
      <w:proofErr w:type="spellEnd"/>
      <w:r w:rsidRPr="00722074">
        <w:rPr>
          <w:i/>
        </w:rPr>
        <w:t xml:space="preserve"> </w:t>
      </w:r>
      <w:proofErr w:type="spellStart"/>
      <w:r w:rsidRPr="00722074">
        <w:rPr>
          <w:i/>
        </w:rPr>
        <w:t>Womens</w:t>
      </w:r>
      <w:proofErr w:type="spellEnd"/>
      <w:r w:rsidRPr="00722074">
        <w:rPr>
          <w:i/>
        </w:rPr>
        <w:t xml:space="preserve"> Health Rep.</w:t>
      </w:r>
      <w:r>
        <w:t xml:space="preserve"> 2</w:t>
      </w:r>
      <w:r w:rsidRPr="00396FDD">
        <w:t>: 434</w:t>
      </w:r>
      <w:r>
        <w:t xml:space="preserve"> (2002).</w:t>
      </w:r>
      <w:proofErr w:type="gramEnd"/>
    </w:p>
  </w:footnote>
  <w:footnote w:id="4">
    <w:p w:rsidR="00953EBF" w:rsidRPr="00321025" w:rsidRDefault="00953EBF" w:rsidP="002A2BB1">
      <w:pPr>
        <w:pStyle w:val="FootnoteText"/>
        <w:rPr>
          <w:lang w:val="en-US"/>
        </w:rPr>
      </w:pPr>
      <w:r>
        <w:rPr>
          <w:rStyle w:val="FootnoteReference"/>
        </w:rPr>
        <w:footnoteRef/>
      </w:r>
      <w:r>
        <w:t xml:space="preserve"> </w:t>
      </w:r>
      <w:proofErr w:type="gramStart"/>
      <w:r>
        <w:rPr>
          <w:lang w:val="en-US"/>
        </w:rPr>
        <w:t>European Medicines Agency, “</w:t>
      </w:r>
      <w:r>
        <w:t>Guideline on c</w:t>
      </w:r>
      <w:r w:rsidRPr="00812AF3">
        <w:t xml:space="preserve">linical investigation of steroid </w:t>
      </w:r>
      <w:r>
        <w:t>contraceptives for women (</w:t>
      </w:r>
      <w:r w:rsidRPr="005B5C1D">
        <w:t>EMEA/CPMP/EWP/519/98 Rev 1</w:t>
      </w:r>
      <w:r>
        <w:t>)”, 27 July 2005.</w:t>
      </w:r>
      <w:proofErr w:type="gramEnd"/>
    </w:p>
  </w:footnote>
  <w:footnote w:id="5">
    <w:p w:rsidR="00953EBF" w:rsidRPr="00F62D28" w:rsidRDefault="00953EBF" w:rsidP="002A2BB1">
      <w:pPr>
        <w:pStyle w:val="FootnoteText"/>
        <w:rPr>
          <w:lang w:val="en-US"/>
        </w:rPr>
      </w:pPr>
      <w:r>
        <w:rPr>
          <w:rStyle w:val="FootnoteReference"/>
        </w:rPr>
        <w:footnoteRef/>
      </w:r>
      <w:r>
        <w:t xml:space="preserve"> </w:t>
      </w:r>
      <w:proofErr w:type="gramStart"/>
      <w:r w:rsidRPr="00657A6E">
        <w:t xml:space="preserve">Dinger JC, </w:t>
      </w:r>
      <w:r>
        <w:t>et al</w:t>
      </w:r>
      <w:r w:rsidRPr="00657A6E">
        <w:t>. Oral contraceptive effectiveness according to body mass index, weight, age, and other factors.</w:t>
      </w:r>
      <w:proofErr w:type="gramEnd"/>
      <w:r w:rsidRPr="00657A6E">
        <w:t xml:space="preserve"> </w:t>
      </w:r>
      <w:proofErr w:type="gramStart"/>
      <w:r w:rsidRPr="00DB5235">
        <w:rPr>
          <w:i/>
        </w:rPr>
        <w:t>Am</w:t>
      </w:r>
      <w:proofErr w:type="gramEnd"/>
      <w:r w:rsidRPr="00DB5235">
        <w:rPr>
          <w:i/>
        </w:rPr>
        <w:t xml:space="preserve"> J </w:t>
      </w:r>
      <w:proofErr w:type="spellStart"/>
      <w:r w:rsidRPr="00DB5235">
        <w:rPr>
          <w:i/>
        </w:rPr>
        <w:t>Obstet</w:t>
      </w:r>
      <w:proofErr w:type="spellEnd"/>
      <w:r w:rsidRPr="00DB5235">
        <w:rPr>
          <w:i/>
        </w:rPr>
        <w:t xml:space="preserve"> Gynecol.</w:t>
      </w:r>
      <w:r>
        <w:t xml:space="preserve"> 201</w:t>
      </w:r>
      <w:r w:rsidRPr="00657A6E">
        <w:t>:</w:t>
      </w:r>
      <w:r>
        <w:t xml:space="preserve"> </w:t>
      </w:r>
      <w:r w:rsidRPr="00657A6E">
        <w:t>263.e1-9</w:t>
      </w:r>
      <w:r>
        <w:t xml:space="preserve"> (2009).</w:t>
      </w:r>
    </w:p>
  </w:footnote>
  <w:footnote w:id="6">
    <w:p w:rsidR="00953EBF" w:rsidRPr="00657A6E" w:rsidRDefault="00953EBF">
      <w:pPr>
        <w:pStyle w:val="FootnoteText"/>
        <w:rPr>
          <w:lang w:val="en-US"/>
        </w:rPr>
      </w:pPr>
      <w:r>
        <w:rPr>
          <w:rStyle w:val="FootnoteReference"/>
        </w:rPr>
        <w:footnoteRef/>
      </w:r>
      <w:r>
        <w:t xml:space="preserve"> </w:t>
      </w:r>
      <w:r w:rsidRPr="00DB5235">
        <w:t xml:space="preserve">Dinger J, </w:t>
      </w:r>
      <w:r>
        <w:t>et al</w:t>
      </w:r>
      <w:r w:rsidRPr="00DB5235">
        <w:t xml:space="preserve">. Effectiveness of oral contraceptive pills in a large U.S. cohort comparing progestogen and regimen. </w:t>
      </w:r>
      <w:proofErr w:type="spellStart"/>
      <w:r w:rsidRPr="00A96B19">
        <w:rPr>
          <w:i/>
        </w:rPr>
        <w:t>Obstet</w:t>
      </w:r>
      <w:proofErr w:type="spellEnd"/>
      <w:r w:rsidRPr="00A96B19">
        <w:rPr>
          <w:i/>
        </w:rPr>
        <w:t xml:space="preserve"> Gynecol.</w:t>
      </w:r>
      <w:r>
        <w:t xml:space="preserve"> 117</w:t>
      </w:r>
      <w:r w:rsidRPr="00DB5235">
        <w:t>:</w:t>
      </w:r>
      <w:r>
        <w:t xml:space="preserve"> </w:t>
      </w:r>
      <w:r w:rsidRPr="00DB5235">
        <w:t>33-40</w:t>
      </w:r>
      <w:r>
        <w:t xml:space="preserve"> (2011).</w:t>
      </w:r>
    </w:p>
  </w:footnote>
  <w:footnote w:id="7">
    <w:p w:rsidR="00953EBF" w:rsidRPr="00CD1FC7" w:rsidRDefault="00953EBF">
      <w:pPr>
        <w:pStyle w:val="FootnoteText"/>
        <w:rPr>
          <w:lang w:val="en-US"/>
        </w:rPr>
      </w:pPr>
      <w:r>
        <w:rPr>
          <w:rStyle w:val="FootnoteReference"/>
        </w:rPr>
        <w:footnoteRef/>
      </w:r>
      <w:r>
        <w:t xml:space="preserve"> </w:t>
      </w:r>
      <w:r w:rsidRPr="0073527D">
        <w:t xml:space="preserve">Alison </w:t>
      </w:r>
      <w:proofErr w:type="spellStart"/>
      <w:r w:rsidRPr="0073527D">
        <w:t>Brayfield</w:t>
      </w:r>
      <w:proofErr w:type="spellEnd"/>
      <w:r w:rsidRPr="0073527D">
        <w:t xml:space="preserve">, ed. (2014). Martindale: The Complete Drug Reference (38th </w:t>
      </w:r>
      <w:proofErr w:type="gramStart"/>
      <w:r w:rsidRPr="0073527D">
        <w:t>ed</w:t>
      </w:r>
      <w:proofErr w:type="gramEnd"/>
      <w:r w:rsidRPr="0073527D">
        <w:t>.). London: Pharmaceutical Press</w:t>
      </w:r>
      <w:r>
        <w:t>.</w:t>
      </w:r>
    </w:p>
  </w:footnote>
  <w:footnote w:id="8">
    <w:p w:rsidR="00953EBF" w:rsidRPr="004A329E" w:rsidRDefault="00953EBF">
      <w:pPr>
        <w:pStyle w:val="FootnoteText"/>
        <w:rPr>
          <w:lang w:val="en-US"/>
        </w:rPr>
      </w:pPr>
      <w:r>
        <w:rPr>
          <w:rStyle w:val="FootnoteReference"/>
        </w:rPr>
        <w:footnoteRef/>
      </w:r>
      <w:r>
        <w:t xml:space="preserve"> </w:t>
      </w:r>
      <w:r w:rsidRPr="0073527D">
        <w:t xml:space="preserve">Alison </w:t>
      </w:r>
      <w:proofErr w:type="spellStart"/>
      <w:r w:rsidRPr="0073527D">
        <w:t>Brayfield</w:t>
      </w:r>
      <w:proofErr w:type="spellEnd"/>
      <w:r w:rsidRPr="0073527D">
        <w:t xml:space="preserve">, ed. (2014). Martindale: The Complete Drug Reference (38th </w:t>
      </w:r>
      <w:proofErr w:type="gramStart"/>
      <w:r w:rsidRPr="0073527D">
        <w:t>ed</w:t>
      </w:r>
      <w:proofErr w:type="gramEnd"/>
      <w:r w:rsidRPr="0073527D">
        <w:t>.). London: Pharmaceutical Press</w:t>
      </w:r>
      <w:r>
        <w:t>.</w:t>
      </w:r>
    </w:p>
  </w:footnote>
  <w:footnote w:id="9">
    <w:p w:rsidR="00953EBF" w:rsidRPr="004A329E" w:rsidRDefault="00953EBF">
      <w:pPr>
        <w:pStyle w:val="FootnoteText"/>
        <w:rPr>
          <w:lang w:val="en-US"/>
        </w:rPr>
      </w:pPr>
      <w:r>
        <w:rPr>
          <w:rStyle w:val="FootnoteReference"/>
        </w:rPr>
        <w:footnoteRef/>
      </w:r>
      <w:r>
        <w:t xml:space="preserve"> </w:t>
      </w:r>
      <w:proofErr w:type="gramStart"/>
      <w:r w:rsidRPr="00334B14">
        <w:t>Micromedex Insights</w:t>
      </w:r>
      <w:r>
        <w:t>, 2015.</w:t>
      </w:r>
      <w:proofErr w:type="gramEnd"/>
    </w:p>
  </w:footnote>
  <w:footnote w:id="10">
    <w:p w:rsidR="00953EBF" w:rsidRPr="001E2338" w:rsidRDefault="00953EBF">
      <w:pPr>
        <w:pStyle w:val="FootnoteText"/>
        <w:rPr>
          <w:lang w:val="en-US"/>
        </w:rPr>
      </w:pPr>
      <w:r>
        <w:rPr>
          <w:rStyle w:val="FootnoteReference"/>
        </w:rPr>
        <w:footnoteRef/>
      </w:r>
      <w:r>
        <w:t xml:space="preserve"> </w:t>
      </w:r>
      <w:r w:rsidRPr="0073527D">
        <w:t xml:space="preserve">Alison </w:t>
      </w:r>
      <w:proofErr w:type="spellStart"/>
      <w:r w:rsidRPr="0073527D">
        <w:t>Brayfield</w:t>
      </w:r>
      <w:proofErr w:type="spellEnd"/>
      <w:r w:rsidRPr="0073527D">
        <w:t xml:space="preserve">, ed. (2014). Martindale: The Complete Drug Reference (38th </w:t>
      </w:r>
      <w:proofErr w:type="gramStart"/>
      <w:r w:rsidRPr="0073527D">
        <w:t>ed</w:t>
      </w:r>
      <w:proofErr w:type="gramEnd"/>
      <w:r w:rsidRPr="0073527D">
        <w:t>.). London: Pharmaceutical Press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EBF" w:rsidRDefault="00953EB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EBF" w:rsidRDefault="00953EBF">
    <w:pPr>
      <w:rPr>
        <w:noProof/>
        <w:lang w:eastAsia="en-AU"/>
      </w:rPr>
    </w:pPr>
    <w:r w:rsidRPr="00347824">
      <w:rPr>
        <w:noProof/>
        <w:lang w:eastAsia="en-AU"/>
      </w:rPr>
      <w:drawing>
        <wp:anchor distT="0" distB="0" distL="114300" distR="114300" simplePos="0" relativeHeight="251659264" behindDoc="1" locked="0" layoutInCell="1" allowOverlap="1" wp14:anchorId="0C8DB2B3" wp14:editId="330D34C6">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953EBF" w:rsidRDefault="00953EBF" w:rsidP="00593AD1">
    <w:pPr>
      <w:pStyle w:val="HeaderNoLine"/>
    </w:pPr>
    <w:r>
      <w:rPr>
        <w:noProof/>
        <w:lang w:eastAsia="en-AU"/>
      </w:rPr>
      <w:drawing>
        <wp:inline distT="0" distB="0" distL="0" distR="0" wp14:anchorId="1CAE6F2B" wp14:editId="6AEB72ED">
          <wp:extent cx="5400675" cy="7639050"/>
          <wp:effectExtent l="0" t="0" r="9525" b="0"/>
          <wp:docPr id="4" name="Picture 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EBF" w:rsidRDefault="00953EB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EBF" w:rsidRDefault="00953EB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EBF" w:rsidRDefault="00953EB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EBF" w:rsidRDefault="00953EB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EBF" w:rsidRDefault="00953EBF"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EBF" w:rsidRDefault="00953EBF" w:rsidP="006E08B3">
    <w:r>
      <w:t>Therapeutic Goods Administration</w:t>
    </w:r>
  </w:p>
  <w:p w:rsidR="00953EBF" w:rsidRDefault="00953EB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1043CAC"/>
    <w:lvl w:ilvl="0">
      <w:start w:val="1"/>
      <w:numFmt w:val="decimal"/>
      <w:lvlText w:val="%1."/>
      <w:lvlJc w:val="left"/>
      <w:pPr>
        <w:tabs>
          <w:tab w:val="num" w:pos="1492"/>
        </w:tabs>
        <w:ind w:left="1492" w:hanging="360"/>
      </w:pPr>
    </w:lvl>
  </w:abstractNum>
  <w:abstractNum w:abstractNumId="1">
    <w:nsid w:val="FFFFFF7D"/>
    <w:multiLevelType w:val="singleLevel"/>
    <w:tmpl w:val="10E8DA16"/>
    <w:lvl w:ilvl="0">
      <w:start w:val="1"/>
      <w:numFmt w:val="decimal"/>
      <w:lvlText w:val="%1."/>
      <w:lvlJc w:val="left"/>
      <w:pPr>
        <w:tabs>
          <w:tab w:val="num" w:pos="1209"/>
        </w:tabs>
        <w:ind w:left="1209" w:hanging="360"/>
      </w:pPr>
    </w:lvl>
  </w:abstractNum>
  <w:abstractNum w:abstractNumId="2">
    <w:nsid w:val="FFFFFF7E"/>
    <w:multiLevelType w:val="singleLevel"/>
    <w:tmpl w:val="4606AEBE"/>
    <w:lvl w:ilvl="0">
      <w:start w:val="1"/>
      <w:numFmt w:val="decimal"/>
      <w:lvlText w:val="%1."/>
      <w:lvlJc w:val="left"/>
      <w:pPr>
        <w:tabs>
          <w:tab w:val="num" w:pos="926"/>
        </w:tabs>
        <w:ind w:left="926" w:hanging="360"/>
      </w:pPr>
    </w:lvl>
  </w:abstractNum>
  <w:abstractNum w:abstractNumId="3">
    <w:nsid w:val="FFFFFF7F"/>
    <w:multiLevelType w:val="singleLevel"/>
    <w:tmpl w:val="8FFAE0DC"/>
    <w:lvl w:ilvl="0">
      <w:start w:val="1"/>
      <w:numFmt w:val="decimal"/>
      <w:lvlText w:val="%1."/>
      <w:lvlJc w:val="left"/>
      <w:pPr>
        <w:tabs>
          <w:tab w:val="num" w:pos="643"/>
        </w:tabs>
        <w:ind w:left="643" w:hanging="360"/>
      </w:pPr>
    </w:lvl>
  </w:abstractNum>
  <w:abstractNum w:abstractNumId="4">
    <w:nsid w:val="FFFFFF80"/>
    <w:multiLevelType w:val="singleLevel"/>
    <w:tmpl w:val="283E57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07C1CB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F3521266"/>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2BCF57AC"/>
    <w:multiLevelType w:val="hybridMultilevel"/>
    <w:tmpl w:val="132025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D38006F"/>
    <w:multiLevelType w:val="hybridMultilevel"/>
    <w:tmpl w:val="A90CD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cs="Wingdings" w:hint="default"/>
      </w:rPr>
    </w:lvl>
    <w:lvl w:ilvl="3" w:tplc="0C090001">
      <w:start w:val="1"/>
      <w:numFmt w:val="bullet"/>
      <w:lvlText w:val=""/>
      <w:lvlJc w:val="left"/>
      <w:pPr>
        <w:tabs>
          <w:tab w:val="num" w:pos="3164"/>
        </w:tabs>
        <w:ind w:left="3164" w:hanging="360"/>
      </w:pPr>
      <w:rPr>
        <w:rFonts w:ascii="Symbol" w:hAnsi="Symbol" w:cs="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cs="Wingdings" w:hint="default"/>
      </w:rPr>
    </w:lvl>
    <w:lvl w:ilvl="6" w:tplc="0C090001">
      <w:start w:val="1"/>
      <w:numFmt w:val="bullet"/>
      <w:lvlText w:val=""/>
      <w:lvlJc w:val="left"/>
      <w:pPr>
        <w:tabs>
          <w:tab w:val="num" w:pos="5324"/>
        </w:tabs>
        <w:ind w:left="5324" w:hanging="360"/>
      </w:pPr>
      <w:rPr>
        <w:rFonts w:ascii="Symbol" w:hAnsi="Symbol" w:cs="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cs="Wingdings" w:hint="default"/>
      </w:rPr>
    </w:lvl>
  </w:abstractNum>
  <w:abstractNum w:abstractNumId="1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cs="Wingdings" w:hint="default"/>
      </w:rPr>
    </w:lvl>
    <w:lvl w:ilvl="3" w:tplc="0C090001">
      <w:start w:val="1"/>
      <w:numFmt w:val="bullet"/>
      <w:lvlText w:val=""/>
      <w:lvlJc w:val="left"/>
      <w:pPr>
        <w:tabs>
          <w:tab w:val="num" w:pos="3164"/>
        </w:tabs>
        <w:ind w:left="3164" w:hanging="360"/>
      </w:pPr>
      <w:rPr>
        <w:rFonts w:ascii="Symbol" w:hAnsi="Symbol" w:cs="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cs="Wingdings" w:hint="default"/>
      </w:rPr>
    </w:lvl>
    <w:lvl w:ilvl="6" w:tplc="0C090001">
      <w:start w:val="1"/>
      <w:numFmt w:val="bullet"/>
      <w:lvlText w:val=""/>
      <w:lvlJc w:val="left"/>
      <w:pPr>
        <w:tabs>
          <w:tab w:val="num" w:pos="5324"/>
        </w:tabs>
        <w:ind w:left="5324" w:hanging="360"/>
      </w:pPr>
      <w:rPr>
        <w:rFonts w:ascii="Symbol" w:hAnsi="Symbol" w:cs="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cs="Wingdings" w:hint="default"/>
      </w:rPr>
    </w:lvl>
  </w:abstractNum>
  <w:abstractNum w:abstractNumId="17">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C145207"/>
    <w:multiLevelType w:val="hybridMultilevel"/>
    <w:tmpl w:val="1B249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2A35802"/>
    <w:multiLevelType w:val="hybridMultilevel"/>
    <w:tmpl w:val="59DCCFE2"/>
    <w:lvl w:ilvl="0" w:tplc="9D7C2A72">
      <w:start w:val="1"/>
      <w:numFmt w:val="bullet"/>
      <w:lvlText w:val="•"/>
      <w:lvlJc w:val="left"/>
      <w:pPr>
        <w:ind w:left="720" w:hanging="360"/>
      </w:pPr>
      <w:rPr>
        <w:rFonts w:ascii="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num w:numId="1">
    <w:abstractNumId w:val="9"/>
  </w:num>
  <w:num w:numId="2">
    <w:abstractNumId w:val="7"/>
  </w:num>
  <w:num w:numId="3">
    <w:abstractNumId w:val="12"/>
  </w:num>
  <w:num w:numId="4">
    <w:abstractNumId w:val="12"/>
  </w:num>
  <w:num w:numId="5">
    <w:abstractNumId w:val="6"/>
  </w:num>
  <w:num w:numId="6">
    <w:abstractNumId w:val="12"/>
  </w:num>
  <w:num w:numId="7">
    <w:abstractNumId w:val="12"/>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11"/>
  </w:num>
  <w:num w:numId="17">
    <w:abstractNumId w:val="11"/>
  </w:num>
  <w:num w:numId="18">
    <w:abstractNumId w:val="11"/>
  </w:num>
  <w:num w:numId="19">
    <w:abstractNumId w:val="12"/>
  </w:num>
  <w:num w:numId="20">
    <w:abstractNumId w:val="12"/>
  </w:num>
  <w:num w:numId="21">
    <w:abstractNumId w:val="12"/>
  </w:num>
  <w:num w:numId="22">
    <w:abstractNumId w:val="11"/>
  </w:num>
  <w:num w:numId="23">
    <w:abstractNumId w:val="11"/>
  </w:num>
  <w:num w:numId="24">
    <w:abstractNumId w:val="11"/>
  </w:num>
  <w:num w:numId="25">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4"/>
  </w:num>
  <w:num w:numId="28">
    <w:abstractNumId w:val="17"/>
  </w:num>
  <w:num w:numId="29">
    <w:abstractNumId w:val="15"/>
  </w:num>
  <w:num w:numId="30">
    <w:abstractNumId w:val="16"/>
  </w:num>
  <w:num w:numId="31">
    <w:abstractNumId w:val="19"/>
  </w:num>
  <w:num w:numId="32">
    <w:abstractNumId w:val="18"/>
  </w:num>
  <w:num w:numId="33">
    <w:abstractNumId w:val="13"/>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0A"/>
    <w:rsid w:val="00002031"/>
    <w:rsid w:val="00004734"/>
    <w:rsid w:val="00006B22"/>
    <w:rsid w:val="0001276A"/>
    <w:rsid w:val="000246AE"/>
    <w:rsid w:val="00025C67"/>
    <w:rsid w:val="00027916"/>
    <w:rsid w:val="00036EE1"/>
    <w:rsid w:val="00044772"/>
    <w:rsid w:val="0005265B"/>
    <w:rsid w:val="000548E8"/>
    <w:rsid w:val="0005559E"/>
    <w:rsid w:val="000604D6"/>
    <w:rsid w:val="00061BEF"/>
    <w:rsid w:val="000636F7"/>
    <w:rsid w:val="00064DD5"/>
    <w:rsid w:val="000734D8"/>
    <w:rsid w:val="00077775"/>
    <w:rsid w:val="00085175"/>
    <w:rsid w:val="00090471"/>
    <w:rsid w:val="00096AA7"/>
    <w:rsid w:val="000A0770"/>
    <w:rsid w:val="000A3AED"/>
    <w:rsid w:val="000B3532"/>
    <w:rsid w:val="000B3A75"/>
    <w:rsid w:val="000B442F"/>
    <w:rsid w:val="000C00C2"/>
    <w:rsid w:val="000C690F"/>
    <w:rsid w:val="000D1295"/>
    <w:rsid w:val="000D391B"/>
    <w:rsid w:val="000D3D6D"/>
    <w:rsid w:val="000D4FC7"/>
    <w:rsid w:val="000E529F"/>
    <w:rsid w:val="000E6196"/>
    <w:rsid w:val="000F4869"/>
    <w:rsid w:val="000F5B42"/>
    <w:rsid w:val="000F6E6F"/>
    <w:rsid w:val="0010601F"/>
    <w:rsid w:val="0010788A"/>
    <w:rsid w:val="00107A31"/>
    <w:rsid w:val="00110EA5"/>
    <w:rsid w:val="00112F56"/>
    <w:rsid w:val="00125318"/>
    <w:rsid w:val="001305A2"/>
    <w:rsid w:val="00133238"/>
    <w:rsid w:val="00133A1B"/>
    <w:rsid w:val="00137DCB"/>
    <w:rsid w:val="0014197B"/>
    <w:rsid w:val="001447CD"/>
    <w:rsid w:val="001516B1"/>
    <w:rsid w:val="0015400E"/>
    <w:rsid w:val="00154EBB"/>
    <w:rsid w:val="00156316"/>
    <w:rsid w:val="00161181"/>
    <w:rsid w:val="00162D14"/>
    <w:rsid w:val="00165389"/>
    <w:rsid w:val="00167021"/>
    <w:rsid w:val="0016764D"/>
    <w:rsid w:val="00171E3C"/>
    <w:rsid w:val="001730D4"/>
    <w:rsid w:val="0017693F"/>
    <w:rsid w:val="0018110E"/>
    <w:rsid w:val="0018155D"/>
    <w:rsid w:val="00181684"/>
    <w:rsid w:val="001843C6"/>
    <w:rsid w:val="001850E0"/>
    <w:rsid w:val="001968E7"/>
    <w:rsid w:val="001A2158"/>
    <w:rsid w:val="001A2256"/>
    <w:rsid w:val="001A525F"/>
    <w:rsid w:val="001B09F9"/>
    <w:rsid w:val="001B5C90"/>
    <w:rsid w:val="001B6448"/>
    <w:rsid w:val="001C32CD"/>
    <w:rsid w:val="001C420C"/>
    <w:rsid w:val="001D2984"/>
    <w:rsid w:val="001D30AB"/>
    <w:rsid w:val="001D5F7B"/>
    <w:rsid w:val="001E07CF"/>
    <w:rsid w:val="001E2338"/>
    <w:rsid w:val="001E59F1"/>
    <w:rsid w:val="001F0560"/>
    <w:rsid w:val="001F2CEE"/>
    <w:rsid w:val="001F49EB"/>
    <w:rsid w:val="001F6CBA"/>
    <w:rsid w:val="001F70BB"/>
    <w:rsid w:val="00201D4E"/>
    <w:rsid w:val="002076C9"/>
    <w:rsid w:val="00220B8A"/>
    <w:rsid w:val="002257F3"/>
    <w:rsid w:val="00231B30"/>
    <w:rsid w:val="00232A97"/>
    <w:rsid w:val="00233456"/>
    <w:rsid w:val="002339A5"/>
    <w:rsid w:val="0023782B"/>
    <w:rsid w:val="00241A41"/>
    <w:rsid w:val="00257848"/>
    <w:rsid w:val="00266DA1"/>
    <w:rsid w:val="0027084A"/>
    <w:rsid w:val="00280173"/>
    <w:rsid w:val="0028070D"/>
    <w:rsid w:val="00281C96"/>
    <w:rsid w:val="00286434"/>
    <w:rsid w:val="00286C59"/>
    <w:rsid w:val="00291957"/>
    <w:rsid w:val="002942D1"/>
    <w:rsid w:val="0029501A"/>
    <w:rsid w:val="002A27AC"/>
    <w:rsid w:val="002A2BB1"/>
    <w:rsid w:val="002A3721"/>
    <w:rsid w:val="002B1638"/>
    <w:rsid w:val="002B1A75"/>
    <w:rsid w:val="002B3624"/>
    <w:rsid w:val="002C5117"/>
    <w:rsid w:val="002D0952"/>
    <w:rsid w:val="002D0CA7"/>
    <w:rsid w:val="002D1789"/>
    <w:rsid w:val="002E40B3"/>
    <w:rsid w:val="002E4C9A"/>
    <w:rsid w:val="002F11F8"/>
    <w:rsid w:val="002F3F56"/>
    <w:rsid w:val="002F44B5"/>
    <w:rsid w:val="00305F8F"/>
    <w:rsid w:val="00311AC0"/>
    <w:rsid w:val="00321025"/>
    <w:rsid w:val="0032583B"/>
    <w:rsid w:val="00327883"/>
    <w:rsid w:val="00334B14"/>
    <w:rsid w:val="00335504"/>
    <w:rsid w:val="003373D3"/>
    <w:rsid w:val="00340C18"/>
    <w:rsid w:val="00343024"/>
    <w:rsid w:val="003442FD"/>
    <w:rsid w:val="00347824"/>
    <w:rsid w:val="00350567"/>
    <w:rsid w:val="003516DE"/>
    <w:rsid w:val="003521E8"/>
    <w:rsid w:val="00370CE3"/>
    <w:rsid w:val="00370DE0"/>
    <w:rsid w:val="003728F3"/>
    <w:rsid w:val="0037496E"/>
    <w:rsid w:val="003779A7"/>
    <w:rsid w:val="00383221"/>
    <w:rsid w:val="00385DA9"/>
    <w:rsid w:val="00386150"/>
    <w:rsid w:val="003874CE"/>
    <w:rsid w:val="00390900"/>
    <w:rsid w:val="003956E7"/>
    <w:rsid w:val="00396FDD"/>
    <w:rsid w:val="003A584C"/>
    <w:rsid w:val="003A7F6C"/>
    <w:rsid w:val="003B3CE4"/>
    <w:rsid w:val="003B4D60"/>
    <w:rsid w:val="003B7E39"/>
    <w:rsid w:val="003C34A0"/>
    <w:rsid w:val="003C58DC"/>
    <w:rsid w:val="003D1E62"/>
    <w:rsid w:val="003D3891"/>
    <w:rsid w:val="003D4FFE"/>
    <w:rsid w:val="003E0B99"/>
    <w:rsid w:val="003E2486"/>
    <w:rsid w:val="003E3208"/>
    <w:rsid w:val="003F0B04"/>
    <w:rsid w:val="003F7F72"/>
    <w:rsid w:val="0040134E"/>
    <w:rsid w:val="00401EDA"/>
    <w:rsid w:val="00425D2F"/>
    <w:rsid w:val="00432FAB"/>
    <w:rsid w:val="004334C7"/>
    <w:rsid w:val="00440A2D"/>
    <w:rsid w:val="00441C3F"/>
    <w:rsid w:val="004564A7"/>
    <w:rsid w:val="00460869"/>
    <w:rsid w:val="004617BF"/>
    <w:rsid w:val="00463658"/>
    <w:rsid w:val="004637A0"/>
    <w:rsid w:val="004655F0"/>
    <w:rsid w:val="00470A2D"/>
    <w:rsid w:val="004722CC"/>
    <w:rsid w:val="0047566A"/>
    <w:rsid w:val="004936E4"/>
    <w:rsid w:val="00494E60"/>
    <w:rsid w:val="00495F4B"/>
    <w:rsid w:val="00497269"/>
    <w:rsid w:val="00497487"/>
    <w:rsid w:val="004A329E"/>
    <w:rsid w:val="004A6189"/>
    <w:rsid w:val="004A7390"/>
    <w:rsid w:val="004B50F5"/>
    <w:rsid w:val="004B5AA1"/>
    <w:rsid w:val="004B7B76"/>
    <w:rsid w:val="004C239D"/>
    <w:rsid w:val="004C2DCA"/>
    <w:rsid w:val="004C61D2"/>
    <w:rsid w:val="004F0C4A"/>
    <w:rsid w:val="004F0F38"/>
    <w:rsid w:val="004F47D6"/>
    <w:rsid w:val="00500DAF"/>
    <w:rsid w:val="00501921"/>
    <w:rsid w:val="0051131E"/>
    <w:rsid w:val="00515569"/>
    <w:rsid w:val="00515BDB"/>
    <w:rsid w:val="00520A14"/>
    <w:rsid w:val="00530354"/>
    <w:rsid w:val="005303A8"/>
    <w:rsid w:val="0053625B"/>
    <w:rsid w:val="005434C6"/>
    <w:rsid w:val="00543B39"/>
    <w:rsid w:val="00546154"/>
    <w:rsid w:val="00550096"/>
    <w:rsid w:val="00555280"/>
    <w:rsid w:val="00557FF9"/>
    <w:rsid w:val="00562327"/>
    <w:rsid w:val="005657A0"/>
    <w:rsid w:val="005711D5"/>
    <w:rsid w:val="00576378"/>
    <w:rsid w:val="0057645B"/>
    <w:rsid w:val="00577130"/>
    <w:rsid w:val="00577945"/>
    <w:rsid w:val="00577E38"/>
    <w:rsid w:val="005825AA"/>
    <w:rsid w:val="00584594"/>
    <w:rsid w:val="00585322"/>
    <w:rsid w:val="005857C6"/>
    <w:rsid w:val="00592F6E"/>
    <w:rsid w:val="00593AD1"/>
    <w:rsid w:val="005A2529"/>
    <w:rsid w:val="005A68B6"/>
    <w:rsid w:val="005A6C65"/>
    <w:rsid w:val="005B5C1D"/>
    <w:rsid w:val="005C376C"/>
    <w:rsid w:val="005C5570"/>
    <w:rsid w:val="005C79A4"/>
    <w:rsid w:val="005D5442"/>
    <w:rsid w:val="005E6316"/>
    <w:rsid w:val="005F38FB"/>
    <w:rsid w:val="00603F32"/>
    <w:rsid w:val="00605AD4"/>
    <w:rsid w:val="00625A6E"/>
    <w:rsid w:val="00626F80"/>
    <w:rsid w:val="00632398"/>
    <w:rsid w:val="00640FC3"/>
    <w:rsid w:val="00642020"/>
    <w:rsid w:val="0065337B"/>
    <w:rsid w:val="0065419D"/>
    <w:rsid w:val="00655F3B"/>
    <w:rsid w:val="00657A6E"/>
    <w:rsid w:val="006604D8"/>
    <w:rsid w:val="0066257E"/>
    <w:rsid w:val="00662B8F"/>
    <w:rsid w:val="00663FE9"/>
    <w:rsid w:val="00664A5B"/>
    <w:rsid w:val="0066735C"/>
    <w:rsid w:val="006763D2"/>
    <w:rsid w:val="00680C08"/>
    <w:rsid w:val="00682E41"/>
    <w:rsid w:val="00684424"/>
    <w:rsid w:val="00690658"/>
    <w:rsid w:val="006916A0"/>
    <w:rsid w:val="006928C3"/>
    <w:rsid w:val="006931B1"/>
    <w:rsid w:val="00696733"/>
    <w:rsid w:val="006A0938"/>
    <w:rsid w:val="006A15C0"/>
    <w:rsid w:val="006C3E2A"/>
    <w:rsid w:val="006C5B9C"/>
    <w:rsid w:val="006C642F"/>
    <w:rsid w:val="006D03E5"/>
    <w:rsid w:val="006D5D3E"/>
    <w:rsid w:val="006D6449"/>
    <w:rsid w:val="006E08B3"/>
    <w:rsid w:val="006E4E63"/>
    <w:rsid w:val="006F17AC"/>
    <w:rsid w:val="006F23C8"/>
    <w:rsid w:val="006F25B8"/>
    <w:rsid w:val="006F572E"/>
    <w:rsid w:val="006F771E"/>
    <w:rsid w:val="0070133A"/>
    <w:rsid w:val="007046D6"/>
    <w:rsid w:val="00705DB0"/>
    <w:rsid w:val="0071224F"/>
    <w:rsid w:val="00722074"/>
    <w:rsid w:val="00722B57"/>
    <w:rsid w:val="00730F8A"/>
    <w:rsid w:val="0073527D"/>
    <w:rsid w:val="00735A8C"/>
    <w:rsid w:val="0074125D"/>
    <w:rsid w:val="0074253D"/>
    <w:rsid w:val="0074429B"/>
    <w:rsid w:val="007615BC"/>
    <w:rsid w:val="00762F05"/>
    <w:rsid w:val="007652FF"/>
    <w:rsid w:val="00770CAC"/>
    <w:rsid w:val="00770EF1"/>
    <w:rsid w:val="00773AC2"/>
    <w:rsid w:val="00773EF7"/>
    <w:rsid w:val="00774E1D"/>
    <w:rsid w:val="007765D8"/>
    <w:rsid w:val="0077675A"/>
    <w:rsid w:val="00780355"/>
    <w:rsid w:val="007819FD"/>
    <w:rsid w:val="00785717"/>
    <w:rsid w:val="00785721"/>
    <w:rsid w:val="00793A59"/>
    <w:rsid w:val="007A3B0A"/>
    <w:rsid w:val="007B6132"/>
    <w:rsid w:val="007B6E9F"/>
    <w:rsid w:val="007B720A"/>
    <w:rsid w:val="007C1216"/>
    <w:rsid w:val="007C1AF7"/>
    <w:rsid w:val="007C5A5E"/>
    <w:rsid w:val="007C6B9B"/>
    <w:rsid w:val="007C775E"/>
    <w:rsid w:val="007C7E06"/>
    <w:rsid w:val="007E4282"/>
    <w:rsid w:val="007F4D8D"/>
    <w:rsid w:val="00801850"/>
    <w:rsid w:val="00802B65"/>
    <w:rsid w:val="00805D27"/>
    <w:rsid w:val="00806DCB"/>
    <w:rsid w:val="00812AF3"/>
    <w:rsid w:val="00821776"/>
    <w:rsid w:val="008321F5"/>
    <w:rsid w:val="00832369"/>
    <w:rsid w:val="008338CF"/>
    <w:rsid w:val="00834660"/>
    <w:rsid w:val="0083545F"/>
    <w:rsid w:val="00836BC2"/>
    <w:rsid w:val="0084305A"/>
    <w:rsid w:val="0085156D"/>
    <w:rsid w:val="0085641B"/>
    <w:rsid w:val="00857136"/>
    <w:rsid w:val="00875B96"/>
    <w:rsid w:val="00885B11"/>
    <w:rsid w:val="0088611C"/>
    <w:rsid w:val="00886D15"/>
    <w:rsid w:val="00887DD8"/>
    <w:rsid w:val="00891BA9"/>
    <w:rsid w:val="00896018"/>
    <w:rsid w:val="008960DD"/>
    <w:rsid w:val="0089635C"/>
    <w:rsid w:val="008A2B9D"/>
    <w:rsid w:val="008A3359"/>
    <w:rsid w:val="008A3D9F"/>
    <w:rsid w:val="008A5E0B"/>
    <w:rsid w:val="008A6D59"/>
    <w:rsid w:val="008B28CA"/>
    <w:rsid w:val="008B4B03"/>
    <w:rsid w:val="008B596F"/>
    <w:rsid w:val="008C159F"/>
    <w:rsid w:val="008C1623"/>
    <w:rsid w:val="008C1850"/>
    <w:rsid w:val="008C51A9"/>
    <w:rsid w:val="008C58B6"/>
    <w:rsid w:val="008D7766"/>
    <w:rsid w:val="008E5F17"/>
    <w:rsid w:val="008E5F80"/>
    <w:rsid w:val="008E7846"/>
    <w:rsid w:val="008F02E5"/>
    <w:rsid w:val="008F1CCC"/>
    <w:rsid w:val="008F2967"/>
    <w:rsid w:val="008F6943"/>
    <w:rsid w:val="00901270"/>
    <w:rsid w:val="009012AE"/>
    <w:rsid w:val="00902A21"/>
    <w:rsid w:val="00913997"/>
    <w:rsid w:val="00920330"/>
    <w:rsid w:val="009219D7"/>
    <w:rsid w:val="00922D53"/>
    <w:rsid w:val="00923B70"/>
    <w:rsid w:val="00924482"/>
    <w:rsid w:val="00924D2E"/>
    <w:rsid w:val="00930237"/>
    <w:rsid w:val="00937C17"/>
    <w:rsid w:val="00940A89"/>
    <w:rsid w:val="00941C8E"/>
    <w:rsid w:val="00946EA5"/>
    <w:rsid w:val="00950F3D"/>
    <w:rsid w:val="00953EBF"/>
    <w:rsid w:val="00963C08"/>
    <w:rsid w:val="00970D79"/>
    <w:rsid w:val="00971B1D"/>
    <w:rsid w:val="009749A2"/>
    <w:rsid w:val="009752A5"/>
    <w:rsid w:val="0098585A"/>
    <w:rsid w:val="0099163E"/>
    <w:rsid w:val="009954C5"/>
    <w:rsid w:val="009A4CED"/>
    <w:rsid w:val="009A690D"/>
    <w:rsid w:val="009B1D12"/>
    <w:rsid w:val="009B416B"/>
    <w:rsid w:val="009C4BD5"/>
    <w:rsid w:val="009C7076"/>
    <w:rsid w:val="009C743B"/>
    <w:rsid w:val="009D5FA7"/>
    <w:rsid w:val="009D69A0"/>
    <w:rsid w:val="009D7B77"/>
    <w:rsid w:val="009E0BB0"/>
    <w:rsid w:val="009E3FBB"/>
    <w:rsid w:val="009F00F9"/>
    <w:rsid w:val="009F7353"/>
    <w:rsid w:val="00A04F85"/>
    <w:rsid w:val="00A05FA4"/>
    <w:rsid w:val="00A102E4"/>
    <w:rsid w:val="00A11C49"/>
    <w:rsid w:val="00A12C42"/>
    <w:rsid w:val="00A14DF7"/>
    <w:rsid w:val="00A23EA0"/>
    <w:rsid w:val="00A3246D"/>
    <w:rsid w:val="00A33A00"/>
    <w:rsid w:val="00A3697E"/>
    <w:rsid w:val="00A36FA7"/>
    <w:rsid w:val="00A43F95"/>
    <w:rsid w:val="00A44DDB"/>
    <w:rsid w:val="00A475B7"/>
    <w:rsid w:val="00A47AF7"/>
    <w:rsid w:val="00A47C3E"/>
    <w:rsid w:val="00A50226"/>
    <w:rsid w:val="00A56F2B"/>
    <w:rsid w:val="00A60BAD"/>
    <w:rsid w:val="00A61AD1"/>
    <w:rsid w:val="00A70B37"/>
    <w:rsid w:val="00A71681"/>
    <w:rsid w:val="00A80B5B"/>
    <w:rsid w:val="00A84E36"/>
    <w:rsid w:val="00A964D1"/>
    <w:rsid w:val="00A96B19"/>
    <w:rsid w:val="00AA0B32"/>
    <w:rsid w:val="00AA0ED0"/>
    <w:rsid w:val="00AA7E27"/>
    <w:rsid w:val="00AB0A56"/>
    <w:rsid w:val="00AB7A0F"/>
    <w:rsid w:val="00AC2B40"/>
    <w:rsid w:val="00AC2BB2"/>
    <w:rsid w:val="00AC2C3C"/>
    <w:rsid w:val="00AC512D"/>
    <w:rsid w:val="00AD0083"/>
    <w:rsid w:val="00AD3935"/>
    <w:rsid w:val="00AD7EBE"/>
    <w:rsid w:val="00AE65EB"/>
    <w:rsid w:val="00AE67A7"/>
    <w:rsid w:val="00AF1D94"/>
    <w:rsid w:val="00AF35A1"/>
    <w:rsid w:val="00AF60C5"/>
    <w:rsid w:val="00B009C6"/>
    <w:rsid w:val="00B010C8"/>
    <w:rsid w:val="00B01548"/>
    <w:rsid w:val="00B10A51"/>
    <w:rsid w:val="00B13EBD"/>
    <w:rsid w:val="00B21BFE"/>
    <w:rsid w:val="00B21D29"/>
    <w:rsid w:val="00B22820"/>
    <w:rsid w:val="00B244BA"/>
    <w:rsid w:val="00B25034"/>
    <w:rsid w:val="00B33588"/>
    <w:rsid w:val="00B33863"/>
    <w:rsid w:val="00B37D17"/>
    <w:rsid w:val="00B4175E"/>
    <w:rsid w:val="00B452CE"/>
    <w:rsid w:val="00B51D08"/>
    <w:rsid w:val="00B54C25"/>
    <w:rsid w:val="00B57E92"/>
    <w:rsid w:val="00B6537C"/>
    <w:rsid w:val="00B65480"/>
    <w:rsid w:val="00B65ABD"/>
    <w:rsid w:val="00B65D85"/>
    <w:rsid w:val="00B6707D"/>
    <w:rsid w:val="00B73D60"/>
    <w:rsid w:val="00B76B91"/>
    <w:rsid w:val="00B77EB1"/>
    <w:rsid w:val="00B811C6"/>
    <w:rsid w:val="00B855B0"/>
    <w:rsid w:val="00B87A7E"/>
    <w:rsid w:val="00B9212B"/>
    <w:rsid w:val="00B92E08"/>
    <w:rsid w:val="00B939E7"/>
    <w:rsid w:val="00BA1CFD"/>
    <w:rsid w:val="00BA2AEF"/>
    <w:rsid w:val="00BB7BCE"/>
    <w:rsid w:val="00BC1B0A"/>
    <w:rsid w:val="00BC505C"/>
    <w:rsid w:val="00BC622A"/>
    <w:rsid w:val="00BC70E6"/>
    <w:rsid w:val="00BD7F5A"/>
    <w:rsid w:val="00BE0A78"/>
    <w:rsid w:val="00BE35A3"/>
    <w:rsid w:val="00BE79F0"/>
    <w:rsid w:val="00BF046D"/>
    <w:rsid w:val="00BF1190"/>
    <w:rsid w:val="00BF5D04"/>
    <w:rsid w:val="00C009AA"/>
    <w:rsid w:val="00C1164D"/>
    <w:rsid w:val="00C16861"/>
    <w:rsid w:val="00C346AB"/>
    <w:rsid w:val="00C404A6"/>
    <w:rsid w:val="00C40A36"/>
    <w:rsid w:val="00C44419"/>
    <w:rsid w:val="00C45E7B"/>
    <w:rsid w:val="00C471B1"/>
    <w:rsid w:val="00C47846"/>
    <w:rsid w:val="00C6316B"/>
    <w:rsid w:val="00C634A9"/>
    <w:rsid w:val="00C64586"/>
    <w:rsid w:val="00C70D53"/>
    <w:rsid w:val="00C73D0B"/>
    <w:rsid w:val="00C765F0"/>
    <w:rsid w:val="00C772FF"/>
    <w:rsid w:val="00C80137"/>
    <w:rsid w:val="00C801AF"/>
    <w:rsid w:val="00C80256"/>
    <w:rsid w:val="00C94157"/>
    <w:rsid w:val="00C9475A"/>
    <w:rsid w:val="00C94CD4"/>
    <w:rsid w:val="00C9747E"/>
    <w:rsid w:val="00CA3D7F"/>
    <w:rsid w:val="00CB6BC0"/>
    <w:rsid w:val="00CC1B7C"/>
    <w:rsid w:val="00CC5DF0"/>
    <w:rsid w:val="00CC66CA"/>
    <w:rsid w:val="00CC727F"/>
    <w:rsid w:val="00CD1FC7"/>
    <w:rsid w:val="00CD7B1A"/>
    <w:rsid w:val="00CE0AD7"/>
    <w:rsid w:val="00CE429D"/>
    <w:rsid w:val="00CF15C3"/>
    <w:rsid w:val="00CF2B6F"/>
    <w:rsid w:val="00CF2F3E"/>
    <w:rsid w:val="00CF58B6"/>
    <w:rsid w:val="00D0062D"/>
    <w:rsid w:val="00D017ED"/>
    <w:rsid w:val="00D02FA7"/>
    <w:rsid w:val="00D03D91"/>
    <w:rsid w:val="00D040D3"/>
    <w:rsid w:val="00D04C65"/>
    <w:rsid w:val="00D12B69"/>
    <w:rsid w:val="00D201D2"/>
    <w:rsid w:val="00D224FE"/>
    <w:rsid w:val="00D23139"/>
    <w:rsid w:val="00D346FF"/>
    <w:rsid w:val="00D40C1D"/>
    <w:rsid w:val="00D425BB"/>
    <w:rsid w:val="00D51576"/>
    <w:rsid w:val="00D620E1"/>
    <w:rsid w:val="00D6493E"/>
    <w:rsid w:val="00D7195D"/>
    <w:rsid w:val="00D7301E"/>
    <w:rsid w:val="00D83AE1"/>
    <w:rsid w:val="00D855D4"/>
    <w:rsid w:val="00D902C9"/>
    <w:rsid w:val="00D93466"/>
    <w:rsid w:val="00DA1124"/>
    <w:rsid w:val="00DB15B7"/>
    <w:rsid w:val="00DB5235"/>
    <w:rsid w:val="00DB6124"/>
    <w:rsid w:val="00DB750B"/>
    <w:rsid w:val="00DB75B7"/>
    <w:rsid w:val="00DC6E02"/>
    <w:rsid w:val="00DD28CD"/>
    <w:rsid w:val="00DD4ABD"/>
    <w:rsid w:val="00DE02AE"/>
    <w:rsid w:val="00DF1D7F"/>
    <w:rsid w:val="00DF4BE4"/>
    <w:rsid w:val="00DF7AD9"/>
    <w:rsid w:val="00E02FB4"/>
    <w:rsid w:val="00E07056"/>
    <w:rsid w:val="00E13FC7"/>
    <w:rsid w:val="00E20571"/>
    <w:rsid w:val="00E235F7"/>
    <w:rsid w:val="00E23659"/>
    <w:rsid w:val="00E239D4"/>
    <w:rsid w:val="00E26130"/>
    <w:rsid w:val="00E40B22"/>
    <w:rsid w:val="00E42DD4"/>
    <w:rsid w:val="00E44ED1"/>
    <w:rsid w:val="00E45619"/>
    <w:rsid w:val="00E4588F"/>
    <w:rsid w:val="00E46DA3"/>
    <w:rsid w:val="00E51BB1"/>
    <w:rsid w:val="00E624A5"/>
    <w:rsid w:val="00E63418"/>
    <w:rsid w:val="00E6341B"/>
    <w:rsid w:val="00E64BA4"/>
    <w:rsid w:val="00E7344E"/>
    <w:rsid w:val="00E82665"/>
    <w:rsid w:val="00E83C7D"/>
    <w:rsid w:val="00E92BEA"/>
    <w:rsid w:val="00EA0C54"/>
    <w:rsid w:val="00EA6D75"/>
    <w:rsid w:val="00EB0798"/>
    <w:rsid w:val="00EB1785"/>
    <w:rsid w:val="00EB40AD"/>
    <w:rsid w:val="00EB586E"/>
    <w:rsid w:val="00EB5FC8"/>
    <w:rsid w:val="00EC41EE"/>
    <w:rsid w:val="00EC463D"/>
    <w:rsid w:val="00EC50E9"/>
    <w:rsid w:val="00EC7A85"/>
    <w:rsid w:val="00ED2922"/>
    <w:rsid w:val="00ED3CAD"/>
    <w:rsid w:val="00ED5A41"/>
    <w:rsid w:val="00ED6955"/>
    <w:rsid w:val="00EE1DE8"/>
    <w:rsid w:val="00EE27C2"/>
    <w:rsid w:val="00EE5211"/>
    <w:rsid w:val="00EE6EED"/>
    <w:rsid w:val="00EF1B33"/>
    <w:rsid w:val="00EF1FEB"/>
    <w:rsid w:val="00EF4BAD"/>
    <w:rsid w:val="00EF4FC0"/>
    <w:rsid w:val="00F033EC"/>
    <w:rsid w:val="00F04F68"/>
    <w:rsid w:val="00F1158B"/>
    <w:rsid w:val="00F12670"/>
    <w:rsid w:val="00F14B27"/>
    <w:rsid w:val="00F300CE"/>
    <w:rsid w:val="00F3148D"/>
    <w:rsid w:val="00F325C5"/>
    <w:rsid w:val="00F32B65"/>
    <w:rsid w:val="00F32FE0"/>
    <w:rsid w:val="00F35298"/>
    <w:rsid w:val="00F4309D"/>
    <w:rsid w:val="00F44924"/>
    <w:rsid w:val="00F45446"/>
    <w:rsid w:val="00F47333"/>
    <w:rsid w:val="00F47E37"/>
    <w:rsid w:val="00F519D9"/>
    <w:rsid w:val="00F53C07"/>
    <w:rsid w:val="00F54B65"/>
    <w:rsid w:val="00F62B3C"/>
    <w:rsid w:val="00F62D28"/>
    <w:rsid w:val="00F640B6"/>
    <w:rsid w:val="00F66DF2"/>
    <w:rsid w:val="00F75990"/>
    <w:rsid w:val="00F7714E"/>
    <w:rsid w:val="00F80E40"/>
    <w:rsid w:val="00F81752"/>
    <w:rsid w:val="00F848D9"/>
    <w:rsid w:val="00FA2D4F"/>
    <w:rsid w:val="00FA5B82"/>
    <w:rsid w:val="00FA639E"/>
    <w:rsid w:val="00FA63BB"/>
    <w:rsid w:val="00FB3A9A"/>
    <w:rsid w:val="00FB7137"/>
    <w:rsid w:val="00FC1FCA"/>
    <w:rsid w:val="00FC25E4"/>
    <w:rsid w:val="00FC4EF7"/>
    <w:rsid w:val="00FC5D38"/>
    <w:rsid w:val="00FD0824"/>
    <w:rsid w:val="00FD119B"/>
    <w:rsid w:val="00FD1EDC"/>
    <w:rsid w:val="00FD1F03"/>
    <w:rsid w:val="00FD40E5"/>
    <w:rsid w:val="00FE1DEE"/>
    <w:rsid w:val="00FF2126"/>
    <w:rsid w:val="00FF33DC"/>
    <w:rsid w:val="00FF3719"/>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2A2BB1"/>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A96B1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96B1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99"/>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A2BB1"/>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99"/>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FC5D38"/>
    <w:pPr>
      <w:tabs>
        <w:tab w:val="left" w:pos="567"/>
      </w:tabs>
      <w:spacing w:before="0" w:after="0" w:line="240" w:lineRule="auto"/>
      <w:ind w:left="720"/>
      <w:contextualSpacing/>
      <w:jc w:val="both"/>
    </w:pPr>
    <w:rPr>
      <w:rFonts w:ascii="Arial" w:eastAsia="MS Mincho" w:hAnsi="Arial"/>
      <w:sz w:val="20"/>
      <w:szCs w:val="20"/>
    </w:rPr>
  </w:style>
  <w:style w:type="paragraph" w:customStyle="1" w:styleId="Bulletpoint">
    <w:name w:val="Bullet point"/>
    <w:basedOn w:val="Normal"/>
    <w:rsid w:val="005A2529"/>
    <w:pPr>
      <w:numPr>
        <w:numId w:val="28"/>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Bullet1">
    <w:name w:val="Bullet 1"/>
    <w:basedOn w:val="Normal"/>
    <w:uiPriority w:val="99"/>
    <w:rsid w:val="00812AF3"/>
    <w:pPr>
      <w:numPr>
        <w:numId w:val="29"/>
      </w:numPr>
      <w:spacing w:after="0" w:line="240" w:lineRule="auto"/>
    </w:pPr>
    <w:rPr>
      <w:rFonts w:eastAsia="Times New Roman" w:cs="Cambria"/>
      <w:kern w:val="24"/>
      <w:lang w:eastAsia="en-AU"/>
    </w:rPr>
  </w:style>
  <w:style w:type="paragraph" w:customStyle="1" w:styleId="Bullet2">
    <w:name w:val="Bullet 2"/>
    <w:basedOn w:val="Bullet1"/>
    <w:uiPriority w:val="99"/>
    <w:rsid w:val="00812AF3"/>
    <w:pPr>
      <w:numPr>
        <w:numId w:val="30"/>
      </w:numPr>
    </w:pPr>
  </w:style>
  <w:style w:type="character" w:customStyle="1" w:styleId="Heading8Char">
    <w:name w:val="Heading 8 Char"/>
    <w:basedOn w:val="DefaultParagraphFont"/>
    <w:link w:val="Heading8"/>
    <w:uiPriority w:val="9"/>
    <w:semiHidden/>
    <w:rsid w:val="00A96B1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96B19"/>
    <w:rPr>
      <w:rFonts w:asciiTheme="majorHAnsi" w:eastAsiaTheme="majorEastAsia" w:hAnsiTheme="majorHAnsi" w:cstheme="majorBidi"/>
      <w:i/>
      <w:iCs/>
      <w:color w:val="404040" w:themeColor="text1" w:themeTint="BF"/>
      <w:sz w:val="20"/>
      <w:szCs w:val="20"/>
    </w:rPr>
  </w:style>
  <w:style w:type="paragraph" w:customStyle="1" w:styleId="Comment1">
    <w:name w:val="Comment 1"/>
    <w:basedOn w:val="Normal"/>
    <w:next w:val="Normal"/>
    <w:uiPriority w:val="99"/>
    <w:rsid w:val="000E529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Calibri"/>
      <w:kern w:val="16"/>
      <w:lang w:eastAsia="en-AU"/>
    </w:rPr>
  </w:style>
  <w:style w:type="character" w:customStyle="1" w:styleId="st1">
    <w:name w:val="st1"/>
    <w:basedOn w:val="DefaultParagraphFont"/>
    <w:rsid w:val="00C765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2A2BB1"/>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A96B1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96B1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99"/>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A2BB1"/>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99"/>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FC5D38"/>
    <w:pPr>
      <w:tabs>
        <w:tab w:val="left" w:pos="567"/>
      </w:tabs>
      <w:spacing w:before="0" w:after="0" w:line="240" w:lineRule="auto"/>
      <w:ind w:left="720"/>
      <w:contextualSpacing/>
      <w:jc w:val="both"/>
    </w:pPr>
    <w:rPr>
      <w:rFonts w:ascii="Arial" w:eastAsia="MS Mincho" w:hAnsi="Arial"/>
      <w:sz w:val="20"/>
      <w:szCs w:val="20"/>
    </w:rPr>
  </w:style>
  <w:style w:type="paragraph" w:customStyle="1" w:styleId="Bulletpoint">
    <w:name w:val="Bullet point"/>
    <w:basedOn w:val="Normal"/>
    <w:rsid w:val="005A2529"/>
    <w:pPr>
      <w:numPr>
        <w:numId w:val="28"/>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Bullet1">
    <w:name w:val="Bullet 1"/>
    <w:basedOn w:val="Normal"/>
    <w:uiPriority w:val="99"/>
    <w:rsid w:val="00812AF3"/>
    <w:pPr>
      <w:numPr>
        <w:numId w:val="29"/>
      </w:numPr>
      <w:spacing w:after="0" w:line="240" w:lineRule="auto"/>
    </w:pPr>
    <w:rPr>
      <w:rFonts w:eastAsia="Times New Roman" w:cs="Cambria"/>
      <w:kern w:val="24"/>
      <w:lang w:eastAsia="en-AU"/>
    </w:rPr>
  </w:style>
  <w:style w:type="paragraph" w:customStyle="1" w:styleId="Bullet2">
    <w:name w:val="Bullet 2"/>
    <w:basedOn w:val="Bullet1"/>
    <w:uiPriority w:val="99"/>
    <w:rsid w:val="00812AF3"/>
    <w:pPr>
      <w:numPr>
        <w:numId w:val="30"/>
      </w:numPr>
    </w:pPr>
  </w:style>
  <w:style w:type="character" w:customStyle="1" w:styleId="Heading8Char">
    <w:name w:val="Heading 8 Char"/>
    <w:basedOn w:val="DefaultParagraphFont"/>
    <w:link w:val="Heading8"/>
    <w:uiPriority w:val="9"/>
    <w:semiHidden/>
    <w:rsid w:val="00A96B1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96B19"/>
    <w:rPr>
      <w:rFonts w:asciiTheme="majorHAnsi" w:eastAsiaTheme="majorEastAsia" w:hAnsiTheme="majorHAnsi" w:cstheme="majorBidi"/>
      <w:i/>
      <w:iCs/>
      <w:color w:val="404040" w:themeColor="text1" w:themeTint="BF"/>
      <w:sz w:val="20"/>
      <w:szCs w:val="20"/>
    </w:rPr>
  </w:style>
  <w:style w:type="paragraph" w:customStyle="1" w:styleId="Comment1">
    <w:name w:val="Comment 1"/>
    <w:basedOn w:val="Normal"/>
    <w:next w:val="Normal"/>
    <w:uiPriority w:val="99"/>
    <w:rsid w:val="000E529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Calibri"/>
      <w:kern w:val="16"/>
      <w:lang w:eastAsia="en-AU"/>
    </w:rPr>
  </w:style>
  <w:style w:type="character" w:customStyle="1" w:styleId="st1">
    <w:name w:val="st1"/>
    <w:basedOn w:val="DefaultParagraphFont"/>
    <w:rsid w:val="00C76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mailto:info@tga.gov.au" TargetMode="External"/><Relationship Id="rId3" Type="http://schemas.openxmlformats.org/officeDocument/2006/relationships/styles" Target="styles.xml"/><Relationship Id="rId21" Type="http://schemas.openxmlformats.org/officeDocument/2006/relationships/hyperlink" Target="https://www.tga.gov.au/product-information-pi"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header" Target="header3.xml"/><Relationship Id="rId27" Type="http://schemas.openxmlformats.org/officeDocument/2006/relationships/hyperlink" Target="https://www.tga.gov.au" TargetMode="Externa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E4570-CF00-4AA1-80FE-06BD41CA6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38</TotalTime>
  <Pages>36</Pages>
  <Words>12339</Words>
  <Characters>70335</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Australian public assessment for Levonorgestrel / ethinyloestradiol</vt:lpstr>
    </vt:vector>
  </TitlesOfParts>
  <Company/>
  <LinksUpToDate>false</LinksUpToDate>
  <CharactersWithSpaces>82509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Levonorgestrel / ethinyloestradiol</dc:title>
  <dc:subject>prescription medicines</dc:subject>
  <dc:creator>Therapeutic Goods Administration</dc:creator>
  <cp:keywords>AusPARs</cp:keywords>
  <cp:lastModifiedBy>Lack, Janet</cp:lastModifiedBy>
  <cp:revision>3</cp:revision>
  <cp:lastPrinted>2015-09-22T23:39:00Z</cp:lastPrinted>
  <dcterms:created xsi:type="dcterms:W3CDTF">2016-12-12T21:54:00Z</dcterms:created>
  <dcterms:modified xsi:type="dcterms:W3CDTF">2016-12-12T22:39:00Z</dcterms:modified>
  <cp:category/>
</cp:coreProperties>
</file>