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CER: July 2016&#10;Second round CER: September 2016&#10;"/>
      </w:tblPr>
      <w:tblGrid>
        <w:gridCol w:w="6839"/>
      </w:tblGrid>
      <w:tr w:rsidR="008E7846" w:rsidRPr="00487162" w14:paraId="73E7F0FD" w14:textId="77777777" w:rsidTr="00723D80">
        <w:trPr>
          <w:trHeight w:val="1891"/>
        </w:trPr>
        <w:tc>
          <w:tcPr>
            <w:tcW w:w="6839" w:type="dxa"/>
            <w:tcBorders>
              <w:top w:val="nil"/>
              <w:left w:val="nil"/>
              <w:bottom w:val="nil"/>
              <w:right w:val="nil"/>
            </w:tcBorders>
          </w:tcPr>
          <w:p w14:paraId="1B047C92" w14:textId="6850732D" w:rsidR="008E7846" w:rsidRDefault="00C1325F" w:rsidP="00723D80">
            <w:pPr>
              <w:rPr>
                <w:rFonts w:ascii="Arial" w:hAnsi="Arial" w:cs="Arial"/>
                <w:b/>
                <w:color w:val="002C47"/>
                <w:sz w:val="36"/>
                <w:szCs w:val="36"/>
              </w:rPr>
            </w:pPr>
            <w:r>
              <w:rPr>
                <w:rFonts w:ascii="Arial" w:hAnsi="Arial" w:cs="Arial"/>
                <w:b/>
                <w:color w:val="002C47"/>
                <w:sz w:val="36"/>
                <w:szCs w:val="36"/>
              </w:rPr>
              <w:t xml:space="preserve">First round CER: </w:t>
            </w:r>
            <w:r w:rsidR="002949F5">
              <w:rPr>
                <w:rFonts w:ascii="Arial" w:hAnsi="Arial" w:cs="Arial"/>
                <w:b/>
                <w:color w:val="002C47"/>
                <w:sz w:val="36"/>
                <w:szCs w:val="36"/>
              </w:rPr>
              <w:t>July</w:t>
            </w:r>
            <w:r>
              <w:rPr>
                <w:rFonts w:ascii="Arial" w:hAnsi="Arial" w:cs="Arial"/>
                <w:b/>
                <w:color w:val="002C47"/>
                <w:sz w:val="36"/>
                <w:szCs w:val="36"/>
              </w:rPr>
              <w:t xml:space="preserve"> 2016</w:t>
            </w:r>
          </w:p>
          <w:p w14:paraId="64B44C82" w14:textId="585B109B" w:rsidR="00723D80" w:rsidRPr="0017078F" w:rsidRDefault="00C1325F" w:rsidP="002949F5">
            <w:pPr>
              <w:rPr>
                <w:rFonts w:ascii="Arial" w:hAnsi="Arial" w:cs="Arial"/>
                <w:b/>
                <w:color w:val="002C47"/>
                <w:sz w:val="36"/>
                <w:szCs w:val="36"/>
              </w:rPr>
            </w:pPr>
            <w:r>
              <w:rPr>
                <w:rFonts w:ascii="Arial" w:hAnsi="Arial" w:cs="Arial"/>
                <w:b/>
                <w:color w:val="002C47"/>
                <w:sz w:val="36"/>
                <w:szCs w:val="36"/>
              </w:rPr>
              <w:t xml:space="preserve">Second round CER: </w:t>
            </w:r>
            <w:r w:rsidR="002949F5">
              <w:rPr>
                <w:rFonts w:ascii="Arial" w:hAnsi="Arial" w:cs="Arial"/>
                <w:b/>
                <w:color w:val="002C47"/>
                <w:sz w:val="36"/>
                <w:szCs w:val="36"/>
              </w:rPr>
              <w:t>September</w:t>
            </w:r>
            <w:r>
              <w:rPr>
                <w:rFonts w:ascii="Arial" w:hAnsi="Arial" w:cs="Arial"/>
                <w:b/>
                <w:color w:val="002C47"/>
                <w:sz w:val="36"/>
                <w:szCs w:val="36"/>
              </w:rPr>
              <w:t xml:space="preserve"> 2016</w:t>
            </w:r>
          </w:p>
        </w:tc>
      </w:tr>
    </w:tbl>
    <w:tbl>
      <w:tblPr>
        <w:tblpPr w:leftFromText="180" w:rightFromText="180" w:vertAnchor="page" w:tblpY="3316"/>
        <w:tblW w:w="9079" w:type="dxa"/>
        <w:tblLayout w:type="fixed"/>
        <w:tblLook w:val="04A0" w:firstRow="1" w:lastRow="0" w:firstColumn="1" w:lastColumn="0" w:noHBand="0" w:noVBand="1"/>
        <w:tblDescription w:val="First round CER: July 2016&#10;Second round CER: September 2016&#10;"/>
      </w:tblPr>
      <w:tblGrid>
        <w:gridCol w:w="9079"/>
      </w:tblGrid>
      <w:tr w:rsidR="0032583B" w:rsidRPr="00A964D1" w14:paraId="5652F668" w14:textId="77777777" w:rsidTr="00E07F15">
        <w:trPr>
          <w:trHeight w:val="1548"/>
        </w:trPr>
        <w:tc>
          <w:tcPr>
            <w:tcW w:w="9079" w:type="dxa"/>
          </w:tcPr>
          <w:p w14:paraId="24150AFB"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3CF38719" w14:textId="77777777" w:rsidTr="00E07F15">
        <w:trPr>
          <w:trHeight w:val="868"/>
        </w:trPr>
        <w:tc>
          <w:tcPr>
            <w:tcW w:w="9079" w:type="dxa"/>
          </w:tcPr>
          <w:p w14:paraId="47C3C89A" w14:textId="73B8864C" w:rsidR="00E07F15" w:rsidRPr="00A964D1" w:rsidRDefault="00E07F15" w:rsidP="00E07F15">
            <w:pPr>
              <w:pStyle w:val="Title"/>
              <w:rPr>
                <w:color w:val="FFFFFF" w:themeColor="background1"/>
              </w:rPr>
            </w:pPr>
            <w:r>
              <w:rPr>
                <w:color w:val="FFFFFF" w:themeColor="background1"/>
              </w:rPr>
              <w:t>Extract from the Clinical Evaluation Report</w:t>
            </w:r>
            <w:r w:rsidR="00C1325F">
              <w:rPr>
                <w:color w:val="FFFFFF" w:themeColor="background1"/>
              </w:rPr>
              <w:t xml:space="preserve"> for Levonorgestrel IUS</w:t>
            </w:r>
          </w:p>
        </w:tc>
      </w:tr>
      <w:tr w:rsidR="00E07F15" w:rsidRPr="00B64760" w14:paraId="46B87A1F" w14:textId="77777777" w:rsidTr="00E07F15">
        <w:tc>
          <w:tcPr>
            <w:tcW w:w="9079" w:type="dxa"/>
          </w:tcPr>
          <w:p w14:paraId="6592AB0A" w14:textId="5BDBED66" w:rsidR="00E07F15" w:rsidRPr="008E7846" w:rsidRDefault="007117C7" w:rsidP="007117C7">
            <w:pPr>
              <w:pStyle w:val="Subtitle"/>
              <w:ind w:left="0"/>
              <w:rPr>
                <w:color w:val="FFFFFF" w:themeColor="background1"/>
              </w:rPr>
            </w:pPr>
            <w:r>
              <w:rPr>
                <w:color w:val="FFFFFF" w:themeColor="background1"/>
              </w:rPr>
              <w:t>Pro</w:t>
            </w:r>
            <w:r w:rsidR="00C1325F">
              <w:rPr>
                <w:color w:val="FFFFFF" w:themeColor="background1"/>
              </w:rPr>
              <w:t>prietary Product Name: Kyleena</w:t>
            </w:r>
          </w:p>
        </w:tc>
      </w:tr>
      <w:tr w:rsidR="00E07F15" w:rsidRPr="00B64760" w14:paraId="46F09279" w14:textId="77777777" w:rsidTr="00E07F15">
        <w:trPr>
          <w:trHeight w:val="486"/>
        </w:trPr>
        <w:tc>
          <w:tcPr>
            <w:tcW w:w="9079" w:type="dxa"/>
          </w:tcPr>
          <w:p w14:paraId="2E31C8C9" w14:textId="0014FE73" w:rsidR="00E07F15" w:rsidRPr="008E7846" w:rsidRDefault="00E07F15" w:rsidP="007117C7">
            <w:pPr>
              <w:pStyle w:val="Subtitle"/>
              <w:ind w:left="0"/>
              <w:rPr>
                <w:color w:val="FFFFFF" w:themeColor="background1"/>
              </w:rPr>
            </w:pPr>
            <w:r w:rsidRPr="008E7846">
              <w:rPr>
                <w:color w:val="FFFFFF" w:themeColor="background1"/>
              </w:rPr>
              <w:t xml:space="preserve">Sponsor: </w:t>
            </w:r>
            <w:r w:rsidR="00C1325F">
              <w:rPr>
                <w:color w:val="FFFFFF" w:themeColor="background1"/>
              </w:rPr>
              <w:t>Bayer Australia Ltd</w:t>
            </w:r>
          </w:p>
        </w:tc>
      </w:tr>
    </w:tbl>
    <w:p w14:paraId="1630026D" w14:textId="77777777" w:rsidR="008E7846" w:rsidRDefault="008E7846" w:rsidP="008E7846">
      <w:pPr>
        <w:pStyle w:val="NonTOCHeading2"/>
      </w:pPr>
      <w:r>
        <w:br w:type="page"/>
      </w:r>
    </w:p>
    <w:p w14:paraId="4AD9DA9A" w14:textId="77777777" w:rsidR="008E7846" w:rsidRPr="001F6CBA" w:rsidRDefault="008E7846" w:rsidP="008E7846">
      <w:pPr>
        <w:pStyle w:val="NonTOCHeading2"/>
      </w:pPr>
      <w:r w:rsidRPr="001F6CBA">
        <w:lastRenderedPageBreak/>
        <w:t>About the Therapeutic Goods Administration (TGA)</w:t>
      </w:r>
    </w:p>
    <w:p w14:paraId="22A418F8"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C5E9F77"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251842A4"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EC16013"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B8F9237" w14:textId="77777777"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5DE93599"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56BA24D1"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3E2357E4" w14:textId="77777777" w:rsidR="003D0A3B" w:rsidRDefault="003D0A3B" w:rsidP="003D0A3B">
      <w:pPr>
        <w:pStyle w:val="ListBullet"/>
      </w:pPr>
      <w:r w:rsidRPr="003D0A3B">
        <w:t>The words [Information redacted], where they appear in this document, indicate that confidential information has been deleted.</w:t>
      </w:r>
    </w:p>
    <w:p w14:paraId="6CEFAA3B" w14:textId="77777777" w:rsidR="0017078F" w:rsidRDefault="003D0A3B" w:rsidP="00C1325F">
      <w:pPr>
        <w:pStyle w:val="ListBullet"/>
        <w:spacing w:after="0"/>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4162828F" w14:textId="77777777" w:rsidR="00924482" w:rsidRPr="00DF1D7F" w:rsidRDefault="00924482" w:rsidP="00C1325F">
      <w:pPr>
        <w:pStyle w:val="LegalSubheading"/>
        <w:spacing w:before="4080"/>
      </w:pPr>
      <w:r w:rsidRPr="00DF1D7F">
        <w:t>Copyright</w:t>
      </w:r>
    </w:p>
    <w:p w14:paraId="7B377BCA" w14:textId="0A3CDAA5" w:rsidR="00924482" w:rsidRDefault="00924482" w:rsidP="00924482">
      <w:pPr>
        <w:pStyle w:val="LegalCopy"/>
      </w:pPr>
      <w:r w:rsidRPr="00191B3B">
        <w:rPr>
          <w:rFonts w:cs="Arial"/>
          <w:lang w:val="en-GB"/>
        </w:rPr>
        <w:t>© Comm</w:t>
      </w:r>
      <w:r>
        <w:rPr>
          <w:rFonts w:cs="Arial"/>
          <w:lang w:val="en-GB"/>
        </w:rPr>
        <w:t>onwealth of Australia 201</w:t>
      </w:r>
      <w:r w:rsidR="005C38C4">
        <w:rPr>
          <w:rFonts w:cs="Arial"/>
          <w:lang w:val="en-GB"/>
        </w:rPr>
        <w:t>7</w:t>
      </w:r>
      <w:bookmarkStart w:id="0" w:name="_GoBack"/>
      <w:bookmarkEnd w:id="0"/>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1A94FE67"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0F07F5F" w14:textId="77777777" w:rsidR="0089635C" w:rsidRPr="0089635C" w:rsidRDefault="0089635C" w:rsidP="0010788A">
          <w:pPr>
            <w:pStyle w:val="Contents"/>
          </w:pPr>
          <w:r w:rsidRPr="0010788A">
            <w:t>Contents</w:t>
          </w:r>
        </w:p>
        <w:p w14:paraId="781CED6D" w14:textId="77777777" w:rsidR="00132C5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9043835" w:history="1">
            <w:r w:rsidR="00132C57" w:rsidRPr="006F07C6">
              <w:rPr>
                <w:rStyle w:val="Hyperlink"/>
                <w:noProof/>
              </w:rPr>
              <w:t>List of abbreviations</w:t>
            </w:r>
            <w:r w:rsidR="00132C57">
              <w:rPr>
                <w:noProof/>
                <w:webHidden/>
              </w:rPr>
              <w:tab/>
            </w:r>
            <w:r w:rsidR="00132C57">
              <w:rPr>
                <w:noProof/>
                <w:webHidden/>
              </w:rPr>
              <w:fldChar w:fldCharType="begin"/>
            </w:r>
            <w:r w:rsidR="00132C57">
              <w:rPr>
                <w:noProof/>
                <w:webHidden/>
              </w:rPr>
              <w:instrText xml:space="preserve"> PAGEREF _Toc499043835 \h </w:instrText>
            </w:r>
            <w:r w:rsidR="00132C57">
              <w:rPr>
                <w:noProof/>
                <w:webHidden/>
              </w:rPr>
            </w:r>
            <w:r w:rsidR="00132C57">
              <w:rPr>
                <w:noProof/>
                <w:webHidden/>
              </w:rPr>
              <w:fldChar w:fldCharType="separate"/>
            </w:r>
            <w:r w:rsidR="00132C57">
              <w:rPr>
                <w:noProof/>
                <w:webHidden/>
              </w:rPr>
              <w:t>5</w:t>
            </w:r>
            <w:r w:rsidR="00132C57">
              <w:rPr>
                <w:noProof/>
                <w:webHidden/>
              </w:rPr>
              <w:fldChar w:fldCharType="end"/>
            </w:r>
          </w:hyperlink>
        </w:p>
        <w:p w14:paraId="08CD558E" w14:textId="77777777" w:rsidR="00132C57" w:rsidRDefault="005C38C4">
          <w:pPr>
            <w:pStyle w:val="TOC2"/>
            <w:tabs>
              <w:tab w:val="left" w:pos="1100"/>
            </w:tabs>
            <w:rPr>
              <w:rFonts w:asciiTheme="minorHAnsi" w:eastAsiaTheme="minorEastAsia" w:hAnsiTheme="minorHAnsi" w:cstheme="minorBidi"/>
              <w:b w:val="0"/>
              <w:noProof/>
              <w:sz w:val="22"/>
              <w:lang w:eastAsia="en-AU"/>
            </w:rPr>
          </w:pPr>
          <w:hyperlink w:anchor="_Toc499043836" w:history="1">
            <w:r w:rsidR="00132C57" w:rsidRPr="006F07C6">
              <w:rPr>
                <w:rStyle w:val="Hyperlink"/>
                <w:noProof/>
                <w:lang w:eastAsia="en-AU"/>
              </w:rPr>
              <w:t>1.</w:t>
            </w:r>
            <w:r w:rsidR="00132C57">
              <w:rPr>
                <w:rFonts w:asciiTheme="minorHAnsi" w:eastAsiaTheme="minorEastAsia" w:hAnsiTheme="minorHAnsi" w:cstheme="minorBidi"/>
                <w:b w:val="0"/>
                <w:noProof/>
                <w:sz w:val="22"/>
                <w:lang w:eastAsia="en-AU"/>
              </w:rPr>
              <w:tab/>
            </w:r>
            <w:r w:rsidR="00132C57" w:rsidRPr="006F07C6">
              <w:rPr>
                <w:rStyle w:val="Hyperlink"/>
                <w:noProof/>
                <w:lang w:eastAsia="en-AU"/>
              </w:rPr>
              <w:t>Introduction</w:t>
            </w:r>
            <w:r w:rsidR="00132C57">
              <w:rPr>
                <w:noProof/>
                <w:webHidden/>
              </w:rPr>
              <w:tab/>
            </w:r>
            <w:r w:rsidR="00132C57">
              <w:rPr>
                <w:noProof/>
                <w:webHidden/>
              </w:rPr>
              <w:fldChar w:fldCharType="begin"/>
            </w:r>
            <w:r w:rsidR="00132C57">
              <w:rPr>
                <w:noProof/>
                <w:webHidden/>
              </w:rPr>
              <w:instrText xml:space="preserve"> PAGEREF _Toc499043836 \h </w:instrText>
            </w:r>
            <w:r w:rsidR="00132C57">
              <w:rPr>
                <w:noProof/>
                <w:webHidden/>
              </w:rPr>
            </w:r>
            <w:r w:rsidR="00132C57">
              <w:rPr>
                <w:noProof/>
                <w:webHidden/>
              </w:rPr>
              <w:fldChar w:fldCharType="separate"/>
            </w:r>
            <w:r w:rsidR="00132C57">
              <w:rPr>
                <w:noProof/>
                <w:webHidden/>
              </w:rPr>
              <w:t>7</w:t>
            </w:r>
            <w:r w:rsidR="00132C57">
              <w:rPr>
                <w:noProof/>
                <w:webHidden/>
              </w:rPr>
              <w:fldChar w:fldCharType="end"/>
            </w:r>
          </w:hyperlink>
        </w:p>
        <w:p w14:paraId="4857CBBA"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37" w:history="1">
            <w:r w:rsidR="00132C57" w:rsidRPr="006F07C6">
              <w:rPr>
                <w:rStyle w:val="Hyperlink"/>
                <w:noProof/>
              </w:rPr>
              <w:t>1.1.</w:t>
            </w:r>
            <w:r w:rsidR="00132C57">
              <w:rPr>
                <w:rFonts w:asciiTheme="minorHAnsi" w:eastAsiaTheme="minorEastAsia" w:hAnsiTheme="minorHAnsi" w:cstheme="minorBidi"/>
                <w:noProof/>
                <w:lang w:eastAsia="en-AU"/>
              </w:rPr>
              <w:tab/>
            </w:r>
            <w:r w:rsidR="00132C57" w:rsidRPr="006F07C6">
              <w:rPr>
                <w:rStyle w:val="Hyperlink"/>
                <w:noProof/>
              </w:rPr>
              <w:t>Drug class and therapeutic indication</w:t>
            </w:r>
            <w:r w:rsidR="00132C57">
              <w:rPr>
                <w:noProof/>
                <w:webHidden/>
              </w:rPr>
              <w:tab/>
            </w:r>
            <w:r w:rsidR="00132C57">
              <w:rPr>
                <w:noProof/>
                <w:webHidden/>
              </w:rPr>
              <w:fldChar w:fldCharType="begin"/>
            </w:r>
            <w:r w:rsidR="00132C57">
              <w:rPr>
                <w:noProof/>
                <w:webHidden/>
              </w:rPr>
              <w:instrText xml:space="preserve"> PAGEREF _Toc499043837 \h </w:instrText>
            </w:r>
            <w:r w:rsidR="00132C57">
              <w:rPr>
                <w:noProof/>
                <w:webHidden/>
              </w:rPr>
            </w:r>
            <w:r w:rsidR="00132C57">
              <w:rPr>
                <w:noProof/>
                <w:webHidden/>
              </w:rPr>
              <w:fldChar w:fldCharType="separate"/>
            </w:r>
            <w:r w:rsidR="00132C57">
              <w:rPr>
                <w:noProof/>
                <w:webHidden/>
              </w:rPr>
              <w:t>7</w:t>
            </w:r>
            <w:r w:rsidR="00132C57">
              <w:rPr>
                <w:noProof/>
                <w:webHidden/>
              </w:rPr>
              <w:fldChar w:fldCharType="end"/>
            </w:r>
          </w:hyperlink>
        </w:p>
        <w:p w14:paraId="6B2F7FAD"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38" w:history="1">
            <w:r w:rsidR="00132C57" w:rsidRPr="006F07C6">
              <w:rPr>
                <w:rStyle w:val="Hyperlink"/>
                <w:noProof/>
              </w:rPr>
              <w:t>1.2.</w:t>
            </w:r>
            <w:r w:rsidR="00132C57">
              <w:rPr>
                <w:rFonts w:asciiTheme="minorHAnsi" w:eastAsiaTheme="minorEastAsia" w:hAnsiTheme="minorHAnsi" w:cstheme="minorBidi"/>
                <w:noProof/>
                <w:lang w:eastAsia="en-AU"/>
              </w:rPr>
              <w:tab/>
            </w:r>
            <w:r w:rsidR="00132C57" w:rsidRPr="006F07C6">
              <w:rPr>
                <w:rStyle w:val="Hyperlink"/>
                <w:noProof/>
              </w:rPr>
              <w:t>Dosage forms and strengths</w:t>
            </w:r>
            <w:r w:rsidR="00132C57">
              <w:rPr>
                <w:noProof/>
                <w:webHidden/>
              </w:rPr>
              <w:tab/>
            </w:r>
            <w:r w:rsidR="00132C57">
              <w:rPr>
                <w:noProof/>
                <w:webHidden/>
              </w:rPr>
              <w:fldChar w:fldCharType="begin"/>
            </w:r>
            <w:r w:rsidR="00132C57">
              <w:rPr>
                <w:noProof/>
                <w:webHidden/>
              </w:rPr>
              <w:instrText xml:space="preserve"> PAGEREF _Toc499043838 \h </w:instrText>
            </w:r>
            <w:r w:rsidR="00132C57">
              <w:rPr>
                <w:noProof/>
                <w:webHidden/>
              </w:rPr>
            </w:r>
            <w:r w:rsidR="00132C57">
              <w:rPr>
                <w:noProof/>
                <w:webHidden/>
              </w:rPr>
              <w:fldChar w:fldCharType="separate"/>
            </w:r>
            <w:r w:rsidR="00132C57">
              <w:rPr>
                <w:noProof/>
                <w:webHidden/>
              </w:rPr>
              <w:t>7</w:t>
            </w:r>
            <w:r w:rsidR="00132C57">
              <w:rPr>
                <w:noProof/>
                <w:webHidden/>
              </w:rPr>
              <w:fldChar w:fldCharType="end"/>
            </w:r>
          </w:hyperlink>
        </w:p>
        <w:p w14:paraId="1841F946"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39" w:history="1">
            <w:r w:rsidR="00132C57" w:rsidRPr="006F07C6">
              <w:rPr>
                <w:rStyle w:val="Hyperlink"/>
                <w:noProof/>
              </w:rPr>
              <w:t>1.3.</w:t>
            </w:r>
            <w:r w:rsidR="00132C57">
              <w:rPr>
                <w:rFonts w:asciiTheme="minorHAnsi" w:eastAsiaTheme="minorEastAsia" w:hAnsiTheme="minorHAnsi" w:cstheme="minorBidi"/>
                <w:noProof/>
                <w:lang w:eastAsia="en-AU"/>
              </w:rPr>
              <w:tab/>
            </w:r>
            <w:r w:rsidR="00132C57" w:rsidRPr="006F07C6">
              <w:rPr>
                <w:rStyle w:val="Hyperlink"/>
                <w:noProof/>
              </w:rPr>
              <w:t>Dosage and administration</w:t>
            </w:r>
            <w:r w:rsidR="00132C57">
              <w:rPr>
                <w:noProof/>
                <w:webHidden/>
              </w:rPr>
              <w:tab/>
            </w:r>
            <w:r w:rsidR="00132C57">
              <w:rPr>
                <w:noProof/>
                <w:webHidden/>
              </w:rPr>
              <w:fldChar w:fldCharType="begin"/>
            </w:r>
            <w:r w:rsidR="00132C57">
              <w:rPr>
                <w:noProof/>
                <w:webHidden/>
              </w:rPr>
              <w:instrText xml:space="preserve"> PAGEREF _Toc499043839 \h </w:instrText>
            </w:r>
            <w:r w:rsidR="00132C57">
              <w:rPr>
                <w:noProof/>
                <w:webHidden/>
              </w:rPr>
            </w:r>
            <w:r w:rsidR="00132C57">
              <w:rPr>
                <w:noProof/>
                <w:webHidden/>
              </w:rPr>
              <w:fldChar w:fldCharType="separate"/>
            </w:r>
            <w:r w:rsidR="00132C57">
              <w:rPr>
                <w:noProof/>
                <w:webHidden/>
              </w:rPr>
              <w:t>8</w:t>
            </w:r>
            <w:r w:rsidR="00132C57">
              <w:rPr>
                <w:noProof/>
                <w:webHidden/>
              </w:rPr>
              <w:fldChar w:fldCharType="end"/>
            </w:r>
          </w:hyperlink>
        </w:p>
        <w:p w14:paraId="3604BBC9" w14:textId="77777777" w:rsidR="00132C57" w:rsidRDefault="005C38C4">
          <w:pPr>
            <w:pStyle w:val="TOC2"/>
            <w:tabs>
              <w:tab w:val="left" w:pos="1100"/>
            </w:tabs>
            <w:rPr>
              <w:rFonts w:asciiTheme="minorHAnsi" w:eastAsiaTheme="minorEastAsia" w:hAnsiTheme="minorHAnsi" w:cstheme="minorBidi"/>
              <w:b w:val="0"/>
              <w:noProof/>
              <w:sz w:val="22"/>
              <w:lang w:eastAsia="en-AU"/>
            </w:rPr>
          </w:pPr>
          <w:hyperlink w:anchor="_Toc499043840" w:history="1">
            <w:r w:rsidR="00132C57" w:rsidRPr="006F07C6">
              <w:rPr>
                <w:rStyle w:val="Hyperlink"/>
                <w:noProof/>
              </w:rPr>
              <w:t>2.</w:t>
            </w:r>
            <w:r w:rsidR="00132C57">
              <w:rPr>
                <w:rFonts w:asciiTheme="minorHAnsi" w:eastAsiaTheme="minorEastAsia" w:hAnsiTheme="minorHAnsi" w:cstheme="minorBidi"/>
                <w:b w:val="0"/>
                <w:noProof/>
                <w:sz w:val="22"/>
                <w:lang w:eastAsia="en-AU"/>
              </w:rPr>
              <w:tab/>
            </w:r>
            <w:r w:rsidR="00132C57" w:rsidRPr="006F07C6">
              <w:rPr>
                <w:rStyle w:val="Hyperlink"/>
                <w:noProof/>
              </w:rPr>
              <w:t>Clinical rationale</w:t>
            </w:r>
            <w:r w:rsidR="00132C57">
              <w:rPr>
                <w:noProof/>
                <w:webHidden/>
              </w:rPr>
              <w:tab/>
            </w:r>
            <w:r w:rsidR="00132C57">
              <w:rPr>
                <w:noProof/>
                <w:webHidden/>
              </w:rPr>
              <w:fldChar w:fldCharType="begin"/>
            </w:r>
            <w:r w:rsidR="00132C57">
              <w:rPr>
                <w:noProof/>
                <w:webHidden/>
              </w:rPr>
              <w:instrText xml:space="preserve"> PAGEREF _Toc499043840 \h </w:instrText>
            </w:r>
            <w:r w:rsidR="00132C57">
              <w:rPr>
                <w:noProof/>
                <w:webHidden/>
              </w:rPr>
            </w:r>
            <w:r w:rsidR="00132C57">
              <w:rPr>
                <w:noProof/>
                <w:webHidden/>
              </w:rPr>
              <w:fldChar w:fldCharType="separate"/>
            </w:r>
            <w:r w:rsidR="00132C57">
              <w:rPr>
                <w:noProof/>
                <w:webHidden/>
              </w:rPr>
              <w:t>8</w:t>
            </w:r>
            <w:r w:rsidR="00132C57">
              <w:rPr>
                <w:noProof/>
                <w:webHidden/>
              </w:rPr>
              <w:fldChar w:fldCharType="end"/>
            </w:r>
          </w:hyperlink>
        </w:p>
        <w:p w14:paraId="6EA4E130"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41" w:history="1">
            <w:r w:rsidR="00132C57" w:rsidRPr="006F07C6">
              <w:rPr>
                <w:rStyle w:val="Hyperlink"/>
                <w:noProof/>
              </w:rPr>
              <w:t>2.1.</w:t>
            </w:r>
            <w:r w:rsidR="00132C57">
              <w:rPr>
                <w:rFonts w:asciiTheme="minorHAnsi" w:eastAsiaTheme="minorEastAsia" w:hAnsiTheme="minorHAnsi" w:cstheme="minorBidi"/>
                <w:noProof/>
                <w:lang w:eastAsia="en-AU"/>
              </w:rPr>
              <w:tab/>
            </w:r>
            <w:r w:rsidR="00132C57" w:rsidRPr="006F07C6">
              <w:rPr>
                <w:rStyle w:val="Hyperlink"/>
                <w:noProof/>
              </w:rPr>
              <w:t>Guidance</w:t>
            </w:r>
            <w:r w:rsidR="00132C57">
              <w:rPr>
                <w:noProof/>
                <w:webHidden/>
              </w:rPr>
              <w:tab/>
            </w:r>
            <w:r w:rsidR="00132C57">
              <w:rPr>
                <w:noProof/>
                <w:webHidden/>
              </w:rPr>
              <w:fldChar w:fldCharType="begin"/>
            </w:r>
            <w:r w:rsidR="00132C57">
              <w:rPr>
                <w:noProof/>
                <w:webHidden/>
              </w:rPr>
              <w:instrText xml:space="preserve"> PAGEREF _Toc499043841 \h </w:instrText>
            </w:r>
            <w:r w:rsidR="00132C57">
              <w:rPr>
                <w:noProof/>
                <w:webHidden/>
              </w:rPr>
            </w:r>
            <w:r w:rsidR="00132C57">
              <w:rPr>
                <w:noProof/>
                <w:webHidden/>
              </w:rPr>
              <w:fldChar w:fldCharType="separate"/>
            </w:r>
            <w:r w:rsidR="00132C57">
              <w:rPr>
                <w:noProof/>
                <w:webHidden/>
              </w:rPr>
              <w:t>8</w:t>
            </w:r>
            <w:r w:rsidR="00132C57">
              <w:rPr>
                <w:noProof/>
                <w:webHidden/>
              </w:rPr>
              <w:fldChar w:fldCharType="end"/>
            </w:r>
          </w:hyperlink>
        </w:p>
        <w:p w14:paraId="465FE01B" w14:textId="77777777" w:rsidR="00132C57" w:rsidRDefault="005C38C4">
          <w:pPr>
            <w:pStyle w:val="TOC2"/>
            <w:tabs>
              <w:tab w:val="left" w:pos="1100"/>
            </w:tabs>
            <w:rPr>
              <w:rFonts w:asciiTheme="minorHAnsi" w:eastAsiaTheme="minorEastAsia" w:hAnsiTheme="minorHAnsi" w:cstheme="minorBidi"/>
              <w:b w:val="0"/>
              <w:noProof/>
              <w:sz w:val="22"/>
              <w:lang w:eastAsia="en-AU"/>
            </w:rPr>
          </w:pPr>
          <w:hyperlink w:anchor="_Toc499043842" w:history="1">
            <w:r w:rsidR="00132C57" w:rsidRPr="006F07C6">
              <w:rPr>
                <w:rStyle w:val="Hyperlink"/>
                <w:noProof/>
              </w:rPr>
              <w:t>3.</w:t>
            </w:r>
            <w:r w:rsidR="00132C57">
              <w:rPr>
                <w:rFonts w:asciiTheme="minorHAnsi" w:eastAsiaTheme="minorEastAsia" w:hAnsiTheme="minorHAnsi" w:cstheme="minorBidi"/>
                <w:b w:val="0"/>
                <w:noProof/>
                <w:sz w:val="22"/>
                <w:lang w:eastAsia="en-AU"/>
              </w:rPr>
              <w:tab/>
            </w:r>
            <w:r w:rsidR="00132C57" w:rsidRPr="006F07C6">
              <w:rPr>
                <w:rStyle w:val="Hyperlink"/>
                <w:noProof/>
              </w:rPr>
              <w:t>Contents of the clinical dossier</w:t>
            </w:r>
            <w:r w:rsidR="00132C57">
              <w:rPr>
                <w:noProof/>
                <w:webHidden/>
              </w:rPr>
              <w:tab/>
            </w:r>
            <w:r w:rsidR="00132C57">
              <w:rPr>
                <w:noProof/>
                <w:webHidden/>
              </w:rPr>
              <w:fldChar w:fldCharType="begin"/>
            </w:r>
            <w:r w:rsidR="00132C57">
              <w:rPr>
                <w:noProof/>
                <w:webHidden/>
              </w:rPr>
              <w:instrText xml:space="preserve"> PAGEREF _Toc499043842 \h </w:instrText>
            </w:r>
            <w:r w:rsidR="00132C57">
              <w:rPr>
                <w:noProof/>
                <w:webHidden/>
              </w:rPr>
            </w:r>
            <w:r w:rsidR="00132C57">
              <w:rPr>
                <w:noProof/>
                <w:webHidden/>
              </w:rPr>
              <w:fldChar w:fldCharType="separate"/>
            </w:r>
            <w:r w:rsidR="00132C57">
              <w:rPr>
                <w:noProof/>
                <w:webHidden/>
              </w:rPr>
              <w:t>8</w:t>
            </w:r>
            <w:r w:rsidR="00132C57">
              <w:rPr>
                <w:noProof/>
                <w:webHidden/>
              </w:rPr>
              <w:fldChar w:fldCharType="end"/>
            </w:r>
          </w:hyperlink>
        </w:p>
        <w:p w14:paraId="67253469"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43" w:history="1">
            <w:r w:rsidR="00132C57" w:rsidRPr="006F07C6">
              <w:rPr>
                <w:rStyle w:val="Hyperlink"/>
                <w:noProof/>
              </w:rPr>
              <w:t>3.1.</w:t>
            </w:r>
            <w:r w:rsidR="00132C57">
              <w:rPr>
                <w:rFonts w:asciiTheme="minorHAnsi" w:eastAsiaTheme="minorEastAsia" w:hAnsiTheme="minorHAnsi" w:cstheme="minorBidi"/>
                <w:noProof/>
                <w:lang w:eastAsia="en-AU"/>
              </w:rPr>
              <w:tab/>
            </w:r>
            <w:r w:rsidR="00132C57" w:rsidRPr="006F07C6">
              <w:rPr>
                <w:rStyle w:val="Hyperlink"/>
                <w:noProof/>
              </w:rPr>
              <w:t>Scope of the clinical dossier</w:t>
            </w:r>
            <w:r w:rsidR="00132C57">
              <w:rPr>
                <w:noProof/>
                <w:webHidden/>
              </w:rPr>
              <w:tab/>
            </w:r>
            <w:r w:rsidR="00132C57">
              <w:rPr>
                <w:noProof/>
                <w:webHidden/>
              </w:rPr>
              <w:fldChar w:fldCharType="begin"/>
            </w:r>
            <w:r w:rsidR="00132C57">
              <w:rPr>
                <w:noProof/>
                <w:webHidden/>
              </w:rPr>
              <w:instrText xml:space="preserve"> PAGEREF _Toc499043843 \h </w:instrText>
            </w:r>
            <w:r w:rsidR="00132C57">
              <w:rPr>
                <w:noProof/>
                <w:webHidden/>
              </w:rPr>
            </w:r>
            <w:r w:rsidR="00132C57">
              <w:rPr>
                <w:noProof/>
                <w:webHidden/>
              </w:rPr>
              <w:fldChar w:fldCharType="separate"/>
            </w:r>
            <w:r w:rsidR="00132C57">
              <w:rPr>
                <w:noProof/>
                <w:webHidden/>
              </w:rPr>
              <w:t>8</w:t>
            </w:r>
            <w:r w:rsidR="00132C57">
              <w:rPr>
                <w:noProof/>
                <w:webHidden/>
              </w:rPr>
              <w:fldChar w:fldCharType="end"/>
            </w:r>
          </w:hyperlink>
        </w:p>
        <w:p w14:paraId="1958A0B9"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44" w:history="1">
            <w:r w:rsidR="00132C57" w:rsidRPr="006F07C6">
              <w:rPr>
                <w:rStyle w:val="Hyperlink"/>
                <w:noProof/>
              </w:rPr>
              <w:t>3.2.</w:t>
            </w:r>
            <w:r w:rsidR="00132C57">
              <w:rPr>
                <w:rFonts w:asciiTheme="minorHAnsi" w:eastAsiaTheme="minorEastAsia" w:hAnsiTheme="minorHAnsi" w:cstheme="minorBidi"/>
                <w:noProof/>
                <w:lang w:eastAsia="en-AU"/>
              </w:rPr>
              <w:tab/>
            </w:r>
            <w:r w:rsidR="00132C57" w:rsidRPr="006F07C6">
              <w:rPr>
                <w:rStyle w:val="Hyperlink"/>
                <w:noProof/>
              </w:rPr>
              <w:t>Paediatric data</w:t>
            </w:r>
            <w:r w:rsidR="00132C57">
              <w:rPr>
                <w:noProof/>
                <w:webHidden/>
              </w:rPr>
              <w:tab/>
            </w:r>
            <w:r w:rsidR="00132C57">
              <w:rPr>
                <w:noProof/>
                <w:webHidden/>
              </w:rPr>
              <w:fldChar w:fldCharType="begin"/>
            </w:r>
            <w:r w:rsidR="00132C57">
              <w:rPr>
                <w:noProof/>
                <w:webHidden/>
              </w:rPr>
              <w:instrText xml:space="preserve"> PAGEREF _Toc499043844 \h </w:instrText>
            </w:r>
            <w:r w:rsidR="00132C57">
              <w:rPr>
                <w:noProof/>
                <w:webHidden/>
              </w:rPr>
            </w:r>
            <w:r w:rsidR="00132C57">
              <w:rPr>
                <w:noProof/>
                <w:webHidden/>
              </w:rPr>
              <w:fldChar w:fldCharType="separate"/>
            </w:r>
            <w:r w:rsidR="00132C57">
              <w:rPr>
                <w:noProof/>
                <w:webHidden/>
              </w:rPr>
              <w:t>9</w:t>
            </w:r>
            <w:r w:rsidR="00132C57">
              <w:rPr>
                <w:noProof/>
                <w:webHidden/>
              </w:rPr>
              <w:fldChar w:fldCharType="end"/>
            </w:r>
          </w:hyperlink>
        </w:p>
        <w:p w14:paraId="781AA75B"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45" w:history="1">
            <w:r w:rsidR="00132C57" w:rsidRPr="006F07C6">
              <w:rPr>
                <w:rStyle w:val="Hyperlink"/>
                <w:noProof/>
              </w:rPr>
              <w:t>3.3.</w:t>
            </w:r>
            <w:r w:rsidR="00132C57">
              <w:rPr>
                <w:rFonts w:asciiTheme="minorHAnsi" w:eastAsiaTheme="minorEastAsia" w:hAnsiTheme="minorHAnsi" w:cstheme="minorBidi"/>
                <w:noProof/>
                <w:lang w:eastAsia="en-AU"/>
              </w:rPr>
              <w:tab/>
            </w:r>
            <w:r w:rsidR="00132C57" w:rsidRPr="006F07C6">
              <w:rPr>
                <w:rStyle w:val="Hyperlink"/>
                <w:noProof/>
              </w:rPr>
              <w:t>Good clinical practice</w:t>
            </w:r>
            <w:r w:rsidR="00132C57">
              <w:rPr>
                <w:noProof/>
                <w:webHidden/>
              </w:rPr>
              <w:tab/>
            </w:r>
            <w:r w:rsidR="00132C57">
              <w:rPr>
                <w:noProof/>
                <w:webHidden/>
              </w:rPr>
              <w:fldChar w:fldCharType="begin"/>
            </w:r>
            <w:r w:rsidR="00132C57">
              <w:rPr>
                <w:noProof/>
                <w:webHidden/>
              </w:rPr>
              <w:instrText xml:space="preserve"> PAGEREF _Toc499043845 \h </w:instrText>
            </w:r>
            <w:r w:rsidR="00132C57">
              <w:rPr>
                <w:noProof/>
                <w:webHidden/>
              </w:rPr>
            </w:r>
            <w:r w:rsidR="00132C57">
              <w:rPr>
                <w:noProof/>
                <w:webHidden/>
              </w:rPr>
              <w:fldChar w:fldCharType="separate"/>
            </w:r>
            <w:r w:rsidR="00132C57">
              <w:rPr>
                <w:noProof/>
                <w:webHidden/>
              </w:rPr>
              <w:t>9</w:t>
            </w:r>
            <w:r w:rsidR="00132C57">
              <w:rPr>
                <w:noProof/>
                <w:webHidden/>
              </w:rPr>
              <w:fldChar w:fldCharType="end"/>
            </w:r>
          </w:hyperlink>
        </w:p>
        <w:p w14:paraId="31933935" w14:textId="77777777" w:rsidR="00132C57" w:rsidRDefault="005C38C4">
          <w:pPr>
            <w:pStyle w:val="TOC2"/>
            <w:tabs>
              <w:tab w:val="left" w:pos="1100"/>
            </w:tabs>
            <w:rPr>
              <w:rFonts w:asciiTheme="minorHAnsi" w:eastAsiaTheme="minorEastAsia" w:hAnsiTheme="minorHAnsi" w:cstheme="minorBidi"/>
              <w:b w:val="0"/>
              <w:noProof/>
              <w:sz w:val="22"/>
              <w:lang w:eastAsia="en-AU"/>
            </w:rPr>
          </w:pPr>
          <w:hyperlink w:anchor="_Toc499043846" w:history="1">
            <w:r w:rsidR="00132C57" w:rsidRPr="006F07C6">
              <w:rPr>
                <w:rStyle w:val="Hyperlink"/>
                <w:noProof/>
              </w:rPr>
              <w:t>4.</w:t>
            </w:r>
            <w:r w:rsidR="00132C57">
              <w:rPr>
                <w:rFonts w:asciiTheme="minorHAnsi" w:eastAsiaTheme="minorEastAsia" w:hAnsiTheme="minorHAnsi" w:cstheme="minorBidi"/>
                <w:b w:val="0"/>
                <w:noProof/>
                <w:sz w:val="22"/>
                <w:lang w:eastAsia="en-AU"/>
              </w:rPr>
              <w:tab/>
            </w:r>
            <w:r w:rsidR="00132C57" w:rsidRPr="006F07C6">
              <w:rPr>
                <w:rStyle w:val="Hyperlink"/>
                <w:noProof/>
              </w:rPr>
              <w:t>Pharmacokinetics</w:t>
            </w:r>
            <w:r w:rsidR="00132C57">
              <w:rPr>
                <w:noProof/>
                <w:webHidden/>
              </w:rPr>
              <w:tab/>
            </w:r>
            <w:r w:rsidR="00132C57">
              <w:rPr>
                <w:noProof/>
                <w:webHidden/>
              </w:rPr>
              <w:fldChar w:fldCharType="begin"/>
            </w:r>
            <w:r w:rsidR="00132C57">
              <w:rPr>
                <w:noProof/>
                <w:webHidden/>
              </w:rPr>
              <w:instrText xml:space="preserve"> PAGEREF _Toc499043846 \h </w:instrText>
            </w:r>
            <w:r w:rsidR="00132C57">
              <w:rPr>
                <w:noProof/>
                <w:webHidden/>
              </w:rPr>
            </w:r>
            <w:r w:rsidR="00132C57">
              <w:rPr>
                <w:noProof/>
                <w:webHidden/>
              </w:rPr>
              <w:fldChar w:fldCharType="separate"/>
            </w:r>
            <w:r w:rsidR="00132C57">
              <w:rPr>
                <w:noProof/>
                <w:webHidden/>
              </w:rPr>
              <w:t>9</w:t>
            </w:r>
            <w:r w:rsidR="00132C57">
              <w:rPr>
                <w:noProof/>
                <w:webHidden/>
              </w:rPr>
              <w:fldChar w:fldCharType="end"/>
            </w:r>
          </w:hyperlink>
        </w:p>
        <w:p w14:paraId="78067659"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47" w:history="1">
            <w:r w:rsidR="00132C57" w:rsidRPr="006F07C6">
              <w:rPr>
                <w:rStyle w:val="Hyperlink"/>
                <w:noProof/>
              </w:rPr>
              <w:t>4.1.</w:t>
            </w:r>
            <w:r w:rsidR="00132C57">
              <w:rPr>
                <w:rFonts w:asciiTheme="minorHAnsi" w:eastAsiaTheme="minorEastAsia" w:hAnsiTheme="minorHAnsi" w:cstheme="minorBidi"/>
                <w:noProof/>
                <w:lang w:eastAsia="en-AU"/>
              </w:rPr>
              <w:tab/>
            </w:r>
            <w:r w:rsidR="00132C57" w:rsidRPr="006F07C6">
              <w:rPr>
                <w:rStyle w:val="Hyperlink"/>
                <w:noProof/>
              </w:rPr>
              <w:t>Studies providing pharmacokinetic data</w:t>
            </w:r>
            <w:r w:rsidR="00132C57">
              <w:rPr>
                <w:noProof/>
                <w:webHidden/>
              </w:rPr>
              <w:tab/>
            </w:r>
            <w:r w:rsidR="00132C57">
              <w:rPr>
                <w:noProof/>
                <w:webHidden/>
              </w:rPr>
              <w:fldChar w:fldCharType="begin"/>
            </w:r>
            <w:r w:rsidR="00132C57">
              <w:rPr>
                <w:noProof/>
                <w:webHidden/>
              </w:rPr>
              <w:instrText xml:space="preserve"> PAGEREF _Toc499043847 \h </w:instrText>
            </w:r>
            <w:r w:rsidR="00132C57">
              <w:rPr>
                <w:noProof/>
                <w:webHidden/>
              </w:rPr>
            </w:r>
            <w:r w:rsidR="00132C57">
              <w:rPr>
                <w:noProof/>
                <w:webHidden/>
              </w:rPr>
              <w:fldChar w:fldCharType="separate"/>
            </w:r>
            <w:r w:rsidR="00132C57">
              <w:rPr>
                <w:noProof/>
                <w:webHidden/>
              </w:rPr>
              <w:t>9</w:t>
            </w:r>
            <w:r w:rsidR="00132C57">
              <w:rPr>
                <w:noProof/>
                <w:webHidden/>
              </w:rPr>
              <w:fldChar w:fldCharType="end"/>
            </w:r>
          </w:hyperlink>
        </w:p>
        <w:p w14:paraId="2AF73B34"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48" w:history="1">
            <w:r w:rsidR="00132C57" w:rsidRPr="006F07C6">
              <w:rPr>
                <w:rStyle w:val="Hyperlink"/>
                <w:noProof/>
              </w:rPr>
              <w:t>4.2.</w:t>
            </w:r>
            <w:r w:rsidR="00132C57">
              <w:rPr>
                <w:rFonts w:asciiTheme="minorHAnsi" w:eastAsiaTheme="minorEastAsia" w:hAnsiTheme="minorHAnsi" w:cstheme="minorBidi"/>
                <w:noProof/>
                <w:lang w:eastAsia="en-AU"/>
              </w:rPr>
              <w:tab/>
            </w:r>
            <w:r w:rsidR="00132C57" w:rsidRPr="006F07C6">
              <w:rPr>
                <w:rStyle w:val="Hyperlink"/>
                <w:noProof/>
              </w:rPr>
              <w:t>Summary of pharmacokinetics</w:t>
            </w:r>
            <w:r w:rsidR="00132C57">
              <w:rPr>
                <w:noProof/>
                <w:webHidden/>
              </w:rPr>
              <w:tab/>
            </w:r>
            <w:r w:rsidR="00132C57">
              <w:rPr>
                <w:noProof/>
                <w:webHidden/>
              </w:rPr>
              <w:fldChar w:fldCharType="begin"/>
            </w:r>
            <w:r w:rsidR="00132C57">
              <w:rPr>
                <w:noProof/>
                <w:webHidden/>
              </w:rPr>
              <w:instrText xml:space="preserve"> PAGEREF _Toc499043848 \h </w:instrText>
            </w:r>
            <w:r w:rsidR="00132C57">
              <w:rPr>
                <w:noProof/>
                <w:webHidden/>
              </w:rPr>
            </w:r>
            <w:r w:rsidR="00132C57">
              <w:rPr>
                <w:noProof/>
                <w:webHidden/>
              </w:rPr>
              <w:fldChar w:fldCharType="separate"/>
            </w:r>
            <w:r w:rsidR="00132C57">
              <w:rPr>
                <w:noProof/>
                <w:webHidden/>
              </w:rPr>
              <w:t>11</w:t>
            </w:r>
            <w:r w:rsidR="00132C57">
              <w:rPr>
                <w:noProof/>
                <w:webHidden/>
              </w:rPr>
              <w:fldChar w:fldCharType="end"/>
            </w:r>
          </w:hyperlink>
        </w:p>
        <w:p w14:paraId="69A711EE"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49" w:history="1">
            <w:r w:rsidR="00132C57" w:rsidRPr="006F07C6">
              <w:rPr>
                <w:rStyle w:val="Hyperlink"/>
                <w:noProof/>
              </w:rPr>
              <w:t>4.3.</w:t>
            </w:r>
            <w:r w:rsidR="00132C57">
              <w:rPr>
                <w:rFonts w:asciiTheme="minorHAnsi" w:eastAsiaTheme="minorEastAsia" w:hAnsiTheme="minorHAnsi" w:cstheme="minorBidi"/>
                <w:noProof/>
                <w:lang w:eastAsia="en-AU"/>
              </w:rPr>
              <w:tab/>
            </w:r>
            <w:r w:rsidR="00132C57" w:rsidRPr="006F07C6">
              <w:rPr>
                <w:rStyle w:val="Hyperlink"/>
                <w:noProof/>
              </w:rPr>
              <w:t>Evaluator’s overall conclusions on pharmacokinetics</w:t>
            </w:r>
            <w:r w:rsidR="00132C57">
              <w:rPr>
                <w:noProof/>
                <w:webHidden/>
              </w:rPr>
              <w:tab/>
            </w:r>
            <w:r w:rsidR="00132C57">
              <w:rPr>
                <w:noProof/>
                <w:webHidden/>
              </w:rPr>
              <w:fldChar w:fldCharType="begin"/>
            </w:r>
            <w:r w:rsidR="00132C57">
              <w:rPr>
                <w:noProof/>
                <w:webHidden/>
              </w:rPr>
              <w:instrText xml:space="preserve"> PAGEREF _Toc499043849 \h </w:instrText>
            </w:r>
            <w:r w:rsidR="00132C57">
              <w:rPr>
                <w:noProof/>
                <w:webHidden/>
              </w:rPr>
            </w:r>
            <w:r w:rsidR="00132C57">
              <w:rPr>
                <w:noProof/>
                <w:webHidden/>
              </w:rPr>
              <w:fldChar w:fldCharType="separate"/>
            </w:r>
            <w:r w:rsidR="00132C57">
              <w:rPr>
                <w:noProof/>
                <w:webHidden/>
              </w:rPr>
              <w:t>18</w:t>
            </w:r>
            <w:r w:rsidR="00132C57">
              <w:rPr>
                <w:noProof/>
                <w:webHidden/>
              </w:rPr>
              <w:fldChar w:fldCharType="end"/>
            </w:r>
          </w:hyperlink>
        </w:p>
        <w:p w14:paraId="4967C1B6" w14:textId="77777777" w:rsidR="00132C57" w:rsidRDefault="005C38C4">
          <w:pPr>
            <w:pStyle w:val="TOC2"/>
            <w:tabs>
              <w:tab w:val="left" w:pos="1100"/>
            </w:tabs>
            <w:rPr>
              <w:rFonts w:asciiTheme="minorHAnsi" w:eastAsiaTheme="minorEastAsia" w:hAnsiTheme="minorHAnsi" w:cstheme="minorBidi"/>
              <w:b w:val="0"/>
              <w:noProof/>
              <w:sz w:val="22"/>
              <w:lang w:eastAsia="en-AU"/>
            </w:rPr>
          </w:pPr>
          <w:hyperlink w:anchor="_Toc499043850" w:history="1">
            <w:r w:rsidR="00132C57" w:rsidRPr="006F07C6">
              <w:rPr>
                <w:rStyle w:val="Hyperlink"/>
                <w:noProof/>
              </w:rPr>
              <w:t>5.</w:t>
            </w:r>
            <w:r w:rsidR="00132C57">
              <w:rPr>
                <w:rFonts w:asciiTheme="minorHAnsi" w:eastAsiaTheme="minorEastAsia" w:hAnsiTheme="minorHAnsi" w:cstheme="minorBidi"/>
                <w:b w:val="0"/>
                <w:noProof/>
                <w:sz w:val="22"/>
                <w:lang w:eastAsia="en-AU"/>
              </w:rPr>
              <w:tab/>
            </w:r>
            <w:r w:rsidR="00132C57" w:rsidRPr="006F07C6">
              <w:rPr>
                <w:rStyle w:val="Hyperlink"/>
                <w:noProof/>
              </w:rPr>
              <w:t>Pharmacodynamics</w:t>
            </w:r>
            <w:r w:rsidR="00132C57">
              <w:rPr>
                <w:noProof/>
                <w:webHidden/>
              </w:rPr>
              <w:tab/>
            </w:r>
            <w:r w:rsidR="00132C57">
              <w:rPr>
                <w:noProof/>
                <w:webHidden/>
              </w:rPr>
              <w:fldChar w:fldCharType="begin"/>
            </w:r>
            <w:r w:rsidR="00132C57">
              <w:rPr>
                <w:noProof/>
                <w:webHidden/>
              </w:rPr>
              <w:instrText xml:space="preserve"> PAGEREF _Toc499043850 \h </w:instrText>
            </w:r>
            <w:r w:rsidR="00132C57">
              <w:rPr>
                <w:noProof/>
                <w:webHidden/>
              </w:rPr>
            </w:r>
            <w:r w:rsidR="00132C57">
              <w:rPr>
                <w:noProof/>
                <w:webHidden/>
              </w:rPr>
              <w:fldChar w:fldCharType="separate"/>
            </w:r>
            <w:r w:rsidR="00132C57">
              <w:rPr>
                <w:noProof/>
                <w:webHidden/>
              </w:rPr>
              <w:t>18</w:t>
            </w:r>
            <w:r w:rsidR="00132C57">
              <w:rPr>
                <w:noProof/>
                <w:webHidden/>
              </w:rPr>
              <w:fldChar w:fldCharType="end"/>
            </w:r>
          </w:hyperlink>
        </w:p>
        <w:p w14:paraId="2C7F2C53"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51" w:history="1">
            <w:r w:rsidR="00132C57" w:rsidRPr="006F07C6">
              <w:rPr>
                <w:rStyle w:val="Hyperlink"/>
                <w:noProof/>
              </w:rPr>
              <w:t>5.1.</w:t>
            </w:r>
            <w:r w:rsidR="00132C57">
              <w:rPr>
                <w:rFonts w:asciiTheme="minorHAnsi" w:eastAsiaTheme="minorEastAsia" w:hAnsiTheme="minorHAnsi" w:cstheme="minorBidi"/>
                <w:noProof/>
                <w:lang w:eastAsia="en-AU"/>
              </w:rPr>
              <w:tab/>
            </w:r>
            <w:r w:rsidR="00132C57" w:rsidRPr="006F07C6">
              <w:rPr>
                <w:rStyle w:val="Hyperlink"/>
                <w:noProof/>
              </w:rPr>
              <w:t>Studies providing pharmacodynamic information</w:t>
            </w:r>
            <w:r w:rsidR="00132C57">
              <w:rPr>
                <w:noProof/>
                <w:webHidden/>
              </w:rPr>
              <w:tab/>
            </w:r>
            <w:r w:rsidR="00132C57">
              <w:rPr>
                <w:noProof/>
                <w:webHidden/>
              </w:rPr>
              <w:fldChar w:fldCharType="begin"/>
            </w:r>
            <w:r w:rsidR="00132C57">
              <w:rPr>
                <w:noProof/>
                <w:webHidden/>
              </w:rPr>
              <w:instrText xml:space="preserve"> PAGEREF _Toc499043851 \h </w:instrText>
            </w:r>
            <w:r w:rsidR="00132C57">
              <w:rPr>
                <w:noProof/>
                <w:webHidden/>
              </w:rPr>
            </w:r>
            <w:r w:rsidR="00132C57">
              <w:rPr>
                <w:noProof/>
                <w:webHidden/>
              </w:rPr>
              <w:fldChar w:fldCharType="separate"/>
            </w:r>
            <w:r w:rsidR="00132C57">
              <w:rPr>
                <w:noProof/>
                <w:webHidden/>
              </w:rPr>
              <w:t>18</w:t>
            </w:r>
            <w:r w:rsidR="00132C57">
              <w:rPr>
                <w:noProof/>
                <w:webHidden/>
              </w:rPr>
              <w:fldChar w:fldCharType="end"/>
            </w:r>
          </w:hyperlink>
        </w:p>
        <w:p w14:paraId="25D43163"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52" w:history="1">
            <w:r w:rsidR="00132C57" w:rsidRPr="006F07C6">
              <w:rPr>
                <w:rStyle w:val="Hyperlink"/>
                <w:noProof/>
              </w:rPr>
              <w:t>5.2.</w:t>
            </w:r>
            <w:r w:rsidR="00132C57">
              <w:rPr>
                <w:rFonts w:asciiTheme="minorHAnsi" w:eastAsiaTheme="minorEastAsia" w:hAnsiTheme="minorHAnsi" w:cstheme="minorBidi"/>
                <w:noProof/>
                <w:lang w:eastAsia="en-AU"/>
              </w:rPr>
              <w:tab/>
            </w:r>
            <w:r w:rsidR="00132C57" w:rsidRPr="006F07C6">
              <w:rPr>
                <w:rStyle w:val="Hyperlink"/>
                <w:noProof/>
              </w:rPr>
              <w:t>Summary of pharmacodynamics</w:t>
            </w:r>
            <w:r w:rsidR="00132C57">
              <w:rPr>
                <w:noProof/>
                <w:webHidden/>
              </w:rPr>
              <w:tab/>
            </w:r>
            <w:r w:rsidR="00132C57">
              <w:rPr>
                <w:noProof/>
                <w:webHidden/>
              </w:rPr>
              <w:fldChar w:fldCharType="begin"/>
            </w:r>
            <w:r w:rsidR="00132C57">
              <w:rPr>
                <w:noProof/>
                <w:webHidden/>
              </w:rPr>
              <w:instrText xml:space="preserve"> PAGEREF _Toc499043852 \h </w:instrText>
            </w:r>
            <w:r w:rsidR="00132C57">
              <w:rPr>
                <w:noProof/>
                <w:webHidden/>
              </w:rPr>
            </w:r>
            <w:r w:rsidR="00132C57">
              <w:rPr>
                <w:noProof/>
                <w:webHidden/>
              </w:rPr>
              <w:fldChar w:fldCharType="separate"/>
            </w:r>
            <w:r w:rsidR="00132C57">
              <w:rPr>
                <w:noProof/>
                <w:webHidden/>
              </w:rPr>
              <w:t>18</w:t>
            </w:r>
            <w:r w:rsidR="00132C57">
              <w:rPr>
                <w:noProof/>
                <w:webHidden/>
              </w:rPr>
              <w:fldChar w:fldCharType="end"/>
            </w:r>
          </w:hyperlink>
        </w:p>
        <w:p w14:paraId="58777682"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53" w:history="1">
            <w:r w:rsidR="00132C57" w:rsidRPr="006F07C6">
              <w:rPr>
                <w:rStyle w:val="Hyperlink"/>
                <w:noProof/>
              </w:rPr>
              <w:t>5.3.</w:t>
            </w:r>
            <w:r w:rsidR="00132C57">
              <w:rPr>
                <w:rFonts w:asciiTheme="minorHAnsi" w:eastAsiaTheme="minorEastAsia" w:hAnsiTheme="minorHAnsi" w:cstheme="minorBidi"/>
                <w:noProof/>
                <w:lang w:eastAsia="en-AU"/>
              </w:rPr>
              <w:tab/>
            </w:r>
            <w:r w:rsidR="00132C57" w:rsidRPr="006F07C6">
              <w:rPr>
                <w:rStyle w:val="Hyperlink"/>
                <w:noProof/>
              </w:rPr>
              <w:t>Evaluator’s overall conclusions on pharmacodynamics</w:t>
            </w:r>
            <w:r w:rsidR="00132C57">
              <w:rPr>
                <w:noProof/>
                <w:webHidden/>
              </w:rPr>
              <w:tab/>
            </w:r>
            <w:r w:rsidR="00132C57">
              <w:rPr>
                <w:noProof/>
                <w:webHidden/>
              </w:rPr>
              <w:fldChar w:fldCharType="begin"/>
            </w:r>
            <w:r w:rsidR="00132C57">
              <w:rPr>
                <w:noProof/>
                <w:webHidden/>
              </w:rPr>
              <w:instrText xml:space="preserve"> PAGEREF _Toc499043853 \h </w:instrText>
            </w:r>
            <w:r w:rsidR="00132C57">
              <w:rPr>
                <w:noProof/>
                <w:webHidden/>
              </w:rPr>
            </w:r>
            <w:r w:rsidR="00132C57">
              <w:rPr>
                <w:noProof/>
                <w:webHidden/>
              </w:rPr>
              <w:fldChar w:fldCharType="separate"/>
            </w:r>
            <w:r w:rsidR="00132C57">
              <w:rPr>
                <w:noProof/>
                <w:webHidden/>
              </w:rPr>
              <w:t>20</w:t>
            </w:r>
            <w:r w:rsidR="00132C57">
              <w:rPr>
                <w:noProof/>
                <w:webHidden/>
              </w:rPr>
              <w:fldChar w:fldCharType="end"/>
            </w:r>
          </w:hyperlink>
        </w:p>
        <w:p w14:paraId="7A0A475E" w14:textId="77777777" w:rsidR="00132C57" w:rsidRDefault="005C38C4">
          <w:pPr>
            <w:pStyle w:val="TOC2"/>
            <w:tabs>
              <w:tab w:val="left" w:pos="1100"/>
            </w:tabs>
            <w:rPr>
              <w:rFonts w:asciiTheme="minorHAnsi" w:eastAsiaTheme="minorEastAsia" w:hAnsiTheme="minorHAnsi" w:cstheme="minorBidi"/>
              <w:b w:val="0"/>
              <w:noProof/>
              <w:sz w:val="22"/>
              <w:lang w:eastAsia="en-AU"/>
            </w:rPr>
          </w:pPr>
          <w:hyperlink w:anchor="_Toc499043854" w:history="1">
            <w:r w:rsidR="00132C57" w:rsidRPr="006F07C6">
              <w:rPr>
                <w:rStyle w:val="Hyperlink"/>
                <w:noProof/>
              </w:rPr>
              <w:t>6.</w:t>
            </w:r>
            <w:r w:rsidR="00132C57">
              <w:rPr>
                <w:rFonts w:asciiTheme="minorHAnsi" w:eastAsiaTheme="minorEastAsia" w:hAnsiTheme="minorHAnsi" w:cstheme="minorBidi"/>
                <w:b w:val="0"/>
                <w:noProof/>
                <w:sz w:val="22"/>
                <w:lang w:eastAsia="en-AU"/>
              </w:rPr>
              <w:tab/>
            </w:r>
            <w:r w:rsidR="00132C57" w:rsidRPr="006F07C6">
              <w:rPr>
                <w:rStyle w:val="Hyperlink"/>
                <w:noProof/>
              </w:rPr>
              <w:t>Clinical efficacy</w:t>
            </w:r>
            <w:r w:rsidR="00132C57">
              <w:rPr>
                <w:noProof/>
                <w:webHidden/>
              </w:rPr>
              <w:tab/>
            </w:r>
            <w:r w:rsidR="00132C57">
              <w:rPr>
                <w:noProof/>
                <w:webHidden/>
              </w:rPr>
              <w:fldChar w:fldCharType="begin"/>
            </w:r>
            <w:r w:rsidR="00132C57">
              <w:rPr>
                <w:noProof/>
                <w:webHidden/>
              </w:rPr>
              <w:instrText xml:space="preserve"> PAGEREF _Toc499043854 \h </w:instrText>
            </w:r>
            <w:r w:rsidR="00132C57">
              <w:rPr>
                <w:noProof/>
                <w:webHidden/>
              </w:rPr>
            </w:r>
            <w:r w:rsidR="00132C57">
              <w:rPr>
                <w:noProof/>
                <w:webHidden/>
              </w:rPr>
              <w:fldChar w:fldCharType="separate"/>
            </w:r>
            <w:r w:rsidR="00132C57">
              <w:rPr>
                <w:noProof/>
                <w:webHidden/>
              </w:rPr>
              <w:t>20</w:t>
            </w:r>
            <w:r w:rsidR="00132C57">
              <w:rPr>
                <w:noProof/>
                <w:webHidden/>
              </w:rPr>
              <w:fldChar w:fldCharType="end"/>
            </w:r>
          </w:hyperlink>
        </w:p>
        <w:p w14:paraId="7760E1CC"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55" w:history="1">
            <w:r w:rsidR="00132C57" w:rsidRPr="006F07C6">
              <w:rPr>
                <w:rStyle w:val="Hyperlink"/>
                <w:noProof/>
              </w:rPr>
              <w:t>6.1.</w:t>
            </w:r>
            <w:r w:rsidR="00132C57">
              <w:rPr>
                <w:rFonts w:asciiTheme="minorHAnsi" w:eastAsiaTheme="minorEastAsia" w:hAnsiTheme="minorHAnsi" w:cstheme="minorBidi"/>
                <w:noProof/>
                <w:lang w:eastAsia="en-AU"/>
              </w:rPr>
              <w:tab/>
            </w:r>
            <w:r w:rsidR="00132C57" w:rsidRPr="006F07C6">
              <w:rPr>
                <w:rStyle w:val="Hyperlink"/>
                <w:noProof/>
              </w:rPr>
              <w:t>Studies providing evaluable efficacy data</w:t>
            </w:r>
            <w:r w:rsidR="00132C57">
              <w:rPr>
                <w:noProof/>
                <w:webHidden/>
              </w:rPr>
              <w:tab/>
            </w:r>
            <w:r w:rsidR="00132C57">
              <w:rPr>
                <w:noProof/>
                <w:webHidden/>
              </w:rPr>
              <w:fldChar w:fldCharType="begin"/>
            </w:r>
            <w:r w:rsidR="00132C57">
              <w:rPr>
                <w:noProof/>
                <w:webHidden/>
              </w:rPr>
              <w:instrText xml:space="preserve"> PAGEREF _Toc499043855 \h </w:instrText>
            </w:r>
            <w:r w:rsidR="00132C57">
              <w:rPr>
                <w:noProof/>
                <w:webHidden/>
              </w:rPr>
            </w:r>
            <w:r w:rsidR="00132C57">
              <w:rPr>
                <w:noProof/>
                <w:webHidden/>
              </w:rPr>
              <w:fldChar w:fldCharType="separate"/>
            </w:r>
            <w:r w:rsidR="00132C57">
              <w:rPr>
                <w:noProof/>
                <w:webHidden/>
              </w:rPr>
              <w:t>20</w:t>
            </w:r>
            <w:r w:rsidR="00132C57">
              <w:rPr>
                <w:noProof/>
                <w:webHidden/>
              </w:rPr>
              <w:fldChar w:fldCharType="end"/>
            </w:r>
          </w:hyperlink>
        </w:p>
        <w:p w14:paraId="5AC34AAA"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56" w:history="1">
            <w:r w:rsidR="00132C57" w:rsidRPr="006F07C6">
              <w:rPr>
                <w:rStyle w:val="Hyperlink"/>
                <w:noProof/>
              </w:rPr>
              <w:t>6.2.</w:t>
            </w:r>
            <w:r w:rsidR="00132C57">
              <w:rPr>
                <w:rFonts w:asciiTheme="minorHAnsi" w:eastAsiaTheme="minorEastAsia" w:hAnsiTheme="minorHAnsi" w:cstheme="minorBidi"/>
                <w:noProof/>
                <w:lang w:eastAsia="en-AU"/>
              </w:rPr>
              <w:tab/>
            </w:r>
            <w:r w:rsidR="00132C57" w:rsidRPr="006F07C6">
              <w:rPr>
                <w:rStyle w:val="Hyperlink"/>
                <w:noProof/>
              </w:rPr>
              <w:t>Pivotal or main efficacy studies</w:t>
            </w:r>
            <w:r w:rsidR="00132C57">
              <w:rPr>
                <w:noProof/>
                <w:webHidden/>
              </w:rPr>
              <w:tab/>
            </w:r>
            <w:r w:rsidR="00132C57">
              <w:rPr>
                <w:noProof/>
                <w:webHidden/>
              </w:rPr>
              <w:fldChar w:fldCharType="begin"/>
            </w:r>
            <w:r w:rsidR="00132C57">
              <w:rPr>
                <w:noProof/>
                <w:webHidden/>
              </w:rPr>
              <w:instrText xml:space="preserve"> PAGEREF _Toc499043856 \h </w:instrText>
            </w:r>
            <w:r w:rsidR="00132C57">
              <w:rPr>
                <w:noProof/>
                <w:webHidden/>
              </w:rPr>
            </w:r>
            <w:r w:rsidR="00132C57">
              <w:rPr>
                <w:noProof/>
                <w:webHidden/>
              </w:rPr>
              <w:fldChar w:fldCharType="separate"/>
            </w:r>
            <w:r w:rsidR="00132C57">
              <w:rPr>
                <w:noProof/>
                <w:webHidden/>
              </w:rPr>
              <w:t>20</w:t>
            </w:r>
            <w:r w:rsidR="00132C57">
              <w:rPr>
                <w:noProof/>
                <w:webHidden/>
              </w:rPr>
              <w:fldChar w:fldCharType="end"/>
            </w:r>
          </w:hyperlink>
        </w:p>
        <w:p w14:paraId="111449D5"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57" w:history="1">
            <w:r w:rsidR="00132C57" w:rsidRPr="006F07C6">
              <w:rPr>
                <w:rStyle w:val="Hyperlink"/>
                <w:noProof/>
              </w:rPr>
              <w:t>6.3.</w:t>
            </w:r>
            <w:r w:rsidR="00132C57">
              <w:rPr>
                <w:rFonts w:asciiTheme="minorHAnsi" w:eastAsiaTheme="minorEastAsia" w:hAnsiTheme="minorHAnsi" w:cstheme="minorBidi"/>
                <w:noProof/>
                <w:lang w:eastAsia="en-AU"/>
              </w:rPr>
              <w:tab/>
            </w:r>
            <w:r w:rsidR="00132C57" w:rsidRPr="006F07C6">
              <w:rPr>
                <w:rStyle w:val="Hyperlink"/>
                <w:noProof/>
              </w:rPr>
              <w:t>Other efficacy studies</w:t>
            </w:r>
            <w:r w:rsidR="00132C57">
              <w:rPr>
                <w:noProof/>
                <w:webHidden/>
              </w:rPr>
              <w:tab/>
            </w:r>
            <w:r w:rsidR="00132C57">
              <w:rPr>
                <w:noProof/>
                <w:webHidden/>
              </w:rPr>
              <w:fldChar w:fldCharType="begin"/>
            </w:r>
            <w:r w:rsidR="00132C57">
              <w:rPr>
                <w:noProof/>
                <w:webHidden/>
              </w:rPr>
              <w:instrText xml:space="preserve"> PAGEREF _Toc499043857 \h </w:instrText>
            </w:r>
            <w:r w:rsidR="00132C57">
              <w:rPr>
                <w:noProof/>
                <w:webHidden/>
              </w:rPr>
            </w:r>
            <w:r w:rsidR="00132C57">
              <w:rPr>
                <w:noProof/>
                <w:webHidden/>
              </w:rPr>
              <w:fldChar w:fldCharType="separate"/>
            </w:r>
            <w:r w:rsidR="00132C57">
              <w:rPr>
                <w:noProof/>
                <w:webHidden/>
              </w:rPr>
              <w:t>32</w:t>
            </w:r>
            <w:r w:rsidR="00132C57">
              <w:rPr>
                <w:noProof/>
                <w:webHidden/>
              </w:rPr>
              <w:fldChar w:fldCharType="end"/>
            </w:r>
          </w:hyperlink>
        </w:p>
        <w:p w14:paraId="52611D56"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58" w:history="1">
            <w:r w:rsidR="00132C57" w:rsidRPr="006F07C6">
              <w:rPr>
                <w:rStyle w:val="Hyperlink"/>
                <w:noProof/>
              </w:rPr>
              <w:t>6.4.</w:t>
            </w:r>
            <w:r w:rsidR="00132C57">
              <w:rPr>
                <w:rFonts w:asciiTheme="minorHAnsi" w:eastAsiaTheme="minorEastAsia" w:hAnsiTheme="minorHAnsi" w:cstheme="minorBidi"/>
                <w:noProof/>
                <w:lang w:eastAsia="en-AU"/>
              </w:rPr>
              <w:tab/>
            </w:r>
            <w:r w:rsidR="00132C57" w:rsidRPr="006F07C6">
              <w:rPr>
                <w:rStyle w:val="Hyperlink"/>
                <w:noProof/>
              </w:rPr>
              <w:t>Analyses performed across trials: pooled and meta analyses</w:t>
            </w:r>
            <w:r w:rsidR="00132C57">
              <w:rPr>
                <w:noProof/>
                <w:webHidden/>
              </w:rPr>
              <w:tab/>
            </w:r>
            <w:r w:rsidR="00132C57">
              <w:rPr>
                <w:noProof/>
                <w:webHidden/>
              </w:rPr>
              <w:fldChar w:fldCharType="begin"/>
            </w:r>
            <w:r w:rsidR="00132C57">
              <w:rPr>
                <w:noProof/>
                <w:webHidden/>
              </w:rPr>
              <w:instrText xml:space="preserve"> PAGEREF _Toc499043858 \h </w:instrText>
            </w:r>
            <w:r w:rsidR="00132C57">
              <w:rPr>
                <w:noProof/>
                <w:webHidden/>
              </w:rPr>
            </w:r>
            <w:r w:rsidR="00132C57">
              <w:rPr>
                <w:noProof/>
                <w:webHidden/>
              </w:rPr>
              <w:fldChar w:fldCharType="separate"/>
            </w:r>
            <w:r w:rsidR="00132C57">
              <w:rPr>
                <w:noProof/>
                <w:webHidden/>
              </w:rPr>
              <w:t>34</w:t>
            </w:r>
            <w:r w:rsidR="00132C57">
              <w:rPr>
                <w:noProof/>
                <w:webHidden/>
              </w:rPr>
              <w:fldChar w:fldCharType="end"/>
            </w:r>
          </w:hyperlink>
        </w:p>
        <w:p w14:paraId="72AF457B"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59" w:history="1">
            <w:r w:rsidR="00132C57" w:rsidRPr="006F07C6">
              <w:rPr>
                <w:rStyle w:val="Hyperlink"/>
                <w:noProof/>
              </w:rPr>
              <w:t>6.5.</w:t>
            </w:r>
            <w:r w:rsidR="00132C57">
              <w:rPr>
                <w:rFonts w:asciiTheme="minorHAnsi" w:eastAsiaTheme="minorEastAsia" w:hAnsiTheme="minorHAnsi" w:cstheme="minorBidi"/>
                <w:noProof/>
                <w:lang w:eastAsia="en-AU"/>
              </w:rPr>
              <w:tab/>
            </w:r>
            <w:r w:rsidR="00132C57" w:rsidRPr="006F07C6">
              <w:rPr>
                <w:rStyle w:val="Hyperlink"/>
                <w:noProof/>
              </w:rPr>
              <w:t>Evaluator’s conclusions on clinical efficacy</w:t>
            </w:r>
            <w:r w:rsidR="00132C57">
              <w:rPr>
                <w:noProof/>
                <w:webHidden/>
              </w:rPr>
              <w:tab/>
            </w:r>
            <w:r w:rsidR="00132C57">
              <w:rPr>
                <w:noProof/>
                <w:webHidden/>
              </w:rPr>
              <w:fldChar w:fldCharType="begin"/>
            </w:r>
            <w:r w:rsidR="00132C57">
              <w:rPr>
                <w:noProof/>
                <w:webHidden/>
              </w:rPr>
              <w:instrText xml:space="preserve"> PAGEREF _Toc499043859 \h </w:instrText>
            </w:r>
            <w:r w:rsidR="00132C57">
              <w:rPr>
                <w:noProof/>
                <w:webHidden/>
              </w:rPr>
            </w:r>
            <w:r w:rsidR="00132C57">
              <w:rPr>
                <w:noProof/>
                <w:webHidden/>
              </w:rPr>
              <w:fldChar w:fldCharType="separate"/>
            </w:r>
            <w:r w:rsidR="00132C57">
              <w:rPr>
                <w:noProof/>
                <w:webHidden/>
              </w:rPr>
              <w:t>34</w:t>
            </w:r>
            <w:r w:rsidR="00132C57">
              <w:rPr>
                <w:noProof/>
                <w:webHidden/>
              </w:rPr>
              <w:fldChar w:fldCharType="end"/>
            </w:r>
          </w:hyperlink>
        </w:p>
        <w:p w14:paraId="49096656" w14:textId="77777777" w:rsidR="00132C57" w:rsidRDefault="005C38C4">
          <w:pPr>
            <w:pStyle w:val="TOC2"/>
            <w:tabs>
              <w:tab w:val="left" w:pos="1100"/>
            </w:tabs>
            <w:rPr>
              <w:rFonts w:asciiTheme="minorHAnsi" w:eastAsiaTheme="minorEastAsia" w:hAnsiTheme="minorHAnsi" w:cstheme="minorBidi"/>
              <w:b w:val="0"/>
              <w:noProof/>
              <w:sz w:val="22"/>
              <w:lang w:eastAsia="en-AU"/>
            </w:rPr>
          </w:pPr>
          <w:hyperlink w:anchor="_Toc499043860" w:history="1">
            <w:r w:rsidR="00132C57" w:rsidRPr="006F07C6">
              <w:rPr>
                <w:rStyle w:val="Hyperlink"/>
                <w:noProof/>
              </w:rPr>
              <w:t>7.</w:t>
            </w:r>
            <w:r w:rsidR="00132C57">
              <w:rPr>
                <w:rFonts w:asciiTheme="minorHAnsi" w:eastAsiaTheme="minorEastAsia" w:hAnsiTheme="minorHAnsi" w:cstheme="minorBidi"/>
                <w:b w:val="0"/>
                <w:noProof/>
                <w:sz w:val="22"/>
                <w:lang w:eastAsia="en-AU"/>
              </w:rPr>
              <w:tab/>
            </w:r>
            <w:r w:rsidR="00132C57" w:rsidRPr="006F07C6">
              <w:rPr>
                <w:rStyle w:val="Hyperlink"/>
                <w:noProof/>
              </w:rPr>
              <w:t>Clinical safety</w:t>
            </w:r>
            <w:r w:rsidR="00132C57">
              <w:rPr>
                <w:noProof/>
                <w:webHidden/>
              </w:rPr>
              <w:tab/>
            </w:r>
            <w:r w:rsidR="00132C57">
              <w:rPr>
                <w:noProof/>
                <w:webHidden/>
              </w:rPr>
              <w:fldChar w:fldCharType="begin"/>
            </w:r>
            <w:r w:rsidR="00132C57">
              <w:rPr>
                <w:noProof/>
                <w:webHidden/>
              </w:rPr>
              <w:instrText xml:space="preserve"> PAGEREF _Toc499043860 \h </w:instrText>
            </w:r>
            <w:r w:rsidR="00132C57">
              <w:rPr>
                <w:noProof/>
                <w:webHidden/>
              </w:rPr>
            </w:r>
            <w:r w:rsidR="00132C57">
              <w:rPr>
                <w:noProof/>
                <w:webHidden/>
              </w:rPr>
              <w:fldChar w:fldCharType="separate"/>
            </w:r>
            <w:r w:rsidR="00132C57">
              <w:rPr>
                <w:noProof/>
                <w:webHidden/>
              </w:rPr>
              <w:t>35</w:t>
            </w:r>
            <w:r w:rsidR="00132C57">
              <w:rPr>
                <w:noProof/>
                <w:webHidden/>
              </w:rPr>
              <w:fldChar w:fldCharType="end"/>
            </w:r>
          </w:hyperlink>
        </w:p>
        <w:p w14:paraId="08A7C53E"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61" w:history="1">
            <w:r w:rsidR="00132C57" w:rsidRPr="006F07C6">
              <w:rPr>
                <w:rStyle w:val="Hyperlink"/>
                <w:noProof/>
              </w:rPr>
              <w:t>7.1.</w:t>
            </w:r>
            <w:r w:rsidR="00132C57">
              <w:rPr>
                <w:rFonts w:asciiTheme="minorHAnsi" w:eastAsiaTheme="minorEastAsia" w:hAnsiTheme="minorHAnsi" w:cstheme="minorBidi"/>
                <w:noProof/>
                <w:lang w:eastAsia="en-AU"/>
              </w:rPr>
              <w:tab/>
            </w:r>
            <w:r w:rsidR="00132C57" w:rsidRPr="006F07C6">
              <w:rPr>
                <w:rStyle w:val="Hyperlink"/>
                <w:noProof/>
              </w:rPr>
              <w:t>Studies providing evaluable safety data</w:t>
            </w:r>
            <w:r w:rsidR="00132C57">
              <w:rPr>
                <w:noProof/>
                <w:webHidden/>
              </w:rPr>
              <w:tab/>
            </w:r>
            <w:r w:rsidR="00132C57">
              <w:rPr>
                <w:noProof/>
                <w:webHidden/>
              </w:rPr>
              <w:fldChar w:fldCharType="begin"/>
            </w:r>
            <w:r w:rsidR="00132C57">
              <w:rPr>
                <w:noProof/>
                <w:webHidden/>
              </w:rPr>
              <w:instrText xml:space="preserve"> PAGEREF _Toc499043861 \h </w:instrText>
            </w:r>
            <w:r w:rsidR="00132C57">
              <w:rPr>
                <w:noProof/>
                <w:webHidden/>
              </w:rPr>
            </w:r>
            <w:r w:rsidR="00132C57">
              <w:rPr>
                <w:noProof/>
                <w:webHidden/>
              </w:rPr>
              <w:fldChar w:fldCharType="separate"/>
            </w:r>
            <w:r w:rsidR="00132C57">
              <w:rPr>
                <w:noProof/>
                <w:webHidden/>
              </w:rPr>
              <w:t>35</w:t>
            </w:r>
            <w:r w:rsidR="00132C57">
              <w:rPr>
                <w:noProof/>
                <w:webHidden/>
              </w:rPr>
              <w:fldChar w:fldCharType="end"/>
            </w:r>
          </w:hyperlink>
        </w:p>
        <w:p w14:paraId="27468064"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62" w:history="1">
            <w:r w:rsidR="00132C57" w:rsidRPr="006F07C6">
              <w:rPr>
                <w:rStyle w:val="Hyperlink"/>
                <w:noProof/>
              </w:rPr>
              <w:t>7.2.</w:t>
            </w:r>
            <w:r w:rsidR="00132C57">
              <w:rPr>
                <w:rFonts w:asciiTheme="minorHAnsi" w:eastAsiaTheme="minorEastAsia" w:hAnsiTheme="minorHAnsi" w:cstheme="minorBidi"/>
                <w:noProof/>
                <w:lang w:eastAsia="en-AU"/>
              </w:rPr>
              <w:tab/>
            </w:r>
            <w:r w:rsidR="00132C57" w:rsidRPr="006F07C6">
              <w:rPr>
                <w:rStyle w:val="Hyperlink"/>
                <w:noProof/>
              </w:rPr>
              <w:t>Studies using the same Evolution Inserter</w:t>
            </w:r>
            <w:r w:rsidR="00132C57">
              <w:rPr>
                <w:noProof/>
                <w:webHidden/>
              </w:rPr>
              <w:tab/>
            </w:r>
            <w:r w:rsidR="00132C57">
              <w:rPr>
                <w:noProof/>
                <w:webHidden/>
              </w:rPr>
              <w:fldChar w:fldCharType="begin"/>
            </w:r>
            <w:r w:rsidR="00132C57">
              <w:rPr>
                <w:noProof/>
                <w:webHidden/>
              </w:rPr>
              <w:instrText xml:space="preserve"> PAGEREF _Toc499043862 \h </w:instrText>
            </w:r>
            <w:r w:rsidR="00132C57">
              <w:rPr>
                <w:noProof/>
                <w:webHidden/>
              </w:rPr>
            </w:r>
            <w:r w:rsidR="00132C57">
              <w:rPr>
                <w:noProof/>
                <w:webHidden/>
              </w:rPr>
              <w:fldChar w:fldCharType="separate"/>
            </w:r>
            <w:r w:rsidR="00132C57">
              <w:rPr>
                <w:noProof/>
                <w:webHidden/>
              </w:rPr>
              <w:t>43</w:t>
            </w:r>
            <w:r w:rsidR="00132C57">
              <w:rPr>
                <w:noProof/>
                <w:webHidden/>
              </w:rPr>
              <w:fldChar w:fldCharType="end"/>
            </w:r>
          </w:hyperlink>
        </w:p>
        <w:p w14:paraId="56B83DE4"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63" w:history="1">
            <w:r w:rsidR="00132C57" w:rsidRPr="006F07C6">
              <w:rPr>
                <w:rStyle w:val="Hyperlink"/>
                <w:noProof/>
              </w:rPr>
              <w:t>7.3.</w:t>
            </w:r>
            <w:r w:rsidR="00132C57">
              <w:rPr>
                <w:rFonts w:asciiTheme="minorHAnsi" w:eastAsiaTheme="minorEastAsia" w:hAnsiTheme="minorHAnsi" w:cstheme="minorBidi"/>
                <w:noProof/>
                <w:lang w:eastAsia="en-AU"/>
              </w:rPr>
              <w:tab/>
            </w:r>
            <w:r w:rsidR="00132C57" w:rsidRPr="006F07C6">
              <w:rPr>
                <w:rStyle w:val="Hyperlink"/>
                <w:noProof/>
              </w:rPr>
              <w:t>Other safety issues</w:t>
            </w:r>
            <w:r w:rsidR="00132C57">
              <w:rPr>
                <w:noProof/>
                <w:webHidden/>
              </w:rPr>
              <w:tab/>
            </w:r>
            <w:r w:rsidR="00132C57">
              <w:rPr>
                <w:noProof/>
                <w:webHidden/>
              </w:rPr>
              <w:fldChar w:fldCharType="begin"/>
            </w:r>
            <w:r w:rsidR="00132C57">
              <w:rPr>
                <w:noProof/>
                <w:webHidden/>
              </w:rPr>
              <w:instrText xml:space="preserve"> PAGEREF _Toc499043863 \h </w:instrText>
            </w:r>
            <w:r w:rsidR="00132C57">
              <w:rPr>
                <w:noProof/>
                <w:webHidden/>
              </w:rPr>
            </w:r>
            <w:r w:rsidR="00132C57">
              <w:rPr>
                <w:noProof/>
                <w:webHidden/>
              </w:rPr>
              <w:fldChar w:fldCharType="separate"/>
            </w:r>
            <w:r w:rsidR="00132C57">
              <w:rPr>
                <w:noProof/>
                <w:webHidden/>
              </w:rPr>
              <w:t>45</w:t>
            </w:r>
            <w:r w:rsidR="00132C57">
              <w:rPr>
                <w:noProof/>
                <w:webHidden/>
              </w:rPr>
              <w:fldChar w:fldCharType="end"/>
            </w:r>
          </w:hyperlink>
        </w:p>
        <w:p w14:paraId="752B2B31"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64" w:history="1">
            <w:r w:rsidR="00132C57" w:rsidRPr="006F07C6">
              <w:rPr>
                <w:rStyle w:val="Hyperlink"/>
                <w:noProof/>
              </w:rPr>
              <w:t>7.4.</w:t>
            </w:r>
            <w:r w:rsidR="00132C57">
              <w:rPr>
                <w:rFonts w:asciiTheme="minorHAnsi" w:eastAsiaTheme="minorEastAsia" w:hAnsiTheme="minorHAnsi" w:cstheme="minorBidi"/>
                <w:noProof/>
                <w:lang w:eastAsia="en-AU"/>
              </w:rPr>
              <w:tab/>
            </w:r>
            <w:r w:rsidR="00132C57" w:rsidRPr="006F07C6">
              <w:rPr>
                <w:rStyle w:val="Hyperlink"/>
                <w:noProof/>
              </w:rPr>
              <w:t>Post marketing experience</w:t>
            </w:r>
            <w:r w:rsidR="00132C57">
              <w:rPr>
                <w:noProof/>
                <w:webHidden/>
              </w:rPr>
              <w:tab/>
            </w:r>
            <w:r w:rsidR="00132C57">
              <w:rPr>
                <w:noProof/>
                <w:webHidden/>
              </w:rPr>
              <w:fldChar w:fldCharType="begin"/>
            </w:r>
            <w:r w:rsidR="00132C57">
              <w:rPr>
                <w:noProof/>
                <w:webHidden/>
              </w:rPr>
              <w:instrText xml:space="preserve"> PAGEREF _Toc499043864 \h </w:instrText>
            </w:r>
            <w:r w:rsidR="00132C57">
              <w:rPr>
                <w:noProof/>
                <w:webHidden/>
              </w:rPr>
            </w:r>
            <w:r w:rsidR="00132C57">
              <w:rPr>
                <w:noProof/>
                <w:webHidden/>
              </w:rPr>
              <w:fldChar w:fldCharType="separate"/>
            </w:r>
            <w:r w:rsidR="00132C57">
              <w:rPr>
                <w:noProof/>
                <w:webHidden/>
              </w:rPr>
              <w:t>45</w:t>
            </w:r>
            <w:r w:rsidR="00132C57">
              <w:rPr>
                <w:noProof/>
                <w:webHidden/>
              </w:rPr>
              <w:fldChar w:fldCharType="end"/>
            </w:r>
          </w:hyperlink>
        </w:p>
        <w:p w14:paraId="1424EF10"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65" w:history="1">
            <w:r w:rsidR="00132C57" w:rsidRPr="006F07C6">
              <w:rPr>
                <w:rStyle w:val="Hyperlink"/>
                <w:noProof/>
              </w:rPr>
              <w:t>7.5.</w:t>
            </w:r>
            <w:r w:rsidR="00132C57">
              <w:rPr>
                <w:rFonts w:asciiTheme="minorHAnsi" w:eastAsiaTheme="minorEastAsia" w:hAnsiTheme="minorHAnsi" w:cstheme="minorBidi"/>
                <w:noProof/>
                <w:lang w:eastAsia="en-AU"/>
              </w:rPr>
              <w:tab/>
            </w:r>
            <w:r w:rsidR="00132C57" w:rsidRPr="006F07C6">
              <w:rPr>
                <w:rStyle w:val="Hyperlink"/>
                <w:noProof/>
              </w:rPr>
              <w:t>Evaluator’s overall conclusions on clinical safety</w:t>
            </w:r>
            <w:r w:rsidR="00132C57">
              <w:rPr>
                <w:noProof/>
                <w:webHidden/>
              </w:rPr>
              <w:tab/>
            </w:r>
            <w:r w:rsidR="00132C57">
              <w:rPr>
                <w:noProof/>
                <w:webHidden/>
              </w:rPr>
              <w:fldChar w:fldCharType="begin"/>
            </w:r>
            <w:r w:rsidR="00132C57">
              <w:rPr>
                <w:noProof/>
                <w:webHidden/>
              </w:rPr>
              <w:instrText xml:space="preserve"> PAGEREF _Toc499043865 \h </w:instrText>
            </w:r>
            <w:r w:rsidR="00132C57">
              <w:rPr>
                <w:noProof/>
                <w:webHidden/>
              </w:rPr>
            </w:r>
            <w:r w:rsidR="00132C57">
              <w:rPr>
                <w:noProof/>
                <w:webHidden/>
              </w:rPr>
              <w:fldChar w:fldCharType="separate"/>
            </w:r>
            <w:r w:rsidR="00132C57">
              <w:rPr>
                <w:noProof/>
                <w:webHidden/>
              </w:rPr>
              <w:t>46</w:t>
            </w:r>
            <w:r w:rsidR="00132C57">
              <w:rPr>
                <w:noProof/>
                <w:webHidden/>
              </w:rPr>
              <w:fldChar w:fldCharType="end"/>
            </w:r>
          </w:hyperlink>
        </w:p>
        <w:p w14:paraId="67F400D1" w14:textId="77777777" w:rsidR="00132C57" w:rsidRDefault="005C38C4">
          <w:pPr>
            <w:pStyle w:val="TOC2"/>
            <w:tabs>
              <w:tab w:val="left" w:pos="1100"/>
            </w:tabs>
            <w:rPr>
              <w:rFonts w:asciiTheme="minorHAnsi" w:eastAsiaTheme="minorEastAsia" w:hAnsiTheme="minorHAnsi" w:cstheme="minorBidi"/>
              <w:b w:val="0"/>
              <w:noProof/>
              <w:sz w:val="22"/>
              <w:lang w:eastAsia="en-AU"/>
            </w:rPr>
          </w:pPr>
          <w:hyperlink w:anchor="_Toc499043866" w:history="1">
            <w:r w:rsidR="00132C57" w:rsidRPr="006F07C6">
              <w:rPr>
                <w:rStyle w:val="Hyperlink"/>
                <w:noProof/>
              </w:rPr>
              <w:t>8.</w:t>
            </w:r>
            <w:r w:rsidR="00132C57">
              <w:rPr>
                <w:rFonts w:asciiTheme="minorHAnsi" w:eastAsiaTheme="minorEastAsia" w:hAnsiTheme="minorHAnsi" w:cstheme="minorBidi"/>
                <w:b w:val="0"/>
                <w:noProof/>
                <w:sz w:val="22"/>
                <w:lang w:eastAsia="en-AU"/>
              </w:rPr>
              <w:tab/>
            </w:r>
            <w:r w:rsidR="00132C57" w:rsidRPr="006F07C6">
              <w:rPr>
                <w:rStyle w:val="Hyperlink"/>
                <w:noProof/>
              </w:rPr>
              <w:t>First round benefit-risk assessment</w:t>
            </w:r>
            <w:r w:rsidR="00132C57">
              <w:rPr>
                <w:noProof/>
                <w:webHidden/>
              </w:rPr>
              <w:tab/>
            </w:r>
            <w:r w:rsidR="00132C57">
              <w:rPr>
                <w:noProof/>
                <w:webHidden/>
              </w:rPr>
              <w:fldChar w:fldCharType="begin"/>
            </w:r>
            <w:r w:rsidR="00132C57">
              <w:rPr>
                <w:noProof/>
                <w:webHidden/>
              </w:rPr>
              <w:instrText xml:space="preserve"> PAGEREF _Toc499043866 \h </w:instrText>
            </w:r>
            <w:r w:rsidR="00132C57">
              <w:rPr>
                <w:noProof/>
                <w:webHidden/>
              </w:rPr>
            </w:r>
            <w:r w:rsidR="00132C57">
              <w:rPr>
                <w:noProof/>
                <w:webHidden/>
              </w:rPr>
              <w:fldChar w:fldCharType="separate"/>
            </w:r>
            <w:r w:rsidR="00132C57">
              <w:rPr>
                <w:noProof/>
                <w:webHidden/>
              </w:rPr>
              <w:t>47</w:t>
            </w:r>
            <w:r w:rsidR="00132C57">
              <w:rPr>
                <w:noProof/>
                <w:webHidden/>
              </w:rPr>
              <w:fldChar w:fldCharType="end"/>
            </w:r>
          </w:hyperlink>
        </w:p>
        <w:p w14:paraId="16D0411F"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67" w:history="1">
            <w:r w:rsidR="00132C57" w:rsidRPr="006F07C6">
              <w:rPr>
                <w:rStyle w:val="Hyperlink"/>
                <w:noProof/>
              </w:rPr>
              <w:t>8.1.</w:t>
            </w:r>
            <w:r w:rsidR="00132C57">
              <w:rPr>
                <w:rFonts w:asciiTheme="minorHAnsi" w:eastAsiaTheme="minorEastAsia" w:hAnsiTheme="minorHAnsi" w:cstheme="minorBidi"/>
                <w:noProof/>
                <w:lang w:eastAsia="en-AU"/>
              </w:rPr>
              <w:tab/>
            </w:r>
            <w:r w:rsidR="00132C57" w:rsidRPr="006F07C6">
              <w:rPr>
                <w:rStyle w:val="Hyperlink"/>
                <w:noProof/>
              </w:rPr>
              <w:t>First round assessment of benefits</w:t>
            </w:r>
            <w:r w:rsidR="00132C57">
              <w:rPr>
                <w:noProof/>
                <w:webHidden/>
              </w:rPr>
              <w:tab/>
            </w:r>
            <w:r w:rsidR="00132C57">
              <w:rPr>
                <w:noProof/>
                <w:webHidden/>
              </w:rPr>
              <w:fldChar w:fldCharType="begin"/>
            </w:r>
            <w:r w:rsidR="00132C57">
              <w:rPr>
                <w:noProof/>
                <w:webHidden/>
              </w:rPr>
              <w:instrText xml:space="preserve"> PAGEREF _Toc499043867 \h </w:instrText>
            </w:r>
            <w:r w:rsidR="00132C57">
              <w:rPr>
                <w:noProof/>
                <w:webHidden/>
              </w:rPr>
            </w:r>
            <w:r w:rsidR="00132C57">
              <w:rPr>
                <w:noProof/>
                <w:webHidden/>
              </w:rPr>
              <w:fldChar w:fldCharType="separate"/>
            </w:r>
            <w:r w:rsidR="00132C57">
              <w:rPr>
                <w:noProof/>
                <w:webHidden/>
              </w:rPr>
              <w:t>47</w:t>
            </w:r>
            <w:r w:rsidR="00132C57">
              <w:rPr>
                <w:noProof/>
                <w:webHidden/>
              </w:rPr>
              <w:fldChar w:fldCharType="end"/>
            </w:r>
          </w:hyperlink>
        </w:p>
        <w:p w14:paraId="4E5F0B04"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68" w:history="1">
            <w:r w:rsidR="00132C57" w:rsidRPr="006F07C6">
              <w:rPr>
                <w:rStyle w:val="Hyperlink"/>
                <w:noProof/>
              </w:rPr>
              <w:t>8.2.</w:t>
            </w:r>
            <w:r w:rsidR="00132C57">
              <w:rPr>
                <w:rFonts w:asciiTheme="minorHAnsi" w:eastAsiaTheme="minorEastAsia" w:hAnsiTheme="minorHAnsi" w:cstheme="minorBidi"/>
                <w:noProof/>
                <w:lang w:eastAsia="en-AU"/>
              </w:rPr>
              <w:tab/>
            </w:r>
            <w:r w:rsidR="00132C57" w:rsidRPr="006F07C6">
              <w:rPr>
                <w:rStyle w:val="Hyperlink"/>
                <w:noProof/>
              </w:rPr>
              <w:t>First round assessment of risks</w:t>
            </w:r>
            <w:r w:rsidR="00132C57">
              <w:rPr>
                <w:noProof/>
                <w:webHidden/>
              </w:rPr>
              <w:tab/>
            </w:r>
            <w:r w:rsidR="00132C57">
              <w:rPr>
                <w:noProof/>
                <w:webHidden/>
              </w:rPr>
              <w:fldChar w:fldCharType="begin"/>
            </w:r>
            <w:r w:rsidR="00132C57">
              <w:rPr>
                <w:noProof/>
                <w:webHidden/>
              </w:rPr>
              <w:instrText xml:space="preserve"> PAGEREF _Toc499043868 \h </w:instrText>
            </w:r>
            <w:r w:rsidR="00132C57">
              <w:rPr>
                <w:noProof/>
                <w:webHidden/>
              </w:rPr>
            </w:r>
            <w:r w:rsidR="00132C57">
              <w:rPr>
                <w:noProof/>
                <w:webHidden/>
              </w:rPr>
              <w:fldChar w:fldCharType="separate"/>
            </w:r>
            <w:r w:rsidR="00132C57">
              <w:rPr>
                <w:noProof/>
                <w:webHidden/>
              </w:rPr>
              <w:t>47</w:t>
            </w:r>
            <w:r w:rsidR="00132C57">
              <w:rPr>
                <w:noProof/>
                <w:webHidden/>
              </w:rPr>
              <w:fldChar w:fldCharType="end"/>
            </w:r>
          </w:hyperlink>
        </w:p>
        <w:p w14:paraId="2F36809B" w14:textId="77777777" w:rsidR="00132C57" w:rsidRDefault="005C38C4">
          <w:pPr>
            <w:pStyle w:val="TOC2"/>
            <w:tabs>
              <w:tab w:val="left" w:pos="1100"/>
            </w:tabs>
            <w:rPr>
              <w:rFonts w:asciiTheme="minorHAnsi" w:eastAsiaTheme="minorEastAsia" w:hAnsiTheme="minorHAnsi" w:cstheme="minorBidi"/>
              <w:b w:val="0"/>
              <w:noProof/>
              <w:sz w:val="22"/>
              <w:lang w:eastAsia="en-AU"/>
            </w:rPr>
          </w:pPr>
          <w:hyperlink w:anchor="_Toc499043869" w:history="1">
            <w:r w:rsidR="00132C57" w:rsidRPr="006F07C6">
              <w:rPr>
                <w:rStyle w:val="Hyperlink"/>
                <w:noProof/>
              </w:rPr>
              <w:t>9.</w:t>
            </w:r>
            <w:r w:rsidR="00132C57">
              <w:rPr>
                <w:rFonts w:asciiTheme="minorHAnsi" w:eastAsiaTheme="minorEastAsia" w:hAnsiTheme="minorHAnsi" w:cstheme="minorBidi"/>
                <w:b w:val="0"/>
                <w:noProof/>
                <w:sz w:val="22"/>
                <w:lang w:eastAsia="en-AU"/>
              </w:rPr>
              <w:tab/>
            </w:r>
            <w:r w:rsidR="00132C57" w:rsidRPr="006F07C6">
              <w:rPr>
                <w:rStyle w:val="Hyperlink"/>
                <w:noProof/>
              </w:rPr>
              <w:t>Clinical questions</w:t>
            </w:r>
            <w:r w:rsidR="00132C57">
              <w:rPr>
                <w:noProof/>
                <w:webHidden/>
              </w:rPr>
              <w:tab/>
            </w:r>
            <w:r w:rsidR="00132C57">
              <w:rPr>
                <w:noProof/>
                <w:webHidden/>
              </w:rPr>
              <w:fldChar w:fldCharType="begin"/>
            </w:r>
            <w:r w:rsidR="00132C57">
              <w:rPr>
                <w:noProof/>
                <w:webHidden/>
              </w:rPr>
              <w:instrText xml:space="preserve"> PAGEREF _Toc499043869 \h </w:instrText>
            </w:r>
            <w:r w:rsidR="00132C57">
              <w:rPr>
                <w:noProof/>
                <w:webHidden/>
              </w:rPr>
            </w:r>
            <w:r w:rsidR="00132C57">
              <w:rPr>
                <w:noProof/>
                <w:webHidden/>
              </w:rPr>
              <w:fldChar w:fldCharType="separate"/>
            </w:r>
            <w:r w:rsidR="00132C57">
              <w:rPr>
                <w:noProof/>
                <w:webHidden/>
              </w:rPr>
              <w:t>47</w:t>
            </w:r>
            <w:r w:rsidR="00132C57">
              <w:rPr>
                <w:noProof/>
                <w:webHidden/>
              </w:rPr>
              <w:fldChar w:fldCharType="end"/>
            </w:r>
          </w:hyperlink>
        </w:p>
        <w:p w14:paraId="58F08037" w14:textId="77777777" w:rsidR="00132C57" w:rsidRDefault="005C38C4">
          <w:pPr>
            <w:pStyle w:val="TOC2"/>
            <w:tabs>
              <w:tab w:val="left" w:pos="1320"/>
            </w:tabs>
            <w:rPr>
              <w:rFonts w:asciiTheme="minorHAnsi" w:eastAsiaTheme="minorEastAsia" w:hAnsiTheme="minorHAnsi" w:cstheme="minorBidi"/>
              <w:b w:val="0"/>
              <w:noProof/>
              <w:sz w:val="22"/>
              <w:lang w:eastAsia="en-AU"/>
            </w:rPr>
          </w:pPr>
          <w:hyperlink w:anchor="_Toc499043870" w:history="1">
            <w:r w:rsidR="00132C57" w:rsidRPr="006F07C6">
              <w:rPr>
                <w:rStyle w:val="Hyperlink"/>
                <w:noProof/>
              </w:rPr>
              <w:t>10.</w:t>
            </w:r>
            <w:r w:rsidR="00132C57">
              <w:rPr>
                <w:rFonts w:asciiTheme="minorHAnsi" w:eastAsiaTheme="minorEastAsia" w:hAnsiTheme="minorHAnsi" w:cstheme="minorBidi"/>
                <w:b w:val="0"/>
                <w:noProof/>
                <w:sz w:val="22"/>
                <w:lang w:eastAsia="en-AU"/>
              </w:rPr>
              <w:tab/>
            </w:r>
            <w:r w:rsidR="00132C57" w:rsidRPr="006F07C6">
              <w:rPr>
                <w:rStyle w:val="Hyperlink"/>
                <w:noProof/>
              </w:rPr>
              <w:t>Second round evaluation of clinical data submitted in response to questions</w:t>
            </w:r>
            <w:r w:rsidR="00132C57">
              <w:rPr>
                <w:noProof/>
                <w:webHidden/>
              </w:rPr>
              <w:tab/>
            </w:r>
            <w:r w:rsidR="00132C57">
              <w:rPr>
                <w:noProof/>
                <w:webHidden/>
              </w:rPr>
              <w:fldChar w:fldCharType="begin"/>
            </w:r>
            <w:r w:rsidR="00132C57">
              <w:rPr>
                <w:noProof/>
                <w:webHidden/>
              </w:rPr>
              <w:instrText xml:space="preserve"> PAGEREF _Toc499043870 \h </w:instrText>
            </w:r>
            <w:r w:rsidR="00132C57">
              <w:rPr>
                <w:noProof/>
                <w:webHidden/>
              </w:rPr>
            </w:r>
            <w:r w:rsidR="00132C57">
              <w:rPr>
                <w:noProof/>
                <w:webHidden/>
              </w:rPr>
              <w:fldChar w:fldCharType="separate"/>
            </w:r>
            <w:r w:rsidR="00132C57">
              <w:rPr>
                <w:noProof/>
                <w:webHidden/>
              </w:rPr>
              <w:t>48</w:t>
            </w:r>
            <w:r w:rsidR="00132C57">
              <w:rPr>
                <w:noProof/>
                <w:webHidden/>
              </w:rPr>
              <w:fldChar w:fldCharType="end"/>
            </w:r>
          </w:hyperlink>
        </w:p>
        <w:p w14:paraId="1D73A9E1"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71" w:history="1">
            <w:r w:rsidR="00132C57" w:rsidRPr="006F07C6">
              <w:rPr>
                <w:rStyle w:val="Hyperlink"/>
                <w:noProof/>
              </w:rPr>
              <w:t>10.1.</w:t>
            </w:r>
            <w:r w:rsidR="00132C57">
              <w:rPr>
                <w:rFonts w:asciiTheme="minorHAnsi" w:eastAsiaTheme="minorEastAsia" w:hAnsiTheme="minorHAnsi" w:cstheme="minorBidi"/>
                <w:noProof/>
                <w:lang w:eastAsia="en-AU"/>
              </w:rPr>
              <w:tab/>
            </w:r>
            <w:r w:rsidR="00132C57" w:rsidRPr="006F07C6">
              <w:rPr>
                <w:rStyle w:val="Hyperlink"/>
                <w:noProof/>
              </w:rPr>
              <w:t>Change to proposed trade name</w:t>
            </w:r>
            <w:r w:rsidR="00132C57">
              <w:rPr>
                <w:noProof/>
                <w:webHidden/>
              </w:rPr>
              <w:tab/>
            </w:r>
            <w:r w:rsidR="00132C57">
              <w:rPr>
                <w:noProof/>
                <w:webHidden/>
              </w:rPr>
              <w:fldChar w:fldCharType="begin"/>
            </w:r>
            <w:r w:rsidR="00132C57">
              <w:rPr>
                <w:noProof/>
                <w:webHidden/>
              </w:rPr>
              <w:instrText xml:space="preserve"> PAGEREF _Toc499043871 \h </w:instrText>
            </w:r>
            <w:r w:rsidR="00132C57">
              <w:rPr>
                <w:noProof/>
                <w:webHidden/>
              </w:rPr>
            </w:r>
            <w:r w:rsidR="00132C57">
              <w:rPr>
                <w:noProof/>
                <w:webHidden/>
              </w:rPr>
              <w:fldChar w:fldCharType="separate"/>
            </w:r>
            <w:r w:rsidR="00132C57">
              <w:rPr>
                <w:noProof/>
                <w:webHidden/>
              </w:rPr>
              <w:t>48</w:t>
            </w:r>
            <w:r w:rsidR="00132C57">
              <w:rPr>
                <w:noProof/>
                <w:webHidden/>
              </w:rPr>
              <w:fldChar w:fldCharType="end"/>
            </w:r>
          </w:hyperlink>
        </w:p>
        <w:p w14:paraId="7948E5CA"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72" w:history="1">
            <w:r w:rsidR="00132C57" w:rsidRPr="006F07C6">
              <w:rPr>
                <w:rStyle w:val="Hyperlink"/>
                <w:noProof/>
              </w:rPr>
              <w:t>10.2.</w:t>
            </w:r>
            <w:r w:rsidR="00132C57">
              <w:rPr>
                <w:rFonts w:asciiTheme="minorHAnsi" w:eastAsiaTheme="minorEastAsia" w:hAnsiTheme="minorHAnsi" w:cstheme="minorBidi"/>
                <w:noProof/>
                <w:lang w:eastAsia="en-AU"/>
              </w:rPr>
              <w:tab/>
            </w:r>
            <w:r w:rsidR="00132C57" w:rsidRPr="006F07C6">
              <w:rPr>
                <w:rStyle w:val="Hyperlink"/>
                <w:noProof/>
              </w:rPr>
              <w:t>Response to clinical questions</w:t>
            </w:r>
            <w:r w:rsidR="00132C57">
              <w:rPr>
                <w:noProof/>
                <w:webHidden/>
              </w:rPr>
              <w:tab/>
            </w:r>
            <w:r w:rsidR="00132C57">
              <w:rPr>
                <w:noProof/>
                <w:webHidden/>
              </w:rPr>
              <w:fldChar w:fldCharType="begin"/>
            </w:r>
            <w:r w:rsidR="00132C57">
              <w:rPr>
                <w:noProof/>
                <w:webHidden/>
              </w:rPr>
              <w:instrText xml:space="preserve"> PAGEREF _Toc499043872 \h </w:instrText>
            </w:r>
            <w:r w:rsidR="00132C57">
              <w:rPr>
                <w:noProof/>
                <w:webHidden/>
              </w:rPr>
            </w:r>
            <w:r w:rsidR="00132C57">
              <w:rPr>
                <w:noProof/>
                <w:webHidden/>
              </w:rPr>
              <w:fldChar w:fldCharType="separate"/>
            </w:r>
            <w:r w:rsidR="00132C57">
              <w:rPr>
                <w:noProof/>
                <w:webHidden/>
              </w:rPr>
              <w:t>48</w:t>
            </w:r>
            <w:r w:rsidR="00132C57">
              <w:rPr>
                <w:noProof/>
                <w:webHidden/>
              </w:rPr>
              <w:fldChar w:fldCharType="end"/>
            </w:r>
          </w:hyperlink>
        </w:p>
        <w:p w14:paraId="7CA47A67" w14:textId="77777777" w:rsidR="00132C57" w:rsidRDefault="005C38C4">
          <w:pPr>
            <w:pStyle w:val="TOC2"/>
            <w:tabs>
              <w:tab w:val="left" w:pos="1320"/>
            </w:tabs>
            <w:rPr>
              <w:rFonts w:asciiTheme="minorHAnsi" w:eastAsiaTheme="minorEastAsia" w:hAnsiTheme="minorHAnsi" w:cstheme="minorBidi"/>
              <w:b w:val="0"/>
              <w:noProof/>
              <w:sz w:val="22"/>
              <w:lang w:eastAsia="en-AU"/>
            </w:rPr>
          </w:pPr>
          <w:hyperlink w:anchor="_Toc499043873" w:history="1">
            <w:r w:rsidR="00132C57" w:rsidRPr="006F07C6">
              <w:rPr>
                <w:rStyle w:val="Hyperlink"/>
                <w:noProof/>
              </w:rPr>
              <w:t>11.</w:t>
            </w:r>
            <w:r w:rsidR="00132C57">
              <w:rPr>
                <w:rFonts w:asciiTheme="minorHAnsi" w:eastAsiaTheme="minorEastAsia" w:hAnsiTheme="minorHAnsi" w:cstheme="minorBidi"/>
                <w:b w:val="0"/>
                <w:noProof/>
                <w:sz w:val="22"/>
                <w:lang w:eastAsia="en-AU"/>
              </w:rPr>
              <w:tab/>
            </w:r>
            <w:r w:rsidR="00132C57" w:rsidRPr="006F07C6">
              <w:rPr>
                <w:rStyle w:val="Hyperlink"/>
                <w:noProof/>
              </w:rPr>
              <w:t>Second round benefit-risk assessment</w:t>
            </w:r>
            <w:r w:rsidR="00132C57">
              <w:rPr>
                <w:noProof/>
                <w:webHidden/>
              </w:rPr>
              <w:tab/>
            </w:r>
            <w:r w:rsidR="00132C57">
              <w:rPr>
                <w:noProof/>
                <w:webHidden/>
              </w:rPr>
              <w:fldChar w:fldCharType="begin"/>
            </w:r>
            <w:r w:rsidR="00132C57">
              <w:rPr>
                <w:noProof/>
                <w:webHidden/>
              </w:rPr>
              <w:instrText xml:space="preserve"> PAGEREF _Toc499043873 \h </w:instrText>
            </w:r>
            <w:r w:rsidR="00132C57">
              <w:rPr>
                <w:noProof/>
                <w:webHidden/>
              </w:rPr>
            </w:r>
            <w:r w:rsidR="00132C57">
              <w:rPr>
                <w:noProof/>
                <w:webHidden/>
              </w:rPr>
              <w:fldChar w:fldCharType="separate"/>
            </w:r>
            <w:r w:rsidR="00132C57">
              <w:rPr>
                <w:noProof/>
                <w:webHidden/>
              </w:rPr>
              <w:t>60</w:t>
            </w:r>
            <w:r w:rsidR="00132C57">
              <w:rPr>
                <w:noProof/>
                <w:webHidden/>
              </w:rPr>
              <w:fldChar w:fldCharType="end"/>
            </w:r>
          </w:hyperlink>
        </w:p>
        <w:p w14:paraId="4CF8C391"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74" w:history="1">
            <w:r w:rsidR="00132C57" w:rsidRPr="006F07C6">
              <w:rPr>
                <w:rStyle w:val="Hyperlink"/>
                <w:noProof/>
              </w:rPr>
              <w:t>11.1.</w:t>
            </w:r>
            <w:r w:rsidR="00132C57">
              <w:rPr>
                <w:rFonts w:asciiTheme="minorHAnsi" w:eastAsiaTheme="minorEastAsia" w:hAnsiTheme="minorHAnsi" w:cstheme="minorBidi"/>
                <w:noProof/>
                <w:lang w:eastAsia="en-AU"/>
              </w:rPr>
              <w:tab/>
            </w:r>
            <w:r w:rsidR="00132C57" w:rsidRPr="006F07C6">
              <w:rPr>
                <w:rStyle w:val="Hyperlink"/>
                <w:noProof/>
              </w:rPr>
              <w:t>Second round assessment of benefits</w:t>
            </w:r>
            <w:r w:rsidR="00132C57">
              <w:rPr>
                <w:noProof/>
                <w:webHidden/>
              </w:rPr>
              <w:tab/>
            </w:r>
            <w:r w:rsidR="00132C57">
              <w:rPr>
                <w:noProof/>
                <w:webHidden/>
              </w:rPr>
              <w:fldChar w:fldCharType="begin"/>
            </w:r>
            <w:r w:rsidR="00132C57">
              <w:rPr>
                <w:noProof/>
                <w:webHidden/>
              </w:rPr>
              <w:instrText xml:space="preserve"> PAGEREF _Toc499043874 \h </w:instrText>
            </w:r>
            <w:r w:rsidR="00132C57">
              <w:rPr>
                <w:noProof/>
                <w:webHidden/>
              </w:rPr>
            </w:r>
            <w:r w:rsidR="00132C57">
              <w:rPr>
                <w:noProof/>
                <w:webHidden/>
              </w:rPr>
              <w:fldChar w:fldCharType="separate"/>
            </w:r>
            <w:r w:rsidR="00132C57">
              <w:rPr>
                <w:noProof/>
                <w:webHidden/>
              </w:rPr>
              <w:t>60</w:t>
            </w:r>
            <w:r w:rsidR="00132C57">
              <w:rPr>
                <w:noProof/>
                <w:webHidden/>
              </w:rPr>
              <w:fldChar w:fldCharType="end"/>
            </w:r>
          </w:hyperlink>
        </w:p>
        <w:p w14:paraId="7E737F24"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75" w:history="1">
            <w:r w:rsidR="00132C57" w:rsidRPr="006F07C6">
              <w:rPr>
                <w:rStyle w:val="Hyperlink"/>
                <w:noProof/>
              </w:rPr>
              <w:t>11.2.</w:t>
            </w:r>
            <w:r w:rsidR="00132C57">
              <w:rPr>
                <w:rFonts w:asciiTheme="minorHAnsi" w:eastAsiaTheme="minorEastAsia" w:hAnsiTheme="minorHAnsi" w:cstheme="minorBidi"/>
                <w:noProof/>
                <w:lang w:eastAsia="en-AU"/>
              </w:rPr>
              <w:tab/>
            </w:r>
            <w:r w:rsidR="00132C57" w:rsidRPr="006F07C6">
              <w:rPr>
                <w:rStyle w:val="Hyperlink"/>
                <w:noProof/>
              </w:rPr>
              <w:t>Second round assessment of risks</w:t>
            </w:r>
            <w:r w:rsidR="00132C57">
              <w:rPr>
                <w:noProof/>
                <w:webHidden/>
              </w:rPr>
              <w:tab/>
            </w:r>
            <w:r w:rsidR="00132C57">
              <w:rPr>
                <w:noProof/>
                <w:webHidden/>
              </w:rPr>
              <w:fldChar w:fldCharType="begin"/>
            </w:r>
            <w:r w:rsidR="00132C57">
              <w:rPr>
                <w:noProof/>
                <w:webHidden/>
              </w:rPr>
              <w:instrText xml:space="preserve"> PAGEREF _Toc499043875 \h </w:instrText>
            </w:r>
            <w:r w:rsidR="00132C57">
              <w:rPr>
                <w:noProof/>
                <w:webHidden/>
              </w:rPr>
            </w:r>
            <w:r w:rsidR="00132C57">
              <w:rPr>
                <w:noProof/>
                <w:webHidden/>
              </w:rPr>
              <w:fldChar w:fldCharType="separate"/>
            </w:r>
            <w:r w:rsidR="00132C57">
              <w:rPr>
                <w:noProof/>
                <w:webHidden/>
              </w:rPr>
              <w:t>60</w:t>
            </w:r>
            <w:r w:rsidR="00132C57">
              <w:rPr>
                <w:noProof/>
                <w:webHidden/>
              </w:rPr>
              <w:fldChar w:fldCharType="end"/>
            </w:r>
          </w:hyperlink>
        </w:p>
        <w:p w14:paraId="2FE196BE" w14:textId="77777777" w:rsidR="00132C57" w:rsidRDefault="005C38C4">
          <w:pPr>
            <w:pStyle w:val="TOC3"/>
            <w:tabs>
              <w:tab w:val="left" w:pos="1760"/>
            </w:tabs>
            <w:rPr>
              <w:rFonts w:asciiTheme="minorHAnsi" w:eastAsiaTheme="minorEastAsia" w:hAnsiTheme="minorHAnsi" w:cstheme="minorBidi"/>
              <w:noProof/>
              <w:lang w:eastAsia="en-AU"/>
            </w:rPr>
          </w:pPr>
          <w:hyperlink w:anchor="_Toc499043876" w:history="1">
            <w:r w:rsidR="00132C57" w:rsidRPr="006F07C6">
              <w:rPr>
                <w:rStyle w:val="Hyperlink"/>
                <w:noProof/>
              </w:rPr>
              <w:t>11.3.</w:t>
            </w:r>
            <w:r w:rsidR="00132C57">
              <w:rPr>
                <w:rFonts w:asciiTheme="minorHAnsi" w:eastAsiaTheme="minorEastAsia" w:hAnsiTheme="minorHAnsi" w:cstheme="minorBidi"/>
                <w:noProof/>
                <w:lang w:eastAsia="en-AU"/>
              </w:rPr>
              <w:tab/>
            </w:r>
            <w:r w:rsidR="00132C57" w:rsidRPr="006F07C6">
              <w:rPr>
                <w:rStyle w:val="Hyperlink"/>
                <w:noProof/>
              </w:rPr>
              <w:t>Second round assessment of benefit-risk balance</w:t>
            </w:r>
            <w:r w:rsidR="00132C57">
              <w:rPr>
                <w:noProof/>
                <w:webHidden/>
              </w:rPr>
              <w:tab/>
            </w:r>
            <w:r w:rsidR="00132C57">
              <w:rPr>
                <w:noProof/>
                <w:webHidden/>
              </w:rPr>
              <w:fldChar w:fldCharType="begin"/>
            </w:r>
            <w:r w:rsidR="00132C57">
              <w:rPr>
                <w:noProof/>
                <w:webHidden/>
              </w:rPr>
              <w:instrText xml:space="preserve"> PAGEREF _Toc499043876 \h </w:instrText>
            </w:r>
            <w:r w:rsidR="00132C57">
              <w:rPr>
                <w:noProof/>
                <w:webHidden/>
              </w:rPr>
            </w:r>
            <w:r w:rsidR="00132C57">
              <w:rPr>
                <w:noProof/>
                <w:webHidden/>
              </w:rPr>
              <w:fldChar w:fldCharType="separate"/>
            </w:r>
            <w:r w:rsidR="00132C57">
              <w:rPr>
                <w:noProof/>
                <w:webHidden/>
              </w:rPr>
              <w:t>61</w:t>
            </w:r>
            <w:r w:rsidR="00132C57">
              <w:rPr>
                <w:noProof/>
                <w:webHidden/>
              </w:rPr>
              <w:fldChar w:fldCharType="end"/>
            </w:r>
          </w:hyperlink>
        </w:p>
        <w:p w14:paraId="7C60CADD" w14:textId="77777777" w:rsidR="00132C57" w:rsidRDefault="005C38C4">
          <w:pPr>
            <w:pStyle w:val="TOC2"/>
            <w:tabs>
              <w:tab w:val="left" w:pos="1320"/>
            </w:tabs>
            <w:rPr>
              <w:rFonts w:asciiTheme="minorHAnsi" w:eastAsiaTheme="minorEastAsia" w:hAnsiTheme="minorHAnsi" w:cstheme="minorBidi"/>
              <w:b w:val="0"/>
              <w:noProof/>
              <w:sz w:val="22"/>
              <w:lang w:eastAsia="en-AU"/>
            </w:rPr>
          </w:pPr>
          <w:hyperlink w:anchor="_Toc499043877" w:history="1">
            <w:r w:rsidR="00132C57" w:rsidRPr="006F07C6">
              <w:rPr>
                <w:rStyle w:val="Hyperlink"/>
                <w:noProof/>
              </w:rPr>
              <w:t>12.</w:t>
            </w:r>
            <w:r w:rsidR="00132C57">
              <w:rPr>
                <w:rFonts w:asciiTheme="minorHAnsi" w:eastAsiaTheme="minorEastAsia" w:hAnsiTheme="minorHAnsi" w:cstheme="minorBidi"/>
                <w:b w:val="0"/>
                <w:noProof/>
                <w:sz w:val="22"/>
                <w:lang w:eastAsia="en-AU"/>
              </w:rPr>
              <w:tab/>
            </w:r>
            <w:r w:rsidR="00132C57" w:rsidRPr="006F07C6">
              <w:rPr>
                <w:rStyle w:val="Hyperlink"/>
                <w:noProof/>
              </w:rPr>
              <w:t>Second round recommendation regarding authorisation</w:t>
            </w:r>
            <w:r w:rsidR="00132C57">
              <w:rPr>
                <w:noProof/>
                <w:webHidden/>
              </w:rPr>
              <w:tab/>
            </w:r>
            <w:r w:rsidR="00132C57">
              <w:rPr>
                <w:noProof/>
                <w:webHidden/>
              </w:rPr>
              <w:fldChar w:fldCharType="begin"/>
            </w:r>
            <w:r w:rsidR="00132C57">
              <w:rPr>
                <w:noProof/>
                <w:webHidden/>
              </w:rPr>
              <w:instrText xml:space="preserve"> PAGEREF _Toc499043877 \h </w:instrText>
            </w:r>
            <w:r w:rsidR="00132C57">
              <w:rPr>
                <w:noProof/>
                <w:webHidden/>
              </w:rPr>
            </w:r>
            <w:r w:rsidR="00132C57">
              <w:rPr>
                <w:noProof/>
                <w:webHidden/>
              </w:rPr>
              <w:fldChar w:fldCharType="separate"/>
            </w:r>
            <w:r w:rsidR="00132C57">
              <w:rPr>
                <w:noProof/>
                <w:webHidden/>
              </w:rPr>
              <w:t>61</w:t>
            </w:r>
            <w:r w:rsidR="00132C57">
              <w:rPr>
                <w:noProof/>
                <w:webHidden/>
              </w:rPr>
              <w:fldChar w:fldCharType="end"/>
            </w:r>
          </w:hyperlink>
        </w:p>
        <w:p w14:paraId="28538A4E" w14:textId="77777777" w:rsidR="00132C57" w:rsidRDefault="005C38C4">
          <w:pPr>
            <w:pStyle w:val="TOC2"/>
            <w:tabs>
              <w:tab w:val="left" w:pos="1320"/>
            </w:tabs>
            <w:rPr>
              <w:rFonts w:asciiTheme="minorHAnsi" w:eastAsiaTheme="minorEastAsia" w:hAnsiTheme="minorHAnsi" w:cstheme="minorBidi"/>
              <w:b w:val="0"/>
              <w:noProof/>
              <w:sz w:val="22"/>
              <w:lang w:eastAsia="en-AU"/>
            </w:rPr>
          </w:pPr>
          <w:hyperlink w:anchor="_Toc499043878" w:history="1">
            <w:r w:rsidR="00132C57" w:rsidRPr="006F07C6">
              <w:rPr>
                <w:rStyle w:val="Hyperlink"/>
                <w:noProof/>
              </w:rPr>
              <w:t>13.</w:t>
            </w:r>
            <w:r w:rsidR="00132C57">
              <w:rPr>
                <w:rFonts w:asciiTheme="minorHAnsi" w:eastAsiaTheme="minorEastAsia" w:hAnsiTheme="minorHAnsi" w:cstheme="minorBidi"/>
                <w:b w:val="0"/>
                <w:noProof/>
                <w:sz w:val="22"/>
                <w:lang w:eastAsia="en-AU"/>
              </w:rPr>
              <w:tab/>
            </w:r>
            <w:r w:rsidR="00132C57" w:rsidRPr="006F07C6">
              <w:rPr>
                <w:rStyle w:val="Hyperlink"/>
                <w:noProof/>
              </w:rPr>
              <w:t>References</w:t>
            </w:r>
            <w:r w:rsidR="00132C57">
              <w:rPr>
                <w:noProof/>
                <w:webHidden/>
              </w:rPr>
              <w:tab/>
            </w:r>
            <w:r w:rsidR="00132C57">
              <w:rPr>
                <w:noProof/>
                <w:webHidden/>
              </w:rPr>
              <w:fldChar w:fldCharType="begin"/>
            </w:r>
            <w:r w:rsidR="00132C57">
              <w:rPr>
                <w:noProof/>
                <w:webHidden/>
              </w:rPr>
              <w:instrText xml:space="preserve"> PAGEREF _Toc499043878 \h </w:instrText>
            </w:r>
            <w:r w:rsidR="00132C57">
              <w:rPr>
                <w:noProof/>
                <w:webHidden/>
              </w:rPr>
            </w:r>
            <w:r w:rsidR="00132C57">
              <w:rPr>
                <w:noProof/>
                <w:webHidden/>
              </w:rPr>
              <w:fldChar w:fldCharType="separate"/>
            </w:r>
            <w:r w:rsidR="00132C57">
              <w:rPr>
                <w:noProof/>
                <w:webHidden/>
              </w:rPr>
              <w:t>61</w:t>
            </w:r>
            <w:r w:rsidR="00132C57">
              <w:rPr>
                <w:noProof/>
                <w:webHidden/>
              </w:rPr>
              <w:fldChar w:fldCharType="end"/>
            </w:r>
          </w:hyperlink>
        </w:p>
        <w:p w14:paraId="1510F30C" w14:textId="66DC557F" w:rsidR="00723D80" w:rsidRDefault="004F4AF5" w:rsidP="00B811C6">
          <w:pPr>
            <w:pStyle w:val="TOC2"/>
          </w:pPr>
          <w:r>
            <w:fldChar w:fldCharType="end"/>
          </w:r>
        </w:p>
      </w:sdtContent>
    </w:sdt>
    <w:bookmarkStart w:id="3" w:name="_Toc314842482" w:displacedByCustomXml="prev"/>
    <w:p w14:paraId="4648DEE3" w14:textId="77777777" w:rsidR="00586F98" w:rsidRDefault="00586F98" w:rsidP="00132C57">
      <w:pPr>
        <w:pStyle w:val="Heading2"/>
        <w:pageBreakBefore/>
        <w:numPr>
          <w:ilvl w:val="0"/>
          <w:numId w:val="0"/>
        </w:numPr>
      </w:pPr>
      <w:bookmarkStart w:id="4" w:name="_Toc351716269"/>
      <w:bookmarkStart w:id="5" w:name="_Toc351718881"/>
      <w:bookmarkStart w:id="6" w:name="_Toc355338616"/>
      <w:bookmarkStart w:id="7" w:name="_Toc499043835"/>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911"/>
      </w:tblGrid>
      <w:tr w:rsidR="00586F98" w14:paraId="1E02DF05" w14:textId="77777777" w:rsidTr="00160B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749B87E6" w14:textId="77777777" w:rsidR="00586F98" w:rsidRDefault="00586F98" w:rsidP="000A63AF">
            <w:r>
              <w:t>Abbreviation</w:t>
            </w:r>
          </w:p>
        </w:tc>
        <w:tc>
          <w:tcPr>
            <w:tcW w:w="6911" w:type="dxa"/>
          </w:tcPr>
          <w:p w14:paraId="0DB96FCE"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AD3C4A" w14:paraId="243EF79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D015F76" w14:textId="6AC8A952" w:rsidR="00AD3C4A" w:rsidRPr="00CC73EF" w:rsidRDefault="00AD3C4A" w:rsidP="00AD3C4A">
            <w:r w:rsidRPr="00313370">
              <w:t>AE</w:t>
            </w:r>
          </w:p>
        </w:tc>
        <w:tc>
          <w:tcPr>
            <w:tcW w:w="6911" w:type="dxa"/>
          </w:tcPr>
          <w:p w14:paraId="58B7F500" w14:textId="2F14B00B"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Adverse event</w:t>
            </w:r>
          </w:p>
        </w:tc>
      </w:tr>
      <w:tr w:rsidR="00AD3C4A" w14:paraId="7D435002"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2CCC3FA" w14:textId="47B25636" w:rsidR="00AD3C4A" w:rsidRPr="00CC73EF" w:rsidRDefault="00AD3C4A" w:rsidP="00AD3C4A">
            <w:r w:rsidRPr="00313370">
              <w:rPr>
                <w:rFonts w:eastAsiaTheme="minorHAnsi" w:cs="TimesNewRoman"/>
              </w:rPr>
              <w:t>AUC</w:t>
            </w:r>
            <w:r w:rsidRPr="00313370">
              <w:rPr>
                <w:rFonts w:eastAsiaTheme="minorHAnsi" w:cs="TimesNewRoman"/>
                <w:vertAlign w:val="subscript"/>
              </w:rPr>
              <w:t>(0-tlast)</w:t>
            </w:r>
          </w:p>
        </w:tc>
        <w:tc>
          <w:tcPr>
            <w:tcW w:w="6911" w:type="dxa"/>
          </w:tcPr>
          <w:p w14:paraId="74871526" w14:textId="74F09349"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rPr>
                <w:rFonts w:eastAsiaTheme="minorHAnsi" w:cs="TimesNewRoman"/>
              </w:rPr>
              <w:t xml:space="preserve">Area under the drug concentration </w:t>
            </w:r>
            <w:r w:rsidR="00DA2B54">
              <w:rPr>
                <w:rFonts w:eastAsiaTheme="minorHAnsi" w:cs="TimesNewRoman"/>
              </w:rPr>
              <w:t>versus</w:t>
            </w:r>
            <w:r w:rsidRPr="00313370">
              <w:rPr>
                <w:rFonts w:eastAsiaTheme="minorHAnsi" w:cs="TimesNewRoman"/>
              </w:rPr>
              <w:t xml:space="preserve"> time curve from time 0 until removal of the IUS at 5 years after insertion</w:t>
            </w:r>
          </w:p>
        </w:tc>
      </w:tr>
      <w:tr w:rsidR="00AD3C4A" w14:paraId="544D282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440BB76A" w14:textId="2A17E34B" w:rsidR="00AD3C4A" w:rsidRPr="00CC73EF" w:rsidRDefault="00AD3C4A" w:rsidP="00AD3C4A">
            <w:r w:rsidRPr="00313370">
              <w:t>BMI</w:t>
            </w:r>
          </w:p>
        </w:tc>
        <w:tc>
          <w:tcPr>
            <w:tcW w:w="6911" w:type="dxa"/>
          </w:tcPr>
          <w:p w14:paraId="1088345A" w14:textId="7177756E"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Body mass index</w:t>
            </w:r>
          </w:p>
        </w:tc>
      </w:tr>
      <w:tr w:rsidR="00AD3C4A" w14:paraId="69BC1B80"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D11A45B" w14:textId="0EE0FE37" w:rsidR="00AD3C4A" w:rsidRPr="00CC73EF" w:rsidRDefault="00AD3C4A" w:rsidP="00AD3C4A">
            <w:r w:rsidRPr="00313370">
              <w:rPr>
                <w:rFonts w:eastAsiaTheme="minorHAnsi" w:cs="TimesNewRoman"/>
              </w:rPr>
              <w:t>C</w:t>
            </w:r>
            <w:r w:rsidRPr="00313370">
              <w:rPr>
                <w:rFonts w:eastAsiaTheme="minorHAnsi" w:cs="TimesNewRoman"/>
                <w:vertAlign w:val="subscript"/>
              </w:rPr>
              <w:t>av</w:t>
            </w:r>
          </w:p>
        </w:tc>
        <w:tc>
          <w:tcPr>
            <w:tcW w:w="6911" w:type="dxa"/>
          </w:tcPr>
          <w:p w14:paraId="58DB2234" w14:textId="68854431"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rPr>
                <w:rFonts w:eastAsiaTheme="minorHAnsi" w:cs="TimesNewRoman"/>
              </w:rPr>
              <w:t>Average steady state concentration (AUC</w:t>
            </w:r>
            <w:r w:rsidRPr="00313370">
              <w:rPr>
                <w:rFonts w:eastAsiaTheme="minorHAnsi" w:cs="TimesNewRoman"/>
                <w:vertAlign w:val="subscript"/>
              </w:rPr>
              <w:t>(0-tlast)</w:t>
            </w:r>
            <w:r w:rsidRPr="00313370">
              <w:rPr>
                <w:rFonts w:eastAsiaTheme="minorHAnsi" w:cs="TimesNewRoman"/>
              </w:rPr>
              <w:t>/t</w:t>
            </w:r>
            <w:r w:rsidRPr="00313370">
              <w:rPr>
                <w:rFonts w:eastAsiaTheme="minorHAnsi" w:cs="TimesNewRoman"/>
                <w:vertAlign w:val="subscript"/>
              </w:rPr>
              <w:t>last</w:t>
            </w:r>
            <w:r w:rsidRPr="00313370">
              <w:rPr>
                <w:rFonts w:eastAsiaTheme="minorHAnsi" w:cs="TimesNewRoman"/>
              </w:rPr>
              <w:t>)</w:t>
            </w:r>
          </w:p>
        </w:tc>
      </w:tr>
      <w:tr w:rsidR="00AD3C4A" w14:paraId="6C98600C"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63FB69D" w14:textId="5B95FF30" w:rsidR="00AD3C4A" w:rsidRPr="00CC73EF" w:rsidRDefault="00AD3C4A" w:rsidP="00AD3C4A">
            <w:r w:rsidRPr="00313370">
              <w:t>CCDS</w:t>
            </w:r>
          </w:p>
        </w:tc>
        <w:tc>
          <w:tcPr>
            <w:tcW w:w="6911" w:type="dxa"/>
          </w:tcPr>
          <w:p w14:paraId="654D96A0" w14:textId="246BCA27"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Company core data sheet</w:t>
            </w:r>
          </w:p>
        </w:tc>
      </w:tr>
      <w:tr w:rsidR="00AD3C4A" w14:paraId="6FCBC11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E94C035" w14:textId="5636FB5B" w:rsidR="00AD3C4A" w:rsidRPr="00CC73EF" w:rsidRDefault="00AD3C4A" w:rsidP="00AD3C4A">
            <w:r w:rsidRPr="00313370">
              <w:t>CER</w:t>
            </w:r>
          </w:p>
        </w:tc>
        <w:tc>
          <w:tcPr>
            <w:tcW w:w="6911" w:type="dxa"/>
          </w:tcPr>
          <w:p w14:paraId="5B9EA278" w14:textId="1655ACF3"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Clinical evaluation report</w:t>
            </w:r>
          </w:p>
        </w:tc>
      </w:tr>
      <w:tr w:rsidR="00AD3C4A" w14:paraId="4CF427D7"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87DA5AD" w14:textId="6FD8A66A" w:rsidR="00AD3C4A" w:rsidRPr="00CC73EF" w:rsidRDefault="00AD3C4A" w:rsidP="00AD3C4A">
            <w:r w:rsidRPr="00313370">
              <w:t>CI</w:t>
            </w:r>
          </w:p>
        </w:tc>
        <w:tc>
          <w:tcPr>
            <w:tcW w:w="6911" w:type="dxa"/>
          </w:tcPr>
          <w:p w14:paraId="2749955F" w14:textId="65751CED"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Confidence interval</w:t>
            </w:r>
          </w:p>
        </w:tc>
      </w:tr>
      <w:tr w:rsidR="00AD3C4A" w14:paraId="39B1C252"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883D444" w14:textId="58E3AA01" w:rsidR="00AD3C4A" w:rsidRPr="00CC73EF" w:rsidRDefault="00AD3C4A" w:rsidP="00AD3C4A">
            <w:r w:rsidRPr="00313370">
              <w:t>CL/F</w:t>
            </w:r>
          </w:p>
        </w:tc>
        <w:tc>
          <w:tcPr>
            <w:tcW w:w="6911" w:type="dxa"/>
          </w:tcPr>
          <w:p w14:paraId="3472F870" w14:textId="30FDD682"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Apparent clearance</w:t>
            </w:r>
          </w:p>
        </w:tc>
      </w:tr>
      <w:tr w:rsidR="00AD3C4A" w14:paraId="7687C867"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0E897CF" w14:textId="151B1385" w:rsidR="00AD3C4A" w:rsidRPr="00CC73EF" w:rsidRDefault="00AD3C4A" w:rsidP="00AD3C4A">
            <w:r w:rsidRPr="00313370">
              <w:rPr>
                <w:rFonts w:eastAsiaTheme="minorHAnsi" w:cs="TimesNewRoman"/>
              </w:rPr>
              <w:t>C</w:t>
            </w:r>
            <w:r w:rsidRPr="00313370">
              <w:rPr>
                <w:rFonts w:eastAsiaTheme="minorHAnsi" w:cs="TimesNewRoman"/>
                <w:vertAlign w:val="subscript"/>
              </w:rPr>
              <w:t>last</w:t>
            </w:r>
          </w:p>
        </w:tc>
        <w:tc>
          <w:tcPr>
            <w:tcW w:w="6911" w:type="dxa"/>
          </w:tcPr>
          <w:p w14:paraId="5614C99F" w14:textId="4AC88412"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rPr>
                <w:rFonts w:eastAsiaTheme="minorHAnsi" w:cs="TimesNewRoman"/>
              </w:rPr>
              <w:t>Last observed concentration</w:t>
            </w:r>
          </w:p>
        </w:tc>
      </w:tr>
      <w:tr w:rsidR="00AD3C4A" w14:paraId="515A3409"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D6EBCA6" w14:textId="097F8D92" w:rsidR="00AD3C4A" w:rsidRPr="00CC73EF" w:rsidRDefault="00AD3C4A" w:rsidP="00AD3C4A">
            <w:r w:rsidRPr="00313370">
              <w:rPr>
                <w:rFonts w:eastAsiaTheme="minorHAnsi" w:cs="TimesNewRoman"/>
              </w:rPr>
              <w:t>C</w:t>
            </w:r>
            <w:r w:rsidRPr="00313370">
              <w:rPr>
                <w:rFonts w:eastAsiaTheme="minorHAnsi" w:cs="TimesNewRoman"/>
                <w:vertAlign w:val="subscript"/>
              </w:rPr>
              <w:t>max</w:t>
            </w:r>
          </w:p>
        </w:tc>
        <w:tc>
          <w:tcPr>
            <w:tcW w:w="6911" w:type="dxa"/>
          </w:tcPr>
          <w:p w14:paraId="5C4800F9" w14:textId="7D66C425"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rPr>
                <w:rFonts w:eastAsiaTheme="minorHAnsi" w:cs="TimesNewRoman"/>
              </w:rPr>
              <w:t>Maximum observed concentration</w:t>
            </w:r>
          </w:p>
        </w:tc>
      </w:tr>
      <w:tr w:rsidR="00AD3C4A" w14:paraId="4BF06FB2"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B458622" w14:textId="6A7FC2CA" w:rsidR="00AD3C4A" w:rsidRPr="00CC73EF" w:rsidRDefault="00AD3C4A" w:rsidP="00AD3C4A">
            <w:r w:rsidRPr="00313370">
              <w:t>CMI</w:t>
            </w:r>
          </w:p>
        </w:tc>
        <w:tc>
          <w:tcPr>
            <w:tcW w:w="6911" w:type="dxa"/>
          </w:tcPr>
          <w:p w14:paraId="55377781" w14:textId="4260A942"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Consumer medicine information</w:t>
            </w:r>
          </w:p>
        </w:tc>
      </w:tr>
      <w:tr w:rsidR="00AD3C4A" w14:paraId="6DD5256E"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00F065D" w14:textId="114A15B5" w:rsidR="00AD3C4A" w:rsidRPr="00CC73EF" w:rsidRDefault="00AD3C4A" w:rsidP="00AD3C4A">
            <w:r w:rsidRPr="00313370">
              <w:rPr>
                <w:rFonts w:eastAsiaTheme="minorHAnsi" w:cs="TimesNewRoman"/>
              </w:rPr>
              <w:t>C</w:t>
            </w:r>
            <w:r w:rsidRPr="00313370">
              <w:rPr>
                <w:rFonts w:eastAsiaTheme="minorHAnsi" w:cs="TimesNewRoman"/>
                <w:vertAlign w:val="subscript"/>
              </w:rPr>
              <w:t>min</w:t>
            </w:r>
          </w:p>
        </w:tc>
        <w:tc>
          <w:tcPr>
            <w:tcW w:w="6911" w:type="dxa"/>
          </w:tcPr>
          <w:p w14:paraId="3B740AF5" w14:textId="622F743A"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rPr>
                <w:rFonts w:eastAsiaTheme="minorHAnsi" w:cs="TimesNewRoman"/>
              </w:rPr>
              <w:t>Minimum observed concentration</w:t>
            </w:r>
          </w:p>
        </w:tc>
      </w:tr>
      <w:tr w:rsidR="00AD3C4A" w14:paraId="58F850A2"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14A4D6A" w14:textId="518ACD1B" w:rsidR="00AD3C4A" w:rsidRPr="00CC73EF" w:rsidRDefault="00AD3C4A" w:rsidP="00AD3C4A">
            <w:r w:rsidRPr="00313370">
              <w:t>CSR</w:t>
            </w:r>
          </w:p>
        </w:tc>
        <w:tc>
          <w:tcPr>
            <w:tcW w:w="6911" w:type="dxa"/>
          </w:tcPr>
          <w:p w14:paraId="2A88B0ED" w14:textId="54EB5E32"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Clinical study report</w:t>
            </w:r>
          </w:p>
        </w:tc>
      </w:tr>
      <w:tr w:rsidR="00AD3C4A" w14:paraId="3C1B4CB4"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B50E72F" w14:textId="648998C0" w:rsidR="00AD3C4A" w:rsidRPr="00CC73EF" w:rsidRDefault="00AD3C4A" w:rsidP="00AD3C4A">
            <w:r w:rsidRPr="00313370">
              <w:rPr>
                <w:rFonts w:eastAsiaTheme="minorHAnsi" w:cs="TimesNewRoman"/>
              </w:rPr>
              <w:t>CV</w:t>
            </w:r>
          </w:p>
        </w:tc>
        <w:tc>
          <w:tcPr>
            <w:tcW w:w="6911" w:type="dxa"/>
          </w:tcPr>
          <w:p w14:paraId="19C1D529" w14:textId="0DB5EFDF"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rPr>
                <w:rFonts w:eastAsiaTheme="minorHAnsi" w:cs="TimesNewRoman"/>
              </w:rPr>
              <w:t>Coefficient of variation</w:t>
            </w:r>
          </w:p>
        </w:tc>
      </w:tr>
      <w:tr w:rsidR="00AD3C4A" w14:paraId="11E55D8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72C95B4" w14:textId="17BFE3A1" w:rsidR="00AD3C4A" w:rsidRPr="00CC73EF" w:rsidRDefault="00AD3C4A" w:rsidP="00AD3C4A">
            <w:r w:rsidRPr="00313370">
              <w:t>DLP</w:t>
            </w:r>
          </w:p>
        </w:tc>
        <w:tc>
          <w:tcPr>
            <w:tcW w:w="6911" w:type="dxa"/>
          </w:tcPr>
          <w:p w14:paraId="5477C5A0" w14:textId="378C5202"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Data lock point</w:t>
            </w:r>
          </w:p>
        </w:tc>
      </w:tr>
      <w:tr w:rsidR="00AD3C4A" w14:paraId="3C35F1EF"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B9B2859" w14:textId="1D32EB40" w:rsidR="00AD3C4A" w:rsidRPr="00CC73EF" w:rsidRDefault="00AD3C4A" w:rsidP="00AD3C4A">
            <w:r w:rsidRPr="00313370">
              <w:t>EU</w:t>
            </w:r>
          </w:p>
        </w:tc>
        <w:tc>
          <w:tcPr>
            <w:tcW w:w="6911" w:type="dxa"/>
          </w:tcPr>
          <w:p w14:paraId="3A67D3D2" w14:textId="4577A588"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European Union</w:t>
            </w:r>
          </w:p>
        </w:tc>
      </w:tr>
      <w:tr w:rsidR="00AD3C4A" w14:paraId="3E3C60CA"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042433C" w14:textId="1A161D7D" w:rsidR="00AD3C4A" w:rsidRPr="00CC73EF" w:rsidRDefault="00AD3C4A" w:rsidP="00AD3C4A">
            <w:r w:rsidRPr="00313370">
              <w:t>FAS</w:t>
            </w:r>
          </w:p>
        </w:tc>
        <w:tc>
          <w:tcPr>
            <w:tcW w:w="6911" w:type="dxa"/>
          </w:tcPr>
          <w:p w14:paraId="391A3A53" w14:textId="5D75F809"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Full analysis set</w:t>
            </w:r>
          </w:p>
        </w:tc>
      </w:tr>
      <w:tr w:rsidR="00AD3C4A" w14:paraId="2927B6FA"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BC2F9AA" w14:textId="11B950E2" w:rsidR="00AD3C4A" w:rsidRPr="00CC73EF" w:rsidRDefault="00AD3C4A" w:rsidP="00AD3C4A">
            <w:r w:rsidRPr="00313370">
              <w:t>IUS</w:t>
            </w:r>
          </w:p>
        </w:tc>
        <w:tc>
          <w:tcPr>
            <w:tcW w:w="6911" w:type="dxa"/>
          </w:tcPr>
          <w:p w14:paraId="21F0ACF3" w14:textId="0D6098E4"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rPr>
                <w:rFonts w:eastAsiaTheme="minorHAnsi" w:cs="TimesNewRoman"/>
                <w:szCs w:val="24"/>
              </w:rPr>
              <w:t xml:space="preserve">Intrauterine delivery system </w:t>
            </w:r>
          </w:p>
        </w:tc>
      </w:tr>
      <w:tr w:rsidR="00AD3C4A" w14:paraId="5A031FD8"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4EF7668" w14:textId="4DD60B70" w:rsidR="00AD3C4A" w:rsidRPr="00CC73EF" w:rsidRDefault="00AD3C4A" w:rsidP="00AD3C4A">
            <w:r w:rsidRPr="00313370">
              <w:rPr>
                <w:rFonts w:eastAsiaTheme="minorHAnsi" w:cs="TimesNewRoman"/>
                <w:szCs w:val="24"/>
              </w:rPr>
              <w:t>LARC</w:t>
            </w:r>
          </w:p>
        </w:tc>
        <w:tc>
          <w:tcPr>
            <w:tcW w:w="6911" w:type="dxa"/>
          </w:tcPr>
          <w:p w14:paraId="719E1E73" w14:textId="2781B2C3"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rPr>
                <w:rFonts w:eastAsiaTheme="minorHAnsi" w:cs="TimesNewRoman"/>
                <w:szCs w:val="24"/>
              </w:rPr>
              <w:t>Long-acting reversible contraceptive</w:t>
            </w:r>
          </w:p>
        </w:tc>
      </w:tr>
      <w:tr w:rsidR="00AD3C4A" w14:paraId="4D5F8E98"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814AE8F" w14:textId="35B3ABF9" w:rsidR="00AD3C4A" w:rsidRPr="00CC73EF" w:rsidRDefault="00AD3C4A" w:rsidP="00AD3C4A">
            <w:r w:rsidRPr="00313370">
              <w:t>LNG</w:t>
            </w:r>
          </w:p>
        </w:tc>
        <w:tc>
          <w:tcPr>
            <w:tcW w:w="6911" w:type="dxa"/>
          </w:tcPr>
          <w:p w14:paraId="2C7987E8" w14:textId="48D92DB9"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Levonorgestrel</w:t>
            </w:r>
          </w:p>
        </w:tc>
      </w:tr>
      <w:tr w:rsidR="00AD3C4A" w14:paraId="4B2E88F7"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450AEE5" w14:textId="4EBBE9DF" w:rsidR="00AD3C4A" w:rsidRPr="00CC73EF" w:rsidRDefault="00AD3C4A" w:rsidP="00AD3C4A">
            <w:r w:rsidRPr="00313370">
              <w:t>MedDRA</w:t>
            </w:r>
          </w:p>
        </w:tc>
        <w:tc>
          <w:tcPr>
            <w:tcW w:w="6911" w:type="dxa"/>
          </w:tcPr>
          <w:p w14:paraId="765237AB" w14:textId="1A07FDC9"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Medical Dictionary for Regulatory Activities</w:t>
            </w:r>
          </w:p>
        </w:tc>
      </w:tr>
      <w:tr w:rsidR="00AD3C4A" w14:paraId="29C709AB"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F379ED3" w14:textId="3F9FBF78" w:rsidR="00AD3C4A" w:rsidRPr="00CC73EF" w:rsidRDefault="00AD3C4A" w:rsidP="00AD3C4A">
            <w:r w:rsidRPr="00313370">
              <w:t>PI</w:t>
            </w:r>
          </w:p>
        </w:tc>
        <w:tc>
          <w:tcPr>
            <w:tcW w:w="6911" w:type="dxa"/>
          </w:tcPr>
          <w:p w14:paraId="53D4E7A2" w14:textId="3CF1014E" w:rsidR="00AD3C4A" w:rsidRPr="00CC73EF" w:rsidRDefault="00626A92" w:rsidP="00AD3C4A">
            <w:pPr>
              <w:cnfStyle w:val="000000000000" w:firstRow="0" w:lastRow="0" w:firstColumn="0" w:lastColumn="0" w:oddVBand="0" w:evenVBand="0" w:oddHBand="0" w:evenHBand="0" w:firstRowFirstColumn="0" w:firstRowLastColumn="0" w:lastRowFirstColumn="0" w:lastRowLastColumn="0"/>
            </w:pPr>
            <w:r>
              <w:t>Pearl Index</w:t>
            </w:r>
          </w:p>
        </w:tc>
      </w:tr>
      <w:tr w:rsidR="00AD3C4A" w14:paraId="77BCB564"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E094895" w14:textId="6B0072CB" w:rsidR="00AD3C4A" w:rsidRPr="00CC73EF" w:rsidRDefault="00AD3C4A" w:rsidP="00AD3C4A">
            <w:r w:rsidRPr="00313370">
              <w:t>PK</w:t>
            </w:r>
          </w:p>
        </w:tc>
        <w:tc>
          <w:tcPr>
            <w:tcW w:w="6911" w:type="dxa"/>
          </w:tcPr>
          <w:p w14:paraId="05325A3E" w14:textId="0B40B7FB"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Pharmacokinetic</w:t>
            </w:r>
          </w:p>
        </w:tc>
      </w:tr>
      <w:tr w:rsidR="00AD3C4A" w14:paraId="431F2B89"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9F962C7" w14:textId="4CDED0C1" w:rsidR="00AD3C4A" w:rsidRPr="00CC73EF" w:rsidRDefault="00AD3C4A" w:rsidP="00AD3C4A">
            <w:r w:rsidRPr="00313370">
              <w:lastRenderedPageBreak/>
              <w:t>PSUR</w:t>
            </w:r>
          </w:p>
        </w:tc>
        <w:tc>
          <w:tcPr>
            <w:tcW w:w="6911" w:type="dxa"/>
          </w:tcPr>
          <w:p w14:paraId="1F4F5FE9" w14:textId="1AFB5B46"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Periodic safety update report</w:t>
            </w:r>
          </w:p>
        </w:tc>
      </w:tr>
      <w:tr w:rsidR="00AD3C4A" w14:paraId="27F8E859"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24003E2" w14:textId="37E95A22" w:rsidR="00AD3C4A" w:rsidRPr="00CC73EF" w:rsidRDefault="00AD3C4A" w:rsidP="00AD3C4A">
            <w:r w:rsidRPr="00313370">
              <w:t>PT</w:t>
            </w:r>
          </w:p>
        </w:tc>
        <w:tc>
          <w:tcPr>
            <w:tcW w:w="6911" w:type="dxa"/>
          </w:tcPr>
          <w:p w14:paraId="6CE1A80D" w14:textId="0E338BB1"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Preferred term</w:t>
            </w:r>
          </w:p>
        </w:tc>
      </w:tr>
      <w:tr w:rsidR="00AD3C4A" w14:paraId="5CE549F3"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AF9B0BB" w14:textId="6A82C7C3" w:rsidR="00AD3C4A" w:rsidRPr="00CC73EF" w:rsidRDefault="00AD3C4A" w:rsidP="00AD3C4A">
            <w:r w:rsidRPr="00313370">
              <w:t>SmPC/SPC</w:t>
            </w:r>
          </w:p>
        </w:tc>
        <w:tc>
          <w:tcPr>
            <w:tcW w:w="6911" w:type="dxa"/>
          </w:tcPr>
          <w:p w14:paraId="77FDC115" w14:textId="3636621A"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Summary of product characteristics</w:t>
            </w:r>
          </w:p>
        </w:tc>
      </w:tr>
      <w:tr w:rsidR="00AD3C4A" w14:paraId="27ACA2EB"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A4B88CD" w14:textId="5F5E4640" w:rsidR="00AD3C4A" w:rsidRPr="00CC73EF" w:rsidRDefault="00AD3C4A" w:rsidP="00AD3C4A">
            <w:r w:rsidRPr="00313370">
              <w:t>SOC</w:t>
            </w:r>
          </w:p>
        </w:tc>
        <w:tc>
          <w:tcPr>
            <w:tcW w:w="6911" w:type="dxa"/>
          </w:tcPr>
          <w:p w14:paraId="6ECC1E20" w14:textId="3EB9F80A"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System organ class</w:t>
            </w:r>
          </w:p>
        </w:tc>
      </w:tr>
      <w:tr w:rsidR="00AD3C4A" w14:paraId="343495E2"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9030E81" w14:textId="7F6D7BF5" w:rsidR="00AD3C4A" w:rsidRPr="00CC73EF" w:rsidRDefault="00AD3C4A" w:rsidP="00AD3C4A">
            <w:r w:rsidRPr="00313370">
              <w:t>SHBG</w:t>
            </w:r>
          </w:p>
        </w:tc>
        <w:tc>
          <w:tcPr>
            <w:tcW w:w="6911" w:type="dxa"/>
          </w:tcPr>
          <w:p w14:paraId="45504A06" w14:textId="26396E86"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Sex hormone binding globulin</w:t>
            </w:r>
          </w:p>
        </w:tc>
      </w:tr>
      <w:tr w:rsidR="00AD3C4A" w14:paraId="329BE61E"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4657CC8A" w14:textId="0451E2B9" w:rsidR="00AD3C4A" w:rsidRPr="00CC73EF" w:rsidRDefault="00AD3C4A" w:rsidP="00AD3C4A">
            <w:r w:rsidRPr="00313370">
              <w:t>TEAE</w:t>
            </w:r>
          </w:p>
        </w:tc>
        <w:tc>
          <w:tcPr>
            <w:tcW w:w="6911" w:type="dxa"/>
          </w:tcPr>
          <w:p w14:paraId="314EAEFD" w14:textId="54739717"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Treatment-emergent adverse event</w:t>
            </w:r>
          </w:p>
        </w:tc>
      </w:tr>
      <w:tr w:rsidR="00AD3C4A" w14:paraId="0E10B0D0"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3D2D4C9" w14:textId="71783CEC" w:rsidR="00AD3C4A" w:rsidRPr="00CC73EF" w:rsidRDefault="00AD3C4A" w:rsidP="00AD3C4A">
            <w:r w:rsidRPr="00313370">
              <w:rPr>
                <w:rFonts w:eastAsiaTheme="minorHAnsi" w:cs="TimesNewRoman"/>
              </w:rPr>
              <w:t>t</w:t>
            </w:r>
            <w:r w:rsidRPr="00313370">
              <w:rPr>
                <w:rFonts w:eastAsiaTheme="minorHAnsi" w:cs="TimesNewRoman"/>
                <w:vertAlign w:val="subscript"/>
              </w:rPr>
              <w:t>last</w:t>
            </w:r>
          </w:p>
        </w:tc>
        <w:tc>
          <w:tcPr>
            <w:tcW w:w="6911" w:type="dxa"/>
          </w:tcPr>
          <w:p w14:paraId="2A39FFA2" w14:textId="2CC61555"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rPr>
                <w:rFonts w:eastAsiaTheme="minorHAnsi" w:cs="TimesNewRoman"/>
              </w:rPr>
              <w:t>Time to reach C</w:t>
            </w:r>
            <w:r w:rsidRPr="00313370">
              <w:rPr>
                <w:rFonts w:eastAsiaTheme="minorHAnsi" w:cs="TimesNewRoman"/>
                <w:vertAlign w:val="subscript"/>
              </w:rPr>
              <w:t>last</w:t>
            </w:r>
          </w:p>
        </w:tc>
      </w:tr>
      <w:tr w:rsidR="00AD3C4A" w14:paraId="3098B531"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E38F0A5" w14:textId="462D316D" w:rsidR="00AD3C4A" w:rsidRPr="00CC73EF" w:rsidRDefault="00AD3C4A" w:rsidP="00AD3C4A">
            <w:r w:rsidRPr="00313370">
              <w:rPr>
                <w:rFonts w:eastAsiaTheme="minorHAnsi" w:cs="TimesNewRoman"/>
              </w:rPr>
              <w:t>t</w:t>
            </w:r>
            <w:r w:rsidRPr="00313370">
              <w:rPr>
                <w:rFonts w:eastAsiaTheme="minorHAnsi" w:cs="TimesNewRoman"/>
                <w:vertAlign w:val="subscript"/>
              </w:rPr>
              <w:t>max</w:t>
            </w:r>
          </w:p>
        </w:tc>
        <w:tc>
          <w:tcPr>
            <w:tcW w:w="6911" w:type="dxa"/>
          </w:tcPr>
          <w:p w14:paraId="1974CAE7" w14:textId="4ECDEA61"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rPr>
                <w:rFonts w:eastAsiaTheme="minorHAnsi" w:cs="TimesNewRoman"/>
              </w:rPr>
              <w:t>Time to reach C</w:t>
            </w:r>
            <w:r w:rsidRPr="00313370">
              <w:rPr>
                <w:rFonts w:eastAsiaTheme="minorHAnsi" w:cs="TimesNewRoman"/>
                <w:vertAlign w:val="subscript"/>
              </w:rPr>
              <w:t>max</w:t>
            </w:r>
          </w:p>
        </w:tc>
      </w:tr>
      <w:tr w:rsidR="00AD3C4A" w14:paraId="5D40B0F5"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E659E6C" w14:textId="4CA56587" w:rsidR="00AD3C4A" w:rsidRPr="00CC73EF" w:rsidRDefault="00AD3C4A" w:rsidP="00AD3C4A">
            <w:r w:rsidRPr="00313370">
              <w:rPr>
                <w:rFonts w:eastAsiaTheme="minorHAnsi" w:cs="TimesNewRoman"/>
              </w:rPr>
              <w:t>t</w:t>
            </w:r>
            <w:r w:rsidRPr="00313370">
              <w:rPr>
                <w:rFonts w:eastAsiaTheme="minorHAnsi" w:cs="TimesNewRoman"/>
                <w:vertAlign w:val="subscript"/>
              </w:rPr>
              <w:t>min</w:t>
            </w:r>
          </w:p>
        </w:tc>
        <w:tc>
          <w:tcPr>
            <w:tcW w:w="6911" w:type="dxa"/>
          </w:tcPr>
          <w:p w14:paraId="4B7B88EC" w14:textId="0034C12A"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rPr>
                <w:rFonts w:eastAsiaTheme="minorHAnsi" w:cs="TimesNewRoman"/>
              </w:rPr>
              <w:t>Time to reach C</w:t>
            </w:r>
            <w:r w:rsidRPr="00313370">
              <w:rPr>
                <w:rFonts w:eastAsiaTheme="minorHAnsi" w:cs="TimesNewRoman"/>
                <w:vertAlign w:val="subscript"/>
              </w:rPr>
              <w:t>min</w:t>
            </w:r>
          </w:p>
        </w:tc>
      </w:tr>
      <w:tr w:rsidR="00AD3C4A" w14:paraId="0474C1A7"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4950EC93" w14:textId="02E328ED" w:rsidR="00AD3C4A" w:rsidRPr="00CC73EF" w:rsidRDefault="00AD3C4A" w:rsidP="00AD3C4A">
            <w:r w:rsidRPr="00313370">
              <w:t>WHO</w:t>
            </w:r>
          </w:p>
        </w:tc>
        <w:tc>
          <w:tcPr>
            <w:tcW w:w="6911" w:type="dxa"/>
          </w:tcPr>
          <w:p w14:paraId="40908CC2" w14:textId="310D3B8C"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t>World Health Organiz</w:t>
            </w:r>
            <w:r w:rsidRPr="00313370">
              <w:t>ation</w:t>
            </w:r>
          </w:p>
        </w:tc>
      </w:tr>
      <w:tr w:rsidR="00AD3C4A" w14:paraId="4D15A152"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A2F8B22" w14:textId="734BFA9D" w:rsidR="00AD3C4A" w:rsidRPr="00CC73EF" w:rsidRDefault="00AD3C4A" w:rsidP="00AD3C4A">
            <w:r w:rsidRPr="00313370">
              <w:t>WY</w:t>
            </w:r>
          </w:p>
        </w:tc>
        <w:tc>
          <w:tcPr>
            <w:tcW w:w="6911" w:type="dxa"/>
          </w:tcPr>
          <w:p w14:paraId="3CF98FFD" w14:textId="44DA3E1D" w:rsidR="00AD3C4A" w:rsidRPr="00CC73EF" w:rsidRDefault="00AD3C4A" w:rsidP="00AD3C4A">
            <w:pPr>
              <w:cnfStyle w:val="000000000000" w:firstRow="0" w:lastRow="0" w:firstColumn="0" w:lastColumn="0" w:oddVBand="0" w:evenVBand="0" w:oddHBand="0" w:evenHBand="0" w:firstRowFirstColumn="0" w:firstRowLastColumn="0" w:lastRowFirstColumn="0" w:lastRowLastColumn="0"/>
            </w:pPr>
            <w:r w:rsidRPr="00313370">
              <w:t>Woman-years</w:t>
            </w:r>
          </w:p>
        </w:tc>
      </w:tr>
    </w:tbl>
    <w:p w14:paraId="7A821011" w14:textId="45D31F12" w:rsidR="0094614A" w:rsidRDefault="0094614A" w:rsidP="0043797D">
      <w:pPr>
        <w:pStyle w:val="Heading2"/>
        <w:pageBreakBefore/>
        <w:rPr>
          <w:lang w:eastAsia="en-AU"/>
        </w:rPr>
      </w:pPr>
      <w:bookmarkStart w:id="8" w:name="_Toc499043836"/>
      <w:bookmarkStart w:id="9" w:name="_Toc351718900"/>
      <w:bookmarkStart w:id="10" w:name="_Toc355338635"/>
      <w:r>
        <w:rPr>
          <w:lang w:eastAsia="en-AU"/>
        </w:rPr>
        <w:lastRenderedPageBreak/>
        <w:t>Introduction</w:t>
      </w:r>
      <w:bookmarkEnd w:id="8"/>
    </w:p>
    <w:p w14:paraId="4F5BC7BC" w14:textId="3D9E25B3" w:rsidR="00AD3C4A" w:rsidRPr="00AD3C4A" w:rsidRDefault="00AD3C4A" w:rsidP="00AD3C4A">
      <w:r w:rsidRPr="00AD3C4A">
        <w:t xml:space="preserve">This is </w:t>
      </w:r>
      <w:r>
        <w:t>a</w:t>
      </w:r>
      <w:r w:rsidR="00D306A1">
        <w:t xml:space="preserve"> submission to register Kyleena,</w:t>
      </w:r>
      <w:r w:rsidRPr="00AD3C4A">
        <w:t xml:space="preserve"> a new strength levonorgestrel (LNG) containing intrauterine drug delivery system (IUS).</w:t>
      </w:r>
      <w:bookmarkStart w:id="11" w:name="_Ref492650170"/>
      <w:r w:rsidR="00D306A1">
        <w:rPr>
          <w:rStyle w:val="FootnoteReference"/>
        </w:rPr>
        <w:footnoteReference w:id="1"/>
      </w:r>
      <w:bookmarkEnd w:id="11"/>
      <w:r w:rsidRPr="00AD3C4A">
        <w:t xml:space="preserve"> This product is comparable to the registered products Mirena (</w:t>
      </w:r>
      <w:r>
        <w:t xml:space="preserve">an </w:t>
      </w:r>
      <w:r w:rsidRPr="00AD3C4A">
        <w:t>IUS containing 52 mg LNG), the initial IUS of this type, and Jaydess (</w:t>
      </w:r>
      <w:r w:rsidR="00201D91">
        <w:t xml:space="preserve">an </w:t>
      </w:r>
      <w:r w:rsidRPr="00AD3C4A">
        <w:t>IUS containing 13.5 mg LNG), which is registered</w:t>
      </w:r>
      <w:r w:rsidR="00201D91">
        <w:t xml:space="preserve"> in Australia but not marketed.</w:t>
      </w:r>
    </w:p>
    <w:p w14:paraId="153E5055" w14:textId="5DDB1331" w:rsidR="00360510" w:rsidRDefault="00360510" w:rsidP="00EE118B">
      <w:pPr>
        <w:pStyle w:val="Heading3"/>
        <w:rPr>
          <w:rFonts w:eastAsia="Cambria"/>
        </w:rPr>
      </w:pPr>
      <w:bookmarkStart w:id="12" w:name="_Toc272414596"/>
      <w:bookmarkStart w:id="13" w:name="_Toc290888444"/>
      <w:bookmarkStart w:id="14" w:name="_Toc453931261"/>
      <w:bookmarkStart w:id="15" w:name="_Toc499043837"/>
      <w:r w:rsidRPr="00360510">
        <w:rPr>
          <w:rFonts w:eastAsia="Cambria"/>
        </w:rPr>
        <w:t>Drug class and therapeutic indication</w:t>
      </w:r>
      <w:bookmarkEnd w:id="12"/>
      <w:bookmarkEnd w:id="13"/>
      <w:bookmarkEnd w:id="14"/>
      <w:bookmarkEnd w:id="15"/>
    </w:p>
    <w:p w14:paraId="562865C1" w14:textId="299DA610" w:rsidR="00201D91" w:rsidRPr="00201D91" w:rsidRDefault="00201D91" w:rsidP="00201D91">
      <w:r w:rsidRPr="00201D91">
        <w:t>Levonorgestrel is a second generation progestin with known anti-proliferative effects on the endometrium. LNG is used widely as the progestogenic component of combined oral contraceptive pills, as well as progestogen</w:t>
      </w:r>
      <w:r w:rsidR="007A24E9">
        <w:t xml:space="preserve"> </w:t>
      </w:r>
      <w:r w:rsidRPr="00201D91">
        <w:t>only pills and intrauterine drug delivery systems.</w:t>
      </w:r>
    </w:p>
    <w:p w14:paraId="602F28AA" w14:textId="77777777" w:rsidR="00852537" w:rsidRDefault="00201D91" w:rsidP="00201D91">
      <w:r w:rsidRPr="00201D91">
        <w:t>The proposed indication is:</w:t>
      </w:r>
    </w:p>
    <w:p w14:paraId="01908D0C" w14:textId="173ED2F1" w:rsidR="00201D91" w:rsidRPr="00201D91" w:rsidRDefault="00201D91" w:rsidP="00852537">
      <w:pPr>
        <w:ind w:firstLine="720"/>
        <w:rPr>
          <w:i/>
        </w:rPr>
      </w:pPr>
      <w:r w:rsidRPr="00201D91">
        <w:rPr>
          <w:i/>
        </w:rPr>
        <w:t>‘Contraception for up to 5 years’.</w:t>
      </w:r>
    </w:p>
    <w:p w14:paraId="23C2FD63" w14:textId="7BB846C9" w:rsidR="00201D91" w:rsidRPr="00201D91" w:rsidRDefault="00201D91" w:rsidP="00201D91">
      <w:pPr>
        <w:pStyle w:val="Comment"/>
      </w:pPr>
      <w:r w:rsidRPr="00201D91">
        <w:rPr>
          <w:b/>
        </w:rPr>
        <w:t xml:space="preserve">Comment:  </w:t>
      </w:r>
      <w:r w:rsidRPr="00201D91">
        <w:t>The proposed indication differs from the current approved indications for Mirena</w:t>
      </w:r>
      <w:r>
        <w:t xml:space="preserve"> </w:t>
      </w:r>
      <w:r w:rsidRPr="00201D91">
        <w:t>and Jaydess, which are as follows:</w:t>
      </w:r>
    </w:p>
    <w:p w14:paraId="0A7F7212" w14:textId="77777777" w:rsidR="00201D91" w:rsidRPr="00201D91" w:rsidRDefault="00201D91" w:rsidP="00201D91">
      <w:r w:rsidRPr="00201D91">
        <w:t>The approved indication for Mirena is:</w:t>
      </w:r>
    </w:p>
    <w:p w14:paraId="5647CB5E" w14:textId="1F897418" w:rsidR="00201D91" w:rsidRPr="00201D91" w:rsidRDefault="00201D91" w:rsidP="00852537">
      <w:pPr>
        <w:ind w:firstLine="720"/>
        <w:rPr>
          <w:i/>
        </w:rPr>
      </w:pPr>
      <w:r>
        <w:rPr>
          <w:i/>
        </w:rPr>
        <w:t>‘</w:t>
      </w:r>
      <w:r w:rsidRPr="00201D91">
        <w:rPr>
          <w:i/>
        </w:rPr>
        <w:t>Mirena is indicated for:</w:t>
      </w:r>
    </w:p>
    <w:p w14:paraId="1B51C325" w14:textId="6A6AD33C" w:rsidR="00201D91" w:rsidRPr="00852537" w:rsidRDefault="00852537" w:rsidP="00852537">
      <w:pPr>
        <w:pStyle w:val="ListBullet3"/>
        <w:rPr>
          <w:i/>
        </w:rPr>
      </w:pPr>
      <w:r w:rsidRPr="00852537">
        <w:rPr>
          <w:i/>
        </w:rPr>
        <w:t>Contraception</w:t>
      </w:r>
    </w:p>
    <w:p w14:paraId="2AB82ECC" w14:textId="5AD8AB84" w:rsidR="00201D91" w:rsidRPr="00852537" w:rsidRDefault="00201D91" w:rsidP="00852537">
      <w:pPr>
        <w:pStyle w:val="ListBullet3"/>
        <w:rPr>
          <w:i/>
        </w:rPr>
      </w:pPr>
      <w:r w:rsidRPr="00852537">
        <w:rPr>
          <w:i/>
        </w:rPr>
        <w:t>Treatment of idiop</w:t>
      </w:r>
      <w:r w:rsidR="00852537" w:rsidRPr="00852537">
        <w:rPr>
          <w:i/>
        </w:rPr>
        <w:t>athic menorrhagia</w:t>
      </w:r>
    </w:p>
    <w:p w14:paraId="76E7FF1B" w14:textId="51950AE9" w:rsidR="00201D91" w:rsidRPr="00852537" w:rsidRDefault="00201D91" w:rsidP="00852537">
      <w:pPr>
        <w:pStyle w:val="ListBullet3"/>
        <w:rPr>
          <w:i/>
        </w:rPr>
      </w:pPr>
      <w:r w:rsidRPr="00852537">
        <w:rPr>
          <w:i/>
        </w:rPr>
        <w:t>Prevention of endometrial hyperplasia during oestrogen replacement therapy’.</w:t>
      </w:r>
      <w:bookmarkStart w:id="16" w:name="_Ref492129582"/>
      <w:r w:rsidR="00852537">
        <w:rPr>
          <w:rStyle w:val="FootnoteReference"/>
          <w:i/>
        </w:rPr>
        <w:footnoteReference w:id="2"/>
      </w:r>
      <w:bookmarkEnd w:id="16"/>
    </w:p>
    <w:p w14:paraId="588E4495" w14:textId="5ED739EF" w:rsidR="00201D91" w:rsidRPr="00201D91" w:rsidRDefault="00201D91" w:rsidP="00201D91">
      <w:r w:rsidRPr="00201D91">
        <w:t>The approved indication for Jaydess is:</w:t>
      </w:r>
    </w:p>
    <w:p w14:paraId="387C277A" w14:textId="45F26677" w:rsidR="00201D91" w:rsidRPr="00852537" w:rsidRDefault="00201D91" w:rsidP="00852537">
      <w:pPr>
        <w:ind w:firstLine="720"/>
      </w:pPr>
      <w:r w:rsidRPr="00201D91">
        <w:rPr>
          <w:i/>
        </w:rPr>
        <w:t>‘Contraception for up to 3 years’.</w:t>
      </w:r>
      <w:bookmarkStart w:id="17" w:name="_Ref492129528"/>
      <w:r w:rsidR="00852537">
        <w:rPr>
          <w:rStyle w:val="FootnoteReference"/>
          <w:i/>
        </w:rPr>
        <w:footnoteReference w:id="3"/>
      </w:r>
      <w:bookmarkEnd w:id="17"/>
    </w:p>
    <w:p w14:paraId="1E8F0821" w14:textId="7AF9871C" w:rsidR="00360510" w:rsidRDefault="00360510" w:rsidP="00EE118B">
      <w:pPr>
        <w:pStyle w:val="Heading3"/>
        <w:rPr>
          <w:rFonts w:eastAsia="Cambria"/>
        </w:rPr>
      </w:pPr>
      <w:bookmarkStart w:id="18" w:name="_Toc272414597"/>
      <w:bookmarkStart w:id="19" w:name="_Toc290888445"/>
      <w:bookmarkStart w:id="20" w:name="_Toc453931262"/>
      <w:bookmarkStart w:id="21" w:name="_Toc499043838"/>
      <w:r w:rsidRPr="00360510">
        <w:rPr>
          <w:rFonts w:eastAsia="Cambria"/>
        </w:rPr>
        <w:t>Dosage forms and strengths</w:t>
      </w:r>
      <w:bookmarkEnd w:id="18"/>
      <w:bookmarkEnd w:id="19"/>
      <w:bookmarkEnd w:id="20"/>
      <w:bookmarkEnd w:id="21"/>
    </w:p>
    <w:p w14:paraId="460F38E8" w14:textId="11881BDD" w:rsidR="007D6339" w:rsidRDefault="007D6339" w:rsidP="007D6339">
      <w:pPr>
        <w:rPr>
          <w:lang w:eastAsia="ja-JP"/>
        </w:rPr>
      </w:pPr>
      <w:r>
        <w:rPr>
          <w:lang w:eastAsia="ja-JP"/>
        </w:rPr>
        <w:t>The following dosage forms and strengths are currently registered:</w:t>
      </w:r>
    </w:p>
    <w:p w14:paraId="5106F359" w14:textId="1F69D831" w:rsidR="007D6339" w:rsidRDefault="007D6339" w:rsidP="007D6339">
      <w:pPr>
        <w:pStyle w:val="ListBullet"/>
        <w:rPr>
          <w:lang w:eastAsia="ja-JP"/>
        </w:rPr>
      </w:pPr>
      <w:r>
        <w:rPr>
          <w:lang w:eastAsia="ja-JP"/>
        </w:rPr>
        <w:t>Mirena levonorgestrel 52 mg intrauterine drug delivery system sachet AUST R 73027</w:t>
      </w:r>
    </w:p>
    <w:p w14:paraId="63F46042" w14:textId="511ED91E" w:rsidR="007D6339" w:rsidRDefault="007D6339" w:rsidP="007D6339">
      <w:pPr>
        <w:pStyle w:val="ListBullet"/>
        <w:rPr>
          <w:lang w:eastAsia="ja-JP"/>
        </w:rPr>
      </w:pPr>
      <w:r>
        <w:rPr>
          <w:lang w:eastAsia="ja-JP"/>
        </w:rPr>
        <w:t>Jaydess levonorgestrel 13.5 mg intrauterine drug delivery system sachet AUST R 200456</w:t>
      </w:r>
    </w:p>
    <w:p w14:paraId="5A2A965A" w14:textId="28479B31" w:rsidR="007D6339" w:rsidRDefault="007D6339" w:rsidP="007D6339">
      <w:pPr>
        <w:rPr>
          <w:lang w:eastAsia="ja-JP"/>
        </w:rPr>
      </w:pPr>
      <w:r>
        <w:rPr>
          <w:lang w:eastAsia="ja-JP"/>
        </w:rPr>
        <w:t>The submission proposes registration of the following dosage forms and strengths:</w:t>
      </w:r>
    </w:p>
    <w:p w14:paraId="51C13475" w14:textId="1CF7D5C9" w:rsidR="00DB493E" w:rsidRDefault="007A24E9" w:rsidP="007D6339">
      <w:pPr>
        <w:pStyle w:val="ListBullet"/>
        <w:rPr>
          <w:lang w:eastAsia="ja-JP"/>
        </w:rPr>
      </w:pPr>
      <w:r>
        <w:rPr>
          <w:lang w:eastAsia="ja-JP"/>
        </w:rPr>
        <w:t>Kyleena</w:t>
      </w:r>
      <w:r w:rsidR="007D6339">
        <w:rPr>
          <w:lang w:eastAsia="ja-JP"/>
        </w:rPr>
        <w:t xml:space="preserve"> levonorgestrel 19.5 mg intrauterine drug delivery system.</w:t>
      </w:r>
    </w:p>
    <w:p w14:paraId="1168BB2C" w14:textId="69B1CE3E" w:rsidR="007D6339" w:rsidRDefault="007D6339" w:rsidP="007A24E9">
      <w:pPr>
        <w:pStyle w:val="Heading3"/>
      </w:pPr>
      <w:bookmarkStart w:id="22" w:name="_Toc499043839"/>
      <w:r>
        <w:lastRenderedPageBreak/>
        <w:t>Dosage and administration</w:t>
      </w:r>
      <w:bookmarkEnd w:id="22"/>
    </w:p>
    <w:p w14:paraId="542D08C4" w14:textId="48F3E2C2" w:rsidR="007D6339" w:rsidRDefault="007D6339" w:rsidP="007A24E9">
      <w:pPr>
        <w:keepNext/>
      </w:pPr>
      <w:r>
        <w:t>The proposed dosage and</w:t>
      </w:r>
      <w:r w:rsidR="007A24E9">
        <w:t xml:space="preserve"> administration for Kyleena</w:t>
      </w:r>
      <w:r w:rsidR="0030360A">
        <w:t xml:space="preserve"> is:</w:t>
      </w:r>
    </w:p>
    <w:p w14:paraId="0DCDA146" w14:textId="25124272" w:rsidR="007D6339" w:rsidRPr="007A24E9" w:rsidRDefault="007A24E9" w:rsidP="007A24E9">
      <w:pPr>
        <w:keepNext/>
        <w:ind w:firstLine="720"/>
        <w:rPr>
          <w:i/>
        </w:rPr>
      </w:pPr>
      <w:r w:rsidRPr="007A24E9">
        <w:rPr>
          <w:i/>
        </w:rPr>
        <w:t>‘Kyleena</w:t>
      </w:r>
      <w:r w:rsidR="007D6339" w:rsidRPr="007A24E9">
        <w:rPr>
          <w:i/>
        </w:rPr>
        <w:t xml:space="preserve"> is inserted into the uterine cavity and is effective for up to five years</w:t>
      </w:r>
      <w:r w:rsidRPr="007A24E9">
        <w:rPr>
          <w:i/>
        </w:rPr>
        <w:t>’</w:t>
      </w:r>
      <w:r w:rsidR="007D6339" w:rsidRPr="007A24E9">
        <w:rPr>
          <w:i/>
        </w:rPr>
        <w:t>.</w:t>
      </w:r>
    </w:p>
    <w:p w14:paraId="55D49E27" w14:textId="26A7D3E0" w:rsidR="007D6339" w:rsidRPr="007D6339" w:rsidRDefault="007D6339" w:rsidP="007D6339">
      <w:r>
        <w:t>Further information is provided regarding in vivo release rates, failure rates, medical examination/consultation, insertion an</w:t>
      </w:r>
      <w:r w:rsidR="007A24E9">
        <w:t>d removal/replacement of Kyleena</w:t>
      </w:r>
      <w:r>
        <w:t>.</w:t>
      </w:r>
    </w:p>
    <w:p w14:paraId="613BEC3B" w14:textId="39C67C82" w:rsidR="00586F98" w:rsidRDefault="00586F98" w:rsidP="006B4C50">
      <w:pPr>
        <w:pStyle w:val="Heading2"/>
      </w:pPr>
      <w:bookmarkStart w:id="23" w:name="_Toc499043840"/>
      <w:r w:rsidRPr="0094614A">
        <w:t>Clinical rationale</w:t>
      </w:r>
      <w:bookmarkEnd w:id="23"/>
    </w:p>
    <w:p w14:paraId="57BB913D" w14:textId="6B771CF2" w:rsidR="007D6339" w:rsidRDefault="007A24E9" w:rsidP="007D6339">
      <w:pPr>
        <w:rPr>
          <w:lang w:eastAsia="ja-JP"/>
        </w:rPr>
      </w:pPr>
      <w:r>
        <w:rPr>
          <w:lang w:eastAsia="ja-JP"/>
        </w:rPr>
        <w:t>Kyleena</w:t>
      </w:r>
      <w:r w:rsidR="007D6339">
        <w:rPr>
          <w:lang w:eastAsia="ja-JP"/>
        </w:rPr>
        <w:t xml:space="preserve"> is a low dose LNG IUS which has been developed for use as a long</w:t>
      </w:r>
      <w:r>
        <w:rPr>
          <w:lang w:eastAsia="ja-JP"/>
        </w:rPr>
        <w:t xml:space="preserve"> </w:t>
      </w:r>
      <w:r w:rsidR="007D6339">
        <w:rPr>
          <w:lang w:eastAsia="ja-JP"/>
        </w:rPr>
        <w:t>acting reversible contraceptive (LARC). There are two LNG IUS currently registered. The Mirena IUS contains 52 mg of LNG with initial in vitro release rate of 20 µg/24 hours and can be used for up to five years. Jaydess (designated LCS12 during development) is a lower dose LNG IUS containing 13.5 mg of LNG with initial in vitro release rate of 12 µg/24 hours. Jay</w:t>
      </w:r>
      <w:r>
        <w:rPr>
          <w:lang w:eastAsia="ja-JP"/>
        </w:rPr>
        <w:t>dess can be used for up to 3</w:t>
      </w:r>
      <w:r w:rsidR="007D6339">
        <w:rPr>
          <w:lang w:eastAsia="ja-JP"/>
        </w:rPr>
        <w:t xml:space="preserve"> years.</w:t>
      </w:r>
    </w:p>
    <w:p w14:paraId="4046B9BA" w14:textId="52BFDB5B" w:rsidR="007D6339" w:rsidRDefault="007D6339" w:rsidP="007D6339">
      <w:pPr>
        <w:rPr>
          <w:lang w:eastAsia="ja-JP"/>
        </w:rPr>
      </w:pPr>
      <w:r>
        <w:rPr>
          <w:lang w:eastAsia="ja-JP"/>
        </w:rPr>
        <w:t>The current submiss</w:t>
      </w:r>
      <w:r w:rsidR="007A24E9">
        <w:rPr>
          <w:lang w:eastAsia="ja-JP"/>
        </w:rPr>
        <w:t>ion proposes to register Kyleena</w:t>
      </w:r>
      <w:r>
        <w:rPr>
          <w:lang w:eastAsia="ja-JP"/>
        </w:rPr>
        <w:t xml:space="preserve"> (designated LCS16 during development), a low dose IUS containing 19.5 mg of LNG with initial in vitro release rate of 16 µg/24 hours. The proposed duration of use is for up to five years. The sponsor’s rationale is ‘</w:t>
      </w:r>
      <w:r w:rsidRPr="007D6339">
        <w:rPr>
          <w:i/>
          <w:lang w:eastAsia="ja-JP"/>
        </w:rPr>
        <w:t>the smaller size of LCS16 as compared with Mirena has been designed to facilitate successful insertion in a wide range of women. The treatment duration of up to five years with LCS16 is considered to be a suitable option for women who would prefer the smaller insertion tube diameter and lower dose (compared to Mirena) but are interested in a 5 year treatment option (compared to LCS12)</w:t>
      </w:r>
      <w:r>
        <w:rPr>
          <w:lang w:eastAsia="ja-JP"/>
        </w:rPr>
        <w:t>’.</w:t>
      </w:r>
    </w:p>
    <w:p w14:paraId="0EA36664" w14:textId="6F8F7B98" w:rsidR="007D6339" w:rsidRPr="007D6339" w:rsidRDefault="007D6339" w:rsidP="007D6339">
      <w:pPr>
        <w:rPr>
          <w:lang w:eastAsia="ja-JP"/>
        </w:rPr>
      </w:pPr>
      <w:r>
        <w:rPr>
          <w:lang w:eastAsia="ja-JP"/>
        </w:rPr>
        <w:t>The sponsor’s rationale is considered acceptable.</w:t>
      </w:r>
    </w:p>
    <w:p w14:paraId="580AF84B" w14:textId="39BAA36F" w:rsidR="0028286D" w:rsidRDefault="0028286D" w:rsidP="0028286D">
      <w:pPr>
        <w:pStyle w:val="Heading3"/>
      </w:pPr>
      <w:bookmarkStart w:id="24" w:name="_Toc499043841"/>
      <w:r>
        <w:t>Guidance</w:t>
      </w:r>
      <w:bookmarkEnd w:id="24"/>
    </w:p>
    <w:p w14:paraId="481CA587" w14:textId="367F8B58" w:rsidR="007D6339" w:rsidRPr="007D6339" w:rsidRDefault="0094407D" w:rsidP="007D6339">
      <w:pPr>
        <w:rPr>
          <w:lang w:eastAsia="ja-JP"/>
        </w:rPr>
      </w:pPr>
      <w:r>
        <w:rPr>
          <w:lang w:eastAsia="ja-JP"/>
        </w:rPr>
        <w:t xml:space="preserve">The </w:t>
      </w:r>
      <w:r w:rsidR="007D6339" w:rsidRPr="007D6339">
        <w:rPr>
          <w:lang w:eastAsia="ja-JP"/>
        </w:rPr>
        <w:t>TGA adopted EU Guideline on Clinical Investigation of Steroid Contraceptives in Women (EMEA/CHMP/021/97 Rev.1)</w:t>
      </w:r>
      <w:r>
        <w:rPr>
          <w:lang w:eastAsia="ja-JP"/>
        </w:rPr>
        <w:t xml:space="preserve"> was available.</w:t>
      </w:r>
    </w:p>
    <w:p w14:paraId="52E27165" w14:textId="77777777" w:rsidR="00586F98" w:rsidRDefault="00586F98" w:rsidP="00EE0433">
      <w:pPr>
        <w:pStyle w:val="Heading2"/>
      </w:pPr>
      <w:bookmarkStart w:id="25" w:name="_Toc499043842"/>
      <w:r>
        <w:t>Contents of the clinical dossier</w:t>
      </w:r>
      <w:bookmarkEnd w:id="9"/>
      <w:bookmarkEnd w:id="10"/>
      <w:bookmarkEnd w:id="25"/>
    </w:p>
    <w:p w14:paraId="542500FD" w14:textId="4178380C" w:rsidR="00586F98" w:rsidRDefault="00586F98" w:rsidP="00586F98">
      <w:pPr>
        <w:pStyle w:val="Heading3"/>
      </w:pPr>
      <w:bookmarkStart w:id="26" w:name="_Toc499043843"/>
      <w:r>
        <w:t>Scope of the clinical dossier</w:t>
      </w:r>
      <w:bookmarkEnd w:id="26"/>
    </w:p>
    <w:p w14:paraId="28FEC6A7" w14:textId="551EC692" w:rsidR="0094407D" w:rsidRDefault="0094407D" w:rsidP="0094407D">
      <w:pPr>
        <w:rPr>
          <w:lang w:eastAsia="ja-JP"/>
        </w:rPr>
      </w:pPr>
      <w:r>
        <w:rPr>
          <w:lang w:eastAsia="ja-JP"/>
        </w:rPr>
        <w:t>The submission contained the following clinical information:</w:t>
      </w:r>
    </w:p>
    <w:p w14:paraId="19152601" w14:textId="638F06E7" w:rsidR="0094407D" w:rsidRPr="0094407D" w:rsidRDefault="0094407D" w:rsidP="0094407D">
      <w:pPr>
        <w:pStyle w:val="ListBullet"/>
      </w:pPr>
      <w:r>
        <w:t>3 clinical pharmacology studies</w:t>
      </w:r>
    </w:p>
    <w:p w14:paraId="5B5FBD91" w14:textId="5A326AC5" w:rsidR="0094407D" w:rsidRPr="0094407D" w:rsidRDefault="0094407D" w:rsidP="0094407D">
      <w:pPr>
        <w:pStyle w:val="ListBullet"/>
      </w:pPr>
      <w:r w:rsidRPr="0094407D">
        <w:t>8 pop</w:t>
      </w:r>
      <w:r>
        <w:t>ulation pharmacokinetic reports</w:t>
      </w:r>
    </w:p>
    <w:p w14:paraId="02F84F47" w14:textId="43BF1011" w:rsidR="0094407D" w:rsidRPr="0094407D" w:rsidRDefault="0094407D" w:rsidP="0094407D">
      <w:pPr>
        <w:pStyle w:val="ListBullet"/>
      </w:pPr>
      <w:r>
        <w:t>1 pivotal efficacy/safety study</w:t>
      </w:r>
    </w:p>
    <w:p w14:paraId="0B0603FA" w14:textId="733EE35C" w:rsidR="0094407D" w:rsidRPr="0094407D" w:rsidRDefault="0094407D" w:rsidP="0094407D">
      <w:pPr>
        <w:pStyle w:val="ListBullet"/>
      </w:pPr>
      <w:r w:rsidRPr="0094407D">
        <w:t>5</w:t>
      </w:r>
      <w:r>
        <w:t xml:space="preserve"> other efficacy/safety studies</w:t>
      </w:r>
    </w:p>
    <w:p w14:paraId="3690E855" w14:textId="24205899" w:rsidR="0094407D" w:rsidRDefault="0094407D" w:rsidP="0094407D">
      <w:pPr>
        <w:pStyle w:val="ListBullet"/>
      </w:pPr>
      <w:r w:rsidRPr="0094407D">
        <w:t>1 PSUR</w:t>
      </w:r>
    </w:p>
    <w:p w14:paraId="07B750DB" w14:textId="15EFF07A" w:rsidR="0094407D" w:rsidRDefault="0094407D" w:rsidP="0094407D">
      <w:pPr>
        <w:pStyle w:val="ListBullet"/>
      </w:pPr>
      <w:r>
        <w:t xml:space="preserve">A </w:t>
      </w:r>
      <w:r w:rsidRPr="0094407D">
        <w:t xml:space="preserve">Clinical Overview, Summary of Clinical Efficacy, </w:t>
      </w:r>
      <w:r>
        <w:t xml:space="preserve">and </w:t>
      </w:r>
      <w:r w:rsidRPr="0094407D">
        <w:t>Summary of Clinical Safety</w:t>
      </w:r>
      <w:r>
        <w:t>.</w:t>
      </w:r>
    </w:p>
    <w:p w14:paraId="30E93949" w14:textId="3F8413EF" w:rsidR="0094407D" w:rsidRDefault="0094407D" w:rsidP="0094407D">
      <w:pPr>
        <w:pStyle w:val="Comment"/>
      </w:pPr>
      <w:r w:rsidRPr="0094407D">
        <w:rPr>
          <w:b/>
        </w:rPr>
        <w:t xml:space="preserve">Comment:  </w:t>
      </w:r>
      <w:r>
        <w:t>T</w:t>
      </w:r>
      <w:r w:rsidRPr="0094407D">
        <w:t>he majority of submitted data ha</w:t>
      </w:r>
      <w:r>
        <w:t>s been evaluated previously in the s</w:t>
      </w:r>
      <w:r w:rsidRPr="0094407D">
        <w:t>ubmission for Jaydess.</w:t>
      </w:r>
      <w:bookmarkStart w:id="27" w:name="_Ref492070565"/>
      <w:r w:rsidR="00E018FA">
        <w:rPr>
          <w:rStyle w:val="FootnoteReference"/>
        </w:rPr>
        <w:footnoteReference w:id="4"/>
      </w:r>
      <w:bookmarkEnd w:id="27"/>
      <w:r w:rsidRPr="0094407D">
        <w:t xml:space="preserve"> The focus of this repo</w:t>
      </w:r>
      <w:r>
        <w:t xml:space="preserve">rt will be the pivotal efficacy/safety </w:t>
      </w:r>
      <w:r>
        <w:lastRenderedPageBreak/>
        <w:t>Study </w:t>
      </w:r>
      <w:r w:rsidRPr="0094407D">
        <w:t xml:space="preserve">91665/310442 supporting use of </w:t>
      </w:r>
      <w:r w:rsidR="007A24E9">
        <w:t>Kyleena</w:t>
      </w:r>
      <w:r w:rsidRPr="0094407D">
        <w:t xml:space="preserve"> for up to 5 years, and additional safety data from 4 studies with Jaydess.</w:t>
      </w:r>
    </w:p>
    <w:p w14:paraId="497AE6CF" w14:textId="515CA874" w:rsidR="0094407D" w:rsidRDefault="0094407D" w:rsidP="0094407D">
      <w:pPr>
        <w:pStyle w:val="Heading3"/>
      </w:pPr>
      <w:bookmarkStart w:id="28" w:name="_Toc499043844"/>
      <w:r>
        <w:t>Paediatric data</w:t>
      </w:r>
      <w:bookmarkEnd w:id="28"/>
    </w:p>
    <w:p w14:paraId="680F491E" w14:textId="0EA2F9F2" w:rsidR="00586F98" w:rsidRDefault="0094407D" w:rsidP="0094407D">
      <w:r>
        <w:t>The TGA paediatric development program form states data to support use in the paediatric population was not submitted. On review of the dossier, data for adolescent subjects has been submitted. The sponsor is asked to comment why this was not indicated as such on the application form.</w:t>
      </w:r>
    </w:p>
    <w:p w14:paraId="7AC6E6A9" w14:textId="31B3E550" w:rsidR="00586F98" w:rsidRDefault="00586F98" w:rsidP="00586F98">
      <w:pPr>
        <w:pStyle w:val="Heading3"/>
      </w:pPr>
      <w:bookmarkStart w:id="29" w:name="_Toc499043845"/>
      <w:r>
        <w:t>Good clinical practice</w:t>
      </w:r>
      <w:bookmarkEnd w:id="29"/>
    </w:p>
    <w:p w14:paraId="5D710B1F" w14:textId="236FC6BE" w:rsidR="0094407D" w:rsidRPr="0094407D" w:rsidRDefault="0094407D" w:rsidP="0094407D">
      <w:pPr>
        <w:rPr>
          <w:lang w:eastAsia="ja-JP"/>
        </w:rPr>
      </w:pPr>
      <w:r>
        <w:rPr>
          <w:lang w:eastAsia="ja-JP"/>
        </w:rPr>
        <w:t>The clinical e</w:t>
      </w:r>
      <w:r w:rsidRPr="0094407D">
        <w:rPr>
          <w:lang w:eastAsia="ja-JP"/>
        </w:rPr>
        <w:t>xpert stated all clinical studies performed in the framework of this submission were conducted in accordance with the principles of the Declaration of Helsinki a</w:t>
      </w:r>
      <w:r w:rsidR="00E41C43">
        <w:rPr>
          <w:lang w:eastAsia="ja-JP"/>
        </w:rPr>
        <w:t xml:space="preserve">nd Good Clinical Practice. </w:t>
      </w:r>
    </w:p>
    <w:p w14:paraId="7F99E4EA" w14:textId="6504C10D" w:rsidR="00586F98" w:rsidRDefault="00586F98" w:rsidP="00586F98">
      <w:pPr>
        <w:pStyle w:val="Heading2"/>
      </w:pPr>
      <w:bookmarkStart w:id="30" w:name="_Toc355338639"/>
      <w:bookmarkStart w:id="31" w:name="_Toc499043846"/>
      <w:r>
        <w:t>Pharmacokinetics</w:t>
      </w:r>
      <w:bookmarkEnd w:id="30"/>
      <w:bookmarkEnd w:id="31"/>
    </w:p>
    <w:p w14:paraId="78CBAAE4" w14:textId="11D323C0" w:rsidR="006731D1" w:rsidRPr="00576182" w:rsidRDefault="006731D1" w:rsidP="00576182">
      <w:pPr>
        <w:pStyle w:val="Heading3"/>
        <w:rPr>
          <w:rFonts w:eastAsia="Cambria"/>
        </w:rPr>
      </w:pPr>
      <w:bookmarkStart w:id="32" w:name="_Ref271017296"/>
      <w:bookmarkStart w:id="33" w:name="_Ref271018924"/>
      <w:bookmarkStart w:id="34" w:name="_Ref271018934"/>
      <w:bookmarkStart w:id="35" w:name="_Toc272414614"/>
      <w:bookmarkStart w:id="36" w:name="_Toc290888464"/>
      <w:bookmarkStart w:id="37" w:name="_Toc453931281"/>
      <w:bookmarkStart w:id="38" w:name="_Toc499043847"/>
      <w:r w:rsidRPr="00576182">
        <w:rPr>
          <w:rFonts w:eastAsia="Cambria"/>
        </w:rPr>
        <w:t>Studies</w:t>
      </w:r>
      <w:bookmarkEnd w:id="32"/>
      <w:bookmarkEnd w:id="33"/>
      <w:bookmarkEnd w:id="34"/>
      <w:r w:rsidRPr="00576182">
        <w:rPr>
          <w:rFonts w:eastAsia="Cambria"/>
        </w:rPr>
        <w:t xml:space="preserve"> providing pharmacokinetic data</w:t>
      </w:r>
      <w:bookmarkEnd w:id="35"/>
      <w:bookmarkEnd w:id="36"/>
      <w:bookmarkEnd w:id="37"/>
      <w:bookmarkEnd w:id="38"/>
    </w:p>
    <w:p w14:paraId="7FA938B3" w14:textId="78DD95B6" w:rsidR="00E41C43" w:rsidRDefault="00E41C43" w:rsidP="00E41C43">
      <w:pPr>
        <w:rPr>
          <w:lang w:eastAsia="ja-JP"/>
        </w:rPr>
      </w:pPr>
      <w:r>
        <w:rPr>
          <w:lang w:eastAsia="ja-JP"/>
        </w:rPr>
        <w:t xml:space="preserve">The majority of PK data for LCS16 was provided by the pivotal Phase III LCS16 efficacy Study Protocol 91665/310442 (CSRs A52238 and PH-37274) and the Phase II Study Protocol 308901 (CSR A46796). The Phase III LCS16 efficacy study was a multicentre, open label, randomised, 2 arm parallel group </w:t>
      </w:r>
      <w:r w:rsidR="002949F5">
        <w:rPr>
          <w:lang w:eastAsia="ja-JP"/>
        </w:rPr>
        <w:t>trial</w:t>
      </w:r>
      <w:r>
        <w:rPr>
          <w:lang w:eastAsia="ja-JP"/>
        </w:rPr>
        <w:t xml:space="preserve"> </w:t>
      </w:r>
      <w:r w:rsidR="002949F5">
        <w:rPr>
          <w:lang w:eastAsia="ja-JP"/>
        </w:rPr>
        <w:t xml:space="preserve">which </w:t>
      </w:r>
      <w:r>
        <w:rPr>
          <w:lang w:eastAsia="ja-JP"/>
        </w:rPr>
        <w:t>assess</w:t>
      </w:r>
      <w:r w:rsidR="002949F5">
        <w:rPr>
          <w:lang w:eastAsia="ja-JP"/>
        </w:rPr>
        <w:t>ed</w:t>
      </w:r>
      <w:r>
        <w:rPr>
          <w:lang w:eastAsia="ja-JP"/>
        </w:rPr>
        <w:t xml:space="preserve"> the efficacy and safety of LCS12 and LCS 16 in healthy women in need of contraception for 3 years. The study also included an open label single arm extension phase of the LCS16 group for up to 5 years.</w:t>
      </w:r>
    </w:p>
    <w:p w14:paraId="19F12337" w14:textId="363251B5" w:rsidR="00E41C43" w:rsidRDefault="00E41C43" w:rsidP="00E41C43">
      <w:pPr>
        <w:pStyle w:val="Comment"/>
        <w:rPr>
          <w:lang w:eastAsia="ja-JP"/>
        </w:rPr>
      </w:pPr>
      <w:r w:rsidRPr="00E41C43">
        <w:rPr>
          <w:b/>
          <w:lang w:eastAsia="ja-JP"/>
        </w:rPr>
        <w:t xml:space="preserve">Comment:  </w:t>
      </w:r>
      <w:r>
        <w:rPr>
          <w:lang w:eastAsia="ja-JP"/>
        </w:rPr>
        <w:t>The pivotal Phase III LCS16 efficacy Study 91665/310442 comprises a 3 year phase (Study report A52238, evaluated in the previous Jaydess submission) and the extension phase up to 5 years (Study report PH-37274).</w:t>
      </w:r>
    </w:p>
    <w:p w14:paraId="4664A60E" w14:textId="415A238E" w:rsidR="00E41C43" w:rsidRDefault="00E41C43" w:rsidP="00E41C43">
      <w:pPr>
        <w:rPr>
          <w:lang w:eastAsia="ja-JP"/>
        </w:rPr>
      </w:pPr>
      <w:r>
        <w:rPr>
          <w:lang w:eastAsia="ja-JP"/>
        </w:rPr>
        <w:t>Study A46796 was a multicentre, open label, randomised, parallel group dose-finding study to investigate LCS12 (n = 239) and LCS16 (n = 245) compared to Mirena (n = 254) in healthy women seeking contraception for a maximum of 3 years.</w:t>
      </w:r>
    </w:p>
    <w:p w14:paraId="6C0F27FB" w14:textId="31EFB29D" w:rsidR="00E41C43" w:rsidRDefault="00E41C43" w:rsidP="00E41C43">
      <w:pPr>
        <w:rPr>
          <w:lang w:eastAsia="ja-JP"/>
        </w:rPr>
      </w:pPr>
      <w:r>
        <w:rPr>
          <w:lang w:eastAsia="ja-JP"/>
        </w:rPr>
        <w:t>PK evaluation included non-compartmental analyses for LNG and SHBG determined in a small subset of the study population with dense PK sampling, and population PK analyses to investigate serum LNG and SHBG concentrations in the whole study population and to determine in vivo release rates of LCS16. PK data from Study A46796 and the 3 year Study A52238 were evaluated in the previous Jaydess submission. PK data from the extension Study PH-37274 will be discussed in this report.</w:t>
      </w:r>
    </w:p>
    <w:p w14:paraId="5CEF446D" w14:textId="77777777" w:rsidR="00E41C43" w:rsidRPr="00E41C43" w:rsidRDefault="00E41C43" w:rsidP="004064FE">
      <w:pPr>
        <w:keepNext/>
        <w:spacing w:after="180"/>
        <w:rPr>
          <w:rFonts w:cstheme="minorBidi"/>
          <w:b/>
        </w:rPr>
      </w:pPr>
      <w:r w:rsidRPr="00E41C43">
        <w:rPr>
          <w:rFonts w:cstheme="minorBidi"/>
          <w:b/>
        </w:rPr>
        <w:t>Table 1. Submitted pharmacokinetic studies.</w:t>
      </w:r>
    </w:p>
    <w:tbl>
      <w:tblPr>
        <w:tblStyle w:val="TableTGAblue"/>
        <w:tblW w:w="9464" w:type="dxa"/>
        <w:tblLayout w:type="fixed"/>
        <w:tblLook w:val="04A0" w:firstRow="1" w:lastRow="0" w:firstColumn="1" w:lastColumn="0" w:noHBand="0" w:noVBand="1"/>
        <w:tblDescription w:val="Table 1. Submitted pharmacokinetic studies."/>
      </w:tblPr>
      <w:tblGrid>
        <w:gridCol w:w="1809"/>
        <w:gridCol w:w="2410"/>
        <w:gridCol w:w="1418"/>
        <w:gridCol w:w="3827"/>
      </w:tblGrid>
      <w:tr w:rsidR="002E3EE8" w:rsidRPr="00E41C43" w14:paraId="3DC43DFE" w14:textId="77777777" w:rsidTr="00EE52D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9" w:type="dxa"/>
          </w:tcPr>
          <w:p w14:paraId="6220E53C" w14:textId="77777777" w:rsidR="00E41C43" w:rsidRPr="00E41C43" w:rsidRDefault="00E41C43" w:rsidP="00E41C43">
            <w:pPr>
              <w:ind w:left="0"/>
            </w:pPr>
            <w:r w:rsidRPr="00E41C43">
              <w:t>PK topic</w:t>
            </w:r>
          </w:p>
        </w:tc>
        <w:tc>
          <w:tcPr>
            <w:tcW w:w="2410" w:type="dxa"/>
          </w:tcPr>
          <w:p w14:paraId="23070E42" w14:textId="77777777" w:rsidR="00E41C43" w:rsidRPr="00E41C43" w:rsidRDefault="00E41C43" w:rsidP="00E41C43">
            <w:pPr>
              <w:ind w:left="0"/>
              <w:cnfStyle w:val="100000000000" w:firstRow="1" w:lastRow="0" w:firstColumn="0" w:lastColumn="0" w:oddVBand="0" w:evenVBand="0" w:oddHBand="0" w:evenHBand="0" w:firstRowFirstColumn="0" w:firstRowLastColumn="0" w:lastRowFirstColumn="0" w:lastRowLastColumn="0"/>
            </w:pPr>
            <w:r w:rsidRPr="00E41C43">
              <w:t>Subtopic</w:t>
            </w:r>
          </w:p>
        </w:tc>
        <w:tc>
          <w:tcPr>
            <w:tcW w:w="1418" w:type="dxa"/>
          </w:tcPr>
          <w:p w14:paraId="60BABD30" w14:textId="77777777" w:rsidR="00E41C43" w:rsidRPr="00E41C43" w:rsidRDefault="00E41C43" w:rsidP="00E41C43">
            <w:pPr>
              <w:ind w:left="0"/>
              <w:cnfStyle w:val="100000000000" w:firstRow="1" w:lastRow="0" w:firstColumn="0" w:lastColumn="0" w:oddVBand="0" w:evenVBand="0" w:oddHBand="0" w:evenHBand="0" w:firstRowFirstColumn="0" w:firstRowLastColumn="0" w:lastRowFirstColumn="0" w:lastRowLastColumn="0"/>
            </w:pPr>
            <w:r w:rsidRPr="00E41C43">
              <w:t>Study ID</w:t>
            </w:r>
          </w:p>
        </w:tc>
        <w:tc>
          <w:tcPr>
            <w:tcW w:w="3827" w:type="dxa"/>
          </w:tcPr>
          <w:p w14:paraId="76F8B1A7" w14:textId="77777777" w:rsidR="00E41C43" w:rsidRPr="00E41C43" w:rsidRDefault="00E41C43" w:rsidP="00E41C43">
            <w:pPr>
              <w:cnfStyle w:val="100000000000" w:firstRow="1" w:lastRow="0" w:firstColumn="0" w:lastColumn="0" w:oddVBand="0" w:evenVBand="0" w:oddHBand="0" w:evenHBand="0" w:firstRowFirstColumn="0" w:firstRowLastColumn="0" w:lastRowFirstColumn="0" w:lastRowLastColumn="0"/>
            </w:pPr>
            <w:r w:rsidRPr="00E41C43">
              <w:t>Synopsis</w:t>
            </w:r>
          </w:p>
        </w:tc>
      </w:tr>
      <w:tr w:rsidR="00E41C43" w:rsidRPr="00E41C43" w14:paraId="4C46C503" w14:textId="77777777" w:rsidTr="00F2762F">
        <w:trPr>
          <w:trHeight w:val="66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2C8B0986" w14:textId="5C5CA3FB" w:rsidR="00E41C43" w:rsidRPr="002E3EE8" w:rsidRDefault="00E41C43" w:rsidP="00E41C43">
            <w:pPr>
              <w:ind w:left="0"/>
              <w:rPr>
                <w:sz w:val="20"/>
                <w:szCs w:val="20"/>
              </w:rPr>
            </w:pPr>
            <w:r w:rsidRPr="002E3EE8">
              <w:rPr>
                <w:sz w:val="20"/>
                <w:szCs w:val="20"/>
              </w:rPr>
              <w:t>PK in healthy adults</w:t>
            </w:r>
          </w:p>
        </w:tc>
        <w:tc>
          <w:tcPr>
            <w:tcW w:w="2410" w:type="dxa"/>
            <w:vMerge w:val="restart"/>
          </w:tcPr>
          <w:p w14:paraId="6CF921C2" w14:textId="1D40FB2F"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General PK, Single dose</w:t>
            </w:r>
          </w:p>
        </w:tc>
        <w:tc>
          <w:tcPr>
            <w:tcW w:w="1418" w:type="dxa"/>
          </w:tcPr>
          <w:p w14:paraId="2C9105A4" w14:textId="0298D72C"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2E3EE8">
              <w:rPr>
                <w:sz w:val="20"/>
                <w:szCs w:val="20"/>
              </w:rPr>
              <w:t>A229 (oral LNG)</w:t>
            </w:r>
            <w:r w:rsidR="002E3EE8" w:rsidRPr="002E3EE8">
              <w:rPr>
                <w:sz w:val="20"/>
                <w:szCs w:val="20"/>
                <w:vertAlign w:val="superscript"/>
              </w:rPr>
              <w:t>a</w:t>
            </w:r>
          </w:p>
        </w:tc>
        <w:tc>
          <w:tcPr>
            <w:tcW w:w="3827" w:type="dxa"/>
          </w:tcPr>
          <w:p w14:paraId="52922949"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Absolute bioavailability of levonorgestrel from Microlut and dose linearity of levonorgestrel pharmacokinetics in 18 healthy, young women.</w:t>
            </w:r>
          </w:p>
        </w:tc>
      </w:tr>
      <w:tr w:rsidR="00E41C43" w:rsidRPr="00E41C43" w14:paraId="2B8D6524" w14:textId="77777777" w:rsidTr="00F2762F">
        <w:trPr>
          <w:trHeight w:val="660"/>
        </w:trPr>
        <w:tc>
          <w:tcPr>
            <w:cnfStyle w:val="001000000000" w:firstRow="0" w:lastRow="0" w:firstColumn="1" w:lastColumn="0" w:oddVBand="0" w:evenVBand="0" w:oddHBand="0" w:evenHBand="0" w:firstRowFirstColumn="0" w:firstRowLastColumn="0" w:lastRowFirstColumn="0" w:lastRowLastColumn="0"/>
            <w:tcW w:w="1809" w:type="dxa"/>
            <w:vMerge/>
          </w:tcPr>
          <w:p w14:paraId="5200E8B8" w14:textId="77777777" w:rsidR="00E41C43" w:rsidRPr="002E3EE8" w:rsidRDefault="00E41C43" w:rsidP="00E41C43">
            <w:pPr>
              <w:rPr>
                <w:sz w:val="20"/>
                <w:szCs w:val="20"/>
              </w:rPr>
            </w:pPr>
          </w:p>
        </w:tc>
        <w:tc>
          <w:tcPr>
            <w:tcW w:w="2410" w:type="dxa"/>
            <w:vMerge/>
          </w:tcPr>
          <w:p w14:paraId="07ECB283" w14:textId="77777777" w:rsidR="00E41C43" w:rsidRPr="002E3EE8" w:rsidRDefault="00E41C43" w:rsidP="00E41C43">
            <w:pP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Pr>
          <w:p w14:paraId="1E891300" w14:textId="2BC6BA0E"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2E3EE8">
              <w:rPr>
                <w:sz w:val="20"/>
                <w:szCs w:val="20"/>
              </w:rPr>
              <w:t>A10982 (Mirena)</w:t>
            </w:r>
            <w:r w:rsidR="002E3EE8" w:rsidRPr="002E3EE8">
              <w:rPr>
                <w:sz w:val="20"/>
                <w:szCs w:val="20"/>
                <w:vertAlign w:val="superscript"/>
              </w:rPr>
              <w:t>a</w:t>
            </w:r>
          </w:p>
        </w:tc>
        <w:tc>
          <w:tcPr>
            <w:tcW w:w="3827" w:type="dxa"/>
          </w:tcPr>
          <w:p w14:paraId="0BAA9E73" w14:textId="3A9425A3"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 xml:space="preserve">A multicentre, open label, non-randomised study of SH G 00650 a (levonorgestrel </w:t>
            </w:r>
            <w:r w:rsidR="00B62DE5">
              <w:rPr>
                <w:sz w:val="20"/>
                <w:szCs w:val="20"/>
              </w:rPr>
              <w:t>IUS</w:t>
            </w:r>
            <w:r w:rsidRPr="002E3EE8">
              <w:rPr>
                <w:sz w:val="20"/>
                <w:szCs w:val="20"/>
              </w:rPr>
              <w:t xml:space="preserve">) in parous women seeking contraception to evaluate its efficacy, safety, and </w:t>
            </w:r>
            <w:r w:rsidR="00B62DE5">
              <w:rPr>
                <w:sz w:val="20"/>
                <w:szCs w:val="20"/>
              </w:rPr>
              <w:t>PK</w:t>
            </w:r>
            <w:r w:rsidRPr="002E3EE8">
              <w:rPr>
                <w:sz w:val="20"/>
                <w:szCs w:val="20"/>
              </w:rPr>
              <w:t xml:space="preserve"> profile when inserted for 12 months.</w:t>
            </w:r>
          </w:p>
        </w:tc>
      </w:tr>
      <w:tr w:rsidR="00E41C43" w:rsidRPr="00E41C43" w14:paraId="61AD0658"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6A6DD4DE" w14:textId="77777777" w:rsidR="00E41C43" w:rsidRPr="002E3EE8" w:rsidRDefault="00E41C43" w:rsidP="00E41C43">
            <w:pPr>
              <w:rPr>
                <w:sz w:val="20"/>
                <w:szCs w:val="20"/>
              </w:rPr>
            </w:pPr>
          </w:p>
        </w:tc>
        <w:tc>
          <w:tcPr>
            <w:tcW w:w="2410" w:type="dxa"/>
          </w:tcPr>
          <w:p w14:paraId="128C2ABC" w14:textId="037FE81B" w:rsidR="00E41C43" w:rsidRPr="002E3EE8" w:rsidRDefault="00B62DE5"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Multi </w:t>
            </w:r>
            <w:r w:rsidR="00E41C43" w:rsidRPr="002E3EE8">
              <w:rPr>
                <w:sz w:val="20"/>
                <w:szCs w:val="20"/>
              </w:rPr>
              <w:t>dose</w:t>
            </w:r>
          </w:p>
        </w:tc>
        <w:tc>
          <w:tcPr>
            <w:tcW w:w="1418" w:type="dxa"/>
          </w:tcPr>
          <w:p w14:paraId="265018DC"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Nil</w:t>
            </w:r>
          </w:p>
        </w:tc>
        <w:tc>
          <w:tcPr>
            <w:tcW w:w="3827" w:type="dxa"/>
          </w:tcPr>
          <w:p w14:paraId="69D669FD"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6DA5AACC"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45D94C57" w14:textId="77777777" w:rsidR="00E41C43" w:rsidRPr="002E3EE8" w:rsidRDefault="00E41C43" w:rsidP="00E41C43">
            <w:pPr>
              <w:rPr>
                <w:sz w:val="20"/>
                <w:szCs w:val="20"/>
              </w:rPr>
            </w:pPr>
          </w:p>
        </w:tc>
        <w:tc>
          <w:tcPr>
            <w:tcW w:w="2410" w:type="dxa"/>
          </w:tcPr>
          <w:p w14:paraId="3C526E70" w14:textId="7DBBC1E4" w:rsidR="00E41C43" w:rsidRPr="00F2762F"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2E3EE8">
              <w:rPr>
                <w:sz w:val="20"/>
                <w:szCs w:val="20"/>
              </w:rPr>
              <w:t>Bioequivalence</w:t>
            </w:r>
            <w:r w:rsidR="002E3EE8">
              <w:rPr>
                <w:sz w:val="20"/>
                <w:szCs w:val="20"/>
              </w:rPr>
              <w:t xml:space="preserve">, </w:t>
            </w:r>
            <w:r w:rsidRPr="002E3EE8">
              <w:rPr>
                <w:sz w:val="20"/>
                <w:szCs w:val="20"/>
              </w:rPr>
              <w:t>Single dose</w:t>
            </w:r>
            <w:r w:rsidR="00F2762F">
              <w:rPr>
                <w:sz w:val="20"/>
                <w:szCs w:val="20"/>
                <w:vertAlign w:val="superscript"/>
              </w:rPr>
              <w:t>b</w:t>
            </w:r>
          </w:p>
        </w:tc>
        <w:tc>
          <w:tcPr>
            <w:tcW w:w="1418" w:type="dxa"/>
          </w:tcPr>
          <w:p w14:paraId="41638771"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Nil</w:t>
            </w:r>
          </w:p>
        </w:tc>
        <w:tc>
          <w:tcPr>
            <w:tcW w:w="3827" w:type="dxa"/>
          </w:tcPr>
          <w:p w14:paraId="224FE234"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7BB75703"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07964003" w14:textId="77777777" w:rsidR="00E41C43" w:rsidRPr="002E3EE8" w:rsidRDefault="00E41C43" w:rsidP="00E41C43">
            <w:pPr>
              <w:rPr>
                <w:sz w:val="20"/>
                <w:szCs w:val="20"/>
              </w:rPr>
            </w:pPr>
          </w:p>
        </w:tc>
        <w:tc>
          <w:tcPr>
            <w:tcW w:w="2410" w:type="dxa"/>
          </w:tcPr>
          <w:p w14:paraId="2A2255C9" w14:textId="291FF24C" w:rsidR="00E41C43" w:rsidRPr="002E3EE8" w:rsidRDefault="00B62DE5"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Multi </w:t>
            </w:r>
            <w:r w:rsidR="00E41C43" w:rsidRPr="002E3EE8">
              <w:rPr>
                <w:sz w:val="20"/>
                <w:szCs w:val="20"/>
              </w:rPr>
              <w:t>dose</w:t>
            </w:r>
          </w:p>
        </w:tc>
        <w:tc>
          <w:tcPr>
            <w:tcW w:w="1418" w:type="dxa"/>
          </w:tcPr>
          <w:p w14:paraId="0241B752"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Nil</w:t>
            </w:r>
          </w:p>
        </w:tc>
        <w:tc>
          <w:tcPr>
            <w:tcW w:w="3827" w:type="dxa"/>
          </w:tcPr>
          <w:p w14:paraId="2E227A37"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53D27197"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4392066D" w14:textId="77777777" w:rsidR="00E41C43" w:rsidRPr="002E3EE8" w:rsidRDefault="00E41C43" w:rsidP="00E41C43">
            <w:pPr>
              <w:rPr>
                <w:sz w:val="20"/>
                <w:szCs w:val="20"/>
              </w:rPr>
            </w:pPr>
          </w:p>
        </w:tc>
        <w:tc>
          <w:tcPr>
            <w:tcW w:w="2410" w:type="dxa"/>
          </w:tcPr>
          <w:p w14:paraId="540D52A5"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Food effect</w:t>
            </w:r>
          </w:p>
        </w:tc>
        <w:tc>
          <w:tcPr>
            <w:tcW w:w="1418" w:type="dxa"/>
          </w:tcPr>
          <w:p w14:paraId="1E2875FC" w14:textId="7CD3F399"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Nil</w:t>
            </w:r>
          </w:p>
        </w:tc>
        <w:tc>
          <w:tcPr>
            <w:tcW w:w="3827" w:type="dxa"/>
          </w:tcPr>
          <w:p w14:paraId="1143098F"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68F7C4F9" w14:textId="77777777" w:rsidTr="00F2762F">
        <w:trPr>
          <w:trHeight w:val="240"/>
        </w:trPr>
        <w:tc>
          <w:tcPr>
            <w:cnfStyle w:val="001000000000" w:firstRow="0" w:lastRow="0" w:firstColumn="1" w:lastColumn="0" w:oddVBand="0" w:evenVBand="0" w:oddHBand="0" w:evenHBand="0" w:firstRowFirstColumn="0" w:firstRowLastColumn="0" w:lastRowFirstColumn="0" w:lastRowLastColumn="0"/>
            <w:tcW w:w="1809" w:type="dxa"/>
            <w:vMerge w:val="restart"/>
          </w:tcPr>
          <w:p w14:paraId="4B5C8200" w14:textId="77777777" w:rsidR="00E41C43" w:rsidRPr="002E3EE8" w:rsidRDefault="00E41C43" w:rsidP="00E41C43">
            <w:pPr>
              <w:ind w:left="0"/>
              <w:rPr>
                <w:sz w:val="20"/>
                <w:szCs w:val="20"/>
              </w:rPr>
            </w:pPr>
            <w:r w:rsidRPr="002E3EE8">
              <w:rPr>
                <w:sz w:val="20"/>
                <w:szCs w:val="20"/>
              </w:rPr>
              <w:t>PK in special populations</w:t>
            </w:r>
          </w:p>
        </w:tc>
        <w:tc>
          <w:tcPr>
            <w:tcW w:w="2410" w:type="dxa"/>
            <w:vMerge w:val="restart"/>
          </w:tcPr>
          <w:p w14:paraId="36F4132A" w14:textId="73401B55" w:rsidR="00E41C43" w:rsidRPr="002E3EE8" w:rsidRDefault="002E3EE8" w:rsidP="00E41C43">
            <w:pPr>
              <w:ind w:left="0"/>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2E3EE8">
              <w:rPr>
                <w:sz w:val="20"/>
                <w:szCs w:val="20"/>
              </w:rPr>
              <w:t xml:space="preserve">Target population, </w:t>
            </w:r>
            <w:r w:rsidR="00E41C43" w:rsidRPr="002E3EE8">
              <w:rPr>
                <w:sz w:val="20"/>
                <w:szCs w:val="20"/>
              </w:rPr>
              <w:t>Single dose</w:t>
            </w:r>
            <w:r w:rsidRPr="002E3EE8">
              <w:rPr>
                <w:sz w:val="20"/>
                <w:szCs w:val="20"/>
                <w:vertAlign w:val="superscript"/>
              </w:rPr>
              <w:t>c</w:t>
            </w:r>
          </w:p>
        </w:tc>
        <w:tc>
          <w:tcPr>
            <w:tcW w:w="1418" w:type="dxa"/>
          </w:tcPr>
          <w:p w14:paraId="4C9011F1" w14:textId="1989B3A5"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2E3EE8">
              <w:rPr>
                <w:sz w:val="20"/>
                <w:szCs w:val="20"/>
              </w:rPr>
              <w:t>Study A46796</w:t>
            </w:r>
            <w:r w:rsidR="002E3EE8" w:rsidRPr="002E3EE8">
              <w:rPr>
                <w:sz w:val="20"/>
                <w:szCs w:val="20"/>
                <w:vertAlign w:val="superscript"/>
              </w:rPr>
              <w:t>a</w:t>
            </w:r>
          </w:p>
        </w:tc>
        <w:tc>
          <w:tcPr>
            <w:tcW w:w="3827" w:type="dxa"/>
          </w:tcPr>
          <w:p w14:paraId="4E0D22AA" w14:textId="43F27DA2" w:rsidR="00E41C43" w:rsidRPr="002E3EE8" w:rsidRDefault="00B62DE5"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Multi</w:t>
            </w:r>
            <w:r w:rsidR="00E41C43" w:rsidRPr="002E3EE8">
              <w:rPr>
                <w:sz w:val="20"/>
                <w:szCs w:val="20"/>
              </w:rPr>
              <w:t>centre, open, randomised, dose findin</w:t>
            </w:r>
            <w:r>
              <w:rPr>
                <w:sz w:val="20"/>
                <w:szCs w:val="20"/>
              </w:rPr>
              <w:t>g P</w:t>
            </w:r>
            <w:r w:rsidR="00E41C43" w:rsidRPr="002E3EE8">
              <w:rPr>
                <w:sz w:val="20"/>
                <w:szCs w:val="20"/>
              </w:rPr>
              <w:t>hase II study to investigate for a maximum of three years ultra low dose LNG contraceptive intrauterine systems (LCS) releasing in vitro 12 μg/24 h and 16 μg/24 h of LNG compared to Mirena in nulliparous and parous women in need of contraception.</w:t>
            </w:r>
          </w:p>
        </w:tc>
      </w:tr>
      <w:tr w:rsidR="00E41C43" w:rsidRPr="00E41C43" w14:paraId="01C39276" w14:textId="77777777" w:rsidTr="00F2762F">
        <w:trPr>
          <w:trHeight w:val="240"/>
        </w:trPr>
        <w:tc>
          <w:tcPr>
            <w:cnfStyle w:val="001000000000" w:firstRow="0" w:lastRow="0" w:firstColumn="1" w:lastColumn="0" w:oddVBand="0" w:evenVBand="0" w:oddHBand="0" w:evenHBand="0" w:firstRowFirstColumn="0" w:firstRowLastColumn="0" w:lastRowFirstColumn="0" w:lastRowLastColumn="0"/>
            <w:tcW w:w="1809" w:type="dxa"/>
            <w:vMerge/>
          </w:tcPr>
          <w:p w14:paraId="044C6FE8" w14:textId="77777777" w:rsidR="00E41C43" w:rsidRPr="002E3EE8" w:rsidRDefault="00E41C43" w:rsidP="00E41C43">
            <w:pPr>
              <w:rPr>
                <w:sz w:val="20"/>
                <w:szCs w:val="20"/>
              </w:rPr>
            </w:pPr>
          </w:p>
        </w:tc>
        <w:tc>
          <w:tcPr>
            <w:tcW w:w="2410" w:type="dxa"/>
            <w:vMerge/>
          </w:tcPr>
          <w:p w14:paraId="036DDCE5" w14:textId="77777777" w:rsidR="00E41C43" w:rsidRPr="002E3EE8" w:rsidRDefault="00E41C43" w:rsidP="00E41C43">
            <w:pP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Pr>
          <w:p w14:paraId="28BFE6DA" w14:textId="17744D2E"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Study A52238</w:t>
            </w:r>
            <w:r w:rsidR="002E3EE8" w:rsidRPr="002E3EE8">
              <w:rPr>
                <w:sz w:val="20"/>
                <w:szCs w:val="20"/>
                <w:vertAlign w:val="superscript"/>
              </w:rPr>
              <w:t>a</w:t>
            </w:r>
            <w:r w:rsidRPr="002E3EE8">
              <w:rPr>
                <w:sz w:val="20"/>
                <w:szCs w:val="20"/>
              </w:rPr>
              <w:t>/</w:t>
            </w:r>
            <w:r w:rsidR="002E3EE8">
              <w:rPr>
                <w:sz w:val="20"/>
                <w:szCs w:val="20"/>
              </w:rPr>
              <w:t xml:space="preserve"> </w:t>
            </w:r>
            <w:r w:rsidRPr="002E3EE8">
              <w:rPr>
                <w:sz w:val="20"/>
                <w:szCs w:val="20"/>
              </w:rPr>
              <w:t>PH-37274</w:t>
            </w:r>
          </w:p>
        </w:tc>
        <w:tc>
          <w:tcPr>
            <w:tcW w:w="3827" w:type="dxa"/>
          </w:tcPr>
          <w:p w14:paraId="650812BC"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Multi-centre, open, randomised, study to assess the safety and efficacy of two doses (in vitro 12 μg/24 h and 16 μg/24 h) of the ultra low dose LNG contraceptive intrauterine systems (LCS) for a maximum of 3 years in women 18 to 35 years of age and an extension phase of the 16 μg/24 h group (LCS16 arm) up to 5 years.</w:t>
            </w:r>
          </w:p>
        </w:tc>
      </w:tr>
      <w:tr w:rsidR="00E41C43" w:rsidRPr="00E41C43" w14:paraId="7ADF3003" w14:textId="77777777" w:rsidTr="00F2762F">
        <w:trPr>
          <w:trHeight w:val="240"/>
        </w:trPr>
        <w:tc>
          <w:tcPr>
            <w:cnfStyle w:val="001000000000" w:firstRow="0" w:lastRow="0" w:firstColumn="1" w:lastColumn="0" w:oddVBand="0" w:evenVBand="0" w:oddHBand="0" w:evenHBand="0" w:firstRowFirstColumn="0" w:firstRowLastColumn="0" w:lastRowFirstColumn="0" w:lastRowLastColumn="0"/>
            <w:tcW w:w="1809" w:type="dxa"/>
            <w:vMerge/>
          </w:tcPr>
          <w:p w14:paraId="46D67C61" w14:textId="77777777" w:rsidR="00E41C43" w:rsidRPr="002E3EE8" w:rsidRDefault="00E41C43" w:rsidP="00E41C43">
            <w:pPr>
              <w:rPr>
                <w:sz w:val="20"/>
                <w:szCs w:val="20"/>
              </w:rPr>
            </w:pPr>
          </w:p>
        </w:tc>
        <w:tc>
          <w:tcPr>
            <w:tcW w:w="2410" w:type="dxa"/>
            <w:vMerge/>
          </w:tcPr>
          <w:p w14:paraId="2D6E61F8" w14:textId="77777777" w:rsidR="00E41C43" w:rsidRPr="002E3EE8" w:rsidRDefault="00E41C43" w:rsidP="00E41C43">
            <w:pP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Pr>
          <w:p w14:paraId="7EB13192" w14:textId="69FCDBCF"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2E3EE8">
              <w:rPr>
                <w:sz w:val="20"/>
                <w:szCs w:val="20"/>
              </w:rPr>
              <w:t>Study 91775</w:t>
            </w:r>
            <w:r w:rsidR="002E3EE8" w:rsidRPr="002E3EE8">
              <w:rPr>
                <w:sz w:val="20"/>
                <w:szCs w:val="20"/>
                <w:vertAlign w:val="superscript"/>
              </w:rPr>
              <w:t>a</w:t>
            </w:r>
          </w:p>
        </w:tc>
        <w:tc>
          <w:tcPr>
            <w:tcW w:w="3827" w:type="dxa"/>
          </w:tcPr>
          <w:p w14:paraId="6EC79D01"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Multi-centre, open label, single arm study to assess efficacy, safety, bleeding pattern and pharmacokinetics of the ultra low dose LNG intrauterine contraceptive system (LCS) for a maximum of 3 years in women 18 to 40 years of age.</w:t>
            </w:r>
          </w:p>
        </w:tc>
      </w:tr>
      <w:tr w:rsidR="00E41C43" w:rsidRPr="00E41C43" w14:paraId="66CA3340"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5F41DEA5" w14:textId="77777777" w:rsidR="00E41C43" w:rsidRPr="002E3EE8" w:rsidRDefault="00E41C43" w:rsidP="00E41C43">
            <w:pPr>
              <w:rPr>
                <w:sz w:val="20"/>
                <w:szCs w:val="20"/>
              </w:rPr>
            </w:pPr>
          </w:p>
        </w:tc>
        <w:tc>
          <w:tcPr>
            <w:tcW w:w="2410" w:type="dxa"/>
          </w:tcPr>
          <w:p w14:paraId="7D074E02" w14:textId="5ABBC8E1"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Multi-dose</w:t>
            </w:r>
          </w:p>
        </w:tc>
        <w:tc>
          <w:tcPr>
            <w:tcW w:w="1418" w:type="dxa"/>
          </w:tcPr>
          <w:p w14:paraId="1C489C6A"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Nil</w:t>
            </w:r>
          </w:p>
        </w:tc>
        <w:tc>
          <w:tcPr>
            <w:tcW w:w="3827" w:type="dxa"/>
          </w:tcPr>
          <w:p w14:paraId="28A54163"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28D938C5"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761D189B" w14:textId="77777777" w:rsidR="00E41C43" w:rsidRPr="002E3EE8" w:rsidRDefault="00E41C43" w:rsidP="00E41C43">
            <w:pPr>
              <w:rPr>
                <w:sz w:val="20"/>
                <w:szCs w:val="20"/>
              </w:rPr>
            </w:pPr>
          </w:p>
        </w:tc>
        <w:tc>
          <w:tcPr>
            <w:tcW w:w="2410" w:type="dxa"/>
          </w:tcPr>
          <w:p w14:paraId="5545E3E6"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Hepatic impairment</w:t>
            </w:r>
          </w:p>
        </w:tc>
        <w:tc>
          <w:tcPr>
            <w:tcW w:w="1418" w:type="dxa"/>
          </w:tcPr>
          <w:p w14:paraId="7544D67A"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Nil</w:t>
            </w:r>
          </w:p>
        </w:tc>
        <w:tc>
          <w:tcPr>
            <w:tcW w:w="3827" w:type="dxa"/>
          </w:tcPr>
          <w:p w14:paraId="6CE5040C" w14:textId="11ACAD2B"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In vitro study provided (Study A024</w:t>
            </w:r>
            <w:r w:rsidR="002E3EE8" w:rsidRPr="002E3EE8">
              <w:rPr>
                <w:sz w:val="20"/>
                <w:szCs w:val="20"/>
              </w:rPr>
              <w:t>95</w:t>
            </w:r>
            <w:r w:rsidR="002E3EE8" w:rsidRPr="002E3EE8">
              <w:rPr>
                <w:sz w:val="20"/>
                <w:szCs w:val="20"/>
                <w:vertAlign w:val="superscript"/>
              </w:rPr>
              <w:t>a</w:t>
            </w:r>
            <w:r w:rsidRPr="002E3EE8">
              <w:rPr>
                <w:sz w:val="20"/>
                <w:szCs w:val="20"/>
              </w:rPr>
              <w:t>)</w:t>
            </w:r>
          </w:p>
        </w:tc>
      </w:tr>
      <w:tr w:rsidR="00E41C43" w:rsidRPr="00E41C43" w14:paraId="48DF035D"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3063B383" w14:textId="77777777" w:rsidR="00E41C43" w:rsidRPr="002E3EE8" w:rsidRDefault="00E41C43" w:rsidP="00E41C43">
            <w:pPr>
              <w:rPr>
                <w:sz w:val="20"/>
                <w:szCs w:val="20"/>
              </w:rPr>
            </w:pPr>
          </w:p>
        </w:tc>
        <w:tc>
          <w:tcPr>
            <w:tcW w:w="2410" w:type="dxa"/>
          </w:tcPr>
          <w:p w14:paraId="7BEA692D"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Renal impairment</w:t>
            </w:r>
          </w:p>
        </w:tc>
        <w:tc>
          <w:tcPr>
            <w:tcW w:w="1418" w:type="dxa"/>
          </w:tcPr>
          <w:p w14:paraId="6AD1D337"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Nil</w:t>
            </w:r>
          </w:p>
        </w:tc>
        <w:tc>
          <w:tcPr>
            <w:tcW w:w="3827" w:type="dxa"/>
          </w:tcPr>
          <w:p w14:paraId="0EA0C62A"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16021CCD"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2E90D2EA" w14:textId="77777777" w:rsidR="00E41C43" w:rsidRPr="002E3EE8" w:rsidRDefault="00E41C43" w:rsidP="00E41C43">
            <w:pPr>
              <w:rPr>
                <w:sz w:val="20"/>
                <w:szCs w:val="20"/>
              </w:rPr>
            </w:pPr>
          </w:p>
        </w:tc>
        <w:tc>
          <w:tcPr>
            <w:tcW w:w="2410" w:type="dxa"/>
          </w:tcPr>
          <w:p w14:paraId="04F82378" w14:textId="7C0C74C3" w:rsidR="00E41C43" w:rsidRPr="002E3EE8" w:rsidRDefault="002E3EE8"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 xml:space="preserve">Neonates, infants, children or </w:t>
            </w:r>
            <w:r w:rsidR="00E41C43" w:rsidRPr="002E3EE8">
              <w:rPr>
                <w:sz w:val="20"/>
                <w:szCs w:val="20"/>
              </w:rPr>
              <w:t>adolescents</w:t>
            </w:r>
          </w:p>
        </w:tc>
        <w:tc>
          <w:tcPr>
            <w:tcW w:w="1418" w:type="dxa"/>
          </w:tcPr>
          <w:p w14:paraId="3E755882" w14:textId="12283A6C" w:rsidR="00E41C43" w:rsidRPr="002E3EE8" w:rsidRDefault="00E41C43" w:rsidP="00C1495D">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 xml:space="preserve">Study </w:t>
            </w:r>
            <w:r w:rsidR="00C1495D">
              <w:rPr>
                <w:sz w:val="20"/>
                <w:szCs w:val="20"/>
              </w:rPr>
              <w:t>14371</w:t>
            </w:r>
          </w:p>
        </w:tc>
        <w:tc>
          <w:tcPr>
            <w:tcW w:w="3827" w:type="dxa"/>
          </w:tcPr>
          <w:p w14:paraId="36D1499F" w14:textId="77777777" w:rsidR="00E41C43" w:rsidRPr="002E3EE8" w:rsidRDefault="00E41C43" w:rsidP="002E3EE8">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0CFBD7CE"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6A179540" w14:textId="77777777" w:rsidR="00E41C43" w:rsidRPr="002E3EE8" w:rsidRDefault="00E41C43" w:rsidP="00E41C43">
            <w:pPr>
              <w:rPr>
                <w:sz w:val="20"/>
                <w:szCs w:val="20"/>
              </w:rPr>
            </w:pPr>
          </w:p>
        </w:tc>
        <w:tc>
          <w:tcPr>
            <w:tcW w:w="2410" w:type="dxa"/>
          </w:tcPr>
          <w:p w14:paraId="25C59B9B"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Elderly</w:t>
            </w:r>
          </w:p>
        </w:tc>
        <w:tc>
          <w:tcPr>
            <w:tcW w:w="1418" w:type="dxa"/>
          </w:tcPr>
          <w:p w14:paraId="28EF5D9B"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Nil</w:t>
            </w:r>
          </w:p>
        </w:tc>
        <w:tc>
          <w:tcPr>
            <w:tcW w:w="3827" w:type="dxa"/>
          </w:tcPr>
          <w:p w14:paraId="01E6C40D" w14:textId="77777777" w:rsidR="00E41C43" w:rsidRPr="002E3EE8" w:rsidRDefault="00E41C43" w:rsidP="002E3EE8">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3D88EE9C"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3492AC57" w14:textId="77777777" w:rsidR="00E41C43" w:rsidRPr="002E3EE8" w:rsidRDefault="00E41C43" w:rsidP="00E41C43">
            <w:pPr>
              <w:rPr>
                <w:sz w:val="20"/>
                <w:szCs w:val="20"/>
              </w:rPr>
            </w:pPr>
          </w:p>
        </w:tc>
        <w:tc>
          <w:tcPr>
            <w:tcW w:w="2410" w:type="dxa"/>
          </w:tcPr>
          <w:p w14:paraId="79EA6068"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Other special population</w:t>
            </w:r>
          </w:p>
        </w:tc>
        <w:tc>
          <w:tcPr>
            <w:tcW w:w="1418" w:type="dxa"/>
          </w:tcPr>
          <w:p w14:paraId="2F816C6E"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Nil</w:t>
            </w:r>
          </w:p>
        </w:tc>
        <w:tc>
          <w:tcPr>
            <w:tcW w:w="3827" w:type="dxa"/>
          </w:tcPr>
          <w:p w14:paraId="132996C0" w14:textId="77777777" w:rsidR="00E41C43" w:rsidRPr="002E3EE8" w:rsidRDefault="00E41C43" w:rsidP="002E3EE8">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28335F76"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val="restart"/>
          </w:tcPr>
          <w:p w14:paraId="4936AC9D" w14:textId="655EE52F" w:rsidR="00E41C43" w:rsidRPr="002E3EE8" w:rsidRDefault="00E41C43" w:rsidP="00E41C43">
            <w:pPr>
              <w:ind w:left="0"/>
              <w:rPr>
                <w:sz w:val="20"/>
                <w:szCs w:val="20"/>
              </w:rPr>
            </w:pPr>
            <w:r w:rsidRPr="002E3EE8">
              <w:rPr>
                <w:sz w:val="20"/>
                <w:szCs w:val="20"/>
              </w:rPr>
              <w:t>Genetic/</w:t>
            </w:r>
            <w:r w:rsidR="002E3EE8">
              <w:rPr>
                <w:sz w:val="20"/>
                <w:szCs w:val="20"/>
              </w:rPr>
              <w:t xml:space="preserve"> </w:t>
            </w:r>
            <w:r w:rsidRPr="002E3EE8">
              <w:rPr>
                <w:sz w:val="20"/>
                <w:szCs w:val="20"/>
              </w:rPr>
              <w:t>gender related PK</w:t>
            </w:r>
          </w:p>
        </w:tc>
        <w:tc>
          <w:tcPr>
            <w:tcW w:w="2410" w:type="dxa"/>
          </w:tcPr>
          <w:p w14:paraId="5188E9FC"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Males versus females</w:t>
            </w:r>
          </w:p>
        </w:tc>
        <w:tc>
          <w:tcPr>
            <w:tcW w:w="1418" w:type="dxa"/>
          </w:tcPr>
          <w:p w14:paraId="0C85586B"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N/A</w:t>
            </w:r>
          </w:p>
        </w:tc>
        <w:tc>
          <w:tcPr>
            <w:tcW w:w="3827" w:type="dxa"/>
          </w:tcPr>
          <w:p w14:paraId="729DBB9D" w14:textId="77777777" w:rsidR="00E41C43" w:rsidRPr="002E3EE8" w:rsidRDefault="00E41C43" w:rsidP="002E3EE8">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477C9B4A"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55E1FB39" w14:textId="77777777" w:rsidR="00E41C43" w:rsidRPr="002E3EE8" w:rsidRDefault="00E41C43" w:rsidP="00E41C43">
            <w:pPr>
              <w:rPr>
                <w:sz w:val="20"/>
                <w:szCs w:val="20"/>
              </w:rPr>
            </w:pPr>
          </w:p>
        </w:tc>
        <w:tc>
          <w:tcPr>
            <w:tcW w:w="2410" w:type="dxa"/>
          </w:tcPr>
          <w:p w14:paraId="596F8CE0"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Other genetic variable</w:t>
            </w:r>
          </w:p>
        </w:tc>
        <w:tc>
          <w:tcPr>
            <w:tcW w:w="1418" w:type="dxa"/>
          </w:tcPr>
          <w:p w14:paraId="277C5F0B"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Nil</w:t>
            </w:r>
          </w:p>
        </w:tc>
        <w:tc>
          <w:tcPr>
            <w:tcW w:w="3827" w:type="dxa"/>
          </w:tcPr>
          <w:p w14:paraId="6956F186" w14:textId="77777777" w:rsidR="00E41C43" w:rsidRPr="002E3EE8" w:rsidRDefault="00E41C43" w:rsidP="002E3EE8">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1914CB8B" w14:textId="77777777" w:rsidTr="00F2762F">
        <w:tc>
          <w:tcPr>
            <w:cnfStyle w:val="001000000000" w:firstRow="0" w:lastRow="0" w:firstColumn="1" w:lastColumn="0" w:oddVBand="0" w:evenVBand="0" w:oddHBand="0" w:evenHBand="0" w:firstRowFirstColumn="0" w:firstRowLastColumn="0" w:lastRowFirstColumn="0" w:lastRowLastColumn="0"/>
            <w:tcW w:w="1809" w:type="dxa"/>
          </w:tcPr>
          <w:p w14:paraId="125E3828" w14:textId="77777777" w:rsidR="00E41C43" w:rsidRPr="002E3EE8" w:rsidRDefault="00E41C43" w:rsidP="00E41C43">
            <w:pPr>
              <w:ind w:left="0"/>
              <w:rPr>
                <w:sz w:val="20"/>
                <w:szCs w:val="20"/>
              </w:rPr>
            </w:pPr>
            <w:r w:rsidRPr="002E3EE8">
              <w:rPr>
                <w:sz w:val="20"/>
                <w:szCs w:val="20"/>
              </w:rPr>
              <w:t>PK interactions</w:t>
            </w:r>
          </w:p>
        </w:tc>
        <w:tc>
          <w:tcPr>
            <w:tcW w:w="2410" w:type="dxa"/>
          </w:tcPr>
          <w:p w14:paraId="439D1AF1"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Pr>
          <w:p w14:paraId="7D1F632B"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Nil</w:t>
            </w:r>
          </w:p>
        </w:tc>
        <w:tc>
          <w:tcPr>
            <w:tcW w:w="3827" w:type="dxa"/>
          </w:tcPr>
          <w:p w14:paraId="382C5DBC" w14:textId="77777777" w:rsidR="00E41C43" w:rsidRPr="002E3EE8" w:rsidRDefault="00E41C43" w:rsidP="002E3EE8">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775AE0E5"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val="restart"/>
          </w:tcPr>
          <w:p w14:paraId="4DD14998" w14:textId="77777777" w:rsidR="00E41C43" w:rsidRPr="002E3EE8" w:rsidRDefault="00E41C43" w:rsidP="00E41C43">
            <w:pPr>
              <w:ind w:left="0"/>
              <w:rPr>
                <w:sz w:val="20"/>
                <w:szCs w:val="20"/>
              </w:rPr>
            </w:pPr>
            <w:r w:rsidRPr="002E3EE8">
              <w:rPr>
                <w:sz w:val="20"/>
                <w:szCs w:val="20"/>
              </w:rPr>
              <w:t>Population PK analyses</w:t>
            </w:r>
          </w:p>
        </w:tc>
        <w:tc>
          <w:tcPr>
            <w:tcW w:w="2410" w:type="dxa"/>
          </w:tcPr>
          <w:p w14:paraId="71012B9A"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Healthy subjects</w:t>
            </w:r>
          </w:p>
        </w:tc>
        <w:tc>
          <w:tcPr>
            <w:tcW w:w="1418" w:type="dxa"/>
          </w:tcPr>
          <w:p w14:paraId="54F2958D"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3827" w:type="dxa"/>
          </w:tcPr>
          <w:p w14:paraId="79601D8F" w14:textId="77777777" w:rsidR="00E41C43" w:rsidRPr="002E3EE8" w:rsidRDefault="00E41C43" w:rsidP="002E3EE8">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0DC9119A"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7472AB66" w14:textId="77777777" w:rsidR="00E41C43" w:rsidRPr="002E3EE8" w:rsidRDefault="00E41C43" w:rsidP="00E41C43">
            <w:pPr>
              <w:rPr>
                <w:sz w:val="20"/>
                <w:szCs w:val="20"/>
              </w:rPr>
            </w:pPr>
          </w:p>
        </w:tc>
        <w:tc>
          <w:tcPr>
            <w:tcW w:w="2410" w:type="dxa"/>
          </w:tcPr>
          <w:p w14:paraId="6E264BC8"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Target population</w:t>
            </w:r>
          </w:p>
        </w:tc>
        <w:tc>
          <w:tcPr>
            <w:tcW w:w="1418" w:type="dxa"/>
          </w:tcPr>
          <w:p w14:paraId="4E362EDE"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3827" w:type="dxa"/>
          </w:tcPr>
          <w:p w14:paraId="0FB0D431" w14:textId="77777777" w:rsidR="00E41C43" w:rsidRPr="002E3EE8" w:rsidRDefault="00E41C43" w:rsidP="002E3EE8">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E41C43" w:rsidRPr="00E41C43" w14:paraId="755B57D5" w14:textId="77777777" w:rsidTr="00F2762F">
        <w:tc>
          <w:tcPr>
            <w:cnfStyle w:val="001000000000" w:firstRow="0" w:lastRow="0" w:firstColumn="1" w:lastColumn="0" w:oddVBand="0" w:evenVBand="0" w:oddHBand="0" w:evenHBand="0" w:firstRowFirstColumn="0" w:firstRowLastColumn="0" w:lastRowFirstColumn="0" w:lastRowLastColumn="0"/>
            <w:tcW w:w="1809" w:type="dxa"/>
            <w:vMerge/>
          </w:tcPr>
          <w:p w14:paraId="75B50474" w14:textId="77777777" w:rsidR="00E41C43" w:rsidRPr="002E3EE8" w:rsidRDefault="00E41C43" w:rsidP="00E41C43">
            <w:pPr>
              <w:rPr>
                <w:sz w:val="20"/>
                <w:szCs w:val="20"/>
              </w:rPr>
            </w:pPr>
          </w:p>
        </w:tc>
        <w:tc>
          <w:tcPr>
            <w:tcW w:w="2410" w:type="dxa"/>
          </w:tcPr>
          <w:p w14:paraId="3C78C93B" w14:textId="77777777" w:rsidR="00E41C43" w:rsidRPr="002E3EE8" w:rsidRDefault="00E41C43" w:rsidP="00E41C43">
            <w:pPr>
              <w:ind w:left="0"/>
              <w:cnfStyle w:val="000000000000" w:firstRow="0" w:lastRow="0" w:firstColumn="0" w:lastColumn="0" w:oddVBand="0" w:evenVBand="0" w:oddHBand="0" w:evenHBand="0" w:firstRowFirstColumn="0" w:firstRowLastColumn="0" w:lastRowFirstColumn="0" w:lastRowLastColumn="0"/>
              <w:rPr>
                <w:sz w:val="20"/>
                <w:szCs w:val="20"/>
              </w:rPr>
            </w:pPr>
            <w:r w:rsidRPr="002E3EE8">
              <w:rPr>
                <w:sz w:val="20"/>
                <w:szCs w:val="20"/>
              </w:rPr>
              <w:t>Other</w:t>
            </w:r>
          </w:p>
        </w:tc>
        <w:tc>
          <w:tcPr>
            <w:tcW w:w="1418" w:type="dxa"/>
          </w:tcPr>
          <w:p w14:paraId="00CCB647" w14:textId="77777777" w:rsidR="00E41C43" w:rsidRPr="002E3EE8" w:rsidRDefault="00E41C43" w:rsidP="002E3EE8">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3827" w:type="dxa"/>
          </w:tcPr>
          <w:p w14:paraId="48796D1A" w14:textId="77777777" w:rsidR="00E41C43" w:rsidRPr="002E3EE8" w:rsidRDefault="00E41C43" w:rsidP="002E3EE8">
            <w:pPr>
              <w:ind w:left="0"/>
              <w:cnfStyle w:val="000000000000" w:firstRow="0" w:lastRow="0" w:firstColumn="0" w:lastColumn="0" w:oddVBand="0" w:evenVBand="0" w:oddHBand="0" w:evenHBand="0" w:firstRowFirstColumn="0" w:firstRowLastColumn="0" w:lastRowFirstColumn="0" w:lastRowLastColumn="0"/>
              <w:rPr>
                <w:sz w:val="20"/>
                <w:szCs w:val="20"/>
              </w:rPr>
            </w:pPr>
          </w:p>
        </w:tc>
      </w:tr>
    </w:tbl>
    <w:p w14:paraId="026844F5" w14:textId="41BF8BD1" w:rsidR="00E41C43" w:rsidRPr="00E41C43" w:rsidRDefault="00F2762F" w:rsidP="00E41C43">
      <w:pPr>
        <w:spacing w:before="0" w:after="0"/>
        <w:rPr>
          <w:sz w:val="19"/>
          <w:szCs w:val="20"/>
        </w:rPr>
      </w:pPr>
      <w:r w:rsidRPr="00F2762F">
        <w:rPr>
          <w:sz w:val="19"/>
          <w:szCs w:val="19"/>
        </w:rPr>
        <w:t>a)</w:t>
      </w:r>
      <w:r>
        <w:rPr>
          <w:sz w:val="19"/>
          <w:szCs w:val="19"/>
        </w:rPr>
        <w:t xml:space="preserve"> </w:t>
      </w:r>
      <w:r w:rsidR="00E41C43" w:rsidRPr="00F2762F">
        <w:rPr>
          <w:sz w:val="19"/>
          <w:szCs w:val="19"/>
        </w:rPr>
        <w:t>Evaluated</w:t>
      </w:r>
      <w:r>
        <w:rPr>
          <w:sz w:val="19"/>
          <w:szCs w:val="19"/>
        </w:rPr>
        <w:t xml:space="preserve"> in the previous Jaydess submission; b)</w:t>
      </w:r>
      <w:r>
        <w:rPr>
          <w:sz w:val="19"/>
          <w:szCs w:val="20"/>
        </w:rPr>
        <w:t xml:space="preserve"> b</w:t>
      </w:r>
      <w:r w:rsidR="00E41C43" w:rsidRPr="00E41C43">
        <w:rPr>
          <w:sz w:val="19"/>
          <w:szCs w:val="19"/>
        </w:rPr>
        <w:t>ioequiva</w:t>
      </w:r>
      <w:r>
        <w:rPr>
          <w:sz w:val="19"/>
          <w:szCs w:val="19"/>
        </w:rPr>
        <w:t xml:space="preserve">lence of different formulations; c) </w:t>
      </w:r>
      <w:r>
        <w:rPr>
          <w:sz w:val="19"/>
          <w:szCs w:val="20"/>
        </w:rPr>
        <w:t>s</w:t>
      </w:r>
      <w:r w:rsidR="00E41C43" w:rsidRPr="00E41C43">
        <w:rPr>
          <w:sz w:val="19"/>
          <w:szCs w:val="20"/>
        </w:rPr>
        <w:t>ubjects who would be eligible to receive the drug if approved for the proposed indication.</w:t>
      </w:r>
    </w:p>
    <w:p w14:paraId="4C5C884A" w14:textId="77777777" w:rsidR="00576182" w:rsidRPr="00576182" w:rsidRDefault="00576182" w:rsidP="00576182">
      <w:pPr>
        <w:pStyle w:val="Heading3"/>
      </w:pPr>
      <w:bookmarkStart w:id="39" w:name="_Toc462903816"/>
      <w:bookmarkStart w:id="40" w:name="_Toc499043848"/>
      <w:r w:rsidRPr="00576182">
        <w:t>Summary of pharmacokinetics</w:t>
      </w:r>
      <w:bookmarkEnd w:id="39"/>
      <w:bookmarkEnd w:id="40"/>
    </w:p>
    <w:p w14:paraId="14E56C0F" w14:textId="77777777" w:rsidR="00576182" w:rsidRPr="0033544F" w:rsidRDefault="00576182" w:rsidP="00576182">
      <w:pPr>
        <w:pStyle w:val="Heading4"/>
      </w:pPr>
      <w:bookmarkStart w:id="41" w:name="_Toc272414617"/>
      <w:bookmarkStart w:id="42" w:name="_Toc290888466"/>
      <w:bookmarkStart w:id="43" w:name="_Toc416353662"/>
      <w:bookmarkStart w:id="44" w:name="_Toc421005243"/>
      <w:bookmarkStart w:id="45" w:name="_Toc432079125"/>
      <w:bookmarkStart w:id="46" w:name="_Toc432080698"/>
      <w:r w:rsidRPr="0033544F">
        <w:t xml:space="preserve">Physicochemical characteristics of the </w:t>
      </w:r>
      <w:r w:rsidRPr="00576182">
        <w:t>active</w:t>
      </w:r>
      <w:r w:rsidRPr="0033544F">
        <w:t xml:space="preserve"> substance</w:t>
      </w:r>
      <w:bookmarkEnd w:id="41"/>
      <w:bookmarkEnd w:id="42"/>
      <w:bookmarkEnd w:id="43"/>
      <w:bookmarkEnd w:id="44"/>
      <w:bookmarkEnd w:id="45"/>
      <w:bookmarkEnd w:id="46"/>
    </w:p>
    <w:p w14:paraId="406F2F26" w14:textId="7208DB3A" w:rsidR="00576182" w:rsidRDefault="00576182" w:rsidP="00576182">
      <w:pPr>
        <w:rPr>
          <w:lang w:eastAsia="ja-JP"/>
        </w:rPr>
      </w:pPr>
      <w:bookmarkStart w:id="47" w:name="_Ref271189106"/>
      <w:bookmarkStart w:id="48" w:name="_Ref271189143"/>
      <w:bookmarkStart w:id="49" w:name="_Toc272414618"/>
      <w:bookmarkStart w:id="50" w:name="_Toc290888467"/>
      <w:bookmarkStart w:id="51" w:name="_Toc416353663"/>
      <w:bookmarkStart w:id="52" w:name="_Toc421005244"/>
      <w:bookmarkStart w:id="53" w:name="_Toc432079126"/>
      <w:bookmarkStart w:id="54" w:name="_Toc432080699"/>
      <w:r>
        <w:rPr>
          <w:lang w:eastAsia="ja-JP"/>
        </w:rPr>
        <w:t>The sponsor states the following:</w:t>
      </w:r>
    </w:p>
    <w:p w14:paraId="716B9BA0" w14:textId="1E683DF6" w:rsidR="00576182" w:rsidRPr="00576182" w:rsidRDefault="00576182" w:rsidP="00576182">
      <w:pPr>
        <w:autoSpaceDE w:val="0"/>
        <w:autoSpaceDN w:val="0"/>
        <w:adjustRightInd w:val="0"/>
        <w:spacing w:before="0" w:after="0" w:line="240" w:lineRule="auto"/>
        <w:rPr>
          <w:rFonts w:eastAsiaTheme="minorHAnsi" w:cs="TimesNewRoman"/>
          <w:szCs w:val="24"/>
        </w:rPr>
      </w:pPr>
      <w:r>
        <w:rPr>
          <w:rFonts w:eastAsiaTheme="minorHAnsi" w:cs="TimesNewRoman"/>
          <w:szCs w:val="24"/>
        </w:rPr>
        <w:t>‘</w:t>
      </w:r>
      <w:r w:rsidRPr="00E07D39">
        <w:rPr>
          <w:rFonts w:eastAsiaTheme="minorHAnsi" w:cs="TimesNewRoman"/>
          <w:szCs w:val="24"/>
        </w:rPr>
        <w:t>The LCS16 IUS consists of a hormone</w:t>
      </w:r>
      <w:r w:rsidR="007A24E9">
        <w:rPr>
          <w:rFonts w:eastAsiaTheme="minorHAnsi" w:cs="TimesNewRoman"/>
          <w:szCs w:val="24"/>
        </w:rPr>
        <w:t xml:space="preserve"> </w:t>
      </w:r>
      <w:r w:rsidRPr="00E07D39">
        <w:rPr>
          <w:rFonts w:eastAsiaTheme="minorHAnsi" w:cs="TimesNewRoman"/>
          <w:szCs w:val="24"/>
        </w:rPr>
        <w:t>elastomer reservoir</w:t>
      </w:r>
      <w:r>
        <w:rPr>
          <w:rFonts w:eastAsiaTheme="minorHAnsi" w:cs="TimesNewRoman"/>
          <w:szCs w:val="24"/>
        </w:rPr>
        <w:t xml:space="preserve"> mounted on a T-shaped </w:t>
      </w:r>
      <w:r w:rsidRPr="0086080F">
        <w:rPr>
          <w:rFonts w:eastAsiaTheme="minorHAnsi" w:cs="TimesNewRoman"/>
        </w:rPr>
        <w:t>polyethylene</w:t>
      </w:r>
      <w:r w:rsidRPr="00E07D39">
        <w:rPr>
          <w:rFonts w:eastAsiaTheme="minorHAnsi" w:cs="TimesNewRoman"/>
          <w:szCs w:val="24"/>
        </w:rPr>
        <w:t xml:space="preserve"> frame (T-body). The drug reservoir is composed of a mixture of 19.5 mg LNG and polydimethylsiloxane (PDMS). This reservoir is covered by a PDMS membrane which regulates the release of LNG.</w:t>
      </w:r>
      <w:r>
        <w:rPr>
          <w:rFonts w:eastAsiaTheme="minorHAnsi" w:cs="TimesNewRoman"/>
          <w:szCs w:val="24"/>
        </w:rPr>
        <w:t xml:space="preserve"> </w:t>
      </w:r>
      <w:r w:rsidRPr="0086080F">
        <w:rPr>
          <w:rFonts w:eastAsiaTheme="minorHAnsi" w:cs="TimesNewRoman"/>
          <w:szCs w:val="24"/>
        </w:rPr>
        <w:t>LNG is present in finely dispersed crystalline form in the core</w:t>
      </w:r>
      <w:r>
        <w:rPr>
          <w:rFonts w:eastAsiaTheme="minorHAnsi" w:cs="TimesNewRoman"/>
          <w:szCs w:val="24"/>
        </w:rPr>
        <w:t xml:space="preserve"> where it slowly dissolves into </w:t>
      </w:r>
      <w:r w:rsidRPr="0086080F">
        <w:rPr>
          <w:rFonts w:eastAsiaTheme="minorHAnsi" w:cs="TimesNewRoman"/>
          <w:szCs w:val="24"/>
        </w:rPr>
        <w:t>the surrounding matrix. The molecules reach the surface of the drug reservoir by dissolution</w:t>
      </w:r>
      <w:r>
        <w:rPr>
          <w:rFonts w:eastAsiaTheme="minorHAnsi" w:cs="TimesNewRoman"/>
          <w:szCs w:val="24"/>
        </w:rPr>
        <w:t xml:space="preserve"> </w:t>
      </w:r>
      <w:r w:rsidRPr="0086080F">
        <w:rPr>
          <w:rFonts w:eastAsiaTheme="minorHAnsi" w:cs="TimesNewRoman"/>
          <w:szCs w:val="24"/>
        </w:rPr>
        <w:t>in the polymer and random diffusion. The LCS16 formulation is very similar to LCS12</w:t>
      </w:r>
      <w:r>
        <w:rPr>
          <w:rFonts w:eastAsiaTheme="minorHAnsi" w:cs="TimesNewRoman"/>
          <w:szCs w:val="24"/>
        </w:rPr>
        <w:t xml:space="preserve"> </w:t>
      </w:r>
      <w:r w:rsidRPr="0086080F">
        <w:rPr>
          <w:rFonts w:eastAsiaTheme="minorHAnsi" w:cs="TimesNewRoman"/>
          <w:szCs w:val="24"/>
        </w:rPr>
        <w:t>formulation. Except for some minor design adaptions between LCS12 and LCS16, the main</w:t>
      </w:r>
      <w:r>
        <w:rPr>
          <w:rFonts w:eastAsiaTheme="minorHAnsi" w:cs="TimesNewRoman"/>
          <w:szCs w:val="24"/>
        </w:rPr>
        <w:t xml:space="preserve"> </w:t>
      </w:r>
      <w:r w:rsidRPr="0086080F">
        <w:rPr>
          <w:rFonts w:eastAsiaTheme="minorHAnsi" w:cs="TimesNewRoman"/>
          <w:szCs w:val="24"/>
        </w:rPr>
        <w:t>difference in these formulations is the length of the drug reservoir resulting in different LNG</w:t>
      </w:r>
      <w:r>
        <w:rPr>
          <w:rFonts w:eastAsiaTheme="minorHAnsi" w:cs="TimesNewRoman"/>
          <w:szCs w:val="24"/>
        </w:rPr>
        <w:t xml:space="preserve"> release rates’.</w:t>
      </w:r>
    </w:p>
    <w:p w14:paraId="483E3ED6" w14:textId="77777777" w:rsidR="00576182" w:rsidRPr="0033544F" w:rsidRDefault="00576182" w:rsidP="00576182">
      <w:pPr>
        <w:pStyle w:val="Heading4"/>
      </w:pPr>
      <w:r w:rsidRPr="0033544F">
        <w:t>Pharmacokinetics in healthy subjects</w:t>
      </w:r>
      <w:bookmarkEnd w:id="47"/>
      <w:bookmarkEnd w:id="48"/>
      <w:bookmarkEnd w:id="49"/>
      <w:bookmarkEnd w:id="50"/>
      <w:bookmarkEnd w:id="51"/>
      <w:bookmarkEnd w:id="52"/>
      <w:bookmarkEnd w:id="53"/>
      <w:bookmarkEnd w:id="54"/>
    </w:p>
    <w:p w14:paraId="160C1B02" w14:textId="7624B929" w:rsidR="00576182" w:rsidRPr="00B66401" w:rsidRDefault="00576182" w:rsidP="00B66401">
      <w:pPr>
        <w:pStyle w:val="Heading5"/>
      </w:pPr>
      <w:bookmarkStart w:id="55" w:name="_Toc272414619"/>
      <w:bookmarkStart w:id="56" w:name="_Toc290888468"/>
      <w:bookmarkStart w:id="57" w:name="_Toc416353664"/>
      <w:r w:rsidRPr="00B66401">
        <w:t>Absorption</w:t>
      </w:r>
      <w:bookmarkStart w:id="58" w:name="_Toc241374287"/>
      <w:bookmarkStart w:id="59" w:name="_Toc272414620"/>
      <w:bookmarkStart w:id="60" w:name="_Toc290888469"/>
      <w:bookmarkStart w:id="61" w:name="_Toc416353665"/>
      <w:bookmarkEnd w:id="55"/>
      <w:bookmarkEnd w:id="56"/>
      <w:bookmarkEnd w:id="57"/>
    </w:p>
    <w:p w14:paraId="6974D7BE" w14:textId="1408F071" w:rsidR="00576182" w:rsidRPr="009E23DC" w:rsidRDefault="00576182" w:rsidP="009E23DC">
      <w:pPr>
        <w:pStyle w:val="Heading6"/>
        <w:rPr>
          <w:rFonts w:eastAsiaTheme="minorHAnsi"/>
        </w:rPr>
      </w:pPr>
      <w:r w:rsidRPr="00F939CD">
        <w:rPr>
          <w:rFonts w:eastAsiaTheme="minorHAnsi"/>
        </w:rPr>
        <w:t>Study PH-37274</w:t>
      </w:r>
    </w:p>
    <w:p w14:paraId="572D9EBB" w14:textId="18B8B1F4" w:rsidR="00576182" w:rsidRPr="00B66401" w:rsidRDefault="00576182" w:rsidP="00576182">
      <w:pPr>
        <w:autoSpaceDE w:val="0"/>
        <w:autoSpaceDN w:val="0"/>
        <w:adjustRightInd w:val="0"/>
        <w:spacing w:before="0" w:after="0" w:line="240" w:lineRule="auto"/>
        <w:rPr>
          <w:rFonts w:eastAsiaTheme="minorHAnsi" w:cs="TimesNewRoman"/>
        </w:rPr>
      </w:pPr>
      <w:r w:rsidRPr="005200B5">
        <w:rPr>
          <w:rFonts w:eastAsiaTheme="minorHAnsi" w:cs="TimesNewRoman"/>
        </w:rPr>
        <w:t>The population PK</w:t>
      </w:r>
      <w:r w:rsidRPr="005200B5">
        <w:rPr>
          <w:rFonts w:eastAsiaTheme="minorHAnsi" w:cs="NimbusRomNo9L-Regu"/>
        </w:rPr>
        <w:t xml:space="preserve"> model </w:t>
      </w:r>
      <w:r>
        <w:rPr>
          <w:rFonts w:eastAsiaTheme="minorHAnsi" w:cs="NimbusRomNo9L-Regu"/>
        </w:rPr>
        <w:t xml:space="preserve">(discussed below in Section 4.2.2.2) </w:t>
      </w:r>
      <w:r w:rsidRPr="005200B5">
        <w:rPr>
          <w:rFonts w:eastAsiaTheme="minorHAnsi" w:cs="TimesNewRoman"/>
        </w:rPr>
        <w:t>was applied to serum LNG concentration and serum SHBG concentration data from t</w:t>
      </w:r>
      <w:r w:rsidR="00B66401">
        <w:rPr>
          <w:rFonts w:eastAsiaTheme="minorHAnsi" w:cs="TimesNewRoman"/>
        </w:rPr>
        <w:t>he LCS16 treatment arm in Study PH</w:t>
      </w:r>
      <w:r w:rsidR="00B66401">
        <w:rPr>
          <w:rFonts w:eastAsiaTheme="minorHAnsi" w:cs="TimesNewRoman"/>
        </w:rPr>
        <w:noBreakHyphen/>
      </w:r>
      <w:r>
        <w:rPr>
          <w:rFonts w:eastAsiaTheme="minorHAnsi" w:cs="TimesNewRoman"/>
        </w:rPr>
        <w:t>37274</w:t>
      </w:r>
      <w:r w:rsidRPr="005200B5">
        <w:rPr>
          <w:rFonts w:eastAsiaTheme="minorHAnsi" w:cs="TimesNewRoman"/>
        </w:rPr>
        <w:t xml:space="preserve">. </w:t>
      </w:r>
      <w:r>
        <w:rPr>
          <w:rFonts w:eastAsiaTheme="minorHAnsi" w:cs="TimesNewRoman"/>
        </w:rPr>
        <w:t>Total and unbound LNG concentrations were estimated for all subjects (see Table 2 and Table 3 below). The total and unbound LNG concentrations decrease over time, although the variability remains relatively cons</w:t>
      </w:r>
      <w:r w:rsidR="00B66401">
        <w:rPr>
          <w:rFonts w:eastAsiaTheme="minorHAnsi" w:cs="TimesNewRoman"/>
        </w:rPr>
        <w:t xml:space="preserve">tant (geometric CV between 40.1 to </w:t>
      </w:r>
      <w:r>
        <w:rPr>
          <w:rFonts w:eastAsiaTheme="minorHAnsi" w:cs="TimesNewRoman"/>
        </w:rPr>
        <w:t xml:space="preserve">42.3% for total and </w:t>
      </w:r>
      <w:r w:rsidR="007A24E9">
        <w:rPr>
          <w:rFonts w:eastAsiaTheme="minorHAnsi" w:cs="TimesNewRoman"/>
        </w:rPr>
        <w:t xml:space="preserve">25.5 to </w:t>
      </w:r>
      <w:r>
        <w:rPr>
          <w:rFonts w:eastAsiaTheme="minorHAnsi" w:cs="TimesNewRoman"/>
        </w:rPr>
        <w:t>25.9% for unbound). Only a small fraction of total LNG i</w:t>
      </w:r>
      <w:r w:rsidR="00B66401">
        <w:rPr>
          <w:rFonts w:eastAsiaTheme="minorHAnsi" w:cs="TimesNewRoman"/>
        </w:rPr>
        <w:t>s unbound (approximately 1.5%).</w:t>
      </w:r>
    </w:p>
    <w:p w14:paraId="0D8BC37C" w14:textId="62424650" w:rsidR="00576182" w:rsidRPr="00B66401" w:rsidRDefault="00576182" w:rsidP="00B66401">
      <w:pPr>
        <w:pStyle w:val="Tabletitle"/>
      </w:pPr>
      <w:r w:rsidRPr="00B66401">
        <w:lastRenderedPageBreak/>
        <w:t>Table 2</w:t>
      </w:r>
      <w:r w:rsidR="00B66401">
        <w:t>.</w:t>
      </w:r>
      <w:r w:rsidRPr="00B66401">
        <w:t xml:space="preserve"> Summary statistics of total LNG serum concentration estimated based on the population PK model for the complete LCS16 study popula</w:t>
      </w:r>
      <w:r w:rsidR="00B66401" w:rsidRPr="00B66401">
        <w:t>tion at pre-defined time points</w:t>
      </w:r>
    </w:p>
    <w:p w14:paraId="7DC74914" w14:textId="05B2867E" w:rsidR="00576182" w:rsidRPr="00B66401" w:rsidRDefault="00576182" w:rsidP="00576182">
      <w:pPr>
        <w:autoSpaceDE w:val="0"/>
        <w:autoSpaceDN w:val="0"/>
        <w:adjustRightInd w:val="0"/>
        <w:spacing w:before="0" w:after="0" w:line="240" w:lineRule="auto"/>
        <w:rPr>
          <w:rFonts w:eastAsiaTheme="minorHAnsi" w:cs="TimesNewRoman"/>
        </w:rPr>
      </w:pPr>
      <w:r>
        <w:rPr>
          <w:rFonts w:eastAsiaTheme="minorHAnsi" w:cs="TimesNewRoman"/>
          <w:noProof/>
          <w:lang w:eastAsia="en-AU"/>
        </w:rPr>
        <w:drawing>
          <wp:inline distT="0" distB="0" distL="0" distR="0" wp14:anchorId="36B8182D" wp14:editId="5DC5934E">
            <wp:extent cx="5362575" cy="1333500"/>
            <wp:effectExtent l="0" t="0" r="9525" b="0"/>
            <wp:docPr id="13" name="Picture 13" descr="Table 2 is an image of a table showing the Summary statistics of total LNG serum concentration estimated based on the population PK model for the complete LCS16 study population at pre-defined tim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1333500"/>
                    </a:xfrm>
                    <a:prstGeom prst="rect">
                      <a:avLst/>
                    </a:prstGeom>
                    <a:noFill/>
                    <a:ln>
                      <a:noFill/>
                    </a:ln>
                  </pic:spPr>
                </pic:pic>
              </a:graphicData>
            </a:graphic>
          </wp:inline>
        </w:drawing>
      </w:r>
    </w:p>
    <w:p w14:paraId="25F845DE" w14:textId="030D324D" w:rsidR="00576182" w:rsidRPr="00B66401" w:rsidRDefault="00576182" w:rsidP="00B66401">
      <w:pPr>
        <w:pStyle w:val="Tabletitle"/>
      </w:pPr>
      <w:r w:rsidRPr="00555530">
        <w:t>Table 3</w:t>
      </w:r>
      <w:r w:rsidR="00B66401">
        <w:t>.</w:t>
      </w:r>
      <w:r w:rsidRPr="00555530">
        <w:t xml:space="preserve"> Summary statistics of unbound LNG serum concentration estimated based on the population PK model for the complete LCS16 study population at pre-defined time points</w:t>
      </w:r>
    </w:p>
    <w:p w14:paraId="2879A73E" w14:textId="3B821393" w:rsidR="00576182" w:rsidRDefault="00576182" w:rsidP="00576182">
      <w:pPr>
        <w:autoSpaceDE w:val="0"/>
        <w:autoSpaceDN w:val="0"/>
        <w:adjustRightInd w:val="0"/>
        <w:spacing w:before="0" w:after="0" w:line="240" w:lineRule="auto"/>
        <w:rPr>
          <w:rFonts w:eastAsiaTheme="minorHAnsi" w:cs="TimesNewRoman"/>
        </w:rPr>
      </w:pPr>
      <w:r>
        <w:rPr>
          <w:rFonts w:eastAsiaTheme="minorHAnsi" w:cs="TimesNewRoman"/>
          <w:noProof/>
          <w:lang w:eastAsia="en-AU"/>
        </w:rPr>
        <w:drawing>
          <wp:inline distT="0" distB="0" distL="0" distR="0" wp14:anchorId="1E1CC01E" wp14:editId="26AB44B4">
            <wp:extent cx="5324475" cy="1314450"/>
            <wp:effectExtent l="0" t="0" r="9525" b="0"/>
            <wp:docPr id="15" name="Picture 15" descr="Table 3 is an image of a table showing the Summary statistics of unbound LNG serum concentration estimated based on the population PK model for the complete LCS16 study population at pre-defined tim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1314450"/>
                    </a:xfrm>
                    <a:prstGeom prst="rect">
                      <a:avLst/>
                    </a:prstGeom>
                    <a:noFill/>
                    <a:ln>
                      <a:noFill/>
                    </a:ln>
                  </pic:spPr>
                </pic:pic>
              </a:graphicData>
            </a:graphic>
          </wp:inline>
        </w:drawing>
      </w:r>
    </w:p>
    <w:p w14:paraId="6A3C0C40" w14:textId="17A40E70" w:rsidR="00576182" w:rsidRPr="00B66401" w:rsidRDefault="00576182" w:rsidP="00B66401">
      <w:r w:rsidRPr="00B66401">
        <w:t>The effect of the covariates body weight and age were tested on the apparent clearance (CL/F) of LNG and the parameter for the SHBG serum concentration at baseline. A statistically significant influence was only found for body weight on CL/F. The CL/F increases linearly by 0.84% per kg body weight for the body weight range within this</w:t>
      </w:r>
      <w:r w:rsidR="00B66401" w:rsidRPr="00B66401">
        <w:t xml:space="preserve"> study (39 to 160 kg, median 65 </w:t>
      </w:r>
      <w:r w:rsidRPr="00B66401">
        <w:t>kg with corresponding CL/F values of 188-432 L/h and 240 L/h respectively).</w:t>
      </w:r>
    </w:p>
    <w:p w14:paraId="25D238BB" w14:textId="5988C8D9" w:rsidR="00576182" w:rsidRPr="00B66401" w:rsidRDefault="00B66401" w:rsidP="00B66401">
      <w:pPr>
        <w:pStyle w:val="Comment"/>
        <w:rPr>
          <w:rFonts w:cs="TimesNewRoman"/>
        </w:rPr>
      </w:pPr>
      <w:r w:rsidRPr="00B66401">
        <w:rPr>
          <w:rFonts w:cs="TimesNewRoman"/>
          <w:b/>
        </w:rPr>
        <w:t>C</w:t>
      </w:r>
      <w:r w:rsidR="00576182" w:rsidRPr="00B66401">
        <w:rPr>
          <w:rFonts w:cs="TimesNewRoman"/>
          <w:b/>
        </w:rPr>
        <w:t>omment</w:t>
      </w:r>
      <w:r w:rsidR="00576182" w:rsidRPr="00B66401">
        <w:t>:</w:t>
      </w:r>
      <w:r w:rsidR="00576182" w:rsidRPr="00145EAE">
        <w:t xml:space="preserve"> </w:t>
      </w:r>
      <w:r>
        <w:t xml:space="preserve"> </w:t>
      </w:r>
      <w:r w:rsidR="00576182" w:rsidRPr="00145EAE">
        <w:t xml:space="preserve">The </w:t>
      </w:r>
      <w:r>
        <w:t>clinical evaluator for the Jaydess submission</w:t>
      </w:r>
      <w:r w:rsidR="00576182" w:rsidRPr="00145EAE">
        <w:t xml:space="preserve"> reported an effect on body weight on the clearanc</w:t>
      </w:r>
      <w:r w:rsidR="00576182">
        <w:t>e parameter for data from the 3</w:t>
      </w:r>
      <w:r>
        <w:t xml:space="preserve"> </w:t>
      </w:r>
      <w:r w:rsidR="00576182">
        <w:t>year</w:t>
      </w:r>
      <w:r>
        <w:t xml:space="preserve"> Study A52238. The clinical e</w:t>
      </w:r>
      <w:r w:rsidR="00576182" w:rsidRPr="00145EAE">
        <w:t>valua</w:t>
      </w:r>
      <w:r w:rsidR="00576182">
        <w:t>tor</w:t>
      </w:r>
      <w:r w:rsidR="00576182" w:rsidRPr="00145EAE">
        <w:t xml:space="preserve"> identified this as an important point given the small number of subjects with </w:t>
      </w:r>
      <w:r w:rsidR="00576182" w:rsidRPr="00145EAE">
        <w:rPr>
          <w:lang w:val="en-US"/>
        </w:rPr>
        <w:t>BMI &gt;</w:t>
      </w:r>
      <w:r>
        <w:rPr>
          <w:lang w:val="en-US"/>
        </w:rPr>
        <w:t xml:space="preserve"> </w:t>
      </w:r>
      <w:r w:rsidR="00576182" w:rsidRPr="00145EAE">
        <w:rPr>
          <w:lang w:val="en-US"/>
        </w:rPr>
        <w:t>30</w:t>
      </w:r>
      <w:r w:rsidR="00AE213F">
        <w:rPr>
          <w:lang w:val="en-US"/>
        </w:rPr>
        <w:t xml:space="preserve"> </w:t>
      </w:r>
      <w:r w:rsidR="00576182" w:rsidRPr="00145EAE">
        <w:rPr>
          <w:lang w:val="en-US"/>
        </w:rPr>
        <w:t>kg/m</w:t>
      </w:r>
      <w:r w:rsidR="00576182" w:rsidRPr="00145EAE">
        <w:rPr>
          <w:vertAlign w:val="superscript"/>
          <w:lang w:val="en-US"/>
        </w:rPr>
        <w:t>2</w:t>
      </w:r>
      <w:r>
        <w:rPr>
          <w:lang w:val="en-US"/>
        </w:rPr>
        <w:t xml:space="preserve">. </w:t>
      </w:r>
      <w:r>
        <w:t>The s</w:t>
      </w:r>
      <w:r w:rsidR="00576182" w:rsidRPr="00145EAE">
        <w:t xml:space="preserve">ponsor is asked to comment on the clinical implications for women with </w:t>
      </w:r>
      <w:r w:rsidR="00576182" w:rsidRPr="00145EAE">
        <w:rPr>
          <w:lang w:val="en-US"/>
        </w:rPr>
        <w:t>BMI &gt;</w:t>
      </w:r>
      <w:r>
        <w:rPr>
          <w:lang w:val="en-US"/>
        </w:rPr>
        <w:t xml:space="preserve"> </w:t>
      </w:r>
      <w:r w:rsidR="00576182" w:rsidRPr="00145EAE">
        <w:rPr>
          <w:lang w:val="en-US"/>
        </w:rPr>
        <w:t>30</w:t>
      </w:r>
      <w:r w:rsidR="00AE213F">
        <w:rPr>
          <w:lang w:val="en-US"/>
        </w:rPr>
        <w:t xml:space="preserve"> </w:t>
      </w:r>
      <w:r w:rsidR="00576182" w:rsidRPr="00145EAE">
        <w:rPr>
          <w:lang w:val="en-US"/>
        </w:rPr>
        <w:t>kg/m</w:t>
      </w:r>
      <w:r w:rsidR="00576182" w:rsidRPr="00145EAE">
        <w:rPr>
          <w:vertAlign w:val="superscript"/>
          <w:lang w:val="en-US"/>
        </w:rPr>
        <w:t>2</w:t>
      </w:r>
      <w:r w:rsidR="00576182" w:rsidRPr="00B66401">
        <w:rPr>
          <w:lang w:val="en-US"/>
        </w:rPr>
        <w:t>.</w:t>
      </w:r>
      <w:r w:rsidR="00576182" w:rsidRPr="00145EAE">
        <w:rPr>
          <w:vertAlign w:val="superscript"/>
          <w:lang w:val="en-US"/>
        </w:rPr>
        <w:t xml:space="preserve"> </w:t>
      </w:r>
      <w:r>
        <w:t>See Clinical Questions below.</w:t>
      </w:r>
    </w:p>
    <w:p w14:paraId="1EE60314" w14:textId="57678779" w:rsidR="00576182" w:rsidRPr="00990391" w:rsidRDefault="00576182" w:rsidP="00B66401">
      <w:pPr>
        <w:rPr>
          <w:i/>
        </w:rPr>
      </w:pPr>
      <w:r w:rsidRPr="00B66401">
        <w:rPr>
          <w:i/>
        </w:rPr>
        <w:t>Non-compartmental PK analysis</w:t>
      </w:r>
      <w:r w:rsidR="00B66401">
        <w:rPr>
          <w:i/>
        </w:rPr>
        <w:t>:</w:t>
      </w:r>
      <w:r w:rsidR="00990391">
        <w:t xml:space="preserve"> </w:t>
      </w:r>
      <w:r w:rsidRPr="00B66401">
        <w:t>The PK analysis set included 6 subjects from subset 3 of the FAS evaluated at 3 years. There were 3 subjects with valid LNG serum concentration values during the 5 year treatment period who were included in the non-compartm</w:t>
      </w:r>
      <w:r w:rsidR="00B66401">
        <w:t>ental evaluation after 5 years.</w:t>
      </w:r>
    </w:p>
    <w:p w14:paraId="0F7CE8D6" w14:textId="4D9FA2C6" w:rsidR="00576182" w:rsidRPr="00990391" w:rsidRDefault="00B66401" w:rsidP="00B66401">
      <w:r w:rsidRPr="00B66401">
        <w:rPr>
          <w:i/>
        </w:rPr>
        <w:t>LNG concentration versus time</w:t>
      </w:r>
      <w:r>
        <w:rPr>
          <w:i/>
        </w:rPr>
        <w:t>:</w:t>
      </w:r>
      <w:r w:rsidR="00990391">
        <w:t xml:space="preserve"> </w:t>
      </w:r>
      <w:r w:rsidR="00576182" w:rsidRPr="00B66401">
        <w:t>Following insertion of LCS16, mean C</w:t>
      </w:r>
      <w:r w:rsidR="00576182" w:rsidRPr="00B66401">
        <w:rPr>
          <w:vertAlign w:val="subscript"/>
        </w:rPr>
        <w:t>max</w:t>
      </w:r>
      <w:r w:rsidR="00576182" w:rsidRPr="00B66401">
        <w:t xml:space="preserve"> was 214 ng/L, reached after 4 days (median). Serum concentrations decline steadily until about 18 months after insertion to reach plateau like concentrations around 100 ng/L until 3 years after insertion. Serum concentrations decline slowly thereafter until about 74 ng/L. Over the whole treatment period the variability remained similar with a coefficient variation between approximately 20 and 30% for the 5 year treatment period (n = 3) and between approximately 40 to 60% for the 3</w:t>
      </w:r>
      <w:r w:rsidR="00990391">
        <w:t xml:space="preserve"> year treatment period (n = 6).</w:t>
      </w:r>
    </w:p>
    <w:p w14:paraId="796BB669" w14:textId="7525B6FC" w:rsidR="00576182" w:rsidRPr="00990391" w:rsidRDefault="00576182" w:rsidP="00B66401">
      <w:pPr>
        <w:rPr>
          <w:i/>
        </w:rPr>
      </w:pPr>
      <w:r w:rsidRPr="00B66401">
        <w:rPr>
          <w:i/>
        </w:rPr>
        <w:t>LNG mean PK parameters</w:t>
      </w:r>
      <w:r w:rsidR="00B66401">
        <w:rPr>
          <w:i/>
        </w:rPr>
        <w:t>:</w:t>
      </w:r>
      <w:r w:rsidR="00990391">
        <w:t xml:space="preserve"> </w:t>
      </w:r>
      <w:r w:rsidRPr="00B66401">
        <w:t>The mean PK parameters are shown below in Table 4. Mean C</w:t>
      </w:r>
      <w:r w:rsidRPr="00B66401">
        <w:rPr>
          <w:vertAlign w:val="subscript"/>
        </w:rPr>
        <w:t>max</w:t>
      </w:r>
      <w:r w:rsidR="00990391">
        <w:t xml:space="preserve"> (214 </w:t>
      </w:r>
      <w:r w:rsidRPr="00B66401">
        <w:t>ng/L) was reached shortly after insertion (median t</w:t>
      </w:r>
      <w:r w:rsidRPr="004068E7">
        <w:rPr>
          <w:vertAlign w:val="subscript"/>
        </w:rPr>
        <w:t>max</w:t>
      </w:r>
      <w:r w:rsidRPr="00B66401">
        <w:t xml:space="preserve"> = 4.0 days). For the complete 5 year treatment, the mean systemic exposure (AUC</w:t>
      </w:r>
      <w:r w:rsidRPr="004068E7">
        <w:rPr>
          <w:vertAlign w:val="subscript"/>
        </w:rPr>
        <w:t>(0-tlast)</w:t>
      </w:r>
      <w:r w:rsidRPr="004068E7">
        <w:t>)</w:t>
      </w:r>
      <w:r w:rsidR="009E23DC">
        <w:t xml:space="preserve"> was 179010 ng </w:t>
      </w:r>
      <w:r w:rsidRPr="00B66401">
        <w:t>d/L (CV 11.4%) and the average concentration (C</w:t>
      </w:r>
      <w:r w:rsidRPr="004068E7">
        <w:rPr>
          <w:vertAlign w:val="subscript"/>
        </w:rPr>
        <w:t>av</w:t>
      </w:r>
      <w:r w:rsidRPr="00B66401">
        <w:t>) was 98.7 ng/L (CV 11.4%). Minimum concentrations (geometric mean 60.2 ng/L) were reached towards the end of the study after about 5 years (median t</w:t>
      </w:r>
      <w:r w:rsidRPr="004068E7">
        <w:rPr>
          <w:vertAlign w:val="subscript"/>
        </w:rPr>
        <w:t>min</w:t>
      </w:r>
      <w:r w:rsidR="00990391">
        <w:t>: </w:t>
      </w:r>
      <w:r w:rsidRPr="00B66401">
        <w:t>1788 days).</w:t>
      </w:r>
    </w:p>
    <w:p w14:paraId="5B938EF9" w14:textId="77AAC9B8" w:rsidR="00576182" w:rsidRPr="004068E7" w:rsidRDefault="00576182" w:rsidP="004068E7">
      <w:pPr>
        <w:pStyle w:val="Tabletitle"/>
      </w:pPr>
      <w:r w:rsidRPr="004068E7">
        <w:lastRenderedPageBreak/>
        <w:t>Table 4</w:t>
      </w:r>
      <w:r w:rsidR="004068E7">
        <w:t>.</w:t>
      </w:r>
      <w:r w:rsidRPr="004068E7">
        <w:t xml:space="preserve"> Mean pharmacokinetic parameters of LNG observ</w:t>
      </w:r>
      <w:r w:rsidR="004068E7">
        <w:t>ed after insertion of LCS16 (5 </w:t>
      </w:r>
      <w:r w:rsidRPr="004068E7">
        <w:t>year period, n = 3)</w:t>
      </w:r>
    </w:p>
    <w:p w14:paraId="3AF56A7A" w14:textId="7980C860" w:rsidR="00576182" w:rsidRDefault="00576182" w:rsidP="00576182">
      <w:pPr>
        <w:autoSpaceDE w:val="0"/>
        <w:autoSpaceDN w:val="0"/>
        <w:adjustRightInd w:val="0"/>
        <w:spacing w:before="0" w:after="0" w:line="240" w:lineRule="auto"/>
        <w:rPr>
          <w:rFonts w:eastAsiaTheme="minorHAnsi" w:cs="TimesNewRoman"/>
        </w:rPr>
      </w:pPr>
      <w:r>
        <w:rPr>
          <w:rFonts w:eastAsiaTheme="minorHAnsi" w:cs="TimesNewRoman"/>
          <w:noProof/>
          <w:lang w:eastAsia="en-AU"/>
        </w:rPr>
        <w:drawing>
          <wp:inline distT="0" distB="0" distL="0" distR="0" wp14:anchorId="1E3B45FA" wp14:editId="05794395">
            <wp:extent cx="5731510" cy="1619942"/>
            <wp:effectExtent l="0" t="0" r="2540" b="0"/>
            <wp:docPr id="14" name="Picture 14" descr="Table 4 is an image of a table showing the Mean pharmacokinetic parameters of LNG observed after insertion of LCS16 (5 year period, n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619942"/>
                    </a:xfrm>
                    <a:prstGeom prst="rect">
                      <a:avLst/>
                    </a:prstGeom>
                    <a:noFill/>
                    <a:ln>
                      <a:noFill/>
                    </a:ln>
                  </pic:spPr>
                </pic:pic>
              </a:graphicData>
            </a:graphic>
          </wp:inline>
        </w:drawing>
      </w:r>
    </w:p>
    <w:p w14:paraId="24892D45" w14:textId="58F347D4" w:rsidR="00576182" w:rsidRPr="00990391" w:rsidRDefault="00576182" w:rsidP="004068E7">
      <w:pPr>
        <w:rPr>
          <w:i/>
        </w:rPr>
      </w:pPr>
      <w:r w:rsidRPr="004068E7">
        <w:rPr>
          <w:i/>
        </w:rPr>
        <w:t>Residual LNG content analysis</w:t>
      </w:r>
      <w:r w:rsidR="004068E7" w:rsidRPr="004068E7">
        <w:rPr>
          <w:i/>
        </w:rPr>
        <w:t>:</w:t>
      </w:r>
      <w:r w:rsidR="00990391">
        <w:t xml:space="preserve"> </w:t>
      </w:r>
      <w:r w:rsidRPr="004068E7">
        <w:t>The residual LNG content was determined in the used LCS16 devices from the subjects who prematurely discontinued the study treatment (either during the first 3 years or during the extension phase), 345 selected subjects completing the</w:t>
      </w:r>
      <w:r w:rsidR="004068E7">
        <w:t xml:space="preserve"> 3 </w:t>
      </w:r>
      <w:r w:rsidRPr="004068E7">
        <w:t xml:space="preserve">year treatment and 345 selected subjects completing </w:t>
      </w:r>
      <w:r w:rsidR="004068E7">
        <w:t xml:space="preserve">the 5 </w:t>
      </w:r>
      <w:r w:rsidRPr="004068E7">
        <w:t xml:space="preserve">year treatment. There was a steady decline in residual LNG content over time from a maximum 20.1 mg shortly after insertion and minimum 0.5 mg after 1864 days. </w:t>
      </w:r>
      <w:r w:rsidR="004068E7">
        <w:t>The s</w:t>
      </w:r>
      <w:r w:rsidRPr="004068E7">
        <w:t>ponsor stated this very low minimum residual content was found in only one of the subjects at the end of the 5</w:t>
      </w:r>
      <w:r w:rsidR="007A24E9">
        <w:t xml:space="preserve"> </w:t>
      </w:r>
      <w:r w:rsidRPr="004068E7">
        <w:t>year treatment period, with all other</w:t>
      </w:r>
      <w:r w:rsidR="00990391">
        <w:t xml:space="preserve"> measured residual contents ≥ 2 </w:t>
      </w:r>
      <w:r w:rsidRPr="004068E7">
        <w:t>mg. On average a geometric mean residual content of 3.6 mg was found at the end of the 5</w:t>
      </w:r>
      <w:r w:rsidR="007A24E9">
        <w:t xml:space="preserve"> </w:t>
      </w:r>
      <w:r w:rsidRPr="004068E7">
        <w:t>year treatment period.</w:t>
      </w:r>
    </w:p>
    <w:p w14:paraId="49E4FE0D" w14:textId="2623F270" w:rsidR="00576182" w:rsidRPr="00990391" w:rsidRDefault="00576182" w:rsidP="004068E7">
      <w:pPr>
        <w:rPr>
          <w:i/>
        </w:rPr>
      </w:pPr>
      <w:r w:rsidRPr="004068E7">
        <w:rPr>
          <w:i/>
        </w:rPr>
        <w:t>Silver ion PK analysis</w:t>
      </w:r>
      <w:r w:rsidR="004068E7" w:rsidRPr="004068E7">
        <w:rPr>
          <w:i/>
        </w:rPr>
        <w:t>:</w:t>
      </w:r>
      <w:r w:rsidR="00990391">
        <w:t xml:space="preserve"> </w:t>
      </w:r>
      <w:r w:rsidRPr="004068E7">
        <w:t>Silver ion concentration in serum was measured during the firs</w:t>
      </w:r>
      <w:r w:rsidR="004068E7">
        <w:t>t 3 treatment years from subset </w:t>
      </w:r>
      <w:r w:rsidRPr="004068E7">
        <w:t xml:space="preserve">3 before insertion and at Visit 2, Visit 6 and Visit 10, but not in the extension phase. The Delegate for </w:t>
      </w:r>
      <w:r w:rsidR="004068E7">
        <w:t>the Jaydess submission</w:t>
      </w:r>
      <w:r w:rsidRPr="004068E7">
        <w:t xml:space="preserve"> </w:t>
      </w:r>
      <w:r w:rsidR="004068E7">
        <w:t xml:space="preserve">stated: </w:t>
      </w:r>
      <w:r w:rsidR="004068E7" w:rsidRPr="004068E7">
        <w:rPr>
          <w:i/>
        </w:rPr>
        <w:t>‘</w:t>
      </w:r>
      <w:r w:rsidRPr="004068E7">
        <w:rPr>
          <w:i/>
        </w:rPr>
        <w:t>In A52238 a subset (n = 12) had serum silver concentrations determined prior to and during treatment; no increases were detected with all concentrations except one pre-dose measurement below LLOQ</w:t>
      </w:r>
      <w:r w:rsidR="004068E7" w:rsidRPr="004068E7">
        <w:rPr>
          <w:i/>
        </w:rPr>
        <w:t xml:space="preserve"> of the bioanalytical method, 1 </w:t>
      </w:r>
      <m:oMath>
        <m:r>
          <w:rPr>
            <w:rFonts w:ascii="Cambria Math" w:hAnsi="Cambria Math"/>
          </w:rPr>
          <m:t>µ</m:t>
        </m:r>
      </m:oMath>
      <w:r w:rsidRPr="004068E7">
        <w:rPr>
          <w:i/>
        </w:rPr>
        <w:t xml:space="preserve">g/mL; this LLOQ is within the range measured in populations not exposed to occupational silver, 0.072 to 1.4 </w:t>
      </w:r>
      <m:oMath>
        <m:r>
          <w:rPr>
            <w:rFonts w:ascii="Cambria Math" w:hAnsi="Cambria Math"/>
          </w:rPr>
          <m:t>µ</m:t>
        </m:r>
      </m:oMath>
      <w:r w:rsidRPr="004068E7">
        <w:rPr>
          <w:i/>
        </w:rPr>
        <w:t>g/mL</w:t>
      </w:r>
      <w:r w:rsidR="004068E7" w:rsidRPr="004068E7">
        <w:rPr>
          <w:i/>
        </w:rPr>
        <w:t>’.</w:t>
      </w:r>
    </w:p>
    <w:p w14:paraId="70F32331" w14:textId="77777777" w:rsidR="00576182" w:rsidRPr="004068E7" w:rsidRDefault="00576182" w:rsidP="004068E7">
      <w:pPr>
        <w:pStyle w:val="Heading5"/>
      </w:pPr>
      <w:r w:rsidRPr="004068E7">
        <w:t>Bioavailability</w:t>
      </w:r>
      <w:bookmarkEnd w:id="58"/>
      <w:bookmarkEnd w:id="59"/>
      <w:bookmarkEnd w:id="60"/>
      <w:bookmarkEnd w:id="61"/>
    </w:p>
    <w:p w14:paraId="3A9A1346" w14:textId="77777777" w:rsidR="00576182" w:rsidRPr="004068E7" w:rsidRDefault="00576182" w:rsidP="004068E7">
      <w:pPr>
        <w:pStyle w:val="Heading6"/>
      </w:pPr>
      <w:r w:rsidRPr="004068E7">
        <w:t>Absolute bioavailability</w:t>
      </w:r>
    </w:p>
    <w:p w14:paraId="5A4AA56D" w14:textId="0021F129" w:rsidR="00576182" w:rsidRPr="004068E7" w:rsidRDefault="00576182" w:rsidP="004068E7">
      <w:r w:rsidRPr="004068E7">
        <w:t>There was no short</w:t>
      </w:r>
      <w:r w:rsidR="007A24E9">
        <w:t xml:space="preserve"> </w:t>
      </w:r>
      <w:r w:rsidRPr="004068E7">
        <w:t xml:space="preserve">term bioavailability </w:t>
      </w:r>
      <w:r w:rsidR="007A24E9">
        <w:t xml:space="preserve">study conducted due to the long </w:t>
      </w:r>
      <w:r w:rsidRPr="004068E7">
        <w:t xml:space="preserve">term use of LCS16. The </w:t>
      </w:r>
      <w:r w:rsidR="004068E7">
        <w:t>s</w:t>
      </w:r>
      <w:r w:rsidRPr="004068E7">
        <w:t>ponsor states this is justified as LCS16 is a mainly locally acting product with low systemic</w:t>
      </w:r>
      <w:r w:rsidR="004068E7">
        <w:t xml:space="preserve"> concentrations of LNG in serum. </w:t>
      </w:r>
      <w:r w:rsidRPr="004068E7">
        <w:t>Instead, a long</w:t>
      </w:r>
      <w:r w:rsidR="007A24E9">
        <w:t xml:space="preserve"> </w:t>
      </w:r>
      <w:r w:rsidRPr="004068E7">
        <w:t>term in vitro dissolution method that adequately describes the in vivo behaviour of LCS16 over the anticipated time of IUS use was developed. The long term in vitro release rate tests were conducted on LCS batches used in the Phase II and Phase III studies</w:t>
      </w:r>
      <w:r w:rsidR="004068E7">
        <w:t>.</w:t>
      </w:r>
    </w:p>
    <w:p w14:paraId="6693E98C" w14:textId="77F394DD" w:rsidR="00576182" w:rsidRPr="004068E7" w:rsidRDefault="00576182" w:rsidP="004068E7">
      <w:r w:rsidRPr="004068E7">
        <w:t xml:space="preserve">The initial in vitro release of LCS16 on day 2 after one day of dissolution was approximately </w:t>
      </w:r>
      <w:r w:rsidR="004068E7">
        <w:t>28 µ</w:t>
      </w:r>
      <w:r w:rsidRPr="004068E7">
        <w:t xml:space="preserve">g/day. The LNG release rates of LCS16 decline quickly to approximately </w:t>
      </w:r>
      <w:r w:rsidR="004068E7">
        <w:t>17 µ</w:t>
      </w:r>
      <w:r w:rsidRPr="004068E7">
        <w:t xml:space="preserve">g/day for the </w:t>
      </w:r>
      <w:r w:rsidR="004068E7">
        <w:t xml:space="preserve">Day 19 to </w:t>
      </w:r>
      <w:r w:rsidRPr="004068E7">
        <w:t xml:space="preserve">25 sampling period, after which LNG in vitro release rates of LCS16 decline more slowly. At 6 months, the in vitro release rate of LNG from LCS16 is approximately </w:t>
      </w:r>
      <w:r w:rsidR="004068E7">
        <w:t>13 µ</w:t>
      </w:r>
      <w:r w:rsidRPr="004068E7">
        <w:t xml:space="preserve">g/day, declining to approximately </w:t>
      </w:r>
      <w:r w:rsidR="004068E7">
        <w:t>7 µ</w:t>
      </w:r>
      <w:r w:rsidRPr="004068E7">
        <w:t>g/day after 5 years</w:t>
      </w:r>
      <w:r w:rsidR="004068E7">
        <w:t>.</w:t>
      </w:r>
    </w:p>
    <w:p w14:paraId="10331827" w14:textId="5A215878" w:rsidR="00576182" w:rsidRPr="004068E7" w:rsidRDefault="00576182" w:rsidP="004068E7">
      <w:r w:rsidRPr="004068E7">
        <w:t xml:space="preserve">The in vivo release rates were calculated based on ex vivo residual content and plasma concentration data from women who prematurely discontinued or completed the study. A population PK model, previously developed based on clinical and in vitro release data, and refined using data from the 3 year Study A52238, was used to determine in vivo release rates over 5 years. Using data provided from in vitro release rates, in vivo release rates were determined 24 days, 60 days, 1 year, 3 years, and 5 years after insertion. In addition, an average release rate over 5 years of use was calculated. The </w:t>
      </w:r>
      <w:r w:rsidR="004068E7">
        <w:t>s</w:t>
      </w:r>
      <w:r w:rsidRPr="004068E7">
        <w:t>ponsor states the same approach was used for the calculation of the in vivo release rates for the approved LCS12 prod</w:t>
      </w:r>
      <w:r w:rsidR="004068E7">
        <w:t>uct.</w:t>
      </w:r>
    </w:p>
    <w:p w14:paraId="089F3688" w14:textId="267DADC7" w:rsidR="00576182" w:rsidRPr="004068E7" w:rsidRDefault="00576182" w:rsidP="004068E7">
      <w:r w:rsidRPr="004068E7">
        <w:lastRenderedPageBreak/>
        <w:t xml:space="preserve">Based on the population PK approach, the in vivo release rate of LCS16 was 17.5 </w:t>
      </w:r>
      <w:r w:rsidR="004068E7">
        <w:t>µ</w:t>
      </w:r>
      <w:r w:rsidRPr="004068E7">
        <w:t xml:space="preserve">g/day </w:t>
      </w:r>
      <w:r w:rsidR="004068E7">
        <w:t>at D</w:t>
      </w:r>
      <w:r w:rsidR="009E23DC">
        <w:t>ay </w:t>
      </w:r>
      <w:r w:rsidRPr="004068E7">
        <w:t xml:space="preserve">25, declining to 9.79 </w:t>
      </w:r>
      <w:r w:rsidR="004068E7">
        <w:t>µ</w:t>
      </w:r>
      <w:r w:rsidRPr="004068E7">
        <w:t xml:space="preserve">g/day at 1 year. At 3 years, the in vivo release rate was 7.89 </w:t>
      </w:r>
      <w:r w:rsidR="004068E7">
        <w:t>µ</w:t>
      </w:r>
      <w:r w:rsidRPr="004068E7">
        <w:t xml:space="preserve">g/day, after which the release rate remained relatively consistent until the end of year 5 (7.44 </w:t>
      </w:r>
      <w:r w:rsidR="004068E7">
        <w:t>µ</w:t>
      </w:r>
      <w:r w:rsidRPr="004068E7">
        <w:t xml:space="preserve">g/day). The average release rate over the entire period of LCS16 use was 8.99 </w:t>
      </w:r>
      <w:r w:rsidR="004068E7">
        <w:t>µ</w:t>
      </w:r>
      <w:r w:rsidRPr="004068E7">
        <w:t>g/day.</w:t>
      </w:r>
    </w:p>
    <w:p w14:paraId="7C183698" w14:textId="6435B176" w:rsidR="00576182" w:rsidRPr="004068E7" w:rsidRDefault="00576182" w:rsidP="004068E7">
      <w:pPr>
        <w:pStyle w:val="Tabletitle"/>
        <w:rPr>
          <w:lang w:val="en-US"/>
        </w:rPr>
      </w:pPr>
      <w:r>
        <w:rPr>
          <w:lang w:val="en-US"/>
        </w:rPr>
        <w:t>Table 5</w:t>
      </w:r>
      <w:r w:rsidR="004068E7">
        <w:rPr>
          <w:lang w:val="en-US"/>
        </w:rPr>
        <w:t>.</w:t>
      </w:r>
      <w:r>
        <w:rPr>
          <w:lang w:val="en-US"/>
        </w:rPr>
        <w:t xml:space="preserve"> </w:t>
      </w:r>
      <w:r w:rsidRPr="00B20C53">
        <w:t xml:space="preserve">Model-based estimated </w:t>
      </w:r>
      <w:r w:rsidRPr="00B20C53">
        <w:rPr>
          <w:i/>
          <w:iCs/>
        </w:rPr>
        <w:t xml:space="preserve">in vivo </w:t>
      </w:r>
      <w:r w:rsidRPr="00B20C53">
        <w:t>release rates from LCS16 and LCS12</w:t>
      </w:r>
    </w:p>
    <w:p w14:paraId="47F35C94" w14:textId="77777777" w:rsidR="00576182" w:rsidRDefault="00576182" w:rsidP="00576182">
      <w:pPr>
        <w:rPr>
          <w:rFonts w:cs="Times-Roman"/>
          <w:lang w:val="en-US"/>
        </w:rPr>
      </w:pPr>
      <w:r>
        <w:rPr>
          <w:rFonts w:cs="Times-Roman"/>
          <w:noProof/>
          <w:lang w:eastAsia="en-AU"/>
        </w:rPr>
        <w:drawing>
          <wp:inline distT="0" distB="0" distL="0" distR="0" wp14:anchorId="6B5A7E00" wp14:editId="48A5ECC1">
            <wp:extent cx="4588382" cy="1258215"/>
            <wp:effectExtent l="0" t="0" r="3175" b="0"/>
            <wp:docPr id="17" name="Picture 17" descr="Table 5 is an image of a table showing the Model-based estimated in vivo release rates from LCS16 and LC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1491" cy="1261810"/>
                    </a:xfrm>
                    <a:prstGeom prst="rect">
                      <a:avLst/>
                    </a:prstGeom>
                    <a:noFill/>
                    <a:ln>
                      <a:noFill/>
                    </a:ln>
                  </pic:spPr>
                </pic:pic>
              </a:graphicData>
            </a:graphic>
          </wp:inline>
        </w:drawing>
      </w:r>
    </w:p>
    <w:p w14:paraId="764808AC" w14:textId="6766B4CE" w:rsidR="00576182" w:rsidRPr="004068E7" w:rsidRDefault="00576182" w:rsidP="004068E7">
      <w:r w:rsidRPr="004068E7">
        <w:t>Bioavailability data was provided in Study A229, which determined the absolute bioavailability of LNG following oral administration of Microlut (LNG). This study has been evaluated in</w:t>
      </w:r>
      <w:r w:rsidR="004068E7">
        <w:t xml:space="preserve"> the previous Jaydess submission.</w:t>
      </w:r>
    </w:p>
    <w:p w14:paraId="44819A9B" w14:textId="77777777" w:rsidR="00576182" w:rsidRPr="004068E7" w:rsidRDefault="00576182" w:rsidP="004068E7">
      <w:pPr>
        <w:pStyle w:val="Heading6"/>
      </w:pPr>
      <w:r w:rsidRPr="004068E7">
        <w:t>Bioavailability relative to an oral solution or micronised suspension</w:t>
      </w:r>
    </w:p>
    <w:p w14:paraId="313AAA3C" w14:textId="09D24FF0" w:rsidR="00576182" w:rsidRPr="004068E7" w:rsidRDefault="00576182" w:rsidP="004068E7">
      <w:r w:rsidRPr="004068E7">
        <w:t xml:space="preserve">See </w:t>
      </w:r>
      <w:r w:rsidR="00E018FA">
        <w:t>the AusPAR/Attachment 2 for the previous Jaydess submission.</w:t>
      </w:r>
      <w:r w:rsidR="00E018FA" w:rsidRPr="00E018FA">
        <w:rPr>
          <w:vertAlign w:val="superscript"/>
        </w:rPr>
        <w:fldChar w:fldCharType="begin"/>
      </w:r>
      <w:r w:rsidR="00E018FA" w:rsidRPr="00E018FA">
        <w:rPr>
          <w:vertAlign w:val="superscript"/>
        </w:rPr>
        <w:instrText xml:space="preserve"> NOTEREF _Ref492070565 \h </w:instrText>
      </w:r>
      <w:r w:rsidR="00E018FA">
        <w:rPr>
          <w:vertAlign w:val="superscript"/>
        </w:rPr>
        <w:instrText xml:space="preserve"> \* MERGEFORMAT </w:instrText>
      </w:r>
      <w:r w:rsidR="00E018FA" w:rsidRPr="00E018FA">
        <w:rPr>
          <w:vertAlign w:val="superscript"/>
        </w:rPr>
      </w:r>
      <w:r w:rsidR="00E018FA" w:rsidRPr="00E018FA">
        <w:rPr>
          <w:vertAlign w:val="superscript"/>
        </w:rPr>
        <w:fldChar w:fldCharType="separate"/>
      </w:r>
      <w:r w:rsidR="009A3335">
        <w:rPr>
          <w:vertAlign w:val="superscript"/>
        </w:rPr>
        <w:t>4</w:t>
      </w:r>
      <w:r w:rsidR="00E018FA" w:rsidRPr="00E018FA">
        <w:rPr>
          <w:vertAlign w:val="superscript"/>
        </w:rPr>
        <w:fldChar w:fldCharType="end"/>
      </w:r>
    </w:p>
    <w:p w14:paraId="32A19897" w14:textId="77777777" w:rsidR="00576182" w:rsidRPr="004068E7" w:rsidRDefault="00576182" w:rsidP="004068E7">
      <w:pPr>
        <w:pStyle w:val="Heading6"/>
      </w:pPr>
      <w:r w:rsidRPr="004068E7">
        <w:t>Bioequivalence of clinical trial and market formulations</w:t>
      </w:r>
    </w:p>
    <w:p w14:paraId="6B32479B" w14:textId="0338075B" w:rsidR="00E018FA" w:rsidRPr="004068E7"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2A893106" w14:textId="77777777" w:rsidR="00576182" w:rsidRPr="004068E7" w:rsidRDefault="00576182" w:rsidP="004068E7">
      <w:pPr>
        <w:pStyle w:val="Heading6"/>
      </w:pPr>
      <w:r w:rsidRPr="004068E7">
        <w:t>Bioequivalence of different dosage forms and strengths</w:t>
      </w:r>
    </w:p>
    <w:p w14:paraId="25D05C9F" w14:textId="177EE0DD" w:rsidR="00E018FA" w:rsidRPr="004068E7"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68484747" w14:textId="77777777" w:rsidR="00576182" w:rsidRPr="004068E7" w:rsidRDefault="00576182" w:rsidP="004068E7">
      <w:pPr>
        <w:pStyle w:val="Heading6"/>
      </w:pPr>
      <w:r w:rsidRPr="004068E7">
        <w:t>Bioequivalence to relevant registered products</w:t>
      </w:r>
    </w:p>
    <w:p w14:paraId="571DB37E" w14:textId="7985379B" w:rsidR="00E018FA" w:rsidRPr="004068E7"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01DC02F9" w14:textId="77777777" w:rsidR="00576182" w:rsidRPr="004068E7" w:rsidRDefault="00576182" w:rsidP="004068E7">
      <w:pPr>
        <w:pStyle w:val="Heading6"/>
      </w:pPr>
      <w:r w:rsidRPr="004068E7">
        <w:t>Influence of food</w:t>
      </w:r>
    </w:p>
    <w:p w14:paraId="5094F8A3" w14:textId="06B3246E" w:rsidR="00E018FA" w:rsidRPr="004068E7"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1951B301" w14:textId="77777777" w:rsidR="00576182" w:rsidRPr="004068E7" w:rsidRDefault="00576182" w:rsidP="004068E7">
      <w:pPr>
        <w:pStyle w:val="Heading6"/>
      </w:pPr>
      <w:r w:rsidRPr="004068E7">
        <w:t>Dose proportionality</w:t>
      </w:r>
    </w:p>
    <w:p w14:paraId="12110CCA" w14:textId="218951D3" w:rsidR="00E018FA" w:rsidRPr="004068E7"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0D6FDFD2" w14:textId="77777777" w:rsidR="00576182" w:rsidRPr="004068E7" w:rsidRDefault="00576182" w:rsidP="004068E7">
      <w:pPr>
        <w:pStyle w:val="Heading6"/>
      </w:pPr>
      <w:r w:rsidRPr="004068E7">
        <w:t>Bioavailability during multiple-dosing</w:t>
      </w:r>
    </w:p>
    <w:p w14:paraId="0A9CB431" w14:textId="2C14D888" w:rsidR="00E018FA" w:rsidRPr="004068E7"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652046C5" w14:textId="77777777" w:rsidR="00576182" w:rsidRPr="004068E7" w:rsidRDefault="00576182" w:rsidP="004068E7">
      <w:pPr>
        <w:pStyle w:val="Heading6"/>
      </w:pPr>
      <w:r w:rsidRPr="004068E7">
        <w:t>Effect of administration timing</w:t>
      </w:r>
    </w:p>
    <w:p w14:paraId="3CDB6430" w14:textId="36C39AD2" w:rsidR="00576182" w:rsidRDefault="00E018FA" w:rsidP="00576182">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479F5C94" w14:textId="77777777" w:rsidR="00576182" w:rsidRPr="004068E7" w:rsidRDefault="00576182" w:rsidP="004068E7">
      <w:pPr>
        <w:pStyle w:val="Heading5"/>
      </w:pPr>
      <w:r w:rsidRPr="004068E7">
        <w:t>Distribution</w:t>
      </w:r>
    </w:p>
    <w:p w14:paraId="47AF7D1F" w14:textId="77777777" w:rsidR="00576182" w:rsidRPr="004068E7" w:rsidRDefault="00576182" w:rsidP="004068E7">
      <w:pPr>
        <w:pStyle w:val="Heading6"/>
      </w:pPr>
      <w:r w:rsidRPr="004068E7">
        <w:t>Volume of distribution</w:t>
      </w:r>
    </w:p>
    <w:p w14:paraId="338510B5" w14:textId="091733B9" w:rsidR="00E018FA" w:rsidRPr="004068E7"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7E885F60" w14:textId="77777777" w:rsidR="00576182" w:rsidRPr="004068E7" w:rsidRDefault="00576182" w:rsidP="004068E7">
      <w:pPr>
        <w:pStyle w:val="Heading6"/>
      </w:pPr>
      <w:r w:rsidRPr="004068E7">
        <w:t>Plasma protein binding</w:t>
      </w:r>
    </w:p>
    <w:p w14:paraId="6CC500C4" w14:textId="1DE1070C" w:rsidR="00576182" w:rsidRPr="00E018FA" w:rsidRDefault="00576182" w:rsidP="00E018FA">
      <w:r w:rsidRPr="004068E7">
        <w:t xml:space="preserve">During the first 3 months, SHBG concentrations </w:t>
      </w:r>
      <w:r w:rsidR="00E018FA">
        <w:t>decreased from 87.5 nmol/L at D</w:t>
      </w:r>
      <w:r w:rsidRPr="004068E7">
        <w:t xml:space="preserve">ay 1 to </w:t>
      </w:r>
      <w:r w:rsidR="00E018FA">
        <w:t>60.2 </w:t>
      </w:r>
      <w:r w:rsidRPr="004068E7">
        <w:t>nmol/L and remained relatively stable thereafter. The mean concentration time course is similar to the 6 subjects evaluated i</w:t>
      </w:r>
      <w:r w:rsidR="00E018FA">
        <w:t xml:space="preserve">n the 3 </w:t>
      </w:r>
      <w:r w:rsidR="00EE33FF">
        <w:t>year phase of the study</w:t>
      </w:r>
      <w:r w:rsidRPr="004068E7">
        <w:t xml:space="preserve">. </w:t>
      </w:r>
      <w:r w:rsidR="00E018FA" w:rsidRPr="004068E7">
        <w:t xml:space="preserve">See </w:t>
      </w:r>
      <w:r w:rsidR="00EE33FF">
        <w:t>the AusPAR/Attachment </w:t>
      </w:r>
      <w:r w:rsidR="00E018FA">
        <w:t>2 for the previous Jaydess submission</w:t>
      </w:r>
      <w:r w:rsidR="00E018FA" w:rsidRPr="004068E7">
        <w:t xml:space="preserve"> </w:t>
      </w:r>
      <w:r w:rsidRPr="004068E7">
        <w:t>for results of Study A46796 and Study A52238.</w:t>
      </w:r>
      <w:r w:rsidR="00E018FA" w:rsidRPr="00E018FA">
        <w:rPr>
          <w:vertAlign w:val="superscript"/>
        </w:rPr>
        <w:fldChar w:fldCharType="begin"/>
      </w:r>
      <w:r w:rsidR="00E018FA" w:rsidRPr="00E018FA">
        <w:rPr>
          <w:vertAlign w:val="superscript"/>
        </w:rPr>
        <w:instrText xml:space="preserve"> NOTEREF _Ref492070565 \h </w:instrText>
      </w:r>
      <w:r w:rsidR="00E018FA">
        <w:rPr>
          <w:vertAlign w:val="superscript"/>
        </w:rPr>
        <w:instrText xml:space="preserve"> \* MERGEFORMAT </w:instrText>
      </w:r>
      <w:r w:rsidR="00E018FA" w:rsidRPr="00E018FA">
        <w:rPr>
          <w:vertAlign w:val="superscript"/>
        </w:rPr>
      </w:r>
      <w:r w:rsidR="00E018FA" w:rsidRPr="00E018FA">
        <w:rPr>
          <w:vertAlign w:val="superscript"/>
        </w:rPr>
        <w:fldChar w:fldCharType="separate"/>
      </w:r>
      <w:r w:rsidR="009A3335">
        <w:rPr>
          <w:vertAlign w:val="superscript"/>
        </w:rPr>
        <w:t>4</w:t>
      </w:r>
      <w:r w:rsidR="00E018FA" w:rsidRPr="00E018FA">
        <w:rPr>
          <w:vertAlign w:val="superscript"/>
        </w:rPr>
        <w:fldChar w:fldCharType="end"/>
      </w:r>
    </w:p>
    <w:p w14:paraId="5CBB55BD" w14:textId="77777777" w:rsidR="00576182" w:rsidRPr="00E018FA" w:rsidRDefault="00576182" w:rsidP="00E018FA">
      <w:pPr>
        <w:pStyle w:val="Heading6"/>
      </w:pPr>
      <w:r w:rsidRPr="00E018FA">
        <w:lastRenderedPageBreak/>
        <w:t>Erythrocyte distribution</w:t>
      </w:r>
    </w:p>
    <w:p w14:paraId="1F84A161" w14:textId="5CD81DA4" w:rsidR="00576182" w:rsidRPr="00E018FA"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3E2FC242" w14:textId="77777777" w:rsidR="00576182" w:rsidRPr="00E018FA" w:rsidRDefault="00576182" w:rsidP="00E018FA">
      <w:pPr>
        <w:pStyle w:val="Heading6"/>
      </w:pPr>
      <w:r w:rsidRPr="00E018FA">
        <w:t>Tissue distribution</w:t>
      </w:r>
    </w:p>
    <w:p w14:paraId="234DA018" w14:textId="69F604F3" w:rsidR="00576182" w:rsidRPr="00E018FA" w:rsidRDefault="00E018FA" w:rsidP="00E018FA">
      <w:bookmarkStart w:id="62" w:name="_Toc272414622"/>
      <w:bookmarkStart w:id="63" w:name="_Toc290888471"/>
      <w:bookmarkStart w:id="64" w:name="_Toc416353667"/>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74038B49" w14:textId="77777777" w:rsidR="00576182" w:rsidRPr="00E018FA" w:rsidRDefault="00576182" w:rsidP="00E018FA">
      <w:pPr>
        <w:pStyle w:val="Heading5"/>
      </w:pPr>
      <w:r w:rsidRPr="00E018FA">
        <w:t>Metabolism</w:t>
      </w:r>
      <w:bookmarkEnd w:id="62"/>
      <w:bookmarkEnd w:id="63"/>
      <w:bookmarkEnd w:id="64"/>
    </w:p>
    <w:p w14:paraId="4703762A" w14:textId="77777777" w:rsidR="00576182" w:rsidRPr="00E018FA" w:rsidRDefault="00576182" w:rsidP="00E018FA">
      <w:pPr>
        <w:pStyle w:val="Heading6"/>
      </w:pPr>
      <w:r w:rsidRPr="00E018FA">
        <w:t>Interconversion between enantiomers</w:t>
      </w:r>
    </w:p>
    <w:p w14:paraId="24B44C99" w14:textId="1E28DF75" w:rsidR="00576182" w:rsidRPr="00E018FA"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33EB4D8B" w14:textId="6210585C" w:rsidR="00576182" w:rsidRPr="00E018FA" w:rsidRDefault="00576182" w:rsidP="00E018FA">
      <w:pPr>
        <w:pStyle w:val="Heading6"/>
      </w:pPr>
      <w:r w:rsidRPr="00E018FA">
        <w:t>Sit</w:t>
      </w:r>
      <w:r w:rsidR="00E018FA">
        <w:t>es of metabolism and mechanisms/</w:t>
      </w:r>
      <w:r w:rsidRPr="00E018FA">
        <w:t>enzyme systems involved</w:t>
      </w:r>
    </w:p>
    <w:p w14:paraId="634F9098" w14:textId="211144AD" w:rsidR="00576182" w:rsidRPr="00E018FA"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7E6B1180" w14:textId="77777777" w:rsidR="00576182" w:rsidRPr="00E018FA" w:rsidRDefault="00576182" w:rsidP="00E018FA">
      <w:pPr>
        <w:pStyle w:val="Heading6"/>
      </w:pPr>
      <w:r w:rsidRPr="00E018FA">
        <w:t>Non-renal clearance</w:t>
      </w:r>
    </w:p>
    <w:p w14:paraId="360DFF62" w14:textId="2E846B07" w:rsidR="00576182" w:rsidRPr="00E018FA"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520B30A3" w14:textId="17B61206" w:rsidR="00576182" w:rsidRPr="00E018FA" w:rsidRDefault="00576182" w:rsidP="00E018FA">
      <w:pPr>
        <w:pStyle w:val="Heading6"/>
      </w:pPr>
      <w:r w:rsidRPr="00E018FA">
        <w:t>Metabolites identified in humans:</w:t>
      </w:r>
      <w:r w:rsidR="00E018FA">
        <w:t xml:space="preserve"> active and other</w:t>
      </w:r>
    </w:p>
    <w:p w14:paraId="5346D208" w14:textId="290ABEA4" w:rsidR="00E018FA" w:rsidRPr="004068E7"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50F1ED29" w14:textId="77777777" w:rsidR="00576182" w:rsidRPr="00E018FA" w:rsidRDefault="00576182" w:rsidP="00E018FA">
      <w:pPr>
        <w:pStyle w:val="Heading6"/>
      </w:pPr>
      <w:r w:rsidRPr="00E018FA">
        <w:t>Pharmacokinetics of metabolites</w:t>
      </w:r>
    </w:p>
    <w:p w14:paraId="4283B861" w14:textId="1C405DEA" w:rsidR="00576182" w:rsidRPr="00E018FA" w:rsidRDefault="00E018FA" w:rsidP="00E018FA">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52453814" w14:textId="77777777" w:rsidR="00576182" w:rsidRPr="00E018FA" w:rsidRDefault="00576182" w:rsidP="00E018FA">
      <w:pPr>
        <w:pStyle w:val="Heading6"/>
      </w:pPr>
      <w:r w:rsidRPr="00E018FA">
        <w:t>Consequences of genetic polymorphism</w:t>
      </w:r>
    </w:p>
    <w:p w14:paraId="47B927F3" w14:textId="6C5FA6A8" w:rsidR="00576182" w:rsidRPr="00E018FA" w:rsidRDefault="00E018FA" w:rsidP="00E018FA">
      <w:bookmarkStart w:id="65" w:name="_Toc241374289"/>
      <w:bookmarkStart w:id="66" w:name="_Toc272414623"/>
      <w:bookmarkStart w:id="67" w:name="_Toc290888472"/>
      <w:bookmarkStart w:id="68" w:name="_Toc416353668"/>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253E7AE2" w14:textId="77777777" w:rsidR="00576182" w:rsidRPr="00E018FA" w:rsidRDefault="00576182" w:rsidP="00333DC4">
      <w:pPr>
        <w:pStyle w:val="Heading5"/>
      </w:pPr>
      <w:r w:rsidRPr="00E018FA">
        <w:t>E</w:t>
      </w:r>
      <w:bookmarkEnd w:id="65"/>
      <w:r w:rsidRPr="00E018FA">
        <w:t>xcretion</w:t>
      </w:r>
      <w:bookmarkEnd w:id="66"/>
      <w:bookmarkEnd w:id="67"/>
      <w:bookmarkEnd w:id="68"/>
    </w:p>
    <w:p w14:paraId="68FCEF44" w14:textId="77777777" w:rsidR="00576182" w:rsidRPr="0039504B" w:rsidRDefault="00576182" w:rsidP="00333DC4">
      <w:pPr>
        <w:pStyle w:val="Heading6"/>
      </w:pPr>
      <w:r w:rsidRPr="0039504B">
        <w:t>Routes and mechanisms of excretion</w:t>
      </w:r>
    </w:p>
    <w:p w14:paraId="5ABC0705" w14:textId="2C897444" w:rsidR="00576182" w:rsidRDefault="00333DC4" w:rsidP="00333DC4">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7A662D1E" w14:textId="77777777" w:rsidR="00576182" w:rsidRPr="0039504B" w:rsidRDefault="00576182" w:rsidP="00333DC4">
      <w:pPr>
        <w:pStyle w:val="Heading6"/>
      </w:pPr>
      <w:r w:rsidRPr="0039504B">
        <w:t>Mass balance studies</w:t>
      </w:r>
    </w:p>
    <w:p w14:paraId="27841A80" w14:textId="303E2A7F" w:rsidR="00576182" w:rsidRDefault="00333DC4" w:rsidP="00333DC4">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11F979AB" w14:textId="77777777" w:rsidR="00576182" w:rsidRPr="0039504B" w:rsidRDefault="00576182" w:rsidP="00333DC4">
      <w:pPr>
        <w:pStyle w:val="Heading6"/>
      </w:pPr>
      <w:r w:rsidRPr="0039504B">
        <w:t>Renal clearance</w:t>
      </w:r>
    </w:p>
    <w:p w14:paraId="6376C7EB" w14:textId="5BF12326" w:rsidR="00333DC4" w:rsidRPr="004068E7" w:rsidRDefault="00333DC4" w:rsidP="00333DC4">
      <w:bookmarkStart w:id="69" w:name="_Toc241374291"/>
      <w:bookmarkStart w:id="70" w:name="_Toc272414624"/>
      <w:bookmarkStart w:id="71" w:name="_Toc290888473"/>
      <w:bookmarkStart w:id="72" w:name="_Toc416353669"/>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63A6C579" w14:textId="77777777" w:rsidR="00576182" w:rsidRDefault="00576182" w:rsidP="00333DC4">
      <w:pPr>
        <w:pStyle w:val="Heading6"/>
      </w:pPr>
      <w:r w:rsidRPr="0033544F">
        <w:t>Intra and inter individual variability</w:t>
      </w:r>
      <w:bookmarkEnd w:id="69"/>
      <w:r w:rsidRPr="0033544F">
        <w:t xml:space="preserve"> of pharmacokinetics</w:t>
      </w:r>
      <w:bookmarkEnd w:id="70"/>
      <w:bookmarkEnd w:id="71"/>
      <w:bookmarkEnd w:id="72"/>
    </w:p>
    <w:p w14:paraId="69B3C163" w14:textId="4CDE60EA" w:rsidR="00576182" w:rsidRDefault="00333DC4" w:rsidP="00333DC4">
      <w:bookmarkStart w:id="73" w:name="_Toc241374292"/>
      <w:bookmarkStart w:id="74" w:name="_Ref271189131"/>
      <w:bookmarkStart w:id="75" w:name="_Ref271189136"/>
      <w:bookmarkStart w:id="76" w:name="_Toc272414625"/>
      <w:bookmarkStart w:id="77" w:name="_Toc290888474"/>
      <w:bookmarkStart w:id="78" w:name="_Toc416353670"/>
      <w:bookmarkStart w:id="79" w:name="_Toc421005245"/>
      <w:bookmarkStart w:id="80" w:name="_Toc432079127"/>
      <w:bookmarkStart w:id="81" w:name="_Toc432080700"/>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300EE95A" w14:textId="77777777" w:rsidR="00576182" w:rsidRPr="00333DC4" w:rsidRDefault="00576182" w:rsidP="00333DC4">
      <w:pPr>
        <w:pStyle w:val="Heading4"/>
      </w:pPr>
      <w:r w:rsidRPr="00333DC4">
        <w:t>Pharmacokinetics in the target population</w:t>
      </w:r>
      <w:bookmarkEnd w:id="73"/>
      <w:bookmarkEnd w:id="74"/>
      <w:bookmarkEnd w:id="75"/>
      <w:bookmarkEnd w:id="76"/>
      <w:bookmarkEnd w:id="77"/>
      <w:bookmarkEnd w:id="78"/>
      <w:bookmarkEnd w:id="79"/>
      <w:bookmarkEnd w:id="80"/>
      <w:bookmarkEnd w:id="81"/>
    </w:p>
    <w:p w14:paraId="712508F5" w14:textId="5C76D5BD" w:rsidR="00576182" w:rsidRDefault="00576182" w:rsidP="00576182">
      <w:pPr>
        <w:rPr>
          <w:lang w:eastAsia="ja-JP"/>
        </w:rPr>
      </w:pPr>
      <w:bookmarkStart w:id="82" w:name="_Toc241374293"/>
      <w:bookmarkStart w:id="83" w:name="_Toc272414626"/>
      <w:bookmarkStart w:id="84" w:name="_Toc290888475"/>
      <w:bookmarkStart w:id="85" w:name="_Toc416353671"/>
      <w:bookmarkStart w:id="86" w:name="_Toc421005246"/>
      <w:bookmarkStart w:id="87" w:name="_Toc432079128"/>
      <w:bookmarkStart w:id="88" w:name="_Toc432080701"/>
      <w:r>
        <w:rPr>
          <w:lang w:eastAsia="ja-JP"/>
        </w:rPr>
        <w:t>See Section 4.2.2.</w:t>
      </w:r>
      <w:r w:rsidR="00333DC4">
        <w:rPr>
          <w:lang w:eastAsia="ja-JP"/>
        </w:rPr>
        <w:t xml:space="preserve"> above.</w:t>
      </w:r>
    </w:p>
    <w:p w14:paraId="34D588E1" w14:textId="77777777" w:rsidR="00576182" w:rsidRPr="0033544F" w:rsidRDefault="00576182" w:rsidP="00333DC4">
      <w:pPr>
        <w:pStyle w:val="Heading4"/>
      </w:pPr>
      <w:r w:rsidRPr="0033544F">
        <w:t>Pharmacokinetics in special populations</w:t>
      </w:r>
      <w:bookmarkEnd w:id="82"/>
      <w:bookmarkEnd w:id="83"/>
      <w:bookmarkEnd w:id="84"/>
      <w:bookmarkEnd w:id="85"/>
      <w:bookmarkEnd w:id="86"/>
      <w:bookmarkEnd w:id="87"/>
      <w:bookmarkEnd w:id="88"/>
    </w:p>
    <w:p w14:paraId="7EF0EC89" w14:textId="77777777" w:rsidR="00576182" w:rsidRPr="000905E9" w:rsidRDefault="00576182" w:rsidP="00333DC4">
      <w:pPr>
        <w:pStyle w:val="Heading5"/>
      </w:pPr>
      <w:bookmarkStart w:id="89" w:name="_Toc272414627"/>
      <w:bookmarkStart w:id="90" w:name="_Toc290888476"/>
      <w:bookmarkStart w:id="91" w:name="_Toc416353672"/>
      <w:r w:rsidRPr="000905E9">
        <w:t>Pharmacokinetics in subjects with impaired hepatic function</w:t>
      </w:r>
      <w:bookmarkEnd w:id="89"/>
      <w:bookmarkEnd w:id="90"/>
      <w:bookmarkEnd w:id="91"/>
    </w:p>
    <w:p w14:paraId="0EDACD1B" w14:textId="5D34A89A" w:rsidR="00576182" w:rsidRDefault="00EE33FF" w:rsidP="00333DC4">
      <w:pPr>
        <w:rPr>
          <w:lang w:eastAsia="ja-JP"/>
        </w:rPr>
      </w:pPr>
      <w:bookmarkStart w:id="92" w:name="_Toc272414628"/>
      <w:bookmarkStart w:id="93" w:name="_Toc290888477"/>
      <w:bookmarkStart w:id="94" w:name="_Toc416353673"/>
      <w:r>
        <w:rPr>
          <w:lang w:eastAsia="ja-JP"/>
        </w:rPr>
        <w:t>No</w:t>
      </w:r>
      <w:r w:rsidR="00333DC4">
        <w:rPr>
          <w:lang w:eastAsia="ja-JP"/>
        </w:rPr>
        <w:t xml:space="preserve"> data provided.</w:t>
      </w:r>
    </w:p>
    <w:p w14:paraId="7AFB3848" w14:textId="77777777" w:rsidR="00576182" w:rsidRPr="000905E9" w:rsidRDefault="00576182" w:rsidP="00333DC4">
      <w:pPr>
        <w:pStyle w:val="Heading5"/>
      </w:pPr>
      <w:r w:rsidRPr="000905E9">
        <w:t>Pharmacokinetics in subjects with impaired renal function</w:t>
      </w:r>
      <w:bookmarkEnd w:id="92"/>
      <w:bookmarkEnd w:id="93"/>
      <w:bookmarkEnd w:id="94"/>
    </w:p>
    <w:p w14:paraId="4918A357" w14:textId="6227A495" w:rsidR="00576182" w:rsidRDefault="00EE33FF" w:rsidP="00576182">
      <w:pPr>
        <w:rPr>
          <w:lang w:eastAsia="ja-JP"/>
        </w:rPr>
      </w:pPr>
      <w:bookmarkStart w:id="95" w:name="_Toc272414629"/>
      <w:bookmarkStart w:id="96" w:name="_Toc290888478"/>
      <w:bookmarkStart w:id="97" w:name="_Toc416353674"/>
      <w:r>
        <w:rPr>
          <w:lang w:eastAsia="ja-JP"/>
        </w:rPr>
        <w:t>No</w:t>
      </w:r>
      <w:r w:rsidR="00333DC4">
        <w:rPr>
          <w:lang w:eastAsia="ja-JP"/>
        </w:rPr>
        <w:t xml:space="preserve"> data provided.</w:t>
      </w:r>
    </w:p>
    <w:p w14:paraId="513F1CC4" w14:textId="77777777" w:rsidR="00576182" w:rsidRPr="000905E9" w:rsidRDefault="00576182" w:rsidP="00333DC4">
      <w:pPr>
        <w:pStyle w:val="Heading5"/>
      </w:pPr>
      <w:r w:rsidRPr="000905E9">
        <w:t>Pharmacokinetics according to age</w:t>
      </w:r>
      <w:bookmarkEnd w:id="95"/>
      <w:bookmarkEnd w:id="96"/>
      <w:bookmarkEnd w:id="97"/>
    </w:p>
    <w:p w14:paraId="067B4CFF" w14:textId="43BA8181" w:rsidR="00576182" w:rsidRPr="00333DC4" w:rsidRDefault="00576182" w:rsidP="00333DC4">
      <w:r w:rsidRPr="00333DC4">
        <w:t>St</w:t>
      </w:r>
      <w:r w:rsidR="00333DC4" w:rsidRPr="00333DC4">
        <w:t xml:space="preserve">udy 14371 was a Phase III multicentre, single </w:t>
      </w:r>
      <w:r w:rsidRPr="00333DC4">
        <w:t>arm safety study of LCS12 in post-menarchal female adolescents aged under 18 years of age for 12 months. The study population included 304 subjects</w:t>
      </w:r>
      <w:r w:rsidR="00333DC4" w:rsidRPr="00333DC4">
        <w:t xml:space="preserve">, mean age 16.2 years (range 12 to </w:t>
      </w:r>
      <w:r w:rsidRPr="00333DC4">
        <w:t xml:space="preserve">18 years), 97.7% nulliparous. The PK of LNG was </w:t>
      </w:r>
      <w:r w:rsidRPr="00333DC4">
        <w:lastRenderedPageBreak/>
        <w:t>determined by applying a population PK model based on data from Study A52238 and including a covariate effect of bodyweight on the LNG clearance (n = 283 subjects analysed). An effect of body weight on the clearance parameter was observed with LNG clearance increasing linearly by 1.5% per kg body weight range within this study (</w:t>
      </w:r>
      <w:r w:rsidR="00333DC4" w:rsidRPr="00333DC4">
        <w:t xml:space="preserve">42 to </w:t>
      </w:r>
      <w:r w:rsidRPr="00333DC4">
        <w:t>115 kg, median 60 kg with corresponding CL/F val</w:t>
      </w:r>
      <w:r w:rsidR="00333DC4" w:rsidRPr="00333DC4">
        <w:t xml:space="preserve">ues of 148 to </w:t>
      </w:r>
      <w:r w:rsidRPr="00333DC4">
        <w:t>426 L/h and 217 L/h respectively).</w:t>
      </w:r>
    </w:p>
    <w:p w14:paraId="5D36D835" w14:textId="41D126B5" w:rsidR="00576182" w:rsidRDefault="00576182" w:rsidP="00333DC4">
      <w:r w:rsidRPr="00333DC4">
        <w:t>The mean total LNG serum concentration decreased from 145 ng/L at 1 month, to 90.9 ng/L at 6 months with a slower decline thereafter to 77.8 ng/L at 12 months after insertion</w:t>
      </w:r>
      <w:r w:rsidR="00457F13">
        <w:t xml:space="preserve"> (see Table 6, below).</w:t>
      </w:r>
      <w:r w:rsidRPr="00333DC4">
        <w:t xml:space="preserve"> </w:t>
      </w:r>
      <w:r w:rsidRPr="00457F13">
        <w:t xml:space="preserve">The predicted serum concentrations of LNG were slightly higher compared to adult concentration data from Study A52238 </w:t>
      </w:r>
      <w:r w:rsidR="00457F13">
        <w:t xml:space="preserve">(see Table 7, below) </w:t>
      </w:r>
      <w:r w:rsidR="00333DC4" w:rsidRPr="00457F13">
        <w:t>however the s</w:t>
      </w:r>
      <w:r w:rsidRPr="00457F13">
        <w:t>ponsor states the ranges</w:t>
      </w:r>
      <w:r w:rsidRPr="00333DC4">
        <w:t xml:space="preserve"> predicted for adolescents lie completely within the ranges predicted for adults. The higher mean is attributed to the covariate effect of body weight on LNG clearance, with lower clearance resultin</w:t>
      </w:r>
      <w:bookmarkStart w:id="98" w:name="_Toc272414630"/>
      <w:bookmarkStart w:id="99" w:name="_Toc290888479"/>
      <w:bookmarkStart w:id="100" w:name="_Toc416353675"/>
      <w:r w:rsidR="00EE33FF">
        <w:t>g in higher systemic exposure.</w:t>
      </w:r>
    </w:p>
    <w:p w14:paraId="7BE1CA73" w14:textId="718B55D6" w:rsidR="00EE33FF" w:rsidRDefault="00EE33FF" w:rsidP="00457F13">
      <w:pPr>
        <w:pStyle w:val="Tabletitle"/>
      </w:pPr>
      <w:r>
        <w:rPr>
          <w:lang w:eastAsia="ja-JP"/>
        </w:rPr>
        <w:t xml:space="preserve">Table 6. </w:t>
      </w:r>
      <w:r w:rsidR="00457F13">
        <w:rPr>
          <w:lang w:eastAsia="ja-JP"/>
        </w:rPr>
        <w:t xml:space="preserve">Summary </w:t>
      </w:r>
      <w:r w:rsidRPr="00D77F8A">
        <w:rPr>
          <w:lang w:eastAsia="ja-JP"/>
        </w:rPr>
        <w:t xml:space="preserve">of total LNG </w:t>
      </w:r>
      <w:r>
        <w:rPr>
          <w:lang w:eastAsia="ja-JP"/>
        </w:rPr>
        <w:t xml:space="preserve">and total unbound LNG </w:t>
      </w:r>
      <w:r w:rsidRPr="00D77F8A">
        <w:rPr>
          <w:lang w:eastAsia="ja-JP"/>
        </w:rPr>
        <w:t>serum concentration</w:t>
      </w:r>
      <w:r>
        <w:rPr>
          <w:lang w:eastAsia="ja-JP"/>
        </w:rPr>
        <w:t>s</w:t>
      </w:r>
      <w:r w:rsidRPr="00D77F8A">
        <w:rPr>
          <w:lang w:eastAsia="ja-JP"/>
        </w:rPr>
        <w:t xml:space="preserve"> estimated based on the population PK </w:t>
      </w:r>
      <w:r w:rsidR="00457F13">
        <w:rPr>
          <w:lang w:eastAsia="ja-JP"/>
        </w:rPr>
        <w:t>(Study 14371)</w:t>
      </w:r>
    </w:p>
    <w:p w14:paraId="74E16DEA" w14:textId="740083B5" w:rsidR="00EE33FF" w:rsidRDefault="00EE33FF" w:rsidP="00333DC4">
      <w:r>
        <w:rPr>
          <w:noProof/>
          <w:lang w:eastAsia="en-AU"/>
        </w:rPr>
        <w:drawing>
          <wp:inline distT="0" distB="0" distL="0" distR="0" wp14:anchorId="273A7D3A" wp14:editId="683D2871">
            <wp:extent cx="4000532" cy="2358695"/>
            <wp:effectExtent l="0" t="0" r="0" b="3810"/>
            <wp:docPr id="26" name="Picture 26" descr="Table 6 is an image of a table showing the Summary of total LNG and total unbound LNG serum concentrations estimated based on the population PK (Study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015600" cy="2367579"/>
                    </a:xfrm>
                    <a:prstGeom prst="rect">
                      <a:avLst/>
                    </a:prstGeom>
                  </pic:spPr>
                </pic:pic>
              </a:graphicData>
            </a:graphic>
          </wp:inline>
        </w:drawing>
      </w:r>
    </w:p>
    <w:p w14:paraId="3AD353A8" w14:textId="55A28D09" w:rsidR="00457F13" w:rsidRDefault="00457F13" w:rsidP="00457F13">
      <w:pPr>
        <w:pStyle w:val="Tabletitle"/>
        <w:rPr>
          <w:lang w:eastAsia="ja-JP"/>
        </w:rPr>
      </w:pPr>
      <w:bookmarkStart w:id="101" w:name="Table8"/>
      <w:r>
        <w:rPr>
          <w:lang w:eastAsia="ja-JP"/>
        </w:rPr>
        <w:t>Table 7.</w:t>
      </w:r>
      <w:r w:rsidRPr="00D77F8A">
        <w:rPr>
          <w:lang w:eastAsia="ja-JP"/>
        </w:rPr>
        <w:t xml:space="preserve"> Comparison of total and unbound LNG serum concentrations </w:t>
      </w:r>
      <w:r>
        <w:rPr>
          <w:lang w:eastAsia="ja-JP"/>
        </w:rPr>
        <w:t>for adolescents (S</w:t>
      </w:r>
      <w:r w:rsidRPr="00D77F8A">
        <w:rPr>
          <w:lang w:eastAsia="ja-JP"/>
        </w:rPr>
        <w:t>tudy</w:t>
      </w:r>
      <w:r>
        <w:rPr>
          <w:lang w:eastAsia="ja-JP"/>
        </w:rPr>
        <w:t xml:space="preserve"> 14371) and adults (S</w:t>
      </w:r>
      <w:r w:rsidRPr="00D77F8A">
        <w:rPr>
          <w:lang w:eastAsia="ja-JP"/>
        </w:rPr>
        <w:t>tudy A52238</w:t>
      </w:r>
      <w:r>
        <w:rPr>
          <w:lang w:eastAsia="ja-JP"/>
        </w:rPr>
        <w:t>)</w:t>
      </w:r>
      <w:r w:rsidRPr="00D77F8A">
        <w:rPr>
          <w:lang w:eastAsia="ja-JP"/>
        </w:rPr>
        <w:t xml:space="preserve"> based on the population PK model</w:t>
      </w:r>
      <w:bookmarkEnd w:id="101"/>
    </w:p>
    <w:p w14:paraId="52C99F35" w14:textId="17733B84" w:rsidR="00457F13" w:rsidRPr="00457F13" w:rsidRDefault="00457F13" w:rsidP="00333DC4">
      <w:pPr>
        <w:rPr>
          <w:b/>
          <w:bCs/>
          <w:u w:val="single"/>
          <w:lang w:eastAsia="ja-JP"/>
        </w:rPr>
      </w:pPr>
      <w:r>
        <w:rPr>
          <w:b/>
          <w:bCs/>
          <w:noProof/>
          <w:u w:val="single"/>
          <w:lang w:eastAsia="en-AU"/>
        </w:rPr>
        <w:drawing>
          <wp:inline distT="0" distB="0" distL="0" distR="0" wp14:anchorId="3F070AD2" wp14:editId="6E40DD7B">
            <wp:extent cx="4273017" cy="797357"/>
            <wp:effectExtent l="0" t="0" r="0" b="3175"/>
            <wp:docPr id="20" name="Picture 20" descr="Table 7 is an image of a table showing the Comparison of total and unbound LNG serum concentrations for adolescents (Study 14371) and adults (Study A52238) based on the population 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lum bright="-8000" contrast="24000"/>
                      <a:extLst>
                        <a:ext uri="{28A0092B-C50C-407E-A947-70E740481C1C}">
                          <a14:useLocalDpi xmlns:a14="http://schemas.microsoft.com/office/drawing/2010/main" val="0"/>
                        </a:ext>
                      </a:extLst>
                    </a:blip>
                    <a:srcRect/>
                    <a:stretch>
                      <a:fillRect/>
                    </a:stretch>
                  </pic:blipFill>
                  <pic:spPr bwMode="auto">
                    <a:xfrm>
                      <a:off x="0" y="0"/>
                      <a:ext cx="4304636" cy="803257"/>
                    </a:xfrm>
                    <a:prstGeom prst="rect">
                      <a:avLst/>
                    </a:prstGeom>
                    <a:noFill/>
                    <a:ln>
                      <a:noFill/>
                    </a:ln>
                  </pic:spPr>
                </pic:pic>
              </a:graphicData>
            </a:graphic>
          </wp:inline>
        </w:drawing>
      </w:r>
    </w:p>
    <w:p w14:paraId="1C1142A5" w14:textId="77777777" w:rsidR="00576182" w:rsidRPr="00333DC4" w:rsidRDefault="00576182" w:rsidP="00333DC4">
      <w:pPr>
        <w:pStyle w:val="Heading5"/>
      </w:pPr>
      <w:r w:rsidRPr="00333DC4">
        <w:t xml:space="preserve">Pharmacokinetics </w:t>
      </w:r>
      <w:bookmarkEnd w:id="98"/>
      <w:bookmarkEnd w:id="99"/>
      <w:bookmarkEnd w:id="100"/>
      <w:r w:rsidRPr="00333DC4">
        <w:t>in breastfeeding</w:t>
      </w:r>
    </w:p>
    <w:p w14:paraId="0F2C7760" w14:textId="0A38D15F" w:rsidR="00576182" w:rsidRDefault="00333DC4" w:rsidP="00576182">
      <w:bookmarkStart w:id="102" w:name="_Toc272414631"/>
      <w:bookmarkStart w:id="103" w:name="_Toc290888480"/>
      <w:bookmarkStart w:id="104" w:name="_Toc416353676"/>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37EC69DA" w14:textId="144FD60F" w:rsidR="00576182" w:rsidRPr="00333DC4" w:rsidRDefault="00576182" w:rsidP="00333DC4">
      <w:pPr>
        <w:pStyle w:val="Heading5"/>
      </w:pPr>
      <w:r w:rsidRPr="00333DC4">
        <w:t>Pharmacokinet</w:t>
      </w:r>
      <w:r w:rsidR="00457F13">
        <w:t>ics in other special population/</w:t>
      </w:r>
      <w:r w:rsidRPr="00333DC4">
        <w:t>with other population characteristic</w:t>
      </w:r>
      <w:bookmarkEnd w:id="102"/>
      <w:bookmarkEnd w:id="103"/>
      <w:bookmarkEnd w:id="104"/>
      <w:r w:rsidR="00457F13">
        <w:t>/</w:t>
      </w:r>
      <w:r w:rsidRPr="00333DC4">
        <w:t>ethnic differences</w:t>
      </w:r>
    </w:p>
    <w:p w14:paraId="03A5B115" w14:textId="27B3E7DA" w:rsidR="00576182" w:rsidRPr="00333DC4" w:rsidRDefault="00576182" w:rsidP="00333DC4">
      <w:r w:rsidRPr="00333DC4">
        <w:t xml:space="preserve">Study 91775 was a </w:t>
      </w:r>
      <w:r w:rsidR="00457F13">
        <w:t>multi</w:t>
      </w:r>
      <w:r w:rsidRPr="00333DC4">
        <w:t>centre, open label, single arm study assessing the PKs, efficacy and safety of LCS12</w:t>
      </w:r>
      <w:r w:rsidR="00457F13">
        <w:t xml:space="preserve"> in Asian</w:t>
      </w:r>
      <w:r w:rsidR="007A24E9">
        <w:t xml:space="preserve"> </w:t>
      </w:r>
      <w:r w:rsidR="00457F13">
        <w:t xml:space="preserve">Pacific women aged 18 to </w:t>
      </w:r>
      <w:r w:rsidRPr="00333DC4">
        <w:t>40 years (FAS = 925; 92.6% Asi</w:t>
      </w:r>
      <w:r w:rsidR="00333DC4">
        <w:t>an ethnicity).</w:t>
      </w:r>
    </w:p>
    <w:p w14:paraId="090194AB" w14:textId="5214D460" w:rsidR="00576182" w:rsidRPr="00333DC4" w:rsidRDefault="00576182" w:rsidP="00333DC4">
      <w:r w:rsidRPr="00333DC4">
        <w:t>The pharmacokinetics were evaluated using a non-compartmental PK evaluation in a subset of 10 Chinese women with a dense sampling plasma profile. Following insertion of LCS12, geometric mean serum concentrations of LNG reached a maximum concentration of 138 ng/L within 3.5 days, with LNG concentrations decreasing slowly thereafter over 3 years. Serum concentrations decreased from about 85 to 65 ng/L between 6 and 36</w:t>
      </w:r>
      <w:r w:rsidR="00333DC4">
        <w:t xml:space="preserve"> months after LCS12 insertion.</w:t>
      </w:r>
    </w:p>
    <w:p w14:paraId="4EACD3BB" w14:textId="7FE6C4AD" w:rsidR="00576182" w:rsidRPr="00333DC4" w:rsidRDefault="00576182" w:rsidP="00333DC4">
      <w:r w:rsidRPr="00333DC4">
        <w:lastRenderedPageBreak/>
        <w:t xml:space="preserve">In addition, a population PK analysis was performed based on the sparsely collected LNG plasma samples of the whole study population. The predicted values of the population PK analysis were similar to the measured values in the PK subgroup. The in vivo </w:t>
      </w:r>
      <w:r w:rsidR="00333DC4">
        <w:t>release rate of LCS12 was 14 µ</w:t>
      </w:r>
      <w:r w:rsidRPr="00333DC4">
        <w:t xml:space="preserve">g/day at Day 25 declining to </w:t>
      </w:r>
      <w:r w:rsidR="00333DC4">
        <w:t>6.0 µ</w:t>
      </w:r>
      <w:r w:rsidRPr="00333DC4">
        <w:t>g/day at 1 year after insertion and remaining rela</w:t>
      </w:r>
      <w:r w:rsidR="00333DC4">
        <w:t>tively stable until the end of Y</w:t>
      </w:r>
      <w:r w:rsidRPr="00333DC4">
        <w:t>ear</w:t>
      </w:r>
      <w:r w:rsidR="00333DC4">
        <w:t xml:space="preserve"> 3.</w:t>
      </w:r>
    </w:p>
    <w:p w14:paraId="4B4165EA" w14:textId="56E4B86A" w:rsidR="00576182" w:rsidRDefault="00576182" w:rsidP="00576182">
      <w:r w:rsidRPr="00333DC4">
        <w:t>Both the non-compartmental and population PK evaluations were compared to evaluations of mainly Caucasian subjects from Studies A46796 and A52238. Taking into consideration different study design, non-compartmental PK parameters for</w:t>
      </w:r>
      <w:r w:rsidR="00333DC4">
        <w:t xml:space="preserve"> LNG were similar between the 2 </w:t>
      </w:r>
      <w:r w:rsidR="00C07459">
        <w:t>populations</w:t>
      </w:r>
      <w:r w:rsidRPr="00333DC4">
        <w:t>. Lower mean SHBG concentrations were observed in Chinese wom</w:t>
      </w:r>
      <w:r w:rsidR="00C07459">
        <w:t>en compared to Caucasian women</w:t>
      </w:r>
      <w:r w:rsidRPr="00333DC4">
        <w:t xml:space="preserve">; </w:t>
      </w:r>
      <w:r w:rsidR="00333DC4">
        <w:t>the s</w:t>
      </w:r>
      <w:r w:rsidRPr="00333DC4">
        <w:t>ponsor comments this may be explained by oral hormonal product use and various time periods when hormonal product intake was stopped prior to study start (noting when compared to Study A46796 mean baseline values were slightly lower with ranges largely overlapping). Population PK analysis of LNG and SHBG serum concentration data showed the geometric means of the total and unbound LN</w:t>
      </w:r>
      <w:r w:rsidR="00C07459">
        <w:t>G concentrations at 3 months, 1 </w:t>
      </w:r>
      <w:r w:rsidRPr="00333DC4">
        <w:t>year, 2 years and 3 years were slightly higher for Asian</w:t>
      </w:r>
      <w:r w:rsidR="007A24E9">
        <w:t xml:space="preserve"> </w:t>
      </w:r>
      <w:r w:rsidRPr="00333DC4">
        <w:t>Pacific women compared to Caucasian women (</w:t>
      </w:r>
      <w:r w:rsidR="00C07459">
        <w:t>see Table 8 below)</w:t>
      </w:r>
      <w:r w:rsidRPr="00333DC4">
        <w:t>. The in vivo release rates from LCS12 in Asian</w:t>
      </w:r>
      <w:r w:rsidR="007A24E9">
        <w:t xml:space="preserve"> </w:t>
      </w:r>
      <w:r w:rsidRPr="00333DC4">
        <w:t>Pacific women an</w:t>
      </w:r>
      <w:bookmarkStart w:id="105" w:name="_Toc421005248"/>
      <w:r w:rsidR="00C07459">
        <w:t>d Caucasian women were similar (see Table 9 below).</w:t>
      </w:r>
    </w:p>
    <w:p w14:paraId="489B77EA" w14:textId="00505711" w:rsidR="00C07459" w:rsidRPr="00023B75" w:rsidRDefault="00C07459" w:rsidP="00C07459">
      <w:pPr>
        <w:pStyle w:val="Tabletitle"/>
        <w:rPr>
          <w:lang w:eastAsia="ja-JP"/>
        </w:rPr>
      </w:pPr>
      <w:bookmarkStart w:id="106" w:name="Table11"/>
      <w:r>
        <w:rPr>
          <w:lang w:eastAsia="ja-JP"/>
        </w:rPr>
        <w:t>Table 8.</w:t>
      </w:r>
      <w:r w:rsidRPr="00B743FA">
        <w:rPr>
          <w:lang w:eastAsia="ja-JP"/>
        </w:rPr>
        <w:t xml:space="preserve"> Geometric mean values (95% CI) and geomet</w:t>
      </w:r>
      <w:r>
        <w:rPr>
          <w:lang w:eastAsia="ja-JP"/>
        </w:rPr>
        <w:t>ric coefficient of variation [</w:t>
      </w:r>
      <w:r w:rsidRPr="00B743FA">
        <w:rPr>
          <w:lang w:eastAsia="ja-JP"/>
        </w:rPr>
        <w:t xml:space="preserve">CV %] of </w:t>
      </w:r>
      <w:r>
        <w:rPr>
          <w:lang w:eastAsia="ja-JP"/>
        </w:rPr>
        <w:t xml:space="preserve">estimated </w:t>
      </w:r>
      <w:r w:rsidRPr="00B743FA">
        <w:rPr>
          <w:lang w:eastAsia="ja-JP"/>
        </w:rPr>
        <w:t xml:space="preserve">total and unbound LNG concentrations </w:t>
      </w:r>
      <w:bookmarkEnd w:id="106"/>
      <w:r>
        <w:rPr>
          <w:lang w:eastAsia="ja-JP"/>
        </w:rPr>
        <w:t>from S</w:t>
      </w:r>
      <w:r w:rsidRPr="00B743FA">
        <w:rPr>
          <w:lang w:eastAsia="ja-JP"/>
        </w:rPr>
        <w:t>tudy PH-37275 (mainly As</w:t>
      </w:r>
      <w:r>
        <w:rPr>
          <w:lang w:eastAsia="ja-JP"/>
        </w:rPr>
        <w:t>ian women) and on LCS12 data from S</w:t>
      </w:r>
      <w:r w:rsidRPr="00B743FA">
        <w:rPr>
          <w:lang w:eastAsia="ja-JP"/>
        </w:rPr>
        <w:t>tudy A5223</w:t>
      </w:r>
      <w:r>
        <w:rPr>
          <w:lang w:eastAsia="ja-JP"/>
        </w:rPr>
        <w:t>8 (with mainly Caucasian women)</w:t>
      </w:r>
    </w:p>
    <w:p w14:paraId="0F54398E" w14:textId="77777777" w:rsidR="00C07459" w:rsidRDefault="00C07459" w:rsidP="00C07459">
      <w:pPr>
        <w:rPr>
          <w:lang w:eastAsia="ja-JP"/>
        </w:rPr>
      </w:pPr>
      <w:r>
        <w:rPr>
          <w:noProof/>
          <w:lang w:eastAsia="en-AU"/>
        </w:rPr>
        <w:drawing>
          <wp:inline distT="0" distB="0" distL="0" distR="0" wp14:anchorId="2D30C57E" wp14:editId="429CB5F3">
            <wp:extent cx="5133975" cy="1552575"/>
            <wp:effectExtent l="0" t="0" r="9525" b="9525"/>
            <wp:docPr id="27" name="Picture 27" descr="Table 8 is an image of a table showing the Geometric mean values (95% CI) and geometric coefficient of variation [CV %] of estimated total and unbound LNG concentrations from Study PH-37275 (mainly Asian women) and on LCS12 data from Study A52238 (with mainly Caucasia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lum bright="-12000" contrast="30000"/>
                      <a:extLst>
                        <a:ext uri="{28A0092B-C50C-407E-A947-70E740481C1C}">
                          <a14:useLocalDpi xmlns:a14="http://schemas.microsoft.com/office/drawing/2010/main" val="0"/>
                        </a:ext>
                      </a:extLst>
                    </a:blip>
                    <a:srcRect/>
                    <a:stretch>
                      <a:fillRect/>
                    </a:stretch>
                  </pic:blipFill>
                  <pic:spPr bwMode="auto">
                    <a:xfrm>
                      <a:off x="0" y="0"/>
                      <a:ext cx="5133975" cy="1552575"/>
                    </a:xfrm>
                    <a:prstGeom prst="rect">
                      <a:avLst/>
                    </a:prstGeom>
                    <a:noFill/>
                    <a:ln>
                      <a:noFill/>
                    </a:ln>
                  </pic:spPr>
                </pic:pic>
              </a:graphicData>
            </a:graphic>
          </wp:inline>
        </w:drawing>
      </w:r>
    </w:p>
    <w:p w14:paraId="2179061F" w14:textId="63BCE5B4" w:rsidR="00C07459" w:rsidRPr="008222BD" w:rsidRDefault="00C07459" w:rsidP="00C07459">
      <w:pPr>
        <w:pStyle w:val="Tabletitle"/>
        <w:rPr>
          <w:lang w:eastAsia="ja-JP"/>
        </w:rPr>
      </w:pPr>
      <w:r w:rsidRPr="008222BD">
        <w:rPr>
          <w:lang w:eastAsia="ja-JP"/>
        </w:rPr>
        <w:t xml:space="preserve">Table </w:t>
      </w:r>
      <w:r>
        <w:rPr>
          <w:lang w:eastAsia="ja-JP"/>
        </w:rPr>
        <w:t>9.</w:t>
      </w:r>
      <w:r w:rsidRPr="008222BD">
        <w:rPr>
          <w:lang w:eastAsia="ja-JP"/>
        </w:rPr>
        <w:t xml:space="preserve"> </w:t>
      </w:r>
      <w:r>
        <w:rPr>
          <w:lang w:eastAsia="ja-JP"/>
        </w:rPr>
        <w:t>Comparison of m</w:t>
      </w:r>
      <w:r w:rsidRPr="008222BD">
        <w:rPr>
          <w:lang w:eastAsia="ja-JP"/>
        </w:rPr>
        <w:t>odel bas</w:t>
      </w:r>
      <w:r>
        <w:rPr>
          <w:lang w:eastAsia="ja-JP"/>
        </w:rPr>
        <w:t>ed estimated in vivo</w:t>
      </w:r>
      <w:r w:rsidRPr="008222BD">
        <w:rPr>
          <w:i/>
          <w:iCs/>
          <w:lang w:eastAsia="ja-JP"/>
        </w:rPr>
        <w:t xml:space="preserve"> </w:t>
      </w:r>
      <w:r>
        <w:rPr>
          <w:lang w:eastAsia="ja-JP"/>
        </w:rPr>
        <w:t>release rates from LCS12</w:t>
      </w:r>
    </w:p>
    <w:p w14:paraId="59A59657" w14:textId="0CD34F0A" w:rsidR="00C07459" w:rsidRDefault="00C07459" w:rsidP="00576182">
      <w:pPr>
        <w:rPr>
          <w:lang w:eastAsia="ja-JP"/>
        </w:rPr>
      </w:pPr>
      <w:r>
        <w:rPr>
          <w:noProof/>
          <w:lang w:eastAsia="en-AU"/>
        </w:rPr>
        <w:drawing>
          <wp:inline distT="0" distB="0" distL="0" distR="0" wp14:anchorId="2066E1E9" wp14:editId="21E6EBBE">
            <wp:extent cx="5025542" cy="1312574"/>
            <wp:effectExtent l="0" t="0" r="3810" b="1905"/>
            <wp:docPr id="43" name="Picture 43" descr="Table 9 is an image of a table showing the Comparison of model based estimated in vivo release rates from LC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lum bright="-29000" contrast="46000"/>
                      <a:extLst>
                        <a:ext uri="{28A0092B-C50C-407E-A947-70E740481C1C}">
                          <a14:useLocalDpi xmlns:a14="http://schemas.microsoft.com/office/drawing/2010/main" val="0"/>
                        </a:ext>
                      </a:extLst>
                    </a:blip>
                    <a:srcRect/>
                    <a:stretch>
                      <a:fillRect/>
                    </a:stretch>
                  </pic:blipFill>
                  <pic:spPr bwMode="auto">
                    <a:xfrm>
                      <a:off x="0" y="0"/>
                      <a:ext cx="5028147" cy="1313254"/>
                    </a:xfrm>
                    <a:prstGeom prst="rect">
                      <a:avLst/>
                    </a:prstGeom>
                    <a:noFill/>
                    <a:ln>
                      <a:noFill/>
                    </a:ln>
                  </pic:spPr>
                </pic:pic>
              </a:graphicData>
            </a:graphic>
          </wp:inline>
        </w:drawing>
      </w:r>
    </w:p>
    <w:p w14:paraId="26EFAD15" w14:textId="77777777" w:rsidR="00576182" w:rsidRPr="00333DC4" w:rsidRDefault="00576182" w:rsidP="00333DC4">
      <w:pPr>
        <w:pStyle w:val="Heading4"/>
      </w:pPr>
      <w:bookmarkStart w:id="107" w:name="_Toc241374294"/>
      <w:bookmarkStart w:id="108" w:name="_Toc272414632"/>
      <w:bookmarkStart w:id="109" w:name="_Toc290888481"/>
      <w:bookmarkStart w:id="110" w:name="_Toc416353678"/>
      <w:bookmarkStart w:id="111" w:name="_Toc421005249"/>
      <w:bookmarkStart w:id="112" w:name="_Toc432079130"/>
      <w:bookmarkStart w:id="113" w:name="_Toc432080703"/>
      <w:bookmarkEnd w:id="105"/>
      <w:r w:rsidRPr="00333DC4">
        <w:t>Pharmacokinetic interactions</w:t>
      </w:r>
      <w:bookmarkEnd w:id="107"/>
      <w:bookmarkEnd w:id="108"/>
      <w:bookmarkEnd w:id="109"/>
      <w:bookmarkEnd w:id="110"/>
      <w:bookmarkEnd w:id="111"/>
      <w:bookmarkEnd w:id="112"/>
      <w:bookmarkEnd w:id="113"/>
    </w:p>
    <w:p w14:paraId="53CFC7C2" w14:textId="32C4B518" w:rsidR="00576182" w:rsidRPr="00333DC4" w:rsidRDefault="00576182" w:rsidP="00333DC4">
      <w:r w:rsidRPr="00333DC4">
        <w:t xml:space="preserve">No new </w:t>
      </w:r>
      <w:r w:rsidR="00333DC4" w:rsidRPr="00333DC4">
        <w:t>data submitted. The clinical e</w:t>
      </w:r>
      <w:r w:rsidRPr="00333DC4">
        <w:t xml:space="preserve">valuator </w:t>
      </w:r>
      <w:r w:rsidR="00333DC4" w:rsidRPr="00333DC4">
        <w:t>the previous Jaydess submission</w:t>
      </w:r>
      <w:r w:rsidRPr="00333DC4">
        <w:t xml:space="preserve"> st</w:t>
      </w:r>
      <w:r w:rsidR="00333DC4" w:rsidRPr="00333DC4">
        <w:t>ated the following</w:t>
      </w:r>
      <w:r w:rsidRPr="00333DC4">
        <w:t>:</w:t>
      </w:r>
    </w:p>
    <w:p w14:paraId="6107DD79" w14:textId="7CF6CA63" w:rsidR="00576182" w:rsidRPr="00333DC4" w:rsidRDefault="00333DC4" w:rsidP="00333DC4">
      <w:pPr>
        <w:rPr>
          <w:i/>
        </w:rPr>
      </w:pPr>
      <w:r w:rsidRPr="00333DC4">
        <w:rPr>
          <w:i/>
        </w:rPr>
        <w:t>‘</w:t>
      </w:r>
      <w:r w:rsidR="00576182" w:rsidRPr="00333DC4">
        <w:rPr>
          <w:i/>
        </w:rPr>
        <w:t xml:space="preserve">In vitro studies have demonstrated that oxidative metabolism of LNG is catalysed by CYP enzymes, especially CYP3A4 (Study A02495). Thus, drugs which induce or inhibit the activity of CYP3A4 may change the pharmacokinetics of LNG such as anticonvulsants (e.g. phenobarbital, phenytoin, carbamazepine, and possibly also felbamate, oxcarbazepine and topiramate) and anti-infectives (e.g. rifampicin, rifabutin, nevirapine, efavirenz, and possibly griseofulvin) perhaps lowering the serum concentrations of LNG during parallel treatment. Similarly, metabolic activity of CYP3A4 </w:t>
      </w:r>
      <w:r w:rsidR="00576182" w:rsidRPr="00333DC4">
        <w:rPr>
          <w:i/>
        </w:rPr>
        <w:lastRenderedPageBreak/>
        <w:t>may be strongly inhibited by protease inhibitors such as azole antifungals and some calcium channel blockers.</w:t>
      </w:r>
    </w:p>
    <w:p w14:paraId="203B33F7" w14:textId="6AA6BAD9" w:rsidR="00576182" w:rsidRPr="00333DC4" w:rsidRDefault="00576182" w:rsidP="00333DC4">
      <w:pPr>
        <w:rPr>
          <w:i/>
        </w:rPr>
      </w:pPr>
      <w:r w:rsidRPr="00333DC4">
        <w:rPr>
          <w:i/>
        </w:rPr>
        <w:t xml:space="preserve">The influence of these drugs on the efficacy of LCS is not known, but theoretically the clinical effect is likely to be small due to the primarily local mechanism of action and because first pass </w:t>
      </w:r>
      <w:r w:rsidR="00333DC4">
        <w:rPr>
          <w:i/>
        </w:rPr>
        <w:t>metabolism is not significant’.</w:t>
      </w:r>
    </w:p>
    <w:p w14:paraId="1A454999" w14:textId="05E8568C" w:rsidR="00576182" w:rsidRDefault="00576182" w:rsidP="00333DC4">
      <w:pPr>
        <w:pStyle w:val="Heading4"/>
      </w:pPr>
      <w:bookmarkStart w:id="114" w:name="_Toc272414634"/>
      <w:bookmarkStart w:id="115" w:name="_Toc290888483"/>
      <w:bookmarkStart w:id="116" w:name="_Toc416353680"/>
      <w:bookmarkStart w:id="117" w:name="_Toc432079131"/>
      <w:bookmarkStart w:id="118" w:name="_Toc432080704"/>
      <w:r w:rsidRPr="00333DC4">
        <w:t>Clinical implications of in vitro findings</w:t>
      </w:r>
      <w:bookmarkEnd w:id="114"/>
      <w:bookmarkEnd w:id="115"/>
      <w:bookmarkEnd w:id="116"/>
      <w:bookmarkEnd w:id="117"/>
      <w:bookmarkEnd w:id="118"/>
    </w:p>
    <w:p w14:paraId="3D4CEF2F" w14:textId="40C4CD41" w:rsidR="00333DC4" w:rsidRPr="00333DC4" w:rsidRDefault="00333DC4" w:rsidP="00333DC4">
      <w:r w:rsidRPr="004068E7">
        <w:t xml:space="preserve">See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017964DF" w14:textId="77777777" w:rsidR="00576182" w:rsidRDefault="00576182" w:rsidP="00576182">
      <w:pPr>
        <w:pStyle w:val="Heading3"/>
      </w:pPr>
      <w:bookmarkStart w:id="119" w:name="_Toc416353681"/>
      <w:bookmarkStart w:id="120" w:name="_Toc421005250"/>
      <w:bookmarkStart w:id="121" w:name="_Toc432079132"/>
      <w:bookmarkStart w:id="122" w:name="_Toc432080705"/>
      <w:bookmarkStart w:id="123" w:name="_Toc462903817"/>
      <w:bookmarkStart w:id="124" w:name="_Toc499043849"/>
      <w:r w:rsidRPr="00545B14">
        <w:t>Evaluator’s overall conclusions on pharmacokinetics</w:t>
      </w:r>
      <w:bookmarkEnd w:id="119"/>
      <w:bookmarkEnd w:id="120"/>
      <w:bookmarkEnd w:id="121"/>
      <w:bookmarkEnd w:id="122"/>
      <w:bookmarkEnd w:id="123"/>
      <w:bookmarkEnd w:id="124"/>
    </w:p>
    <w:p w14:paraId="37862AED" w14:textId="0F7739B0" w:rsidR="00576182" w:rsidRPr="00333DC4" w:rsidRDefault="00576182" w:rsidP="00333DC4">
      <w:r w:rsidRPr="00333DC4">
        <w:t xml:space="preserve">The pharmacokinetic profile of LNG has been described </w:t>
      </w:r>
      <w:r w:rsidR="00333DC4" w:rsidRPr="00333DC4">
        <w:t>in the previous submission</w:t>
      </w:r>
      <w:r w:rsidRPr="00333DC4">
        <w:t xml:space="preserve"> for the lower strength product LCS12 (Jaydess). The current submission included additional PK data from the two clinical studie</w:t>
      </w:r>
      <w:r w:rsidR="00333DC4" w:rsidRPr="00333DC4">
        <w:t xml:space="preserve">s to support the longer term (5 </w:t>
      </w:r>
      <w:r w:rsidRPr="00333DC4">
        <w:t>year) use of LCS16.</w:t>
      </w:r>
    </w:p>
    <w:p w14:paraId="3129A73E" w14:textId="6E79C06E" w:rsidR="00576182" w:rsidRPr="00333DC4" w:rsidRDefault="00576182" w:rsidP="00333DC4">
      <w:r w:rsidRPr="00333DC4">
        <w:t>Release of LNG occurs immediately after insertion of LCS16. The in vivo release rates calculated over the 5 year period demonstrate a reduction over the first 12 months, with rates remaining relatively stable thereafter to 5 years. T</w:t>
      </w:r>
      <w:r w:rsidR="00333DC4" w:rsidRPr="00333DC4">
        <w:t>he mean release rate over the 5 year period was 9.0 µ</w:t>
      </w:r>
      <w:r w:rsidRPr="00333DC4">
        <w:t>g</w:t>
      </w:r>
      <w:r w:rsidR="00333DC4" w:rsidRPr="00333DC4">
        <w:t>/</w:t>
      </w:r>
      <w:r w:rsidRPr="00333DC4">
        <w:t>day. By comparison, t</w:t>
      </w:r>
      <w:r w:rsidR="00333DC4" w:rsidRPr="00333DC4">
        <w:t xml:space="preserve">he mean release rate over the 3 </w:t>
      </w:r>
      <w:r w:rsidRPr="00333DC4">
        <w:t xml:space="preserve">year period for LCS12 </w:t>
      </w:r>
      <w:r w:rsidR="00333DC4" w:rsidRPr="00333DC4">
        <w:t>was 6.4 µ</w:t>
      </w:r>
      <w:r w:rsidRPr="00333DC4">
        <w:t>g/day.</w:t>
      </w:r>
    </w:p>
    <w:p w14:paraId="2E7A1496" w14:textId="3D83FE29" w:rsidR="00576182" w:rsidRPr="00333DC4" w:rsidRDefault="00576182" w:rsidP="00333DC4">
      <w:r w:rsidRPr="00333DC4">
        <w:t xml:space="preserve">As both LCS16 and LCS12 mainly act locally, the following comments from the </w:t>
      </w:r>
      <w:r w:rsidR="005B79F0">
        <w:t>clinical e</w:t>
      </w:r>
      <w:r w:rsidRPr="00333DC4">
        <w:t xml:space="preserve">valuator of </w:t>
      </w:r>
      <w:r w:rsidR="005B79F0">
        <w:t>the Jaydess submission</w:t>
      </w:r>
      <w:r w:rsidR="00333DC4">
        <w:t xml:space="preserve"> are endorsed:</w:t>
      </w:r>
    </w:p>
    <w:p w14:paraId="4091A037" w14:textId="058669CD" w:rsidR="00576182" w:rsidRPr="00333DC4" w:rsidRDefault="00333DC4" w:rsidP="00333DC4">
      <w:pPr>
        <w:rPr>
          <w:i/>
        </w:rPr>
      </w:pPr>
      <w:r w:rsidRPr="00333DC4">
        <w:rPr>
          <w:i/>
        </w:rPr>
        <w:t>‘</w:t>
      </w:r>
      <w:r w:rsidR="00576182" w:rsidRPr="00333DC4">
        <w:rPr>
          <w:i/>
        </w:rPr>
        <w:t>LCS12 acts primarily via local effects on the endometrium and cervix therefore systemic concentrations, drug interactions, pharmacogenetic factors and food are of less relevance than for oral administration of LNG such as in oral contraceptives. Further the systemic concentrations are &gt;</w:t>
      </w:r>
      <w:r w:rsidR="005B79F0">
        <w:rPr>
          <w:i/>
        </w:rPr>
        <w:t> </w:t>
      </w:r>
      <w:r w:rsidR="00576182" w:rsidRPr="00333DC4">
        <w:rPr>
          <w:i/>
        </w:rPr>
        <w:t>30 fold more with oral contrace</w:t>
      </w:r>
      <w:r w:rsidR="005B79F0">
        <w:rPr>
          <w:i/>
        </w:rPr>
        <w:t xml:space="preserve">ptive use than with the LNG IUS… </w:t>
      </w:r>
      <w:r w:rsidR="00576182" w:rsidRPr="00333DC4">
        <w:rPr>
          <w:i/>
        </w:rPr>
        <w:t>There were no pharmacokinetic issues of concern in healthy fertile women as studied in the large trials and there are no further pharmacokinetic studies that need to be undertaken for the requested indication</w:t>
      </w:r>
      <w:r w:rsidRPr="00333DC4">
        <w:rPr>
          <w:i/>
        </w:rPr>
        <w:t>’.</w:t>
      </w:r>
    </w:p>
    <w:p w14:paraId="2DBC2D42" w14:textId="7C767369" w:rsidR="00576182" w:rsidRPr="00333DC4" w:rsidRDefault="00576182" w:rsidP="00333DC4">
      <w:r w:rsidRPr="00333DC4">
        <w:t>Given the effect of bodyweight on LNG clearan</w:t>
      </w:r>
      <w:r w:rsidR="005B79F0">
        <w:t>ce, the clinical e</w:t>
      </w:r>
      <w:r w:rsidRPr="00333DC4">
        <w:t xml:space="preserve">valuator of </w:t>
      </w:r>
      <w:r w:rsidR="005B79F0">
        <w:t>Jaydess submission</w:t>
      </w:r>
      <w:r w:rsidRPr="00333DC4">
        <w:t xml:space="preserve"> did raise the issue of use of LCS12 in obese women:</w:t>
      </w:r>
    </w:p>
    <w:p w14:paraId="53A3FDB0" w14:textId="079D6F25" w:rsidR="00E41C43" w:rsidRPr="00E41C43" w:rsidRDefault="005B79F0" w:rsidP="00E41C43">
      <w:r w:rsidRPr="005B79F0">
        <w:rPr>
          <w:i/>
        </w:rPr>
        <w:t>‘</w:t>
      </w:r>
      <w:r w:rsidR="00576182" w:rsidRPr="005B79F0">
        <w:rPr>
          <w:i/>
        </w:rPr>
        <w:t>On examining the pharmacometric</w:t>
      </w:r>
      <w:r w:rsidRPr="005B79F0">
        <w:rPr>
          <w:i/>
        </w:rPr>
        <w:t xml:space="preserve"> work on clearance in the obese, </w:t>
      </w:r>
      <w:r w:rsidR="00576182" w:rsidRPr="005B79F0">
        <w:rPr>
          <w:i/>
        </w:rPr>
        <w:t xml:space="preserve">it suggests it is important that pharmacovigilance is undertaken in obese women with Jaydess. Although the clinical data did not show a higher pregnancy rate in this group, it is possible from the </w:t>
      </w:r>
      <w:r w:rsidRPr="005B79F0">
        <w:rPr>
          <w:i/>
        </w:rPr>
        <w:t>pharmacokinetic simulation data’</w:t>
      </w:r>
      <w:r>
        <w:t xml:space="preserve">. See Section: </w:t>
      </w:r>
      <w:r w:rsidR="00576182" w:rsidRPr="00333DC4">
        <w:t>Clinical Efficacy and S</w:t>
      </w:r>
      <w:r>
        <w:t xml:space="preserve">ection: </w:t>
      </w:r>
      <w:r w:rsidR="00333DC4">
        <w:t>Clinical Questions</w:t>
      </w:r>
      <w:r>
        <w:t>, below</w:t>
      </w:r>
      <w:r w:rsidR="00333DC4">
        <w:t>.</w:t>
      </w:r>
    </w:p>
    <w:p w14:paraId="084A2E28" w14:textId="453E8708" w:rsidR="00586F98" w:rsidRDefault="00586F98" w:rsidP="00586F98">
      <w:pPr>
        <w:pStyle w:val="Heading2"/>
      </w:pPr>
      <w:bookmarkStart w:id="125" w:name="_Toc499043850"/>
      <w:r>
        <w:t>Pharmacodynamics</w:t>
      </w:r>
      <w:bookmarkEnd w:id="125"/>
    </w:p>
    <w:p w14:paraId="6222AC4A" w14:textId="44D70015" w:rsidR="005B79F0" w:rsidRDefault="005B79F0" w:rsidP="005B79F0">
      <w:pPr>
        <w:pStyle w:val="Heading3"/>
      </w:pPr>
      <w:bookmarkStart w:id="126" w:name="_Toc499043851"/>
      <w:r>
        <w:t>Studies providing pharmacodynamic information</w:t>
      </w:r>
      <w:bookmarkEnd w:id="126"/>
    </w:p>
    <w:p w14:paraId="67387C61" w14:textId="776975DE" w:rsidR="005B79F0" w:rsidRDefault="005B79F0" w:rsidP="005B79F0">
      <w:pPr>
        <w:rPr>
          <w:lang w:eastAsia="ja-JP"/>
        </w:rPr>
      </w:pPr>
      <w:r>
        <w:rPr>
          <w:lang w:eastAsia="ja-JP"/>
        </w:rPr>
        <w:t>Pharmacodynamic information included effects on ovulation, cervical mucus, endometrium, serum oestradiol concentration. Data was provided in the Phase II Study A46796, and the Phase III LCS 16 efficacy study.</w:t>
      </w:r>
    </w:p>
    <w:p w14:paraId="7D088BD9" w14:textId="3F398B68" w:rsidR="005B79F0" w:rsidRDefault="005B79F0" w:rsidP="005B79F0">
      <w:pPr>
        <w:pStyle w:val="Heading3"/>
      </w:pPr>
      <w:bookmarkStart w:id="127" w:name="_Toc499043852"/>
      <w:r>
        <w:t>Summary of pharmacodynamics</w:t>
      </w:r>
      <w:bookmarkEnd w:id="127"/>
    </w:p>
    <w:p w14:paraId="4BE9F247" w14:textId="26E3B7C6" w:rsidR="005B79F0" w:rsidRDefault="005B79F0" w:rsidP="005B79F0">
      <w:pPr>
        <w:pStyle w:val="Heading4"/>
      </w:pPr>
      <w:r>
        <w:t>Mechanism of action</w:t>
      </w:r>
    </w:p>
    <w:p w14:paraId="4E191498" w14:textId="31E6FB84" w:rsidR="005B79F0" w:rsidRDefault="005B79F0" w:rsidP="005B79F0">
      <w:pPr>
        <w:rPr>
          <w:lang w:eastAsia="ja-JP"/>
        </w:rPr>
      </w:pPr>
      <w:r>
        <w:rPr>
          <w:lang w:eastAsia="ja-JP"/>
        </w:rPr>
        <w:t>The mechanism of action is mainly local progestogenic effects within the uterine cavity. These effects include down</w:t>
      </w:r>
      <w:r w:rsidR="007A24E9">
        <w:rPr>
          <w:lang w:eastAsia="ja-JP"/>
        </w:rPr>
        <w:t xml:space="preserve"> </w:t>
      </w:r>
      <w:r>
        <w:rPr>
          <w:lang w:eastAsia="ja-JP"/>
        </w:rPr>
        <w:t xml:space="preserve">regulation of endometrial oestrogen and progesterone receptors resulting in an antiproliferative endometrium relatively insensitive to circulating oestradiol, thickening of </w:t>
      </w:r>
      <w:r>
        <w:rPr>
          <w:lang w:eastAsia="ja-JP"/>
        </w:rPr>
        <w:lastRenderedPageBreak/>
        <w:t>cervical mucus which impedes the passage of sperm, and inhibition of sperm motility and function.</w:t>
      </w:r>
    </w:p>
    <w:p w14:paraId="3337EB81" w14:textId="795D4E7A" w:rsidR="005B79F0" w:rsidRDefault="005B79F0" w:rsidP="005B79F0">
      <w:pPr>
        <w:pStyle w:val="Heading4"/>
      </w:pPr>
      <w:r>
        <w:t xml:space="preserve">Pharmacodynamic effects </w:t>
      </w:r>
    </w:p>
    <w:p w14:paraId="0DAC0B40" w14:textId="7BDE6A89" w:rsidR="005B79F0" w:rsidRDefault="005B79F0" w:rsidP="005B79F0">
      <w:pPr>
        <w:pStyle w:val="Heading5"/>
        <w:rPr>
          <w:lang w:eastAsia="ja-JP"/>
        </w:rPr>
      </w:pPr>
      <w:r>
        <w:rPr>
          <w:lang w:eastAsia="ja-JP"/>
        </w:rPr>
        <w:t>Primary pharmacodynamic effects</w:t>
      </w:r>
    </w:p>
    <w:p w14:paraId="1C385E56" w14:textId="141EB033" w:rsidR="005B79F0" w:rsidRDefault="005B79F0" w:rsidP="005B79F0">
      <w:pPr>
        <w:pStyle w:val="Heading6"/>
        <w:rPr>
          <w:lang w:eastAsia="ja-JP"/>
        </w:rPr>
      </w:pPr>
      <w:r>
        <w:rPr>
          <w:lang w:eastAsia="ja-JP"/>
        </w:rPr>
        <w:t>Ovarian function</w:t>
      </w:r>
    </w:p>
    <w:p w14:paraId="2950FA25" w14:textId="5FDAE35F" w:rsidR="005B79F0" w:rsidRDefault="005B79F0" w:rsidP="005B79F0">
      <w:pPr>
        <w:rPr>
          <w:lang w:eastAsia="ja-JP"/>
        </w:rPr>
      </w:pPr>
      <w:r>
        <w:rPr>
          <w:lang w:eastAsia="ja-JP"/>
        </w:rPr>
        <w:t>In both clinical studies, ovulation was assessed by serum progesterone (and serum oestradiol in Study A46796) measurements taken twice a week for six weeks in the second half of each year (LCS12 Years 1 to 3 and LCS16 Years 1 to 5) in subsets of 7 to 21 women per treatment group.</w:t>
      </w:r>
    </w:p>
    <w:p w14:paraId="677DDE45" w14:textId="590302BD" w:rsidR="005B79F0" w:rsidRDefault="005B79F0" w:rsidP="005B79F0">
      <w:r>
        <w:rPr>
          <w:lang w:eastAsia="ja-JP"/>
        </w:rPr>
        <w:t>In Study A46796, the clinical evaluator for the previous Jaydess submission stated there was evidence of ovulation was observed in most women in all examinations in the LCS16 group (n = 15), except in the first year during which 2 women were anovulatory. For the LCS12 group (n = 21) evidence of ovulation was observed in all women at all examinations where an assessment was possible, and for the Mirena group (n = 17), there was a greater tendency for anovulation (4 women in the first year, 2 in the second and 1 in the third) (</w:t>
      </w:r>
      <w:r>
        <w:t>s</w:t>
      </w:r>
      <w:r w:rsidRPr="004068E7">
        <w:t xml:space="preserve">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38C8022A" w14:textId="67058C84" w:rsidR="005B79F0" w:rsidRDefault="005B79F0" w:rsidP="005B79F0">
      <w:r>
        <w:rPr>
          <w:lang w:eastAsia="ja-JP"/>
        </w:rPr>
        <w:t xml:space="preserve">In the Phase III LCS16 efficacy study, ovulation was based on serum progesterone values (threshold &gt; 2.5 ng/mL). </w:t>
      </w:r>
      <w:r w:rsidRPr="004068E7">
        <w:t xml:space="preserve">See </w:t>
      </w:r>
      <w:r>
        <w:t>the AusPAR/Attachment 2 for the previous Jaydess submission for the 3 year results.</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r>
        <w:t xml:space="preserve"> </w:t>
      </w:r>
      <w:r>
        <w:rPr>
          <w:lang w:eastAsia="ja-JP"/>
        </w:rPr>
        <w:t>In the subset of women treated with LCS16, evidence of ovulation was shown for 11 of 12 women in Year 1, 9 of 10 in Year 2, 7 of 7 in Year 3 and 1 of 1 in Year 4. There were no subjects left in the subset in Year 5. The same results were observed with a higher threshold of &gt; 3.0 ng/mL.</w:t>
      </w:r>
    </w:p>
    <w:p w14:paraId="6C07D0EF" w14:textId="5418CA5B" w:rsidR="005B79F0" w:rsidRDefault="005B79F0" w:rsidP="005B79F0">
      <w:pPr>
        <w:pStyle w:val="Heading6"/>
        <w:rPr>
          <w:lang w:eastAsia="ja-JP"/>
        </w:rPr>
      </w:pPr>
      <w:r>
        <w:rPr>
          <w:lang w:eastAsia="ja-JP"/>
        </w:rPr>
        <w:t>Cervical function</w:t>
      </w:r>
    </w:p>
    <w:p w14:paraId="36E6C8A4" w14:textId="33D78D21" w:rsidR="005B79F0" w:rsidRDefault="005B79F0" w:rsidP="005B79F0">
      <w:pPr>
        <w:rPr>
          <w:lang w:eastAsia="ja-JP"/>
        </w:rPr>
      </w:pPr>
      <w:r>
        <w:rPr>
          <w:lang w:eastAsia="ja-JP"/>
        </w:rPr>
        <w:t>The Delegate for the previous Jaydess submission noted low cervical scores, indicating thickening of cervical mucus, was observed for all treatments in both Study A46796 and the 3 year Study A52238. For the LCS16 group, there was one subject left in the subset in Year 4, with a low mean total cervical score reported.</w:t>
      </w:r>
    </w:p>
    <w:p w14:paraId="4EAC0156" w14:textId="62CEBCF8" w:rsidR="005B79F0" w:rsidRDefault="005B79F0" w:rsidP="005B79F0">
      <w:pPr>
        <w:pStyle w:val="Heading6"/>
        <w:rPr>
          <w:lang w:eastAsia="ja-JP"/>
        </w:rPr>
      </w:pPr>
      <w:r>
        <w:rPr>
          <w:lang w:eastAsia="ja-JP"/>
        </w:rPr>
        <w:t>Endometrial histology</w:t>
      </w:r>
    </w:p>
    <w:p w14:paraId="46DF8230" w14:textId="19E9C37D" w:rsidR="005B79F0" w:rsidRDefault="005B79F0" w:rsidP="005B79F0">
      <w:pPr>
        <w:rPr>
          <w:lang w:eastAsia="ja-JP"/>
        </w:rPr>
      </w:pPr>
      <w:r>
        <w:rPr>
          <w:lang w:eastAsia="ja-JP"/>
        </w:rPr>
        <w:t>For Study A46796 and the 3</w:t>
      </w:r>
      <w:r w:rsidR="007A24E9">
        <w:rPr>
          <w:lang w:eastAsia="ja-JP"/>
        </w:rPr>
        <w:t xml:space="preserve"> </w:t>
      </w:r>
      <w:r>
        <w:rPr>
          <w:lang w:eastAsia="ja-JP"/>
        </w:rPr>
        <w:t xml:space="preserve">year Study A52238, the Delegate for the previous Jaydess submission stated endometrial biopsies were taken on a yearly basis up to the end of the 3 year period in subsets of 30 per treatment arm in both studies. The Delegate reported </w:t>
      </w:r>
      <w:r w:rsidRPr="00442B64">
        <w:rPr>
          <w:i/>
          <w:lang w:eastAsia="ja-JP"/>
        </w:rPr>
        <w:t>‘a strong progestin effect and secretory endometrium was observed in the majority of cases indicating a high degree of endometrial</w:t>
      </w:r>
      <w:r w:rsidR="00442B64" w:rsidRPr="00442B64">
        <w:rPr>
          <w:i/>
          <w:lang w:eastAsia="ja-JP"/>
        </w:rPr>
        <w:t xml:space="preserve"> suppression during treatment’</w:t>
      </w:r>
      <w:r w:rsidR="00442B64">
        <w:rPr>
          <w:lang w:eastAsia="ja-JP"/>
        </w:rPr>
        <w:t>.</w:t>
      </w:r>
    </w:p>
    <w:p w14:paraId="01125224" w14:textId="3A801073" w:rsidR="005B79F0" w:rsidRDefault="005B79F0" w:rsidP="005B79F0">
      <w:pPr>
        <w:rPr>
          <w:lang w:eastAsia="ja-JP"/>
        </w:rPr>
      </w:pPr>
      <w:r>
        <w:rPr>
          <w:lang w:eastAsia="ja-JP"/>
        </w:rPr>
        <w:t>Endome</w:t>
      </w:r>
      <w:r w:rsidR="00442B64">
        <w:rPr>
          <w:lang w:eastAsia="ja-JP"/>
        </w:rPr>
        <w:t>trial histology was studied at B</w:t>
      </w:r>
      <w:r>
        <w:rPr>
          <w:lang w:eastAsia="ja-JP"/>
        </w:rPr>
        <w:t xml:space="preserve">aseline and once a year in a subset of 29 women treated with LCS16 (15 in </w:t>
      </w:r>
      <w:r w:rsidR="00442B64">
        <w:rPr>
          <w:lang w:eastAsia="ja-JP"/>
        </w:rPr>
        <w:t xml:space="preserve">extension group and 14 in the 3 </w:t>
      </w:r>
      <w:r>
        <w:rPr>
          <w:lang w:eastAsia="ja-JP"/>
        </w:rPr>
        <w:t>year group) in the Phase III LCS16 efficacy study. A reduction in oestrogen effect an increase in progesterone effect was observed during the first year of treatment and remained stab</w:t>
      </w:r>
      <w:r w:rsidR="00442B64">
        <w:rPr>
          <w:lang w:eastAsia="ja-JP"/>
        </w:rPr>
        <w:t>le during the study period. At B</w:t>
      </w:r>
      <w:r>
        <w:rPr>
          <w:lang w:eastAsia="ja-JP"/>
        </w:rPr>
        <w:t>aseline the endometrium was proliferative in 26 subjects and secretory in 2 subjects; by the end of study, the endometrium was secretory in all subjects whose endometrium could be classified (n = 10). A marked progesterone effect on the endometrium was observed at all time points wit</w:t>
      </w:r>
      <w:r w:rsidR="00442B64">
        <w:rPr>
          <w:lang w:eastAsia="ja-JP"/>
        </w:rPr>
        <w:t>h no abnormal changes reported.</w:t>
      </w:r>
    </w:p>
    <w:p w14:paraId="36E5E64D" w14:textId="49BEF8FC" w:rsidR="005B79F0" w:rsidRDefault="005B79F0" w:rsidP="00442B64">
      <w:pPr>
        <w:pStyle w:val="Heading6"/>
        <w:rPr>
          <w:lang w:eastAsia="ja-JP"/>
        </w:rPr>
      </w:pPr>
      <w:r>
        <w:rPr>
          <w:lang w:eastAsia="ja-JP"/>
        </w:rPr>
        <w:t>Serum oestradiol concentration</w:t>
      </w:r>
    </w:p>
    <w:p w14:paraId="0048FE5E" w14:textId="5AEC8762" w:rsidR="005B79F0" w:rsidRDefault="00442B64" w:rsidP="005B79F0">
      <w:r>
        <w:rPr>
          <w:lang w:eastAsia="ja-JP"/>
        </w:rPr>
        <w:t>The clinical e</w:t>
      </w:r>
      <w:r w:rsidR="005B79F0">
        <w:rPr>
          <w:lang w:eastAsia="ja-JP"/>
        </w:rPr>
        <w:t xml:space="preserve">valuator for </w:t>
      </w:r>
      <w:r>
        <w:rPr>
          <w:lang w:eastAsia="ja-JP"/>
        </w:rPr>
        <w:t xml:space="preserve">the previous Jaydess submission </w:t>
      </w:r>
      <w:r w:rsidR="005B79F0">
        <w:rPr>
          <w:lang w:eastAsia="ja-JP"/>
        </w:rPr>
        <w:t>noted the variability in serum oestradiol concentrations (samples collected twice a week</w:t>
      </w:r>
      <w:r>
        <w:rPr>
          <w:lang w:eastAsia="ja-JP"/>
        </w:rPr>
        <w:t xml:space="preserve"> for 6 weeks per year) in Study </w:t>
      </w:r>
      <w:r w:rsidR="005B79F0">
        <w:rPr>
          <w:lang w:eastAsia="ja-JP"/>
        </w:rPr>
        <w:t>A52238 (</w:t>
      </w:r>
      <w:r>
        <w:t>s</w:t>
      </w:r>
      <w:r w:rsidRPr="004068E7">
        <w:t xml:space="preserve">ee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r>
        <w:t xml:space="preserve"> </w:t>
      </w:r>
      <w:r w:rsidR="005B79F0">
        <w:rPr>
          <w:lang w:eastAsia="ja-JP"/>
        </w:rPr>
        <w:t>The Delegate noted the oestradiol values were stated to fall within the normal range for menstrual cycles (C</w:t>
      </w:r>
      <w:r w:rsidR="005B79F0" w:rsidRPr="00442B64">
        <w:rPr>
          <w:vertAlign w:val="subscript"/>
          <w:lang w:eastAsia="ja-JP"/>
        </w:rPr>
        <w:t>av</w:t>
      </w:r>
      <w:r w:rsidR="005B79F0">
        <w:rPr>
          <w:lang w:eastAsia="ja-JP"/>
        </w:rPr>
        <w:t xml:space="preserve"> values were between 98.8 and 126.6 pg/mL). For the LCS16 treatment arm, the mean average values also showed variability (range 94 pg/mL an</w:t>
      </w:r>
      <w:r>
        <w:rPr>
          <w:lang w:eastAsia="ja-JP"/>
        </w:rPr>
        <w:t xml:space="preserve">d 112 pg/mL) during the first </w:t>
      </w:r>
      <w:r>
        <w:rPr>
          <w:lang w:eastAsia="ja-JP"/>
        </w:rPr>
        <w:lastRenderedPageBreak/>
        <w:t>3 </w:t>
      </w:r>
      <w:r w:rsidR="005B79F0">
        <w:rPr>
          <w:lang w:eastAsia="ja-JP"/>
        </w:rPr>
        <w:t>years, within the typical range for normal menstrual cycles. Oestradiol was measured for only 1 subject in Year 4, and no subjects in Year 5.</w:t>
      </w:r>
    </w:p>
    <w:p w14:paraId="0B530EBB" w14:textId="0F7FC239" w:rsidR="005B79F0" w:rsidRDefault="005B79F0" w:rsidP="00442B64">
      <w:pPr>
        <w:pStyle w:val="Heading3"/>
      </w:pPr>
      <w:bookmarkStart w:id="128" w:name="_Toc499043853"/>
      <w:r>
        <w:t>Evaluator’s overall conclusions on pharmacodynamics</w:t>
      </w:r>
      <w:bookmarkEnd w:id="128"/>
    </w:p>
    <w:p w14:paraId="0ACF0671" w14:textId="11139475" w:rsidR="005B79F0" w:rsidRPr="005B79F0" w:rsidRDefault="005B79F0" w:rsidP="005B79F0">
      <w:pPr>
        <w:rPr>
          <w:lang w:eastAsia="ja-JP"/>
        </w:rPr>
      </w:pPr>
      <w:r>
        <w:rPr>
          <w:lang w:eastAsia="ja-JP"/>
        </w:rPr>
        <w:t>LCS16 acts primarily via local effects within the uterine cavity and cervix. The majority</w:t>
      </w:r>
      <w:r w:rsidR="000D4E52">
        <w:rPr>
          <w:lang w:eastAsia="ja-JP"/>
        </w:rPr>
        <w:t xml:space="preserve"> of data were provided in the 3 </w:t>
      </w:r>
      <w:r>
        <w:rPr>
          <w:lang w:eastAsia="ja-JP"/>
        </w:rPr>
        <w:t>year Study A52238, with few subjects remaining within the subset for assessment during the extension phase. However, no change in pharmacodynamic effect would be expected in the extension phase given the release rates and serum concentrations of LNG over time as discussed above. Evidence of ovulation was present in a</w:t>
      </w:r>
      <w:r w:rsidR="00442B64">
        <w:rPr>
          <w:lang w:eastAsia="ja-JP"/>
        </w:rPr>
        <w:t xml:space="preserve">lmost all subjects during the 3 </w:t>
      </w:r>
      <w:r>
        <w:rPr>
          <w:lang w:eastAsia="ja-JP"/>
        </w:rPr>
        <w:t>year study suggesting serum LNG concentrations were not sufficient to exert an inhibitory effect on ovulation. There was variability in circulating oestradiol levels, although values remained within the range for normal menstrual cycles. A strong progestogenic effect on the endometrium and cervix was observed indicating a high degree of endometrial suppression and thickening of cervical mucus respectivel</w:t>
      </w:r>
      <w:r w:rsidR="00442B64">
        <w:rPr>
          <w:lang w:eastAsia="ja-JP"/>
        </w:rPr>
        <w:t>y.</w:t>
      </w:r>
    </w:p>
    <w:p w14:paraId="46BE483C" w14:textId="791F8556" w:rsidR="00335D06" w:rsidRDefault="00C22678" w:rsidP="00335D06">
      <w:pPr>
        <w:pStyle w:val="Heading2"/>
      </w:pPr>
      <w:bookmarkStart w:id="129" w:name="_Toc499043854"/>
      <w:r>
        <w:t>Clinical efficacy</w:t>
      </w:r>
      <w:bookmarkEnd w:id="129"/>
    </w:p>
    <w:p w14:paraId="35A39C7C" w14:textId="77777777" w:rsidR="00EA7CD0" w:rsidRDefault="00EA7CD0" w:rsidP="00EA7CD0">
      <w:pPr>
        <w:pStyle w:val="Heading3"/>
        <w:spacing w:before="0"/>
      </w:pPr>
      <w:bookmarkStart w:id="130" w:name="_Toc462903823"/>
      <w:bookmarkStart w:id="131" w:name="_Toc499043855"/>
      <w:bookmarkStart w:id="132" w:name="_Toc416353716"/>
      <w:bookmarkStart w:id="133" w:name="_Toc421005269"/>
      <w:bookmarkStart w:id="134" w:name="_Toc432079151"/>
      <w:bookmarkStart w:id="135" w:name="_Toc432080724"/>
      <w:r w:rsidRPr="00545B14">
        <w:t xml:space="preserve">Studies providing evaluable </w:t>
      </w:r>
      <w:r>
        <w:t>efficacy</w:t>
      </w:r>
      <w:r w:rsidRPr="00545B14">
        <w:t xml:space="preserve"> data</w:t>
      </w:r>
      <w:bookmarkEnd w:id="130"/>
      <w:bookmarkEnd w:id="131"/>
    </w:p>
    <w:p w14:paraId="6C611EB2" w14:textId="3F1295DD" w:rsidR="00EA7CD0" w:rsidRPr="00EA7CD0" w:rsidRDefault="00EA7CD0" w:rsidP="00EA7CD0">
      <w:r w:rsidRPr="00EA7CD0">
        <w:t>The two clinical efficacy studies providing evaluable data were the Phase II Study Protocol 308901 (CSR A46796) and the pivotal Phase III LCS16 efficacy Study Protocol 91665/310442 (CSRs A52238 and PH-37274). Study A46796 and the 3 year Study A52238 have been evaluated previously in the Jaydess submission; this report will cro</w:t>
      </w:r>
      <w:r w:rsidR="0025409C">
        <w:t>ss reference the Clinical Evalu</w:t>
      </w:r>
      <w:r w:rsidRPr="00EA7CD0">
        <w:t>ation Report and the Delegat</w:t>
      </w:r>
      <w:r w:rsidR="00DA2B54">
        <w:t>e’s Overview where appropriate [</w:t>
      </w:r>
      <w:r w:rsidRPr="00EA7CD0">
        <w:t xml:space="preserve">details of which are available via the AusPAR/Attachment 2 for </w:t>
      </w:r>
      <w:r w:rsidR="00DA2B54">
        <w:t>the previous Jaydess submission]</w:t>
      </w:r>
      <w:r w:rsidRPr="00EA7CD0">
        <w:t>.</w:t>
      </w:r>
      <w:r w:rsidRPr="00EA7CD0">
        <w:rPr>
          <w:vertAlign w:val="superscript"/>
        </w:rPr>
        <w:fldChar w:fldCharType="begin"/>
      </w:r>
      <w:r w:rsidRPr="00EA7CD0">
        <w:rPr>
          <w:vertAlign w:val="superscript"/>
        </w:rPr>
        <w:instrText xml:space="preserve"> NOTEREF _Ref492070565 \h  \* MERGEFORMAT </w:instrText>
      </w:r>
      <w:r w:rsidRPr="00EA7CD0">
        <w:rPr>
          <w:vertAlign w:val="superscript"/>
        </w:rPr>
      </w:r>
      <w:r w:rsidRPr="00EA7CD0">
        <w:rPr>
          <w:vertAlign w:val="superscript"/>
        </w:rPr>
        <w:fldChar w:fldCharType="separate"/>
      </w:r>
      <w:r w:rsidR="009A3335">
        <w:rPr>
          <w:vertAlign w:val="superscript"/>
        </w:rPr>
        <w:t>4</w:t>
      </w:r>
      <w:r w:rsidRPr="00EA7CD0">
        <w:rPr>
          <w:vertAlign w:val="superscript"/>
        </w:rPr>
        <w:fldChar w:fldCharType="end"/>
      </w:r>
      <w:r w:rsidRPr="00EA7CD0">
        <w:t xml:space="preserve"> The submission includes new data from the 5 year Study PH-37274.</w:t>
      </w:r>
    </w:p>
    <w:p w14:paraId="64E3721F" w14:textId="77777777" w:rsidR="00EA7CD0" w:rsidRPr="00EA7CD0" w:rsidRDefault="00EA7CD0" w:rsidP="00EA7CD0">
      <w:pPr>
        <w:pStyle w:val="Heading3"/>
      </w:pPr>
      <w:bookmarkStart w:id="136" w:name="_Toc462903824"/>
      <w:bookmarkStart w:id="137" w:name="_Toc499043856"/>
      <w:r w:rsidRPr="00EA7CD0">
        <w:t>Pivotal or main efficacy studies</w:t>
      </w:r>
      <w:bookmarkEnd w:id="132"/>
      <w:bookmarkEnd w:id="133"/>
      <w:bookmarkEnd w:id="134"/>
      <w:bookmarkEnd w:id="135"/>
      <w:bookmarkEnd w:id="136"/>
      <w:bookmarkEnd w:id="137"/>
    </w:p>
    <w:p w14:paraId="049DF8FD" w14:textId="77777777" w:rsidR="00EA7CD0" w:rsidRPr="00EA7CD0" w:rsidRDefault="00EA7CD0" w:rsidP="00EA7CD0">
      <w:pPr>
        <w:pStyle w:val="Heading4"/>
      </w:pPr>
      <w:r w:rsidRPr="00EA7CD0">
        <w:t>Study 91665/310442</w:t>
      </w:r>
    </w:p>
    <w:p w14:paraId="3B65C0B3" w14:textId="77777777" w:rsidR="00EA7CD0" w:rsidRPr="00EA7CD0" w:rsidRDefault="00EA7CD0" w:rsidP="00EA7CD0">
      <w:pPr>
        <w:pStyle w:val="Heading5"/>
      </w:pPr>
      <w:r w:rsidRPr="00EA7CD0">
        <w:t>Study design, objectives, locations and dates</w:t>
      </w:r>
    </w:p>
    <w:p w14:paraId="5EFF8418" w14:textId="13EF2E77" w:rsidR="00EA7CD0" w:rsidRPr="00EA7CD0" w:rsidRDefault="00EA7CD0" w:rsidP="00EA7CD0">
      <w:r w:rsidRPr="00EA7CD0">
        <w:t>Study 91665/310442 was a</w:t>
      </w:r>
      <w:r>
        <w:t xml:space="preserve"> multi</w:t>
      </w:r>
      <w:r w:rsidRPr="00EA7CD0">
        <w:t>centre</w:t>
      </w:r>
      <w:r>
        <w:t xml:space="preserve">, open </w:t>
      </w:r>
      <w:r w:rsidRPr="00EA7CD0">
        <w:t>la</w:t>
      </w:r>
      <w:r>
        <w:t xml:space="preserve">bel, randomised, 2 arm parallel </w:t>
      </w:r>
      <w:r w:rsidRPr="00EA7CD0">
        <w:t xml:space="preserve">group study to assess the safety and contraceptive efficacy of two doses </w:t>
      </w:r>
      <w:r>
        <w:t>(LCS12 (</w:t>
      </w:r>
      <w:r w:rsidRPr="00EA7CD0">
        <w:t>in vitro 12</w:t>
      </w:r>
      <w:r>
        <w:t xml:space="preserve"> µ</w:t>
      </w:r>
      <w:r w:rsidRPr="00EA7CD0">
        <w:t>g/24 h</w:t>
      </w:r>
      <w:r>
        <w:t>)</w:t>
      </w:r>
      <w:r w:rsidRPr="00EA7CD0">
        <w:t xml:space="preserve"> </w:t>
      </w:r>
      <w:r>
        <w:t>and LCS16 (</w:t>
      </w:r>
      <w:r w:rsidRPr="00EA7CD0">
        <w:t>in vitro 16</w:t>
      </w:r>
      <w:r>
        <w:t xml:space="preserve"> µ</w:t>
      </w:r>
      <w:r w:rsidRPr="00EA7CD0">
        <w:t>g/24 h</w:t>
      </w:r>
      <w:r>
        <w:t>)</w:t>
      </w:r>
      <w:r w:rsidRPr="00EA7CD0">
        <w:t>) of low dose levonorgestrel contraceptive intrauterine systems (LCS) in healthy women aged 18 to 35 years for a maximum of 3 years. The study also included an open</w:t>
      </w:r>
      <w:r>
        <w:t xml:space="preserve"> label single </w:t>
      </w:r>
      <w:r w:rsidRPr="00EA7CD0">
        <w:t>arm extension phase of the LCS16 group up to 5 years, whi</w:t>
      </w:r>
      <w:r w:rsidR="000D4E52">
        <w:t>ch is the focus of this report.</w:t>
      </w:r>
    </w:p>
    <w:p w14:paraId="1917423E" w14:textId="3EB86651" w:rsidR="00EA7CD0" w:rsidRPr="00EA7CD0" w:rsidRDefault="00EA7CD0" w:rsidP="00EA7CD0">
      <w:r w:rsidRPr="00EA7CD0">
        <w:t>The study population comprised 2884 healthy nulli</w:t>
      </w:r>
      <w:r w:rsidR="007A24E9">
        <w:t xml:space="preserve">parous and parous women aged 18 to </w:t>
      </w:r>
      <w:r w:rsidRPr="00EA7CD0">
        <w:t>35 years in need of contraception. Subjects were randomised in a 1</w:t>
      </w:r>
      <w:r w:rsidR="007A24E9">
        <w:t>:1 ratio to either the LCS12 (n = </w:t>
      </w:r>
      <w:r w:rsidRPr="00EA7CD0">
        <w:t>1432) or LCS16 (n = 1452) treatment arms. At the end of the three years, there were 707 subjects in the LCS16 treatment arm who continued in to the single-arm extension study. There was no control group.</w:t>
      </w:r>
    </w:p>
    <w:p w14:paraId="55CE863C" w14:textId="0CF144A5" w:rsidR="00EA7CD0" w:rsidRPr="00EA7CD0" w:rsidRDefault="00EA7CD0" w:rsidP="00EA7CD0">
      <w:r w:rsidRPr="00EA7CD0">
        <w:t xml:space="preserve">The primary efficacy variable was pregnancy rate, calculated as the </w:t>
      </w:r>
      <w:r w:rsidR="00626A92">
        <w:t>Pearl Index</w:t>
      </w:r>
      <w:r w:rsidRPr="00EA7CD0">
        <w:t xml:space="preserve"> (PI; number of pregnancies per 100 woman</w:t>
      </w:r>
      <w:r w:rsidR="007A24E9">
        <w:t>-</w:t>
      </w:r>
      <w:r w:rsidRPr="00EA7CD0">
        <w:t>years) and life-table analysis. Secondary variables included bleeding pattern, return to fertility and user satisfaction. After the baseline visit, study visits were conducted at 3 monthly inter</w:t>
      </w:r>
      <w:r w:rsidR="00616387">
        <w:t xml:space="preserve">vals for the first year, then 6 </w:t>
      </w:r>
      <w:r w:rsidRPr="00EA7CD0">
        <w:t>monthly until the</w:t>
      </w:r>
      <w:r w:rsidR="00616387">
        <w:t xml:space="preserve"> Year 3</w:t>
      </w:r>
      <w:r w:rsidRPr="00EA7CD0">
        <w:t xml:space="preserve"> </w:t>
      </w:r>
      <w:r w:rsidR="00616387">
        <w:t xml:space="preserve">end of </w:t>
      </w:r>
      <w:r w:rsidRPr="00EA7CD0">
        <w:t xml:space="preserve">study visit. </w:t>
      </w:r>
      <w:r w:rsidR="00616387">
        <w:t xml:space="preserve">For the LCS16 single </w:t>
      </w:r>
      <w:r w:rsidRPr="00EA7CD0">
        <w:t>arm extension study, there were</w:t>
      </w:r>
      <w:r w:rsidR="009E23DC">
        <w:t xml:space="preserve"> 4 additional study visits at 6 </w:t>
      </w:r>
      <w:r w:rsidRPr="00EA7CD0">
        <w:t>monthly intervals from 36 to 60 months. Serum pregnancy testing was performed at screening, and interim visits as needed. Urine pregnancy testing was performed at</w:t>
      </w:r>
      <w:r w:rsidR="00616387">
        <w:t xml:space="preserve"> B</w:t>
      </w:r>
      <w:r w:rsidRPr="00EA7CD0">
        <w:t>aseline, Visit 10 (36 months), Visit 12 (48 months) and Visit 14 (60 months)</w:t>
      </w:r>
      <w:r w:rsidR="000D4E52">
        <w:t>.</w:t>
      </w:r>
    </w:p>
    <w:p w14:paraId="19A149F5" w14:textId="73540A71" w:rsidR="00EA7CD0" w:rsidRPr="00EA7CD0" w:rsidRDefault="00EA7CD0" w:rsidP="00EA7CD0">
      <w:r w:rsidRPr="00EA7CD0">
        <w:lastRenderedPageBreak/>
        <w:t>The study was conducted at 138 sites (109 sites during the extension phase) across Europe, North Ame</w:t>
      </w:r>
      <w:r w:rsidR="009E23DC">
        <w:t>rica and South America from 20 August 2007 to 7 June 2013. There were 6 </w:t>
      </w:r>
      <w:r w:rsidRPr="00EA7CD0">
        <w:t>amendments to the original study protocol</w:t>
      </w:r>
      <w:r w:rsidR="000D4E52">
        <w:t>.</w:t>
      </w:r>
    </w:p>
    <w:p w14:paraId="5B9EE91C" w14:textId="77777777" w:rsidR="00EA7CD0" w:rsidRPr="00616387" w:rsidRDefault="00EA7CD0" w:rsidP="00616387">
      <w:pPr>
        <w:pStyle w:val="Heading5"/>
      </w:pPr>
      <w:r w:rsidRPr="00616387">
        <w:t>Inclusion and exclusion criteria</w:t>
      </w:r>
    </w:p>
    <w:p w14:paraId="12D03ABF" w14:textId="1A6878DC" w:rsidR="00EA7CD0" w:rsidRPr="00616387" w:rsidRDefault="00EA7CD0" w:rsidP="00616387">
      <w:r w:rsidRPr="00616387">
        <w:t>Inclus</w:t>
      </w:r>
      <w:r w:rsidR="00616387">
        <w:t xml:space="preserve">ion criteria were women aged 18 to </w:t>
      </w:r>
      <w:r w:rsidRPr="00616387">
        <w:t>35 years inclusive seeking contraception with regular menstrual cycle</w:t>
      </w:r>
      <w:r w:rsidR="00616387" w:rsidRPr="00616387">
        <w:t>s and in otherwise good health.</w:t>
      </w:r>
    </w:p>
    <w:p w14:paraId="60E8CCC0" w14:textId="599F75BF" w:rsidR="00EA7CD0" w:rsidRPr="00616387" w:rsidRDefault="00EA7CD0" w:rsidP="00616387">
      <w:r w:rsidRPr="00616387">
        <w:t>Exclusion criteria included delivery or abortion within 6 weeks, history of ectopic pregnancy, PID, clinically significant ovarian cysts, congenital or acquired uterine anomalies, any distortion of the uterine cavity likely to cause problems (in the opinion of the investigator) during insertion, retention or removal of the LCS, concomitant use of other sex</w:t>
      </w:r>
      <w:r w:rsidR="007A24E9">
        <w:t xml:space="preserve"> </w:t>
      </w:r>
      <w:r w:rsidRPr="00616387">
        <w:t>hormone containing preparations, and use of any long-acting injectable sex</w:t>
      </w:r>
      <w:r w:rsidR="007A24E9">
        <w:t xml:space="preserve"> </w:t>
      </w:r>
      <w:r w:rsidRPr="00616387">
        <w:t>hormone preparations within 12 months prio</w:t>
      </w:r>
      <w:r w:rsidR="000D4E52">
        <w:t>r to start of study medication.</w:t>
      </w:r>
    </w:p>
    <w:p w14:paraId="5E03C6D4" w14:textId="77777777" w:rsidR="00EA7CD0" w:rsidRPr="00616387" w:rsidRDefault="00EA7CD0" w:rsidP="00616387">
      <w:pPr>
        <w:pStyle w:val="Heading5"/>
      </w:pPr>
      <w:r w:rsidRPr="00616387">
        <w:t>Study treatments</w:t>
      </w:r>
    </w:p>
    <w:p w14:paraId="6E2C5D08" w14:textId="6863FC36" w:rsidR="00EA7CD0" w:rsidRDefault="00EA7CD0" w:rsidP="00EA7CD0">
      <w:r w:rsidRPr="00616387">
        <w:t>Subjects were randomised in a 1:1 ratio to either the LCS12 (n = 1432) or LCS16 (n = 1452) treatment arms.</w:t>
      </w:r>
    </w:p>
    <w:p w14:paraId="36F9DBF7" w14:textId="77777777" w:rsidR="00EA7CD0" w:rsidRPr="00616387" w:rsidRDefault="00EA7CD0" w:rsidP="00616387">
      <w:pPr>
        <w:pStyle w:val="Heading5"/>
      </w:pPr>
      <w:r w:rsidRPr="00616387">
        <w:t>Efficacy variables and outcomes</w:t>
      </w:r>
    </w:p>
    <w:p w14:paraId="68267781" w14:textId="6A7EF083" w:rsidR="00EA7CD0" w:rsidRPr="00616387" w:rsidRDefault="00EA7CD0" w:rsidP="00616387">
      <w:r w:rsidRPr="00616387">
        <w:t xml:space="preserve">The primary efficacy variable was the occurrence of pregnancy, determined by the </w:t>
      </w:r>
      <w:r w:rsidR="00626A92">
        <w:t>Pearl Index</w:t>
      </w:r>
      <w:r w:rsidRPr="00616387">
        <w:t xml:space="preserve"> (number of pregnancies per 100 woman-years). As a secondary analysis</w:t>
      </w:r>
      <w:r w:rsidR="00F30F86">
        <w:t>,</w:t>
      </w:r>
      <w:r w:rsidRPr="00616387">
        <w:t xml:space="preserve"> t</w:t>
      </w:r>
      <w:r w:rsidR="00F30F86">
        <w:t>he cumulative failure rate (that is,</w:t>
      </w:r>
      <w:r w:rsidRPr="00616387">
        <w:t xml:space="preserve"> the probability of getting pregnant) was calculated using the Kaplan-Meier method.</w:t>
      </w:r>
    </w:p>
    <w:p w14:paraId="336A1CAA" w14:textId="784E8760" w:rsidR="00EA7CD0" w:rsidRPr="00616387" w:rsidRDefault="00EA7CD0" w:rsidP="00616387">
      <w:r w:rsidRPr="00616387">
        <w:t>Secondary efficacy variables were:</w:t>
      </w:r>
    </w:p>
    <w:p w14:paraId="0B5C2D8B" w14:textId="50AA5661" w:rsidR="00616387" w:rsidRDefault="00616387" w:rsidP="00616387">
      <w:pPr>
        <w:pStyle w:val="ListBullet"/>
      </w:pPr>
      <w:r>
        <w:t>T</w:t>
      </w:r>
      <w:r w:rsidR="00EA7CD0" w:rsidRPr="00616387">
        <w:t>reatment compliance</w:t>
      </w:r>
      <w:r>
        <w:t>:</w:t>
      </w:r>
    </w:p>
    <w:p w14:paraId="08DA7ACE" w14:textId="355B7AED" w:rsidR="00EA7CD0" w:rsidRPr="00616387" w:rsidRDefault="00616387" w:rsidP="00616387">
      <w:pPr>
        <w:pStyle w:val="ListBullet2"/>
      </w:pPr>
      <w:r>
        <w:t>d</w:t>
      </w:r>
      <w:r w:rsidR="00EA7CD0" w:rsidRPr="00616387">
        <w:t>etermined by location of IUS by ultrasound examination, performed at each study visit. Compliance was met if the IUS location was in the fundal position (in situ) or displaced but still completely within the uterine cavity (displaced intrauterine). The presence of the removal threads was also checked at each visit.</w:t>
      </w:r>
    </w:p>
    <w:p w14:paraId="73FE2C82" w14:textId="1BCC4332" w:rsidR="00616387" w:rsidRDefault="00616387" w:rsidP="00616387">
      <w:pPr>
        <w:pStyle w:val="ListBullet"/>
      </w:pPr>
      <w:r>
        <w:t>U</w:t>
      </w:r>
      <w:r w:rsidR="00EA7CD0" w:rsidRPr="00616387">
        <w:t>terine bleeding pattern</w:t>
      </w:r>
      <w:r>
        <w:t>:</w:t>
      </w:r>
    </w:p>
    <w:p w14:paraId="3A28349D" w14:textId="42779042" w:rsidR="00EA7CD0" w:rsidRPr="00616387" w:rsidRDefault="00616387" w:rsidP="00616387">
      <w:pPr>
        <w:pStyle w:val="ListBullet2"/>
      </w:pPr>
      <w:r>
        <w:t>b</w:t>
      </w:r>
      <w:r w:rsidR="00EA7CD0" w:rsidRPr="00616387">
        <w:t xml:space="preserve">leeding </w:t>
      </w:r>
      <w:r w:rsidR="00F30F86">
        <w:t>indices</w:t>
      </w:r>
      <w:r w:rsidR="00EA7CD0" w:rsidRPr="00616387">
        <w:t xml:space="preserve"> were based on subject diary data. A reference period of 90 days was to be used to present bleeding events, with 30 day reference periods used for the first year. The proportion of women with amenorrhea, prolonged, frequent, infrequent and irregular bleeding was calc</w:t>
      </w:r>
      <w:r w:rsidR="009E23DC">
        <w:t>ulated according to</w:t>
      </w:r>
      <w:r w:rsidR="00EA7CD0" w:rsidRPr="00616387">
        <w:t xml:space="preserve"> </w:t>
      </w:r>
      <w:r w:rsidR="00EA7CD0" w:rsidRPr="009E23DC">
        <w:t>WHO criteria</w:t>
      </w:r>
      <w:r w:rsidR="00EA7CD0" w:rsidRPr="00616387">
        <w:t>.</w:t>
      </w:r>
    </w:p>
    <w:p w14:paraId="11C265C4" w14:textId="77777777" w:rsidR="00616387" w:rsidRDefault="00616387" w:rsidP="00616387">
      <w:pPr>
        <w:pStyle w:val="ListBullet"/>
      </w:pPr>
      <w:r>
        <w:t>U</w:t>
      </w:r>
      <w:r w:rsidR="00EA7CD0" w:rsidRPr="00616387">
        <w:t>ser satisfaction</w:t>
      </w:r>
      <w:r>
        <w:t>:</w:t>
      </w:r>
    </w:p>
    <w:p w14:paraId="7EC5B7A2" w14:textId="1370513D" w:rsidR="00EA7CD0" w:rsidRPr="00616387" w:rsidRDefault="00EA7CD0" w:rsidP="00616387">
      <w:pPr>
        <w:pStyle w:val="ListBullet2"/>
      </w:pPr>
      <w:r w:rsidRPr="00616387">
        <w:t>based on the user satisfaction questionnaire.</w:t>
      </w:r>
    </w:p>
    <w:p w14:paraId="1CC0241C" w14:textId="77777777" w:rsidR="00616387" w:rsidRPr="00616387" w:rsidRDefault="00616387" w:rsidP="00616387">
      <w:pPr>
        <w:pStyle w:val="ListBullet"/>
      </w:pPr>
      <w:r w:rsidRPr="00616387">
        <w:t>R</w:t>
      </w:r>
      <w:r w:rsidR="00EA7CD0" w:rsidRPr="00616387">
        <w:t>eturn to fertility:</w:t>
      </w:r>
    </w:p>
    <w:p w14:paraId="0AD1A0F5" w14:textId="6C1F3F05" w:rsidR="00EA7CD0" w:rsidRDefault="00616387" w:rsidP="00616387">
      <w:pPr>
        <w:pStyle w:val="ListBullet2"/>
      </w:pPr>
      <w:r>
        <w:t>a</w:t>
      </w:r>
      <w:r w:rsidR="00EA7CD0" w:rsidRPr="00D6395A">
        <w:t>ll women were contacted at 3 months after the end of study treatment</w:t>
      </w:r>
      <w:r w:rsidR="00EA7CD0">
        <w:t xml:space="preserve"> to record any pregnancies occurring after LCS removal. </w:t>
      </w:r>
      <w:r w:rsidR="00EA7CD0" w:rsidRPr="00D6395A">
        <w:t>Those women who discontinued treatment due to desire for pregnancy were to contact the study site if they fell pregnant within</w:t>
      </w:r>
      <w:r>
        <w:t xml:space="preserve"> 3 </w:t>
      </w:r>
      <w:r w:rsidR="00EA7CD0" w:rsidRPr="00D6395A">
        <w:t>months after the end of study visit, otherwise were contacted at 12 months to assess post-treatment pregnancy outcomes.</w:t>
      </w:r>
    </w:p>
    <w:p w14:paraId="27188876" w14:textId="77777777" w:rsidR="00EA7CD0" w:rsidRPr="00616387" w:rsidRDefault="00EA7CD0" w:rsidP="00616387">
      <w:pPr>
        <w:pStyle w:val="Heading5"/>
      </w:pPr>
      <w:r w:rsidRPr="00616387">
        <w:t>Randomisation and blinding methods</w:t>
      </w:r>
    </w:p>
    <w:p w14:paraId="7337DCD7" w14:textId="77777777" w:rsidR="00EA7CD0" w:rsidRPr="00616387" w:rsidRDefault="00EA7CD0" w:rsidP="00616387">
      <w:r w:rsidRPr="00616387">
        <w:t>Treatment was assigned using a computerised randomisation list prepared for each study site. Subjects were randomised in a 1:1 ratio to either treatment arm. Subjects were blinded to treatment allocation. For those subjects in the LCS16 treatment group, the study treatment was revealed at Visit 9 (30 months); these subjects were informed they could continue the study treatment for up to 5 years.</w:t>
      </w:r>
    </w:p>
    <w:p w14:paraId="04D51DC0" w14:textId="559F3B22" w:rsidR="00EA7CD0" w:rsidRDefault="00EA7CD0" w:rsidP="00EA7CD0">
      <w:r w:rsidRPr="00616387">
        <w:lastRenderedPageBreak/>
        <w:t>The study was open, although all evaluators of efficacy or safety outcomes, except for investigators and study nurses, were to remain blinded to treatment as far as possible.</w:t>
      </w:r>
    </w:p>
    <w:p w14:paraId="7EE3048C" w14:textId="77777777" w:rsidR="00EA7CD0" w:rsidRPr="00616387" w:rsidDel="0081373E" w:rsidRDefault="00EA7CD0" w:rsidP="00616387">
      <w:pPr>
        <w:pStyle w:val="Heading5"/>
      </w:pPr>
      <w:r w:rsidRPr="00616387">
        <w:t>Analysis populations</w:t>
      </w:r>
    </w:p>
    <w:p w14:paraId="3482F119" w14:textId="18DE7EFC" w:rsidR="00EA7CD0" w:rsidRPr="00616387" w:rsidRDefault="00EA7CD0" w:rsidP="00616387">
      <w:r w:rsidRPr="00616387">
        <w:t xml:space="preserve">All safety and efficacy assessments were conducted on the full analysis set (FAS), which included all randomised subjects who received treatment (at least one insertion attempt), using the treatment actually received. </w:t>
      </w:r>
    </w:p>
    <w:p w14:paraId="1E682CE4" w14:textId="77777777" w:rsidR="00EA7CD0" w:rsidRPr="00616387" w:rsidRDefault="00EA7CD0" w:rsidP="00616387">
      <w:r w:rsidRPr="00616387">
        <w:t>In total, 2871 (99.5%) women had successful insertions:</w:t>
      </w:r>
    </w:p>
    <w:p w14:paraId="1D8EF462" w14:textId="43D0A36B" w:rsidR="00EA7CD0" w:rsidRPr="00616387" w:rsidRDefault="00EA7CD0" w:rsidP="00616387">
      <w:pPr>
        <w:pStyle w:val="ListBullet"/>
      </w:pPr>
      <w:r w:rsidRPr="00616387">
        <w:t>LCS12: 1426 women (n = 1380 successful at the first attempt and n = 46 successful at the second attempt</w:t>
      </w:r>
      <w:r w:rsidR="00616387">
        <w:t>).</w:t>
      </w:r>
    </w:p>
    <w:p w14:paraId="50137C11" w14:textId="0FE734A1" w:rsidR="00EA7CD0" w:rsidRPr="00616387" w:rsidRDefault="00EA7CD0" w:rsidP="00616387">
      <w:pPr>
        <w:pStyle w:val="ListBullet"/>
      </w:pPr>
      <w:r w:rsidRPr="00616387">
        <w:t>LCS16: 1445 women (n = 1390 successful at the first attempt and n = 55 successful at the second attempt).</w:t>
      </w:r>
    </w:p>
    <w:p w14:paraId="7F2EAEC9" w14:textId="26617C13" w:rsidR="00EA7CD0" w:rsidRPr="00616387" w:rsidRDefault="00EA7CD0" w:rsidP="00616387">
      <w:r w:rsidRPr="00616387">
        <w:t>All women with an unsuccessful insertion were included in the FAS (n = 13; LCS12 = 6 and LSC16 = 7). The FAS comprised 2884 subjects for the 3</w:t>
      </w:r>
      <w:r w:rsidR="007A24E9">
        <w:t xml:space="preserve"> </w:t>
      </w:r>
      <w:r w:rsidRPr="00616387">
        <w:t>year study and 1452 subjects for the single</w:t>
      </w:r>
      <w:r w:rsidR="007A24E9">
        <w:t xml:space="preserve"> </w:t>
      </w:r>
      <w:r w:rsidRPr="00616387">
        <w:t>arm LCS16 extension phase.</w:t>
      </w:r>
    </w:p>
    <w:p w14:paraId="02E0EFC5" w14:textId="6A757556" w:rsidR="00EA7CD0" w:rsidRPr="00616387" w:rsidRDefault="00EA7CD0" w:rsidP="00616387">
      <w:r w:rsidRPr="00616387">
        <w:t>Additional variables (ovarian and cervical function, endometrial histology, pharmacokinetics and bone mineral density) were studied in 4 subsets in pre-selected centres. Those subjects participating in the extension phase in the LCS16 treatment arm were to continue in their respective subset.</w:t>
      </w:r>
    </w:p>
    <w:p w14:paraId="0A5AF8CA" w14:textId="77777777" w:rsidR="00EA7CD0" w:rsidRPr="00616387" w:rsidRDefault="00EA7CD0" w:rsidP="00616387">
      <w:pPr>
        <w:pStyle w:val="Heading5"/>
      </w:pPr>
      <w:r w:rsidRPr="00616387" w:rsidDel="0081373E">
        <w:t>S</w:t>
      </w:r>
      <w:r w:rsidRPr="00616387">
        <w:t>ample size</w:t>
      </w:r>
    </w:p>
    <w:p w14:paraId="5F0714E8" w14:textId="2C53585B" w:rsidR="00EA7CD0" w:rsidRPr="00616387" w:rsidRDefault="00EA7CD0" w:rsidP="00616387">
      <w:r w:rsidRPr="00616387">
        <w:t xml:space="preserve">Assuming a true </w:t>
      </w:r>
      <w:r w:rsidR="00626A92">
        <w:t>Pearl Index</w:t>
      </w:r>
      <w:r w:rsidRPr="00616387">
        <w:t xml:space="preserve"> of 1.0, annual drop</w:t>
      </w:r>
      <w:r w:rsidR="007A24E9">
        <w:t>-</w:t>
      </w:r>
      <w:r w:rsidRPr="00616387">
        <w:t>out rate of 15%, and reduction in exposure time by an additional 2% (due to the use of an additional concomi</w:t>
      </w:r>
      <w:r w:rsidR="00F30F86">
        <w:t>tant contraceptive method) the s</w:t>
      </w:r>
      <w:r w:rsidRPr="00616387">
        <w:t>ponsor states there should be 1410 subjects per treatment group to end with sufficient exposure time in the third year of treatment. This sample size would be sufficient for the extension phase of the study; assuming a yearly drop-out rate of 20% and that only 50% of the women completing the 3 years of LCS16 treatment will continue in the extension phase, the number of women who will complete 5 years of LCS16 treatment will s</w:t>
      </w:r>
      <w:r w:rsidR="00F30F86">
        <w:t>till be approximately 237. The s</w:t>
      </w:r>
      <w:r w:rsidRPr="00616387">
        <w:t>ponsor states this is in accordance with the EMA guideline Guideline on clinical investigation of steroid contraceptives in women (EMA/CPMP/EWP/519/ Rev1, July 2005) which requires that the number of women completing the claimed duration of use should be at least 200 for long-acting products.</w:t>
      </w:r>
    </w:p>
    <w:p w14:paraId="5043A7FD" w14:textId="633A8757" w:rsidR="00EA7CD0" w:rsidRDefault="00EA7CD0" w:rsidP="00EA7CD0">
      <w:r w:rsidRPr="00616387">
        <w:t>There were a total of 2884 patients randomised to either of the treatment groups (</w:t>
      </w:r>
      <w:r w:rsidR="00616387">
        <w:t>LCS12 = </w:t>
      </w:r>
      <w:r w:rsidRPr="00616387">
        <w:t>1432 and LCS16 = 1452). There were 707 subjects in the LCS16 treatment arm who conti</w:t>
      </w:r>
      <w:r w:rsidR="00616387">
        <w:t>nued in to the extension study.</w:t>
      </w:r>
    </w:p>
    <w:p w14:paraId="4E907617" w14:textId="77777777" w:rsidR="00EA7CD0" w:rsidRPr="00616387" w:rsidRDefault="00EA7CD0" w:rsidP="00616387">
      <w:pPr>
        <w:pStyle w:val="Heading5"/>
      </w:pPr>
      <w:r w:rsidRPr="00616387">
        <w:t>Statistical methods</w:t>
      </w:r>
    </w:p>
    <w:p w14:paraId="3F33CAE9" w14:textId="41410867" w:rsidR="00EA7CD0" w:rsidRPr="00616387" w:rsidRDefault="00EA7CD0" w:rsidP="00616387">
      <w:r w:rsidRPr="00616387">
        <w:t xml:space="preserve">The main statistical analysis was to be conducted after all patients had completed the originally planned 3 years of treatment. The statistical analysis was to be based on all data up to 3 years of treatment for each subject. The LCS16 treatment arm was to be analysed again after 5 years of treatment. The primary efficacy variable was the occurrence of pregnancy, calculated as the </w:t>
      </w:r>
      <w:r w:rsidR="00626A92">
        <w:t>Pearl Index</w:t>
      </w:r>
      <w:r w:rsidRPr="00616387">
        <w:t xml:space="preserve"> with 2-sided 95% confidence intervals. Several different </w:t>
      </w:r>
      <w:r w:rsidR="00626A92">
        <w:t xml:space="preserve">Pearl </w:t>
      </w:r>
      <w:r w:rsidR="00F30F86">
        <w:t>Indices</w:t>
      </w:r>
      <w:r w:rsidR="00616387">
        <w:t xml:space="preserve"> were calculated, as the s</w:t>
      </w:r>
      <w:r w:rsidRPr="00616387">
        <w:t xml:space="preserve">ponsor states the usual assumption for the calculation of the </w:t>
      </w:r>
      <w:r w:rsidR="00626A92">
        <w:t>Pearl Index</w:t>
      </w:r>
      <w:r w:rsidRPr="00616387">
        <w:t xml:space="preserve"> is a constant hazard for the event of becoming pregnant over time and this could not necessarily be assumed for the experim</w:t>
      </w:r>
      <w:r w:rsidR="00616387">
        <w:t>ental treatments of this study.</w:t>
      </w:r>
    </w:p>
    <w:p w14:paraId="40FC1939" w14:textId="5F10784D" w:rsidR="00EA7CD0" w:rsidRPr="00616387" w:rsidRDefault="00EA7CD0" w:rsidP="00616387">
      <w:r w:rsidRPr="00616387">
        <w:t>For the fi</w:t>
      </w:r>
      <w:r w:rsidR="00616387">
        <w:t xml:space="preserve">rst three years the following </w:t>
      </w:r>
      <w:r w:rsidR="00626A92">
        <w:t xml:space="preserve">Pearl </w:t>
      </w:r>
      <w:r w:rsidR="00F30F86">
        <w:t>Indices</w:t>
      </w:r>
      <w:r w:rsidRPr="00616387">
        <w:t xml:space="preserve"> were calculated:</w:t>
      </w:r>
    </w:p>
    <w:p w14:paraId="680D1995" w14:textId="7797104E" w:rsidR="00EA7CD0" w:rsidRPr="00616387" w:rsidRDefault="00AC0401" w:rsidP="00AC0401">
      <w:pPr>
        <w:pStyle w:val="ListBullet"/>
      </w:pPr>
      <w:r>
        <w:t xml:space="preserve">First year </w:t>
      </w:r>
      <w:r w:rsidR="00626A92">
        <w:t>Pearl Index</w:t>
      </w:r>
      <w:r w:rsidR="00EA7CD0" w:rsidRPr="00616387">
        <w:t xml:space="preserve">: </w:t>
      </w:r>
      <w:r w:rsidR="00626A92">
        <w:t>Pearl Index</w:t>
      </w:r>
      <w:r w:rsidR="00EA7CD0" w:rsidRPr="00616387">
        <w:t xml:space="preserve"> obtained in the first year of treatment (number of pregnancies that occurred during the first year of treatment divided by time the women were at risk of getting pregnant in the first year of treatment)</w:t>
      </w:r>
      <w:r>
        <w:t>.</w:t>
      </w:r>
    </w:p>
    <w:p w14:paraId="39F6B59F" w14:textId="018F59AF" w:rsidR="00EA7CD0" w:rsidRPr="00616387" w:rsidRDefault="00EA7CD0" w:rsidP="00AC0401">
      <w:pPr>
        <w:pStyle w:val="ListBullet"/>
      </w:pPr>
      <w:r w:rsidRPr="00616387">
        <w:lastRenderedPageBreak/>
        <w:t xml:space="preserve">Second year </w:t>
      </w:r>
      <w:r w:rsidR="00626A92">
        <w:t>Pearl Index</w:t>
      </w:r>
      <w:r w:rsidRPr="00616387">
        <w:t xml:space="preserve">: </w:t>
      </w:r>
      <w:r w:rsidR="00626A92">
        <w:t>Pearl Index</w:t>
      </w:r>
      <w:r w:rsidRPr="00616387">
        <w:t xml:space="preserve"> obtained in the second year of treatment (number of pregnancies that occurred during the second year of treatment divided by time the women were at risk of getting pregnant in the second year of treatment)</w:t>
      </w:r>
      <w:r w:rsidR="00AC0401">
        <w:t>.</w:t>
      </w:r>
    </w:p>
    <w:p w14:paraId="18CAAF05" w14:textId="48EFA8CB" w:rsidR="00EA7CD0" w:rsidRPr="00616387" w:rsidRDefault="00EA7CD0" w:rsidP="00AC0401">
      <w:pPr>
        <w:pStyle w:val="ListBullet"/>
      </w:pPr>
      <w:r w:rsidRPr="00616387">
        <w:t xml:space="preserve">Third year </w:t>
      </w:r>
      <w:r w:rsidR="00626A92">
        <w:t>Pearl Index</w:t>
      </w:r>
      <w:r w:rsidRPr="00616387">
        <w:t xml:space="preserve">: </w:t>
      </w:r>
      <w:r w:rsidR="00626A92">
        <w:t>Pearl Index</w:t>
      </w:r>
      <w:r w:rsidRPr="00616387">
        <w:t xml:space="preserve"> obtained in the third year of treatment (number of pregnancies that occurred during the third year of treatment divided by time the women were at risk of getting pregnant in the third year of treatment).</w:t>
      </w:r>
    </w:p>
    <w:p w14:paraId="19F8B632" w14:textId="70A3BD6D" w:rsidR="00EA7CD0" w:rsidRPr="00616387" w:rsidRDefault="00AC0401" w:rsidP="00AC0401">
      <w:pPr>
        <w:pStyle w:val="ListBullet"/>
      </w:pPr>
      <w:r>
        <w:t>2</w:t>
      </w:r>
      <w:r w:rsidR="00EA7CD0" w:rsidRPr="00616387">
        <w:t xml:space="preserve"> year </w:t>
      </w:r>
      <w:r w:rsidR="00626A92">
        <w:t>Pearl Index</w:t>
      </w:r>
      <w:r w:rsidR="00EA7CD0" w:rsidRPr="00616387">
        <w:t xml:space="preserve">: </w:t>
      </w:r>
      <w:r w:rsidR="00626A92">
        <w:t>Pearl Index</w:t>
      </w:r>
      <w:r w:rsidR="00EA7CD0" w:rsidRPr="00616387">
        <w:t xml:space="preserve"> obtained in the first </w:t>
      </w:r>
      <w:r>
        <w:t>2</w:t>
      </w:r>
      <w:r w:rsidR="00EA7CD0" w:rsidRPr="00616387">
        <w:t xml:space="preserve"> years of treatment (number of pregnancies that occurred during the first </w:t>
      </w:r>
      <w:r>
        <w:t>2</w:t>
      </w:r>
      <w:r w:rsidR="00EA7CD0" w:rsidRPr="00616387">
        <w:t xml:space="preserve"> years of treatment divided by time the women were at risk of getting pregnant in the first two years of treatment).</w:t>
      </w:r>
    </w:p>
    <w:p w14:paraId="3FB63D9C" w14:textId="78790ECB" w:rsidR="00EA7CD0" w:rsidRPr="00616387" w:rsidRDefault="00AC0401" w:rsidP="00AC0401">
      <w:pPr>
        <w:pStyle w:val="ListBullet"/>
      </w:pPr>
      <w:r>
        <w:t>3</w:t>
      </w:r>
      <w:r w:rsidR="00EA7CD0" w:rsidRPr="00616387">
        <w:t xml:space="preserve"> year </w:t>
      </w:r>
      <w:r w:rsidR="00626A92">
        <w:t>Pearl Index</w:t>
      </w:r>
      <w:r w:rsidR="00EA7CD0" w:rsidRPr="00616387">
        <w:t xml:space="preserve">: </w:t>
      </w:r>
      <w:r w:rsidR="00626A92">
        <w:t>Pearl Index</w:t>
      </w:r>
      <w:r w:rsidR="00EA7CD0" w:rsidRPr="00616387">
        <w:t xml:space="preserve"> obtained in the first </w:t>
      </w:r>
      <w:r>
        <w:t>3</w:t>
      </w:r>
      <w:r w:rsidR="00EA7CD0" w:rsidRPr="00616387">
        <w:t xml:space="preserve"> years of treatment (number of pregnancies that occurred during the first </w:t>
      </w:r>
      <w:r>
        <w:t>3</w:t>
      </w:r>
      <w:r w:rsidR="00EA7CD0" w:rsidRPr="00616387">
        <w:t xml:space="preserve"> years of treatment divided by time the women were at risk of getting pregnant in the first three years of treatment).</w:t>
      </w:r>
    </w:p>
    <w:p w14:paraId="6B357392" w14:textId="47214556" w:rsidR="00EA7CD0" w:rsidRPr="00616387" w:rsidRDefault="00EA7CD0" w:rsidP="00AC0401">
      <w:pPr>
        <w:pStyle w:val="ListBullet"/>
      </w:pPr>
      <w:r w:rsidRPr="00616387">
        <w:t xml:space="preserve">Overall </w:t>
      </w:r>
      <w:r w:rsidR="00626A92">
        <w:t>Pearl Index</w:t>
      </w:r>
      <w:r w:rsidRPr="00616387">
        <w:t xml:space="preserve">: </w:t>
      </w:r>
      <w:r w:rsidR="00626A92">
        <w:t>Pearl Index</w:t>
      </w:r>
      <w:r w:rsidRPr="00616387">
        <w:t xml:space="preserve"> obtain</w:t>
      </w:r>
      <w:r w:rsidR="00AC0401">
        <w:t>ed during the whole study</w:t>
      </w:r>
      <w:r w:rsidR="002949F5">
        <w:t>,</w:t>
      </w:r>
      <w:r w:rsidR="00AC0401">
        <w:t xml:space="preserve"> that is</w:t>
      </w:r>
      <w:r w:rsidR="002949F5">
        <w:t>,</w:t>
      </w:r>
      <w:r w:rsidR="00AC0401">
        <w:t xml:space="preserve"> the </w:t>
      </w:r>
      <w:r w:rsidRPr="00616387">
        <w:t>number of pregnancies that occurred during treatment divided by the time the women were at risk of getting pregnant.</w:t>
      </w:r>
    </w:p>
    <w:p w14:paraId="7C9F9D99" w14:textId="688A91DA" w:rsidR="00EA7CD0" w:rsidRPr="00616387" w:rsidRDefault="00EA7CD0" w:rsidP="00AC0401">
      <w:r w:rsidRPr="00616387">
        <w:t xml:space="preserve">For the extended LCS16 treatment arm the following </w:t>
      </w:r>
      <w:r w:rsidR="00626A92">
        <w:t xml:space="preserve">Pearl </w:t>
      </w:r>
      <w:r w:rsidR="00F30F86">
        <w:t>Indices</w:t>
      </w:r>
      <w:r w:rsidRPr="00616387">
        <w:t xml:space="preserve"> were calculated:</w:t>
      </w:r>
    </w:p>
    <w:p w14:paraId="1F9B8F07" w14:textId="4BA90EF7" w:rsidR="00EA7CD0" w:rsidRPr="00616387" w:rsidRDefault="00EA7CD0" w:rsidP="00AC0401">
      <w:pPr>
        <w:pStyle w:val="ListBullet"/>
      </w:pPr>
      <w:r w:rsidRPr="00616387">
        <w:t xml:space="preserve">Fourth year </w:t>
      </w:r>
      <w:r w:rsidR="00626A92">
        <w:t>Pearl Index</w:t>
      </w:r>
      <w:r w:rsidRPr="00616387">
        <w:t xml:space="preserve">: </w:t>
      </w:r>
      <w:r w:rsidR="00626A92">
        <w:t>Pearl Index</w:t>
      </w:r>
      <w:r w:rsidR="00AC0401">
        <w:t xml:space="preserve"> </w:t>
      </w:r>
      <w:r w:rsidRPr="00616387">
        <w:t>obtained in the fourth year of treatment (number of pregnancies that occurred during the fourth year of treatment divided by time the women were at risk of getting pregnant in the fourth year of treatment</w:t>
      </w:r>
      <w:r w:rsidR="00616387" w:rsidRPr="00616387">
        <w:t>).</w:t>
      </w:r>
    </w:p>
    <w:p w14:paraId="5678DF03" w14:textId="0A6DB92E" w:rsidR="00EA7CD0" w:rsidRPr="00616387" w:rsidRDefault="00EA7CD0" w:rsidP="00AC0401">
      <w:pPr>
        <w:pStyle w:val="ListBullet"/>
      </w:pPr>
      <w:r w:rsidRPr="00616387">
        <w:t xml:space="preserve">Fifth year </w:t>
      </w:r>
      <w:r w:rsidR="00626A92">
        <w:t>Pearl Index</w:t>
      </w:r>
      <w:r w:rsidRPr="00616387">
        <w:t xml:space="preserve">: </w:t>
      </w:r>
      <w:r w:rsidR="00626A92">
        <w:t>Pearl Index</w:t>
      </w:r>
      <w:r w:rsidRPr="00616387">
        <w:t xml:space="preserve"> obtained in the fifth year of treatment (number of pregnancies that occurred during the fifth year of treatment divided by time the women were at risk of getting pregnant in the fifth year of treatment).</w:t>
      </w:r>
    </w:p>
    <w:p w14:paraId="69D75AA4" w14:textId="6869AA12" w:rsidR="00EA7CD0" w:rsidRPr="00616387" w:rsidRDefault="00AC0401" w:rsidP="00AC0401">
      <w:pPr>
        <w:pStyle w:val="ListBullet"/>
      </w:pPr>
      <w:r>
        <w:t xml:space="preserve">4 </w:t>
      </w:r>
      <w:r w:rsidR="00EA7CD0" w:rsidRPr="00616387">
        <w:t xml:space="preserve">year </w:t>
      </w:r>
      <w:r w:rsidR="00626A92">
        <w:t>Pearl Index</w:t>
      </w:r>
      <w:r w:rsidR="00EA7CD0" w:rsidRPr="00616387">
        <w:t xml:space="preserve">: </w:t>
      </w:r>
      <w:r w:rsidR="00626A92">
        <w:t>Pearl Index</w:t>
      </w:r>
      <w:r w:rsidR="00EA7CD0" w:rsidRPr="00616387">
        <w:t xml:space="preserve"> obtained in the first four years of treatment (number of pregnancies that occurred during the first four years of treatment divided by time the women were at risk of getting pregnant in the first four years of treatment).</w:t>
      </w:r>
    </w:p>
    <w:p w14:paraId="4695B913" w14:textId="34BAF9BA" w:rsidR="00EA7CD0" w:rsidRPr="00AC0401" w:rsidRDefault="00AC0401" w:rsidP="00AC0401">
      <w:pPr>
        <w:pStyle w:val="ListBullet"/>
      </w:pPr>
      <w:r>
        <w:t xml:space="preserve">5 </w:t>
      </w:r>
      <w:r w:rsidR="00EA7CD0" w:rsidRPr="00616387">
        <w:t xml:space="preserve">year </w:t>
      </w:r>
      <w:r w:rsidR="00626A92">
        <w:t>Pearl Index</w:t>
      </w:r>
      <w:r w:rsidR="00EA7CD0" w:rsidRPr="00616387">
        <w:t xml:space="preserve">: </w:t>
      </w:r>
      <w:r w:rsidR="00626A92">
        <w:t>Pearl Index</w:t>
      </w:r>
      <w:r w:rsidR="00EA7CD0" w:rsidRPr="00616387">
        <w:t xml:space="preserve"> obtained in the first five years of treatment (number of pregnancies that occurred during the first five years of treatment divided by time the women were at risk of getting pregnant in the first five years of treatment).</w:t>
      </w:r>
    </w:p>
    <w:p w14:paraId="3EABC9DF" w14:textId="5DE28CD4" w:rsidR="00EA7CD0" w:rsidRPr="00AC0401" w:rsidRDefault="00EA7CD0" w:rsidP="00AC0401">
      <w:r w:rsidRPr="00AC0401">
        <w:t xml:space="preserve">The </w:t>
      </w:r>
      <w:r w:rsidR="00626A92">
        <w:t>Pearl Index</w:t>
      </w:r>
      <w:r w:rsidRPr="00AC0401">
        <w:t xml:space="preserve"> was calculated as: </w:t>
      </w:r>
      <w:r w:rsidR="00626A92">
        <w:t>Pearl Index</w:t>
      </w:r>
      <w:r w:rsidRPr="00AC0401">
        <w:t xml:space="preserve"> = x/E, where x</w:t>
      </w:r>
      <w:r w:rsidR="00AC0401">
        <w:t xml:space="preserve"> = number of pregnancies, and E = </w:t>
      </w:r>
      <w:r w:rsidRPr="00AC0401">
        <w:t>exposure in 100 woman-years (one woman-year is 365 days of treatment exposure).</w:t>
      </w:r>
    </w:p>
    <w:p w14:paraId="5F6C4042" w14:textId="4D9B9007" w:rsidR="00EA7CD0" w:rsidRPr="00AC0401" w:rsidRDefault="00EA7CD0" w:rsidP="00AC0401">
      <w:r w:rsidRPr="00AC0401">
        <w:t xml:space="preserve">The </w:t>
      </w:r>
      <w:r w:rsidR="00626A92">
        <w:t xml:space="preserve">Pearl </w:t>
      </w:r>
      <w:r w:rsidR="00F30F86">
        <w:t>Indices</w:t>
      </w:r>
      <w:r w:rsidRPr="00AC0401">
        <w:t xml:space="preserve"> for the </w:t>
      </w:r>
      <w:r w:rsidR="00AC0401">
        <w:t>3</w:t>
      </w:r>
      <w:r w:rsidRPr="00AC0401">
        <w:t xml:space="preserve"> years of treatment (</w:t>
      </w:r>
      <w:r w:rsidR="00AC0401">
        <w:t xml:space="preserve">that is the 3 </w:t>
      </w:r>
      <w:r w:rsidRPr="00AC0401">
        <w:t xml:space="preserve">year </w:t>
      </w:r>
      <w:r w:rsidR="00626A92">
        <w:t>Pearl Index</w:t>
      </w:r>
      <w:r w:rsidRPr="00AC0401">
        <w:t>) and for the first year of treatment (</w:t>
      </w:r>
      <w:r w:rsidR="00AC0401">
        <w:t>that is, the</w:t>
      </w:r>
      <w:r w:rsidRPr="00AC0401">
        <w:t xml:space="preserve"> first year </w:t>
      </w:r>
      <w:r w:rsidR="00626A92">
        <w:t>Pearl Index</w:t>
      </w:r>
      <w:r w:rsidRPr="00AC0401">
        <w:t xml:space="preserve">) were the primary criteria to assess contraceptive reliability </w:t>
      </w:r>
      <w:r w:rsidR="00AC0401">
        <w:t xml:space="preserve">during the 3 </w:t>
      </w:r>
      <w:r w:rsidRPr="00AC0401">
        <w:t>ye</w:t>
      </w:r>
      <w:r w:rsidR="00AC0401">
        <w:t xml:space="preserve">ar two </w:t>
      </w:r>
      <w:r w:rsidRPr="00AC0401">
        <w:t>arm phase of the study.</w:t>
      </w:r>
    </w:p>
    <w:p w14:paraId="3D82E2E8" w14:textId="626DD9D8" w:rsidR="00EA7CD0" w:rsidRPr="00AC0401" w:rsidRDefault="00EA7CD0" w:rsidP="00AC0401">
      <w:r w:rsidRPr="00AC0401">
        <w:t xml:space="preserve">The primary outcome for the extension phase of the study was </w:t>
      </w:r>
      <w:r w:rsidR="00AC0401">
        <w:t xml:space="preserve">the overall </w:t>
      </w:r>
      <w:r w:rsidR="00626A92">
        <w:t>Pearl Index</w:t>
      </w:r>
      <w:r w:rsidRPr="00AC0401">
        <w:t xml:space="preserve"> (</w:t>
      </w:r>
      <w:r w:rsidR="00626A92">
        <w:t>Pearl Index</w:t>
      </w:r>
      <w:r w:rsidRPr="00AC0401">
        <w:t xml:space="preserve"> obtained during the whole study, </w:t>
      </w:r>
      <w:r w:rsidR="00AC0401">
        <w:t>that is</w:t>
      </w:r>
      <w:r w:rsidR="002949F5">
        <w:t>,</w:t>
      </w:r>
      <w:r w:rsidRPr="00AC0401">
        <w:t xml:space="preserve"> the number of pregnancies that occurred during treatment divided by the time the women were at risk of getting pregnant).</w:t>
      </w:r>
    </w:p>
    <w:p w14:paraId="6147A071" w14:textId="3736257B" w:rsidR="00EA7CD0" w:rsidRPr="00AC0401" w:rsidRDefault="00AC0401" w:rsidP="00AC0401">
      <w:r>
        <w:t xml:space="preserve">Unadjusted and adjusted </w:t>
      </w:r>
      <w:r w:rsidR="00626A92">
        <w:t xml:space="preserve">Pearl </w:t>
      </w:r>
      <w:r w:rsidR="00F30F86">
        <w:t>Indices</w:t>
      </w:r>
      <w:r w:rsidR="00EA7CD0" w:rsidRPr="00AC0401">
        <w:t xml:space="preserve"> were calculated:</w:t>
      </w:r>
    </w:p>
    <w:p w14:paraId="13E2F7CE" w14:textId="08D6D1C9" w:rsidR="00EA7CD0" w:rsidRPr="00AC0401" w:rsidRDefault="00AC0401" w:rsidP="00AC0401">
      <w:r>
        <w:t>F</w:t>
      </w:r>
      <w:r w:rsidR="00EA7CD0" w:rsidRPr="00AC0401">
        <w:t xml:space="preserve">or the unadjusted </w:t>
      </w:r>
      <w:r w:rsidR="00626A92">
        <w:t>Pearl Index</w:t>
      </w:r>
      <w:r w:rsidR="00EA7CD0" w:rsidRPr="00AC0401">
        <w:t xml:space="preserve"> the exposure time until removal or total expulsion was to be used. Pregnancies that occurred after partial expulsion, but before LCS removal were to count for the unadjusted </w:t>
      </w:r>
      <w:r w:rsidR="00626A92">
        <w:t xml:space="preserve">Pearl </w:t>
      </w:r>
      <w:r w:rsidR="00F30F86">
        <w:t>Indices</w:t>
      </w:r>
      <w:r w:rsidR="00EA7CD0" w:rsidRPr="00AC0401">
        <w:t>.</w:t>
      </w:r>
    </w:p>
    <w:p w14:paraId="67C60C21" w14:textId="7827957E" w:rsidR="00EA7CD0" w:rsidRPr="00AC0401" w:rsidRDefault="00AC0401" w:rsidP="00AC0401">
      <w:r>
        <w:t>F</w:t>
      </w:r>
      <w:r w:rsidR="00EA7CD0" w:rsidRPr="00AC0401">
        <w:t xml:space="preserve">or the adjusted </w:t>
      </w:r>
      <w:r w:rsidR="00626A92">
        <w:t xml:space="preserve">Pearl </w:t>
      </w:r>
      <w:r w:rsidR="00F30F86">
        <w:t>Indices</w:t>
      </w:r>
      <w:r>
        <w:t>,</w:t>
      </w:r>
      <w:r w:rsidR="00EA7CD0" w:rsidRPr="00AC0401">
        <w:t xml:space="preserve"> only the exposure time until the IUD was last known to be in situ or displaced within the uterine cavity was to be considered. Pregnancies that occurred whe</w:t>
      </w:r>
      <w:r w:rsidR="009E23DC">
        <w:t>n the LCS was definitely not in-</w:t>
      </w:r>
      <w:r w:rsidR="00EA7CD0" w:rsidRPr="00AC0401">
        <w:t xml:space="preserve">situ or displaced in the intrauterine cavity were not to count for any adjusted </w:t>
      </w:r>
      <w:r w:rsidR="00626A92">
        <w:t>Pearl Index</w:t>
      </w:r>
      <w:r w:rsidR="00EA7CD0" w:rsidRPr="00AC0401">
        <w:t>.</w:t>
      </w:r>
    </w:p>
    <w:p w14:paraId="3DCF9745" w14:textId="2CFE59FA" w:rsidR="00EA7CD0" w:rsidRPr="00AC0401" w:rsidRDefault="00EA7CD0" w:rsidP="00AC0401">
      <w:r w:rsidRPr="00AC0401">
        <w:lastRenderedPageBreak/>
        <w:t>Pregnancies that occurred after the LCS had been removed or after an expulsion had been noti</w:t>
      </w:r>
      <w:r w:rsidR="00AC0401">
        <w:t xml:space="preserve">ced were not to count for any </w:t>
      </w:r>
      <w:r w:rsidR="00626A92">
        <w:t>Pearl Index</w:t>
      </w:r>
      <w:r w:rsidR="00AC0401">
        <w:t>.</w:t>
      </w:r>
    </w:p>
    <w:p w14:paraId="55CA653F" w14:textId="19A7C205" w:rsidR="00EA7CD0" w:rsidRPr="00AC0401" w:rsidRDefault="00EA7CD0" w:rsidP="00AC0401">
      <w:r w:rsidRPr="00AC0401">
        <w:t>The relevant exposure time was the total exposure time excluding the period (in terms of calendar months) in which concomitant contraception was used (</w:t>
      </w:r>
      <w:r w:rsidR="00AC0401">
        <w:t>for example,</w:t>
      </w:r>
      <w:r w:rsidRPr="00AC0401">
        <w:t xml:space="preserve"> condoms to prevent STD, or any excluded hormonal preparations). All subjects were instructed to use condoms for contraception starting at least 7 days before LCS removal, unless the removal was to take place during the first 7 days of the menses. Therefore</w:t>
      </w:r>
      <w:r w:rsidR="00B7486E">
        <w:t>,</w:t>
      </w:r>
      <w:r w:rsidRPr="00AC0401">
        <w:t xml:space="preserve"> the week before removal of the LCS was to be subtracted from the exposure for all subjects. Missing data were to be considered as no concomitant use of a contraceptive method.</w:t>
      </w:r>
    </w:p>
    <w:p w14:paraId="6ED95E9C" w14:textId="3782A109" w:rsidR="00EA7CD0" w:rsidRPr="00AC0401" w:rsidRDefault="00EA7CD0" w:rsidP="00AC0401">
      <w:r w:rsidRPr="00AC0401">
        <w:t>As a secondary analysis</w:t>
      </w:r>
      <w:r w:rsidR="00B7486E">
        <w:t>,</w:t>
      </w:r>
      <w:r w:rsidRPr="00AC0401">
        <w:t xml:space="preserve"> t</w:t>
      </w:r>
      <w:r w:rsidR="00AC0401">
        <w:t>he cumulative failure rate (that is,</w:t>
      </w:r>
      <w:r w:rsidRPr="00AC0401">
        <w:t xml:space="preserve"> the probability of getting pregnant) was calculated using the Kaplan-Meier method.</w:t>
      </w:r>
    </w:p>
    <w:p w14:paraId="6B2DA320" w14:textId="40CA0CF1" w:rsidR="00EA7CD0" w:rsidRDefault="00EA7CD0" w:rsidP="00AC0401">
      <w:pPr>
        <w:pStyle w:val="Comment"/>
      </w:pPr>
      <w:r w:rsidRPr="00AC0401">
        <w:rPr>
          <w:b/>
        </w:rPr>
        <w:t xml:space="preserve">Comment: </w:t>
      </w:r>
      <w:r w:rsidR="00AC0401">
        <w:rPr>
          <w:b/>
        </w:rPr>
        <w:t xml:space="preserve"> </w:t>
      </w:r>
      <w:r w:rsidRPr="00AC0401">
        <w:t>Over 98% of subjects treated with LCS16 were sexually active after their previous visit between</w:t>
      </w:r>
      <w:r w:rsidR="00AC0401">
        <w:t xml:space="preserve"> B</w:t>
      </w:r>
      <w:r w:rsidRPr="00AC0401">
        <w:t>aseline and the end of extension (except at Month 36 where the incidenc</w:t>
      </w:r>
      <w:r w:rsidR="00AC0401">
        <w:t xml:space="preserve">e was 96.6%). During treatment Years 1 to </w:t>
      </w:r>
      <w:r w:rsidRPr="00AC0401">
        <w:t>5, most women (≥</w:t>
      </w:r>
      <w:r w:rsidR="00AC0401">
        <w:t xml:space="preserve"> </w:t>
      </w:r>
      <w:r w:rsidRPr="00AC0401">
        <w:t>79.5%) did not use backup contraception at all (</w:t>
      </w:r>
      <w:r w:rsidR="00AC0401">
        <w:t>for</w:t>
      </w:r>
      <w:r w:rsidR="000D4E52">
        <w:t xml:space="preserve"> </w:t>
      </w:r>
      <w:r w:rsidR="00AC0401">
        <w:t>example,</w:t>
      </w:r>
      <w:r w:rsidRPr="00AC0401">
        <w:t xml:space="preserve"> condoms to prevent STD); in each year, less than 1.0% of women used backup contraception for 6 months or more. In Year 5, 12.9% of women used back-up contraception for up to one month; this corresponds to the requirement discussed above regarding cond</w:t>
      </w:r>
      <w:r w:rsidR="00AC0401">
        <w:t>om use before LCS removal. The s</w:t>
      </w:r>
      <w:r w:rsidRPr="00AC0401">
        <w:t>ponsor states therefore the final week of treatment for all subjects was subtracted from the total exposure time (as well as any exposure time for individual women during which backup contraception was used).</w:t>
      </w:r>
    </w:p>
    <w:p w14:paraId="50D7E6F4" w14:textId="2854E42D" w:rsidR="00EA7CD0" w:rsidRPr="00AC0401" w:rsidRDefault="00EA7CD0" w:rsidP="00AC0401">
      <w:pPr>
        <w:pStyle w:val="Heading5"/>
      </w:pPr>
      <w:r w:rsidRPr="00AC0401">
        <w:t>P</w:t>
      </w:r>
      <w:r w:rsidR="00AC0401" w:rsidRPr="00AC0401">
        <w:t>articipant flow</w:t>
      </w:r>
    </w:p>
    <w:p w14:paraId="4B6249DF" w14:textId="632F22FF" w:rsidR="00EA7CD0" w:rsidRPr="00AC0401" w:rsidRDefault="00EA7CD0" w:rsidP="00AC0401">
      <w:r w:rsidRPr="00AC0401">
        <w:t>There were 3661</w:t>
      </w:r>
      <w:r w:rsidR="00AC0401">
        <w:t xml:space="preserve"> </w:t>
      </w:r>
      <w:r w:rsidRPr="00AC0401">
        <w:t xml:space="preserve">women screened, and 2885 randomised. The most common reasons for screen failure (n = 776) were not meeting inclusion exclusion criteria (n = 404) and withdrawal of consent (n </w:t>
      </w:r>
      <w:r w:rsidR="00AC0401">
        <w:t>= 164).</w:t>
      </w:r>
    </w:p>
    <w:p w14:paraId="14B8C835" w14:textId="2EC73204" w:rsidR="00EA7CD0" w:rsidRPr="00AC0401" w:rsidRDefault="00EA7CD0" w:rsidP="00AC0401">
      <w:r w:rsidRPr="00AC0401">
        <w:t xml:space="preserve">There were 1196 subjects (41.5%) in total who discontinued the study prematurely over the first three years (LCS12 </w:t>
      </w:r>
      <w:r w:rsidR="00AC0401">
        <w:t>= 613 (42.8%) and LCS16 = 583 (40.1%)):</w:t>
      </w:r>
    </w:p>
    <w:p w14:paraId="0FE544B7" w14:textId="117312CA" w:rsidR="00EA7CD0" w:rsidRPr="00AC0401" w:rsidRDefault="00EA7CD0" w:rsidP="00AC0401">
      <w:pPr>
        <w:pStyle w:val="ListBullet"/>
      </w:pPr>
      <w:r w:rsidRPr="00AC0401">
        <w:t xml:space="preserve">511 (17.7%) subjects during the first year (LCS12 = 266 and LCS16 </w:t>
      </w:r>
      <w:r w:rsidR="00AC0401">
        <w:t>= 245).</w:t>
      </w:r>
    </w:p>
    <w:p w14:paraId="6989E171" w14:textId="5004F0BB" w:rsidR="00EA7CD0" w:rsidRPr="00AC0401" w:rsidRDefault="00EA7CD0" w:rsidP="00AC0401">
      <w:pPr>
        <w:pStyle w:val="ListBullet"/>
      </w:pPr>
      <w:r w:rsidRPr="00AC0401">
        <w:t>397 (16.7%) subjects in the second year</w:t>
      </w:r>
      <w:r w:rsidR="000D4E52">
        <w:t xml:space="preserve"> (LCS12 = 203 and LCS16 = 194).</w:t>
      </w:r>
    </w:p>
    <w:p w14:paraId="6AD54D8E" w14:textId="184B09AB" w:rsidR="00EA7CD0" w:rsidRPr="00306CE2" w:rsidRDefault="00EA7CD0" w:rsidP="00306CE2">
      <w:pPr>
        <w:pStyle w:val="ListBullet"/>
      </w:pPr>
      <w:r w:rsidRPr="00AC0401">
        <w:t>285 (14.4%) subjects in the third year (LCS12 = 144 and LCS16 = 142).</w:t>
      </w:r>
    </w:p>
    <w:p w14:paraId="58595B23" w14:textId="470C2244" w:rsidR="00EA7CD0" w:rsidRPr="00306CE2" w:rsidRDefault="00EA7CD0" w:rsidP="00306CE2">
      <w:r w:rsidRPr="00306CE2">
        <w:t xml:space="preserve">The most common reasons for premature discontinuation in both groups was adverse event (LCS12 = </w:t>
      </w:r>
      <w:r w:rsidR="00306CE2">
        <w:t>313/613 (</w:t>
      </w:r>
      <w:r w:rsidRPr="00306CE2">
        <w:t>51.1%</w:t>
      </w:r>
      <w:r w:rsidR="00306CE2">
        <w:t>)</w:t>
      </w:r>
      <w:r w:rsidRPr="00306CE2">
        <w:t xml:space="preserve"> and LCS16 = </w:t>
      </w:r>
      <w:r w:rsidR="00306CE2">
        <w:t>278/583 (</w:t>
      </w:r>
      <w:r w:rsidRPr="00306CE2">
        <w:t>47.7%</w:t>
      </w:r>
      <w:r w:rsidR="00306CE2">
        <w:t>)</w:t>
      </w:r>
      <w:r w:rsidRPr="00306CE2">
        <w:t xml:space="preserve">), and ‘other’ (LCS12 = </w:t>
      </w:r>
      <w:r w:rsidR="00306CE2">
        <w:t>186/613 (</w:t>
      </w:r>
      <w:r w:rsidRPr="00306CE2">
        <w:t>30.3%</w:t>
      </w:r>
      <w:r w:rsidR="00306CE2">
        <w:t>)</w:t>
      </w:r>
      <w:r w:rsidRPr="00306CE2">
        <w:t xml:space="preserve"> and LCS16 = </w:t>
      </w:r>
      <w:r w:rsidR="00306CE2">
        <w:t>186/583 (</w:t>
      </w:r>
      <w:r w:rsidRPr="00306CE2">
        <w:t>31.9%</w:t>
      </w:r>
      <w:r w:rsidR="00306CE2">
        <w:t>)</w:t>
      </w:r>
      <w:r w:rsidRPr="00306CE2">
        <w:t xml:space="preserve">). The main reasons for ‘other’ were wish for pregnancy, no further need for contraception, and not able to attend visits. </w:t>
      </w:r>
      <w:r w:rsidR="00306CE2">
        <w:t>The clinical e</w:t>
      </w:r>
      <w:r w:rsidRPr="00306CE2">
        <w:t xml:space="preserve">valuator of the original submission commented </w:t>
      </w:r>
      <w:r w:rsidR="00306CE2" w:rsidRPr="00306CE2">
        <w:rPr>
          <w:i/>
        </w:rPr>
        <w:t>‘</w:t>
      </w:r>
      <w:r w:rsidRPr="00306CE2">
        <w:rPr>
          <w:i/>
        </w:rPr>
        <w:t>in general the number of women dropping out due to bleeding or investigator-assessed, progestin-related side effects was low in both parous and nulliparous women and in both treatment groups</w:t>
      </w:r>
      <w:r w:rsidR="00B7486E">
        <w:rPr>
          <w:i/>
        </w:rPr>
        <w:t>’</w:t>
      </w:r>
      <w:r w:rsidRPr="00306CE2">
        <w:t xml:space="preserve"> </w:t>
      </w:r>
      <w:r w:rsidR="00B7486E">
        <w:t>(s</w:t>
      </w:r>
      <w:r w:rsidR="00306CE2" w:rsidRPr="004068E7">
        <w:t>ee</w:t>
      </w:r>
      <w:r w:rsidR="00306CE2">
        <w:t xml:space="preserve"> also</w:t>
      </w:r>
      <w:r w:rsidR="00306CE2" w:rsidRPr="004068E7">
        <w:t xml:space="preserve"> </w:t>
      </w:r>
      <w:r w:rsidR="00306CE2">
        <w:t>the AusPAR/Attachment 2 for the previous Jaydess submission).</w:t>
      </w:r>
      <w:r w:rsidR="00306CE2" w:rsidRPr="00E018FA">
        <w:rPr>
          <w:vertAlign w:val="superscript"/>
        </w:rPr>
        <w:fldChar w:fldCharType="begin"/>
      </w:r>
      <w:r w:rsidR="00306CE2" w:rsidRPr="00E018FA">
        <w:rPr>
          <w:vertAlign w:val="superscript"/>
        </w:rPr>
        <w:instrText xml:space="preserve"> NOTEREF _Ref492070565 \h </w:instrText>
      </w:r>
      <w:r w:rsidR="00306CE2">
        <w:rPr>
          <w:vertAlign w:val="superscript"/>
        </w:rPr>
        <w:instrText xml:space="preserve"> \* MERGEFORMAT </w:instrText>
      </w:r>
      <w:r w:rsidR="00306CE2" w:rsidRPr="00E018FA">
        <w:rPr>
          <w:vertAlign w:val="superscript"/>
        </w:rPr>
      </w:r>
      <w:r w:rsidR="00306CE2" w:rsidRPr="00E018FA">
        <w:rPr>
          <w:vertAlign w:val="superscript"/>
        </w:rPr>
        <w:fldChar w:fldCharType="separate"/>
      </w:r>
      <w:r w:rsidR="009A3335">
        <w:rPr>
          <w:vertAlign w:val="superscript"/>
        </w:rPr>
        <w:t>4</w:t>
      </w:r>
      <w:r w:rsidR="00306CE2" w:rsidRPr="00E018FA">
        <w:rPr>
          <w:vertAlign w:val="superscript"/>
        </w:rPr>
        <w:fldChar w:fldCharType="end"/>
      </w:r>
    </w:p>
    <w:p w14:paraId="5B5FE6F9" w14:textId="1C0F184D" w:rsidR="00EA7CD0" w:rsidRDefault="00EA7CD0" w:rsidP="00306CE2">
      <w:r w:rsidRPr="00306CE2">
        <w:t xml:space="preserve">Of the 870 subjects completing the </w:t>
      </w:r>
      <w:r w:rsidR="00306CE2">
        <w:t xml:space="preserve">3 </w:t>
      </w:r>
      <w:r w:rsidRPr="00306CE2">
        <w:t>year treatment in the LCS16 treatment group, 707 continued in the LCS16 extension phase, with 550 (77.8%) of these su</w:t>
      </w:r>
      <w:r w:rsidR="00BD0608">
        <w:t>bjects completing the study at Y</w:t>
      </w:r>
      <w:r w:rsidRPr="00306CE2">
        <w:t>ear 5, and 157 (22.2%) subjects discontinuing prematurely during the extension phase of the study. The most common reason for discontinuation during the extension phase was ‘other’ (n = 100</w:t>
      </w:r>
      <w:r w:rsidR="00306CE2">
        <w:t xml:space="preserve"> (14.1%)</w:t>
      </w:r>
      <w:r w:rsidRPr="00306CE2">
        <w:t>; same reasons as during first 3 years) and adverse event (n = 36</w:t>
      </w:r>
      <w:r w:rsidR="00306CE2">
        <w:t xml:space="preserve"> (5.1%)</w:t>
      </w:r>
      <w:r w:rsidRPr="00306CE2">
        <w:t xml:space="preserve">). See </w:t>
      </w:r>
      <w:r w:rsidR="00BD0608">
        <w:t>Table 10, below.</w:t>
      </w:r>
    </w:p>
    <w:p w14:paraId="17F361BA" w14:textId="655E585E" w:rsidR="00BD0608" w:rsidRPr="000878EA" w:rsidRDefault="00BD0608" w:rsidP="00BD0608">
      <w:pPr>
        <w:pStyle w:val="Tabletitle"/>
      </w:pPr>
      <w:bookmarkStart w:id="138" w:name="Table15"/>
      <w:r w:rsidRPr="000878EA">
        <w:lastRenderedPageBreak/>
        <w:t>Table 1</w:t>
      </w:r>
      <w:r>
        <w:t xml:space="preserve">0. Study PH-37274 </w:t>
      </w:r>
      <w:r w:rsidRPr="000878EA">
        <w:t xml:space="preserve">Number of premature discontinuations after </w:t>
      </w:r>
      <w:r>
        <w:t>randomisation and their reasons (all randomised subjects)</w:t>
      </w:r>
    </w:p>
    <w:bookmarkEnd w:id="138"/>
    <w:p w14:paraId="229BCA1F" w14:textId="29E93652" w:rsidR="00BD0608" w:rsidRPr="00306CE2" w:rsidRDefault="00BD0608" w:rsidP="00306CE2">
      <w:pPr>
        <w:rPr>
          <w:lang w:eastAsia="ja-JP"/>
        </w:rPr>
      </w:pPr>
      <w:r>
        <w:rPr>
          <w:noProof/>
          <w:lang w:eastAsia="en-AU"/>
        </w:rPr>
        <w:drawing>
          <wp:inline distT="0" distB="0" distL="0" distR="0" wp14:anchorId="5AD0A857" wp14:editId="04DABDDF">
            <wp:extent cx="3959226" cy="2256511"/>
            <wp:effectExtent l="0" t="0" r="3175" b="0"/>
            <wp:docPr id="9" name="Picture 9" descr="Table 10 is an image of a table showing the Study PH-37274: Number of premature discontinuations after randomisation and their reasons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1499" cy="2257806"/>
                    </a:xfrm>
                    <a:prstGeom prst="rect">
                      <a:avLst/>
                    </a:prstGeom>
                    <a:noFill/>
                    <a:ln>
                      <a:noFill/>
                    </a:ln>
                  </pic:spPr>
                </pic:pic>
              </a:graphicData>
            </a:graphic>
          </wp:inline>
        </w:drawing>
      </w:r>
    </w:p>
    <w:p w14:paraId="092CC1BE" w14:textId="77777777" w:rsidR="00EA7CD0" w:rsidRPr="00306CE2" w:rsidRDefault="00EA7CD0" w:rsidP="00306CE2">
      <w:pPr>
        <w:pStyle w:val="Heading5"/>
      </w:pPr>
      <w:r w:rsidRPr="00306CE2">
        <w:t>Major protocol violations/deviations</w:t>
      </w:r>
    </w:p>
    <w:p w14:paraId="515D7AC5" w14:textId="378B6285" w:rsidR="00EA7CD0" w:rsidRPr="00306CE2" w:rsidRDefault="00EA7CD0" w:rsidP="00306CE2">
      <w:r w:rsidRPr="00306CE2">
        <w:t xml:space="preserve">Protocol deviations assessed as major were reported for 61 subjects (LCS12 </w:t>
      </w:r>
      <w:r w:rsidR="00306CE2">
        <w:t>= 39 (2.7%)</w:t>
      </w:r>
      <w:r w:rsidRPr="00306CE2">
        <w:t xml:space="preserve"> and LCS16 </w:t>
      </w:r>
      <w:r w:rsidR="00306CE2">
        <w:t>= 22 (1.5%)</w:t>
      </w:r>
      <w:r w:rsidRPr="00306CE2">
        <w:t>)</w:t>
      </w:r>
      <w:r w:rsidR="00306CE2">
        <w:t xml:space="preserve"> during the 3 </w:t>
      </w:r>
      <w:r w:rsidRPr="00306CE2">
        <w:t xml:space="preserve">year study. Almost all major protocol deviations were due to excluded concomitant medication use, and there were no major protocol deviations which lead to exclusion from the analyses. </w:t>
      </w:r>
      <w:r w:rsidR="00306CE2">
        <w:t>S</w:t>
      </w:r>
      <w:r w:rsidR="00306CE2" w:rsidRPr="004068E7">
        <w:t xml:space="preserve">ee </w:t>
      </w:r>
      <w:r w:rsidR="00306CE2">
        <w:t>the AusPAR/Attachment 2 for the previous Jaydess submission).</w:t>
      </w:r>
      <w:r w:rsidR="00306CE2" w:rsidRPr="00E018FA">
        <w:rPr>
          <w:vertAlign w:val="superscript"/>
        </w:rPr>
        <w:fldChar w:fldCharType="begin"/>
      </w:r>
      <w:r w:rsidR="00306CE2" w:rsidRPr="00E018FA">
        <w:rPr>
          <w:vertAlign w:val="superscript"/>
        </w:rPr>
        <w:instrText xml:space="preserve"> NOTEREF _Ref492070565 \h </w:instrText>
      </w:r>
      <w:r w:rsidR="00306CE2">
        <w:rPr>
          <w:vertAlign w:val="superscript"/>
        </w:rPr>
        <w:instrText xml:space="preserve"> \* MERGEFORMAT </w:instrText>
      </w:r>
      <w:r w:rsidR="00306CE2" w:rsidRPr="00E018FA">
        <w:rPr>
          <w:vertAlign w:val="superscript"/>
        </w:rPr>
      </w:r>
      <w:r w:rsidR="00306CE2" w:rsidRPr="00E018FA">
        <w:rPr>
          <w:vertAlign w:val="superscript"/>
        </w:rPr>
        <w:fldChar w:fldCharType="separate"/>
      </w:r>
      <w:r w:rsidR="009A3335">
        <w:rPr>
          <w:vertAlign w:val="superscript"/>
        </w:rPr>
        <w:t>4</w:t>
      </w:r>
      <w:r w:rsidR="00306CE2" w:rsidRPr="00E018FA">
        <w:rPr>
          <w:vertAlign w:val="superscript"/>
        </w:rPr>
        <w:fldChar w:fldCharType="end"/>
      </w:r>
    </w:p>
    <w:p w14:paraId="2EA7593D" w14:textId="15DB6B41" w:rsidR="00EA7CD0" w:rsidRPr="00306CE2" w:rsidRDefault="00EA7CD0" w:rsidP="00306CE2">
      <w:r w:rsidRPr="00306CE2">
        <w:t>For those subjects treated with LSC16, protocol deviations assessed as major were reported for 26 subjects (1.8%; n = 17 no extension group and n = 9 in extension group). The major protocol deviations were all due to excluded concomitant treatment use and did not lead to exclusion from the analyses.</w:t>
      </w:r>
    </w:p>
    <w:p w14:paraId="65175193" w14:textId="77777777" w:rsidR="00EA7CD0" w:rsidRPr="00306CE2" w:rsidRDefault="00EA7CD0" w:rsidP="00306CE2">
      <w:pPr>
        <w:pStyle w:val="Heading5"/>
      </w:pPr>
      <w:r w:rsidRPr="00306CE2">
        <w:t>Baseline data</w:t>
      </w:r>
    </w:p>
    <w:p w14:paraId="4AA15B21" w14:textId="6D41FA84" w:rsidR="00EA7CD0" w:rsidRDefault="00EA7CD0" w:rsidP="00306CE2">
      <w:r w:rsidRPr="00306CE2">
        <w:t>In Study A52238, the majority of subjects were Caucasian (80.0</w:t>
      </w:r>
      <w:r w:rsidR="00306CE2">
        <w:t>%), with a mean age of 27.1 </w:t>
      </w:r>
      <w:r w:rsidRPr="00306CE2">
        <w:t>years (40% aged ≤ 25 years) and mean BMI 25.3 kg/m</w:t>
      </w:r>
      <w:r w:rsidRPr="00306CE2">
        <w:rPr>
          <w:vertAlign w:val="superscript"/>
        </w:rPr>
        <w:t>2</w:t>
      </w:r>
      <w:r w:rsidRPr="00306CE2">
        <w:t xml:space="preserve">; 39.2% were nulliparous. The </w:t>
      </w:r>
      <w:r w:rsidR="00306CE2">
        <w:t>clinical e</w:t>
      </w:r>
      <w:r w:rsidRPr="00306CE2">
        <w:t xml:space="preserve">valuator of </w:t>
      </w:r>
      <w:r w:rsidR="00306CE2">
        <w:t>the previous Jaydess submission</w:t>
      </w:r>
      <w:r w:rsidRPr="00306CE2">
        <w:t xml:space="preserve"> stated the demographics were similar between the two groups and considered study population representative of the relevant target population. </w:t>
      </w:r>
      <w:r w:rsidR="008978D1">
        <w:t>See Table 11 below.</w:t>
      </w:r>
    </w:p>
    <w:p w14:paraId="0627420A" w14:textId="6723C739" w:rsidR="00A96ADD" w:rsidRDefault="00A96ADD" w:rsidP="00A96ADD">
      <w:pPr>
        <w:pStyle w:val="Tabletitle"/>
        <w:rPr>
          <w:lang w:eastAsia="ja-JP"/>
        </w:rPr>
      </w:pPr>
      <w:bookmarkStart w:id="139" w:name="Table16"/>
      <w:r w:rsidRPr="00B85962">
        <w:rPr>
          <w:lang w:eastAsia="ja-JP"/>
        </w:rPr>
        <w:t>Ta</w:t>
      </w:r>
      <w:r>
        <w:rPr>
          <w:lang w:eastAsia="ja-JP"/>
        </w:rPr>
        <w:t>ble 11.</w:t>
      </w:r>
      <w:r w:rsidR="008978D1">
        <w:rPr>
          <w:lang w:eastAsia="ja-JP"/>
        </w:rPr>
        <w:t xml:space="preserve"> Study A52238 </w:t>
      </w:r>
      <w:r w:rsidRPr="00B85962">
        <w:rPr>
          <w:lang w:eastAsia="ja-JP"/>
        </w:rPr>
        <w:t>Summary of demographic and baseli</w:t>
      </w:r>
      <w:r w:rsidR="008978D1">
        <w:rPr>
          <w:lang w:eastAsia="ja-JP"/>
        </w:rPr>
        <w:t>ne characteristics (</w:t>
      </w:r>
      <w:r w:rsidRPr="00B85962">
        <w:rPr>
          <w:lang w:eastAsia="ja-JP"/>
        </w:rPr>
        <w:t>FAS</w:t>
      </w:r>
      <w:r w:rsidR="008978D1">
        <w:rPr>
          <w:lang w:eastAsia="ja-JP"/>
        </w:rPr>
        <w:t>)</w:t>
      </w:r>
    </w:p>
    <w:bookmarkEnd w:id="139"/>
    <w:p w14:paraId="4FB51FC1" w14:textId="7A2F6A7A" w:rsidR="00A96ADD" w:rsidRPr="008978D1" w:rsidRDefault="008978D1" w:rsidP="00306CE2">
      <w:pPr>
        <w:rPr>
          <w:b/>
          <w:bCs/>
          <w:u w:val="single"/>
          <w:lang w:eastAsia="ja-JP"/>
        </w:rPr>
      </w:pPr>
      <w:r>
        <w:rPr>
          <w:b/>
          <w:bCs/>
          <w:noProof/>
          <w:u w:val="single"/>
          <w:lang w:eastAsia="en-AU"/>
        </w:rPr>
        <w:drawing>
          <wp:inline distT="0" distB="0" distL="0" distR="0" wp14:anchorId="7C2918C7" wp14:editId="716E004A">
            <wp:extent cx="5286375" cy="2124075"/>
            <wp:effectExtent l="0" t="0" r="9525" b="9525"/>
            <wp:docPr id="31" name="Picture 31" descr="Table 11 is an image of a table showing the Study A52238 Summary of demographic and baseline characteristic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2124075"/>
                    </a:xfrm>
                    <a:prstGeom prst="rect">
                      <a:avLst/>
                    </a:prstGeom>
                    <a:noFill/>
                    <a:ln>
                      <a:noFill/>
                    </a:ln>
                  </pic:spPr>
                </pic:pic>
              </a:graphicData>
            </a:graphic>
          </wp:inline>
        </w:drawing>
      </w:r>
    </w:p>
    <w:p w14:paraId="2B31DBF4" w14:textId="1DE7312E" w:rsidR="00EA7CD0" w:rsidRPr="00306CE2" w:rsidRDefault="00EA7CD0" w:rsidP="00306CE2">
      <w:r w:rsidRPr="00306CE2">
        <w:t>The subjects in the LCS16 extension group were similar to subjects in the LCS16 no</w:t>
      </w:r>
      <w:r w:rsidR="007A24E9">
        <w:t xml:space="preserve"> </w:t>
      </w:r>
      <w:r w:rsidRPr="00306CE2">
        <w:t>extension group in regard to demographics, baseline characteristics</w:t>
      </w:r>
      <w:r w:rsidR="00306CE2">
        <w:t xml:space="preserve"> and gynaecological history.</w:t>
      </w:r>
    </w:p>
    <w:p w14:paraId="494B35F1" w14:textId="243D5725" w:rsidR="00892441" w:rsidRDefault="00EA7CD0" w:rsidP="00892441">
      <w:r w:rsidRPr="00306CE2">
        <w:lastRenderedPageBreak/>
        <w:t>Of the 707 subjects continuing the 5 year extension, 82.5% were Caucasian, mean age 27.6 years (35.9% ≤ 25 years, 64.1 % &gt; 25 ≤ 35 years), mean BMI 25.1 kg/m</w:t>
      </w:r>
      <w:r w:rsidRPr="00306CE2">
        <w:rPr>
          <w:vertAlign w:val="superscript"/>
        </w:rPr>
        <w:t>2</w:t>
      </w:r>
      <w:r w:rsidRPr="00306CE2">
        <w:t xml:space="preserve">. There were 37.1% of subjects who were nulliparous. See </w:t>
      </w:r>
      <w:r w:rsidR="008978D1">
        <w:t>Table 12 and 13 below.</w:t>
      </w:r>
    </w:p>
    <w:p w14:paraId="6B8EBB7A" w14:textId="453FF324" w:rsidR="008978D1" w:rsidRPr="00EC49A0" w:rsidRDefault="008978D1" w:rsidP="008978D1">
      <w:pPr>
        <w:pStyle w:val="Tabletitle"/>
        <w:rPr>
          <w:lang w:eastAsia="ja-JP"/>
        </w:rPr>
      </w:pPr>
      <w:bookmarkStart w:id="140" w:name="Table17"/>
      <w:r w:rsidRPr="00B85962">
        <w:rPr>
          <w:lang w:eastAsia="ja-JP"/>
        </w:rPr>
        <w:t>Ta</w:t>
      </w:r>
      <w:r>
        <w:rPr>
          <w:lang w:eastAsia="ja-JP"/>
        </w:rPr>
        <w:t>ble 12.</w:t>
      </w:r>
      <w:r w:rsidRPr="00B85962">
        <w:rPr>
          <w:lang w:eastAsia="ja-JP"/>
        </w:rPr>
        <w:t xml:space="preserve"> Study </w:t>
      </w:r>
      <w:r>
        <w:rPr>
          <w:lang w:eastAsia="ja-JP"/>
        </w:rPr>
        <w:t>PH-37274 D</w:t>
      </w:r>
      <w:r w:rsidRPr="00B85962">
        <w:rPr>
          <w:lang w:eastAsia="ja-JP"/>
        </w:rPr>
        <w:t>emographi</w:t>
      </w:r>
      <w:r>
        <w:rPr>
          <w:lang w:eastAsia="ja-JP"/>
        </w:rPr>
        <w:t>cs and baseline characteristics, all subjects treated with LCS16 (</w:t>
      </w:r>
      <w:r w:rsidRPr="00B85962">
        <w:rPr>
          <w:lang w:eastAsia="ja-JP"/>
        </w:rPr>
        <w:t>FAS</w:t>
      </w:r>
      <w:r>
        <w:rPr>
          <w:lang w:eastAsia="ja-JP"/>
        </w:rPr>
        <w:t>)</w:t>
      </w:r>
      <w:bookmarkEnd w:id="140"/>
    </w:p>
    <w:p w14:paraId="5DBB3952" w14:textId="77777777" w:rsidR="008978D1" w:rsidRDefault="008978D1" w:rsidP="008978D1">
      <w:pPr>
        <w:rPr>
          <w:b/>
          <w:bCs/>
          <w:u w:val="single"/>
          <w:lang w:eastAsia="ja-JP"/>
        </w:rPr>
      </w:pPr>
      <w:r w:rsidRPr="008978D1">
        <w:rPr>
          <w:bCs/>
          <w:noProof/>
          <w:lang w:eastAsia="en-AU"/>
        </w:rPr>
        <w:drawing>
          <wp:inline distT="0" distB="0" distL="0" distR="0" wp14:anchorId="7292DE52" wp14:editId="3FD3A24A">
            <wp:extent cx="3525567" cy="4337914"/>
            <wp:effectExtent l="0" t="0" r="0" b="5715"/>
            <wp:docPr id="30" name="Picture 30" descr="Table 12 is an image of a table showing the Study PH-37274 Demographics and baseline characteristics, all subjects treated with LCS16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lum bright="-21000" contrast="33000"/>
                      <a:extLst>
                        <a:ext uri="{28A0092B-C50C-407E-A947-70E740481C1C}">
                          <a14:useLocalDpi xmlns:a14="http://schemas.microsoft.com/office/drawing/2010/main" val="0"/>
                        </a:ext>
                      </a:extLst>
                    </a:blip>
                    <a:srcRect l="3200" t="1146" r="7039"/>
                    <a:stretch/>
                  </pic:blipFill>
                  <pic:spPr bwMode="auto">
                    <a:xfrm>
                      <a:off x="0" y="0"/>
                      <a:ext cx="3528469" cy="4341485"/>
                    </a:xfrm>
                    <a:prstGeom prst="rect">
                      <a:avLst/>
                    </a:prstGeom>
                    <a:noFill/>
                    <a:ln>
                      <a:noFill/>
                    </a:ln>
                    <a:extLst>
                      <a:ext uri="{53640926-AAD7-44D8-BBD7-CCE9431645EC}">
                        <a14:shadowObscured xmlns:a14="http://schemas.microsoft.com/office/drawing/2010/main"/>
                      </a:ext>
                    </a:extLst>
                  </pic:spPr>
                </pic:pic>
              </a:graphicData>
            </a:graphic>
          </wp:inline>
        </w:drawing>
      </w:r>
    </w:p>
    <w:p w14:paraId="67E700A3" w14:textId="06D04FBE" w:rsidR="008978D1" w:rsidRPr="009901CA" w:rsidRDefault="008978D1" w:rsidP="008978D1">
      <w:pPr>
        <w:pStyle w:val="Tabletitle"/>
        <w:rPr>
          <w:lang w:eastAsia="ja-JP"/>
        </w:rPr>
      </w:pPr>
      <w:r>
        <w:t>Table 13.</w:t>
      </w:r>
      <w:r w:rsidRPr="009901CA">
        <w:t xml:space="preserve"> Gyna</w:t>
      </w:r>
      <w:r>
        <w:t>ecological history, a</w:t>
      </w:r>
      <w:r w:rsidRPr="009901CA">
        <w:t>ll subjects treated with LCS16 (FAS)</w:t>
      </w:r>
    </w:p>
    <w:p w14:paraId="6D284BD5" w14:textId="14DB5C4B" w:rsidR="008978D1" w:rsidRPr="008978D1" w:rsidRDefault="008978D1" w:rsidP="00892441">
      <w:pPr>
        <w:rPr>
          <w:b/>
          <w:bCs/>
          <w:u w:val="single"/>
          <w:lang w:eastAsia="ja-JP"/>
        </w:rPr>
      </w:pPr>
      <w:r w:rsidRPr="008978D1">
        <w:rPr>
          <w:bCs/>
          <w:noProof/>
          <w:lang w:eastAsia="en-AU"/>
        </w:rPr>
        <w:drawing>
          <wp:inline distT="0" distB="0" distL="0" distR="0" wp14:anchorId="25005685" wp14:editId="0FAEE966">
            <wp:extent cx="3525520" cy="2684679"/>
            <wp:effectExtent l="0" t="0" r="0" b="1905"/>
            <wp:docPr id="32" name="Picture 32" descr="Table 13 is an image of a table showing the Gynaecological history, all subjects treated with LCS16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lum bright="-16000" contrast="38000"/>
                      <a:extLst>
                        <a:ext uri="{28A0092B-C50C-407E-A947-70E740481C1C}">
                          <a14:useLocalDpi xmlns:a14="http://schemas.microsoft.com/office/drawing/2010/main" val="0"/>
                        </a:ext>
                      </a:extLst>
                    </a:blip>
                    <a:srcRect l="7808" r="2580" b="2775"/>
                    <a:stretch/>
                  </pic:blipFill>
                  <pic:spPr bwMode="auto">
                    <a:xfrm>
                      <a:off x="0" y="0"/>
                      <a:ext cx="3530658" cy="2688592"/>
                    </a:xfrm>
                    <a:prstGeom prst="rect">
                      <a:avLst/>
                    </a:prstGeom>
                    <a:noFill/>
                    <a:ln>
                      <a:noFill/>
                    </a:ln>
                    <a:extLst>
                      <a:ext uri="{53640926-AAD7-44D8-BBD7-CCE9431645EC}">
                        <a14:shadowObscured xmlns:a14="http://schemas.microsoft.com/office/drawing/2010/main"/>
                      </a:ext>
                    </a:extLst>
                  </pic:spPr>
                </pic:pic>
              </a:graphicData>
            </a:graphic>
          </wp:inline>
        </w:drawing>
      </w:r>
    </w:p>
    <w:p w14:paraId="7C7D1BBB" w14:textId="77777777" w:rsidR="00CC0553" w:rsidRPr="00CC0553" w:rsidRDefault="00CC0553" w:rsidP="00CC0553">
      <w:pPr>
        <w:pStyle w:val="Heading5"/>
        <w:numPr>
          <w:ilvl w:val="3"/>
          <w:numId w:val="43"/>
        </w:numPr>
      </w:pPr>
      <w:r w:rsidRPr="00CC0553">
        <w:lastRenderedPageBreak/>
        <w:t>Results for the primary efficacy outcome</w:t>
      </w:r>
    </w:p>
    <w:p w14:paraId="669DCC5E" w14:textId="77CE5470" w:rsidR="00CC0553" w:rsidRPr="00E82AFE" w:rsidRDefault="00CC0553" w:rsidP="00CC0553">
      <w:pPr>
        <w:pStyle w:val="Heading6"/>
        <w:rPr>
          <w:lang w:eastAsia="ja-JP"/>
        </w:rPr>
      </w:pPr>
      <w:r w:rsidRPr="00E82AFE">
        <w:rPr>
          <w:lang w:eastAsia="ja-JP"/>
        </w:rPr>
        <w:t>3</w:t>
      </w:r>
      <w:r w:rsidR="007A24E9">
        <w:rPr>
          <w:lang w:eastAsia="ja-JP"/>
        </w:rPr>
        <w:t xml:space="preserve"> </w:t>
      </w:r>
      <w:r w:rsidRPr="00E82AFE">
        <w:rPr>
          <w:lang w:eastAsia="ja-JP"/>
        </w:rPr>
        <w:t>year data (Study A52238)</w:t>
      </w:r>
    </w:p>
    <w:p w14:paraId="3C1016E3" w14:textId="5246B5B3" w:rsidR="00CC0553" w:rsidRPr="00CC0553" w:rsidRDefault="00CC0553" w:rsidP="00CC0553">
      <w:r w:rsidRPr="00CC0553">
        <w:t>There were a total of 20 pregnancies over the 3 year study (</w:t>
      </w:r>
      <w:r w:rsidR="007A24E9">
        <w:t>n =</w:t>
      </w:r>
      <w:r w:rsidRPr="00CC0553">
        <w:t xml:space="preserve"> 10</w:t>
      </w:r>
      <w:r w:rsidR="00D25D39">
        <w:t xml:space="preserve"> in each group). The relevant 3 </w:t>
      </w:r>
      <w:r w:rsidRPr="00CC0553">
        <w:t xml:space="preserve">year exposure for the PI was similar in the two treatment groups: 3058.62 WY and 3211.36 </w:t>
      </w:r>
      <w:r w:rsidR="00D25D39">
        <w:t> </w:t>
      </w:r>
      <w:r w:rsidRPr="00CC0553">
        <w:t>WY for the LCS12</w:t>
      </w:r>
      <w:r w:rsidR="00D25D39">
        <w:t xml:space="preserve"> and LCS16 groups respectively.</w:t>
      </w:r>
    </w:p>
    <w:p w14:paraId="64E69781" w14:textId="38BC3F2A" w:rsidR="00CC0553" w:rsidRPr="00CC0553" w:rsidRDefault="00CC0553" w:rsidP="00CC0553">
      <w:r w:rsidRPr="00CC0553">
        <w:t xml:space="preserve">The unadjusted </w:t>
      </w:r>
      <w:r w:rsidR="00626A92">
        <w:t>Pearl Index</w:t>
      </w:r>
      <w:r w:rsidRPr="00CC0553">
        <w:t xml:space="preserve"> for the first year was 0.41 (95% CI: 0.13, 0.96) for the LCS12 group and 0.16 (95% CI: 0.02, 0</w:t>
      </w:r>
      <w:r w:rsidR="00D25D39">
        <w:t xml:space="preserve">.58) for the LCS16 group. The 3 </w:t>
      </w:r>
      <w:r w:rsidRPr="00CC0553">
        <w:t xml:space="preserve">year unadjusted </w:t>
      </w:r>
      <w:r w:rsidR="00626A92">
        <w:t>Pearl Index</w:t>
      </w:r>
      <w:r w:rsidRPr="00CC0553">
        <w:t xml:space="preserve"> was 0.33 (95% CI: 0.16, 0.60) for LCS12, and 0.31 </w:t>
      </w:r>
      <w:r w:rsidR="00D25D39">
        <w:t>(95% CI: 0.15, 0.57) for LCS16.</w:t>
      </w:r>
    </w:p>
    <w:p w14:paraId="5DE8FC67" w14:textId="794F5DA8" w:rsidR="00CC0553" w:rsidRPr="00CC0553" w:rsidRDefault="00CC0553" w:rsidP="00CC0553">
      <w:r w:rsidRPr="00CC0553">
        <w:t>The cumulative failure rate</w:t>
      </w:r>
      <w:r w:rsidR="00A0568D">
        <w:t xml:space="preserve"> over 3 years for all women (18 to </w:t>
      </w:r>
      <w:r w:rsidRPr="00CC0553">
        <w:t xml:space="preserve">35 years) </w:t>
      </w:r>
      <w:r w:rsidR="00A0568D">
        <w:t>was 0.009 (95% CI: </w:t>
      </w:r>
      <w:r w:rsidRPr="00CC0553">
        <w:t xml:space="preserve">0.005, 0.017) in the LCS12 group and 0.010 (95% CI: 0.005, 0.018) in the LCS16 group. </w:t>
      </w:r>
      <w:r w:rsidR="00A0568D">
        <w:t>S</w:t>
      </w:r>
      <w:r w:rsidR="00A0568D" w:rsidRPr="004068E7">
        <w:t>ee</w:t>
      </w:r>
      <w:r w:rsidR="00A0568D">
        <w:t xml:space="preserve"> also</w:t>
      </w:r>
      <w:r w:rsidR="00A0568D" w:rsidRPr="004068E7">
        <w:t xml:space="preserve"> </w:t>
      </w:r>
      <w:r w:rsidR="00A0568D">
        <w:t>the AusPAR/Attachment 2 for the previous Jaydess submission.</w:t>
      </w:r>
      <w:r w:rsidR="00A0568D" w:rsidRPr="00E018FA">
        <w:rPr>
          <w:vertAlign w:val="superscript"/>
        </w:rPr>
        <w:fldChar w:fldCharType="begin"/>
      </w:r>
      <w:r w:rsidR="00A0568D" w:rsidRPr="00E018FA">
        <w:rPr>
          <w:vertAlign w:val="superscript"/>
        </w:rPr>
        <w:instrText xml:space="preserve"> NOTEREF _Ref492070565 \h </w:instrText>
      </w:r>
      <w:r w:rsidR="00A0568D">
        <w:rPr>
          <w:vertAlign w:val="superscript"/>
        </w:rPr>
        <w:instrText xml:space="preserve"> \* MERGEFORMAT </w:instrText>
      </w:r>
      <w:r w:rsidR="00A0568D" w:rsidRPr="00E018FA">
        <w:rPr>
          <w:vertAlign w:val="superscript"/>
        </w:rPr>
      </w:r>
      <w:r w:rsidR="00A0568D" w:rsidRPr="00E018FA">
        <w:rPr>
          <w:vertAlign w:val="superscript"/>
        </w:rPr>
        <w:fldChar w:fldCharType="separate"/>
      </w:r>
      <w:r w:rsidR="009A3335">
        <w:rPr>
          <w:vertAlign w:val="superscript"/>
        </w:rPr>
        <w:t>4</w:t>
      </w:r>
      <w:r w:rsidR="00A0568D" w:rsidRPr="00E018FA">
        <w:rPr>
          <w:vertAlign w:val="superscript"/>
        </w:rPr>
        <w:fldChar w:fldCharType="end"/>
      </w:r>
    </w:p>
    <w:p w14:paraId="4E27EEBB" w14:textId="19AA1855" w:rsidR="00CC0553" w:rsidRPr="00E82AFE" w:rsidRDefault="00CC0553" w:rsidP="00A0568D">
      <w:pPr>
        <w:pStyle w:val="Heading6"/>
        <w:rPr>
          <w:lang w:eastAsia="ja-JP"/>
        </w:rPr>
      </w:pPr>
      <w:r w:rsidRPr="00E82AFE">
        <w:rPr>
          <w:lang w:eastAsia="ja-JP"/>
        </w:rPr>
        <w:t>5</w:t>
      </w:r>
      <w:r w:rsidR="007A24E9">
        <w:rPr>
          <w:lang w:eastAsia="ja-JP"/>
        </w:rPr>
        <w:t xml:space="preserve"> </w:t>
      </w:r>
      <w:r w:rsidRPr="00E82AFE">
        <w:rPr>
          <w:lang w:eastAsia="ja-JP"/>
        </w:rPr>
        <w:t>year data (Study PH-37274)</w:t>
      </w:r>
    </w:p>
    <w:p w14:paraId="6CFE6AAD" w14:textId="3234F184" w:rsidR="00CC0553" w:rsidRDefault="00CC0553" w:rsidP="00CC0553">
      <w:pPr>
        <w:spacing w:before="0" w:after="0" w:line="240" w:lineRule="auto"/>
        <w:rPr>
          <w:rFonts w:eastAsiaTheme="minorHAnsi" w:cs="Arial"/>
        </w:rPr>
      </w:pPr>
      <w:r w:rsidRPr="00750E76">
        <w:rPr>
          <w:rFonts w:cs="Arial"/>
          <w:lang w:eastAsia="ja-JP"/>
        </w:rPr>
        <w:t xml:space="preserve">There were a </w:t>
      </w:r>
      <w:r w:rsidRPr="00750E76">
        <w:rPr>
          <w:rFonts w:eastAsiaTheme="minorHAnsi" w:cs="Arial"/>
        </w:rPr>
        <w:t>total of 13 pregnancies observed on LCS16 treatment (n</w:t>
      </w:r>
      <w:r>
        <w:rPr>
          <w:rFonts w:eastAsiaTheme="minorHAnsi" w:cs="Arial"/>
        </w:rPr>
        <w:t xml:space="preserve"> </w:t>
      </w:r>
      <w:r w:rsidRPr="00750E76">
        <w:rPr>
          <w:rFonts w:eastAsiaTheme="minorHAnsi" w:cs="Arial"/>
        </w:rPr>
        <w:t xml:space="preserve">= </w:t>
      </w:r>
      <w:r w:rsidRPr="00750E76">
        <w:rPr>
          <w:rFonts w:eastAsiaTheme="minorHAnsi" w:cs="TimesNewRoman"/>
        </w:rPr>
        <w:t xml:space="preserve">2 during the first year, </w:t>
      </w:r>
      <w:r w:rsidR="00A0568D">
        <w:rPr>
          <w:rFonts w:eastAsiaTheme="minorHAnsi" w:cs="TimesNewRoman"/>
        </w:rPr>
        <w:t>n </w:t>
      </w:r>
      <w:r>
        <w:rPr>
          <w:rFonts w:eastAsiaTheme="minorHAnsi" w:cs="TimesNewRoman"/>
        </w:rPr>
        <w:t xml:space="preserve">= </w:t>
      </w:r>
      <w:r w:rsidRPr="00750E76">
        <w:rPr>
          <w:rFonts w:eastAsiaTheme="minorHAnsi" w:cs="TimesNewRoman"/>
        </w:rPr>
        <w:t xml:space="preserve">4 during the second year, </w:t>
      </w:r>
      <w:r>
        <w:rPr>
          <w:rFonts w:eastAsiaTheme="minorHAnsi" w:cs="TimesNewRoman"/>
        </w:rPr>
        <w:t xml:space="preserve">n = 4 during the third </w:t>
      </w:r>
      <w:r w:rsidRPr="00750E76">
        <w:rPr>
          <w:rFonts w:eastAsiaTheme="minorHAnsi" w:cs="TimesNewRoman"/>
        </w:rPr>
        <w:t xml:space="preserve">year, </w:t>
      </w:r>
      <w:r>
        <w:rPr>
          <w:rFonts w:eastAsiaTheme="minorHAnsi" w:cs="TimesNewRoman"/>
        </w:rPr>
        <w:t xml:space="preserve">n = </w:t>
      </w:r>
      <w:r w:rsidRPr="00750E76">
        <w:rPr>
          <w:rFonts w:eastAsiaTheme="minorHAnsi" w:cs="TimesNewRoman"/>
        </w:rPr>
        <w:t>1 during the fourth year and</w:t>
      </w:r>
      <w:r>
        <w:rPr>
          <w:rFonts w:eastAsiaTheme="minorHAnsi" w:cs="TimesNewRoman"/>
        </w:rPr>
        <w:t xml:space="preserve"> n =</w:t>
      </w:r>
      <w:r w:rsidRPr="00750E76">
        <w:rPr>
          <w:rFonts w:eastAsiaTheme="minorHAnsi" w:cs="TimesNewRoman"/>
        </w:rPr>
        <w:t xml:space="preserve"> 2 during the fifth year</w:t>
      </w:r>
      <w:r>
        <w:rPr>
          <w:rFonts w:eastAsiaTheme="minorHAnsi" w:cs="TimesNewRoman"/>
        </w:rPr>
        <w:t xml:space="preserve">). </w:t>
      </w:r>
      <w:r>
        <w:rPr>
          <w:rFonts w:eastAsiaTheme="minorHAnsi" w:cs="Arial"/>
        </w:rPr>
        <w:t xml:space="preserve">Of the 13 pregnancies, </w:t>
      </w:r>
      <w:r w:rsidRPr="00705F1A">
        <w:rPr>
          <w:rFonts w:eastAsiaTheme="minorHAnsi" w:cs="Arial"/>
        </w:rPr>
        <w:t>n</w:t>
      </w:r>
      <w:r>
        <w:rPr>
          <w:rFonts w:eastAsiaTheme="minorHAnsi" w:cs="Arial"/>
        </w:rPr>
        <w:t xml:space="preserve"> </w:t>
      </w:r>
      <w:r w:rsidRPr="00705F1A">
        <w:rPr>
          <w:rFonts w:eastAsiaTheme="minorHAnsi" w:cs="Arial"/>
        </w:rPr>
        <w:t xml:space="preserve">= 8 </w:t>
      </w:r>
      <w:r w:rsidR="00A0568D">
        <w:rPr>
          <w:rFonts w:eastAsiaTheme="minorHAnsi" w:cs="Arial"/>
        </w:rPr>
        <w:t xml:space="preserve">were </w:t>
      </w:r>
      <w:r w:rsidRPr="00705F1A">
        <w:rPr>
          <w:rFonts w:eastAsiaTheme="minorHAnsi" w:cs="Arial"/>
        </w:rPr>
        <w:t>ectopic</w:t>
      </w:r>
      <w:r w:rsidR="00A0568D">
        <w:rPr>
          <w:rFonts w:eastAsiaTheme="minorHAnsi" w:cs="Arial"/>
        </w:rPr>
        <w:t>/</w:t>
      </w:r>
      <w:r>
        <w:rPr>
          <w:rFonts w:eastAsiaTheme="minorHAnsi" w:cs="Arial"/>
        </w:rPr>
        <w:t>suspected ectopic</w:t>
      </w:r>
      <w:r w:rsidRPr="00705F1A">
        <w:rPr>
          <w:rFonts w:eastAsiaTheme="minorHAnsi" w:cs="Arial"/>
        </w:rPr>
        <w:t>, n</w:t>
      </w:r>
      <w:r>
        <w:rPr>
          <w:rFonts w:eastAsiaTheme="minorHAnsi" w:cs="Arial"/>
        </w:rPr>
        <w:t xml:space="preserve"> </w:t>
      </w:r>
      <w:r w:rsidRPr="00705F1A">
        <w:rPr>
          <w:rFonts w:eastAsiaTheme="minorHAnsi" w:cs="Arial"/>
        </w:rPr>
        <w:t>= 2 spontaneous abortion, n</w:t>
      </w:r>
      <w:r>
        <w:rPr>
          <w:rFonts w:eastAsiaTheme="minorHAnsi" w:cs="Arial"/>
        </w:rPr>
        <w:t xml:space="preserve"> </w:t>
      </w:r>
      <w:r w:rsidRPr="00705F1A">
        <w:rPr>
          <w:rFonts w:eastAsiaTheme="minorHAnsi" w:cs="Arial"/>
        </w:rPr>
        <w:t>= 1 missed abortion and n</w:t>
      </w:r>
      <w:r>
        <w:rPr>
          <w:rFonts w:eastAsiaTheme="minorHAnsi" w:cs="Arial"/>
        </w:rPr>
        <w:t xml:space="preserve"> </w:t>
      </w:r>
      <w:r w:rsidRPr="00705F1A">
        <w:rPr>
          <w:rFonts w:eastAsiaTheme="minorHAnsi" w:cs="Arial"/>
        </w:rPr>
        <w:t xml:space="preserve">= 2 </w:t>
      </w:r>
      <w:r w:rsidR="00A0568D">
        <w:rPr>
          <w:rFonts w:eastAsiaTheme="minorHAnsi" w:cs="Arial"/>
        </w:rPr>
        <w:t xml:space="preserve">were </w:t>
      </w:r>
      <w:r w:rsidRPr="00705F1A">
        <w:rPr>
          <w:rFonts w:eastAsiaTheme="minorHAnsi" w:cs="Arial"/>
        </w:rPr>
        <w:t>nor</w:t>
      </w:r>
      <w:r>
        <w:rPr>
          <w:rFonts w:eastAsiaTheme="minorHAnsi" w:cs="Arial"/>
        </w:rPr>
        <w:t>mal pregnancies carried to term.</w:t>
      </w:r>
    </w:p>
    <w:p w14:paraId="3C87E0FC" w14:textId="68B07834" w:rsidR="00CC0553" w:rsidRPr="00A0568D" w:rsidRDefault="00A0568D" w:rsidP="00A0568D">
      <w:r w:rsidRPr="00A0568D">
        <w:t xml:space="preserve">The relevant exposure in the 5 </w:t>
      </w:r>
      <w:r w:rsidR="00CC0553" w:rsidRPr="00A0568D">
        <w:t>year study was 4434.53 WY. Due to decreasing subject numbers, the highest relevant unadjusted exposure by single year was seen</w:t>
      </w:r>
      <w:r w:rsidRPr="00A0568D">
        <w:t xml:space="preserve"> during the first year (1252.43 </w:t>
      </w:r>
      <w:r w:rsidR="00CC0553" w:rsidRPr="00A0568D">
        <w:t>WY of exposure), followed by the second year (1066.87 WY), third year (897.75 WY), fourth year (659.17 WY) and fifth</w:t>
      </w:r>
      <w:r w:rsidRPr="00A0568D">
        <w:t xml:space="preserve"> year (558.30 WY) respectively.</w:t>
      </w:r>
    </w:p>
    <w:p w14:paraId="77686A4C" w14:textId="50DECCBA" w:rsidR="00CC0553" w:rsidRPr="00A0568D" w:rsidRDefault="00CC0553" w:rsidP="00A0568D">
      <w:r w:rsidRPr="00A0568D">
        <w:t xml:space="preserve">The primary efficacy endpoint was the overall </w:t>
      </w:r>
      <w:r w:rsidR="00626A92">
        <w:t>Pearl Index</w:t>
      </w:r>
      <w:r w:rsidRPr="00A0568D">
        <w:t>, whic</w:t>
      </w:r>
      <w:r w:rsidR="00A0568D">
        <w:t>h was 0.29 (95% CI: 0.1</w:t>
      </w:r>
      <w:r w:rsidR="008978D1">
        <w:t>6, 0.50), shown below in Table 14</w:t>
      </w:r>
      <w:r w:rsidR="00A0568D">
        <w:t>.</w:t>
      </w:r>
    </w:p>
    <w:p w14:paraId="7D61E09E" w14:textId="4C917523" w:rsidR="00CC0553" w:rsidRPr="00A0568D" w:rsidRDefault="00CC0553" w:rsidP="00A0568D">
      <w:pPr>
        <w:pStyle w:val="Tabletitle"/>
      </w:pPr>
      <w:r w:rsidRPr="00A0568D">
        <w:t xml:space="preserve">Table </w:t>
      </w:r>
      <w:r w:rsidR="008978D1">
        <w:t>14</w:t>
      </w:r>
      <w:r w:rsidR="00A0568D">
        <w:t>.</w:t>
      </w:r>
      <w:r w:rsidRPr="00A0568D">
        <w:t xml:space="preserve"> </w:t>
      </w:r>
      <w:r w:rsidR="00A0568D">
        <w:t xml:space="preserve">Unadjusted Pearl </w:t>
      </w:r>
      <w:r w:rsidR="00F30F86">
        <w:t>Indices</w:t>
      </w:r>
      <w:r w:rsidR="00A0568D">
        <w:t xml:space="preserve">: </w:t>
      </w:r>
      <w:r w:rsidRPr="00A0568D">
        <w:t>All subjects with treated with LCS16 (FAS)</w:t>
      </w:r>
    </w:p>
    <w:p w14:paraId="2EF2FA6C" w14:textId="4AE3D842" w:rsidR="00CC0553" w:rsidRPr="00C91667" w:rsidRDefault="008978D1" w:rsidP="00CC0553">
      <w:pPr>
        <w:autoSpaceDE w:val="0"/>
        <w:autoSpaceDN w:val="0"/>
        <w:adjustRightInd w:val="0"/>
        <w:spacing w:before="0" w:after="0" w:line="240" w:lineRule="auto"/>
        <w:rPr>
          <w:rFonts w:eastAsiaTheme="minorHAnsi" w:cs="TimesNewRoman"/>
          <w:color w:val="000000"/>
          <w:szCs w:val="24"/>
        </w:rPr>
      </w:pPr>
      <w:r>
        <w:rPr>
          <w:rFonts w:eastAsiaTheme="minorHAnsi" w:cs="TimesNewRoman"/>
          <w:noProof/>
          <w:color w:val="000000"/>
          <w:szCs w:val="24"/>
          <w:lang w:eastAsia="en-AU"/>
        </w:rPr>
        <w:drawing>
          <wp:inline distT="0" distB="0" distL="0" distR="0" wp14:anchorId="635CAE1D" wp14:editId="74EAD1E4">
            <wp:extent cx="4220870" cy="2178996"/>
            <wp:effectExtent l="0" t="0" r="8255" b="0"/>
            <wp:docPr id="34" name="Picture 34" descr="Table 14 is an image of a table showing the Unadjusted Pearl indices: All subjects with treated with LCS16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6053" r="5467"/>
                    <a:stretch/>
                  </pic:blipFill>
                  <pic:spPr bwMode="auto">
                    <a:xfrm>
                      <a:off x="0" y="0"/>
                      <a:ext cx="4226969" cy="2182144"/>
                    </a:xfrm>
                    <a:prstGeom prst="rect">
                      <a:avLst/>
                    </a:prstGeom>
                    <a:noFill/>
                    <a:ln>
                      <a:noFill/>
                    </a:ln>
                    <a:extLst>
                      <a:ext uri="{53640926-AAD7-44D8-BBD7-CCE9431645EC}">
                        <a14:shadowObscured xmlns:a14="http://schemas.microsoft.com/office/drawing/2010/main"/>
                      </a:ext>
                    </a:extLst>
                  </pic:spPr>
                </pic:pic>
              </a:graphicData>
            </a:graphic>
          </wp:inline>
        </w:drawing>
      </w:r>
    </w:p>
    <w:p w14:paraId="74A773B5" w14:textId="3CD333A1" w:rsidR="004964C7" w:rsidRPr="004964C7" w:rsidRDefault="00CC0553" w:rsidP="004964C7">
      <w:r w:rsidRPr="00A0568D">
        <w:t xml:space="preserve">The Year 4 and Year 5 </w:t>
      </w:r>
      <w:r w:rsidR="00626A92">
        <w:t xml:space="preserve">Pearl </w:t>
      </w:r>
      <w:r w:rsidR="00F30F86">
        <w:t>Indices</w:t>
      </w:r>
      <w:r w:rsidRPr="00A0568D">
        <w:t xml:space="preserve"> were 0.15 (95% CI: 0.00, 0.85) and 0.36 (95% CI: 0.04, 1.29) respectively. The highest </w:t>
      </w:r>
      <w:r w:rsidR="00626A92">
        <w:t>Pearl Index</w:t>
      </w:r>
      <w:r w:rsidRPr="00A0568D">
        <w:t xml:space="preserve"> was 0.45 (95% CI: 0.12, 1.14) seen at Year 3, with no trend regarding pregnancy pattern observed over time. All </w:t>
      </w:r>
      <w:r w:rsidR="00626A92">
        <w:t xml:space="preserve">Pearl </w:t>
      </w:r>
      <w:r w:rsidR="00F30F86">
        <w:t>Indices</w:t>
      </w:r>
      <w:r w:rsidRPr="00A0568D">
        <w:t xml:space="preserve"> met the EMA guidance efficacy requirement that the difference between the point estimate for the </w:t>
      </w:r>
      <w:r w:rsidR="00626A92">
        <w:t>Pearl Index</w:t>
      </w:r>
      <w:r w:rsidRPr="00A0568D">
        <w:t xml:space="preserve"> and the upper limit of the 2-sided 95% CI should not exceed 1. Similar results were observed for the adjusted P</w:t>
      </w:r>
      <w:r w:rsidR="004964C7">
        <w:t xml:space="preserve">earl </w:t>
      </w:r>
      <w:r w:rsidR="00F30F86">
        <w:t>Indices</w:t>
      </w:r>
      <w:r w:rsidRPr="00A0568D">
        <w:t xml:space="preserve"> as there were no pregnancies excluded from the analysis (see </w:t>
      </w:r>
      <w:r w:rsidR="004964C7">
        <w:t>Table 15 below).</w:t>
      </w:r>
    </w:p>
    <w:p w14:paraId="570ED3EC" w14:textId="59BCF941" w:rsidR="004964C7" w:rsidRDefault="004964C7" w:rsidP="004964C7">
      <w:pPr>
        <w:pStyle w:val="Tabletitle"/>
        <w:rPr>
          <w:lang w:eastAsia="ja-JP"/>
        </w:rPr>
      </w:pPr>
      <w:bookmarkStart w:id="141" w:name="Table18"/>
      <w:bookmarkStart w:id="142" w:name="Table19"/>
      <w:r w:rsidRPr="00B85962">
        <w:rPr>
          <w:lang w:eastAsia="ja-JP"/>
        </w:rPr>
        <w:lastRenderedPageBreak/>
        <w:t>Ta</w:t>
      </w:r>
      <w:r>
        <w:rPr>
          <w:lang w:eastAsia="ja-JP"/>
        </w:rPr>
        <w:t>ble 15.</w:t>
      </w:r>
      <w:r w:rsidRPr="00B85962">
        <w:rPr>
          <w:lang w:eastAsia="ja-JP"/>
        </w:rPr>
        <w:t xml:space="preserve"> Study </w:t>
      </w:r>
      <w:r>
        <w:rPr>
          <w:lang w:eastAsia="ja-JP"/>
        </w:rPr>
        <w:t xml:space="preserve">PH-37274 </w:t>
      </w:r>
      <w:r w:rsidRPr="0038487D">
        <w:rPr>
          <w:lang w:eastAsia="ja-JP"/>
        </w:rPr>
        <w:t>Contraceptiv</w:t>
      </w:r>
      <w:r>
        <w:rPr>
          <w:lang w:eastAsia="ja-JP"/>
        </w:rPr>
        <w:t xml:space="preserve">e efficacy (FAS, </w:t>
      </w:r>
      <w:r w:rsidRPr="0038487D">
        <w:rPr>
          <w:lang w:eastAsia="ja-JP"/>
        </w:rPr>
        <w:t>LCS16</w:t>
      </w:r>
      <w:r>
        <w:rPr>
          <w:lang w:eastAsia="ja-JP"/>
        </w:rPr>
        <w:t xml:space="preserve"> treated subjects</w:t>
      </w:r>
      <w:r w:rsidRPr="0038487D">
        <w:rPr>
          <w:lang w:eastAsia="ja-JP"/>
        </w:rPr>
        <w:t>)</w:t>
      </w:r>
    </w:p>
    <w:bookmarkEnd w:id="141"/>
    <w:bookmarkEnd w:id="142"/>
    <w:p w14:paraId="6EE4F799" w14:textId="77777777" w:rsidR="004964C7" w:rsidRDefault="004964C7" w:rsidP="004964C7">
      <w:pPr>
        <w:rPr>
          <w:b/>
          <w:u w:val="single"/>
          <w:lang w:eastAsia="ja-JP"/>
        </w:rPr>
      </w:pPr>
      <w:r w:rsidRPr="004964C7">
        <w:rPr>
          <w:noProof/>
          <w:lang w:eastAsia="en-AU"/>
        </w:rPr>
        <w:drawing>
          <wp:inline distT="0" distB="0" distL="0" distR="0" wp14:anchorId="60FB93E1" wp14:editId="263B88E0">
            <wp:extent cx="5592445" cy="2484702"/>
            <wp:effectExtent l="0" t="0" r="0" b="0"/>
            <wp:docPr id="35" name="Picture 35" descr="Table 15 is an image of a table showing the Study PH-37274 Contraceptive efficacy (FAS, LCS16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9">
                      <a:lum bright="-8000" contrast="9000"/>
                      <a:extLst>
                        <a:ext uri="{28A0092B-C50C-407E-A947-70E740481C1C}">
                          <a14:useLocalDpi xmlns:a14="http://schemas.microsoft.com/office/drawing/2010/main" val="0"/>
                        </a:ext>
                      </a:extLst>
                    </a:blip>
                    <a:srcRect l="2412" t="3709"/>
                    <a:stretch/>
                  </pic:blipFill>
                  <pic:spPr bwMode="auto">
                    <a:xfrm>
                      <a:off x="0" y="0"/>
                      <a:ext cx="5593279" cy="2485073"/>
                    </a:xfrm>
                    <a:prstGeom prst="rect">
                      <a:avLst/>
                    </a:prstGeom>
                    <a:noFill/>
                    <a:ln>
                      <a:noFill/>
                    </a:ln>
                    <a:extLst>
                      <a:ext uri="{53640926-AAD7-44D8-BBD7-CCE9431645EC}">
                        <a14:shadowObscured xmlns:a14="http://schemas.microsoft.com/office/drawing/2010/main"/>
                      </a:ext>
                    </a:extLst>
                  </pic:spPr>
                </pic:pic>
              </a:graphicData>
            </a:graphic>
          </wp:inline>
        </w:drawing>
      </w:r>
    </w:p>
    <w:p w14:paraId="177AA4E2" w14:textId="2A7FFA3B" w:rsidR="00CC0553" w:rsidRDefault="00CC0553" w:rsidP="00A0568D">
      <w:r w:rsidRPr="00A0568D">
        <w:t xml:space="preserve">The Kaplan-Meier estimate of the cumulative failure rate (unadjusted) over 5 years was 1.4 %. The cumulative failure rate over 3 years reported for subjects in the LCS16 treatment arm was 1.0%. See </w:t>
      </w:r>
      <w:r w:rsidR="004964C7">
        <w:t>Table 16 below.</w:t>
      </w:r>
    </w:p>
    <w:p w14:paraId="5282C832" w14:textId="66362795" w:rsidR="004964C7" w:rsidRDefault="004964C7" w:rsidP="004964C7">
      <w:pPr>
        <w:pStyle w:val="Tabletitle"/>
      </w:pPr>
      <w:bookmarkStart w:id="143" w:name="Table20"/>
      <w:r w:rsidRPr="004964C7">
        <w:t xml:space="preserve">Table </w:t>
      </w:r>
      <w:r>
        <w:t>16</w:t>
      </w:r>
      <w:r w:rsidRPr="004964C7">
        <w:t xml:space="preserve">. Study PH-37274 Cumulative (5 year) </w:t>
      </w:r>
      <w:r w:rsidR="00280989">
        <w:t>failure rate by subgroup</w:t>
      </w:r>
      <w:r w:rsidRPr="004964C7">
        <w:t xml:space="preserve"> analysis (All LCS16 treated subjects, FAS)</w:t>
      </w:r>
    </w:p>
    <w:p w14:paraId="6FBA2941" w14:textId="28D1B6EF" w:rsidR="004964C7" w:rsidRPr="00A0568D" w:rsidRDefault="00280989" w:rsidP="00A0568D">
      <w:r w:rsidRPr="00280989">
        <w:rPr>
          <w:noProof/>
          <w:lang w:eastAsia="en-AU"/>
        </w:rPr>
        <w:drawing>
          <wp:inline distT="0" distB="0" distL="0" distR="0" wp14:anchorId="11111575" wp14:editId="7051AD96">
            <wp:extent cx="3994099" cy="1993952"/>
            <wp:effectExtent l="0" t="0" r="6985" b="6350"/>
            <wp:docPr id="37" name="Picture 37" descr="Table 16 is an image of a table showing the Study PH-37274 Cumulative (5 year) failure rate by subgroup analysis (All LCS16 treated subject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6160" cy="1994981"/>
                    </a:xfrm>
                    <a:prstGeom prst="rect">
                      <a:avLst/>
                    </a:prstGeom>
                    <a:noFill/>
                    <a:ln>
                      <a:noFill/>
                    </a:ln>
                  </pic:spPr>
                </pic:pic>
              </a:graphicData>
            </a:graphic>
          </wp:inline>
        </w:drawing>
      </w:r>
      <w:bookmarkEnd w:id="143"/>
    </w:p>
    <w:p w14:paraId="571422F4" w14:textId="6A3316A8" w:rsidR="00CC0553" w:rsidRPr="00136563" w:rsidRDefault="00CC0553" w:rsidP="00280989">
      <w:pPr>
        <w:pStyle w:val="Heading6"/>
        <w:rPr>
          <w:rFonts w:eastAsiaTheme="minorHAnsi"/>
        </w:rPr>
      </w:pPr>
      <w:r w:rsidRPr="00136563">
        <w:rPr>
          <w:rFonts w:eastAsiaTheme="minorHAnsi"/>
        </w:rPr>
        <w:t>Sub</w:t>
      </w:r>
      <w:r>
        <w:rPr>
          <w:rFonts w:eastAsiaTheme="minorHAnsi"/>
        </w:rPr>
        <w:t>group analysis: parity, age and BMI</w:t>
      </w:r>
    </w:p>
    <w:p w14:paraId="6E2FD7E7" w14:textId="71EA5760" w:rsidR="00CC0553" w:rsidRPr="00A0568D" w:rsidRDefault="00280989" w:rsidP="00A0568D">
      <w:r>
        <w:t>Sub</w:t>
      </w:r>
      <w:r w:rsidR="00CC0553" w:rsidRPr="00A0568D">
        <w:t xml:space="preserve">group analysis by parity, age and BMI are shown below in </w:t>
      </w:r>
      <w:r>
        <w:t>Table 17</w:t>
      </w:r>
      <w:r w:rsidR="00CC0553" w:rsidRPr="00A0568D">
        <w:t>. Of the 13 reported pregnancies, 9 occurred in the 878 parous subjects and 4 occurred in the 574 nulliparous subjects. Ten pregnancies occurred in the &gt;</w:t>
      </w:r>
      <w:r w:rsidR="00A0568D">
        <w:t xml:space="preserve"> 25 to</w:t>
      </w:r>
      <w:r w:rsidR="00CC0553" w:rsidRPr="00A0568D">
        <w:t xml:space="preserve"> 35 year age group, and 3 pregnancies in </w:t>
      </w:r>
      <w:r w:rsidR="00A0568D">
        <w:t xml:space="preserve">the 18 to 25 years age group. The 5 </w:t>
      </w:r>
      <w:r w:rsidR="00CC0553" w:rsidRPr="00A0568D">
        <w:t xml:space="preserve">year unadjusted </w:t>
      </w:r>
      <w:r w:rsidR="00626A92">
        <w:t>Pearl Index</w:t>
      </w:r>
      <w:r w:rsidR="00CC0553" w:rsidRPr="00A0568D">
        <w:t xml:space="preserve"> was nume</w:t>
      </w:r>
      <w:r w:rsidR="00A0568D">
        <w:t>rically higher in the parous versus</w:t>
      </w:r>
      <w:r w:rsidR="00CC0553" w:rsidRPr="00A0568D">
        <w:t xml:space="preserve"> nulliparous subgroup, and the &gt; </w:t>
      </w:r>
      <w:r w:rsidR="00A0568D">
        <w:t xml:space="preserve">25 to </w:t>
      </w:r>
      <w:r w:rsidR="00CC0553" w:rsidRPr="00A0568D">
        <w:t>35 year age group</w:t>
      </w:r>
      <w:r w:rsidR="00A0568D">
        <w:t xml:space="preserve"> versus the 18 to </w:t>
      </w:r>
      <w:r w:rsidR="00CC0553" w:rsidRPr="00A0568D">
        <w:t>25 years age group, although note is made of the ov</w:t>
      </w:r>
      <w:r w:rsidR="00A0568D">
        <w:t>erlapping confidence intervals.</w:t>
      </w:r>
    </w:p>
    <w:p w14:paraId="7F3B2929" w14:textId="5D2E0235" w:rsidR="00CC0553" w:rsidRPr="00A0568D" w:rsidRDefault="00CC0553" w:rsidP="00A0568D">
      <w:r w:rsidRPr="00A0568D">
        <w:t>Regarding BMI subgroup analysis, the number of subjects in the ≥ 30 kg/m</w:t>
      </w:r>
      <w:r w:rsidRPr="00A0568D">
        <w:rPr>
          <w:vertAlign w:val="superscript"/>
        </w:rPr>
        <w:t>2</w:t>
      </w:r>
      <w:r w:rsidRPr="00A0568D">
        <w:t xml:space="preserve"> subgroup was small</w:t>
      </w:r>
      <w:r w:rsidR="00A0568D">
        <w:t xml:space="preserve"> (n = 250 versus</w:t>
      </w:r>
      <w:r w:rsidRPr="00A0568D">
        <w:t xml:space="preserve"> 1198 in the &lt; 30 kg/m</w:t>
      </w:r>
      <w:r w:rsidRPr="00A0568D">
        <w:rPr>
          <w:vertAlign w:val="superscript"/>
        </w:rPr>
        <w:t>2</w:t>
      </w:r>
      <w:r w:rsidRPr="00A0568D">
        <w:t xml:space="preserve"> subgroup), resulting in low total exposure compared to subjects in the &lt; 30 kg/m</w:t>
      </w:r>
      <w:r w:rsidRPr="00A0568D">
        <w:rPr>
          <w:vertAlign w:val="superscript"/>
        </w:rPr>
        <w:t>2</w:t>
      </w:r>
      <w:r w:rsidRPr="00A0568D">
        <w:t xml:space="preserve"> subgroup. There is a numerical difference in the </w:t>
      </w:r>
      <w:r w:rsidR="00626A92">
        <w:t>Pearl Index</w:t>
      </w:r>
      <w:r w:rsidRPr="00A0568D">
        <w:t xml:space="preserve"> between the two subgroups;</w:t>
      </w:r>
      <w:r w:rsidR="00A0568D">
        <w:t xml:space="preserve"> 0.24 (95% CI: 0.11, 0.46) versus</w:t>
      </w:r>
      <w:r w:rsidRPr="00A0568D">
        <w:t xml:space="preserve"> 0.56 (95% CI: 0.15, 1.42) for the </w:t>
      </w:r>
      <w:r w:rsidR="00A0568D">
        <w:t>&lt; 30 </w:t>
      </w:r>
      <w:r w:rsidRPr="00A0568D">
        <w:t>kg/m</w:t>
      </w:r>
      <w:r w:rsidRPr="00A0568D">
        <w:rPr>
          <w:vertAlign w:val="superscript"/>
        </w:rPr>
        <w:t>2</w:t>
      </w:r>
      <w:r w:rsidRPr="00A0568D">
        <w:t xml:space="preserve"> and ≥ 30 kg/m</w:t>
      </w:r>
      <w:r w:rsidRPr="00A0568D">
        <w:rPr>
          <w:vertAlign w:val="superscript"/>
        </w:rPr>
        <w:t>2</w:t>
      </w:r>
      <w:r w:rsidRPr="00A0568D">
        <w:t xml:space="preserve"> subgroup</w:t>
      </w:r>
      <w:r w:rsidR="00A0568D">
        <w:t>s respectively.</w:t>
      </w:r>
    </w:p>
    <w:p w14:paraId="1BA71830" w14:textId="26A19829" w:rsidR="00CC0553" w:rsidRPr="0017079D" w:rsidRDefault="00CC0553" w:rsidP="00A0568D">
      <w:pPr>
        <w:pStyle w:val="Tabletitle"/>
        <w:rPr>
          <w:rFonts w:ascii="Arial,Bold" w:hAnsi="Arial,Bold"/>
          <w:sz w:val="20"/>
        </w:rPr>
      </w:pPr>
      <w:r w:rsidRPr="0038487D">
        <w:lastRenderedPageBreak/>
        <w:t xml:space="preserve">Table </w:t>
      </w:r>
      <w:r w:rsidR="00A0568D">
        <w:t>1</w:t>
      </w:r>
      <w:r w:rsidR="00280989">
        <w:t>7</w:t>
      </w:r>
      <w:r w:rsidR="00A0568D">
        <w:t>.</w:t>
      </w:r>
      <w:r>
        <w:t xml:space="preserve"> </w:t>
      </w:r>
      <w:r w:rsidR="00A0568D">
        <w:t xml:space="preserve">Cumulative (5 </w:t>
      </w:r>
      <w:r w:rsidRPr="0038487D">
        <w:t>year) analys</w:t>
      </w:r>
      <w:r w:rsidR="00280989">
        <w:t xml:space="preserve">is of </w:t>
      </w:r>
      <w:r w:rsidR="00626A92">
        <w:t>Pearl Index</w:t>
      </w:r>
      <w:r w:rsidR="00280989">
        <w:t xml:space="preserve"> by subgroup (</w:t>
      </w:r>
      <w:r w:rsidRPr="0038487D">
        <w:t>All subjects trea</w:t>
      </w:r>
      <w:r w:rsidR="00280989">
        <w:t>ted with LCS16, FAS)</w:t>
      </w:r>
    </w:p>
    <w:p w14:paraId="39404640" w14:textId="348928BC" w:rsidR="00CC0553" w:rsidRDefault="00CC0553" w:rsidP="00CC0553">
      <w:pPr>
        <w:autoSpaceDE w:val="0"/>
        <w:autoSpaceDN w:val="0"/>
        <w:adjustRightInd w:val="0"/>
        <w:spacing w:before="0" w:after="0" w:line="240" w:lineRule="auto"/>
        <w:rPr>
          <w:rFonts w:eastAsiaTheme="minorHAnsi" w:cs="TimesNewRoman"/>
        </w:rPr>
      </w:pPr>
      <w:r>
        <w:rPr>
          <w:rFonts w:eastAsiaTheme="minorHAnsi" w:cs="TimesNewRoman"/>
          <w:noProof/>
          <w:lang w:eastAsia="en-AU"/>
        </w:rPr>
        <w:drawing>
          <wp:inline distT="0" distB="0" distL="0" distR="0" wp14:anchorId="01A41B3D" wp14:editId="1089F8AD">
            <wp:extent cx="3950208" cy="2127607"/>
            <wp:effectExtent l="0" t="0" r="0" b="6350"/>
            <wp:docPr id="5" name="Picture 5" descr="Table 17 is an image of a table showing the Cumulative (5 year) analysis of Pearl Index by subgroup (All subjects treated with LCS16,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8327" cy="2131980"/>
                    </a:xfrm>
                    <a:prstGeom prst="rect">
                      <a:avLst/>
                    </a:prstGeom>
                    <a:noFill/>
                    <a:ln>
                      <a:noFill/>
                    </a:ln>
                  </pic:spPr>
                </pic:pic>
              </a:graphicData>
            </a:graphic>
          </wp:inline>
        </w:drawing>
      </w:r>
    </w:p>
    <w:p w14:paraId="7490551C" w14:textId="65F69702" w:rsidR="00CC0553" w:rsidRPr="00A0568D" w:rsidRDefault="00CC0553" w:rsidP="00A0568D">
      <w:r w:rsidRPr="00A0568D">
        <w:t xml:space="preserve">Cumulative failure rate stratified by </w:t>
      </w:r>
      <w:r w:rsidR="00280989">
        <w:t>parity, age and BMI is shown in Table 16, above</w:t>
      </w:r>
      <w:r w:rsidR="00A0568D">
        <w:t xml:space="preserve">. The 5 </w:t>
      </w:r>
      <w:r w:rsidRPr="00A0568D">
        <w:t>year cumulative failure rate was similar for parous and nulliparous subjects</w:t>
      </w:r>
      <w:r w:rsidR="00A0568D">
        <w:t xml:space="preserve"> (1.2% versus</w:t>
      </w:r>
      <w:r w:rsidRPr="00A0568D">
        <w:t xml:space="preserve"> 1.6%)</w:t>
      </w:r>
      <w:r w:rsidR="00A0568D">
        <w:t>, but higher for the &gt; 25 to</w:t>
      </w:r>
      <w:r w:rsidRPr="00A0568D">
        <w:t xml:space="preserve"> 35 years age group</w:t>
      </w:r>
      <w:r w:rsidR="00A0568D">
        <w:t xml:space="preserve"> versus</w:t>
      </w:r>
      <w:r w:rsidRPr="00A0568D">
        <w:t xml:space="preserve"> the </w:t>
      </w:r>
      <w:r w:rsidR="00A0568D">
        <w:t xml:space="preserve">18 to </w:t>
      </w:r>
      <w:r w:rsidRPr="00A0568D">
        <w:t>25 year age group (1.</w:t>
      </w:r>
      <w:r w:rsidR="00A0568D">
        <w:t>8% versus</w:t>
      </w:r>
      <w:r w:rsidRPr="00A0568D">
        <w:t xml:space="preserve"> 0.9%), and the ≥ 30 kg/m</w:t>
      </w:r>
      <w:r w:rsidRPr="00A0568D">
        <w:rPr>
          <w:vertAlign w:val="superscript"/>
        </w:rPr>
        <w:t>2</w:t>
      </w:r>
      <w:r w:rsidRPr="00A0568D">
        <w:t xml:space="preserve"> subgroup </w:t>
      </w:r>
      <w:r w:rsidR="00DA2B54">
        <w:t>versus</w:t>
      </w:r>
      <w:r w:rsidRPr="00A0568D">
        <w:t xml:space="preserve"> the &lt; 30 kg/m</w:t>
      </w:r>
      <w:r w:rsidRPr="00A0568D">
        <w:rPr>
          <w:vertAlign w:val="superscript"/>
        </w:rPr>
        <w:t>2</w:t>
      </w:r>
      <w:r w:rsidRPr="00A0568D">
        <w:t xml:space="preserve"> subgroup</w:t>
      </w:r>
      <w:r w:rsidR="00A0568D">
        <w:t xml:space="preserve"> (2.2% versus</w:t>
      </w:r>
      <w:r w:rsidRPr="00A0568D">
        <w:t xml:space="preserve"> 1.3%).</w:t>
      </w:r>
    </w:p>
    <w:p w14:paraId="601E04C3" w14:textId="77777777" w:rsidR="00CC0553" w:rsidRPr="00A0568D" w:rsidRDefault="00CC0553" w:rsidP="00A0568D">
      <w:pPr>
        <w:pStyle w:val="Heading6"/>
        <w:rPr>
          <w:rFonts w:eastAsiaTheme="minorHAnsi"/>
        </w:rPr>
      </w:pPr>
      <w:r w:rsidRPr="00A0568D">
        <w:rPr>
          <w:rFonts w:eastAsiaTheme="minorHAnsi"/>
        </w:rPr>
        <w:t>Subgroup analysis: ectopic pregnancy</w:t>
      </w:r>
    </w:p>
    <w:p w14:paraId="2AE58516" w14:textId="3571FCFD" w:rsidR="00CC0553" w:rsidRDefault="00CC0553" w:rsidP="00CC0553">
      <w:r w:rsidRPr="00A0568D">
        <w:t>Of the 13 pregnancies, 8 were ectopic (documented or suspected) (n = 2 occurred during the first year, n = 3 during the second year, n = 2 during the third year and n = 1 during the</w:t>
      </w:r>
      <w:r w:rsidR="00A0568D">
        <w:t xml:space="preserve"> fourth year). The unadjusted 5</w:t>
      </w:r>
      <w:r w:rsidRPr="00A0568D">
        <w:t xml:space="preserve"> year </w:t>
      </w:r>
      <w:r w:rsidR="00626A92">
        <w:t>Pearl Index</w:t>
      </w:r>
      <w:r w:rsidRPr="00A0568D">
        <w:t xml:space="preserve"> for ectopic pregnancies was 0.18 (95% CI: 0.08, 0.36) and the yearly unadjusted </w:t>
      </w:r>
      <w:r w:rsidR="00626A92">
        <w:t xml:space="preserve">Pearl </w:t>
      </w:r>
      <w:r w:rsidR="00F30F86">
        <w:t>Indices</w:t>
      </w:r>
      <w:r w:rsidRPr="00A0568D">
        <w:t xml:space="preserve"> for ectopic pregnancies were equal to or below 0.28. Similar results were observed for the adjusted P</w:t>
      </w:r>
      <w:r w:rsidR="00A0568D">
        <w:t xml:space="preserve">earl </w:t>
      </w:r>
      <w:r w:rsidR="00F30F86">
        <w:t>Indices</w:t>
      </w:r>
      <w:r w:rsidRPr="00A0568D">
        <w:t>. There was no evidence of a re</w:t>
      </w:r>
      <w:r w:rsidR="00A0568D">
        <w:t>levant difference among the sub</w:t>
      </w:r>
      <w:r w:rsidRPr="00A0568D">
        <w:t>groups was seen with regard to ectopic pregnancy rate. The 5</w:t>
      </w:r>
      <w:r w:rsidR="007A24E9">
        <w:t> </w:t>
      </w:r>
      <w:r w:rsidRPr="00A0568D">
        <w:t xml:space="preserve">year cumulative failure rate for ectopic pregnancy was 0.8% </w:t>
      </w:r>
      <w:r w:rsidR="00DC5D22">
        <w:t>(95% CI: 0.39, 1.62).</w:t>
      </w:r>
    </w:p>
    <w:p w14:paraId="315641E8" w14:textId="591B8233" w:rsidR="00CC0553" w:rsidRPr="00DC5D22" w:rsidRDefault="00CC0553" w:rsidP="00DC5D22">
      <w:pPr>
        <w:pStyle w:val="Heading5"/>
      </w:pPr>
      <w:r w:rsidRPr="0033544F">
        <w:t>Results for other efficacy outcomes</w:t>
      </w:r>
    </w:p>
    <w:p w14:paraId="552B2EE8" w14:textId="1C5F7712" w:rsidR="00CC0553" w:rsidRPr="00E82AFE" w:rsidRDefault="00CC0553" w:rsidP="00DC5D22">
      <w:pPr>
        <w:pStyle w:val="Heading6"/>
        <w:rPr>
          <w:lang w:eastAsia="ja-JP"/>
        </w:rPr>
      </w:pPr>
      <w:r w:rsidRPr="00E82AFE">
        <w:rPr>
          <w:lang w:eastAsia="ja-JP"/>
        </w:rPr>
        <w:t>Treatment compliance</w:t>
      </w:r>
    </w:p>
    <w:p w14:paraId="5B2B8A4E" w14:textId="2B4B2476" w:rsidR="00CC0553" w:rsidRPr="00DC5D22" w:rsidRDefault="00DC5D22" w:rsidP="00DC5D22">
      <w:pPr>
        <w:pStyle w:val="ListBullet"/>
        <w:numPr>
          <w:ilvl w:val="0"/>
          <w:numId w:val="0"/>
        </w:numPr>
        <w:rPr>
          <w:i/>
        </w:rPr>
      </w:pPr>
      <w:r w:rsidRPr="00DC5D22">
        <w:rPr>
          <w:i/>
        </w:rPr>
        <w:t xml:space="preserve">3 </w:t>
      </w:r>
      <w:r w:rsidR="00CC0553" w:rsidRPr="00DC5D22">
        <w:rPr>
          <w:i/>
        </w:rPr>
        <w:t>year data (Study A52238)</w:t>
      </w:r>
      <w:r w:rsidRPr="00DC5D22">
        <w:rPr>
          <w:i/>
        </w:rPr>
        <w:t>:</w:t>
      </w:r>
      <w:r>
        <w:rPr>
          <w:i/>
        </w:rPr>
        <w:t xml:space="preserve"> </w:t>
      </w:r>
      <w:r w:rsidR="00CC0553" w:rsidRPr="009D1B51">
        <w:rPr>
          <w:szCs w:val="24"/>
          <w:lang w:eastAsia="ja-JP"/>
        </w:rPr>
        <w:t xml:space="preserve">There were </w:t>
      </w:r>
      <w:r w:rsidR="00CC0553" w:rsidRPr="009D1B51">
        <w:rPr>
          <w:rFonts w:eastAsiaTheme="minorHAnsi" w:cs="TimesNewRoman"/>
          <w:color w:val="000000"/>
          <w:szCs w:val="24"/>
        </w:rPr>
        <w:t xml:space="preserve">2871 </w:t>
      </w:r>
      <w:r w:rsidR="00CC0553">
        <w:rPr>
          <w:rFonts w:eastAsiaTheme="minorHAnsi" w:cs="TimesNewRoman"/>
          <w:color w:val="000000"/>
          <w:szCs w:val="24"/>
        </w:rPr>
        <w:t xml:space="preserve">of 2990 </w:t>
      </w:r>
      <w:r w:rsidR="00CC0553" w:rsidRPr="009D1B51">
        <w:rPr>
          <w:rFonts w:eastAsiaTheme="minorHAnsi" w:cs="TimesNewRoman"/>
          <w:color w:val="000000"/>
          <w:szCs w:val="24"/>
        </w:rPr>
        <w:t>subjects with successful insertions (</w:t>
      </w:r>
      <w:r w:rsidR="00CC0553">
        <w:rPr>
          <w:rFonts w:eastAsiaTheme="minorHAnsi" w:cs="TimesNewRoman"/>
          <w:color w:val="000000"/>
          <w:szCs w:val="24"/>
        </w:rPr>
        <w:t xml:space="preserve">96.0%; </w:t>
      </w:r>
      <w:r w:rsidR="00CC0553" w:rsidRPr="009D1B51">
        <w:rPr>
          <w:rFonts w:eastAsiaTheme="minorHAnsi" w:cs="TimesNewRoman"/>
          <w:color w:val="000000"/>
          <w:szCs w:val="24"/>
        </w:rPr>
        <w:t xml:space="preserve">LCS12 </w:t>
      </w:r>
      <w:r w:rsidR="00CC0553">
        <w:rPr>
          <w:rFonts w:eastAsiaTheme="minorHAnsi" w:cs="TimesNewRoman"/>
          <w:color w:val="000000"/>
          <w:szCs w:val="24"/>
        </w:rPr>
        <w:t xml:space="preserve">= 1426 and </w:t>
      </w:r>
      <w:r>
        <w:rPr>
          <w:rFonts w:eastAsiaTheme="minorHAnsi" w:cs="TimesNewRoman"/>
          <w:color w:val="000000"/>
          <w:szCs w:val="24"/>
        </w:rPr>
        <w:t>LCS16 </w:t>
      </w:r>
      <w:r w:rsidR="00CC0553" w:rsidRPr="009D1B51">
        <w:rPr>
          <w:rFonts w:eastAsiaTheme="minorHAnsi" w:cs="TimesNewRoman"/>
          <w:color w:val="000000"/>
          <w:szCs w:val="24"/>
        </w:rPr>
        <w:t xml:space="preserve">= </w:t>
      </w:r>
      <w:r w:rsidR="00CC0553">
        <w:rPr>
          <w:rFonts w:eastAsiaTheme="minorHAnsi" w:cs="TimesNewRoman"/>
          <w:color w:val="000000"/>
          <w:szCs w:val="24"/>
        </w:rPr>
        <w:t>1445</w:t>
      </w:r>
      <w:r w:rsidR="00CC0553" w:rsidRPr="009D1B51">
        <w:rPr>
          <w:rFonts w:eastAsiaTheme="minorHAnsi" w:cs="TimesNewRoman"/>
          <w:color w:val="000000"/>
          <w:szCs w:val="24"/>
        </w:rPr>
        <w:t>), the majority of which were successful at the first attempt (n</w:t>
      </w:r>
      <w:r w:rsidR="00CC0553">
        <w:rPr>
          <w:rFonts w:eastAsiaTheme="minorHAnsi" w:cs="TimesNewRoman"/>
          <w:color w:val="000000"/>
          <w:szCs w:val="24"/>
        </w:rPr>
        <w:t xml:space="preserve"> </w:t>
      </w:r>
      <w:r w:rsidR="00CC0553" w:rsidRPr="009D1B51">
        <w:rPr>
          <w:rFonts w:eastAsiaTheme="minorHAnsi" w:cs="TimesNewRoman"/>
          <w:color w:val="000000"/>
          <w:szCs w:val="24"/>
        </w:rPr>
        <w:t>= 2770</w:t>
      </w:r>
      <w:r w:rsidR="00CC0553">
        <w:rPr>
          <w:rFonts w:eastAsiaTheme="minorHAnsi" w:cs="TimesNewRoman"/>
          <w:color w:val="000000"/>
          <w:szCs w:val="24"/>
        </w:rPr>
        <w:t xml:space="preserve"> (96.0%)</w:t>
      </w:r>
      <w:r w:rsidR="00CC0553" w:rsidRPr="009D1B51">
        <w:rPr>
          <w:rFonts w:eastAsiaTheme="minorHAnsi" w:cs="TimesNewRoman"/>
          <w:color w:val="000000"/>
          <w:szCs w:val="24"/>
        </w:rPr>
        <w:t>; n</w:t>
      </w:r>
      <w:r>
        <w:rPr>
          <w:rFonts w:eastAsiaTheme="minorHAnsi" w:cs="TimesNewRoman"/>
          <w:color w:val="000000"/>
          <w:szCs w:val="24"/>
        </w:rPr>
        <w:t> = </w:t>
      </w:r>
      <w:r w:rsidR="00CC0553" w:rsidRPr="009D1B51">
        <w:rPr>
          <w:rFonts w:eastAsiaTheme="minorHAnsi" w:cs="TimesNewRoman"/>
          <w:color w:val="000000"/>
          <w:szCs w:val="24"/>
        </w:rPr>
        <w:t>101 successful at the second attempt).</w:t>
      </w:r>
      <w:r w:rsidR="00CC0553">
        <w:rPr>
          <w:rFonts w:eastAsiaTheme="minorHAnsi" w:cs="TimesNewRoman"/>
          <w:color w:val="000000"/>
          <w:szCs w:val="24"/>
        </w:rPr>
        <w:t xml:space="preserve"> </w:t>
      </w:r>
      <w:r w:rsidR="00CC0553" w:rsidRPr="009D1B51">
        <w:rPr>
          <w:rFonts w:eastAsiaTheme="minorHAnsi" w:cs="TimesNewRoman"/>
          <w:szCs w:val="24"/>
        </w:rPr>
        <w:t>Compliance was consistently &gt;</w:t>
      </w:r>
      <w:r>
        <w:rPr>
          <w:rFonts w:eastAsiaTheme="minorHAnsi" w:cs="TimesNewRoman"/>
          <w:szCs w:val="24"/>
        </w:rPr>
        <w:t xml:space="preserve"> 99% up to M</w:t>
      </w:r>
      <w:r w:rsidR="00CC0553" w:rsidRPr="009D1B51">
        <w:rPr>
          <w:rFonts w:eastAsiaTheme="minorHAnsi" w:cs="TimesNewRoman"/>
          <w:szCs w:val="24"/>
        </w:rPr>
        <w:t>onth 30 and &gt;</w:t>
      </w:r>
      <w:r>
        <w:rPr>
          <w:rFonts w:eastAsiaTheme="minorHAnsi" w:cs="TimesNewRoman"/>
          <w:szCs w:val="24"/>
        </w:rPr>
        <w:t xml:space="preserve"> </w:t>
      </w:r>
      <w:r w:rsidR="00CC0553">
        <w:rPr>
          <w:rFonts w:eastAsiaTheme="minorHAnsi" w:cs="TimesNewRoman"/>
          <w:szCs w:val="24"/>
        </w:rPr>
        <w:t>92% at the end of study visit (M</w:t>
      </w:r>
      <w:r>
        <w:rPr>
          <w:rFonts w:eastAsiaTheme="minorHAnsi" w:cs="TimesNewRoman"/>
          <w:szCs w:val="24"/>
        </w:rPr>
        <w:t>onth 36). The clinical e</w:t>
      </w:r>
      <w:r w:rsidR="00CC0553" w:rsidRPr="009D1B51">
        <w:rPr>
          <w:rFonts w:eastAsiaTheme="minorHAnsi" w:cs="TimesNewRoman"/>
          <w:szCs w:val="24"/>
        </w:rPr>
        <w:t xml:space="preserve">valuator </w:t>
      </w:r>
      <w:r w:rsidR="00CC0553">
        <w:rPr>
          <w:rFonts w:eastAsiaTheme="minorHAnsi" w:cs="TimesNewRoman"/>
          <w:szCs w:val="24"/>
        </w:rPr>
        <w:t xml:space="preserve">of the original </w:t>
      </w:r>
      <w:r>
        <w:rPr>
          <w:rFonts w:eastAsiaTheme="minorHAnsi" w:cs="TimesNewRoman"/>
          <w:szCs w:val="24"/>
        </w:rPr>
        <w:t xml:space="preserve">Jaydess </w:t>
      </w:r>
      <w:r w:rsidR="00CC0553">
        <w:rPr>
          <w:rFonts w:eastAsiaTheme="minorHAnsi" w:cs="TimesNewRoman"/>
          <w:szCs w:val="24"/>
        </w:rPr>
        <w:t xml:space="preserve">submission </w:t>
      </w:r>
      <w:r w:rsidR="00CC0553" w:rsidRPr="009D1B51">
        <w:rPr>
          <w:rFonts w:eastAsiaTheme="minorHAnsi" w:cs="TimesNewRoman"/>
          <w:szCs w:val="24"/>
        </w:rPr>
        <w:t xml:space="preserve">commented this may have been explained </w:t>
      </w:r>
      <w:r w:rsidR="00CC0553" w:rsidRPr="009D1B51">
        <w:rPr>
          <w:szCs w:val="24"/>
          <w:lang w:val="en-US"/>
        </w:rPr>
        <w:t>by the way patients who had had their IUS removed or expelled w</w:t>
      </w:r>
      <w:r>
        <w:rPr>
          <w:szCs w:val="24"/>
          <w:lang w:val="en-US"/>
        </w:rPr>
        <w:t>ere counted in the final visit.</w:t>
      </w:r>
    </w:p>
    <w:p w14:paraId="30924581" w14:textId="6491F539" w:rsidR="00CC0553" w:rsidRDefault="00DC5D22" w:rsidP="00CC0553">
      <w:r w:rsidRPr="00DC5D22">
        <w:rPr>
          <w:i/>
        </w:rPr>
        <w:t xml:space="preserve">5 </w:t>
      </w:r>
      <w:r w:rsidR="00CC0553" w:rsidRPr="00DC5D22">
        <w:rPr>
          <w:i/>
        </w:rPr>
        <w:t>year data (Study PH-37274)</w:t>
      </w:r>
      <w:r>
        <w:t xml:space="preserve">: </w:t>
      </w:r>
      <w:r w:rsidR="00CC0553" w:rsidRPr="00AF133B">
        <w:rPr>
          <w:lang w:eastAsia="ja-JP"/>
        </w:rPr>
        <w:t>There were 1445 of 1452 randomised subjects with successful insertions (n =</w:t>
      </w:r>
      <w:r w:rsidR="00CC0553" w:rsidRPr="00AF133B">
        <w:rPr>
          <w:rFonts w:eastAsiaTheme="minorHAnsi" w:cs="TimesNewRoman"/>
        </w:rPr>
        <w:t xml:space="preserve"> 1390 successful at the first attempt and n = 55 successful at the second attempt). </w:t>
      </w:r>
      <w:r w:rsidR="00CC0553" w:rsidRPr="00AF133B">
        <w:rPr>
          <w:lang w:eastAsia="ja-JP"/>
        </w:rPr>
        <w:t>Treatment compliance</w:t>
      </w:r>
      <w:r w:rsidR="00CC0553">
        <w:rPr>
          <w:lang w:eastAsia="ja-JP"/>
        </w:rPr>
        <w:t xml:space="preserve"> was over 99% up to Month </w:t>
      </w:r>
      <w:r>
        <w:rPr>
          <w:lang w:eastAsia="ja-JP"/>
        </w:rPr>
        <w:t xml:space="preserve">30, 95.1% at Month 36 (end of 3 </w:t>
      </w:r>
      <w:r w:rsidR="00CC0553">
        <w:rPr>
          <w:lang w:eastAsia="ja-JP"/>
        </w:rPr>
        <w:t>year study) and again over 99% until the end of the extension when the compliance was 97.7%. The lower compliance at Month 36/EOS and extension EOS was due to premature discontinuations from expulsions and IUS removed prior to ultrasound. There was no difference in compliance between parous and nulliparous subjects at any visits, although for those subjects not continuing into the extension phase (n = 745), there were more LCSs displaced in the cervical can</w:t>
      </w:r>
      <w:r>
        <w:rPr>
          <w:lang w:eastAsia="ja-JP"/>
        </w:rPr>
        <w:t>al in parous subjects (5.1%) versus</w:t>
      </w:r>
      <w:r w:rsidR="00CC0553">
        <w:rPr>
          <w:lang w:eastAsia="ja-JP"/>
        </w:rPr>
        <w:t xml:space="preserve"> nulliparo</w:t>
      </w:r>
      <w:r>
        <w:rPr>
          <w:lang w:eastAsia="ja-JP"/>
        </w:rPr>
        <w:t>us subjects (1.5%) at Month 36.</w:t>
      </w:r>
    </w:p>
    <w:p w14:paraId="76812C38" w14:textId="591FC23E" w:rsidR="00CC0553" w:rsidRPr="00DC5D22" w:rsidRDefault="00CC0553" w:rsidP="00DC5D22">
      <w:pPr>
        <w:pStyle w:val="Heading6"/>
      </w:pPr>
      <w:r w:rsidRPr="00DC5D22">
        <w:t>Bleeding profile</w:t>
      </w:r>
    </w:p>
    <w:p w14:paraId="38586523" w14:textId="74C8F1F6" w:rsidR="00CC0553" w:rsidRPr="00DC5D22" w:rsidRDefault="00DC5D22" w:rsidP="00DC5D22">
      <w:r w:rsidRPr="00DC5D22">
        <w:rPr>
          <w:i/>
          <w:lang w:eastAsia="ja-JP"/>
        </w:rPr>
        <w:t xml:space="preserve">3 </w:t>
      </w:r>
      <w:r w:rsidR="00CC0553" w:rsidRPr="00DC5D22">
        <w:rPr>
          <w:i/>
          <w:lang w:eastAsia="ja-JP"/>
        </w:rPr>
        <w:t>year data (Study A52238)</w:t>
      </w:r>
      <w:r>
        <w:rPr>
          <w:lang w:eastAsia="ja-JP"/>
        </w:rPr>
        <w:t xml:space="preserve">: </w:t>
      </w:r>
      <w:r w:rsidR="00CC0553">
        <w:rPr>
          <w:lang w:eastAsia="ja-JP"/>
        </w:rPr>
        <w:t xml:space="preserve">For both treatment groups, there was an increase in the number of subjects with amenorrhoea, infrequent bleeding and normal bleeding, and a reduction in the </w:t>
      </w:r>
      <w:r w:rsidR="00CC0553">
        <w:rPr>
          <w:lang w:eastAsia="ja-JP"/>
        </w:rPr>
        <w:lastRenderedPageBreak/>
        <w:t xml:space="preserve">number of subjects with frequent, irregular and prolonged bleeding. </w:t>
      </w:r>
      <w:r>
        <w:t>S</w:t>
      </w:r>
      <w:r w:rsidRPr="004068E7">
        <w:t>ee</w:t>
      </w:r>
      <w:r>
        <w:t xml:space="preserve"> also</w:t>
      </w:r>
      <w:r w:rsidRPr="004068E7">
        <w:t xml:space="preserve"> </w:t>
      </w:r>
      <w:r>
        <w:t>the AusPAR/Attachment 2 for the previous Jaydess submission).</w:t>
      </w:r>
      <w:r w:rsidRPr="00E018FA">
        <w:rPr>
          <w:vertAlign w:val="superscript"/>
        </w:rPr>
        <w:fldChar w:fldCharType="begin"/>
      </w:r>
      <w:r w:rsidRPr="00E018FA">
        <w:rPr>
          <w:vertAlign w:val="superscript"/>
        </w:rPr>
        <w:instrText xml:space="preserve"> NOTEREF _Ref492070565 \h </w:instrText>
      </w:r>
      <w:r>
        <w:rPr>
          <w:vertAlign w:val="superscript"/>
        </w:rPr>
        <w:instrText xml:space="preserve"> \* MERGEFORMAT </w:instrText>
      </w:r>
      <w:r w:rsidRPr="00E018FA">
        <w:rPr>
          <w:vertAlign w:val="superscript"/>
        </w:rPr>
      </w:r>
      <w:r w:rsidRPr="00E018FA">
        <w:rPr>
          <w:vertAlign w:val="superscript"/>
        </w:rPr>
        <w:fldChar w:fldCharType="separate"/>
      </w:r>
      <w:r w:rsidR="009A3335">
        <w:rPr>
          <w:vertAlign w:val="superscript"/>
        </w:rPr>
        <w:t>4</w:t>
      </w:r>
      <w:r w:rsidRPr="00E018FA">
        <w:rPr>
          <w:vertAlign w:val="superscript"/>
        </w:rPr>
        <w:fldChar w:fldCharType="end"/>
      </w:r>
    </w:p>
    <w:p w14:paraId="56E70767" w14:textId="2D2D3E36" w:rsidR="00CC0553" w:rsidRPr="00DC5D22" w:rsidRDefault="00CC0553" w:rsidP="00DC5D22">
      <w:pPr>
        <w:rPr>
          <w:i/>
        </w:rPr>
      </w:pPr>
      <w:r w:rsidRPr="00DC5D22">
        <w:rPr>
          <w:i/>
        </w:rPr>
        <w:t>5</w:t>
      </w:r>
      <w:r w:rsidR="007A24E9">
        <w:rPr>
          <w:i/>
        </w:rPr>
        <w:t xml:space="preserve"> </w:t>
      </w:r>
      <w:r w:rsidRPr="00DC5D22">
        <w:rPr>
          <w:i/>
        </w:rPr>
        <w:t>year data (Study PH-37274)</w:t>
      </w:r>
      <w:r w:rsidR="00DC5D22">
        <w:rPr>
          <w:lang w:eastAsia="ja-JP"/>
        </w:rPr>
        <w:t xml:space="preserve">: </w:t>
      </w:r>
      <w:r>
        <w:rPr>
          <w:lang w:eastAsia="ja-JP"/>
        </w:rPr>
        <w:t>Vaginal bleeding data for LCS16 is provided in 90 day reference periods; there are 20 reference periods for the extension group, and 12 reference peri</w:t>
      </w:r>
      <w:r w:rsidR="00DC5D22">
        <w:rPr>
          <w:lang w:eastAsia="ja-JP"/>
        </w:rPr>
        <w:t>ods for the no</w:t>
      </w:r>
      <w:r w:rsidR="007A24E9">
        <w:rPr>
          <w:lang w:eastAsia="ja-JP"/>
        </w:rPr>
        <w:t xml:space="preserve"> </w:t>
      </w:r>
      <w:r w:rsidR="00DC5D22">
        <w:rPr>
          <w:lang w:eastAsia="ja-JP"/>
        </w:rPr>
        <w:t>extension group.</w:t>
      </w:r>
    </w:p>
    <w:p w14:paraId="2C7AB160" w14:textId="4EDFED4A" w:rsidR="00CC0553" w:rsidRDefault="00DC5D22" w:rsidP="00DC5D22">
      <w:r>
        <w:t>B</w:t>
      </w:r>
      <w:r w:rsidR="00CC0553" w:rsidRPr="00DC5D22">
        <w:t>leeding patterns in days:</w:t>
      </w:r>
    </w:p>
    <w:p w14:paraId="79F367D8" w14:textId="4819D23F" w:rsidR="00CC0553" w:rsidRPr="00DC5D22" w:rsidRDefault="00CC0553" w:rsidP="00DC5D22">
      <w:pPr>
        <w:pStyle w:val="ListBullet"/>
      </w:pPr>
      <w:r w:rsidRPr="00DC5D22">
        <w:t>the mean number of bleeding/spotting days decreased from 39.7 days in reference period one to 9.3 days in reference period 20, with the greatest reduction in mean number of bleeding days occurring between the first and second reference periods (39.7 to 21.1 days in reference period 2), after which a gradual decrease in mean bleeding/spotting days was observed.</w:t>
      </w:r>
    </w:p>
    <w:p w14:paraId="09E3BD9C" w14:textId="7D1AA6EC" w:rsidR="00CC0553" w:rsidRPr="00DC5D22" w:rsidRDefault="00CC0553" w:rsidP="00DC5D22">
      <w:pPr>
        <w:pStyle w:val="ListBullet"/>
      </w:pPr>
      <w:r w:rsidRPr="00DC5D22">
        <w:t xml:space="preserve">a similar trend was observed for the mean number of bleeding days (excluding spotting) and mean number of days with spotting only. See </w:t>
      </w:r>
      <w:r w:rsidR="00280989">
        <w:t>Table 18 below.</w:t>
      </w:r>
    </w:p>
    <w:p w14:paraId="0F80EF1A" w14:textId="36A27B3E" w:rsidR="00CC0553" w:rsidRPr="00DC5D22" w:rsidRDefault="00CC0553" w:rsidP="00DC5D22">
      <w:pPr>
        <w:pStyle w:val="ListBullet"/>
      </w:pPr>
      <w:r w:rsidRPr="00DC5D22">
        <w:t>bleeding patterns in episodes (defined as days of bleeding/spotting or spotting only that were preceded and followed by at least 2 bleed</w:t>
      </w:r>
      <w:r w:rsidR="007A24E9">
        <w:t xml:space="preserve"> </w:t>
      </w:r>
      <w:r w:rsidRPr="00DC5D22">
        <w:t>free days):</w:t>
      </w:r>
    </w:p>
    <w:p w14:paraId="41708838" w14:textId="77777777" w:rsidR="00DC5D22" w:rsidRDefault="00CC0553" w:rsidP="00DC5D22">
      <w:pPr>
        <w:pStyle w:val="ListBullet2"/>
      </w:pPr>
      <w:r w:rsidRPr="00DC5D22">
        <w:t>the mean length of bleeding/spotting episode decreased from 10.14 days in reference period 1 to 4.15 days in reference period 20; the mean length of spotting only episodes remained consistent over the study (3.96 days in the period one to 3.10 in period 20).</w:t>
      </w:r>
    </w:p>
    <w:p w14:paraId="12E96042" w14:textId="7A4C1A64" w:rsidR="00CC0553" w:rsidRDefault="00CC0553" w:rsidP="00DC5D22">
      <w:pPr>
        <w:pStyle w:val="ListBullet2"/>
      </w:pPr>
      <w:r w:rsidRPr="00DC5D22">
        <w:t xml:space="preserve">a gradual decrease in the mean number of bleeding/spotting episodes was observed (3.6 in reference period 1 to 2.2 in reference period 20), whilst the mean number of spotting only episodes was similar over the study (1.5 in reference period 1 and 1.2 in reference period 20). See </w:t>
      </w:r>
      <w:r w:rsidR="00D57FA9">
        <w:t>Table 19 below.</w:t>
      </w:r>
    </w:p>
    <w:p w14:paraId="6B60082D" w14:textId="57C1BEBC" w:rsidR="00280989" w:rsidRPr="00280989" w:rsidRDefault="00D57FA9" w:rsidP="00D57FA9">
      <w:pPr>
        <w:pStyle w:val="Tabletitle"/>
      </w:pPr>
      <w:bookmarkStart w:id="144" w:name="Table24"/>
      <w:r>
        <w:t>Table 18</w:t>
      </w:r>
      <w:r w:rsidR="00280989">
        <w:t xml:space="preserve">. Study PH-37274 </w:t>
      </w:r>
      <w:r w:rsidR="00280989" w:rsidRPr="00280989">
        <w:t>Bleedin</w:t>
      </w:r>
      <w:r w:rsidR="00280989">
        <w:t>g patterns in days by 90 day reference periods (</w:t>
      </w:r>
      <w:r w:rsidR="00280989" w:rsidRPr="00280989">
        <w:t xml:space="preserve">All subjects treated with </w:t>
      </w:r>
      <w:r w:rsidR="00280989">
        <w:t xml:space="preserve">LCS16, </w:t>
      </w:r>
      <w:r w:rsidR="00280989" w:rsidRPr="00280989">
        <w:t>FAS)</w:t>
      </w:r>
    </w:p>
    <w:bookmarkEnd w:id="144"/>
    <w:p w14:paraId="5E269577" w14:textId="77777777" w:rsidR="00280989" w:rsidRDefault="00280989" w:rsidP="00280989">
      <w:pPr>
        <w:rPr>
          <w:lang w:eastAsia="ja-JP"/>
        </w:rPr>
      </w:pPr>
      <w:r>
        <w:rPr>
          <w:noProof/>
          <w:lang w:eastAsia="en-AU"/>
        </w:rPr>
        <w:drawing>
          <wp:inline distT="0" distB="0" distL="0" distR="0" wp14:anchorId="0940DE76" wp14:editId="07E6A501">
            <wp:extent cx="4667098" cy="2757456"/>
            <wp:effectExtent l="0" t="0" r="635" b="5080"/>
            <wp:docPr id="38" name="Picture 38" descr="Table 18 is an image of a table showing the Study PH-37274 Bleeding patterns in days by 90 day reference periods (All subjects treated with LCS16,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8955" cy="2758553"/>
                    </a:xfrm>
                    <a:prstGeom prst="rect">
                      <a:avLst/>
                    </a:prstGeom>
                    <a:noFill/>
                    <a:ln>
                      <a:noFill/>
                    </a:ln>
                  </pic:spPr>
                </pic:pic>
              </a:graphicData>
            </a:graphic>
          </wp:inline>
        </w:drawing>
      </w:r>
    </w:p>
    <w:p w14:paraId="5CDB1534" w14:textId="5E806F33" w:rsidR="00D57FA9" w:rsidRPr="00D57FA9" w:rsidRDefault="00D57FA9" w:rsidP="00D57FA9">
      <w:pPr>
        <w:pStyle w:val="Tabletitle"/>
      </w:pPr>
      <w:bookmarkStart w:id="145" w:name="Table25"/>
      <w:r>
        <w:lastRenderedPageBreak/>
        <w:t xml:space="preserve">Table 19. Study PH-37274 </w:t>
      </w:r>
      <w:r w:rsidRPr="00D57FA9">
        <w:t>Bleeding patterns (bleeding/</w:t>
      </w:r>
      <w:r>
        <w:t xml:space="preserve">spotting) in episodes by 90 </w:t>
      </w:r>
      <w:r w:rsidRPr="00D57FA9">
        <w:t xml:space="preserve">day </w:t>
      </w:r>
      <w:r>
        <w:t>reference periods (</w:t>
      </w:r>
      <w:r w:rsidRPr="00D57FA9">
        <w:t>A</w:t>
      </w:r>
      <w:r>
        <w:t xml:space="preserve">ll subjects treated with LCS16, </w:t>
      </w:r>
      <w:r w:rsidRPr="00D57FA9">
        <w:t>FAS)</w:t>
      </w:r>
      <w:bookmarkEnd w:id="145"/>
    </w:p>
    <w:p w14:paraId="5F2CC4CB" w14:textId="5D95675E" w:rsidR="00280989" w:rsidRPr="00D57FA9" w:rsidRDefault="00D57FA9" w:rsidP="00280989">
      <w:pPr>
        <w:rPr>
          <w:b/>
          <w:bCs/>
          <w:u w:val="single"/>
          <w:lang w:eastAsia="ja-JP"/>
        </w:rPr>
      </w:pPr>
      <w:r w:rsidRPr="00D57FA9">
        <w:rPr>
          <w:bCs/>
          <w:noProof/>
          <w:lang w:eastAsia="en-AU"/>
        </w:rPr>
        <w:drawing>
          <wp:inline distT="0" distB="0" distL="0" distR="0" wp14:anchorId="562B4A15" wp14:editId="7414FCD9">
            <wp:extent cx="3952875" cy="3028950"/>
            <wp:effectExtent l="0" t="0" r="9525" b="0"/>
            <wp:docPr id="39" name="Picture 39" descr="Table 19 is an image of a table showing the Study PH-37274 Bleeding patterns (bleeding/spotting) in episodes by 90 day reference periods (All subjects treated with LCS16,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2875" cy="3028950"/>
                    </a:xfrm>
                    <a:prstGeom prst="rect">
                      <a:avLst/>
                    </a:prstGeom>
                    <a:noFill/>
                    <a:ln>
                      <a:noFill/>
                    </a:ln>
                  </pic:spPr>
                </pic:pic>
              </a:graphicData>
            </a:graphic>
          </wp:inline>
        </w:drawing>
      </w:r>
    </w:p>
    <w:p w14:paraId="03154574" w14:textId="25C139D0" w:rsidR="00CC0553" w:rsidRPr="00DC5D22" w:rsidRDefault="00DC5D22" w:rsidP="00DC5D22">
      <w:r w:rsidRPr="00DC5D22">
        <w:rPr>
          <w:i/>
        </w:rPr>
        <w:t>B</w:t>
      </w:r>
      <w:r w:rsidR="00CC0553" w:rsidRPr="00DC5D22">
        <w:rPr>
          <w:i/>
        </w:rPr>
        <w:t xml:space="preserve">leeding </w:t>
      </w:r>
      <w:r w:rsidR="00F30F86">
        <w:rPr>
          <w:i/>
        </w:rPr>
        <w:t>Indices</w:t>
      </w:r>
      <w:r w:rsidR="00CC0553" w:rsidRPr="00DC5D22">
        <w:rPr>
          <w:i/>
        </w:rPr>
        <w:t xml:space="preserve"> as per WHO categories</w:t>
      </w:r>
      <w:r w:rsidR="00CC0553" w:rsidRPr="00DC5D22">
        <w:t>: Over the course of the study, there was a reduction in prolonged bleeding, frequent bleeding and irregular bleeding whilst an increase in amenorrhoea and infrequent bleeding was observed</w:t>
      </w:r>
      <w:r w:rsidR="00D57FA9">
        <w:t>, as shown below in Table 20</w:t>
      </w:r>
      <w:r>
        <w:t>.</w:t>
      </w:r>
    </w:p>
    <w:p w14:paraId="1DC8BB62" w14:textId="7FA1B786" w:rsidR="00CC0553" w:rsidRDefault="00D57FA9" w:rsidP="000F43BC">
      <w:pPr>
        <w:pStyle w:val="Tabletitle"/>
      </w:pPr>
      <w:r>
        <w:t>Table 20</w:t>
      </w:r>
      <w:r w:rsidR="00DC5D22">
        <w:t xml:space="preserve">. </w:t>
      </w:r>
      <w:r w:rsidR="00CC0553" w:rsidRPr="00DC5D22">
        <w:t>Percentage of subjects with clinically important bleeding as per WHO categories and</w:t>
      </w:r>
      <w:r>
        <w:t xml:space="preserve"> 90 day reference period (All subjects treated with </w:t>
      </w:r>
      <w:r w:rsidR="00CC0553" w:rsidRPr="00DC5D22">
        <w:t>LCS16</w:t>
      </w:r>
      <w:r>
        <w:t>, FAS</w:t>
      </w:r>
      <w:r w:rsidR="00CC0553" w:rsidRPr="00DC5D22">
        <w:t>)</w:t>
      </w:r>
    </w:p>
    <w:tbl>
      <w:tblPr>
        <w:tblStyle w:val="TableTGAblue"/>
        <w:tblW w:w="0" w:type="auto"/>
        <w:tblLayout w:type="fixed"/>
        <w:tblLook w:val="04A0" w:firstRow="1" w:lastRow="0" w:firstColumn="1" w:lastColumn="0" w:noHBand="0" w:noVBand="1"/>
        <w:tblDescription w:val="Table 20. Percentage of subjects with clinically important bleeding as per WHO categories and 90 day reference period (All subjects treated with LCS16, FAS)"/>
      </w:tblPr>
      <w:tblGrid>
        <w:gridCol w:w="2660"/>
        <w:gridCol w:w="1417"/>
        <w:gridCol w:w="1418"/>
        <w:gridCol w:w="1417"/>
      </w:tblGrid>
      <w:tr w:rsidR="000F43BC" w:rsidRPr="00432A76" w14:paraId="1AC6412E" w14:textId="77777777" w:rsidTr="005A56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38C95C0B" w14:textId="77777777" w:rsidR="00CC0553" w:rsidRPr="000F43BC" w:rsidRDefault="00CC0553" w:rsidP="000F43BC">
            <w:pPr>
              <w:ind w:left="0"/>
            </w:pPr>
            <w:r w:rsidRPr="000F43BC">
              <w:t>Bleeding parameter</w:t>
            </w:r>
          </w:p>
        </w:tc>
        <w:tc>
          <w:tcPr>
            <w:tcW w:w="1417" w:type="dxa"/>
          </w:tcPr>
          <w:p w14:paraId="1FDCE9BD" w14:textId="62FA68CA" w:rsidR="00CC0553" w:rsidRPr="000F43BC" w:rsidRDefault="00CC0553" w:rsidP="000F43BC">
            <w:pPr>
              <w:ind w:left="0"/>
              <w:cnfStyle w:val="100000000000" w:firstRow="1" w:lastRow="0" w:firstColumn="0" w:lastColumn="0" w:oddVBand="0" w:evenVBand="0" w:oddHBand="0" w:evenHBand="0" w:firstRowFirstColumn="0" w:firstRowLastColumn="0" w:lastRowFirstColumn="0" w:lastRowLastColumn="0"/>
            </w:pPr>
            <w:r w:rsidRPr="000F43BC">
              <w:t>Reference period 1</w:t>
            </w:r>
          </w:p>
        </w:tc>
        <w:tc>
          <w:tcPr>
            <w:tcW w:w="1418" w:type="dxa"/>
          </w:tcPr>
          <w:p w14:paraId="78FFC608" w14:textId="11298E9E" w:rsidR="00CC0553" w:rsidRPr="000F43BC" w:rsidRDefault="00CC0553" w:rsidP="000F43BC">
            <w:pPr>
              <w:ind w:left="0"/>
              <w:cnfStyle w:val="100000000000" w:firstRow="1" w:lastRow="0" w:firstColumn="0" w:lastColumn="0" w:oddVBand="0" w:evenVBand="0" w:oddHBand="0" w:evenHBand="0" w:firstRowFirstColumn="0" w:firstRowLastColumn="0" w:lastRowFirstColumn="0" w:lastRowLastColumn="0"/>
            </w:pPr>
            <w:r w:rsidRPr="000F43BC">
              <w:t>Reference period 4</w:t>
            </w:r>
          </w:p>
        </w:tc>
        <w:tc>
          <w:tcPr>
            <w:tcW w:w="1417" w:type="dxa"/>
          </w:tcPr>
          <w:p w14:paraId="075D20F6" w14:textId="014D6E65" w:rsidR="00CC0553" w:rsidRPr="000F43BC" w:rsidRDefault="00CC0553" w:rsidP="000F43BC">
            <w:pPr>
              <w:ind w:left="0"/>
              <w:cnfStyle w:val="100000000000" w:firstRow="1" w:lastRow="0" w:firstColumn="0" w:lastColumn="0" w:oddVBand="0" w:evenVBand="0" w:oddHBand="0" w:evenHBand="0" w:firstRowFirstColumn="0" w:firstRowLastColumn="0" w:lastRowFirstColumn="0" w:lastRowLastColumn="0"/>
            </w:pPr>
            <w:r w:rsidRPr="000F43BC">
              <w:t>Reference period 20</w:t>
            </w:r>
          </w:p>
        </w:tc>
      </w:tr>
      <w:tr w:rsidR="000F43BC" w:rsidRPr="00432A76" w14:paraId="649AC693" w14:textId="77777777" w:rsidTr="0002077C">
        <w:tc>
          <w:tcPr>
            <w:cnfStyle w:val="001000000000" w:firstRow="0" w:lastRow="0" w:firstColumn="1" w:lastColumn="0" w:oddVBand="0" w:evenVBand="0" w:oddHBand="0" w:evenHBand="0" w:firstRowFirstColumn="0" w:firstRowLastColumn="0" w:lastRowFirstColumn="0" w:lastRowLastColumn="0"/>
            <w:tcW w:w="2660" w:type="dxa"/>
          </w:tcPr>
          <w:p w14:paraId="42BF43F3" w14:textId="77777777" w:rsidR="00CC0553" w:rsidRPr="000F43BC" w:rsidRDefault="00CC0553" w:rsidP="000F43BC">
            <w:pPr>
              <w:ind w:left="0"/>
            </w:pPr>
            <w:r w:rsidRPr="000F43BC">
              <w:t>Prolonged bleeding</w:t>
            </w:r>
          </w:p>
        </w:tc>
        <w:tc>
          <w:tcPr>
            <w:tcW w:w="1417" w:type="dxa"/>
          </w:tcPr>
          <w:p w14:paraId="3E9E8AA2"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56.6</w:t>
            </w:r>
          </w:p>
        </w:tc>
        <w:tc>
          <w:tcPr>
            <w:tcW w:w="1418" w:type="dxa"/>
          </w:tcPr>
          <w:p w14:paraId="63393C05"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5.8</w:t>
            </w:r>
          </w:p>
        </w:tc>
        <w:tc>
          <w:tcPr>
            <w:tcW w:w="1417" w:type="dxa"/>
          </w:tcPr>
          <w:p w14:paraId="25C07D7C"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1.1</w:t>
            </w:r>
          </w:p>
        </w:tc>
      </w:tr>
      <w:tr w:rsidR="0002077C" w:rsidRPr="00432A76" w14:paraId="424426C5" w14:textId="77777777" w:rsidTr="0002077C">
        <w:tc>
          <w:tcPr>
            <w:cnfStyle w:val="001000000000" w:firstRow="0" w:lastRow="0" w:firstColumn="1" w:lastColumn="0" w:oddVBand="0" w:evenVBand="0" w:oddHBand="0" w:evenHBand="0" w:firstRowFirstColumn="0" w:firstRowLastColumn="0" w:lastRowFirstColumn="0" w:lastRowLastColumn="0"/>
            <w:tcW w:w="2660" w:type="dxa"/>
          </w:tcPr>
          <w:p w14:paraId="20C0EF03" w14:textId="77777777" w:rsidR="00CC0553" w:rsidRPr="000F43BC" w:rsidRDefault="00CC0553" w:rsidP="000F43BC">
            <w:pPr>
              <w:ind w:left="0"/>
            </w:pPr>
            <w:r w:rsidRPr="000F43BC">
              <w:t>Frequent bleeding</w:t>
            </w:r>
          </w:p>
        </w:tc>
        <w:tc>
          <w:tcPr>
            <w:tcW w:w="1417" w:type="dxa"/>
          </w:tcPr>
          <w:p w14:paraId="249E185D"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24.6</w:t>
            </w:r>
          </w:p>
        </w:tc>
        <w:tc>
          <w:tcPr>
            <w:tcW w:w="1418" w:type="dxa"/>
          </w:tcPr>
          <w:p w14:paraId="60196C31"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4.2</w:t>
            </w:r>
          </w:p>
        </w:tc>
        <w:tc>
          <w:tcPr>
            <w:tcW w:w="1417" w:type="dxa"/>
          </w:tcPr>
          <w:p w14:paraId="4A588DC9"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2.3</w:t>
            </w:r>
          </w:p>
        </w:tc>
      </w:tr>
      <w:tr w:rsidR="000F43BC" w:rsidRPr="00432A76" w14:paraId="2F84FF86" w14:textId="77777777" w:rsidTr="0002077C">
        <w:tc>
          <w:tcPr>
            <w:cnfStyle w:val="001000000000" w:firstRow="0" w:lastRow="0" w:firstColumn="1" w:lastColumn="0" w:oddVBand="0" w:evenVBand="0" w:oddHBand="0" w:evenHBand="0" w:firstRowFirstColumn="0" w:firstRowLastColumn="0" w:lastRowFirstColumn="0" w:lastRowLastColumn="0"/>
            <w:tcW w:w="2660" w:type="dxa"/>
          </w:tcPr>
          <w:p w14:paraId="4B9029BC" w14:textId="77777777" w:rsidR="00CC0553" w:rsidRPr="000F43BC" w:rsidRDefault="00CC0553" w:rsidP="000F43BC">
            <w:pPr>
              <w:ind w:left="0"/>
            </w:pPr>
            <w:r w:rsidRPr="000F43BC">
              <w:t>Irregular bleeding</w:t>
            </w:r>
          </w:p>
        </w:tc>
        <w:tc>
          <w:tcPr>
            <w:tcW w:w="1417" w:type="dxa"/>
          </w:tcPr>
          <w:p w14:paraId="749DE6CA"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42.5</w:t>
            </w:r>
          </w:p>
        </w:tc>
        <w:tc>
          <w:tcPr>
            <w:tcW w:w="1418" w:type="dxa"/>
          </w:tcPr>
          <w:p w14:paraId="68ABB6E3"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16.7</w:t>
            </w:r>
          </w:p>
        </w:tc>
        <w:tc>
          <w:tcPr>
            <w:tcW w:w="1417" w:type="dxa"/>
          </w:tcPr>
          <w:p w14:paraId="1E9404B3"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9.4</w:t>
            </w:r>
          </w:p>
        </w:tc>
      </w:tr>
      <w:tr w:rsidR="0002077C" w:rsidRPr="00432A76" w14:paraId="7AE01D29" w14:textId="77777777" w:rsidTr="0002077C">
        <w:tc>
          <w:tcPr>
            <w:cnfStyle w:val="001000000000" w:firstRow="0" w:lastRow="0" w:firstColumn="1" w:lastColumn="0" w:oddVBand="0" w:evenVBand="0" w:oddHBand="0" w:evenHBand="0" w:firstRowFirstColumn="0" w:firstRowLastColumn="0" w:lastRowFirstColumn="0" w:lastRowLastColumn="0"/>
            <w:tcW w:w="2660" w:type="dxa"/>
          </w:tcPr>
          <w:p w14:paraId="1C4B8FDF" w14:textId="77777777" w:rsidR="00CC0553" w:rsidRPr="000F43BC" w:rsidRDefault="00CC0553" w:rsidP="000F43BC">
            <w:pPr>
              <w:ind w:left="0"/>
            </w:pPr>
            <w:r w:rsidRPr="000F43BC">
              <w:t>Infrequent bleeding</w:t>
            </w:r>
          </w:p>
        </w:tc>
        <w:tc>
          <w:tcPr>
            <w:tcW w:w="1417" w:type="dxa"/>
          </w:tcPr>
          <w:p w14:paraId="19DB2FD6"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10.4</w:t>
            </w:r>
          </w:p>
        </w:tc>
        <w:tc>
          <w:tcPr>
            <w:tcW w:w="1418" w:type="dxa"/>
          </w:tcPr>
          <w:p w14:paraId="08C6E5B5"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26.6</w:t>
            </w:r>
          </w:p>
        </w:tc>
        <w:tc>
          <w:tcPr>
            <w:tcW w:w="1417" w:type="dxa"/>
          </w:tcPr>
          <w:p w14:paraId="516716BC"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26.4</w:t>
            </w:r>
          </w:p>
        </w:tc>
      </w:tr>
      <w:tr w:rsidR="000F43BC" w:rsidRPr="00432A76" w14:paraId="4D714074" w14:textId="77777777" w:rsidTr="0002077C">
        <w:tc>
          <w:tcPr>
            <w:cnfStyle w:val="001000000000" w:firstRow="0" w:lastRow="0" w:firstColumn="1" w:lastColumn="0" w:oddVBand="0" w:evenVBand="0" w:oddHBand="0" w:evenHBand="0" w:firstRowFirstColumn="0" w:firstRowLastColumn="0" w:lastRowFirstColumn="0" w:lastRowLastColumn="0"/>
            <w:tcW w:w="2660" w:type="dxa"/>
          </w:tcPr>
          <w:p w14:paraId="02CB9932" w14:textId="77777777" w:rsidR="00CC0553" w:rsidRPr="000F43BC" w:rsidRDefault="00CC0553" w:rsidP="000F43BC">
            <w:pPr>
              <w:ind w:left="0"/>
            </w:pPr>
            <w:r w:rsidRPr="000F43BC">
              <w:t>Amenorrhoea</w:t>
            </w:r>
          </w:p>
        </w:tc>
        <w:tc>
          <w:tcPr>
            <w:tcW w:w="1417" w:type="dxa"/>
          </w:tcPr>
          <w:p w14:paraId="57C0CAD6"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0.2</w:t>
            </w:r>
          </w:p>
        </w:tc>
        <w:tc>
          <w:tcPr>
            <w:tcW w:w="1418" w:type="dxa"/>
          </w:tcPr>
          <w:p w14:paraId="1A324C03"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12.7</w:t>
            </w:r>
          </w:p>
        </w:tc>
        <w:tc>
          <w:tcPr>
            <w:tcW w:w="1417" w:type="dxa"/>
          </w:tcPr>
          <w:p w14:paraId="169AD886"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22.6</w:t>
            </w:r>
          </w:p>
        </w:tc>
      </w:tr>
      <w:tr w:rsidR="0002077C" w:rsidRPr="00432A76" w14:paraId="1F1AC5AA" w14:textId="77777777" w:rsidTr="0002077C">
        <w:tc>
          <w:tcPr>
            <w:cnfStyle w:val="001000000000" w:firstRow="0" w:lastRow="0" w:firstColumn="1" w:lastColumn="0" w:oddVBand="0" w:evenVBand="0" w:oddHBand="0" w:evenHBand="0" w:firstRowFirstColumn="0" w:firstRowLastColumn="0" w:lastRowFirstColumn="0" w:lastRowLastColumn="0"/>
            <w:tcW w:w="2660" w:type="dxa"/>
          </w:tcPr>
          <w:p w14:paraId="0CC28FB0" w14:textId="77777777" w:rsidR="00CC0553" w:rsidRPr="000F43BC" w:rsidRDefault="00CC0553" w:rsidP="000F43BC">
            <w:pPr>
              <w:ind w:left="0"/>
            </w:pPr>
            <w:r w:rsidRPr="000F43BC">
              <w:t>Normal bleeding (none of the above terms)</w:t>
            </w:r>
          </w:p>
        </w:tc>
        <w:tc>
          <w:tcPr>
            <w:tcW w:w="1417" w:type="dxa"/>
          </w:tcPr>
          <w:p w14:paraId="1F0F1BD8"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18.5</w:t>
            </w:r>
          </w:p>
        </w:tc>
        <w:tc>
          <w:tcPr>
            <w:tcW w:w="1418" w:type="dxa"/>
          </w:tcPr>
          <w:p w14:paraId="21ABFD32"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38.8</w:t>
            </w:r>
          </w:p>
        </w:tc>
        <w:tc>
          <w:tcPr>
            <w:tcW w:w="1417" w:type="dxa"/>
          </w:tcPr>
          <w:p w14:paraId="5E1D24D4" w14:textId="77777777" w:rsidR="00CC0553" w:rsidRPr="000F43BC" w:rsidRDefault="00CC0553" w:rsidP="000F43BC">
            <w:pPr>
              <w:ind w:left="0"/>
              <w:cnfStyle w:val="000000000000" w:firstRow="0" w:lastRow="0" w:firstColumn="0" w:lastColumn="0" w:oddVBand="0" w:evenVBand="0" w:oddHBand="0" w:evenHBand="0" w:firstRowFirstColumn="0" w:firstRowLastColumn="0" w:lastRowFirstColumn="0" w:lastRowLastColumn="0"/>
            </w:pPr>
            <w:r w:rsidRPr="000F43BC">
              <w:t>39.1</w:t>
            </w:r>
          </w:p>
        </w:tc>
      </w:tr>
    </w:tbl>
    <w:p w14:paraId="13A99A1D" w14:textId="72296368" w:rsidR="00CC0553" w:rsidRPr="00E82AFE" w:rsidRDefault="00CC0553" w:rsidP="000F43BC">
      <w:pPr>
        <w:pStyle w:val="Heading6"/>
        <w:rPr>
          <w:lang w:eastAsia="ja-JP"/>
        </w:rPr>
      </w:pPr>
      <w:r w:rsidRPr="00E82AFE">
        <w:rPr>
          <w:lang w:eastAsia="ja-JP"/>
        </w:rPr>
        <w:t>Return to fertility</w:t>
      </w:r>
    </w:p>
    <w:p w14:paraId="03DFD668" w14:textId="537B4BF5" w:rsidR="00CC0553" w:rsidRPr="000F43BC" w:rsidRDefault="00CC0553" w:rsidP="000F43BC">
      <w:r w:rsidRPr="000F43BC">
        <w:t xml:space="preserve">Follow-up information is provided for 163 of the 179 women in the LCS16 treatment arm who discontinued due to wish for pregnancy (n = 62 in the extension phase). Of these 163 women, 116 (71.2%) became pregnant within the 12 month follow up period, with 61 (37.4%) conceiving within 3 months following LCS16 removal. At the time of contact from study sites, 4 of the 163 women were using contraception at the time (note, there was no further information provide regarding contraceptive type, duration of use or compliance). If these women are </w:t>
      </w:r>
      <w:r w:rsidRPr="000F43BC">
        <w:lastRenderedPageBreak/>
        <w:t>excluded from the analysis, 73.0% became pregnant within 1 year of discontinuing treatment. There was no information provided regarding pregnancy outcomes.</w:t>
      </w:r>
    </w:p>
    <w:p w14:paraId="1AF6576A" w14:textId="3952A697" w:rsidR="00CC0553" w:rsidRDefault="000F43BC" w:rsidP="00CC0553">
      <w:r>
        <w:t xml:space="preserve">At the 3 </w:t>
      </w:r>
      <w:r w:rsidR="00CC0553" w:rsidRPr="000F43BC">
        <w:t>month contact, 99 women of the total LCS16 population who were contacted reported pregnancies; 61 of these women had discontinued prematurely due to wish for pregnancy as above. None of these 99 pregnancies were considered</w:t>
      </w:r>
      <w:r>
        <w:t xml:space="preserve"> on-treatment pregnancies. The s</w:t>
      </w:r>
      <w:r w:rsidR="00CC0553" w:rsidRPr="000F43BC">
        <w:t>ponsor states there were 4 post-study pregnancies with unclear</w:t>
      </w:r>
      <w:r>
        <w:t xml:space="preserve"> conception dates (n = 3 from 3 </w:t>
      </w:r>
      <w:r w:rsidR="00CC0553" w:rsidRPr="000F43BC">
        <w:t xml:space="preserve">year study and n = 1 from </w:t>
      </w:r>
      <w:r>
        <w:t xml:space="preserve">the </w:t>
      </w:r>
      <w:r w:rsidR="00CC0553" w:rsidRPr="000F43BC">
        <w:t>extension phase). All women had negative pregnancy tests at the time of LCS16 removal. These women were lost to follow up. These pregnancies were not considered as on-treatment pregnancies.</w:t>
      </w:r>
    </w:p>
    <w:p w14:paraId="77842CEF" w14:textId="16DE61F4" w:rsidR="00CC0553" w:rsidRPr="00E82AFE" w:rsidRDefault="00CC0553" w:rsidP="000F43BC">
      <w:pPr>
        <w:pStyle w:val="Heading6"/>
        <w:rPr>
          <w:lang w:eastAsia="ja-JP"/>
        </w:rPr>
      </w:pPr>
      <w:r w:rsidRPr="00E82AFE">
        <w:rPr>
          <w:lang w:eastAsia="ja-JP"/>
        </w:rPr>
        <w:t>User satisfaction questionnaire</w:t>
      </w:r>
    </w:p>
    <w:p w14:paraId="3A8842A8" w14:textId="5BF754D7" w:rsidR="00CC0553" w:rsidRPr="000F43BC" w:rsidRDefault="000F43BC" w:rsidP="000F43BC">
      <w:r w:rsidRPr="000F43BC">
        <w:rPr>
          <w:i/>
        </w:rPr>
        <w:t xml:space="preserve">3 </w:t>
      </w:r>
      <w:r w:rsidR="00CC0553" w:rsidRPr="000F43BC">
        <w:rPr>
          <w:i/>
        </w:rPr>
        <w:t>year data (Study A52238)</w:t>
      </w:r>
      <w:r>
        <w:rPr>
          <w:rFonts w:eastAsiaTheme="minorHAnsi" w:cs="TimesNewRoman"/>
        </w:rPr>
        <w:t>: The clinical e</w:t>
      </w:r>
      <w:r w:rsidR="00CC0553">
        <w:rPr>
          <w:rFonts w:eastAsiaTheme="minorHAnsi" w:cs="TimesNewRoman"/>
        </w:rPr>
        <w:t xml:space="preserve">valuator for </w:t>
      </w:r>
      <w:r>
        <w:rPr>
          <w:rFonts w:eastAsiaTheme="minorHAnsi" w:cs="TimesNewRoman"/>
        </w:rPr>
        <w:t xml:space="preserve">the Jaydess submission </w:t>
      </w:r>
      <w:r w:rsidR="00CC0553">
        <w:rPr>
          <w:rFonts w:eastAsiaTheme="minorHAnsi" w:cs="TimesNewRoman"/>
        </w:rPr>
        <w:t xml:space="preserve">stated overall, </w:t>
      </w:r>
      <w:r w:rsidR="00CC0553" w:rsidRPr="00B132E7">
        <w:rPr>
          <w:lang w:val="en-US"/>
        </w:rPr>
        <w:t xml:space="preserve">77.4% of </w:t>
      </w:r>
      <w:r w:rsidR="00CC0553">
        <w:rPr>
          <w:lang w:val="en-US"/>
        </w:rPr>
        <w:t xml:space="preserve">subjects </w:t>
      </w:r>
      <w:r w:rsidR="00CC0553" w:rsidRPr="00B132E7">
        <w:rPr>
          <w:lang w:val="en-US"/>
        </w:rPr>
        <w:t>were ‘very satisfied’ with th</w:t>
      </w:r>
      <w:r>
        <w:rPr>
          <w:lang w:val="en-US"/>
        </w:rPr>
        <w:t>e study treatment.</w:t>
      </w:r>
      <w:r w:rsidRPr="000F43BC">
        <w:rPr>
          <w:vertAlign w:val="superscript"/>
          <w:lang w:val="en-US"/>
        </w:rPr>
        <w:fldChar w:fldCharType="begin"/>
      </w:r>
      <w:r w:rsidRPr="000F43BC">
        <w:rPr>
          <w:vertAlign w:val="superscript"/>
          <w:lang w:val="en-US"/>
        </w:rPr>
        <w:instrText xml:space="preserve"> NOTEREF _Ref492070565 \h </w:instrText>
      </w:r>
      <w:r>
        <w:rPr>
          <w:vertAlign w:val="superscript"/>
          <w:lang w:val="en-US"/>
        </w:rPr>
        <w:instrText xml:space="preserve"> \* MERGEFORMAT </w:instrText>
      </w:r>
      <w:r w:rsidRPr="000F43BC">
        <w:rPr>
          <w:vertAlign w:val="superscript"/>
          <w:lang w:val="en-US"/>
        </w:rPr>
      </w:r>
      <w:r w:rsidRPr="000F43BC">
        <w:rPr>
          <w:vertAlign w:val="superscript"/>
          <w:lang w:val="en-US"/>
        </w:rPr>
        <w:fldChar w:fldCharType="separate"/>
      </w:r>
      <w:r w:rsidR="009A3335">
        <w:rPr>
          <w:vertAlign w:val="superscript"/>
          <w:lang w:val="en-US"/>
        </w:rPr>
        <w:t>4</w:t>
      </w:r>
      <w:r w:rsidRPr="000F43BC">
        <w:rPr>
          <w:vertAlign w:val="superscript"/>
          <w:lang w:val="en-US"/>
        </w:rPr>
        <w:fldChar w:fldCharType="end"/>
      </w:r>
    </w:p>
    <w:p w14:paraId="68A3BC2A" w14:textId="3093E262" w:rsidR="00CC0553" w:rsidRPr="000F43BC" w:rsidRDefault="000F43BC" w:rsidP="000F43BC">
      <w:r w:rsidRPr="000F43BC">
        <w:t xml:space="preserve">5 </w:t>
      </w:r>
      <w:r w:rsidR="00CC0553" w:rsidRPr="000F43BC">
        <w:t>year data (Study PH-37274)</w:t>
      </w:r>
      <w:r w:rsidRPr="000F43BC">
        <w:t>:</w:t>
      </w:r>
      <w:r>
        <w:t xml:space="preserve"> </w:t>
      </w:r>
      <w:r w:rsidR="00CC0553" w:rsidRPr="000F43BC">
        <w:t>Data were available for 686 subjects at the end of the extension phase at Visit 14 (subjects who completed or prematurely discontinued in the extension phase). Overall, 88.9% of subjects were ‘very satisfied’ with the study treatment after 5 years. The majority of subjects (94.3%) reported a reduction in menstrual bleeding, with 57.3% ‘very satisfied’ and 22.3% ‘somewhat satisfied’ with menstrual bleeding pattern.</w:t>
      </w:r>
    </w:p>
    <w:p w14:paraId="3DEDFF4C" w14:textId="1418C32C" w:rsidR="006D38FF" w:rsidRDefault="006D38FF" w:rsidP="006D38FF">
      <w:pPr>
        <w:pStyle w:val="Heading3"/>
      </w:pPr>
      <w:bookmarkStart w:id="146" w:name="_Toc499043857"/>
      <w:r>
        <w:t>Other efficacy studies</w:t>
      </w:r>
      <w:bookmarkEnd w:id="146"/>
    </w:p>
    <w:p w14:paraId="6E67D788" w14:textId="384EB061" w:rsidR="006D38FF" w:rsidRDefault="006D38FF" w:rsidP="006D38FF">
      <w:pPr>
        <w:pStyle w:val="Heading4"/>
      </w:pPr>
      <w:r>
        <w:t>Study 308901 (CSR A46796)</w:t>
      </w:r>
    </w:p>
    <w:p w14:paraId="282A7541" w14:textId="5378639A" w:rsidR="006D38FF" w:rsidRDefault="006D38FF" w:rsidP="006D38FF">
      <w:r>
        <w:t xml:space="preserve">Study A46796 was evaluated in the original submission for Jaydess. In summary, Study A46796 was a Phase II, multicentre, open label, randomised, dose finding study to investigate LCS12 (n = 239) and LCS16 (n = 245) compared to Mirena (n = 254) in nulliparous and parous women in need of contraception for 3 years. The study was conducted at multiple sites in 5 European countries from 2005 to 2008. The primary variable was unintended pregnancy, calculated as the </w:t>
      </w:r>
      <w:r w:rsidR="00626A92">
        <w:t>Pearl Index</w:t>
      </w:r>
      <w:r>
        <w:t xml:space="preserve"> and cu</w:t>
      </w:r>
      <w:r w:rsidR="00D57FA9">
        <w:t>mulative failure rate</w:t>
      </w:r>
      <w:r>
        <w:t>.</w:t>
      </w:r>
    </w:p>
    <w:p w14:paraId="77D31E90" w14:textId="0187EDD1" w:rsidR="006D38FF" w:rsidRDefault="006D38FF" w:rsidP="006D38FF">
      <w:r>
        <w:t>The study population included women in generally good health aged 20 to 41 years inclusive in need of contraception (FAS = 738). The clinical evaluator for the previous Jaydess submission stated the inclusion and exclusion criteria were almost identical to the pivotal Study A52238. The majority of subjects were Caucasian (733/738), with mean age 32.1 years, mean BMI 24.4 kg/m</w:t>
      </w:r>
      <w:r w:rsidRPr="006D38FF">
        <w:rPr>
          <w:vertAlign w:val="superscript"/>
        </w:rPr>
        <w:t>2</w:t>
      </w:r>
      <w:r>
        <w:t>; 21.5% were nulliparous. The Delegate noted the demographic and baseline characteristics of treatment groups were comparable.</w:t>
      </w:r>
    </w:p>
    <w:p w14:paraId="6A12C868" w14:textId="5456100F" w:rsidR="006D38FF" w:rsidRDefault="006D38FF" w:rsidP="009B5107">
      <w:pPr>
        <w:pStyle w:val="Comment"/>
      </w:pPr>
      <w:r w:rsidRPr="006D38FF">
        <w:rPr>
          <w:b/>
        </w:rPr>
        <w:t>Comment:</w:t>
      </w:r>
      <w:r>
        <w:t xml:space="preserve">  There were some differences in the composition of the LCS16 formulation used in Study A46796 and the formulation used in the Phase III Study 91665/310442 (the latter consistent with the to-be-marketed formulation). See Table 28.</w:t>
      </w:r>
    </w:p>
    <w:p w14:paraId="11367CEE" w14:textId="6B399574" w:rsidR="006D38FF" w:rsidRDefault="006D38FF" w:rsidP="006D38FF">
      <w:r>
        <w:t>No major protocol deviations were reported. There were 208 subjects (28.2%; comparable across the treatment groups) who discontinued prematurely, primarily due to adverse events. The Delegate commented the IUS was in the correct position in the uterine cavity in &gt; 96% of women in all groups, with no difference in correct position of the IUS seen between parous and nulliparous women. Total exposure was similar across the treatment groups: LCS12 = 601.68 WY, LCS16 = 61</w:t>
      </w:r>
      <w:r w:rsidR="009B5107">
        <w:t>1.48 WY and Mirena = 627.94 WY.</w:t>
      </w:r>
    </w:p>
    <w:p w14:paraId="726366A3" w14:textId="77777777" w:rsidR="006D38FF" w:rsidRDefault="006D38FF" w:rsidP="006D38FF">
      <w:r>
        <w:t>There were 6 pregnancies observed during treatment:</w:t>
      </w:r>
    </w:p>
    <w:p w14:paraId="6A65738C" w14:textId="1F1F9519" w:rsidR="006D38FF" w:rsidRDefault="006D38FF" w:rsidP="009B5107">
      <w:pPr>
        <w:pStyle w:val="ListBullet"/>
      </w:pPr>
      <w:r>
        <w:t xml:space="preserve">LCS16 = 5 (n = 2 ectopic pregnancy, n = 1 spontaneous abortion, </w:t>
      </w:r>
      <w:r w:rsidR="007A24E9">
        <w:t>n =</w:t>
      </w:r>
      <w:r>
        <w:t xml:space="preserve"> 1 normal pregnancy resulting from an unnoticed expulsion)</w:t>
      </w:r>
    </w:p>
    <w:p w14:paraId="510EB745" w14:textId="2BC061E4" w:rsidR="006D38FF" w:rsidRDefault="009B5107" w:rsidP="009B5107">
      <w:pPr>
        <w:pStyle w:val="ListBullet"/>
      </w:pPr>
      <w:r>
        <w:t>LCS12 = 1 (ectopic pregnancy).</w:t>
      </w:r>
    </w:p>
    <w:p w14:paraId="72052B2E" w14:textId="011DFBBE" w:rsidR="006D38FF" w:rsidRDefault="006D38FF" w:rsidP="006D38FF">
      <w:pPr>
        <w:pStyle w:val="ListBullet"/>
      </w:pPr>
      <w:r>
        <w:t>Mirena = no pregnancies.</w:t>
      </w:r>
    </w:p>
    <w:p w14:paraId="4CFC08A0" w14:textId="46DC8BAB" w:rsidR="006D38FF" w:rsidRDefault="006D38FF" w:rsidP="006D38FF">
      <w:r>
        <w:lastRenderedPageBreak/>
        <w:t xml:space="preserve">Most pregnancies occurred in </w:t>
      </w:r>
      <w:r w:rsidR="009B5107">
        <w:t>Y</w:t>
      </w:r>
      <w:r>
        <w:t xml:space="preserve">ear 2 (LCS16 = 3, LCS12 = 1) with one pregnancy in </w:t>
      </w:r>
      <w:r w:rsidR="009B5107">
        <w:t>Y</w:t>
      </w:r>
      <w:r>
        <w:t xml:space="preserve">ear 1 and one pregnancy in </w:t>
      </w:r>
      <w:r w:rsidR="009B5107">
        <w:t>Year 3 (LCS16 group).</w:t>
      </w:r>
    </w:p>
    <w:p w14:paraId="7BE3BB49" w14:textId="54556217" w:rsidR="006D38FF" w:rsidRDefault="006D38FF" w:rsidP="006D38FF">
      <w:r>
        <w:t xml:space="preserve">The unadjusted </w:t>
      </w:r>
      <w:r w:rsidR="00626A92">
        <w:t xml:space="preserve">Pearl </w:t>
      </w:r>
      <w:r w:rsidR="00F30F86">
        <w:t>Indices</w:t>
      </w:r>
      <w:r w:rsidR="00D57FA9">
        <w:t xml:space="preserve"> were (see Table 21 below</w:t>
      </w:r>
      <w:r w:rsidR="009B5107">
        <w:t>):</w:t>
      </w:r>
    </w:p>
    <w:p w14:paraId="6A94E590" w14:textId="55744D67" w:rsidR="006D38FF" w:rsidRDefault="006D38FF" w:rsidP="009B5107">
      <w:pPr>
        <w:pStyle w:val="ListBullet"/>
      </w:pPr>
      <w:r>
        <w:t>LSC16 = 0.82 (95% CI: 0.27, 1.92).</w:t>
      </w:r>
    </w:p>
    <w:p w14:paraId="6D37C3DD" w14:textId="4A54EC4D" w:rsidR="006D38FF" w:rsidRDefault="006D38FF" w:rsidP="009B5107">
      <w:pPr>
        <w:pStyle w:val="ListBullet"/>
      </w:pPr>
      <w:r>
        <w:t>LSC12 = 0.17 (95% CI: 0.00, 0.93).</w:t>
      </w:r>
    </w:p>
    <w:p w14:paraId="0F61ED79" w14:textId="4780C46F" w:rsidR="006D38FF" w:rsidRDefault="006D38FF" w:rsidP="009B5107">
      <w:pPr>
        <w:pStyle w:val="ListBullet"/>
      </w:pPr>
      <w:r>
        <w:t>Mire</w:t>
      </w:r>
      <w:r w:rsidR="009B5107">
        <w:t>na = 0.00 (95% CI: 0.00, 0.59).</w:t>
      </w:r>
    </w:p>
    <w:p w14:paraId="5BD6AB85" w14:textId="3C410B8E" w:rsidR="006D38FF" w:rsidRDefault="00D57FA9" w:rsidP="009B5107">
      <w:pPr>
        <w:pStyle w:val="Tabletitle"/>
      </w:pPr>
      <w:r>
        <w:t>Table 21</w:t>
      </w:r>
      <w:r w:rsidR="009B5107">
        <w:t>.</w:t>
      </w:r>
      <w:r w:rsidR="006D38FF">
        <w:t xml:space="preserve"> Study A4</w:t>
      </w:r>
      <w:r>
        <w:t xml:space="preserve">6796 Unadjusted Pearl </w:t>
      </w:r>
      <w:r w:rsidR="00F30F86">
        <w:t>Indices</w:t>
      </w:r>
    </w:p>
    <w:p w14:paraId="284317CE" w14:textId="64252B3B" w:rsidR="009B5107" w:rsidRDefault="009B5107" w:rsidP="006D38FF">
      <w:r>
        <w:rPr>
          <w:noProof/>
          <w:lang w:eastAsia="en-AU"/>
        </w:rPr>
        <w:drawing>
          <wp:inline distT="0" distB="0" distL="0" distR="0" wp14:anchorId="00F87418" wp14:editId="74F70BD6">
            <wp:extent cx="5172075" cy="4438650"/>
            <wp:effectExtent l="0" t="0" r="9525" b="0"/>
            <wp:docPr id="6" name="Picture 6" descr="Table 21 is an image of a table showing the Study A46796 Unadjusted Pearl i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2075" cy="4438650"/>
                    </a:xfrm>
                    <a:prstGeom prst="rect">
                      <a:avLst/>
                    </a:prstGeom>
                    <a:noFill/>
                    <a:ln>
                      <a:noFill/>
                    </a:ln>
                  </pic:spPr>
                </pic:pic>
              </a:graphicData>
            </a:graphic>
          </wp:inline>
        </w:drawing>
      </w:r>
    </w:p>
    <w:p w14:paraId="051CC5AB" w14:textId="228CAD10" w:rsidR="006D38FF" w:rsidRDefault="006D38FF" w:rsidP="006D38FF">
      <w:r>
        <w:t>The cumulative failure rate (Kaplan-Meier analysis) over 3 years was 0.025 for LCS16, 0.005 for LCS12 and 0.000 in the M</w:t>
      </w:r>
      <w:r w:rsidR="00D57FA9">
        <w:t>irena group</w:t>
      </w:r>
      <w:r w:rsidR="009B5107">
        <w:t>. The clinical e</w:t>
      </w:r>
      <w:r>
        <w:t xml:space="preserve">valuator for </w:t>
      </w:r>
      <w:r w:rsidR="009B5107">
        <w:t>the previous Jaydess submission</w:t>
      </w:r>
      <w:r>
        <w:t xml:space="preserve"> noted the adjus</w:t>
      </w:r>
      <w:r w:rsidR="009B5107">
        <w:t>ted calculations were similar.</w:t>
      </w:r>
    </w:p>
    <w:p w14:paraId="3BD7D204" w14:textId="1D9FCA92" w:rsidR="006D38FF" w:rsidRDefault="006D38FF" w:rsidP="009B5107">
      <w:pPr>
        <w:pStyle w:val="Comment"/>
      </w:pPr>
      <w:r w:rsidRPr="009B5107">
        <w:rPr>
          <w:b/>
        </w:rPr>
        <w:t>Comment:</w:t>
      </w:r>
      <w:r>
        <w:t xml:space="preserve"> </w:t>
      </w:r>
      <w:r w:rsidR="009B5107">
        <w:t xml:space="preserve"> This is a P</w:t>
      </w:r>
      <w:r>
        <w:t xml:space="preserve">hase II dose-finding study and the EMA requirement for efficacy is a sample size sufficiently large such that the difference between the point estimate for the </w:t>
      </w:r>
      <w:r w:rsidR="00626A92">
        <w:t>Pearl Index</w:t>
      </w:r>
      <w:r>
        <w:t xml:space="preserve"> and the upper limit of the 95% CI should not exceed 1. This</w:t>
      </w:r>
      <w:r w:rsidR="009B5107">
        <w:t xml:space="preserve"> was met for the 3 </w:t>
      </w:r>
      <w:r>
        <w:t xml:space="preserve">year </w:t>
      </w:r>
      <w:r w:rsidR="00626A92">
        <w:t>Pearl Index</w:t>
      </w:r>
      <w:r>
        <w:t xml:space="preserve"> for LCS12 and Mirena. This requirement was not met for LCS16 for any time point. For LCS12, this was not met at other time points except for the Year 1. Overall the sample sizes for each arm are small, reflected in the wide CIs, and the study is not considered adequately powered to meet the requirement for efficacy.</w:t>
      </w:r>
    </w:p>
    <w:p w14:paraId="61A0B353" w14:textId="701662EC" w:rsidR="006D38FF" w:rsidRDefault="006D38FF" w:rsidP="009B5107">
      <w:pPr>
        <w:pStyle w:val="Heading3"/>
      </w:pPr>
      <w:bookmarkStart w:id="147" w:name="_Toc499043858"/>
      <w:r>
        <w:lastRenderedPageBreak/>
        <w:t>Analyses performed across trials: pooled and meta analyses</w:t>
      </w:r>
      <w:bookmarkEnd w:id="147"/>
    </w:p>
    <w:p w14:paraId="245EDB19" w14:textId="099ED35C" w:rsidR="006D38FF" w:rsidRDefault="009B5107" w:rsidP="006D38FF">
      <w:r>
        <w:t>The s</w:t>
      </w:r>
      <w:r w:rsidR="006D38FF">
        <w:t>ponsor has provided a pooled analysis for LCS16 an</w:t>
      </w:r>
      <w:r>
        <w:t>d LCS12 from the Phase II Study </w:t>
      </w:r>
      <w:r w:rsidR="006D38FF">
        <w:t xml:space="preserve">A46796 and the Phase III LCS16 efficacy study to provide additional information regarding </w:t>
      </w:r>
      <w:r w:rsidR="00626A92">
        <w:t>Pearl Index</w:t>
      </w:r>
      <w:r w:rsidR="006D38FF">
        <w:t xml:space="preserve"> calculations, bleeding data and IUS location within the uterine cavity. The number of subjects in the FAS by stud</w:t>
      </w:r>
      <w:r>
        <w:t>y and treatment is shown below</w:t>
      </w:r>
      <w:r w:rsidR="00D57FA9">
        <w:t xml:space="preserve"> in Table 22</w:t>
      </w:r>
      <w:r>
        <w:t>.</w:t>
      </w:r>
    </w:p>
    <w:p w14:paraId="61007ADA" w14:textId="0A3E984A" w:rsidR="009B5107" w:rsidRDefault="00D57FA9" w:rsidP="009B5107">
      <w:pPr>
        <w:pStyle w:val="Tabletitle"/>
      </w:pPr>
      <w:r>
        <w:t>Table 22</w:t>
      </w:r>
      <w:r w:rsidR="009B5107">
        <w:t>. Numbers of subjects in the full analysis population by study and study treatment</w:t>
      </w:r>
    </w:p>
    <w:p w14:paraId="461128D1" w14:textId="150710E2" w:rsidR="009B5107" w:rsidRDefault="009B5107" w:rsidP="006D38FF">
      <w:r>
        <w:rPr>
          <w:noProof/>
          <w:sz w:val="20"/>
          <w:lang w:eastAsia="en-AU"/>
        </w:rPr>
        <w:drawing>
          <wp:inline distT="0" distB="0" distL="0" distR="0" wp14:anchorId="4B1F6F70" wp14:editId="56736FB6">
            <wp:extent cx="5667375" cy="1028700"/>
            <wp:effectExtent l="0" t="0" r="9525" b="0"/>
            <wp:docPr id="10" name="Picture 10" descr="Table 22. Numbers of subjects in the full analysis population by study and stud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1028700"/>
                    </a:xfrm>
                    <a:prstGeom prst="rect">
                      <a:avLst/>
                    </a:prstGeom>
                    <a:noFill/>
                    <a:ln>
                      <a:noFill/>
                    </a:ln>
                  </pic:spPr>
                </pic:pic>
              </a:graphicData>
            </a:graphic>
          </wp:inline>
        </w:drawing>
      </w:r>
    </w:p>
    <w:p w14:paraId="660821DA" w14:textId="3860ED23" w:rsidR="006D38FF" w:rsidRDefault="009B5107" w:rsidP="009B5107">
      <w:pPr>
        <w:pStyle w:val="Comment"/>
      </w:pPr>
      <w:r w:rsidRPr="009B5107">
        <w:rPr>
          <w:b/>
        </w:rPr>
        <w:t>C</w:t>
      </w:r>
      <w:r w:rsidR="006D38FF" w:rsidRPr="009B5107">
        <w:rPr>
          <w:b/>
        </w:rPr>
        <w:t>omment:</w:t>
      </w:r>
      <w:r w:rsidR="006D38FF">
        <w:t xml:space="preserve"> </w:t>
      </w:r>
      <w:r>
        <w:t xml:space="preserve"> </w:t>
      </w:r>
      <w:r w:rsidR="006D38FF">
        <w:t xml:space="preserve">The pooled analysis is driven primarily by the Phase III LCS16 efficacy study. Given the Phase II study was not powered for efficacy, and the different study design and formulations used in the two studies, the pooled analysis is not considered necessary for efficacy evaluation. Proof of efficacy has been demonstrated in the pivotal </w:t>
      </w:r>
      <w:r>
        <w:t>Phase III LCS16 efficacy study.</w:t>
      </w:r>
    </w:p>
    <w:p w14:paraId="610784E1" w14:textId="002D415E" w:rsidR="006D38FF" w:rsidRDefault="006D38FF" w:rsidP="009B5107">
      <w:pPr>
        <w:pStyle w:val="Heading3"/>
      </w:pPr>
      <w:bookmarkStart w:id="148" w:name="_Toc499043859"/>
      <w:r>
        <w:t>Evaluator’s conclusions on clinical efficacy</w:t>
      </w:r>
      <w:bookmarkEnd w:id="148"/>
    </w:p>
    <w:p w14:paraId="1FE502CA" w14:textId="4201DBF9" w:rsidR="006D38FF" w:rsidRDefault="006D38FF" w:rsidP="006D38FF">
      <w:r>
        <w:t>The pivotal Phase III LCS16 efficacy study provided data for 1452 women, 707 of which continued in to the 5 year extension phase. The overall LCS16 study population</w:t>
      </w:r>
      <w:r w:rsidR="009B5107">
        <w:t xml:space="preserve"> included healthy women aged 18 to </w:t>
      </w:r>
      <w:r>
        <w:t>35 years, mostly Caucasian, with mean age 27.1 years, mean BMI 25.3 kg/m</w:t>
      </w:r>
      <w:r w:rsidRPr="009B5107">
        <w:rPr>
          <w:vertAlign w:val="superscript"/>
        </w:rPr>
        <w:t>2</w:t>
      </w:r>
      <w:r>
        <w:t>. There were 39.5% of women who were nulliparous. The study population is considered representative of the t</w:t>
      </w:r>
      <w:r w:rsidR="009B5107">
        <w:t>arget population for marketing.</w:t>
      </w:r>
    </w:p>
    <w:p w14:paraId="7649EEEF" w14:textId="784404CB" w:rsidR="006D38FF" w:rsidRDefault="006D38FF" w:rsidP="006D38FF">
      <w:r>
        <w:t xml:space="preserve">There were 13 pregnancies over the course of the study. The primary efficacy endpoint was the overall </w:t>
      </w:r>
      <w:r w:rsidR="00626A92">
        <w:t>Pearl Index</w:t>
      </w:r>
      <w:r>
        <w:t>, which was 0.29 (95% CI: 0.16, 0.50). The P</w:t>
      </w:r>
      <w:r w:rsidR="009B5107">
        <w:t xml:space="preserve">earl </w:t>
      </w:r>
      <w:r w:rsidR="00F30F86">
        <w:t>Indices</w:t>
      </w:r>
      <w:r>
        <w:t xml:space="preserve"> for</w:t>
      </w:r>
      <w:r w:rsidR="009B5107">
        <w:t xml:space="preserve"> each year ranged </w:t>
      </w:r>
      <w:r w:rsidR="002949F5">
        <w:t>from</w:t>
      </w:r>
      <w:r w:rsidR="009B5107">
        <w:t xml:space="preserve"> 0.15 to</w:t>
      </w:r>
      <w:r>
        <w:t xml:space="preserve"> 0.45 with no trend in the P</w:t>
      </w:r>
      <w:r w:rsidR="00D23A67">
        <w:t>earl Index observed over time. All Pearl Indexes</w:t>
      </w:r>
      <w:r>
        <w:t xml:space="preserve"> met the EMA guidelines efficacy requirement that the difference between the point estimate for the </w:t>
      </w:r>
      <w:r w:rsidR="00626A92">
        <w:t>Pearl Index</w:t>
      </w:r>
      <w:r>
        <w:t xml:space="preserve"> and the upper 95% CI limit should not exceed 1. The cumulative failure </w:t>
      </w:r>
      <w:r w:rsidR="009B5107">
        <w:t>rate over the 5 years was 1.4%.</w:t>
      </w:r>
    </w:p>
    <w:p w14:paraId="4243E146" w14:textId="675A9D3B" w:rsidR="006D38FF" w:rsidRDefault="006D38FF" w:rsidP="006D38FF">
      <w:r>
        <w:t>The P</w:t>
      </w:r>
      <w:r w:rsidR="009B5107">
        <w:t xml:space="preserve">earl </w:t>
      </w:r>
      <w:r w:rsidR="00F30F86">
        <w:t>Indices</w:t>
      </w:r>
      <w:r>
        <w:t xml:space="preserve"> for subgroups stratified by age, parity and BMI were generally similar to the overall population. It is noted the number of subjects in the BMI subgroup ≥ 30 kg/m</w:t>
      </w:r>
      <w:r w:rsidRPr="009B5107">
        <w:rPr>
          <w:vertAlign w:val="superscript"/>
        </w:rPr>
        <w:t>2</w:t>
      </w:r>
      <w:r>
        <w:t xml:space="preserve"> was small by comparison. Although the PI and upper limit of the 95% CI met EMA efficacy guideline requirements (that the difference between the point estimate for the </w:t>
      </w:r>
      <w:r w:rsidR="00626A92">
        <w:t>Pearl Index</w:t>
      </w:r>
      <w:r>
        <w:t xml:space="preserve"> and the upper 95% CI limit should not exceed 1; </w:t>
      </w:r>
      <w:r w:rsidR="00626A92">
        <w:t>Pearl Index</w:t>
      </w:r>
      <w:r>
        <w:t xml:space="preserve"> 0.56, 95% CI: 0.15, 1.42), the upper limit of the 95% CI was above 1. Whilst a wide confidence interval can reflect the small sample size, it is difficult to draw conclusions regarding efficacy in this su</w:t>
      </w:r>
      <w:r w:rsidR="009B5107">
        <w:t>bgroup. See Clinical Questions below.</w:t>
      </w:r>
    </w:p>
    <w:p w14:paraId="6A12ED32" w14:textId="57565009" w:rsidR="006D38FF" w:rsidRDefault="006D38FF" w:rsidP="006D38FF">
      <w:r>
        <w:t xml:space="preserve">The bleeding profile for LCS16 is considered favourable, with an increase in amenorrhoea and infrequent bleeding over time, together with a reduction in prolonged and frequent bleeding. Return to fertility data demonstrate over 70% of women who ceased LCS16 due to desire for pregnancy conceived within 12 </w:t>
      </w:r>
      <w:r w:rsidR="009B5107">
        <w:t>months after removal of LCS16.</w:t>
      </w:r>
    </w:p>
    <w:p w14:paraId="641B1105" w14:textId="7322957E" w:rsidR="00CC0553" w:rsidRPr="000F43BC" w:rsidRDefault="006D38FF" w:rsidP="006D38FF">
      <w:r>
        <w:t>Overall, proof of efficacy is considered demonstrated.</w:t>
      </w:r>
    </w:p>
    <w:p w14:paraId="585450D7" w14:textId="6ACDBF95" w:rsidR="00C22678" w:rsidRDefault="00C22678" w:rsidP="00C22678">
      <w:pPr>
        <w:pStyle w:val="Heading2"/>
      </w:pPr>
      <w:bookmarkStart w:id="149" w:name="_Toc499043860"/>
      <w:r>
        <w:lastRenderedPageBreak/>
        <w:t>Clinical safety</w:t>
      </w:r>
      <w:bookmarkEnd w:id="149"/>
    </w:p>
    <w:p w14:paraId="414592FD" w14:textId="5D191ADA" w:rsidR="0079516C" w:rsidRDefault="0079516C" w:rsidP="0079516C">
      <w:pPr>
        <w:pStyle w:val="Heading3"/>
      </w:pPr>
      <w:bookmarkStart w:id="150" w:name="_Toc499043861"/>
      <w:r>
        <w:t>Studies providing evaluable safety data</w:t>
      </w:r>
      <w:bookmarkEnd w:id="150"/>
    </w:p>
    <w:p w14:paraId="0CD41482" w14:textId="0EDBFD80" w:rsidR="0079516C" w:rsidRDefault="0079516C" w:rsidP="0079516C">
      <w:pPr>
        <w:pStyle w:val="Heading4"/>
      </w:pPr>
      <w:r>
        <w:t>Pivotal studies that assessed safety as the sole primary outcome</w:t>
      </w:r>
    </w:p>
    <w:p w14:paraId="2898E1D5" w14:textId="1F870259" w:rsidR="0079516C" w:rsidRPr="0079516C" w:rsidRDefault="0079516C" w:rsidP="0079516C">
      <w:pPr>
        <w:rPr>
          <w:lang w:eastAsia="ja-JP"/>
        </w:rPr>
      </w:pPr>
      <w:r>
        <w:rPr>
          <w:lang w:eastAsia="ja-JP"/>
        </w:rPr>
        <w:t>No studies assessed safety as the sole primary outcome.</w:t>
      </w:r>
    </w:p>
    <w:p w14:paraId="3F237121" w14:textId="575E09EA" w:rsidR="0079516C" w:rsidRDefault="0079516C" w:rsidP="0079516C">
      <w:pPr>
        <w:pStyle w:val="Heading4"/>
      </w:pPr>
      <w:r>
        <w:t>Pivotal and/or main efficacy studies</w:t>
      </w:r>
    </w:p>
    <w:p w14:paraId="20DDD080" w14:textId="3A7E9A4A" w:rsidR="0079516C" w:rsidRDefault="0079516C" w:rsidP="0079516C">
      <w:pPr>
        <w:rPr>
          <w:lang w:eastAsia="ja-JP"/>
        </w:rPr>
      </w:pPr>
      <w:bookmarkStart w:id="151" w:name="_Hlk492370587"/>
      <w:r>
        <w:rPr>
          <w:lang w:eastAsia="ja-JP"/>
        </w:rPr>
        <w:t xml:space="preserve">The pivotal Phase III LCS16 efficacy </w:t>
      </w:r>
      <w:r w:rsidR="00DA2B54">
        <w:rPr>
          <w:lang w:eastAsia="ja-JP"/>
        </w:rPr>
        <w:t>Stud</w:t>
      </w:r>
      <w:r w:rsidR="009E23DC">
        <w:rPr>
          <w:lang w:eastAsia="ja-JP"/>
        </w:rPr>
        <w:t>y (P</w:t>
      </w:r>
      <w:r>
        <w:rPr>
          <w:lang w:eastAsia="ja-JP"/>
        </w:rPr>
        <w:t>rotocol</w:t>
      </w:r>
      <w:r w:rsidR="00DA2B54">
        <w:rPr>
          <w:lang w:eastAsia="ja-JP"/>
        </w:rPr>
        <w:t>)</w:t>
      </w:r>
      <w:r>
        <w:rPr>
          <w:lang w:eastAsia="ja-JP"/>
        </w:rPr>
        <w:t xml:space="preserve"> 91665/310</w:t>
      </w:r>
      <w:r w:rsidR="00DA2B54">
        <w:rPr>
          <w:lang w:eastAsia="ja-JP"/>
        </w:rPr>
        <w:t>442 and the comparative Phase II Study (p</w:t>
      </w:r>
      <w:r>
        <w:rPr>
          <w:lang w:eastAsia="ja-JP"/>
        </w:rPr>
        <w:t>rotocol</w:t>
      </w:r>
      <w:r w:rsidR="00DA2B54">
        <w:rPr>
          <w:lang w:eastAsia="ja-JP"/>
        </w:rPr>
        <w:t>) 308901</w:t>
      </w:r>
      <w:r>
        <w:rPr>
          <w:lang w:eastAsia="ja-JP"/>
        </w:rPr>
        <w:t>, as presented for demonstration of contraceptive efficacy, are relevant for safety.</w:t>
      </w:r>
      <w:bookmarkEnd w:id="151"/>
      <w:r>
        <w:rPr>
          <w:lang w:eastAsia="ja-JP"/>
        </w:rPr>
        <w:t xml:space="preserve"> These studies were also submitted to suppor</w:t>
      </w:r>
      <w:r w:rsidR="00DA2B54">
        <w:rPr>
          <w:lang w:eastAsia="ja-JP"/>
        </w:rPr>
        <w:t>t the registration of Jaydess</w:t>
      </w:r>
      <w:r>
        <w:rPr>
          <w:lang w:eastAsia="ja-JP"/>
        </w:rPr>
        <w:t>. Please read the CER and Delegate’s overview of Jaydess together with this report</w:t>
      </w:r>
      <w:r w:rsidR="00DA2B54">
        <w:rPr>
          <w:lang w:eastAsia="ja-JP"/>
        </w:rPr>
        <w:t xml:space="preserve"> [</w:t>
      </w:r>
      <w:r w:rsidR="00DA2B54" w:rsidRPr="00EA7CD0">
        <w:t xml:space="preserve">details of which are available </w:t>
      </w:r>
      <w:r w:rsidR="00DA2B54">
        <w:t>via the AusPAR/Attachment 2]</w:t>
      </w:r>
      <w:r>
        <w:rPr>
          <w:lang w:eastAsia="ja-JP"/>
        </w:rPr>
        <w:t>.</w:t>
      </w:r>
      <w:r w:rsidR="00DA2B54" w:rsidRPr="00DA2B54">
        <w:rPr>
          <w:vertAlign w:val="superscript"/>
          <w:lang w:eastAsia="ja-JP"/>
        </w:rPr>
        <w:fldChar w:fldCharType="begin"/>
      </w:r>
      <w:r w:rsidR="00DA2B54" w:rsidRPr="00DA2B54">
        <w:rPr>
          <w:vertAlign w:val="superscript"/>
          <w:lang w:eastAsia="ja-JP"/>
        </w:rPr>
        <w:instrText xml:space="preserve"> NOTEREF _Ref492070565 \h </w:instrText>
      </w:r>
      <w:r w:rsidR="00DA2B54">
        <w:rPr>
          <w:vertAlign w:val="superscript"/>
          <w:lang w:eastAsia="ja-JP"/>
        </w:rPr>
        <w:instrText xml:space="preserve"> \* MERGEFORMAT </w:instrText>
      </w:r>
      <w:r w:rsidR="00DA2B54" w:rsidRPr="00DA2B54">
        <w:rPr>
          <w:vertAlign w:val="superscript"/>
          <w:lang w:eastAsia="ja-JP"/>
        </w:rPr>
      </w:r>
      <w:r w:rsidR="00DA2B54" w:rsidRPr="00DA2B54">
        <w:rPr>
          <w:vertAlign w:val="superscript"/>
          <w:lang w:eastAsia="ja-JP"/>
        </w:rPr>
        <w:fldChar w:fldCharType="separate"/>
      </w:r>
      <w:r w:rsidR="009A3335">
        <w:rPr>
          <w:vertAlign w:val="superscript"/>
          <w:lang w:eastAsia="ja-JP"/>
        </w:rPr>
        <w:t>4</w:t>
      </w:r>
      <w:r w:rsidR="00DA2B54" w:rsidRPr="00DA2B54">
        <w:rPr>
          <w:vertAlign w:val="superscript"/>
          <w:lang w:eastAsia="ja-JP"/>
        </w:rPr>
        <w:fldChar w:fldCharType="end"/>
      </w:r>
      <w:r>
        <w:rPr>
          <w:lang w:eastAsia="ja-JP"/>
        </w:rPr>
        <w:t xml:space="preserve"> Only the data that are not reviewed in those reports are evaluated in this report. However, all relevant information from that report is also referred to in t</w:t>
      </w:r>
      <w:r w:rsidR="00DA2B54">
        <w:rPr>
          <w:lang w:eastAsia="ja-JP"/>
        </w:rPr>
        <w:t>he current report.</w:t>
      </w:r>
    </w:p>
    <w:p w14:paraId="789484DB" w14:textId="77777777" w:rsidR="0079516C" w:rsidRDefault="0079516C" w:rsidP="0079516C">
      <w:pPr>
        <w:rPr>
          <w:lang w:eastAsia="ja-JP"/>
        </w:rPr>
      </w:pPr>
      <w:r>
        <w:rPr>
          <w:lang w:eastAsia="ja-JP"/>
        </w:rPr>
        <w:t>All women who were enrolled and had an insertion attempt were included in the safety analysis.</w:t>
      </w:r>
    </w:p>
    <w:p w14:paraId="135DD8C3" w14:textId="12DA464D" w:rsidR="0079516C" w:rsidRDefault="0079516C" w:rsidP="0079516C">
      <w:pPr>
        <w:rPr>
          <w:lang w:eastAsia="ja-JP"/>
        </w:rPr>
      </w:pPr>
      <w:r>
        <w:rPr>
          <w:lang w:eastAsia="ja-JP"/>
        </w:rPr>
        <w:t>The pooled analysis of the two studies in relation to the adve</w:t>
      </w:r>
      <w:r w:rsidR="00DA2B54">
        <w:rPr>
          <w:lang w:eastAsia="ja-JP"/>
        </w:rPr>
        <w:t>rse event profile is included in the previous submission</w:t>
      </w:r>
      <w:r>
        <w:rPr>
          <w:lang w:eastAsia="ja-JP"/>
        </w:rPr>
        <w:t>. The current report, mostly, refers to the individual studies rather than the pooled analysis as the design and objectives</w:t>
      </w:r>
      <w:r w:rsidR="00DA2B54">
        <w:rPr>
          <w:lang w:eastAsia="ja-JP"/>
        </w:rPr>
        <w:t xml:space="preserve"> of the studies were different.</w:t>
      </w:r>
    </w:p>
    <w:p w14:paraId="12517866" w14:textId="3835DCA5" w:rsidR="0079516C" w:rsidRDefault="00DA2B54" w:rsidP="00DA2B54">
      <w:pPr>
        <w:pStyle w:val="Heading5"/>
        <w:rPr>
          <w:lang w:eastAsia="ja-JP"/>
        </w:rPr>
      </w:pPr>
      <w:r>
        <w:rPr>
          <w:lang w:eastAsia="ja-JP"/>
        </w:rPr>
        <w:t>The Phase III LCS16 e</w:t>
      </w:r>
      <w:r w:rsidR="0079516C">
        <w:rPr>
          <w:lang w:eastAsia="ja-JP"/>
        </w:rPr>
        <w:t>fficacy study</w:t>
      </w:r>
    </w:p>
    <w:p w14:paraId="2DF1F82C" w14:textId="36629CB9" w:rsidR="0079516C" w:rsidRDefault="0079516C" w:rsidP="0079516C">
      <w:pPr>
        <w:rPr>
          <w:lang w:eastAsia="ja-JP"/>
        </w:rPr>
      </w:pPr>
      <w:r>
        <w:rPr>
          <w:lang w:eastAsia="ja-JP"/>
        </w:rPr>
        <w:t>This study was designed to assess the safety and contraceptive efficacy of two doses of a LNG</w:t>
      </w:r>
      <w:r w:rsidR="007A24E9">
        <w:rPr>
          <w:lang w:eastAsia="ja-JP"/>
        </w:rPr>
        <w:t xml:space="preserve"> </w:t>
      </w:r>
      <w:r>
        <w:rPr>
          <w:lang w:eastAsia="ja-JP"/>
        </w:rPr>
        <w:t>releasing IUS (LCS12 and LCS16) originally for a maximum of three years but extended later up to five years (e</w:t>
      </w:r>
      <w:r w:rsidR="00DA2B54">
        <w:rPr>
          <w:lang w:eastAsia="ja-JP"/>
        </w:rPr>
        <w:t>xtension phase for LCS16 only).</w:t>
      </w:r>
    </w:p>
    <w:p w14:paraId="36CA6F86" w14:textId="5DAD3DE2" w:rsidR="0079516C" w:rsidRDefault="0079516C" w:rsidP="0079516C">
      <w:pPr>
        <w:rPr>
          <w:lang w:eastAsia="ja-JP"/>
        </w:rPr>
      </w:pPr>
      <w:r>
        <w:rPr>
          <w:lang w:eastAsia="ja-JP"/>
        </w:rPr>
        <w:t>The comparative data between the two devices at three years is briefly discussed below before the uncontrolled data of LCS16 at 5 years.</w:t>
      </w:r>
    </w:p>
    <w:p w14:paraId="5A2BE656" w14:textId="1948C775" w:rsidR="00DA2B54" w:rsidRDefault="00D57FA9" w:rsidP="00DA2B54">
      <w:pPr>
        <w:pStyle w:val="Tabletitle"/>
        <w:rPr>
          <w:lang w:eastAsia="ja-JP"/>
        </w:rPr>
      </w:pPr>
      <w:r>
        <w:rPr>
          <w:lang w:eastAsia="ja-JP"/>
        </w:rPr>
        <w:t>Table 23</w:t>
      </w:r>
      <w:r w:rsidR="00DA2B54">
        <w:rPr>
          <w:lang w:eastAsia="ja-JP"/>
        </w:rPr>
        <w:t>. Extent of total exposure in women-years (FAS)</w:t>
      </w:r>
    </w:p>
    <w:p w14:paraId="237D5AEC" w14:textId="2B6B51CF" w:rsidR="0079516C" w:rsidRDefault="00DA2B54" w:rsidP="0079516C">
      <w:pPr>
        <w:rPr>
          <w:lang w:eastAsia="ja-JP"/>
        </w:rPr>
      </w:pPr>
      <w:r w:rsidRPr="008E4AAC">
        <w:rPr>
          <w:rFonts w:ascii="Times New Roman" w:eastAsiaTheme="minorHAnsi" w:hAnsi="Times New Roman"/>
          <w:noProof/>
          <w:color w:val="000000"/>
          <w:sz w:val="24"/>
          <w:szCs w:val="24"/>
          <w:lang w:eastAsia="en-AU"/>
        </w:rPr>
        <w:drawing>
          <wp:inline distT="0" distB="0" distL="0" distR="0" wp14:anchorId="4F2E47C4" wp14:editId="3CAA47B3">
            <wp:extent cx="4540186" cy="877824"/>
            <wp:effectExtent l="0" t="0" r="0" b="0"/>
            <wp:docPr id="12" name="Picture 12" descr="Table 23. Extent of total exposure in women-year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3662" t="22016" r="7050" b="16486"/>
                    <a:stretch/>
                  </pic:blipFill>
                  <pic:spPr bwMode="auto">
                    <a:xfrm>
                      <a:off x="0" y="0"/>
                      <a:ext cx="4544436" cy="878646"/>
                    </a:xfrm>
                    <a:prstGeom prst="rect">
                      <a:avLst/>
                    </a:prstGeom>
                    <a:noFill/>
                    <a:ln>
                      <a:noFill/>
                    </a:ln>
                    <a:extLst>
                      <a:ext uri="{53640926-AAD7-44D8-BBD7-CCE9431645EC}">
                        <a14:shadowObscured xmlns:a14="http://schemas.microsoft.com/office/drawing/2010/main"/>
                      </a:ext>
                    </a:extLst>
                  </pic:spPr>
                </pic:pic>
              </a:graphicData>
            </a:graphic>
          </wp:inline>
        </w:drawing>
      </w:r>
    </w:p>
    <w:p w14:paraId="2E7B6E72" w14:textId="42DAE882" w:rsidR="0079516C" w:rsidRDefault="0079516C" w:rsidP="0079516C">
      <w:pPr>
        <w:rPr>
          <w:lang w:eastAsia="ja-JP"/>
        </w:rPr>
      </w:pPr>
      <w:r>
        <w:rPr>
          <w:lang w:eastAsia="ja-JP"/>
        </w:rPr>
        <w:t>Regarding insertion and removal of the IUS, insertion was successful at the first attempt in 2770/2884 women (96%). A second insertion was attempted in 106/114 women who had a failed first insertion and was successful in 101 of them (95.3%). The vast majority of procedures were assessed as easy by the investigator, and most women experienced no pain or only mild pain during insertion (65%) and removal (82%). There was no significant change betw</w:t>
      </w:r>
      <w:r w:rsidR="00DA2B54">
        <w:rPr>
          <w:lang w:eastAsia="ja-JP"/>
        </w:rPr>
        <w:t>een groups.</w:t>
      </w:r>
    </w:p>
    <w:p w14:paraId="12C177A4" w14:textId="6478EA36" w:rsidR="0079516C" w:rsidRDefault="0079516C" w:rsidP="0079516C">
      <w:pPr>
        <w:rPr>
          <w:lang w:eastAsia="ja-JP"/>
        </w:rPr>
      </w:pPr>
      <w:r>
        <w:rPr>
          <w:lang w:eastAsia="ja-JP"/>
        </w:rPr>
        <w:t xml:space="preserve">A total of 2440 (84.6%) women reported at least 1 AE during this study, </w:t>
      </w:r>
      <w:r w:rsidR="00DA2B54">
        <w:rPr>
          <w:lang w:eastAsia="ja-JP"/>
        </w:rPr>
        <w:t>that is</w:t>
      </w:r>
      <w:r w:rsidR="002949F5">
        <w:rPr>
          <w:lang w:eastAsia="ja-JP"/>
        </w:rPr>
        <w:t>,</w:t>
      </w:r>
      <w:r w:rsidR="00DA2B54">
        <w:rPr>
          <w:lang w:eastAsia="ja-JP"/>
        </w:rPr>
        <w:t xml:space="preserve"> </w:t>
      </w:r>
      <w:r>
        <w:rPr>
          <w:lang w:eastAsia="ja-JP"/>
        </w:rPr>
        <w:t>83.4% of the LCS12 group and 85.8% of the LCS16 group. A total of 21.1% of all women discontinued t</w:t>
      </w:r>
      <w:r w:rsidR="00DA2B54">
        <w:rPr>
          <w:lang w:eastAsia="ja-JP"/>
        </w:rPr>
        <w:t>he study drug due to an AE</w:t>
      </w:r>
      <w:r w:rsidR="00D23A67">
        <w:rPr>
          <w:lang w:eastAsia="ja-JP"/>
        </w:rPr>
        <w:t>;</w:t>
      </w:r>
      <w:r w:rsidR="00DA2B54">
        <w:rPr>
          <w:lang w:eastAsia="ja-JP"/>
        </w:rPr>
        <w:t xml:space="preserve"> that is</w:t>
      </w:r>
      <w:r>
        <w:rPr>
          <w:lang w:eastAsia="ja-JP"/>
        </w:rPr>
        <w:t xml:space="preserve"> 22.3% of the LCS12 group and 20.0%</w:t>
      </w:r>
      <w:r w:rsidR="00DA2B54">
        <w:rPr>
          <w:lang w:eastAsia="ja-JP"/>
        </w:rPr>
        <w:t xml:space="preserve"> of the LCS16 group.</w:t>
      </w:r>
    </w:p>
    <w:p w14:paraId="57B16716" w14:textId="74959F34" w:rsidR="0079516C" w:rsidRDefault="0079516C" w:rsidP="0079516C">
      <w:pPr>
        <w:rPr>
          <w:lang w:eastAsia="ja-JP"/>
        </w:rPr>
      </w:pPr>
      <w:r>
        <w:rPr>
          <w:lang w:eastAsia="ja-JP"/>
        </w:rPr>
        <w:t xml:space="preserve">There was a trend to reducing number of AEs over the years. The percentage of women reporting no AE increasing from around 27% for both LCS treatment arms in the first year to </w:t>
      </w:r>
      <w:r w:rsidR="00111D91">
        <w:rPr>
          <w:lang w:eastAsia="ja-JP"/>
        </w:rPr>
        <w:t>around 44% to 52% in treatment Y</w:t>
      </w:r>
      <w:r>
        <w:rPr>
          <w:lang w:eastAsia="ja-JP"/>
        </w:rPr>
        <w:t>ears 2 and 3 for the two t</w:t>
      </w:r>
      <w:r w:rsidR="00DA2B54">
        <w:rPr>
          <w:lang w:eastAsia="ja-JP"/>
        </w:rPr>
        <w:t>reatment groups respectively.</w:t>
      </w:r>
    </w:p>
    <w:p w14:paraId="4BCC8DD5" w14:textId="717C4C64" w:rsidR="0079516C" w:rsidRDefault="0079516C" w:rsidP="0079516C">
      <w:pPr>
        <w:rPr>
          <w:lang w:eastAsia="ja-JP"/>
        </w:rPr>
      </w:pPr>
      <w:r>
        <w:rPr>
          <w:lang w:eastAsia="ja-JP"/>
        </w:rPr>
        <w:t xml:space="preserve">The percentage of AEs (MedDRA SOC) is listed </w:t>
      </w:r>
      <w:r w:rsidR="00D57FA9">
        <w:rPr>
          <w:lang w:eastAsia="ja-JP"/>
        </w:rPr>
        <w:t xml:space="preserve">below </w:t>
      </w:r>
      <w:r>
        <w:rPr>
          <w:lang w:eastAsia="ja-JP"/>
        </w:rPr>
        <w:t xml:space="preserve">in </w:t>
      </w:r>
      <w:r w:rsidRPr="00626246">
        <w:rPr>
          <w:lang w:eastAsia="ja-JP"/>
        </w:rPr>
        <w:t>Table</w:t>
      </w:r>
      <w:r w:rsidR="00D57FA9">
        <w:rPr>
          <w:lang w:eastAsia="ja-JP"/>
        </w:rPr>
        <w:t xml:space="preserve"> 24</w:t>
      </w:r>
      <w:r>
        <w:rPr>
          <w:lang w:eastAsia="ja-JP"/>
        </w:rPr>
        <w:t>. Infections, reproductive system and breast disorders featured in 50% of the subjects. They tended to be similar between the two treatment groups.</w:t>
      </w:r>
    </w:p>
    <w:p w14:paraId="488B8E1D" w14:textId="698AF99A" w:rsidR="00D57FA9" w:rsidRDefault="00D57FA9" w:rsidP="00626246">
      <w:pPr>
        <w:pStyle w:val="Tabletitle"/>
        <w:rPr>
          <w:lang w:eastAsia="ja-JP"/>
        </w:rPr>
      </w:pPr>
      <w:r>
        <w:rPr>
          <w:lang w:eastAsia="ja-JP"/>
        </w:rPr>
        <w:lastRenderedPageBreak/>
        <w:t>Table 24. Number (%)</w:t>
      </w:r>
      <w:r w:rsidR="00626246">
        <w:rPr>
          <w:lang w:eastAsia="ja-JP"/>
        </w:rPr>
        <w:t xml:space="preserve"> </w:t>
      </w:r>
      <w:r>
        <w:rPr>
          <w:lang w:eastAsia="ja-JP"/>
        </w:rPr>
        <w:t>of subjects with AEs</w:t>
      </w:r>
      <w:r w:rsidR="00626246">
        <w:rPr>
          <w:lang w:eastAsia="ja-JP"/>
        </w:rPr>
        <w:t xml:space="preserve"> by MedDRA SOC in the pivotal study (FAS)</w:t>
      </w:r>
    </w:p>
    <w:p w14:paraId="29034D26" w14:textId="25A83E31" w:rsidR="00D57FA9" w:rsidRDefault="00D57FA9" w:rsidP="0079516C">
      <w:pPr>
        <w:rPr>
          <w:lang w:eastAsia="ja-JP"/>
        </w:rPr>
      </w:pPr>
      <w:r w:rsidRPr="008E4AAC">
        <w:rPr>
          <w:rFonts w:ascii="Times New Roman" w:hAnsi="Times New Roman"/>
          <w:noProof/>
          <w:sz w:val="24"/>
          <w:szCs w:val="24"/>
          <w:lang w:eastAsia="en-AU"/>
        </w:rPr>
        <w:drawing>
          <wp:inline distT="0" distB="0" distL="0" distR="0" wp14:anchorId="426693AD" wp14:editId="2E339396">
            <wp:extent cx="4330598" cy="4665803"/>
            <wp:effectExtent l="0" t="0" r="0" b="1905"/>
            <wp:docPr id="33" name="Picture 33" descr="Table 24 is an image of a table showing the Number (%) of subjects with AEs by MedDRA SOC in the pivotal study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88" t="5342" r="3682"/>
                    <a:stretch/>
                  </pic:blipFill>
                  <pic:spPr bwMode="auto">
                    <a:xfrm>
                      <a:off x="0" y="0"/>
                      <a:ext cx="4335810" cy="4671418"/>
                    </a:xfrm>
                    <a:prstGeom prst="rect">
                      <a:avLst/>
                    </a:prstGeom>
                    <a:noFill/>
                    <a:ln>
                      <a:noFill/>
                    </a:ln>
                    <a:extLst>
                      <a:ext uri="{53640926-AAD7-44D8-BBD7-CCE9431645EC}">
                        <a14:shadowObscured xmlns:a14="http://schemas.microsoft.com/office/drawing/2010/main"/>
                      </a:ext>
                    </a:extLst>
                  </pic:spPr>
                </pic:pic>
              </a:graphicData>
            </a:graphic>
          </wp:inline>
        </w:drawing>
      </w:r>
    </w:p>
    <w:p w14:paraId="79F4EFA6" w14:textId="37047779" w:rsidR="0079516C" w:rsidRDefault="0079516C" w:rsidP="0079516C">
      <w:pPr>
        <w:rPr>
          <w:lang w:eastAsia="ja-JP"/>
        </w:rPr>
      </w:pPr>
      <w:r>
        <w:rPr>
          <w:lang w:eastAsia="ja-JP"/>
        </w:rPr>
        <w:t>The most frequently reporte</w:t>
      </w:r>
      <w:r w:rsidR="00DA2B54">
        <w:rPr>
          <w:lang w:eastAsia="ja-JP"/>
        </w:rPr>
        <w:t xml:space="preserve">d AEs (≥ 3%) in </w:t>
      </w:r>
      <w:r w:rsidR="00111D91">
        <w:rPr>
          <w:lang w:eastAsia="ja-JP"/>
        </w:rPr>
        <w:t>the FAS of</w:t>
      </w:r>
      <w:r w:rsidR="00DA2B54">
        <w:rPr>
          <w:lang w:eastAsia="ja-JP"/>
        </w:rPr>
        <w:t xml:space="preserve"> LCS12 versus</w:t>
      </w:r>
      <w:r>
        <w:rPr>
          <w:lang w:eastAsia="ja-JP"/>
        </w:rPr>
        <w:t xml:space="preserve"> LC</w:t>
      </w:r>
      <w:r w:rsidR="00DA2B54">
        <w:rPr>
          <w:lang w:eastAsia="ja-JP"/>
        </w:rPr>
        <w:t>S16 were: ovarian cyst 13.0% versus</w:t>
      </w:r>
      <w:r>
        <w:rPr>
          <w:lang w:eastAsia="ja-JP"/>
        </w:rPr>
        <w:t xml:space="preserve"> 20.9%; acne 11.4% </w:t>
      </w:r>
      <w:r w:rsidR="00DA2B54">
        <w:rPr>
          <w:lang w:eastAsia="ja-JP"/>
        </w:rPr>
        <w:t>versus</w:t>
      </w:r>
      <w:r>
        <w:rPr>
          <w:lang w:eastAsia="ja-JP"/>
        </w:rPr>
        <w:t xml:space="preserve"> 11.6%; UTI 11% </w:t>
      </w:r>
      <w:r w:rsidR="00DA2B54">
        <w:rPr>
          <w:lang w:eastAsia="ja-JP"/>
        </w:rPr>
        <w:t>versus</w:t>
      </w:r>
      <w:r>
        <w:rPr>
          <w:lang w:eastAsia="ja-JP"/>
        </w:rPr>
        <w:t xml:space="preserve"> 10%; headache 9.3% </w:t>
      </w:r>
      <w:r w:rsidR="00DA2B54">
        <w:rPr>
          <w:lang w:eastAsia="ja-JP"/>
        </w:rPr>
        <w:t>versus</w:t>
      </w:r>
      <w:r>
        <w:rPr>
          <w:lang w:eastAsia="ja-JP"/>
        </w:rPr>
        <w:t xml:space="preserve"> 9.4%; dysmenorrhoea 9.1 </w:t>
      </w:r>
      <w:r w:rsidR="00DA2B54">
        <w:rPr>
          <w:lang w:eastAsia="ja-JP"/>
        </w:rPr>
        <w:t>versus</w:t>
      </w:r>
      <w:r>
        <w:rPr>
          <w:lang w:eastAsia="ja-JP"/>
        </w:rPr>
        <w:t xml:space="preserve"> 7.4%; abdominal pain 7.0% in both groups; pelvic pain 6.7% </w:t>
      </w:r>
      <w:r w:rsidR="00DA2B54">
        <w:rPr>
          <w:lang w:eastAsia="ja-JP"/>
        </w:rPr>
        <w:t>versus</w:t>
      </w:r>
      <w:r>
        <w:rPr>
          <w:lang w:eastAsia="ja-JP"/>
        </w:rPr>
        <w:t xml:space="preserve"> 8.5%; vaginal haemorrhage 4.6% 5.0%; increased weight 3.9% </w:t>
      </w:r>
      <w:r w:rsidR="00DA2B54">
        <w:rPr>
          <w:lang w:eastAsia="ja-JP"/>
        </w:rPr>
        <w:t>versus</w:t>
      </w:r>
      <w:r>
        <w:rPr>
          <w:lang w:eastAsia="ja-JP"/>
        </w:rPr>
        <w:t xml:space="preserve"> 4.7%; vaginal infection 3.4% </w:t>
      </w:r>
      <w:r w:rsidR="00DA2B54">
        <w:rPr>
          <w:lang w:eastAsia="ja-JP"/>
        </w:rPr>
        <w:t>versus</w:t>
      </w:r>
      <w:r>
        <w:rPr>
          <w:lang w:eastAsia="ja-JP"/>
        </w:rPr>
        <w:t xml:space="preserve"> 4.1%. The increase incidence of ovarian cyst was attributed to the protocol requirement for ultrasound findings of cysts to be reported as AEs even if standard AE criteria were not met). Apart from this event, there are no clinically significant diffe</w:t>
      </w:r>
      <w:r w:rsidR="00DA2B54">
        <w:rPr>
          <w:lang w:eastAsia="ja-JP"/>
        </w:rPr>
        <w:t>rences observed between groups.</w:t>
      </w:r>
    </w:p>
    <w:p w14:paraId="449AA44C" w14:textId="36A543FD" w:rsidR="0079516C" w:rsidRDefault="0079516C" w:rsidP="0079516C">
      <w:pPr>
        <w:rPr>
          <w:lang w:eastAsia="ja-JP"/>
        </w:rPr>
      </w:pPr>
      <w:r>
        <w:rPr>
          <w:lang w:eastAsia="ja-JP"/>
        </w:rPr>
        <w:t>Intensity of adverse events is as follows. As seen in the following Table t</w:t>
      </w:r>
      <w:r w:rsidR="00DA2B54">
        <w:rPr>
          <w:lang w:eastAsia="ja-JP"/>
        </w:rPr>
        <w:t>hey were similar between groups.</w:t>
      </w:r>
    </w:p>
    <w:p w14:paraId="00AE86CA" w14:textId="6D2E0AC1" w:rsidR="00DA2B54" w:rsidRDefault="00626246" w:rsidP="00DA2B54">
      <w:pPr>
        <w:pStyle w:val="Tabletitle"/>
        <w:rPr>
          <w:lang w:eastAsia="ja-JP"/>
        </w:rPr>
      </w:pPr>
      <w:r>
        <w:rPr>
          <w:lang w:eastAsia="ja-JP"/>
        </w:rPr>
        <w:t>Table 25</w:t>
      </w:r>
      <w:r w:rsidR="00DA2B54">
        <w:rPr>
          <w:lang w:eastAsia="ja-JP"/>
        </w:rPr>
        <w:t>. Number (%) of subjects with AEs by intensity and treatment group (FAS)</w:t>
      </w:r>
    </w:p>
    <w:p w14:paraId="7B9DCE26" w14:textId="6F88613C" w:rsidR="0079516C" w:rsidRDefault="00DA2B54" w:rsidP="0079516C">
      <w:pPr>
        <w:rPr>
          <w:lang w:eastAsia="ja-JP"/>
        </w:rPr>
      </w:pPr>
      <w:r w:rsidRPr="008E4AAC">
        <w:rPr>
          <w:rFonts w:ascii="Times New Roman" w:eastAsiaTheme="minorHAnsi" w:hAnsi="Times New Roman"/>
          <w:noProof/>
          <w:sz w:val="24"/>
          <w:szCs w:val="24"/>
          <w:lang w:eastAsia="en-AU"/>
        </w:rPr>
        <w:drawing>
          <wp:inline distT="0" distB="0" distL="0" distR="0" wp14:anchorId="5E073B13" wp14:editId="0CAAB66A">
            <wp:extent cx="4425696" cy="815201"/>
            <wp:effectExtent l="0" t="0" r="0" b="4445"/>
            <wp:docPr id="16" name="Picture 16" descr="Table 25 is an image of a table showing the Number (%) of subjects with AEs by intensity and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09" t="27649" r="2939" b="6372"/>
                    <a:stretch/>
                  </pic:blipFill>
                  <pic:spPr bwMode="auto">
                    <a:xfrm>
                      <a:off x="0" y="0"/>
                      <a:ext cx="4438739" cy="817603"/>
                    </a:xfrm>
                    <a:prstGeom prst="rect">
                      <a:avLst/>
                    </a:prstGeom>
                    <a:noFill/>
                    <a:ln>
                      <a:noFill/>
                    </a:ln>
                    <a:extLst>
                      <a:ext uri="{53640926-AAD7-44D8-BBD7-CCE9431645EC}">
                        <a14:shadowObscured xmlns:a14="http://schemas.microsoft.com/office/drawing/2010/main"/>
                      </a:ext>
                    </a:extLst>
                  </pic:spPr>
                </pic:pic>
              </a:graphicData>
            </a:graphic>
          </wp:inline>
        </w:drawing>
      </w:r>
    </w:p>
    <w:p w14:paraId="743C4213" w14:textId="79C2BE53" w:rsidR="0079516C" w:rsidRDefault="00DA2B54" w:rsidP="0079516C">
      <w:pPr>
        <w:rPr>
          <w:lang w:eastAsia="ja-JP"/>
        </w:rPr>
      </w:pPr>
      <w:r>
        <w:rPr>
          <w:lang w:eastAsia="ja-JP"/>
        </w:rPr>
        <w:t>The AE ‘procedural pain’</w:t>
      </w:r>
      <w:r w:rsidR="0079516C">
        <w:rPr>
          <w:lang w:eastAsia="ja-JP"/>
        </w:rPr>
        <w:t xml:space="preserve"> was reported much more frequently in Year 1 and often related to the IUS insertion LCS12: 3.4% and LCS16: 3.0%, and additionally in 0.6% of women in Year 2 and in Year 3 (generally due to non IUCD related events). This was consider</w:t>
      </w:r>
      <w:r>
        <w:rPr>
          <w:lang w:eastAsia="ja-JP"/>
        </w:rPr>
        <w:t>ed study related in LCS12: 2.0%, LCS16: 1.7%.</w:t>
      </w:r>
    </w:p>
    <w:p w14:paraId="446C5A0D" w14:textId="0F243715" w:rsidR="0079516C" w:rsidRDefault="0079516C" w:rsidP="0079516C">
      <w:pPr>
        <w:rPr>
          <w:lang w:eastAsia="ja-JP"/>
        </w:rPr>
      </w:pPr>
      <w:r>
        <w:rPr>
          <w:lang w:eastAsia="ja-JP"/>
        </w:rPr>
        <w:lastRenderedPageBreak/>
        <w:t>No decrease was seen in mean bone mineral density measurements, taken in a subset of 205 subjects at lumbar spine and total hip at b</w:t>
      </w:r>
      <w:r w:rsidR="00DA2B54">
        <w:rPr>
          <w:lang w:eastAsia="ja-JP"/>
        </w:rPr>
        <w:t>aseline and at 3 annual visits.</w:t>
      </w:r>
    </w:p>
    <w:p w14:paraId="7E945463" w14:textId="0E856BD6" w:rsidR="0079516C" w:rsidRPr="00626246" w:rsidRDefault="00626246" w:rsidP="0079516C">
      <w:pPr>
        <w:rPr>
          <w:lang w:eastAsia="ja-JP"/>
        </w:rPr>
      </w:pPr>
      <w:r w:rsidRPr="00626246">
        <w:rPr>
          <w:lang w:eastAsia="ja-JP"/>
        </w:rPr>
        <w:t>Table 26</w:t>
      </w:r>
      <w:r w:rsidR="0079516C" w:rsidRPr="00626246">
        <w:rPr>
          <w:lang w:eastAsia="ja-JP"/>
        </w:rPr>
        <w:t xml:space="preserve"> shows drug related AEs occurring in ≥</w:t>
      </w:r>
      <w:r w:rsidR="00DA2B54" w:rsidRPr="00626246">
        <w:rPr>
          <w:lang w:eastAsia="ja-JP"/>
        </w:rPr>
        <w:t xml:space="preserve"> </w:t>
      </w:r>
      <w:r w:rsidR="0079516C" w:rsidRPr="00626246">
        <w:rPr>
          <w:lang w:eastAsia="ja-JP"/>
        </w:rPr>
        <w:t xml:space="preserve">2.0%; </w:t>
      </w:r>
      <w:r w:rsidRPr="00626246">
        <w:rPr>
          <w:lang w:eastAsia="ja-JP"/>
        </w:rPr>
        <w:t>Table 27</w:t>
      </w:r>
      <w:r w:rsidR="0079516C" w:rsidRPr="00626246">
        <w:rPr>
          <w:lang w:eastAsia="ja-JP"/>
        </w:rPr>
        <w:t xml:space="preserve"> depicts the percentage of frequent SAEs. There were no clinically significant differences in the two groups, except for ovarian cyst 13.8% </w:t>
      </w:r>
      <w:r w:rsidR="00DA2B54" w:rsidRPr="00626246">
        <w:rPr>
          <w:lang w:eastAsia="ja-JP"/>
        </w:rPr>
        <w:t>versus 7.7%.</w:t>
      </w:r>
    </w:p>
    <w:p w14:paraId="2642D73C" w14:textId="036B2D60" w:rsidR="0079516C" w:rsidRDefault="0079516C" w:rsidP="0079516C">
      <w:pPr>
        <w:rPr>
          <w:lang w:eastAsia="ja-JP"/>
        </w:rPr>
      </w:pPr>
      <w:r w:rsidRPr="00626246">
        <w:rPr>
          <w:lang w:eastAsia="ja-JP"/>
        </w:rPr>
        <w:t xml:space="preserve">Drug related SAEs are tabulated in </w:t>
      </w:r>
      <w:r w:rsidR="00626246" w:rsidRPr="00626246">
        <w:rPr>
          <w:lang w:eastAsia="ja-JP"/>
        </w:rPr>
        <w:t>Table 28</w:t>
      </w:r>
      <w:r w:rsidRPr="00626246">
        <w:rPr>
          <w:lang w:eastAsia="ja-JP"/>
        </w:rPr>
        <w:t xml:space="preserve">. The incidence in the treatment groups were similar, with a slightly higher percentage of women in the LCS16 group than in the LCS12 group reporting </w:t>
      </w:r>
      <w:r w:rsidR="00DA2B54" w:rsidRPr="00626246">
        <w:rPr>
          <w:lang w:eastAsia="ja-JP"/>
        </w:rPr>
        <w:t>SAEs (4.9% compared with 4.6%).</w:t>
      </w:r>
    </w:p>
    <w:p w14:paraId="79E6E365" w14:textId="0D0A6D75" w:rsidR="0079516C" w:rsidRDefault="0079516C" w:rsidP="0079516C">
      <w:pPr>
        <w:rPr>
          <w:lang w:eastAsia="ja-JP"/>
        </w:rPr>
      </w:pPr>
      <w:r>
        <w:rPr>
          <w:lang w:eastAsia="ja-JP"/>
        </w:rPr>
        <w:t>All ectopic pregnancies and all perforations (cervix or uteru</w:t>
      </w:r>
      <w:r w:rsidR="00DA2B54">
        <w:rPr>
          <w:lang w:eastAsia="ja-JP"/>
        </w:rPr>
        <w:t>s) were to be reported as SAEs.</w:t>
      </w:r>
    </w:p>
    <w:p w14:paraId="310819E9" w14:textId="7A7EDF10" w:rsidR="00626246" w:rsidRDefault="00626246" w:rsidP="00626246">
      <w:pPr>
        <w:pStyle w:val="Tabletitle"/>
        <w:rPr>
          <w:lang w:eastAsia="ja-JP"/>
        </w:rPr>
      </w:pPr>
      <w:bookmarkStart w:id="152" w:name="Table32"/>
      <w:bookmarkStart w:id="153" w:name="_Hlk492373115"/>
      <w:r>
        <w:rPr>
          <w:lang w:eastAsia="ja-JP"/>
        </w:rPr>
        <w:t>Table 26. Drug related AEs occurring in ≥ 2.0% of either group by PT (FAS)</w:t>
      </w:r>
    </w:p>
    <w:bookmarkEnd w:id="152"/>
    <w:p w14:paraId="308AFC70" w14:textId="01F943DB" w:rsidR="00626246" w:rsidRDefault="00626246" w:rsidP="00626246">
      <w:pPr>
        <w:rPr>
          <w:b/>
          <w:u w:val="single"/>
          <w:lang w:eastAsia="ja-JP"/>
        </w:rPr>
      </w:pPr>
      <w:r w:rsidRPr="008E4AAC">
        <w:rPr>
          <w:rFonts w:ascii="Times New Roman" w:hAnsi="Times New Roman"/>
          <w:noProof/>
          <w:sz w:val="24"/>
          <w:szCs w:val="24"/>
          <w:lang w:eastAsia="en-AU"/>
        </w:rPr>
        <w:drawing>
          <wp:inline distT="0" distB="0" distL="0" distR="0" wp14:anchorId="696D1E46" wp14:editId="1D3C22B0">
            <wp:extent cx="4593946" cy="2274385"/>
            <wp:effectExtent l="0" t="0" r="0" b="0"/>
            <wp:docPr id="40" name="Picture 40" descr="Table 26 is an image of a table showing the Drug related AEs occurring in ≥ 2.0% of either group by P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32" t="11482" r="6681" b="5083"/>
                    <a:stretch/>
                  </pic:blipFill>
                  <pic:spPr bwMode="auto">
                    <a:xfrm>
                      <a:off x="0" y="0"/>
                      <a:ext cx="4598508" cy="2276643"/>
                    </a:xfrm>
                    <a:prstGeom prst="rect">
                      <a:avLst/>
                    </a:prstGeom>
                    <a:noFill/>
                    <a:ln>
                      <a:noFill/>
                    </a:ln>
                    <a:extLst>
                      <a:ext uri="{53640926-AAD7-44D8-BBD7-CCE9431645EC}">
                        <a14:shadowObscured xmlns:a14="http://schemas.microsoft.com/office/drawing/2010/main"/>
                      </a:ext>
                    </a:extLst>
                  </pic:spPr>
                </pic:pic>
              </a:graphicData>
            </a:graphic>
          </wp:inline>
        </w:drawing>
      </w:r>
      <w:bookmarkStart w:id="154" w:name="Table33"/>
    </w:p>
    <w:bookmarkEnd w:id="153"/>
    <w:p w14:paraId="5F0334E5" w14:textId="6C00FC5C" w:rsidR="00626246" w:rsidRDefault="00626246" w:rsidP="00626246">
      <w:pPr>
        <w:pStyle w:val="Tabletitle"/>
        <w:rPr>
          <w:lang w:eastAsia="ja-JP"/>
        </w:rPr>
      </w:pPr>
      <w:r>
        <w:rPr>
          <w:lang w:eastAsia="ja-JP"/>
        </w:rPr>
        <w:t>Table 27. Most frequent SAEs by treatment group (FAS)</w:t>
      </w:r>
    </w:p>
    <w:bookmarkEnd w:id="154"/>
    <w:p w14:paraId="191117BA" w14:textId="77777777" w:rsidR="00626246" w:rsidRDefault="00626246" w:rsidP="00626246">
      <w:pPr>
        <w:rPr>
          <w:b/>
          <w:u w:val="single"/>
          <w:lang w:eastAsia="ja-JP"/>
        </w:rPr>
      </w:pPr>
      <w:r w:rsidRPr="008E4AAC">
        <w:rPr>
          <w:rFonts w:ascii="Times New Roman" w:hAnsi="Times New Roman"/>
          <w:noProof/>
          <w:sz w:val="24"/>
          <w:szCs w:val="24"/>
          <w:lang w:eastAsia="en-AU"/>
        </w:rPr>
        <w:drawing>
          <wp:inline distT="0" distB="0" distL="0" distR="0" wp14:anchorId="26F7108F" wp14:editId="44F59813">
            <wp:extent cx="4389120" cy="3487810"/>
            <wp:effectExtent l="0" t="0" r="0" b="0"/>
            <wp:docPr id="45" name="Picture 45" descr="Table 27 is an image of a table showing the Most frequent SAEs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l="1914" t="4299" r="8604" b="3566"/>
                    <a:stretch/>
                  </pic:blipFill>
                  <pic:spPr bwMode="auto">
                    <a:xfrm>
                      <a:off x="0" y="0"/>
                      <a:ext cx="4393583" cy="3491356"/>
                    </a:xfrm>
                    <a:prstGeom prst="rect">
                      <a:avLst/>
                    </a:prstGeom>
                    <a:noFill/>
                    <a:ln>
                      <a:noFill/>
                    </a:ln>
                    <a:extLst>
                      <a:ext uri="{53640926-AAD7-44D8-BBD7-CCE9431645EC}">
                        <a14:shadowObscured xmlns:a14="http://schemas.microsoft.com/office/drawing/2010/main"/>
                      </a:ext>
                    </a:extLst>
                  </pic:spPr>
                </pic:pic>
              </a:graphicData>
            </a:graphic>
          </wp:inline>
        </w:drawing>
      </w:r>
    </w:p>
    <w:p w14:paraId="3FC7E894" w14:textId="21EBA653" w:rsidR="00626246" w:rsidRDefault="00626246" w:rsidP="00626246">
      <w:pPr>
        <w:pStyle w:val="Tabletitle"/>
        <w:rPr>
          <w:lang w:eastAsia="ja-JP"/>
        </w:rPr>
      </w:pPr>
      <w:bookmarkStart w:id="155" w:name="Table34"/>
      <w:r>
        <w:rPr>
          <w:lang w:eastAsia="ja-JP"/>
        </w:rPr>
        <w:lastRenderedPageBreak/>
        <w:t>Table 28. Study drug related SAEs by treatment group (FAS)</w:t>
      </w:r>
    </w:p>
    <w:bookmarkEnd w:id="155"/>
    <w:p w14:paraId="6415EBC2" w14:textId="43E36538" w:rsidR="00626246" w:rsidRPr="00626246" w:rsidRDefault="00626246" w:rsidP="0079516C">
      <w:pPr>
        <w:rPr>
          <w:b/>
          <w:u w:val="single"/>
          <w:lang w:eastAsia="ja-JP"/>
        </w:rPr>
      </w:pPr>
      <w:r w:rsidRPr="008E4AAC">
        <w:rPr>
          <w:rFonts w:ascii="Times New Roman" w:hAnsi="Times New Roman"/>
          <w:noProof/>
          <w:sz w:val="24"/>
          <w:szCs w:val="24"/>
          <w:lang w:eastAsia="en-AU"/>
        </w:rPr>
        <w:drawing>
          <wp:inline distT="0" distB="0" distL="0" distR="0" wp14:anchorId="7B143C24" wp14:editId="4A621723">
            <wp:extent cx="4656083" cy="3321269"/>
            <wp:effectExtent l="0" t="0" r="0" b="0"/>
            <wp:docPr id="46" name="Picture 46" descr="Table 28 is an image of a table showing the Study drug related SAEs by treatment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l="2553" t="6367" r="16120" b="15411"/>
                    <a:stretch/>
                  </pic:blipFill>
                  <pic:spPr bwMode="auto">
                    <a:xfrm>
                      <a:off x="0" y="0"/>
                      <a:ext cx="4661247" cy="3324953"/>
                    </a:xfrm>
                    <a:prstGeom prst="rect">
                      <a:avLst/>
                    </a:prstGeom>
                    <a:noFill/>
                    <a:ln>
                      <a:noFill/>
                    </a:ln>
                    <a:extLst>
                      <a:ext uri="{53640926-AAD7-44D8-BBD7-CCE9431645EC}">
                        <a14:shadowObscured xmlns:a14="http://schemas.microsoft.com/office/drawing/2010/main"/>
                      </a:ext>
                    </a:extLst>
                  </pic:spPr>
                </pic:pic>
              </a:graphicData>
            </a:graphic>
          </wp:inline>
        </w:drawing>
      </w:r>
    </w:p>
    <w:p w14:paraId="2A63F72A" w14:textId="20234731" w:rsidR="0079516C" w:rsidRDefault="0079516C" w:rsidP="00FE27EF">
      <w:pPr>
        <w:pStyle w:val="Heading6"/>
        <w:rPr>
          <w:lang w:eastAsia="ja-JP"/>
        </w:rPr>
      </w:pPr>
      <w:r>
        <w:rPr>
          <w:lang w:eastAsia="ja-JP"/>
        </w:rPr>
        <w:t>Adverse events of spe</w:t>
      </w:r>
      <w:r w:rsidR="00FE27EF">
        <w:rPr>
          <w:lang w:eastAsia="ja-JP"/>
        </w:rPr>
        <w:t>cial interest</w:t>
      </w:r>
    </w:p>
    <w:p w14:paraId="24A0702F" w14:textId="7E92CC94" w:rsidR="0079516C" w:rsidRDefault="0079516C" w:rsidP="0079516C">
      <w:pPr>
        <w:rPr>
          <w:lang w:eastAsia="ja-JP"/>
        </w:rPr>
      </w:pPr>
      <w:r w:rsidRPr="00FE27EF">
        <w:rPr>
          <w:i/>
          <w:lang w:eastAsia="ja-JP"/>
        </w:rPr>
        <w:t>Ovarian cyst (MedDRA PT)</w:t>
      </w:r>
      <w:r w:rsidR="00FE27EF">
        <w:rPr>
          <w:lang w:eastAsia="ja-JP"/>
        </w:rPr>
        <w:t xml:space="preserve">: This </w:t>
      </w:r>
      <w:r>
        <w:rPr>
          <w:lang w:eastAsia="ja-JP"/>
        </w:rPr>
        <w:t>was reported for LCS12 (13.0%) and in LCS16 (20.9%). According to protocol, ovarian cysts were to be reported a</w:t>
      </w:r>
      <w:r w:rsidR="007A24E9">
        <w:rPr>
          <w:lang w:eastAsia="ja-JP"/>
        </w:rPr>
        <w:t>s AEs if they were abnormal non</w:t>
      </w:r>
      <w:r w:rsidR="007A24E9">
        <w:rPr>
          <w:lang w:eastAsia="ja-JP"/>
        </w:rPr>
        <w:noBreakHyphen/>
      </w:r>
      <w:r>
        <w:rPr>
          <w:lang w:eastAsia="ja-JP"/>
        </w:rPr>
        <w:t>functional cysts and/or had a diameter &gt; 3 cm on ultrasound. Since the protocol required repeated vaginal ultrasound, incident ultrasound findings of cysts &gt;</w:t>
      </w:r>
      <w:r w:rsidR="00CF2893">
        <w:rPr>
          <w:lang w:eastAsia="ja-JP"/>
        </w:rPr>
        <w:t xml:space="preserve"> </w:t>
      </w:r>
      <w:r>
        <w:rPr>
          <w:lang w:eastAsia="ja-JP"/>
        </w:rPr>
        <w:t>3cm were therefore documented as AEs. These events were reported as mild in 10.8% of the women in the LCS12 group and 17.0% of the women in the LCS16 group, moderate in 1.7% and 3.4% respectively, and severe in 0.5% w</w:t>
      </w:r>
      <w:r w:rsidR="00FE27EF">
        <w:rPr>
          <w:lang w:eastAsia="ja-JP"/>
        </w:rPr>
        <w:t>omen of each of the two groups.</w:t>
      </w:r>
    </w:p>
    <w:p w14:paraId="24B102D1" w14:textId="45FE5AD7" w:rsidR="0079516C" w:rsidRDefault="0079516C" w:rsidP="0079516C">
      <w:pPr>
        <w:rPr>
          <w:lang w:eastAsia="ja-JP"/>
        </w:rPr>
      </w:pPr>
      <w:r w:rsidRPr="00FE27EF">
        <w:rPr>
          <w:lang w:eastAsia="ja-JP"/>
        </w:rPr>
        <w:t>Ovarian cyst</w:t>
      </w:r>
      <w:r w:rsidR="00FE27EF">
        <w:rPr>
          <w:lang w:eastAsia="ja-JP"/>
        </w:rPr>
        <w:t xml:space="preserve"> </w:t>
      </w:r>
      <w:r>
        <w:rPr>
          <w:lang w:eastAsia="ja-JP"/>
        </w:rPr>
        <w:t>was reported as an SAE in 3 women (LCS12: 1, LCS16: 2), ruptured ovarian cysts in one woman per group; 2 women of the LCS12 group had haemorrhagic ovarian cysts reported as SAEs, and one woman of the LCS16 group had an</w:t>
      </w:r>
      <w:r w:rsidR="00FE27EF">
        <w:rPr>
          <w:lang w:eastAsia="ja-JP"/>
        </w:rPr>
        <w:t xml:space="preserve"> ovarian cyst torsion reported.</w:t>
      </w:r>
    </w:p>
    <w:p w14:paraId="03B345E3" w14:textId="53158E76" w:rsidR="0079516C" w:rsidRDefault="0079516C" w:rsidP="0079516C">
      <w:pPr>
        <w:rPr>
          <w:lang w:eastAsia="ja-JP"/>
        </w:rPr>
      </w:pPr>
      <w:r w:rsidRPr="00FE27EF">
        <w:rPr>
          <w:i/>
          <w:lang w:eastAsia="ja-JP"/>
        </w:rPr>
        <w:t>PID</w:t>
      </w:r>
      <w:r w:rsidR="00FE27EF">
        <w:rPr>
          <w:lang w:eastAsia="ja-JP"/>
        </w:rPr>
        <w:t>: PID</w:t>
      </w:r>
      <w:r>
        <w:rPr>
          <w:lang w:eastAsia="ja-JP"/>
        </w:rPr>
        <w:t xml:space="preserve"> was diagnosed in 12 women in total; of the 12 women diagnosed with PID, a total of 7 (LCS12: 4, LCS16: 3) had an acute salpingo-oophoritis diagnosed, a total of 3 (</w:t>
      </w:r>
      <w:r w:rsidR="00FE27EF">
        <w:rPr>
          <w:lang w:eastAsia="ja-JP"/>
        </w:rPr>
        <w:t>LCS12: 2, LCS16: </w:t>
      </w:r>
      <w:r>
        <w:rPr>
          <w:lang w:eastAsia="ja-JP"/>
        </w:rPr>
        <w:t>1) had a tubo-ovarian abscess, and 2 subjects had no specification of PID diagnosis reported. Six of these were SAEs relating to PID (2 in LCS12, and 4 in LCS16). All patients recovered. Two subjects who did not appear to meet the protocol specified criteria for PID (each had only 1 of the signs or symptoms outlined in the protocol criteria for PID), but had this diagnosis reported but were not withdrawn from the study. In both cases, the event occurred in the first year of treatment</w:t>
      </w:r>
      <w:r w:rsidR="00626246">
        <w:rPr>
          <w:lang w:eastAsia="ja-JP"/>
        </w:rPr>
        <w:t xml:space="preserve"> and resolved without sequelae.</w:t>
      </w:r>
    </w:p>
    <w:p w14:paraId="28DA2225" w14:textId="4F0E74B0" w:rsidR="0079516C" w:rsidRDefault="0079516C" w:rsidP="0079516C">
      <w:pPr>
        <w:rPr>
          <w:lang w:eastAsia="ja-JP"/>
        </w:rPr>
      </w:pPr>
      <w:r w:rsidRPr="00FE27EF">
        <w:rPr>
          <w:i/>
          <w:lang w:eastAsia="ja-JP"/>
        </w:rPr>
        <w:t>Perforation of the uterus</w:t>
      </w:r>
      <w:r>
        <w:rPr>
          <w:lang w:eastAsia="ja-JP"/>
        </w:rPr>
        <w:t>: One partial perforation of the myometrium by the LCS was reported in the LCS16 group. The LCS was removed via the vagina, with no further complications. In this study</w:t>
      </w:r>
      <w:r w:rsidR="009E23DC">
        <w:rPr>
          <w:lang w:eastAsia="ja-JP"/>
        </w:rPr>
        <w:t>,</w:t>
      </w:r>
      <w:r>
        <w:rPr>
          <w:lang w:eastAsia="ja-JP"/>
        </w:rPr>
        <w:t xml:space="preserve"> a 28 year</w:t>
      </w:r>
      <w:r w:rsidR="007A24E9">
        <w:rPr>
          <w:lang w:eastAsia="ja-JP"/>
        </w:rPr>
        <w:t xml:space="preserve"> </w:t>
      </w:r>
      <w:r>
        <w:rPr>
          <w:lang w:eastAsia="ja-JP"/>
        </w:rPr>
        <w:t>old nulliparous woman had a partial uterine perforation detected in Month 24 via ultrasound. The insertion was rated as easy by the investigator</w:t>
      </w:r>
      <w:r w:rsidR="002949F5">
        <w:rPr>
          <w:lang w:eastAsia="ja-JP"/>
        </w:rPr>
        <w:t>;</w:t>
      </w:r>
      <w:r>
        <w:rPr>
          <w:lang w:eastAsia="ja-JP"/>
        </w:rPr>
        <w:t xml:space="preserve"> no dilatation was performed, no anaesthesia/analgesics given. The patient’s evaluation of pain</w:t>
      </w:r>
      <w:r w:rsidR="00FE27EF">
        <w:rPr>
          <w:lang w:eastAsia="ja-JP"/>
        </w:rPr>
        <w:t xml:space="preserve"> was ‘severe’.</w:t>
      </w:r>
    </w:p>
    <w:p w14:paraId="535CAB46" w14:textId="0762846A" w:rsidR="0079516C" w:rsidRDefault="0079516C" w:rsidP="0079516C">
      <w:pPr>
        <w:rPr>
          <w:lang w:eastAsia="ja-JP"/>
        </w:rPr>
      </w:pPr>
      <w:r w:rsidRPr="00FE27EF">
        <w:rPr>
          <w:i/>
          <w:lang w:eastAsia="ja-JP"/>
        </w:rPr>
        <w:t>Endometritis</w:t>
      </w:r>
      <w:r>
        <w:rPr>
          <w:lang w:eastAsia="ja-JP"/>
        </w:rPr>
        <w:t xml:space="preserve">: A total of 0.8% of subjects in the LCS12 and LCS16 arms in this study were diagnosed with endometritis. These were not considered as suspicious for PID by the investigators based on clinical presentation. Most events were moderate in severity (13 of 22), </w:t>
      </w:r>
      <w:r>
        <w:rPr>
          <w:lang w:eastAsia="ja-JP"/>
        </w:rPr>
        <w:lastRenderedPageBreak/>
        <w:t>one was severe, and the events occurred most frequently in parous women and duri</w:t>
      </w:r>
      <w:r w:rsidR="00FE27EF">
        <w:rPr>
          <w:lang w:eastAsia="ja-JP"/>
        </w:rPr>
        <w:t>ng the first year of the study.</w:t>
      </w:r>
    </w:p>
    <w:p w14:paraId="042D91DF" w14:textId="5D9AD20A" w:rsidR="0079516C" w:rsidRDefault="0079516C" w:rsidP="0079516C">
      <w:pPr>
        <w:rPr>
          <w:lang w:eastAsia="ja-JP"/>
        </w:rPr>
      </w:pPr>
      <w:r w:rsidRPr="00FE27EF">
        <w:rPr>
          <w:i/>
          <w:lang w:eastAsia="ja-JP"/>
        </w:rPr>
        <w:t>Ectopic pregnancies</w:t>
      </w:r>
      <w:r>
        <w:rPr>
          <w:lang w:eastAsia="ja-JP"/>
        </w:rPr>
        <w:t>: There were 3 reports in the LCS12 group and 7 in the LCS 16 group. Nulliparous was 2 and 3 in each group</w:t>
      </w:r>
      <w:r w:rsidR="007A24E9">
        <w:rPr>
          <w:lang w:eastAsia="ja-JP"/>
        </w:rPr>
        <w:t xml:space="preserve"> respectively and those aged 26 to </w:t>
      </w:r>
      <w:r>
        <w:rPr>
          <w:lang w:eastAsia="ja-JP"/>
        </w:rPr>
        <w:t>35 years was 1 and 5 in each group respectively. All were Caucasians. There were 2 in the LCS12 group and 7 in the LCS16 gr</w:t>
      </w:r>
      <w:r w:rsidR="00FE27EF">
        <w:rPr>
          <w:lang w:eastAsia="ja-JP"/>
        </w:rPr>
        <w:t>oup stated to be study related.</w:t>
      </w:r>
    </w:p>
    <w:p w14:paraId="6EFA22A3" w14:textId="15112AA4" w:rsidR="0079516C" w:rsidRDefault="0079516C" w:rsidP="0079516C">
      <w:pPr>
        <w:rPr>
          <w:lang w:eastAsia="ja-JP"/>
        </w:rPr>
      </w:pPr>
      <w:r w:rsidRPr="00FE27EF">
        <w:rPr>
          <w:i/>
          <w:lang w:eastAsia="ja-JP"/>
        </w:rPr>
        <w:t>Device expulsion</w:t>
      </w:r>
      <w:r w:rsidR="00FE27EF">
        <w:rPr>
          <w:lang w:eastAsia="ja-JP"/>
        </w:rPr>
        <w:t>: Expu</w:t>
      </w:r>
      <w:r w:rsidR="002949F5">
        <w:rPr>
          <w:lang w:eastAsia="ja-JP"/>
        </w:rPr>
        <w:t>l</w:t>
      </w:r>
      <w:r w:rsidR="00FE27EF">
        <w:rPr>
          <w:lang w:eastAsia="ja-JP"/>
        </w:rPr>
        <w:t>sion</w:t>
      </w:r>
      <w:r>
        <w:rPr>
          <w:lang w:eastAsia="ja-JP"/>
        </w:rPr>
        <w:t xml:space="preserve"> occurred in &gt;3% (3.4%) of all subjects, 53 for LCS12 </w:t>
      </w:r>
      <w:r w:rsidR="00FE27EF">
        <w:rPr>
          <w:lang w:eastAsia="ja-JP"/>
        </w:rPr>
        <w:t>(3.7%) and 46 for LCS16 (3.2%).</w:t>
      </w:r>
    </w:p>
    <w:p w14:paraId="3239BBFF" w14:textId="454E59F1" w:rsidR="0079516C" w:rsidRDefault="0079516C" w:rsidP="0079516C">
      <w:pPr>
        <w:rPr>
          <w:lang w:eastAsia="ja-JP"/>
        </w:rPr>
      </w:pPr>
      <w:r w:rsidRPr="00FE27EF">
        <w:rPr>
          <w:i/>
          <w:lang w:eastAsia="ja-JP"/>
        </w:rPr>
        <w:t>Device dislocation</w:t>
      </w:r>
      <w:r>
        <w:rPr>
          <w:lang w:eastAsia="ja-JP"/>
        </w:rPr>
        <w:t xml:space="preserve">: AEs were reported for 2 women (0.1%) in the LCS12 group and 4 women (0.3%) in the LCS16 group (overall in 6 or 0.2% of women). One of the dislocation events was a partial perforation of the myometrium (an SAE) and the others were reported as ‘displaced, intrauterine’ </w:t>
      </w:r>
      <w:r w:rsidR="00FE27EF">
        <w:rPr>
          <w:lang w:eastAsia="ja-JP"/>
        </w:rPr>
        <w:t>or ‘displaced, cervical canal’.</w:t>
      </w:r>
    </w:p>
    <w:p w14:paraId="20610BAE" w14:textId="40CE6A5E" w:rsidR="0079516C" w:rsidRDefault="0079516C" w:rsidP="0079516C">
      <w:pPr>
        <w:rPr>
          <w:lang w:eastAsia="ja-JP"/>
        </w:rPr>
      </w:pPr>
      <w:r w:rsidRPr="00FE27EF">
        <w:rPr>
          <w:i/>
          <w:lang w:eastAsia="ja-JP"/>
        </w:rPr>
        <w:t>Bleeding</w:t>
      </w:r>
      <w:r w:rsidR="00FE27EF">
        <w:rPr>
          <w:lang w:eastAsia="ja-JP"/>
        </w:rPr>
        <w:t>: A</w:t>
      </w:r>
      <w:r>
        <w:rPr>
          <w:lang w:eastAsia="ja-JP"/>
        </w:rPr>
        <w:t>menorrhoea rate gradually increased over the course of the 3</w:t>
      </w:r>
      <w:r w:rsidR="007A24E9">
        <w:rPr>
          <w:lang w:eastAsia="ja-JP"/>
        </w:rPr>
        <w:t xml:space="preserve"> </w:t>
      </w:r>
      <w:r>
        <w:rPr>
          <w:lang w:eastAsia="ja-JP"/>
        </w:rPr>
        <w:t>year study to 11.4% in the LCS12 group and 20.8% in</w:t>
      </w:r>
      <w:r w:rsidR="00FE27EF">
        <w:rPr>
          <w:lang w:eastAsia="ja-JP"/>
        </w:rPr>
        <w:t xml:space="preserve"> the LCS16 group in the twelfth 90</w:t>
      </w:r>
      <w:r w:rsidR="007A24E9">
        <w:rPr>
          <w:lang w:eastAsia="ja-JP"/>
        </w:rPr>
        <w:t xml:space="preserve"> </w:t>
      </w:r>
      <w:r>
        <w:rPr>
          <w:lang w:eastAsia="ja-JP"/>
        </w:rPr>
        <w:t xml:space="preserve">day reference period. The no bleeding rate (excluding spotting) rose to 39.0% in the LCS12 group and 49.9% in the </w:t>
      </w:r>
      <w:r w:rsidR="00FE27EF">
        <w:rPr>
          <w:lang w:eastAsia="ja-JP"/>
        </w:rPr>
        <w:t>LCS16 group in the same period.</w:t>
      </w:r>
    </w:p>
    <w:p w14:paraId="045E4FA9" w14:textId="25F1EF16" w:rsidR="0079516C" w:rsidRDefault="0079516C" w:rsidP="0079516C">
      <w:pPr>
        <w:rPr>
          <w:lang w:eastAsia="ja-JP"/>
        </w:rPr>
      </w:pPr>
      <w:r w:rsidRPr="00FE27EF">
        <w:rPr>
          <w:i/>
          <w:lang w:eastAsia="ja-JP"/>
        </w:rPr>
        <w:t>Deaths:</w:t>
      </w:r>
      <w:r>
        <w:rPr>
          <w:lang w:eastAsia="ja-JP"/>
        </w:rPr>
        <w:t xml:space="preserve"> None re</w:t>
      </w:r>
      <w:r w:rsidR="00FE27EF">
        <w:rPr>
          <w:lang w:eastAsia="ja-JP"/>
        </w:rPr>
        <w:t xml:space="preserve">lated to the study medications, see the </w:t>
      </w:r>
      <w:r w:rsidR="00FE27EF">
        <w:t>AusPAR/Attachment 2 for the Jaydess submission</w:t>
      </w:r>
      <w:r w:rsidR="00FE27EF">
        <w:rPr>
          <w:lang w:eastAsia="ja-JP"/>
        </w:rPr>
        <w:t>.</w:t>
      </w:r>
      <w:r w:rsidR="00FE27EF" w:rsidRPr="00DA2B54">
        <w:rPr>
          <w:vertAlign w:val="superscript"/>
          <w:lang w:eastAsia="ja-JP"/>
        </w:rPr>
        <w:fldChar w:fldCharType="begin"/>
      </w:r>
      <w:r w:rsidR="00FE27EF" w:rsidRPr="00DA2B54">
        <w:rPr>
          <w:vertAlign w:val="superscript"/>
          <w:lang w:eastAsia="ja-JP"/>
        </w:rPr>
        <w:instrText xml:space="preserve"> NOTEREF _Ref492070565 \h </w:instrText>
      </w:r>
      <w:r w:rsidR="00FE27EF">
        <w:rPr>
          <w:vertAlign w:val="superscript"/>
          <w:lang w:eastAsia="ja-JP"/>
        </w:rPr>
        <w:instrText xml:space="preserve"> \* MERGEFORMAT </w:instrText>
      </w:r>
      <w:r w:rsidR="00FE27EF" w:rsidRPr="00DA2B54">
        <w:rPr>
          <w:vertAlign w:val="superscript"/>
          <w:lang w:eastAsia="ja-JP"/>
        </w:rPr>
      </w:r>
      <w:r w:rsidR="00FE27EF" w:rsidRPr="00DA2B54">
        <w:rPr>
          <w:vertAlign w:val="superscript"/>
          <w:lang w:eastAsia="ja-JP"/>
        </w:rPr>
        <w:fldChar w:fldCharType="separate"/>
      </w:r>
      <w:r w:rsidR="009A3335">
        <w:rPr>
          <w:vertAlign w:val="superscript"/>
          <w:lang w:eastAsia="ja-JP"/>
        </w:rPr>
        <w:t>4</w:t>
      </w:r>
      <w:r w:rsidR="00FE27EF" w:rsidRPr="00DA2B54">
        <w:rPr>
          <w:vertAlign w:val="superscript"/>
          <w:lang w:eastAsia="ja-JP"/>
        </w:rPr>
        <w:fldChar w:fldCharType="end"/>
      </w:r>
    </w:p>
    <w:p w14:paraId="1A5307EE" w14:textId="7EB51D1D" w:rsidR="0079516C" w:rsidRDefault="0079516C" w:rsidP="0079516C">
      <w:pPr>
        <w:rPr>
          <w:lang w:eastAsia="ja-JP"/>
        </w:rPr>
      </w:pPr>
      <w:r>
        <w:rPr>
          <w:lang w:eastAsia="ja-JP"/>
        </w:rPr>
        <w:t xml:space="preserve">No clinically meaningful changes in laboratory values or vital signs were </w:t>
      </w:r>
      <w:r w:rsidR="00FE27EF">
        <w:rPr>
          <w:lang w:eastAsia="ja-JP"/>
        </w:rPr>
        <w:t>seen in either treatment group.</w:t>
      </w:r>
    </w:p>
    <w:p w14:paraId="55C6134A" w14:textId="70B81B44" w:rsidR="0079516C" w:rsidRDefault="0079516C" w:rsidP="0079516C">
      <w:pPr>
        <w:rPr>
          <w:lang w:eastAsia="ja-JP"/>
        </w:rPr>
      </w:pPr>
      <w:r>
        <w:rPr>
          <w:lang w:eastAsia="ja-JP"/>
        </w:rPr>
        <w:t>The AEs that most frequently led to withdrawal of study medication were vaginal haemorrhage (3.3%), device expulsion (2.8%), pelvic pain (2.4%), acne (2.2%), abdominal pain and dysmenorrhea (1.1% each). The treatment groups were affected similarly, with acne more frequent in the LCS12 group and pelvic pain slightly mo</w:t>
      </w:r>
      <w:r w:rsidR="00FE27EF">
        <w:rPr>
          <w:lang w:eastAsia="ja-JP"/>
        </w:rPr>
        <w:t>re frequent in the LCS16 group.</w:t>
      </w:r>
    </w:p>
    <w:p w14:paraId="2ADED88C" w14:textId="04091C06" w:rsidR="0079516C" w:rsidRDefault="0079516C" w:rsidP="0079516C">
      <w:pPr>
        <w:rPr>
          <w:lang w:eastAsia="ja-JP"/>
        </w:rPr>
      </w:pPr>
      <w:bookmarkStart w:id="156" w:name="_Hlk492370983"/>
      <w:r>
        <w:rPr>
          <w:lang w:eastAsia="ja-JP"/>
        </w:rPr>
        <w:t>The five year data based on Report PH-37274 where LCS16 was ex</w:t>
      </w:r>
      <w:r w:rsidR="00FE27EF">
        <w:rPr>
          <w:lang w:eastAsia="ja-JP"/>
        </w:rPr>
        <w:t xml:space="preserve">tended to </w:t>
      </w:r>
      <w:r w:rsidR="00626246">
        <w:rPr>
          <w:lang w:eastAsia="ja-JP"/>
        </w:rPr>
        <w:t>5 years is as follows in Table 29</w:t>
      </w:r>
      <w:r w:rsidR="00FE27EF">
        <w:rPr>
          <w:lang w:eastAsia="ja-JP"/>
        </w:rPr>
        <w:t>.</w:t>
      </w:r>
    </w:p>
    <w:p w14:paraId="7CCCBD7C" w14:textId="563DB6CB" w:rsidR="00FE27EF" w:rsidRDefault="00FE27EF" w:rsidP="00FE27EF">
      <w:pPr>
        <w:pStyle w:val="Tabletitle"/>
        <w:rPr>
          <w:lang w:eastAsia="ja-JP"/>
        </w:rPr>
      </w:pPr>
      <w:r>
        <w:rPr>
          <w:lang w:eastAsia="ja-JP"/>
        </w:rPr>
        <w:t>Table</w:t>
      </w:r>
      <w:r w:rsidR="00626246">
        <w:rPr>
          <w:lang w:eastAsia="ja-JP"/>
        </w:rPr>
        <w:t xml:space="preserve"> 29</w:t>
      </w:r>
      <w:r>
        <w:rPr>
          <w:lang w:eastAsia="ja-JP"/>
        </w:rPr>
        <w:t>. Extent of exposure, all subjects treated with LCS16 (FAS)</w:t>
      </w:r>
    </w:p>
    <w:p w14:paraId="42264475" w14:textId="75EA212B" w:rsidR="0079516C" w:rsidRDefault="00FE27EF" w:rsidP="0079516C">
      <w:pPr>
        <w:rPr>
          <w:lang w:eastAsia="ja-JP"/>
        </w:rPr>
      </w:pPr>
      <w:r w:rsidRPr="008E4AAC">
        <w:rPr>
          <w:rFonts w:ascii="Times New Roman" w:hAnsi="Times New Roman"/>
          <w:noProof/>
          <w:sz w:val="24"/>
          <w:szCs w:val="24"/>
          <w:lang w:eastAsia="en-AU"/>
        </w:rPr>
        <w:drawing>
          <wp:inline distT="0" distB="0" distL="0" distR="0" wp14:anchorId="320767EE" wp14:editId="4700A090">
            <wp:extent cx="5142586" cy="1499081"/>
            <wp:effectExtent l="0" t="0" r="1270" b="6350"/>
            <wp:docPr id="24" name="Picture 24" descr="Table 29 is an image of a table showing the Extent of exposure, all subjects treated with LCS16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277" t="16639" r="8961" b="2146"/>
                    <a:stretch/>
                  </pic:blipFill>
                  <pic:spPr bwMode="auto">
                    <a:xfrm>
                      <a:off x="0" y="0"/>
                      <a:ext cx="5144758" cy="1499714"/>
                    </a:xfrm>
                    <a:prstGeom prst="rect">
                      <a:avLst/>
                    </a:prstGeom>
                    <a:noFill/>
                    <a:ln>
                      <a:noFill/>
                    </a:ln>
                    <a:extLst>
                      <a:ext uri="{53640926-AAD7-44D8-BBD7-CCE9431645EC}">
                        <a14:shadowObscured xmlns:a14="http://schemas.microsoft.com/office/drawing/2010/main"/>
                      </a:ext>
                    </a:extLst>
                  </pic:spPr>
                </pic:pic>
              </a:graphicData>
            </a:graphic>
          </wp:inline>
        </w:drawing>
      </w:r>
    </w:p>
    <w:bookmarkEnd w:id="156"/>
    <w:p w14:paraId="62D26C71" w14:textId="3E5869D0" w:rsidR="0079516C" w:rsidRPr="00D23A67" w:rsidRDefault="0079516C" w:rsidP="0079516C">
      <w:pPr>
        <w:rPr>
          <w:lang w:eastAsia="ja-JP"/>
        </w:rPr>
      </w:pPr>
      <w:r>
        <w:rPr>
          <w:lang w:eastAsia="ja-JP"/>
        </w:rPr>
        <w:t xml:space="preserve">Among subjects on LCS16, 994 (68.5%) experienced AEs with maximum intensity of mild or moderate. In 279 subjects (19.2%), the maximum intensity of AEs was classified as severe. AEs by SOC are </w:t>
      </w:r>
      <w:r w:rsidRPr="00D23A67">
        <w:rPr>
          <w:lang w:eastAsia="ja-JP"/>
        </w:rPr>
        <w:t xml:space="preserve">shown in </w:t>
      </w:r>
      <w:r w:rsidR="00626246" w:rsidRPr="00D23A67">
        <w:rPr>
          <w:lang w:eastAsia="ja-JP"/>
        </w:rPr>
        <w:t>Table 30.</w:t>
      </w:r>
    </w:p>
    <w:p w14:paraId="33DDAB03" w14:textId="03E5EAA9" w:rsidR="0079516C" w:rsidRPr="00D23A67" w:rsidRDefault="0079516C" w:rsidP="0079516C">
      <w:pPr>
        <w:rPr>
          <w:lang w:eastAsia="ja-JP"/>
        </w:rPr>
      </w:pPr>
      <w:r w:rsidRPr="00D23A67">
        <w:rPr>
          <w:lang w:eastAsia="ja-JP"/>
        </w:rPr>
        <w:t xml:space="preserve">The most frequent drug-related AEs experienced by subjects treated with LCS16 were: ovarian cyst (15.7%), acne (10.2%), pelvic pain (6.3%), dysmenorrhea (5.4%) </w:t>
      </w:r>
      <w:r w:rsidR="00FE27EF" w:rsidRPr="00D23A67">
        <w:rPr>
          <w:lang w:eastAsia="ja-JP"/>
        </w:rPr>
        <w:t>and vaginal haemorrhage (5.0%).</w:t>
      </w:r>
    </w:p>
    <w:p w14:paraId="5C83678C" w14:textId="3D92DAAC" w:rsidR="0079516C" w:rsidRDefault="00FE27EF" w:rsidP="0079516C">
      <w:pPr>
        <w:rPr>
          <w:lang w:eastAsia="ja-JP"/>
        </w:rPr>
      </w:pPr>
      <w:r w:rsidRPr="00D23A67">
        <w:rPr>
          <w:lang w:eastAsia="ja-JP"/>
        </w:rPr>
        <w:t>Drug-</w:t>
      </w:r>
      <w:r w:rsidR="0079516C" w:rsidRPr="00D23A67">
        <w:rPr>
          <w:lang w:eastAsia="ja-JP"/>
        </w:rPr>
        <w:t>related AEs (≥</w:t>
      </w:r>
      <w:r w:rsidRPr="00D23A67">
        <w:rPr>
          <w:lang w:eastAsia="ja-JP"/>
        </w:rPr>
        <w:t xml:space="preserve"> </w:t>
      </w:r>
      <w:r w:rsidR="0079516C" w:rsidRPr="00D23A67">
        <w:rPr>
          <w:lang w:eastAsia="ja-JP"/>
        </w:rPr>
        <w:t xml:space="preserve">2%) are found in </w:t>
      </w:r>
      <w:r w:rsidR="001706A9" w:rsidRPr="00D23A67">
        <w:rPr>
          <w:lang w:eastAsia="ja-JP"/>
        </w:rPr>
        <w:t>Table 31</w:t>
      </w:r>
      <w:r w:rsidR="0079516C" w:rsidRPr="00D23A67">
        <w:rPr>
          <w:lang w:eastAsia="ja-JP"/>
        </w:rPr>
        <w:t>. The overall incide</w:t>
      </w:r>
      <w:r w:rsidRPr="00D23A67">
        <w:rPr>
          <w:lang w:eastAsia="ja-JP"/>
        </w:rPr>
        <w:t>nce at 5 years tended to be low:</w:t>
      </w:r>
      <w:r w:rsidR="0079516C" w:rsidRPr="00D23A67">
        <w:rPr>
          <w:lang w:eastAsia="ja-JP"/>
        </w:rPr>
        <w:t xml:space="preserve"> ovarian cyst 15.7%, acne 10.2%, pelvic pain 6.3% and headache 3.5%. SAEs considered study drug related are shown in </w:t>
      </w:r>
      <w:r w:rsidR="001706A9" w:rsidRPr="00D23A67">
        <w:rPr>
          <w:lang w:eastAsia="ja-JP"/>
        </w:rPr>
        <w:t>Table 32</w:t>
      </w:r>
      <w:r w:rsidR="0079516C" w:rsidRPr="00D23A67">
        <w:rPr>
          <w:lang w:eastAsia="ja-JP"/>
        </w:rPr>
        <w:t>.</w:t>
      </w:r>
    </w:p>
    <w:p w14:paraId="79889E21" w14:textId="4018CBEE" w:rsidR="00626246" w:rsidRPr="00626246" w:rsidRDefault="00626246" w:rsidP="00626246">
      <w:pPr>
        <w:pStyle w:val="Tabletitle"/>
        <w:rPr>
          <w:lang w:eastAsia="ja-JP"/>
        </w:rPr>
      </w:pPr>
      <w:bookmarkStart w:id="157" w:name="Table36"/>
      <w:r>
        <w:rPr>
          <w:lang w:eastAsia="ja-JP"/>
        </w:rPr>
        <w:lastRenderedPageBreak/>
        <w:t>Table 30.</w:t>
      </w:r>
      <w:bookmarkEnd w:id="157"/>
      <w:r>
        <w:rPr>
          <w:lang w:eastAsia="ja-JP"/>
        </w:rPr>
        <w:t xml:space="preserve"> Incidence of AEs by MedDRA SOC (All subjects treated with LCS16, FAS)</w:t>
      </w:r>
    </w:p>
    <w:p w14:paraId="096887B8" w14:textId="2A104212" w:rsidR="00626246" w:rsidRDefault="00626246" w:rsidP="00626246">
      <w:pPr>
        <w:rPr>
          <w:b/>
          <w:u w:val="single"/>
          <w:lang w:eastAsia="ja-JP"/>
        </w:rPr>
      </w:pPr>
      <w:r w:rsidRPr="008E4AAC">
        <w:rPr>
          <w:rFonts w:ascii="Times New Roman" w:hAnsi="Times New Roman"/>
          <w:noProof/>
          <w:sz w:val="24"/>
          <w:szCs w:val="24"/>
          <w:lang w:eastAsia="en-AU"/>
        </w:rPr>
        <w:drawing>
          <wp:inline distT="0" distB="0" distL="0" distR="0" wp14:anchorId="6A301A7F" wp14:editId="6CAD0538">
            <wp:extent cx="3825240" cy="4067251"/>
            <wp:effectExtent l="0" t="0" r="3810" b="9525"/>
            <wp:docPr id="48" name="Picture 48" descr="Table 30 is an image of a table showing the Incidence of AEs by MedDRA SOC (All subjects treated with LCS16,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lum bright="-20000" contrast="40000"/>
                      <a:extLst>
                        <a:ext uri="{28A0092B-C50C-407E-A947-70E740481C1C}">
                          <a14:useLocalDpi xmlns:a14="http://schemas.microsoft.com/office/drawing/2010/main" val="0"/>
                        </a:ext>
                      </a:extLst>
                    </a:blip>
                    <a:srcRect t="6424" r="7706" b="4251"/>
                    <a:stretch/>
                  </pic:blipFill>
                  <pic:spPr bwMode="auto">
                    <a:xfrm>
                      <a:off x="0" y="0"/>
                      <a:ext cx="3831946" cy="4074381"/>
                    </a:xfrm>
                    <a:prstGeom prst="rect">
                      <a:avLst/>
                    </a:prstGeom>
                    <a:noFill/>
                    <a:ln>
                      <a:noFill/>
                    </a:ln>
                    <a:extLst>
                      <a:ext uri="{53640926-AAD7-44D8-BBD7-CCE9431645EC}">
                        <a14:shadowObscured xmlns:a14="http://schemas.microsoft.com/office/drawing/2010/main"/>
                      </a:ext>
                    </a:extLst>
                  </pic:spPr>
                </pic:pic>
              </a:graphicData>
            </a:graphic>
          </wp:inline>
        </w:drawing>
      </w:r>
    </w:p>
    <w:p w14:paraId="3B76C17A" w14:textId="3330206D" w:rsidR="00626246" w:rsidRPr="002A7DD0" w:rsidRDefault="002A7DD0" w:rsidP="002A7DD0">
      <w:pPr>
        <w:pStyle w:val="Tabletitle"/>
        <w:rPr>
          <w:lang w:eastAsia="ja-JP"/>
        </w:rPr>
      </w:pPr>
      <w:bookmarkStart w:id="158" w:name="Table37"/>
      <w:r>
        <w:rPr>
          <w:lang w:eastAsia="ja-JP"/>
        </w:rPr>
        <w:t>Table 31.</w:t>
      </w:r>
      <w:bookmarkEnd w:id="158"/>
      <w:r>
        <w:rPr>
          <w:lang w:eastAsia="ja-JP"/>
        </w:rPr>
        <w:t xml:space="preserve"> Drug related AEs occurring in ≥ 2.0% by MedDRA PT (All subjects treated with LCS16, FAS)</w:t>
      </w:r>
    </w:p>
    <w:p w14:paraId="54D721DB" w14:textId="1B46FF2A" w:rsidR="00626246" w:rsidRDefault="00626246" w:rsidP="00626246">
      <w:pPr>
        <w:rPr>
          <w:b/>
          <w:u w:val="single"/>
          <w:lang w:eastAsia="ja-JP"/>
        </w:rPr>
      </w:pPr>
      <w:r w:rsidRPr="008E4AAC">
        <w:rPr>
          <w:rFonts w:ascii="Times New Roman" w:hAnsi="Times New Roman"/>
          <w:noProof/>
          <w:sz w:val="24"/>
          <w:szCs w:val="24"/>
          <w:lang w:eastAsia="en-AU"/>
        </w:rPr>
        <w:drawing>
          <wp:inline distT="0" distB="0" distL="0" distR="0" wp14:anchorId="7F5C135A" wp14:editId="7B5C2AF5">
            <wp:extent cx="3716122" cy="2633168"/>
            <wp:effectExtent l="0" t="0" r="0" b="0"/>
            <wp:docPr id="47" name="Picture 47" descr="Table 31 is an image of a table showing the Drug related AEs occurring in ≥ 2.0% by MedDRA PT (All subjects treated with LCS16,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lum bright="-20000" contrast="40000"/>
                      <a:extLst>
                        <a:ext uri="{28A0092B-C50C-407E-A947-70E740481C1C}">
                          <a14:useLocalDpi xmlns:a14="http://schemas.microsoft.com/office/drawing/2010/main" val="0"/>
                        </a:ext>
                      </a:extLst>
                    </a:blip>
                    <a:srcRect t="12728" r="8475" b="5403"/>
                    <a:stretch/>
                  </pic:blipFill>
                  <pic:spPr bwMode="auto">
                    <a:xfrm>
                      <a:off x="0" y="0"/>
                      <a:ext cx="3719685" cy="2635692"/>
                    </a:xfrm>
                    <a:prstGeom prst="rect">
                      <a:avLst/>
                    </a:prstGeom>
                    <a:noFill/>
                    <a:ln>
                      <a:noFill/>
                    </a:ln>
                    <a:extLst>
                      <a:ext uri="{53640926-AAD7-44D8-BBD7-CCE9431645EC}">
                        <a14:shadowObscured xmlns:a14="http://schemas.microsoft.com/office/drawing/2010/main"/>
                      </a:ext>
                    </a:extLst>
                  </pic:spPr>
                </pic:pic>
              </a:graphicData>
            </a:graphic>
          </wp:inline>
        </w:drawing>
      </w:r>
    </w:p>
    <w:p w14:paraId="09B975E7" w14:textId="150507BB" w:rsidR="00626246" w:rsidRDefault="00626246" w:rsidP="004233FC">
      <w:pPr>
        <w:pStyle w:val="Tabletitle"/>
        <w:rPr>
          <w:lang w:eastAsia="ja-JP"/>
        </w:rPr>
      </w:pPr>
      <w:bookmarkStart w:id="159" w:name="Table38"/>
      <w:r>
        <w:rPr>
          <w:lang w:eastAsia="ja-JP"/>
        </w:rPr>
        <w:lastRenderedPageBreak/>
        <w:t>Table 3</w:t>
      </w:r>
      <w:bookmarkEnd w:id="159"/>
      <w:r w:rsidR="004233FC">
        <w:rPr>
          <w:lang w:eastAsia="ja-JP"/>
        </w:rPr>
        <w:t>2. Study drug related SAEs (All subjects treated with LCS16, FAS)</w:t>
      </w:r>
    </w:p>
    <w:p w14:paraId="150DB756" w14:textId="0B2CE548" w:rsidR="00626246" w:rsidRPr="004233FC" w:rsidRDefault="002A7DD0" w:rsidP="0079516C">
      <w:pPr>
        <w:rPr>
          <w:b/>
          <w:u w:val="single"/>
          <w:lang w:eastAsia="ja-JP"/>
        </w:rPr>
      </w:pPr>
      <w:r w:rsidRPr="008E4AAC">
        <w:rPr>
          <w:rFonts w:ascii="Times New Roman" w:hAnsi="Times New Roman"/>
          <w:noProof/>
          <w:sz w:val="24"/>
          <w:szCs w:val="24"/>
          <w:lang w:eastAsia="en-AU"/>
        </w:rPr>
        <w:drawing>
          <wp:inline distT="0" distB="0" distL="0" distR="0" wp14:anchorId="4C95FD80" wp14:editId="29825976">
            <wp:extent cx="4191610" cy="2058626"/>
            <wp:effectExtent l="0" t="0" r="0" b="0"/>
            <wp:docPr id="49" name="Picture 49" descr="Table 32 is an image of a table showing the Study drug related SAEs (All subjects treated with LCS16,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lum bright="-20000" contrast="40000"/>
                      <a:extLst>
                        <a:ext uri="{28A0092B-C50C-407E-A947-70E740481C1C}">
                          <a14:useLocalDpi xmlns:a14="http://schemas.microsoft.com/office/drawing/2010/main" val="0"/>
                        </a:ext>
                      </a:extLst>
                    </a:blip>
                    <a:srcRect t="10009" r="5149" b="37054"/>
                    <a:stretch/>
                  </pic:blipFill>
                  <pic:spPr bwMode="auto">
                    <a:xfrm>
                      <a:off x="0" y="0"/>
                      <a:ext cx="4197335" cy="2061438"/>
                    </a:xfrm>
                    <a:prstGeom prst="rect">
                      <a:avLst/>
                    </a:prstGeom>
                    <a:noFill/>
                    <a:ln>
                      <a:noFill/>
                    </a:ln>
                    <a:extLst>
                      <a:ext uri="{53640926-AAD7-44D8-BBD7-CCE9431645EC}">
                        <a14:shadowObscured xmlns:a14="http://schemas.microsoft.com/office/drawing/2010/main"/>
                      </a:ext>
                    </a:extLst>
                  </pic:spPr>
                </pic:pic>
              </a:graphicData>
            </a:graphic>
          </wp:inline>
        </w:drawing>
      </w:r>
    </w:p>
    <w:p w14:paraId="7CDB33C8" w14:textId="5DCBC688" w:rsidR="0079516C" w:rsidRDefault="0079516C" w:rsidP="0079516C">
      <w:pPr>
        <w:rPr>
          <w:lang w:eastAsia="ja-JP"/>
        </w:rPr>
      </w:pPr>
      <w:r w:rsidRPr="00FE27EF">
        <w:rPr>
          <w:i/>
          <w:lang w:eastAsia="ja-JP"/>
        </w:rPr>
        <w:t>Drug related withdrawals (≥ 1%)</w:t>
      </w:r>
      <w:r w:rsidR="00FE27EF">
        <w:rPr>
          <w:lang w:eastAsia="ja-JP"/>
        </w:rPr>
        <w:t>: v</w:t>
      </w:r>
      <w:r>
        <w:rPr>
          <w:lang w:eastAsia="ja-JP"/>
        </w:rPr>
        <w:t>aginal haemorrhage 3.3%; pelvic pain 2.5%; devic</w:t>
      </w:r>
      <w:r w:rsidR="00FE27EF">
        <w:rPr>
          <w:lang w:eastAsia="ja-JP"/>
        </w:rPr>
        <w:t>e expulsion 2.1% and acne 1.8%.</w:t>
      </w:r>
    </w:p>
    <w:p w14:paraId="412B9166" w14:textId="77EB9FD2" w:rsidR="0079516C" w:rsidRDefault="0079516C" w:rsidP="0079516C">
      <w:pPr>
        <w:rPr>
          <w:lang w:eastAsia="ja-JP"/>
        </w:rPr>
      </w:pPr>
      <w:r w:rsidRPr="00FE27EF">
        <w:rPr>
          <w:i/>
          <w:lang w:eastAsia="ja-JP"/>
        </w:rPr>
        <w:t>Device expulsions</w:t>
      </w:r>
      <w:r>
        <w:rPr>
          <w:lang w:eastAsia="ja-JP"/>
        </w:rPr>
        <w:t>: total or partial expulsions were documented for 54 subjects (3.7%) tr</w:t>
      </w:r>
      <w:r w:rsidR="00B07BD4">
        <w:rPr>
          <w:lang w:eastAsia="ja-JP"/>
        </w:rPr>
        <w:t>eated with LCS16.</w:t>
      </w:r>
    </w:p>
    <w:p w14:paraId="23DB1997" w14:textId="1873BF2D" w:rsidR="0079516C" w:rsidRDefault="0079516C" w:rsidP="0079516C">
      <w:pPr>
        <w:rPr>
          <w:lang w:eastAsia="ja-JP"/>
        </w:rPr>
      </w:pPr>
      <w:r w:rsidRPr="00B07BD4">
        <w:rPr>
          <w:i/>
          <w:lang w:eastAsia="ja-JP"/>
        </w:rPr>
        <w:t>Uterine perforation</w:t>
      </w:r>
      <w:r>
        <w:rPr>
          <w:lang w:eastAsia="ja-JP"/>
        </w:rPr>
        <w:t xml:space="preserve">: 2 additional reports (after the </w:t>
      </w:r>
      <w:r w:rsidR="004233FC">
        <w:rPr>
          <w:lang w:eastAsia="ja-JP"/>
        </w:rPr>
        <w:t>3</w:t>
      </w:r>
      <w:r>
        <w:rPr>
          <w:lang w:eastAsia="ja-JP"/>
        </w:rPr>
        <w:t xml:space="preserve"> year period) were included. The devices were removed transvaginally and the patien</w:t>
      </w:r>
      <w:r w:rsidR="00B07BD4">
        <w:rPr>
          <w:lang w:eastAsia="ja-JP"/>
        </w:rPr>
        <w:t>ts recovered without sequelae.</w:t>
      </w:r>
    </w:p>
    <w:p w14:paraId="4843ECA0" w14:textId="2066E368" w:rsidR="0079516C" w:rsidRDefault="0079516C" w:rsidP="0079516C">
      <w:pPr>
        <w:rPr>
          <w:lang w:eastAsia="ja-JP"/>
        </w:rPr>
      </w:pPr>
      <w:r>
        <w:rPr>
          <w:lang w:eastAsia="ja-JP"/>
        </w:rPr>
        <w:t xml:space="preserve">Endometritis was reported for 0.9% subjects, PID 0.5% subjects and salpingo-oophoritis 0.2% subjects. These appeared randomly </w:t>
      </w:r>
      <w:r w:rsidR="00B07BD4">
        <w:rPr>
          <w:lang w:eastAsia="ja-JP"/>
        </w:rPr>
        <w:t>and did not relate to duration.</w:t>
      </w:r>
    </w:p>
    <w:p w14:paraId="6377FF4B" w14:textId="774E1FA4" w:rsidR="0079516C" w:rsidRDefault="0079516C" w:rsidP="0079516C">
      <w:pPr>
        <w:rPr>
          <w:lang w:eastAsia="ja-JP"/>
        </w:rPr>
      </w:pPr>
      <w:r>
        <w:rPr>
          <w:lang w:eastAsia="ja-JP"/>
        </w:rPr>
        <w:t>There was one additional repor</w:t>
      </w:r>
      <w:r w:rsidR="00B07BD4">
        <w:rPr>
          <w:lang w:eastAsia="ja-JP"/>
        </w:rPr>
        <w:t xml:space="preserve">t of ectopic pregnancy in the 4 to 5 year period. </w:t>
      </w:r>
    </w:p>
    <w:p w14:paraId="77BA6F67" w14:textId="5C20CCC9" w:rsidR="0079516C" w:rsidRDefault="0079516C" w:rsidP="0079516C">
      <w:pPr>
        <w:rPr>
          <w:lang w:eastAsia="ja-JP"/>
        </w:rPr>
      </w:pPr>
      <w:r>
        <w:rPr>
          <w:lang w:eastAsia="ja-JP"/>
        </w:rPr>
        <w:t>Laboratory abnormalities w</w:t>
      </w:r>
      <w:r w:rsidR="00B07BD4">
        <w:rPr>
          <w:lang w:eastAsia="ja-JP"/>
        </w:rPr>
        <w:t>ere not clinically significant.</w:t>
      </w:r>
    </w:p>
    <w:p w14:paraId="4650B9EE" w14:textId="60B36854" w:rsidR="0079516C" w:rsidRDefault="00B07BD4" w:rsidP="00B07BD4">
      <w:pPr>
        <w:pStyle w:val="Heading5"/>
        <w:rPr>
          <w:lang w:eastAsia="ja-JP"/>
        </w:rPr>
      </w:pPr>
      <w:r>
        <w:rPr>
          <w:lang w:eastAsia="ja-JP"/>
        </w:rPr>
        <w:t>CSR Study A46796 (Protocol 308901)</w:t>
      </w:r>
    </w:p>
    <w:p w14:paraId="02A8A346" w14:textId="4D6DEF8A" w:rsidR="0079516C" w:rsidRDefault="00B07BD4" w:rsidP="0079516C">
      <w:pPr>
        <w:rPr>
          <w:lang w:eastAsia="ja-JP"/>
        </w:rPr>
      </w:pPr>
      <w:r w:rsidRPr="00B07BD4">
        <w:rPr>
          <w:i/>
          <w:lang w:eastAsia="ja-JP"/>
        </w:rPr>
        <w:t>‘Multi</w:t>
      </w:r>
      <w:r w:rsidR="0079516C" w:rsidRPr="00B07BD4">
        <w:rPr>
          <w:i/>
          <w:lang w:eastAsia="ja-JP"/>
        </w:rPr>
        <w:t xml:space="preserve">centre, </w:t>
      </w:r>
      <w:r w:rsidRPr="00B07BD4">
        <w:rPr>
          <w:i/>
          <w:lang w:eastAsia="ja-JP"/>
        </w:rPr>
        <w:t>open, randomised, dose finding P</w:t>
      </w:r>
      <w:r w:rsidR="0079516C" w:rsidRPr="00B07BD4">
        <w:rPr>
          <w:i/>
          <w:lang w:eastAsia="ja-JP"/>
        </w:rPr>
        <w:t xml:space="preserve">hase II study to investigate for a maximum of </w:t>
      </w:r>
      <w:r w:rsidRPr="00B07BD4">
        <w:rPr>
          <w:i/>
          <w:lang w:eastAsia="ja-JP"/>
        </w:rPr>
        <w:t>3 </w:t>
      </w:r>
      <w:r w:rsidR="0079516C" w:rsidRPr="00B07BD4">
        <w:rPr>
          <w:i/>
          <w:lang w:eastAsia="ja-JP"/>
        </w:rPr>
        <w:t>years ultra low dose levonorgestrel contraceptive intrauterine syste</w:t>
      </w:r>
      <w:r w:rsidR="004233FC">
        <w:rPr>
          <w:i/>
          <w:lang w:eastAsia="ja-JP"/>
        </w:rPr>
        <w:t>ms (LCS) releasing in vitro 12 µg/24 h and 16 µ</w:t>
      </w:r>
      <w:r w:rsidR="0079516C" w:rsidRPr="00B07BD4">
        <w:rPr>
          <w:i/>
          <w:lang w:eastAsia="ja-JP"/>
        </w:rPr>
        <w:t>g/24 h of levonorgestrel compared to M</w:t>
      </w:r>
      <w:r w:rsidRPr="00B07BD4">
        <w:rPr>
          <w:i/>
          <w:lang w:eastAsia="ja-JP"/>
        </w:rPr>
        <w:t>irena</w:t>
      </w:r>
      <w:r w:rsidR="0079516C" w:rsidRPr="00B07BD4">
        <w:rPr>
          <w:i/>
          <w:lang w:eastAsia="ja-JP"/>
        </w:rPr>
        <w:t xml:space="preserve"> in nulliparous and parous</w:t>
      </w:r>
      <w:r w:rsidRPr="00B07BD4">
        <w:rPr>
          <w:i/>
          <w:lang w:eastAsia="ja-JP"/>
        </w:rPr>
        <w:t xml:space="preserve"> women in need of contraception’</w:t>
      </w:r>
      <w:r w:rsidR="0079516C">
        <w:rPr>
          <w:lang w:eastAsia="ja-JP"/>
        </w:rPr>
        <w:t xml:space="preserve"> </w:t>
      </w:r>
      <w:r>
        <w:rPr>
          <w:lang w:eastAsia="ja-JP"/>
        </w:rPr>
        <w:t>(see also the AusPAR/Attachment 2 for the previous Jaydess submission).</w:t>
      </w:r>
      <w:r w:rsidRPr="00B07BD4">
        <w:rPr>
          <w:vertAlign w:val="superscript"/>
          <w:lang w:eastAsia="ja-JP"/>
        </w:rPr>
        <w:fldChar w:fldCharType="begin"/>
      </w:r>
      <w:r w:rsidRPr="00B07BD4">
        <w:rPr>
          <w:vertAlign w:val="superscript"/>
          <w:lang w:eastAsia="ja-JP"/>
        </w:rPr>
        <w:instrText xml:space="preserve"> NOTEREF _Ref492070565 \h </w:instrText>
      </w:r>
      <w:r>
        <w:rPr>
          <w:vertAlign w:val="superscript"/>
          <w:lang w:eastAsia="ja-JP"/>
        </w:rPr>
        <w:instrText xml:space="preserve"> \* MERGEFORMAT </w:instrText>
      </w:r>
      <w:r w:rsidRPr="00B07BD4">
        <w:rPr>
          <w:vertAlign w:val="superscript"/>
          <w:lang w:eastAsia="ja-JP"/>
        </w:rPr>
      </w:r>
      <w:r w:rsidRPr="00B07BD4">
        <w:rPr>
          <w:vertAlign w:val="superscript"/>
          <w:lang w:eastAsia="ja-JP"/>
        </w:rPr>
        <w:fldChar w:fldCharType="separate"/>
      </w:r>
      <w:r w:rsidR="009A3335">
        <w:rPr>
          <w:vertAlign w:val="superscript"/>
          <w:lang w:eastAsia="ja-JP"/>
        </w:rPr>
        <w:t>4</w:t>
      </w:r>
      <w:r w:rsidRPr="00B07BD4">
        <w:rPr>
          <w:vertAlign w:val="superscript"/>
          <w:lang w:eastAsia="ja-JP"/>
        </w:rPr>
        <w:fldChar w:fldCharType="end"/>
      </w:r>
    </w:p>
    <w:p w14:paraId="1A8C5314" w14:textId="167484DA" w:rsidR="0079516C" w:rsidRDefault="00B07BD4" w:rsidP="0079516C">
      <w:pPr>
        <w:rPr>
          <w:lang w:eastAsia="ja-JP"/>
        </w:rPr>
      </w:pPr>
      <w:bookmarkStart w:id="160" w:name="_Hlk492371149"/>
      <w:r>
        <w:rPr>
          <w:lang w:eastAsia="ja-JP"/>
        </w:rPr>
        <w:t>Extent of exposure is shown in the following table.</w:t>
      </w:r>
    </w:p>
    <w:p w14:paraId="745DCE50" w14:textId="643CE2CB" w:rsidR="00B07BD4" w:rsidRDefault="004233FC" w:rsidP="00B07BD4">
      <w:pPr>
        <w:pStyle w:val="Tabletitle"/>
        <w:rPr>
          <w:lang w:eastAsia="ja-JP"/>
        </w:rPr>
      </w:pPr>
      <w:r>
        <w:rPr>
          <w:lang w:eastAsia="ja-JP"/>
        </w:rPr>
        <w:t>Table 33</w:t>
      </w:r>
      <w:r w:rsidR="00B07BD4">
        <w:rPr>
          <w:lang w:eastAsia="ja-JP"/>
        </w:rPr>
        <w:t>. Extent of total exposure by study phase in women years (FAS)</w:t>
      </w:r>
    </w:p>
    <w:p w14:paraId="145BE4E9" w14:textId="53E7F739" w:rsidR="0079516C" w:rsidRDefault="00B07BD4" w:rsidP="0079516C">
      <w:pPr>
        <w:rPr>
          <w:lang w:eastAsia="ja-JP"/>
        </w:rPr>
      </w:pPr>
      <w:r w:rsidRPr="008E4AAC">
        <w:rPr>
          <w:rFonts w:ascii="Times New Roman" w:hAnsi="Times New Roman"/>
          <w:noProof/>
          <w:sz w:val="24"/>
          <w:szCs w:val="24"/>
          <w:lang w:eastAsia="en-AU"/>
        </w:rPr>
        <w:drawing>
          <wp:inline distT="0" distB="0" distL="0" distR="0" wp14:anchorId="05042D90" wp14:editId="10E4A26C">
            <wp:extent cx="4623206" cy="1727166"/>
            <wp:effectExtent l="0" t="0" r="6350" b="6985"/>
            <wp:docPr id="29" name="Picture 29" descr="Table 33 is an image of a table showing the Extent of total exposure by study phase in women year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a:extLst>
                        <a:ext uri="{28A0092B-C50C-407E-A947-70E740481C1C}">
                          <a14:useLocalDpi xmlns:a14="http://schemas.microsoft.com/office/drawing/2010/main" val="0"/>
                        </a:ext>
                      </a:extLst>
                    </a:blip>
                    <a:srcRect l="2553" t="10544" r="4525" b="5136"/>
                    <a:stretch/>
                  </pic:blipFill>
                  <pic:spPr bwMode="auto">
                    <a:xfrm>
                      <a:off x="0" y="0"/>
                      <a:ext cx="4633919" cy="1731168"/>
                    </a:xfrm>
                    <a:prstGeom prst="rect">
                      <a:avLst/>
                    </a:prstGeom>
                    <a:noFill/>
                    <a:ln>
                      <a:noFill/>
                    </a:ln>
                    <a:extLst>
                      <a:ext uri="{53640926-AAD7-44D8-BBD7-CCE9431645EC}">
                        <a14:shadowObscured xmlns:a14="http://schemas.microsoft.com/office/drawing/2010/main"/>
                      </a:ext>
                    </a:extLst>
                  </pic:spPr>
                </pic:pic>
              </a:graphicData>
            </a:graphic>
          </wp:inline>
        </w:drawing>
      </w:r>
    </w:p>
    <w:bookmarkEnd w:id="160"/>
    <w:p w14:paraId="6ACE0D0B" w14:textId="02044F72" w:rsidR="0079516C" w:rsidRDefault="0079516C" w:rsidP="0079516C">
      <w:pPr>
        <w:rPr>
          <w:lang w:eastAsia="ja-JP"/>
        </w:rPr>
      </w:pPr>
      <w:r>
        <w:rPr>
          <w:lang w:eastAsia="ja-JP"/>
        </w:rPr>
        <w:t>An overview of AEs is found</w:t>
      </w:r>
      <w:r w:rsidR="00F72FF7">
        <w:rPr>
          <w:lang w:eastAsia="ja-JP"/>
        </w:rPr>
        <w:t xml:space="preserve"> below</w:t>
      </w:r>
      <w:r>
        <w:rPr>
          <w:lang w:eastAsia="ja-JP"/>
        </w:rPr>
        <w:t xml:space="preserve"> in </w:t>
      </w:r>
      <w:r w:rsidR="00F72FF7" w:rsidRPr="00F72FF7">
        <w:rPr>
          <w:lang w:eastAsia="ja-JP"/>
        </w:rPr>
        <w:t>Table 34</w:t>
      </w:r>
      <w:r w:rsidRPr="00F72FF7">
        <w:rPr>
          <w:lang w:eastAsia="ja-JP"/>
        </w:rPr>
        <w:t>. 89</w:t>
      </w:r>
      <w:r>
        <w:rPr>
          <w:lang w:eastAsia="ja-JP"/>
        </w:rPr>
        <w:t>% of subjects reported at least 1 AE. AEs tended to reduce with time in all groups. In the LCS16 group the incidence in the first year was 81% and re</w:t>
      </w:r>
      <w:r w:rsidR="00F72FF7">
        <w:rPr>
          <w:lang w:eastAsia="ja-JP"/>
        </w:rPr>
        <w:t>duced by the third year to 51%.</w:t>
      </w:r>
    </w:p>
    <w:p w14:paraId="7C83F4D9" w14:textId="275334C4" w:rsidR="00F72FF7" w:rsidRPr="00EF67E4" w:rsidRDefault="00F72FF7" w:rsidP="00F72FF7">
      <w:pPr>
        <w:pStyle w:val="Tabletitle"/>
        <w:rPr>
          <w:lang w:eastAsia="ja-JP"/>
        </w:rPr>
      </w:pPr>
      <w:bookmarkStart w:id="161" w:name="Table39"/>
      <w:r w:rsidRPr="00EF67E4">
        <w:rPr>
          <w:lang w:eastAsia="ja-JP"/>
        </w:rPr>
        <w:lastRenderedPageBreak/>
        <w:t xml:space="preserve">Table </w:t>
      </w:r>
      <w:r>
        <w:rPr>
          <w:lang w:eastAsia="ja-JP"/>
        </w:rPr>
        <w:t xml:space="preserve">34. Study </w:t>
      </w:r>
      <w:r w:rsidRPr="00EF67E4">
        <w:rPr>
          <w:lang w:eastAsia="ja-JP"/>
        </w:rPr>
        <w:t>A46796</w:t>
      </w:r>
      <w:r>
        <w:rPr>
          <w:lang w:eastAsia="ja-JP"/>
        </w:rPr>
        <w:t xml:space="preserve"> (Phase II</w:t>
      </w:r>
      <w:r w:rsidRPr="00EF67E4">
        <w:rPr>
          <w:lang w:eastAsia="ja-JP"/>
        </w:rPr>
        <w:t>), protocol 308901</w:t>
      </w:r>
    </w:p>
    <w:bookmarkEnd w:id="161"/>
    <w:p w14:paraId="5E6BCFD4" w14:textId="6D551254" w:rsidR="00F72FF7" w:rsidRDefault="00F72FF7" w:rsidP="00F72FF7">
      <w:pPr>
        <w:rPr>
          <w:lang w:eastAsia="ja-JP"/>
        </w:rPr>
      </w:pPr>
      <w:r w:rsidRPr="008E4AAC">
        <w:rPr>
          <w:rFonts w:ascii="Times New Roman" w:hAnsi="Times New Roman"/>
          <w:noProof/>
          <w:sz w:val="24"/>
          <w:szCs w:val="24"/>
          <w:lang w:eastAsia="en-AU"/>
        </w:rPr>
        <w:drawing>
          <wp:inline distT="0" distB="0" distL="0" distR="0" wp14:anchorId="73AD1720" wp14:editId="2EB93C7A">
            <wp:extent cx="5062118" cy="1543050"/>
            <wp:effectExtent l="0" t="0" r="5715" b="0"/>
            <wp:docPr id="50" name="Picture 50" descr="Table 34 is an image of a table showing the Study A46796 (Phase II), protocol 30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469" t="11685" r="7147" b="8741"/>
                    <a:stretch/>
                  </pic:blipFill>
                  <pic:spPr bwMode="auto">
                    <a:xfrm>
                      <a:off x="0" y="0"/>
                      <a:ext cx="5065773" cy="1544164"/>
                    </a:xfrm>
                    <a:prstGeom prst="rect">
                      <a:avLst/>
                    </a:prstGeom>
                    <a:noFill/>
                    <a:ln>
                      <a:noFill/>
                    </a:ln>
                    <a:extLst>
                      <a:ext uri="{53640926-AAD7-44D8-BBD7-CCE9431645EC}">
                        <a14:shadowObscured xmlns:a14="http://schemas.microsoft.com/office/drawing/2010/main"/>
                      </a:ext>
                    </a:extLst>
                  </pic:spPr>
                </pic:pic>
              </a:graphicData>
            </a:graphic>
          </wp:inline>
        </w:drawing>
      </w:r>
    </w:p>
    <w:p w14:paraId="74B280C4" w14:textId="0495DE64" w:rsidR="0079516C" w:rsidRDefault="0079516C" w:rsidP="0079516C">
      <w:pPr>
        <w:rPr>
          <w:lang w:eastAsia="ja-JP"/>
        </w:rPr>
      </w:pPr>
      <w:r>
        <w:rPr>
          <w:lang w:eastAsia="ja-JP"/>
        </w:rPr>
        <w:t>As in the previous study</w:t>
      </w:r>
      <w:r w:rsidR="00AF4819">
        <w:rPr>
          <w:lang w:eastAsia="ja-JP"/>
        </w:rPr>
        <w:t>,</w:t>
      </w:r>
      <w:r>
        <w:rPr>
          <w:lang w:eastAsia="ja-JP"/>
        </w:rPr>
        <w:t xml:space="preserve"> AEs were reported most frequently in the following system organ classes: reproducti</w:t>
      </w:r>
      <w:r w:rsidR="00AF4819">
        <w:rPr>
          <w:lang w:eastAsia="ja-JP"/>
        </w:rPr>
        <w:t>ve system and breast disorders (</w:t>
      </w:r>
      <w:r>
        <w:rPr>
          <w:lang w:eastAsia="ja-JP"/>
        </w:rPr>
        <w:t>54.1%</w:t>
      </w:r>
      <w:r w:rsidR="00AF4819">
        <w:rPr>
          <w:lang w:eastAsia="ja-JP"/>
        </w:rPr>
        <w:t>)</w:t>
      </w:r>
      <w:r>
        <w:rPr>
          <w:lang w:eastAsia="ja-JP"/>
        </w:rPr>
        <w:t>,</w:t>
      </w:r>
      <w:r w:rsidR="00AF4819">
        <w:rPr>
          <w:lang w:eastAsia="ja-JP"/>
        </w:rPr>
        <w:t xml:space="preserve"> and</w:t>
      </w:r>
      <w:r>
        <w:rPr>
          <w:lang w:eastAsia="ja-JP"/>
        </w:rPr>
        <w:t xml:space="preserve"> infections and infestations: women (48.4%). There were no signifi</w:t>
      </w:r>
      <w:r w:rsidR="00B07BD4">
        <w:rPr>
          <w:lang w:eastAsia="ja-JP"/>
        </w:rPr>
        <w:t>cant changes in the LCS groups.</w:t>
      </w:r>
    </w:p>
    <w:p w14:paraId="2B1F17AB" w14:textId="7F2BF712" w:rsidR="0079516C" w:rsidRDefault="0079516C" w:rsidP="0079516C">
      <w:pPr>
        <w:rPr>
          <w:lang w:eastAsia="ja-JP"/>
        </w:rPr>
      </w:pPr>
      <w:r>
        <w:rPr>
          <w:lang w:eastAsia="ja-JP"/>
        </w:rPr>
        <w:t>The most frequently reported AEs by preferred term were: headache (28.2%), acne (26.8%), breast discomfort (22.4%), abdominal distension (18.8%), mood altered (15.0%), ovarian cyst (14.8%), weight increased (14.6%), breast pain (11.1%) and vulvovaginal candidiasis (10.0%). Abdominal pain (8.4%) and lower abdominal pain (7.6%) were recorded as separate terms. All other terms were reported in fewer than 10% of women. Of interest were procedural pain (8.5%) which in most cases referred to insertion related pain, nausea (8.1%), oedema (7.5%) and seborrhoea (7.5%), which occurred in a smaller proportion of women in the LCS g</w:t>
      </w:r>
      <w:r w:rsidR="00B07BD4">
        <w:rPr>
          <w:lang w:eastAsia="ja-JP"/>
        </w:rPr>
        <w:t>roups than in the Mirena group.</w:t>
      </w:r>
    </w:p>
    <w:p w14:paraId="21F0E7CE" w14:textId="15AF0469" w:rsidR="0079516C" w:rsidRDefault="0079516C" w:rsidP="0079516C">
      <w:pPr>
        <w:rPr>
          <w:lang w:eastAsia="ja-JP"/>
        </w:rPr>
      </w:pPr>
      <w:r>
        <w:rPr>
          <w:lang w:eastAsia="ja-JP"/>
        </w:rPr>
        <w:t>Of the 660 women who experienced at least 1 AE, (14.4%) reported AEs that were rated by the investigator as severe in intensity. For 22.1% the maximum intensity of AEs was mild and for 52.2% the maximum intensity was moderate. The distribution of women with mild, moderate and severe events was approximately equal among the treatment groups. The AEs most frequently classified as severe were dysmenorrhea (13 women), abdominal pain (9 women), and lower abdominal pain and procedural pain (7 women each), equally distributed over the treatment groups. All other AEs of severe intensity were reported in very small number</w:t>
      </w:r>
      <w:r w:rsidR="00B07BD4">
        <w:rPr>
          <w:lang w:eastAsia="ja-JP"/>
        </w:rPr>
        <w:t>s of women per treatment group.</w:t>
      </w:r>
    </w:p>
    <w:p w14:paraId="4FFAC1AD" w14:textId="4D4BECAF" w:rsidR="0079516C" w:rsidRDefault="0079516C" w:rsidP="0079516C">
      <w:pPr>
        <w:rPr>
          <w:lang w:eastAsia="ja-JP"/>
        </w:rPr>
      </w:pPr>
      <w:r>
        <w:rPr>
          <w:lang w:eastAsia="ja-JP"/>
        </w:rPr>
        <w:t>The number experiencing drug related events are listed in Table 41 and the details of the events experienced (≥ 1.4%) are included in Table 42. The treatment groups were comparable with regard to drug-related AEs, with slightly more (72.4%) women in the Mirena group than in the LCS</w:t>
      </w:r>
      <w:r w:rsidR="00AF4819">
        <w:rPr>
          <w:lang w:eastAsia="ja-JP"/>
        </w:rPr>
        <w:t>12 and LCS16</w:t>
      </w:r>
      <w:r>
        <w:rPr>
          <w:lang w:eastAsia="ja-JP"/>
        </w:rPr>
        <w:t xml:space="preserve"> groups (67.8% and 66.5%) with drug-related AEs. The only drug-related AE that occurred considerably more often in any treatment group was ovarian cyst, which was reported for 22.0% in the Mirena group, compared with 5.9% and 8.6% in the LCS12 a</w:t>
      </w:r>
      <w:r w:rsidR="00B07BD4">
        <w:rPr>
          <w:lang w:eastAsia="ja-JP"/>
        </w:rPr>
        <w:t>nd LCS16 groups respectively.</w:t>
      </w:r>
    </w:p>
    <w:p w14:paraId="74C3C2BF" w14:textId="2F241785" w:rsidR="00AF4819" w:rsidRDefault="00AF4819" w:rsidP="00AF4819">
      <w:pPr>
        <w:pStyle w:val="Tabletitle"/>
        <w:rPr>
          <w:lang w:eastAsia="ja-JP"/>
        </w:rPr>
      </w:pPr>
      <w:r>
        <w:rPr>
          <w:lang w:eastAsia="ja-JP"/>
        </w:rPr>
        <w:lastRenderedPageBreak/>
        <w:t>Table 35. Drug related AEs occurring in ≥ 10 women (≥ 1.4%) in any treatment arm</w:t>
      </w:r>
    </w:p>
    <w:p w14:paraId="4EC420F9" w14:textId="038EBE3D" w:rsidR="00AF4819" w:rsidRDefault="00AF4819" w:rsidP="0079516C">
      <w:pPr>
        <w:rPr>
          <w:lang w:eastAsia="ja-JP"/>
        </w:rPr>
      </w:pPr>
      <w:r w:rsidRPr="008E4AAC">
        <w:rPr>
          <w:rFonts w:ascii="Times New Roman" w:hAnsi="Times New Roman"/>
          <w:noProof/>
          <w:sz w:val="24"/>
          <w:szCs w:val="24"/>
          <w:lang w:eastAsia="en-AU"/>
        </w:rPr>
        <w:drawing>
          <wp:inline distT="0" distB="0" distL="0" distR="0" wp14:anchorId="1624D3F9" wp14:editId="2BBA4182">
            <wp:extent cx="5381625" cy="4476750"/>
            <wp:effectExtent l="0" t="0" r="9525" b="0"/>
            <wp:docPr id="53" name="Picture 53" descr="Table 35 is an image of a table showing the Drug related AEs occurring in ≥ 10 women (≥ 1.4%) in any treatm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1330" t="7617" r="4775" b="5066"/>
                    <a:stretch/>
                  </pic:blipFill>
                  <pic:spPr bwMode="auto">
                    <a:xfrm>
                      <a:off x="0" y="0"/>
                      <a:ext cx="5381625" cy="4476750"/>
                    </a:xfrm>
                    <a:prstGeom prst="rect">
                      <a:avLst/>
                    </a:prstGeom>
                    <a:noFill/>
                    <a:ln>
                      <a:noFill/>
                    </a:ln>
                    <a:extLst>
                      <a:ext uri="{53640926-AAD7-44D8-BBD7-CCE9431645EC}">
                        <a14:shadowObscured xmlns:a14="http://schemas.microsoft.com/office/drawing/2010/main"/>
                      </a:ext>
                    </a:extLst>
                  </pic:spPr>
                </pic:pic>
              </a:graphicData>
            </a:graphic>
          </wp:inline>
        </w:drawing>
      </w:r>
    </w:p>
    <w:p w14:paraId="61E4E6FB" w14:textId="1941D039" w:rsidR="0079516C" w:rsidRDefault="0079516C" w:rsidP="0079516C">
      <w:pPr>
        <w:rPr>
          <w:lang w:eastAsia="ja-JP"/>
        </w:rPr>
      </w:pPr>
      <w:r>
        <w:rPr>
          <w:lang w:eastAsia="ja-JP"/>
        </w:rPr>
        <w:t>SAEs were reported in 5% in LCS12, 4.9% in L</w:t>
      </w:r>
      <w:r w:rsidR="00B07BD4">
        <w:rPr>
          <w:lang w:eastAsia="ja-JP"/>
        </w:rPr>
        <w:t>CS16 and 5.4% in Mirena groups.</w:t>
      </w:r>
    </w:p>
    <w:p w14:paraId="730E753F" w14:textId="7B856CB6" w:rsidR="0079516C" w:rsidRDefault="0079516C" w:rsidP="0079516C">
      <w:pPr>
        <w:rPr>
          <w:lang w:eastAsia="ja-JP"/>
        </w:rPr>
      </w:pPr>
      <w:r w:rsidRPr="00B07BD4">
        <w:rPr>
          <w:i/>
          <w:lang w:eastAsia="ja-JP"/>
        </w:rPr>
        <w:t>Drug related withdrawals</w:t>
      </w:r>
      <w:r>
        <w:rPr>
          <w:lang w:eastAsia="ja-JP"/>
        </w:rPr>
        <w:t>: A total 4.2% led to the study treatment being withdrawn. The number of subjects in whom study treatment was withdrawn due to AE was comparable across the treatment groups (LCS12: 42, LCS16: 46, Mirena: 48</w:t>
      </w:r>
      <w:r w:rsidR="009E11FF">
        <w:rPr>
          <w:lang w:eastAsia="ja-JP"/>
        </w:rPr>
        <w:t>)</w:t>
      </w:r>
      <w:r>
        <w:rPr>
          <w:lang w:eastAsia="ja-JP"/>
        </w:rPr>
        <w:t xml:space="preserve">. The numbers were too small to detect a trend. </w:t>
      </w:r>
    </w:p>
    <w:p w14:paraId="157305A0" w14:textId="35AEE18E" w:rsidR="0079516C" w:rsidRDefault="0079516C" w:rsidP="0079516C">
      <w:pPr>
        <w:rPr>
          <w:lang w:eastAsia="ja-JP"/>
        </w:rPr>
      </w:pPr>
      <w:r w:rsidRPr="00B07BD4">
        <w:rPr>
          <w:i/>
          <w:lang w:eastAsia="ja-JP"/>
        </w:rPr>
        <w:t>Device insertion</w:t>
      </w:r>
      <w:r>
        <w:rPr>
          <w:lang w:eastAsia="ja-JP"/>
        </w:rPr>
        <w:t>: IUS insertion failed in 4 women (LCS12: 1 (cervical anomaly), LCS16: 1 (technical problems), Mirena: 2 (AE vasovagal attack; cervical anomaly). 100% had an IUS inserted. There were 3 total expulsions and 2 partial expulsions in the LCS 16 group. Similar numbers were reported in other groups.</w:t>
      </w:r>
    </w:p>
    <w:p w14:paraId="662D4B3A" w14:textId="6FB34874" w:rsidR="0079516C" w:rsidRDefault="0079516C" w:rsidP="0079516C">
      <w:pPr>
        <w:rPr>
          <w:lang w:eastAsia="ja-JP"/>
        </w:rPr>
      </w:pPr>
      <w:r w:rsidRPr="00B07BD4">
        <w:rPr>
          <w:i/>
          <w:lang w:eastAsia="ja-JP"/>
        </w:rPr>
        <w:t>Ovarian cysts</w:t>
      </w:r>
      <w:r>
        <w:rPr>
          <w:lang w:eastAsia="ja-JP"/>
        </w:rPr>
        <w:t>: None reported in the LCS16 group.</w:t>
      </w:r>
    </w:p>
    <w:p w14:paraId="4744D516" w14:textId="64299D0E" w:rsidR="0079516C" w:rsidRDefault="0079516C" w:rsidP="0079516C">
      <w:pPr>
        <w:rPr>
          <w:lang w:eastAsia="ja-JP"/>
        </w:rPr>
      </w:pPr>
      <w:r w:rsidRPr="00B07BD4">
        <w:rPr>
          <w:i/>
          <w:lang w:eastAsia="ja-JP"/>
        </w:rPr>
        <w:t>Ectopic pregnancy</w:t>
      </w:r>
      <w:r>
        <w:rPr>
          <w:lang w:eastAsia="ja-JP"/>
        </w:rPr>
        <w:t>: 2 were reported in the LCS16 group. One is stated to have been withdrawn.</w:t>
      </w:r>
    </w:p>
    <w:p w14:paraId="08445A80" w14:textId="01D4B981" w:rsidR="0079516C" w:rsidRDefault="0079516C" w:rsidP="0079516C">
      <w:pPr>
        <w:rPr>
          <w:lang w:eastAsia="ja-JP"/>
        </w:rPr>
      </w:pPr>
      <w:r w:rsidRPr="00B07BD4">
        <w:rPr>
          <w:i/>
          <w:lang w:eastAsia="ja-JP"/>
        </w:rPr>
        <w:t>PID</w:t>
      </w:r>
      <w:r>
        <w:rPr>
          <w:lang w:eastAsia="ja-JP"/>
        </w:rPr>
        <w:t xml:space="preserve">: One reported in the LCS16 group </w:t>
      </w:r>
      <w:r w:rsidR="00B07BD4">
        <w:rPr>
          <w:lang w:eastAsia="ja-JP"/>
        </w:rPr>
        <w:t>reported as withdrawn (severe).</w:t>
      </w:r>
    </w:p>
    <w:p w14:paraId="4CA85FB7" w14:textId="2955A37B" w:rsidR="0079516C" w:rsidRDefault="00B07BD4" w:rsidP="0079516C">
      <w:pPr>
        <w:rPr>
          <w:lang w:eastAsia="ja-JP"/>
        </w:rPr>
      </w:pPr>
      <w:r>
        <w:rPr>
          <w:lang w:eastAsia="ja-JP"/>
        </w:rPr>
        <w:t>No deaths were reported.</w:t>
      </w:r>
    </w:p>
    <w:p w14:paraId="723BAB0A" w14:textId="2D1BE535" w:rsidR="0079516C" w:rsidRDefault="0079516C" w:rsidP="0079516C">
      <w:pPr>
        <w:rPr>
          <w:lang w:eastAsia="ja-JP"/>
        </w:rPr>
      </w:pPr>
      <w:r>
        <w:rPr>
          <w:lang w:eastAsia="ja-JP"/>
        </w:rPr>
        <w:t>There were no clinically significant laboratory results.</w:t>
      </w:r>
    </w:p>
    <w:p w14:paraId="22712955" w14:textId="7F67D01C" w:rsidR="00B07BD4" w:rsidRDefault="003E161E" w:rsidP="00B07BD4">
      <w:pPr>
        <w:pStyle w:val="Heading3"/>
      </w:pPr>
      <w:bookmarkStart w:id="162" w:name="_Toc499043862"/>
      <w:r>
        <w:t>Studies using the same Evolution I</w:t>
      </w:r>
      <w:r w:rsidR="00B07BD4">
        <w:t>nserter</w:t>
      </w:r>
      <w:bookmarkEnd w:id="162"/>
    </w:p>
    <w:p w14:paraId="6A4B5BB9" w14:textId="7AB2D418" w:rsidR="00B07BD4" w:rsidRDefault="00B07BD4" w:rsidP="00B07BD4">
      <w:pPr>
        <w:rPr>
          <w:lang w:eastAsia="ja-JP"/>
        </w:rPr>
      </w:pPr>
      <w:r>
        <w:rPr>
          <w:lang w:eastAsia="ja-JP"/>
        </w:rPr>
        <w:t xml:space="preserve">A rationale for </w:t>
      </w:r>
      <w:r w:rsidR="009E11FF">
        <w:rPr>
          <w:lang w:eastAsia="ja-JP"/>
        </w:rPr>
        <w:t>using the safety data from 3</w:t>
      </w:r>
      <w:r>
        <w:rPr>
          <w:lang w:eastAsia="ja-JP"/>
        </w:rPr>
        <w:t xml:space="preserve"> LCS12 studies is proffered for the sponsor in the Clinical Overview and is as follows:</w:t>
      </w:r>
    </w:p>
    <w:p w14:paraId="7C44E907" w14:textId="759A1F4A" w:rsidR="00B07BD4" w:rsidRPr="00B07BD4" w:rsidRDefault="00B07BD4" w:rsidP="00B07BD4">
      <w:pPr>
        <w:ind w:left="720"/>
        <w:rPr>
          <w:i/>
          <w:lang w:eastAsia="ja-JP"/>
        </w:rPr>
      </w:pPr>
      <w:r w:rsidRPr="00B07BD4">
        <w:rPr>
          <w:i/>
          <w:lang w:eastAsia="ja-JP"/>
        </w:rPr>
        <w:lastRenderedPageBreak/>
        <w:t>‘The Evolution Inserter has been approved as an integral part for use with LCS12 and Mirena, and is already used in many countries. The inserter was modified to simplify the preparatory steps of the IUS prior to insertion…</w:t>
      </w:r>
    </w:p>
    <w:p w14:paraId="7AAC9F9C" w14:textId="7462C56D" w:rsidR="00B07BD4" w:rsidRPr="00B07BD4" w:rsidRDefault="00B07BD4" w:rsidP="00B07BD4">
      <w:pPr>
        <w:ind w:left="720"/>
        <w:rPr>
          <w:i/>
          <w:lang w:eastAsia="ja-JP"/>
        </w:rPr>
      </w:pPr>
      <w:r w:rsidRPr="00B07BD4">
        <w:rPr>
          <w:i/>
          <w:lang w:eastAsia="ja-JP"/>
        </w:rPr>
        <w:t>Because the Evolution Inserter for LCS12 and LCS16 is of the same design and dimensions, safety data supporting the use of the Evolution Inserter for LCS16 are based on three clinical studies in which LCS12 was placed using the Evolution Inserter’.</w:t>
      </w:r>
    </w:p>
    <w:p w14:paraId="4099E53E" w14:textId="0D8B6517" w:rsidR="00B07BD4" w:rsidRDefault="00B07BD4" w:rsidP="00B07BD4">
      <w:pPr>
        <w:rPr>
          <w:lang w:eastAsia="ja-JP"/>
        </w:rPr>
      </w:pPr>
      <w:r>
        <w:rPr>
          <w:lang w:eastAsia="ja-JP"/>
        </w:rPr>
        <w:t>LCS12 studies using the evolution inserter are Protocols 13362, 13363, and 14371. These are briefly discussed in the original report (see the AusPAR/Attachment 2 for the previous Jaydess submission).</w:t>
      </w:r>
      <w:r w:rsidRPr="00B07BD4">
        <w:rPr>
          <w:vertAlign w:val="superscript"/>
          <w:lang w:eastAsia="ja-JP"/>
        </w:rPr>
        <w:fldChar w:fldCharType="begin"/>
      </w:r>
      <w:r w:rsidRPr="00B07BD4">
        <w:rPr>
          <w:vertAlign w:val="superscript"/>
          <w:lang w:eastAsia="ja-JP"/>
        </w:rPr>
        <w:instrText xml:space="preserve"> NOTEREF _Ref492070565 \h </w:instrText>
      </w:r>
      <w:r>
        <w:rPr>
          <w:vertAlign w:val="superscript"/>
          <w:lang w:eastAsia="ja-JP"/>
        </w:rPr>
        <w:instrText xml:space="preserve"> \* MERGEFORMAT </w:instrText>
      </w:r>
      <w:r w:rsidRPr="00B07BD4">
        <w:rPr>
          <w:vertAlign w:val="superscript"/>
          <w:lang w:eastAsia="ja-JP"/>
        </w:rPr>
      </w:r>
      <w:r w:rsidRPr="00B07BD4">
        <w:rPr>
          <w:vertAlign w:val="superscript"/>
          <w:lang w:eastAsia="ja-JP"/>
        </w:rPr>
        <w:fldChar w:fldCharType="separate"/>
      </w:r>
      <w:r w:rsidR="009A3335">
        <w:rPr>
          <w:vertAlign w:val="superscript"/>
          <w:lang w:eastAsia="ja-JP"/>
        </w:rPr>
        <w:t>4</w:t>
      </w:r>
      <w:r w:rsidRPr="00B07BD4">
        <w:rPr>
          <w:vertAlign w:val="superscript"/>
          <w:lang w:eastAsia="ja-JP"/>
        </w:rPr>
        <w:fldChar w:fldCharType="end"/>
      </w:r>
    </w:p>
    <w:p w14:paraId="6AFC6505" w14:textId="5B92ADEA" w:rsidR="00B07BD4" w:rsidRDefault="00B07BD4" w:rsidP="00B07BD4">
      <w:pPr>
        <w:rPr>
          <w:lang w:eastAsia="ja-JP"/>
        </w:rPr>
      </w:pPr>
      <w:r>
        <w:rPr>
          <w:lang w:eastAsia="ja-JP"/>
        </w:rPr>
        <w:t>Protocol 13362 was a multicentre, randomised, open label, parallel group study of LCS12 for 18 months, with an optional extension for up to 36 months. Yasmin (21 tablets containing 0.030 mg ethinylestradiol + 3 mg drospirenone followed by 7 inert tablets per 28</w:t>
      </w:r>
      <w:r w:rsidR="007A24E9">
        <w:rPr>
          <w:lang w:eastAsia="ja-JP"/>
        </w:rPr>
        <w:t xml:space="preserve"> </w:t>
      </w:r>
      <w:r>
        <w:rPr>
          <w:lang w:eastAsia="ja-JP"/>
        </w:rPr>
        <w:t>day cycle), oral, was the comparator. The study duration was up to 18 months or 19 cycles.</w:t>
      </w:r>
    </w:p>
    <w:p w14:paraId="78C2E8BD" w14:textId="01E05AAD" w:rsidR="00B07BD4" w:rsidRDefault="00B07BD4" w:rsidP="00B07BD4">
      <w:pPr>
        <w:rPr>
          <w:lang w:eastAsia="ja-JP"/>
        </w:rPr>
      </w:pPr>
      <w:r>
        <w:rPr>
          <w:lang w:eastAsia="ja-JP"/>
        </w:rPr>
        <w:t>Protocol 13362 was a multicentre, open label, randomised, controlled parallel group study LCS12 12 months, optional extension for up to 3 years. Nexplanon (etonogestrel (ENG) 68 mg subdermal implant) was the comparator.</w:t>
      </w:r>
    </w:p>
    <w:p w14:paraId="66ECA1CA" w14:textId="5A27367A" w:rsidR="00B07BD4" w:rsidRDefault="00B07BD4" w:rsidP="00B07BD4">
      <w:pPr>
        <w:rPr>
          <w:lang w:eastAsia="ja-JP"/>
        </w:rPr>
      </w:pPr>
      <w:r>
        <w:rPr>
          <w:lang w:eastAsia="ja-JP"/>
        </w:rPr>
        <w:t xml:space="preserve">Protocol </w:t>
      </w:r>
      <w:r w:rsidR="00C1495D">
        <w:rPr>
          <w:lang w:eastAsia="ja-JP"/>
        </w:rPr>
        <w:t xml:space="preserve">14371 </w:t>
      </w:r>
      <w:r>
        <w:rPr>
          <w:lang w:eastAsia="ja-JP"/>
        </w:rPr>
        <w:t>was a multicentre, open label, single group</w:t>
      </w:r>
      <w:r w:rsidR="00B748EB">
        <w:rPr>
          <w:lang w:eastAsia="ja-JP"/>
        </w:rPr>
        <w:t xml:space="preserve"> study up to 1 year LCS12 of 12 </w:t>
      </w:r>
      <w:r>
        <w:rPr>
          <w:lang w:eastAsia="ja-JP"/>
        </w:rPr>
        <w:t>months duration with an op</w:t>
      </w:r>
      <w:r w:rsidR="00B748EB">
        <w:rPr>
          <w:lang w:eastAsia="ja-JP"/>
        </w:rPr>
        <w:t>tional extension up to 3 years.</w:t>
      </w:r>
    </w:p>
    <w:p w14:paraId="05DAFC06" w14:textId="47AA2456" w:rsidR="00B07BD4" w:rsidRDefault="00B07BD4" w:rsidP="00B07BD4">
      <w:pPr>
        <w:rPr>
          <w:lang w:eastAsia="ja-JP"/>
        </w:rPr>
      </w:pPr>
      <w:r>
        <w:rPr>
          <w:lang w:eastAsia="ja-JP"/>
        </w:rPr>
        <w:t xml:space="preserve">These are only considered in relation to the safety of the inserter device as it is claimed to be the same as the device to </w:t>
      </w:r>
      <w:r w:rsidR="00B748EB">
        <w:rPr>
          <w:lang w:eastAsia="ja-JP"/>
        </w:rPr>
        <w:t>be used in LCS16 for marketing.</w:t>
      </w:r>
    </w:p>
    <w:p w14:paraId="3D9A4643" w14:textId="433E6B5F" w:rsidR="00B07BD4" w:rsidRDefault="00B07BD4" w:rsidP="00B07BD4">
      <w:pPr>
        <w:rPr>
          <w:lang w:eastAsia="ja-JP"/>
        </w:rPr>
      </w:pPr>
      <w:r>
        <w:rPr>
          <w:lang w:eastAsia="ja-JP"/>
        </w:rPr>
        <w:t>A total of 279 subjects were included in the LCS12 in Protocol 13362, 382 in Protocol 13363 and 304 i</w:t>
      </w:r>
      <w:r w:rsidR="00B748EB">
        <w:rPr>
          <w:lang w:eastAsia="ja-JP"/>
        </w:rPr>
        <w:t>n the LCS12 in protocol 14371.</w:t>
      </w:r>
    </w:p>
    <w:p w14:paraId="56E316AF" w14:textId="02ED469E" w:rsidR="00B07BD4" w:rsidRDefault="00B07BD4" w:rsidP="00B07BD4">
      <w:pPr>
        <w:rPr>
          <w:lang w:eastAsia="ja-JP"/>
        </w:rPr>
      </w:pPr>
      <w:r w:rsidRPr="00B748EB">
        <w:rPr>
          <w:i/>
          <w:lang w:eastAsia="ja-JP"/>
        </w:rPr>
        <w:t>Demographics</w:t>
      </w:r>
      <w:r>
        <w:rPr>
          <w:lang w:eastAsia="ja-JP"/>
        </w:rPr>
        <w:t>: In Protocols 13362 and 1336</w:t>
      </w:r>
      <w:r w:rsidR="00B748EB">
        <w:rPr>
          <w:lang w:eastAsia="ja-JP"/>
        </w:rPr>
        <w:t xml:space="preserve">3, those between the ages of 18 to 25 ranged from 63 to </w:t>
      </w:r>
      <w:r>
        <w:rPr>
          <w:lang w:eastAsia="ja-JP"/>
        </w:rPr>
        <w:t>68% and those of 26</w:t>
      </w:r>
      <w:r w:rsidR="00B748EB">
        <w:rPr>
          <w:lang w:eastAsia="ja-JP"/>
        </w:rPr>
        <w:t xml:space="preserve"> to </w:t>
      </w:r>
      <w:r>
        <w:rPr>
          <w:lang w:eastAsia="ja-JP"/>
        </w:rPr>
        <w:t>35 years were between 31 to 37%. Those who nev</w:t>
      </w:r>
      <w:r w:rsidR="007A24E9">
        <w:rPr>
          <w:lang w:eastAsia="ja-JP"/>
        </w:rPr>
        <w:t>er smoked were 59.5% to 63%. 88 to 94% were W</w:t>
      </w:r>
      <w:r>
        <w:rPr>
          <w:lang w:eastAsia="ja-JP"/>
        </w:rPr>
        <w:t>hite. In the adolescent study (</w:t>
      </w:r>
      <w:r w:rsidR="00B748EB">
        <w:rPr>
          <w:lang w:eastAsia="ja-JP"/>
        </w:rPr>
        <w:t>14371), 99.3% were less than 18 </w:t>
      </w:r>
      <w:r>
        <w:rPr>
          <w:lang w:eastAsia="ja-JP"/>
        </w:rPr>
        <w:t>years; other characteristics were s</w:t>
      </w:r>
      <w:r w:rsidR="00B748EB">
        <w:rPr>
          <w:lang w:eastAsia="ja-JP"/>
        </w:rPr>
        <w:t>imilar to the previous studies.</w:t>
      </w:r>
    </w:p>
    <w:p w14:paraId="0E4645B6" w14:textId="6B99BA5D" w:rsidR="00B07BD4" w:rsidRDefault="00B07BD4" w:rsidP="00B07BD4">
      <w:pPr>
        <w:rPr>
          <w:lang w:eastAsia="ja-JP"/>
        </w:rPr>
      </w:pPr>
      <w:r w:rsidRPr="00B748EB">
        <w:rPr>
          <w:i/>
          <w:lang w:eastAsia="ja-JP"/>
        </w:rPr>
        <w:t>Parity</w:t>
      </w:r>
      <w:r>
        <w:rPr>
          <w:lang w:eastAsia="ja-JP"/>
        </w:rPr>
        <w:t xml:space="preserve">: 73%, </w:t>
      </w:r>
      <w:r w:rsidR="00B748EB">
        <w:rPr>
          <w:lang w:eastAsia="ja-JP"/>
        </w:rPr>
        <w:t>63.5% and 92% were nulliparous.</w:t>
      </w:r>
    </w:p>
    <w:p w14:paraId="77496B92" w14:textId="37C790CF" w:rsidR="00B07BD4" w:rsidRDefault="00B07BD4" w:rsidP="00B07BD4">
      <w:pPr>
        <w:rPr>
          <w:lang w:eastAsia="ja-JP"/>
        </w:rPr>
      </w:pPr>
      <w:r w:rsidRPr="00B748EB">
        <w:rPr>
          <w:i/>
          <w:lang w:eastAsia="ja-JP"/>
        </w:rPr>
        <w:t>Menstrual history</w:t>
      </w:r>
      <w:r>
        <w:rPr>
          <w:lang w:eastAsia="ja-JP"/>
        </w:rPr>
        <w:t>: Average length of the cycle was 28.3 days ±</w:t>
      </w:r>
      <w:r w:rsidR="00B748EB">
        <w:rPr>
          <w:lang w:eastAsia="ja-JP"/>
        </w:rPr>
        <w:t xml:space="preserve"> </w:t>
      </w:r>
      <w:r>
        <w:rPr>
          <w:lang w:eastAsia="ja-JP"/>
        </w:rPr>
        <w:t>2.2. Approximately 6.8% to 27.3% (adolescent study) had heavy menstrual bleeding. Approximately 70% in the pooled data rep</w:t>
      </w:r>
      <w:r w:rsidR="00B748EB">
        <w:rPr>
          <w:lang w:eastAsia="ja-JP"/>
        </w:rPr>
        <w:t>orted prior oral contraception.</w:t>
      </w:r>
    </w:p>
    <w:p w14:paraId="56B0BA52" w14:textId="4E9D8B27" w:rsidR="00B07BD4" w:rsidRDefault="00B07BD4" w:rsidP="00B07BD4">
      <w:pPr>
        <w:rPr>
          <w:lang w:eastAsia="ja-JP"/>
        </w:rPr>
      </w:pPr>
      <w:r w:rsidRPr="00B748EB">
        <w:rPr>
          <w:i/>
          <w:lang w:eastAsia="ja-JP"/>
        </w:rPr>
        <w:t>Overall assessment of insertion procedure</w:t>
      </w:r>
      <w:r>
        <w:rPr>
          <w:lang w:eastAsia="ja-JP"/>
        </w:rPr>
        <w:t>: insertion was attempted in 965 women (FAS, pooled population) and for 98.2% the insertions of LCS12 with the Evolution Inserter were successful. The insertion was successful at the first attempt in 948 women and in 12 women at the second attempt. Insertion failure was reported in 1.8% of all women (pooled analysis). Overall, no dilatation was needed for more than 60% of the women treated with LCS12 using the Evolution Inserter. If dilation was needed, it was mainly performed before the insertion attempt (18.0% of all women). There were only a few cases where dilatation was performed when the procedure proved to be difficult (9 of 960 women) or painful (1 woman).</w:t>
      </w:r>
    </w:p>
    <w:p w14:paraId="01109632" w14:textId="10D62AA7" w:rsidR="00B07BD4" w:rsidRDefault="00B07BD4" w:rsidP="00B07BD4">
      <w:pPr>
        <w:rPr>
          <w:lang w:eastAsia="ja-JP"/>
        </w:rPr>
      </w:pPr>
      <w:r>
        <w:rPr>
          <w:lang w:eastAsia="ja-JP"/>
        </w:rPr>
        <w:t xml:space="preserve">Local anaesthesia was given in 19.2% before the insertion procedure. The use of local anaesthesia before the procedure was more common in adolescent women (31.6%) compared to adult women (20.8% and 8.1% in the LCS12 Protocol </w:t>
      </w:r>
      <w:r w:rsidR="00B748EB">
        <w:rPr>
          <w:lang w:eastAsia="ja-JP"/>
        </w:rPr>
        <w:t>13362 and 13363, respectively).</w:t>
      </w:r>
    </w:p>
    <w:p w14:paraId="6F17BD2A" w14:textId="21BE57B8" w:rsidR="00B07BD4" w:rsidRDefault="00B07BD4" w:rsidP="00B07BD4">
      <w:pPr>
        <w:rPr>
          <w:lang w:eastAsia="ja-JP"/>
        </w:rPr>
      </w:pPr>
      <w:r w:rsidRPr="00B748EB">
        <w:rPr>
          <w:i/>
          <w:lang w:eastAsia="ja-JP"/>
        </w:rPr>
        <w:t>Insertion pain</w:t>
      </w:r>
      <w:r>
        <w:rPr>
          <w:lang w:eastAsia="ja-JP"/>
        </w:rPr>
        <w:t>: 19% had none, 39.3% had mild, 31.6% had moderate</w:t>
      </w:r>
      <w:r w:rsidR="00B748EB">
        <w:rPr>
          <w:lang w:eastAsia="ja-JP"/>
        </w:rPr>
        <w:t xml:space="preserve"> pain and 10% had severe pain.</w:t>
      </w:r>
    </w:p>
    <w:p w14:paraId="0DD18E43" w14:textId="00543E0E" w:rsidR="00B07BD4" w:rsidRDefault="00B07BD4" w:rsidP="00B07BD4">
      <w:pPr>
        <w:rPr>
          <w:lang w:eastAsia="ja-JP"/>
        </w:rPr>
      </w:pPr>
      <w:r w:rsidRPr="00B748EB">
        <w:rPr>
          <w:i/>
          <w:lang w:eastAsia="ja-JP"/>
        </w:rPr>
        <w:t>Pregnancies</w:t>
      </w:r>
      <w:r>
        <w:rPr>
          <w:lang w:eastAsia="ja-JP"/>
        </w:rPr>
        <w:t>: There were 4 pregnancies (3 of them ecto</w:t>
      </w:r>
      <w:r w:rsidR="00B748EB">
        <w:rPr>
          <w:lang w:eastAsia="ja-JP"/>
        </w:rPr>
        <w:t>pic) in LCS12 Study 13362 and 3 </w:t>
      </w:r>
      <w:r>
        <w:rPr>
          <w:lang w:eastAsia="ja-JP"/>
        </w:rPr>
        <w:t>pregnancies (1 of them ect</w:t>
      </w:r>
      <w:r w:rsidR="00B748EB">
        <w:rPr>
          <w:lang w:eastAsia="ja-JP"/>
        </w:rPr>
        <w:t>opic) in the LCS12 Study 13362.</w:t>
      </w:r>
    </w:p>
    <w:p w14:paraId="527C9A60" w14:textId="301C097C" w:rsidR="00B07BD4" w:rsidRDefault="00B07BD4" w:rsidP="00B07BD4">
      <w:pPr>
        <w:rPr>
          <w:lang w:eastAsia="ja-JP"/>
        </w:rPr>
      </w:pPr>
      <w:r>
        <w:rPr>
          <w:lang w:eastAsia="ja-JP"/>
        </w:rPr>
        <w:lastRenderedPageBreak/>
        <w:t>Any TEAE was reported in 83% in the pooled analysis; it was similar across studies. Any drug related TEAEs was 38.7%, 61.8% and 41.8% respectively. Intensity of mild, moderate and severe was 23.5</w:t>
      </w:r>
      <w:r w:rsidR="00B748EB">
        <w:rPr>
          <w:lang w:eastAsia="ja-JP"/>
        </w:rPr>
        <w:t>%, 43.6% and 15% respectively.</w:t>
      </w:r>
    </w:p>
    <w:p w14:paraId="2705EDF2" w14:textId="70B5D4CC" w:rsidR="00B07BD4" w:rsidRDefault="00B07BD4" w:rsidP="00B07BD4">
      <w:pPr>
        <w:rPr>
          <w:lang w:eastAsia="ja-JP"/>
        </w:rPr>
      </w:pPr>
      <w:r w:rsidRPr="00B748EB">
        <w:rPr>
          <w:i/>
          <w:lang w:eastAsia="ja-JP"/>
        </w:rPr>
        <w:t>PID</w:t>
      </w:r>
      <w:r>
        <w:rPr>
          <w:lang w:eastAsia="ja-JP"/>
        </w:rPr>
        <w:t>: There w</w:t>
      </w:r>
      <w:r w:rsidR="00B748EB">
        <w:rPr>
          <w:lang w:eastAsia="ja-JP"/>
        </w:rPr>
        <w:t>as 1 report of endometritis in Study 13362 and S</w:t>
      </w:r>
      <w:r>
        <w:rPr>
          <w:lang w:eastAsia="ja-JP"/>
        </w:rPr>
        <w:t xml:space="preserve">tudy 13363; there </w:t>
      </w:r>
      <w:r w:rsidR="00B748EB">
        <w:rPr>
          <w:lang w:eastAsia="ja-JP"/>
        </w:rPr>
        <w:t xml:space="preserve">were 4 reported in study </w:t>
      </w:r>
      <w:r w:rsidR="00C1495D">
        <w:rPr>
          <w:lang w:eastAsia="ja-JP"/>
        </w:rPr>
        <w:t>14371</w:t>
      </w:r>
    </w:p>
    <w:p w14:paraId="1BF826E9" w14:textId="0AB187B4" w:rsidR="00B07BD4" w:rsidRDefault="00B07BD4" w:rsidP="00B07BD4">
      <w:pPr>
        <w:rPr>
          <w:lang w:eastAsia="ja-JP"/>
        </w:rPr>
      </w:pPr>
      <w:r w:rsidRPr="00B748EB">
        <w:rPr>
          <w:i/>
          <w:lang w:eastAsia="ja-JP"/>
        </w:rPr>
        <w:t xml:space="preserve">Uterine </w:t>
      </w:r>
      <w:r w:rsidR="0058124D">
        <w:rPr>
          <w:i/>
          <w:lang w:eastAsia="ja-JP"/>
        </w:rPr>
        <w:t>dislocation</w:t>
      </w:r>
      <w:r w:rsidR="00B748EB">
        <w:rPr>
          <w:lang w:eastAsia="ja-JP"/>
        </w:rPr>
        <w:t>: O</w:t>
      </w:r>
      <w:r>
        <w:rPr>
          <w:lang w:eastAsia="ja-JP"/>
        </w:rPr>
        <w:t>ne report of uter</w:t>
      </w:r>
      <w:r w:rsidR="00B748EB">
        <w:rPr>
          <w:lang w:eastAsia="ja-JP"/>
        </w:rPr>
        <w:t>ine dislocation in Study 13362.</w:t>
      </w:r>
    </w:p>
    <w:p w14:paraId="120323EF" w14:textId="57AFC5F4" w:rsidR="00B07BD4" w:rsidRDefault="00B07BD4" w:rsidP="00B07BD4">
      <w:pPr>
        <w:rPr>
          <w:lang w:eastAsia="ja-JP"/>
        </w:rPr>
      </w:pPr>
      <w:r w:rsidRPr="00B748EB">
        <w:rPr>
          <w:i/>
          <w:lang w:eastAsia="ja-JP"/>
        </w:rPr>
        <w:t>Expulsion</w:t>
      </w:r>
      <w:r>
        <w:rPr>
          <w:lang w:eastAsia="ja-JP"/>
        </w:rPr>
        <w:t xml:space="preserve">: </w:t>
      </w:r>
      <w:r w:rsidR="00B748EB">
        <w:rPr>
          <w:lang w:eastAsia="ja-JP"/>
        </w:rPr>
        <w:t>One partial expulsion was reported in Study 13362; 3 in S</w:t>
      </w:r>
      <w:r>
        <w:rPr>
          <w:lang w:eastAsia="ja-JP"/>
        </w:rPr>
        <w:t>t</w:t>
      </w:r>
      <w:r w:rsidR="00B748EB">
        <w:rPr>
          <w:lang w:eastAsia="ja-JP"/>
        </w:rPr>
        <w:t>udy 13363 and 7 in Study </w:t>
      </w:r>
      <w:r w:rsidR="00C1495D">
        <w:rPr>
          <w:lang w:eastAsia="ja-JP"/>
        </w:rPr>
        <w:t>14371</w:t>
      </w:r>
      <w:r w:rsidR="00B748EB">
        <w:rPr>
          <w:lang w:eastAsia="ja-JP"/>
        </w:rPr>
        <w:t>.</w:t>
      </w:r>
    </w:p>
    <w:p w14:paraId="44A5E7BA" w14:textId="640AA55E" w:rsidR="00B07BD4" w:rsidRDefault="00B07BD4" w:rsidP="00B07BD4">
      <w:pPr>
        <w:rPr>
          <w:lang w:eastAsia="ja-JP"/>
        </w:rPr>
      </w:pPr>
      <w:r>
        <w:rPr>
          <w:lang w:eastAsia="ja-JP"/>
        </w:rPr>
        <w:t>The extension phase of the two studies totalled 3 years. There were 13 SAEs; 2 were pregnancies and the others unr</w:t>
      </w:r>
      <w:r w:rsidR="00B748EB">
        <w:rPr>
          <w:lang w:eastAsia="ja-JP"/>
        </w:rPr>
        <w:t>elated.</w:t>
      </w:r>
    </w:p>
    <w:p w14:paraId="3F1422DA" w14:textId="611A6EE7" w:rsidR="00B07BD4" w:rsidRDefault="00B748EB" w:rsidP="00B07BD4">
      <w:pPr>
        <w:rPr>
          <w:lang w:eastAsia="ja-JP"/>
        </w:rPr>
      </w:pPr>
      <w:r>
        <w:rPr>
          <w:lang w:eastAsia="ja-JP"/>
        </w:rPr>
        <w:t>Another study (P</w:t>
      </w:r>
      <w:r w:rsidR="00B07BD4">
        <w:rPr>
          <w:lang w:eastAsia="ja-JP"/>
        </w:rPr>
        <w:t xml:space="preserve">rotocol 91775) also provided supportive information on the safety </w:t>
      </w:r>
      <w:r>
        <w:rPr>
          <w:lang w:eastAsia="ja-JP"/>
        </w:rPr>
        <w:t>of the device. This was a multi</w:t>
      </w:r>
      <w:r w:rsidR="00B07BD4">
        <w:rPr>
          <w:lang w:eastAsia="ja-JP"/>
        </w:rPr>
        <w:t xml:space="preserve">centre, open label, single arm study to assess efficacy, safety, bleeding pattern and pharmacokinetics of the ultra-low dose levonorgestrel intrauterine contraceptive system (LCS12) for a maximum of 3 years in women 18 to 40 years of age. There were 925 </w:t>
      </w:r>
      <w:r>
        <w:rPr>
          <w:lang w:eastAsia="ja-JP"/>
        </w:rPr>
        <w:t xml:space="preserve">subjects </w:t>
      </w:r>
      <w:r w:rsidR="00B07BD4">
        <w:rPr>
          <w:lang w:eastAsia="ja-JP"/>
        </w:rPr>
        <w:t>included in the FAS. According to the FAS definition, all subjects for whom an insertion was at least attempted were included. LCS12 insertion failed for 7 out of the 925 subjects. 918 subjec</w:t>
      </w:r>
      <w:r>
        <w:rPr>
          <w:lang w:eastAsia="ja-JP"/>
        </w:rPr>
        <w:t xml:space="preserve">ts had the LCS12 inserted, that is </w:t>
      </w:r>
      <w:r w:rsidR="00B07BD4">
        <w:rPr>
          <w:lang w:eastAsia="ja-JP"/>
        </w:rPr>
        <w:t>were treated. The FAS was used for all efficacy and safety analyses. The majority of the subjects were of Asian ethnicity (857, 92.6%). The mean age of subjects was 31</w:t>
      </w:r>
      <w:r>
        <w:rPr>
          <w:lang w:eastAsia="ja-JP"/>
        </w:rPr>
        <w:t xml:space="preserve">.6 years (SD 4.4); range 18 to </w:t>
      </w:r>
      <w:r w:rsidR="00B07BD4">
        <w:rPr>
          <w:lang w:eastAsia="ja-JP"/>
        </w:rPr>
        <w:t>40 years. 258 (27.8%) subjects discontinued from the study prematurely. The safety results were in line with those m</w:t>
      </w:r>
      <w:r>
        <w:rPr>
          <w:lang w:eastAsia="ja-JP"/>
        </w:rPr>
        <w:t>entioned in the previous study.</w:t>
      </w:r>
    </w:p>
    <w:p w14:paraId="2234F726" w14:textId="4D8611DD" w:rsidR="00B07BD4" w:rsidRDefault="00B07BD4" w:rsidP="00B07BD4">
      <w:pPr>
        <w:rPr>
          <w:lang w:eastAsia="ja-JP"/>
        </w:rPr>
      </w:pPr>
      <w:r>
        <w:rPr>
          <w:lang w:eastAsia="ja-JP"/>
        </w:rPr>
        <w:t>Overall, these studies provide a crude index of safety of the device proposed for marketing.</w:t>
      </w:r>
    </w:p>
    <w:p w14:paraId="5715E78F" w14:textId="77777777" w:rsidR="00B748EB" w:rsidRPr="00B748EB" w:rsidRDefault="00B748EB" w:rsidP="00B748EB">
      <w:pPr>
        <w:pStyle w:val="Heading3"/>
      </w:pPr>
      <w:bookmarkStart w:id="163" w:name="_Toc462903831"/>
      <w:bookmarkStart w:id="164" w:name="_Toc499043863"/>
      <w:r w:rsidRPr="00B748EB">
        <w:t>Other safety issues</w:t>
      </w:r>
      <w:bookmarkEnd w:id="163"/>
      <w:bookmarkEnd w:id="164"/>
    </w:p>
    <w:p w14:paraId="7E61328F" w14:textId="77777777" w:rsidR="00B748EB" w:rsidRPr="00B748EB" w:rsidRDefault="00B748EB" w:rsidP="00B748EB">
      <w:pPr>
        <w:pStyle w:val="Heading4"/>
      </w:pPr>
      <w:r w:rsidRPr="00B748EB">
        <w:t>Safety in special populations</w:t>
      </w:r>
    </w:p>
    <w:p w14:paraId="71DDA171" w14:textId="37B1E2AC" w:rsidR="00B748EB" w:rsidRPr="00B748EB" w:rsidRDefault="00B748EB" w:rsidP="00B748EB">
      <w:r w:rsidRPr="00B748EB">
        <w:t xml:space="preserve">Please </w:t>
      </w:r>
      <w:r w:rsidR="00CF2893">
        <w:t xml:space="preserve">also </w:t>
      </w:r>
      <w:r w:rsidRPr="00B748EB">
        <w:t>refer to the submission for Jaydess (see the AusPAR/Attachment 2).</w:t>
      </w:r>
      <w:r w:rsidRPr="00B748EB">
        <w:rPr>
          <w:vertAlign w:val="superscript"/>
        </w:rPr>
        <w:fldChar w:fldCharType="begin"/>
      </w:r>
      <w:r w:rsidRPr="00B748EB">
        <w:rPr>
          <w:vertAlign w:val="superscript"/>
        </w:rPr>
        <w:instrText xml:space="preserve"> NOTEREF _Ref492070565 \h  \* MERGEFORMAT </w:instrText>
      </w:r>
      <w:r w:rsidRPr="00B748EB">
        <w:rPr>
          <w:vertAlign w:val="superscript"/>
        </w:rPr>
      </w:r>
      <w:r w:rsidRPr="00B748EB">
        <w:rPr>
          <w:vertAlign w:val="superscript"/>
        </w:rPr>
        <w:fldChar w:fldCharType="separate"/>
      </w:r>
      <w:r w:rsidR="009A3335">
        <w:rPr>
          <w:vertAlign w:val="superscript"/>
        </w:rPr>
        <w:t>4</w:t>
      </w:r>
      <w:r w:rsidRPr="00B748EB">
        <w:rPr>
          <w:vertAlign w:val="superscript"/>
        </w:rPr>
        <w:fldChar w:fldCharType="end"/>
      </w:r>
    </w:p>
    <w:p w14:paraId="085CF8E3" w14:textId="50B6372F" w:rsidR="00B748EB" w:rsidRPr="00B748EB" w:rsidRDefault="00B748EB" w:rsidP="00B748EB">
      <w:bookmarkStart w:id="165" w:name="_Hlk492374406"/>
      <w:r w:rsidRPr="00B748EB">
        <w:t>It is noted that in relation to nulliparous women: 36.7% of the women in the LCS16 group were nulliparous with a higher percentage recorded in the pivotal study (39.5% in the LCS16 efficacy study versus 20.0% in the Phase II study). Adverse events were reported more frequently overall in nulliparous women: 93.7% of the nulliparous women in the LCS16 pool had AEs compared with 85.8% of the parous women. Acne (17.3% versus 12.3%), dysmenorrhea (11.7% versus 5.8%), pelvic pain (11.4% versus 6.1%), nasopharyngitis (10.4% versus 6.5%), and vulvovaginal mycotic infection (8.8% versus 7.1%) were specific AEs reported more frequently in nulliparous women, and the pattern was similar across treatment groups.</w:t>
      </w:r>
      <w:bookmarkStart w:id="166" w:name="_Toc416353745"/>
      <w:bookmarkStart w:id="167" w:name="_Toc421005288"/>
      <w:bookmarkStart w:id="168" w:name="_Toc432079165"/>
      <w:bookmarkStart w:id="169" w:name="_Toc432080738"/>
    </w:p>
    <w:bookmarkEnd w:id="165"/>
    <w:p w14:paraId="71C4CF43" w14:textId="77777777" w:rsidR="00B748EB" w:rsidRPr="0033544F" w:rsidRDefault="00B748EB" w:rsidP="00B748EB">
      <w:pPr>
        <w:pStyle w:val="Heading4"/>
      </w:pPr>
      <w:r>
        <w:t>Safety related to drug-</w:t>
      </w:r>
      <w:r w:rsidRPr="00B748EB">
        <w:t>drug</w:t>
      </w:r>
      <w:r>
        <w:t xml:space="preserve"> interactions and other interactions</w:t>
      </w:r>
      <w:bookmarkEnd w:id="166"/>
      <w:bookmarkEnd w:id="167"/>
      <w:bookmarkEnd w:id="168"/>
      <w:bookmarkEnd w:id="169"/>
    </w:p>
    <w:p w14:paraId="70360527" w14:textId="1A7221C1" w:rsidR="00B748EB" w:rsidRDefault="00B748EB" w:rsidP="00B748EB">
      <w:r w:rsidRPr="00B748EB">
        <w:t>There were no specific studies submitted.</w:t>
      </w:r>
      <w:bookmarkStart w:id="170" w:name="_Toc416353758"/>
      <w:bookmarkStart w:id="171" w:name="_Toc421005301"/>
      <w:bookmarkStart w:id="172" w:name="_Toc432079182"/>
      <w:bookmarkStart w:id="173" w:name="_Toc432080755"/>
    </w:p>
    <w:p w14:paraId="6370A15A" w14:textId="77777777" w:rsidR="00B748EB" w:rsidRPr="00B748EB" w:rsidRDefault="00B748EB" w:rsidP="00B748EB">
      <w:pPr>
        <w:pStyle w:val="Heading3"/>
      </w:pPr>
      <w:bookmarkStart w:id="174" w:name="_Toc462903832"/>
      <w:bookmarkStart w:id="175" w:name="_Toc499043864"/>
      <w:r w:rsidRPr="00B748EB">
        <w:t>Post marketing experience</w:t>
      </w:r>
      <w:bookmarkEnd w:id="170"/>
      <w:bookmarkEnd w:id="171"/>
      <w:bookmarkEnd w:id="172"/>
      <w:bookmarkEnd w:id="173"/>
      <w:bookmarkEnd w:id="174"/>
      <w:bookmarkEnd w:id="175"/>
    </w:p>
    <w:p w14:paraId="37C7692A" w14:textId="078AF362" w:rsidR="00B748EB" w:rsidRPr="00B748EB" w:rsidRDefault="008A0FB7" w:rsidP="00B748EB">
      <w:bookmarkStart w:id="176" w:name="_Hlk492374484"/>
      <w:bookmarkStart w:id="177" w:name="_Toc416353770"/>
      <w:bookmarkStart w:id="178" w:name="_Toc421005312"/>
      <w:bookmarkStart w:id="179" w:name="_Toc432079183"/>
      <w:bookmarkStart w:id="180" w:name="_Toc432080756"/>
      <w:r>
        <w:t>Jaydess (L</w:t>
      </w:r>
      <w:r w:rsidR="00B748EB" w:rsidRPr="00B748EB">
        <w:t>C</w:t>
      </w:r>
      <w:r>
        <w:t>S</w:t>
      </w:r>
      <w:r w:rsidR="00B748EB" w:rsidRPr="00B748EB">
        <w:t>12), though registered in Australia is not marketed here. It is noted that the results of EURAS-IUD study were discussed at t</w:t>
      </w:r>
      <w:r w:rsidR="00B748EB">
        <w:t xml:space="preserve">he PRAC during its meeting of 7 to </w:t>
      </w:r>
      <w:r w:rsidR="00B748EB" w:rsidRPr="00B748EB">
        <w:t>10 April 2014. The PRAC recommended that the</w:t>
      </w:r>
      <w:r w:rsidR="00B748EB">
        <w:t xml:space="preserve"> product information for Mirena and Jaydess</w:t>
      </w:r>
      <w:r w:rsidR="00B748EB" w:rsidRPr="00B748EB">
        <w:t xml:space="preserve"> be updated to r</w:t>
      </w:r>
      <w:r w:rsidR="00B748EB">
        <w:t xml:space="preserve">eflect the final 1 </w:t>
      </w:r>
      <w:r w:rsidR="00B748EB" w:rsidRPr="00B748EB">
        <w:t>year follow-up results of the EUR</w:t>
      </w:r>
      <w:r w:rsidR="00B748EB">
        <w:t>AS-IUD study. In addition, the sponsor</w:t>
      </w:r>
      <w:r w:rsidR="00B748EB" w:rsidRPr="00B748EB">
        <w:t xml:space="preserve"> was asked to submit additional data and information, which was provided by the company together with a la</w:t>
      </w:r>
      <w:r w:rsidR="00B748EB">
        <w:t>belling variation in June 2014.</w:t>
      </w:r>
    </w:p>
    <w:p w14:paraId="219F8984" w14:textId="21946255" w:rsidR="00B748EB" w:rsidRPr="00B748EB" w:rsidRDefault="00B748EB" w:rsidP="00B748EB">
      <w:r w:rsidRPr="00B748EB">
        <w:t>Actions arising from the EU Decentralis</w:t>
      </w:r>
      <w:r>
        <w:t>ed Procedure for Jaydess</w:t>
      </w:r>
      <w:r w:rsidRPr="00B748EB">
        <w:t xml:space="preserve"> include additional risk minimisation measures in form of appropriate communication to raise prescribers' awareness </w:t>
      </w:r>
      <w:r w:rsidRPr="00B748EB">
        <w:lastRenderedPageBreak/>
        <w:t>of the risk of ectopic pregnancy, emphasising the importance of early diagnosis, and to help to differentiate between different types of LNG</w:t>
      </w:r>
      <w:r w:rsidR="007A24E9">
        <w:t xml:space="preserve"> </w:t>
      </w:r>
      <w:r w:rsidRPr="00B748EB">
        <w:t>IUS (with different approved duration of use) via ultrasound. Consequently, educational material to address communication measures regarding awareness of the risk of ectopic pregnancy and to help to differentiate between di</w:t>
      </w:r>
      <w:r w:rsidR="007A24E9">
        <w:t xml:space="preserve">fferent types of LNG </w:t>
      </w:r>
      <w:r>
        <w:t>IUS (that is, Jaydess/Mirena</w:t>
      </w:r>
      <w:r w:rsidRPr="00B748EB">
        <w:t>) was developed for all EU countries included in the EU Decentralised Procedure. The educational material was nationally submitted in EU and approved depending on national regulations during 2013 and 2014, and was made available for launch in the indiv</w:t>
      </w:r>
      <w:r>
        <w:t>idual EU countries during 2014.</w:t>
      </w:r>
    </w:p>
    <w:p w14:paraId="32BDD225" w14:textId="68EBC8C9" w:rsidR="00B748EB" w:rsidRPr="00B748EB" w:rsidRDefault="00B748EB" w:rsidP="00B748EB">
      <w:r w:rsidRPr="00B748EB">
        <w:t>It is stated in the</w:t>
      </w:r>
      <w:r>
        <w:t xml:space="preserve"> PSUR that the CCDS for Jaydess</w:t>
      </w:r>
      <w:r w:rsidRPr="00B748EB">
        <w:t xml:space="preserve"> was updated to include the main results of EURAS-IUD regarding uterine perforation. This included perforation rates (for the entire stud</w:t>
      </w:r>
      <w:r>
        <w:t>y population and for the Mirena</w:t>
      </w:r>
      <w:r w:rsidRPr="00B748EB">
        <w:t xml:space="preserve"> and copper IUD cohorts) and an update of the existing warning on risk factors for ute</w:t>
      </w:r>
      <w:r>
        <w:t>rine perforation in the Jaydess</w:t>
      </w:r>
      <w:r w:rsidRPr="00B748EB">
        <w:t xml:space="preserve"> CCDS with numerical information deriving from EURAS-IUD on the risk factors breastfeeding, and time since last delivery. </w:t>
      </w:r>
      <w:r>
        <w:t>A section</w:t>
      </w:r>
      <w:r w:rsidRPr="00B748EB">
        <w:t xml:space="preserve"> was modified to include information on the frequency of perforation in </w:t>
      </w:r>
      <w:r>
        <w:t>the populations at higher risk.</w:t>
      </w:r>
    </w:p>
    <w:p w14:paraId="52659686" w14:textId="0524DA58" w:rsidR="00B748EB" w:rsidRPr="00B748EB" w:rsidRDefault="00B748EB" w:rsidP="00B748EB">
      <w:r w:rsidRPr="00B748EB">
        <w:t xml:space="preserve">There were no other safety related issues </w:t>
      </w:r>
      <w:r>
        <w:t>identified in the PSUR of 2014.</w:t>
      </w:r>
    </w:p>
    <w:p w14:paraId="73B2AA15" w14:textId="36AF18DB" w:rsidR="00B748EB" w:rsidRPr="00B748EB" w:rsidRDefault="00B748EB" w:rsidP="00B748EB">
      <w:r w:rsidRPr="00B748EB">
        <w:t>In 2015 it is estimated that, over 420,00</w:t>
      </w:r>
      <w:r>
        <w:t>0 Jaydess</w:t>
      </w:r>
      <w:r w:rsidRPr="00B748EB">
        <w:t xml:space="preserve"> units were sold. The number of units sol</w:t>
      </w:r>
      <w:r>
        <w:t>d since introduction of Jaydess</w:t>
      </w:r>
      <w:r w:rsidRPr="00B748EB">
        <w:t xml:space="preserve"> to the market is close to 741,000</w:t>
      </w:r>
      <w:r w:rsidR="007A24E9">
        <w:t>. The estimated cumulative post</w:t>
      </w:r>
      <w:r w:rsidR="007A24E9">
        <w:noBreakHyphen/>
      </w:r>
      <w:r w:rsidRPr="00B748EB">
        <w:t xml:space="preserve">marketing exposure is estimated to be more than </w:t>
      </w:r>
      <w:r>
        <w:t>774,000 woman-years for Jaydess</w:t>
      </w:r>
      <w:r w:rsidRPr="00B748EB">
        <w:t xml:space="preserve"> at the time of DLP for this PBRER/PSUR. Close to 535,000 woman</w:t>
      </w:r>
      <w:r>
        <w:t>-years accumulated during 2015.</w:t>
      </w:r>
    </w:p>
    <w:p w14:paraId="68941C18" w14:textId="0A7FDF6D" w:rsidR="00B748EB" w:rsidRPr="00B748EB" w:rsidRDefault="00B748EB" w:rsidP="00B748EB">
      <w:r w:rsidRPr="00B748EB">
        <w:t>No further safety changes or risk minimisation activities were undertaken during this period</w:t>
      </w:r>
      <w:r>
        <w:t>.</w:t>
      </w:r>
    </w:p>
    <w:p w14:paraId="1506B710" w14:textId="77777777" w:rsidR="00B748EB" w:rsidRPr="00B748EB" w:rsidRDefault="00B748EB" w:rsidP="00B748EB">
      <w:pPr>
        <w:pStyle w:val="Heading3"/>
      </w:pPr>
      <w:bookmarkStart w:id="181" w:name="_Toc462903833"/>
      <w:bookmarkStart w:id="182" w:name="_Toc499043865"/>
      <w:bookmarkEnd w:id="176"/>
      <w:r w:rsidRPr="00B748EB">
        <w:t>Evaluator’s overall conclusions on clinical safety</w:t>
      </w:r>
      <w:bookmarkEnd w:id="177"/>
      <w:bookmarkEnd w:id="178"/>
      <w:bookmarkEnd w:id="179"/>
      <w:bookmarkEnd w:id="180"/>
      <w:bookmarkEnd w:id="181"/>
      <w:bookmarkEnd w:id="182"/>
    </w:p>
    <w:p w14:paraId="2EB8E066" w14:textId="3E51A69E" w:rsidR="00B748EB" w:rsidRPr="00B748EB" w:rsidRDefault="00B748EB" w:rsidP="00B748EB">
      <w:bookmarkStart w:id="183" w:name="_Hlk492372753"/>
      <w:r w:rsidRPr="00B748EB">
        <w:t>The pivotal study Protocol 91665 (310442) was designed to compare LCS12 and LCS16 and was the study used in the r</w:t>
      </w:r>
      <w:r>
        <w:t>egistration dossier for Jaydess, that is, the</w:t>
      </w:r>
      <w:r w:rsidRPr="00B748EB">
        <w:t xml:space="preserve"> safety and efficacy of these studies have been evaluated in </w:t>
      </w:r>
      <w:r>
        <w:t>the previous submission</w:t>
      </w:r>
      <w:r w:rsidRPr="00B748EB">
        <w:t>.</w:t>
      </w:r>
      <w:r w:rsidRPr="00B748EB">
        <w:rPr>
          <w:vertAlign w:val="superscript"/>
        </w:rPr>
        <w:fldChar w:fldCharType="begin"/>
      </w:r>
      <w:r w:rsidRPr="00B748EB">
        <w:rPr>
          <w:vertAlign w:val="superscript"/>
        </w:rPr>
        <w:instrText xml:space="preserve"> NOTEREF _Ref492070565 \h </w:instrText>
      </w:r>
      <w:r>
        <w:rPr>
          <w:vertAlign w:val="superscript"/>
        </w:rPr>
        <w:instrText xml:space="preserve"> \* MERGEFORMAT </w:instrText>
      </w:r>
      <w:r w:rsidRPr="00B748EB">
        <w:rPr>
          <w:vertAlign w:val="superscript"/>
        </w:rPr>
      </w:r>
      <w:r w:rsidRPr="00B748EB">
        <w:rPr>
          <w:vertAlign w:val="superscript"/>
        </w:rPr>
        <w:fldChar w:fldCharType="separate"/>
      </w:r>
      <w:r w:rsidR="009A3335">
        <w:rPr>
          <w:vertAlign w:val="superscript"/>
        </w:rPr>
        <w:t>4</w:t>
      </w:r>
      <w:r w:rsidRPr="00B748EB">
        <w:rPr>
          <w:vertAlign w:val="superscript"/>
        </w:rPr>
        <w:fldChar w:fldCharType="end"/>
      </w:r>
      <w:r w:rsidR="009E11FF">
        <w:t xml:space="preserve"> The 3 </w:t>
      </w:r>
      <w:r w:rsidRPr="00B748EB">
        <w:t>year results of safety showed a trend to reducing the number of AEs over the duration. All AEs were similar between groups except for ovarian cysts which were 13.0% versus 20.9% in the LCS12 and LCS16 groups respectively. Other adverse events of special interests did not reveal any clinically significant increase in the LCS16 group. Report PH-37274 deals with the uncontrolled extension study of Protocol 91665 on 707 subjects using LCS16. Whilst these data have limited significance due to the nature of being uncontrolled in design, there were no untoward concerns id</w:t>
      </w:r>
      <w:r w:rsidR="00D20644">
        <w:t>entified in relation to safety.</w:t>
      </w:r>
    </w:p>
    <w:p w14:paraId="6D5A641A" w14:textId="18E3C029" w:rsidR="00B748EB" w:rsidRPr="00B748EB" w:rsidRDefault="00D20644" w:rsidP="00B748EB">
      <w:r>
        <w:t>The Phase II Study A46796, (P</w:t>
      </w:r>
      <w:r w:rsidR="00B748EB" w:rsidRPr="00B748EB">
        <w:t xml:space="preserve">rotocol 308901) where LCS 12 (n = 239), LCS 16 (n = 245) and Mirena (n = 254) were studied for three years, supported the safety </w:t>
      </w:r>
      <w:r>
        <w:t>findings of the pivotal study.</w:t>
      </w:r>
    </w:p>
    <w:p w14:paraId="261926CB" w14:textId="43380F98" w:rsidR="00B748EB" w:rsidRPr="00B748EB" w:rsidRDefault="00B748EB" w:rsidP="00B748EB">
      <w:r w:rsidRPr="00B748EB">
        <w:t xml:space="preserve">Safety of the inserter device: </w:t>
      </w:r>
      <w:r w:rsidR="00D20644">
        <w:t>It is noted that the device to ‘be marketed’</w:t>
      </w:r>
      <w:r w:rsidRPr="00B748EB">
        <w:t xml:space="preserve"> is different to that used in the LCS16 studies that support efficacy. Three studies using this insertion device are discussed </w:t>
      </w:r>
      <w:r w:rsidR="00D20644">
        <w:t>above under the section ‘Clinical Safety: Studies using the same Evolution Inserter’</w:t>
      </w:r>
      <w:r w:rsidRPr="00B748EB">
        <w:t>. A total of 965 subjects have been involved and provide a crude index that the device is safe and does not provide any untoward side effects. This is consider</w:t>
      </w:r>
      <w:r w:rsidR="00D20644">
        <w:t>ed supportive information only.</w:t>
      </w:r>
    </w:p>
    <w:p w14:paraId="3AA41624" w14:textId="5842AA88" w:rsidR="00B748EB" w:rsidRPr="00B748EB" w:rsidRDefault="00B748EB" w:rsidP="00B748EB">
      <w:r w:rsidRPr="00B748EB">
        <w:t xml:space="preserve">A comprehensive evaluation of the device is required from a </w:t>
      </w:r>
      <w:r w:rsidR="00D20644">
        <w:t>quality</w:t>
      </w:r>
      <w:r w:rsidRPr="00B748EB">
        <w:t xml:space="preserve"> point of </w:t>
      </w:r>
      <w:r w:rsidR="00D20644">
        <w:t>view to recommend registration.</w:t>
      </w:r>
    </w:p>
    <w:p w14:paraId="2B6818D6" w14:textId="2BFFDD82" w:rsidR="00B748EB" w:rsidRPr="0079516C" w:rsidRDefault="00B748EB" w:rsidP="00B07BD4">
      <w:r w:rsidRPr="00B748EB">
        <w:t>Overall, the safety o</w:t>
      </w:r>
      <w:r w:rsidR="00D20644">
        <w:t>f the LCS16 appears acceptable.</w:t>
      </w:r>
    </w:p>
    <w:p w14:paraId="7375FCCD" w14:textId="77777777" w:rsidR="00C22678" w:rsidRDefault="00C22678" w:rsidP="00C22678">
      <w:pPr>
        <w:pStyle w:val="Heading2"/>
      </w:pPr>
      <w:bookmarkStart w:id="184" w:name="_Toc499043866"/>
      <w:bookmarkEnd w:id="183"/>
      <w:r>
        <w:lastRenderedPageBreak/>
        <w:t>First round benefit-risk assessment</w:t>
      </w:r>
      <w:bookmarkEnd w:id="184"/>
    </w:p>
    <w:p w14:paraId="42274A53" w14:textId="28BB9B0D" w:rsidR="004519D5" w:rsidRDefault="004519D5" w:rsidP="004519D5">
      <w:pPr>
        <w:pStyle w:val="Heading3"/>
      </w:pPr>
      <w:bookmarkStart w:id="185" w:name="_Toc236802592"/>
      <w:bookmarkStart w:id="186" w:name="_Toc241374331"/>
      <w:bookmarkStart w:id="187" w:name="_Ref272160836"/>
      <w:bookmarkStart w:id="188" w:name="_Toc272414693"/>
      <w:bookmarkStart w:id="189" w:name="_Toc290888557"/>
      <w:bookmarkStart w:id="190" w:name="_Toc453931344"/>
      <w:bookmarkStart w:id="191" w:name="_Toc499043867"/>
      <w:r w:rsidRPr="00611CCF">
        <w:t>First round assessment of benefits</w:t>
      </w:r>
      <w:bookmarkEnd w:id="185"/>
      <w:bookmarkEnd w:id="186"/>
      <w:bookmarkEnd w:id="187"/>
      <w:bookmarkEnd w:id="188"/>
      <w:bookmarkEnd w:id="189"/>
      <w:bookmarkEnd w:id="190"/>
      <w:bookmarkEnd w:id="191"/>
    </w:p>
    <w:p w14:paraId="31D10973" w14:textId="5DBDB20F" w:rsidR="00A95D44" w:rsidRDefault="007A24E9" w:rsidP="00A95D44">
      <w:pPr>
        <w:pStyle w:val="ListBullet"/>
        <w:rPr>
          <w:lang w:eastAsia="ja-JP"/>
        </w:rPr>
      </w:pPr>
      <w:bookmarkStart w:id="192" w:name="_Hlk492470428"/>
      <w:r>
        <w:rPr>
          <w:lang w:eastAsia="ja-JP"/>
        </w:rPr>
        <w:t>Kyleena</w:t>
      </w:r>
      <w:r w:rsidR="00A95D44">
        <w:rPr>
          <w:lang w:eastAsia="ja-JP"/>
        </w:rPr>
        <w:t xml:space="preserve"> provides effective contraception for 5 years, a longer duration of action than the currently registered low dose LNG</w:t>
      </w:r>
      <w:r>
        <w:rPr>
          <w:lang w:eastAsia="ja-JP"/>
        </w:rPr>
        <w:t xml:space="preserve"> </w:t>
      </w:r>
      <w:r w:rsidR="00A95D44">
        <w:rPr>
          <w:lang w:eastAsia="ja-JP"/>
        </w:rPr>
        <w:t>IUS Jaydess.</w:t>
      </w:r>
    </w:p>
    <w:p w14:paraId="3B6449AF" w14:textId="2DF664D4" w:rsidR="00A95D44" w:rsidRDefault="00A95D44" w:rsidP="00A95D44">
      <w:pPr>
        <w:pStyle w:val="ListBullet"/>
        <w:rPr>
          <w:lang w:eastAsia="ja-JP"/>
        </w:rPr>
      </w:pPr>
      <w:r>
        <w:rPr>
          <w:lang w:eastAsia="ja-JP"/>
        </w:rPr>
        <w:t>The daily LNG release rates are lower than Mirena, the currently registered LNG</w:t>
      </w:r>
      <w:r w:rsidR="007A24E9">
        <w:rPr>
          <w:lang w:eastAsia="ja-JP"/>
        </w:rPr>
        <w:t xml:space="preserve"> </w:t>
      </w:r>
      <w:r>
        <w:rPr>
          <w:lang w:eastAsia="ja-JP"/>
        </w:rPr>
        <w:t>IUS product which can be used for 5 years. This may theoretically be associated with a more favourable adverse effect profile, although in the absence of direct comparison to Mirena over 5 years no conclusions can be drawn.</w:t>
      </w:r>
    </w:p>
    <w:p w14:paraId="116B99CD" w14:textId="7A6E0F06" w:rsidR="00A95D44" w:rsidRDefault="00A95D44" w:rsidP="00A95D44">
      <w:pPr>
        <w:pStyle w:val="ListBullet"/>
        <w:rPr>
          <w:lang w:eastAsia="ja-JP"/>
        </w:rPr>
      </w:pPr>
      <w:r>
        <w:rPr>
          <w:lang w:eastAsia="ja-JP"/>
        </w:rPr>
        <w:t>The bleeding profile over 5 years demonstrates a trend towards infrequent bleeding over time. Again, there is no direct comparison to Mirena over the same duration.</w:t>
      </w:r>
    </w:p>
    <w:p w14:paraId="40380888" w14:textId="5EB79FF3" w:rsidR="00A95D44" w:rsidRPr="00A95D44" w:rsidRDefault="00A95D44" w:rsidP="00A95D44">
      <w:pPr>
        <w:pStyle w:val="ListBullet"/>
        <w:rPr>
          <w:lang w:eastAsia="ja-JP"/>
        </w:rPr>
      </w:pPr>
      <w:r>
        <w:rPr>
          <w:lang w:eastAsia="ja-JP"/>
        </w:rPr>
        <w:t>Less systemic progesterone exposure than oral products therefore less risk of progesterone related adverse events.</w:t>
      </w:r>
    </w:p>
    <w:p w14:paraId="46FA66C8" w14:textId="701E6195" w:rsidR="004519D5" w:rsidRDefault="004519D5" w:rsidP="005054EA">
      <w:pPr>
        <w:pStyle w:val="Heading3"/>
      </w:pPr>
      <w:bookmarkStart w:id="193" w:name="_Toc236802596"/>
      <w:bookmarkStart w:id="194" w:name="_Toc241374334"/>
      <w:bookmarkStart w:id="195" w:name="_Ref272160964"/>
      <w:bookmarkStart w:id="196" w:name="_Toc272414694"/>
      <w:bookmarkStart w:id="197" w:name="_Toc290888558"/>
      <w:bookmarkStart w:id="198" w:name="_Toc453931345"/>
      <w:bookmarkStart w:id="199" w:name="_Toc499043868"/>
      <w:bookmarkEnd w:id="192"/>
      <w:r w:rsidRPr="00611CCF">
        <w:t>First round assessment of risks</w:t>
      </w:r>
      <w:bookmarkEnd w:id="193"/>
      <w:bookmarkEnd w:id="194"/>
      <w:bookmarkEnd w:id="195"/>
      <w:bookmarkEnd w:id="196"/>
      <w:bookmarkEnd w:id="197"/>
      <w:bookmarkEnd w:id="198"/>
      <w:bookmarkEnd w:id="199"/>
    </w:p>
    <w:p w14:paraId="75B66674" w14:textId="1D8C647C" w:rsidR="00A95D44" w:rsidRDefault="00A95D44" w:rsidP="00A95D44">
      <w:pPr>
        <w:pStyle w:val="ListBullet"/>
        <w:rPr>
          <w:lang w:eastAsia="ja-JP"/>
        </w:rPr>
      </w:pPr>
      <w:bookmarkStart w:id="200" w:name="_Hlk492373651"/>
      <w:r>
        <w:rPr>
          <w:lang w:eastAsia="ja-JP"/>
        </w:rPr>
        <w:t>Unknown risks:</w:t>
      </w:r>
    </w:p>
    <w:p w14:paraId="71855FA2" w14:textId="19036AAA" w:rsidR="00A95D44" w:rsidRDefault="00A95D44" w:rsidP="00A95D44">
      <w:pPr>
        <w:pStyle w:val="ListBullet2"/>
        <w:rPr>
          <w:lang w:eastAsia="ja-JP"/>
        </w:rPr>
      </w:pPr>
      <w:r>
        <w:rPr>
          <w:lang w:eastAsia="ja-JP"/>
        </w:rPr>
        <w:t>efficacy in women with BMI ≥ 30 kg/m</w:t>
      </w:r>
      <w:r w:rsidRPr="00A95D44">
        <w:rPr>
          <w:vertAlign w:val="superscript"/>
          <w:lang w:eastAsia="ja-JP"/>
        </w:rPr>
        <w:t>2</w:t>
      </w:r>
      <w:r>
        <w:rPr>
          <w:lang w:eastAsia="ja-JP"/>
        </w:rPr>
        <w:t>.</w:t>
      </w:r>
    </w:p>
    <w:p w14:paraId="24B2AE7B" w14:textId="4D945A37" w:rsidR="00A95D44" w:rsidRDefault="00A95D44" w:rsidP="00A95D44">
      <w:pPr>
        <w:pStyle w:val="ListBullet2"/>
        <w:rPr>
          <w:lang w:eastAsia="ja-JP"/>
        </w:rPr>
      </w:pPr>
      <w:r>
        <w:rPr>
          <w:lang w:eastAsia="ja-JP"/>
        </w:rPr>
        <w:t>safety in MRI.</w:t>
      </w:r>
    </w:p>
    <w:p w14:paraId="75DC7C6C" w14:textId="273528C4" w:rsidR="00A95D44" w:rsidRDefault="00A95D44" w:rsidP="00A95D44">
      <w:pPr>
        <w:pStyle w:val="ListBullet"/>
        <w:rPr>
          <w:lang w:eastAsia="ja-JP"/>
        </w:rPr>
      </w:pPr>
      <w:r>
        <w:rPr>
          <w:lang w:eastAsia="ja-JP"/>
        </w:rPr>
        <w:t>Known risks of LNG</w:t>
      </w:r>
      <w:r w:rsidR="007A24E9">
        <w:rPr>
          <w:lang w:eastAsia="ja-JP"/>
        </w:rPr>
        <w:t xml:space="preserve"> </w:t>
      </w:r>
      <w:r>
        <w:rPr>
          <w:lang w:eastAsia="ja-JP"/>
        </w:rPr>
        <w:t>IUS:</w:t>
      </w:r>
    </w:p>
    <w:p w14:paraId="269E2FF9" w14:textId="0927B35D" w:rsidR="00A95D44" w:rsidRDefault="00A95D44" w:rsidP="00A95D44">
      <w:pPr>
        <w:pStyle w:val="ListBullet2"/>
        <w:rPr>
          <w:lang w:eastAsia="ja-JP"/>
        </w:rPr>
      </w:pPr>
      <w:r>
        <w:rPr>
          <w:lang w:eastAsia="ja-JP"/>
        </w:rPr>
        <w:t>unplanned pregnancy.</w:t>
      </w:r>
    </w:p>
    <w:p w14:paraId="1DA33D4C" w14:textId="0D49F903" w:rsidR="00A95D44" w:rsidRDefault="00A95D44" w:rsidP="00A95D44">
      <w:pPr>
        <w:pStyle w:val="ListBullet2"/>
        <w:rPr>
          <w:lang w:eastAsia="ja-JP"/>
        </w:rPr>
      </w:pPr>
      <w:r>
        <w:rPr>
          <w:lang w:eastAsia="ja-JP"/>
        </w:rPr>
        <w:t xml:space="preserve">ectopic pregnancy, expulsion, uterine </w:t>
      </w:r>
      <w:r w:rsidR="003B01FF">
        <w:rPr>
          <w:lang w:eastAsia="ja-JP"/>
        </w:rPr>
        <w:t>perforation</w:t>
      </w:r>
      <w:r>
        <w:rPr>
          <w:lang w:eastAsia="ja-JP"/>
        </w:rPr>
        <w:t>.</w:t>
      </w:r>
    </w:p>
    <w:p w14:paraId="1A735E49" w14:textId="1D212EA3" w:rsidR="00A95D44" w:rsidRDefault="00A95D44" w:rsidP="00A95D44">
      <w:pPr>
        <w:pStyle w:val="ListBullet2"/>
        <w:rPr>
          <w:lang w:eastAsia="ja-JP"/>
        </w:rPr>
      </w:pPr>
      <w:r>
        <w:rPr>
          <w:lang w:eastAsia="ja-JP"/>
        </w:rPr>
        <w:t>ovarian cyst.</w:t>
      </w:r>
    </w:p>
    <w:p w14:paraId="56F4C98B" w14:textId="53B89FDE" w:rsidR="00A95D44" w:rsidRDefault="00A95D44" w:rsidP="00A95D44">
      <w:pPr>
        <w:pStyle w:val="ListBullet2"/>
        <w:rPr>
          <w:lang w:eastAsia="ja-JP"/>
        </w:rPr>
      </w:pPr>
      <w:r>
        <w:rPr>
          <w:lang w:eastAsia="ja-JP"/>
        </w:rPr>
        <w:t>pelvic inflammatory disease.</w:t>
      </w:r>
    </w:p>
    <w:p w14:paraId="07E4CE17" w14:textId="4DC7FFC1" w:rsidR="00A95D44" w:rsidRDefault="00A95D44" w:rsidP="00A95D44">
      <w:pPr>
        <w:pStyle w:val="ListBullet2"/>
        <w:rPr>
          <w:lang w:eastAsia="ja-JP"/>
        </w:rPr>
      </w:pPr>
      <w:r>
        <w:rPr>
          <w:lang w:eastAsia="ja-JP"/>
        </w:rPr>
        <w:t>pain on insertion.</w:t>
      </w:r>
    </w:p>
    <w:p w14:paraId="6FC2EDBE" w14:textId="715D6EE6" w:rsidR="00A95D44" w:rsidRDefault="00A95D44" w:rsidP="00A95D44">
      <w:pPr>
        <w:pStyle w:val="ListBullet2"/>
        <w:rPr>
          <w:lang w:eastAsia="ja-JP"/>
        </w:rPr>
      </w:pPr>
      <w:r>
        <w:rPr>
          <w:lang w:eastAsia="ja-JP"/>
        </w:rPr>
        <w:t>changes in bleeding pattern.</w:t>
      </w:r>
    </w:p>
    <w:p w14:paraId="58927F7F" w14:textId="7ED46D43" w:rsidR="00A95D44" w:rsidRPr="00A95D44" w:rsidRDefault="00A95D44" w:rsidP="00A95D44">
      <w:pPr>
        <w:pStyle w:val="ListBullet2"/>
        <w:rPr>
          <w:lang w:eastAsia="ja-JP"/>
        </w:rPr>
      </w:pPr>
      <w:r>
        <w:rPr>
          <w:lang w:eastAsia="ja-JP"/>
        </w:rPr>
        <w:t>progesterone related effects.</w:t>
      </w:r>
    </w:p>
    <w:p w14:paraId="79F94837" w14:textId="3DB6309C" w:rsidR="00C22678" w:rsidRDefault="00C22678" w:rsidP="00C22678">
      <w:pPr>
        <w:pStyle w:val="Heading2"/>
      </w:pPr>
      <w:bookmarkStart w:id="201" w:name="_Toc499043869"/>
      <w:bookmarkEnd w:id="200"/>
      <w:r>
        <w:t>Clinical questions</w:t>
      </w:r>
      <w:bookmarkEnd w:id="201"/>
    </w:p>
    <w:p w14:paraId="683CE09C" w14:textId="74DA13CD" w:rsidR="00A95D44" w:rsidRPr="00A95D44" w:rsidRDefault="00A95D44" w:rsidP="00A95D44">
      <w:r w:rsidRPr="00A95D44">
        <w:t xml:space="preserve">Q1) Pharmacokinetic data demonstrates an effect of bodyweight on the LNG clearance parameter. Both the </w:t>
      </w:r>
      <w:r w:rsidR="00626A92">
        <w:t>Pearl Index</w:t>
      </w:r>
      <w:r w:rsidRPr="00A95D44">
        <w:t xml:space="preserve"> and cumulative failure rate for women with BMI ≥ 30 kg/m</w:t>
      </w:r>
      <w:r w:rsidRPr="00A95D44">
        <w:rPr>
          <w:vertAlign w:val="superscript"/>
        </w:rPr>
        <w:t>2</w:t>
      </w:r>
      <w:r w:rsidRPr="00A95D44">
        <w:t xml:space="preserve"> in the LCS16 efficacy study were higher than subjects with BMI &lt; 30 kg/m</w:t>
      </w:r>
      <w:r w:rsidRPr="00A95D44">
        <w:rPr>
          <w:vertAlign w:val="superscript"/>
        </w:rPr>
        <w:t>2</w:t>
      </w:r>
      <w:r w:rsidRPr="00A95D44">
        <w:t>. The small number of subjects in the BMI ≥ 30 kg/m</w:t>
      </w:r>
      <w:r w:rsidRPr="00F20382">
        <w:rPr>
          <w:vertAlign w:val="superscript"/>
        </w:rPr>
        <w:t>2</w:t>
      </w:r>
      <w:r w:rsidRPr="00A95D44">
        <w:t xml:space="preserve"> subgroup is noted</w:t>
      </w:r>
      <w:r w:rsidR="002949F5">
        <w:t>;</w:t>
      </w:r>
      <w:r w:rsidRPr="00A95D44">
        <w:t xml:space="preserve"> however, please comment on efficacy in this population. Are there post-marketing pregnancy data available for Jaydess in women with BMI ≥ 30 kg/m</w:t>
      </w:r>
      <w:r w:rsidRPr="00F20382">
        <w:rPr>
          <w:vertAlign w:val="superscript"/>
        </w:rPr>
        <w:t>2</w:t>
      </w:r>
      <w:r w:rsidRPr="00A95D44">
        <w:t>?</w:t>
      </w:r>
    </w:p>
    <w:p w14:paraId="5CBAA446" w14:textId="1A9ADE7D" w:rsidR="00A95D44" w:rsidRPr="00A95D44" w:rsidRDefault="00834292" w:rsidP="00A95D44">
      <w:r>
        <w:t>Q2</w:t>
      </w:r>
      <w:r w:rsidR="00A95D44" w:rsidRPr="00A95D44">
        <w:t xml:space="preserve">) Please state whether Jaydess will be marketed together with </w:t>
      </w:r>
      <w:r w:rsidR="007A24E9">
        <w:t>Kyleena</w:t>
      </w:r>
      <w:r w:rsidR="00A95D44" w:rsidRPr="00A95D44">
        <w:t>, in Australia? If so, what principles are to be taken to prevent medication errors? This is considered relevant because the two products have different duration of contraception as the indication.</w:t>
      </w:r>
    </w:p>
    <w:p w14:paraId="7F3CEC3D" w14:textId="15D4E9E0" w:rsidR="00A95D44" w:rsidRPr="00A95D44" w:rsidRDefault="00272AD3" w:rsidP="00A95D44">
      <w:r>
        <w:t>Q3</w:t>
      </w:r>
      <w:r w:rsidR="00A95D44" w:rsidRPr="00A95D44">
        <w:t xml:space="preserve">) </w:t>
      </w:r>
      <w:r w:rsidR="00F20382">
        <w:t>Adverse effects included ‘Table 4’ [not included here]</w:t>
      </w:r>
      <w:r w:rsidR="00A95D44" w:rsidRPr="00A95D44">
        <w:t xml:space="preserve"> that re</w:t>
      </w:r>
      <w:r w:rsidR="00F20382">
        <w:t>fers to bleeding patterns at 90 </w:t>
      </w:r>
      <w:r w:rsidR="00A95D44" w:rsidRPr="00A95D44">
        <w:t>days to 5 years. The types of abnormalities discussed are amenorrhoea, infrequent bleeding, frequent bleeding and prolonged bleeding. Clearly this should only include the pivotal study and its extension t</w:t>
      </w:r>
      <w:r w:rsidR="00F20382">
        <w:t xml:space="preserve">o 5 years. The cross reference </w:t>
      </w:r>
      <w:r w:rsidR="00A95D44" w:rsidRPr="00A95D44">
        <w:t xml:space="preserve">does not appear to relate to the findings of this </w:t>
      </w:r>
      <w:r w:rsidR="00A95D44" w:rsidRPr="00A95D44">
        <w:lastRenderedPageBreak/>
        <w:t>study rather discusses the pooled data which is not a factual representation as the second study does not extend to 5 years.</w:t>
      </w:r>
    </w:p>
    <w:p w14:paraId="316997B4" w14:textId="4154DE43" w:rsidR="00A95D44" w:rsidRPr="00A95D44" w:rsidRDefault="00A95D44" w:rsidP="00A95D44">
      <w:r w:rsidRPr="00A95D44">
        <w:t>Please provide the results for the bleeding abnormalities that relate to the pivotal study and its extension arm. Please also provide the cross reference for these findings.</w:t>
      </w:r>
    </w:p>
    <w:p w14:paraId="03EC25E0" w14:textId="67EAF867" w:rsidR="00A95D44" w:rsidRPr="00A95D44" w:rsidRDefault="00272AD3" w:rsidP="00A95D44">
      <w:r>
        <w:t>Q4</w:t>
      </w:r>
      <w:r w:rsidR="00A95D44" w:rsidRPr="00A95D44">
        <w:t xml:space="preserve">) What is the evidence behind the concerns about </w:t>
      </w:r>
      <w:r w:rsidR="007A24E9">
        <w:t>Kyleena</w:t>
      </w:r>
      <w:r w:rsidR="00A95D44" w:rsidRPr="00A95D44">
        <w:t xml:space="preserve"> and use in congenital or valvular heart disease?</w:t>
      </w:r>
    </w:p>
    <w:p w14:paraId="5E3BCFF9" w14:textId="4F3E6A3F" w:rsidR="00A95D44" w:rsidRPr="00A95D44" w:rsidRDefault="00272AD3" w:rsidP="00A95D44">
      <w:r>
        <w:t>Q5</w:t>
      </w:r>
      <w:r w:rsidR="00A95D44" w:rsidRPr="00A95D44">
        <w:t xml:space="preserve">) Is there any evidence that the low systemic levels of progesterone associated with the use of </w:t>
      </w:r>
      <w:r w:rsidR="007A24E9">
        <w:t>Kyleena</w:t>
      </w:r>
      <w:r w:rsidR="00A95D44" w:rsidRPr="00A95D44">
        <w:t xml:space="preserve"> will cause problems with glucose metabolism?</w:t>
      </w:r>
    </w:p>
    <w:p w14:paraId="047E3C7A" w14:textId="40C5A263" w:rsidR="00A95D44" w:rsidRPr="00A95D44" w:rsidRDefault="00272AD3" w:rsidP="00A95D44">
      <w:r>
        <w:t>Q6</w:t>
      </w:r>
      <w:r w:rsidR="00A95D44" w:rsidRPr="00A95D44">
        <w:t xml:space="preserve">) Is it safe for women with a </w:t>
      </w:r>
      <w:r w:rsidR="007A24E9">
        <w:t>Kyleena</w:t>
      </w:r>
      <w:r w:rsidR="00A95D44" w:rsidRPr="00A95D44">
        <w:t xml:space="preserve"> IUD to undergo an MRI? What is the experience with similar products? Does there need to be a stronger warning against this?</w:t>
      </w:r>
    </w:p>
    <w:p w14:paraId="0920D0ED" w14:textId="077D1B25" w:rsidR="00A95D44" w:rsidRDefault="00272AD3" w:rsidP="00A95D44">
      <w:r>
        <w:t>Q7</w:t>
      </w:r>
      <w:r w:rsidR="00A95D44" w:rsidRPr="00A95D44">
        <w:t xml:space="preserve">) Please comment on the risk of PID with </w:t>
      </w:r>
      <w:r w:rsidR="007A24E9">
        <w:t>Kyleena</w:t>
      </w:r>
      <w:r w:rsidR="00A95D44" w:rsidRPr="00A95D44">
        <w:t xml:space="preserve"> compared to the background rate of PID in sexually active women of this age without an IUD.</w:t>
      </w:r>
    </w:p>
    <w:p w14:paraId="7AD0251F" w14:textId="10BCB091" w:rsidR="00272AD3" w:rsidRPr="00A95D44" w:rsidRDefault="00272AD3" w:rsidP="00A95D44">
      <w:r>
        <w:t>Q8</w:t>
      </w:r>
      <w:r w:rsidRPr="00A95D44">
        <w:t xml:space="preserve">) Please describe the evidence behind the following statement under </w:t>
      </w:r>
      <w:r>
        <w:t>‘</w:t>
      </w:r>
      <w:r w:rsidRPr="00A95D44">
        <w:t>Clinical Trials</w:t>
      </w:r>
      <w:r>
        <w:t>’</w:t>
      </w:r>
      <w:r w:rsidRPr="00A95D44">
        <w:t xml:space="preserve"> </w:t>
      </w:r>
      <w:r>
        <w:t>of the proposed PI: ‘</w:t>
      </w:r>
      <w:r w:rsidRPr="00A95D44">
        <w:t xml:space="preserve">The use of </w:t>
      </w:r>
      <w:r>
        <w:t>Kyleena</w:t>
      </w:r>
      <w:r w:rsidRPr="00A95D44">
        <w:t xml:space="preserve"> does not alter the</w:t>
      </w:r>
      <w:r>
        <w:t xml:space="preserve"> course of the future fertility’.</w:t>
      </w:r>
    </w:p>
    <w:p w14:paraId="11739370" w14:textId="59C13883" w:rsidR="00A95D44" w:rsidRPr="00A95D44" w:rsidRDefault="00272AD3" w:rsidP="00A95D44">
      <w:r>
        <w:t>Q9</w:t>
      </w:r>
      <w:r w:rsidR="00A95D44" w:rsidRPr="00A95D44">
        <w:t>) Please provide an update on overseas regulatory status for LCS16.</w:t>
      </w:r>
    </w:p>
    <w:p w14:paraId="165512A8" w14:textId="7A2B1C09" w:rsidR="00C618F7" w:rsidRDefault="00C618F7" w:rsidP="00C618F7">
      <w:pPr>
        <w:pStyle w:val="Heading2"/>
      </w:pPr>
      <w:bookmarkStart w:id="202" w:name="_Toc499043870"/>
      <w:r>
        <w:t>Second round evaluation of clinical data submitted in response to questions</w:t>
      </w:r>
      <w:bookmarkEnd w:id="202"/>
    </w:p>
    <w:p w14:paraId="62DF7AFB" w14:textId="79D88B12" w:rsidR="00F20382" w:rsidRPr="00F20382" w:rsidRDefault="00F20382" w:rsidP="00F20382">
      <w:pPr>
        <w:pStyle w:val="Heading3"/>
      </w:pPr>
      <w:bookmarkStart w:id="203" w:name="_Toc499043871"/>
      <w:r>
        <w:t>Change to proposed trade name</w:t>
      </w:r>
      <w:bookmarkEnd w:id="203"/>
    </w:p>
    <w:p w14:paraId="77D8C6CD" w14:textId="291D550F" w:rsidR="00F20382" w:rsidRDefault="00F20382" w:rsidP="00F20382">
      <w:pPr>
        <w:rPr>
          <w:lang w:eastAsia="ja-JP"/>
        </w:rPr>
      </w:pPr>
      <w:r>
        <w:rPr>
          <w:lang w:eastAsia="ja-JP"/>
        </w:rPr>
        <w:t>Of note, at the second round response to TGA questions the sponsor states the proposed trade name Sofit</w:t>
      </w:r>
      <w:r w:rsidR="005F05DA">
        <w:rPr>
          <w:lang w:eastAsia="ja-JP"/>
        </w:rPr>
        <w:t>ta has been changed to Kyleena.</w:t>
      </w:r>
      <w:r w:rsidR="005F05DA" w:rsidRPr="005F05DA">
        <w:rPr>
          <w:vertAlign w:val="superscript"/>
          <w:lang w:eastAsia="ja-JP"/>
        </w:rPr>
        <w:fldChar w:fldCharType="begin"/>
      </w:r>
      <w:r w:rsidR="005F05DA" w:rsidRPr="005F05DA">
        <w:rPr>
          <w:vertAlign w:val="superscript"/>
          <w:lang w:eastAsia="ja-JP"/>
        </w:rPr>
        <w:instrText xml:space="preserve"> NOTEREF _Ref492650170 \h </w:instrText>
      </w:r>
      <w:r w:rsidR="005F05DA">
        <w:rPr>
          <w:vertAlign w:val="superscript"/>
          <w:lang w:eastAsia="ja-JP"/>
        </w:rPr>
        <w:instrText xml:space="preserve"> \* MERGEFORMAT </w:instrText>
      </w:r>
      <w:r w:rsidR="005F05DA" w:rsidRPr="005F05DA">
        <w:rPr>
          <w:vertAlign w:val="superscript"/>
          <w:lang w:eastAsia="ja-JP"/>
        </w:rPr>
      </w:r>
      <w:r w:rsidR="005F05DA" w:rsidRPr="005F05DA">
        <w:rPr>
          <w:vertAlign w:val="superscript"/>
          <w:lang w:eastAsia="ja-JP"/>
        </w:rPr>
        <w:fldChar w:fldCharType="separate"/>
      </w:r>
      <w:r w:rsidR="009A3335">
        <w:rPr>
          <w:vertAlign w:val="superscript"/>
          <w:lang w:eastAsia="ja-JP"/>
        </w:rPr>
        <w:t>1</w:t>
      </w:r>
      <w:r w:rsidR="005F05DA" w:rsidRPr="005F05DA">
        <w:rPr>
          <w:vertAlign w:val="superscript"/>
          <w:lang w:eastAsia="ja-JP"/>
        </w:rPr>
        <w:fldChar w:fldCharType="end"/>
      </w:r>
    </w:p>
    <w:p w14:paraId="524F99B6" w14:textId="53CF53EB" w:rsidR="00F20382" w:rsidRDefault="00F20382" w:rsidP="00F20382">
      <w:pPr>
        <w:pStyle w:val="Heading3"/>
      </w:pPr>
      <w:bookmarkStart w:id="204" w:name="_Toc499043872"/>
      <w:r>
        <w:t>Response to clinical questions</w:t>
      </w:r>
      <w:bookmarkEnd w:id="204"/>
    </w:p>
    <w:p w14:paraId="5A86A1AF" w14:textId="704078A2" w:rsidR="00F20382" w:rsidRDefault="00F20382" w:rsidP="00F20382">
      <w:pPr>
        <w:pStyle w:val="Heading4"/>
      </w:pPr>
      <w:r>
        <w:t>Question 1</w:t>
      </w:r>
    </w:p>
    <w:p w14:paraId="52C8C30B" w14:textId="27609DF1" w:rsidR="00F20382" w:rsidRPr="00F20382" w:rsidRDefault="00F20382" w:rsidP="00F20382">
      <w:pPr>
        <w:ind w:left="720"/>
        <w:rPr>
          <w:i/>
          <w:lang w:eastAsia="ja-JP"/>
        </w:rPr>
      </w:pPr>
      <w:r>
        <w:rPr>
          <w:i/>
          <w:lang w:eastAsia="ja-JP"/>
        </w:rPr>
        <w:t>‘</w:t>
      </w:r>
      <w:r w:rsidRPr="00F20382">
        <w:rPr>
          <w:i/>
          <w:lang w:eastAsia="ja-JP"/>
        </w:rPr>
        <w:t xml:space="preserve">Pharmacokinetic data demonstrates an effect of bodyweight on the LNG clearance parameter. Both the </w:t>
      </w:r>
      <w:r w:rsidR="00626A92">
        <w:rPr>
          <w:i/>
          <w:lang w:eastAsia="ja-JP"/>
        </w:rPr>
        <w:t>Pearl Index</w:t>
      </w:r>
      <w:r w:rsidRPr="00F20382">
        <w:rPr>
          <w:i/>
          <w:lang w:eastAsia="ja-JP"/>
        </w:rPr>
        <w:t xml:space="preserve"> and cumulative failure rate for women with BMI ≥ 30 kg/m</w:t>
      </w:r>
      <w:r w:rsidRPr="00F20382">
        <w:rPr>
          <w:i/>
          <w:vertAlign w:val="superscript"/>
          <w:lang w:eastAsia="ja-JP"/>
        </w:rPr>
        <w:t>2</w:t>
      </w:r>
      <w:r w:rsidRPr="00F20382">
        <w:rPr>
          <w:i/>
          <w:lang w:eastAsia="ja-JP"/>
        </w:rPr>
        <w:t xml:space="preserve"> in the LCS16 efficacy study were higher than subjects with BMI &lt; 30 kg/m</w:t>
      </w:r>
      <w:r w:rsidRPr="00F20382">
        <w:rPr>
          <w:i/>
          <w:vertAlign w:val="superscript"/>
          <w:lang w:eastAsia="ja-JP"/>
        </w:rPr>
        <w:t>2</w:t>
      </w:r>
      <w:r w:rsidRPr="00F20382">
        <w:rPr>
          <w:i/>
          <w:lang w:eastAsia="ja-JP"/>
        </w:rPr>
        <w:t>. The small number of subjects in the BMI ≥ 30 kg/m</w:t>
      </w:r>
      <w:r w:rsidRPr="00F20382">
        <w:rPr>
          <w:i/>
          <w:vertAlign w:val="superscript"/>
          <w:lang w:eastAsia="ja-JP"/>
        </w:rPr>
        <w:t>2</w:t>
      </w:r>
      <w:r w:rsidRPr="00F20382">
        <w:rPr>
          <w:i/>
          <w:lang w:eastAsia="ja-JP"/>
        </w:rPr>
        <w:t xml:space="preserve"> subgroup is noted</w:t>
      </w:r>
      <w:r w:rsidR="002949F5">
        <w:rPr>
          <w:i/>
          <w:lang w:eastAsia="ja-JP"/>
        </w:rPr>
        <w:t>;</w:t>
      </w:r>
      <w:r w:rsidRPr="00F20382">
        <w:rPr>
          <w:i/>
          <w:lang w:eastAsia="ja-JP"/>
        </w:rPr>
        <w:t xml:space="preserve"> however, please comment on efficacy in this population. Are there post-marketing pregnancy data available for Jaydess in women with BMI ≥ 30 kg/m</w:t>
      </w:r>
      <w:r w:rsidRPr="00F20382">
        <w:rPr>
          <w:i/>
          <w:vertAlign w:val="superscript"/>
          <w:lang w:eastAsia="ja-JP"/>
        </w:rPr>
        <w:t>2</w:t>
      </w:r>
      <w:r w:rsidRPr="00F20382">
        <w:rPr>
          <w:i/>
          <w:lang w:eastAsia="ja-JP"/>
        </w:rPr>
        <w:t>?</w:t>
      </w:r>
      <w:r>
        <w:rPr>
          <w:i/>
          <w:lang w:eastAsia="ja-JP"/>
        </w:rPr>
        <w:t>’</w:t>
      </w:r>
    </w:p>
    <w:p w14:paraId="23CFDD43" w14:textId="01E8E998" w:rsidR="00F20382" w:rsidRDefault="00F20382" w:rsidP="00F20382">
      <w:pPr>
        <w:pStyle w:val="Heading5"/>
        <w:rPr>
          <w:lang w:eastAsia="ja-JP"/>
        </w:rPr>
      </w:pPr>
      <w:r>
        <w:rPr>
          <w:lang w:eastAsia="ja-JP"/>
        </w:rPr>
        <w:t>Sponsor</w:t>
      </w:r>
      <w:r w:rsidR="005F05DA">
        <w:rPr>
          <w:lang w:eastAsia="ja-JP"/>
        </w:rPr>
        <w:t>’s</w:t>
      </w:r>
      <w:r>
        <w:rPr>
          <w:lang w:eastAsia="ja-JP"/>
        </w:rPr>
        <w:t xml:space="preserve"> response</w:t>
      </w:r>
    </w:p>
    <w:p w14:paraId="4A8445AE" w14:textId="4E9B57CF" w:rsidR="00F20382" w:rsidRDefault="00F20382" w:rsidP="00F20382">
      <w:pPr>
        <w:rPr>
          <w:lang w:eastAsia="ja-JP"/>
        </w:rPr>
      </w:pPr>
      <w:r>
        <w:rPr>
          <w:lang w:eastAsia="ja-JP"/>
        </w:rPr>
        <w:t>Pharmacokinetically, there was a body weight effect on clearance observed for Kyleena as well as for Jaydess. However, due to the mainly local mechanism of action of levonorgestrel releasing intrauterine systems (LNG IUS), the efficacy is not dependent on the BMI. When comparing the serum concentrations for Kyleena at 5 years post insertion (Geometric Mean: 83.1 ng/L; 95% </w:t>
      </w:r>
      <w:r w:rsidR="000F784E">
        <w:rPr>
          <w:lang w:eastAsia="ja-JP"/>
        </w:rPr>
        <w:t>CI</w:t>
      </w:r>
      <w:r>
        <w:rPr>
          <w:lang w:eastAsia="ja-JP"/>
        </w:rPr>
        <w:t>: 78.9,</w:t>
      </w:r>
      <w:r w:rsidR="000F784E">
        <w:rPr>
          <w:lang w:eastAsia="ja-JP"/>
        </w:rPr>
        <w:t xml:space="preserve"> 87.5 ng/L) with Jaydess</w:t>
      </w:r>
      <w:r>
        <w:rPr>
          <w:lang w:eastAsia="ja-JP"/>
        </w:rPr>
        <w:t xml:space="preserve"> at 1 year (Geometric Mean: 71.0 ng/L; 95% </w:t>
      </w:r>
      <w:r w:rsidR="000F784E">
        <w:rPr>
          <w:lang w:eastAsia="ja-JP"/>
        </w:rPr>
        <w:t>CI</w:t>
      </w:r>
      <w:r>
        <w:rPr>
          <w:lang w:eastAsia="ja-JP"/>
        </w:rPr>
        <w:t>: 69.8,</w:t>
      </w:r>
      <w:r w:rsidR="000F784E">
        <w:rPr>
          <w:lang w:eastAsia="ja-JP"/>
        </w:rPr>
        <w:t xml:space="preserve"> 72.2  </w:t>
      </w:r>
      <w:r>
        <w:rPr>
          <w:lang w:eastAsia="ja-JP"/>
        </w:rPr>
        <w:t xml:space="preserve">g/L) and 3 years after </w:t>
      </w:r>
      <w:r w:rsidR="000F784E">
        <w:rPr>
          <w:lang w:eastAsia="ja-JP"/>
        </w:rPr>
        <w:t>insertion (Geometric Mean: 58.6 </w:t>
      </w:r>
      <w:r>
        <w:rPr>
          <w:lang w:eastAsia="ja-JP"/>
        </w:rPr>
        <w:t xml:space="preserve">ng/L; 95% </w:t>
      </w:r>
      <w:r w:rsidR="000F784E">
        <w:rPr>
          <w:lang w:eastAsia="ja-JP"/>
        </w:rPr>
        <w:t>CI: 56.5,</w:t>
      </w:r>
      <w:r>
        <w:rPr>
          <w:lang w:eastAsia="ja-JP"/>
        </w:rPr>
        <w:t xml:space="preserve"> 60.8 ng/L), it can be observed that Kyleena serum concentrations at five years are similar, but slightly higher than for Jaydess at 1 year after insertion and clearly higher without overlapping 95% confidence intervals at 3 years after insertion. Despite these lower serum levonorgestrel concentratio</w:t>
      </w:r>
      <w:r w:rsidR="000F784E">
        <w:rPr>
          <w:lang w:eastAsia="ja-JP"/>
        </w:rPr>
        <w:t xml:space="preserve">ns observed for Jaydess, Pearl </w:t>
      </w:r>
      <w:r w:rsidR="00F30F86">
        <w:rPr>
          <w:lang w:eastAsia="ja-JP"/>
        </w:rPr>
        <w:t>Indices</w:t>
      </w:r>
      <w:r>
        <w:rPr>
          <w:lang w:eastAsia="ja-JP"/>
        </w:rPr>
        <w:t xml:space="preserve"> for both products are similar.</w:t>
      </w:r>
    </w:p>
    <w:p w14:paraId="32F4F420" w14:textId="3FDDBE0C" w:rsidR="00F20382" w:rsidRDefault="00F20382" w:rsidP="00F20382">
      <w:pPr>
        <w:rPr>
          <w:lang w:eastAsia="ja-JP"/>
        </w:rPr>
      </w:pPr>
      <w:r>
        <w:rPr>
          <w:lang w:eastAsia="ja-JP"/>
        </w:rPr>
        <w:t xml:space="preserve">In </w:t>
      </w:r>
      <w:r w:rsidR="000F784E">
        <w:rPr>
          <w:lang w:eastAsia="ja-JP"/>
        </w:rPr>
        <w:t xml:space="preserve">the submission, a table [not included here] </w:t>
      </w:r>
      <w:r>
        <w:rPr>
          <w:lang w:eastAsia="ja-JP"/>
        </w:rPr>
        <w:t xml:space="preserve">summarises </w:t>
      </w:r>
      <w:r w:rsidR="000F784E">
        <w:rPr>
          <w:lang w:eastAsia="ja-JP"/>
        </w:rPr>
        <w:t xml:space="preserve">the number of during-treatment </w:t>
      </w:r>
      <w:r>
        <w:rPr>
          <w:lang w:eastAsia="ja-JP"/>
        </w:rPr>
        <w:t xml:space="preserve">pregnancies in the subgroups based on age, parity status, age and parity combined, BMI and </w:t>
      </w:r>
      <w:r>
        <w:rPr>
          <w:lang w:eastAsia="ja-JP"/>
        </w:rPr>
        <w:lastRenderedPageBreak/>
        <w:t>ethnicity in t</w:t>
      </w:r>
      <w:r w:rsidR="000F784E">
        <w:rPr>
          <w:lang w:eastAsia="ja-JP"/>
        </w:rPr>
        <w:t>he LCS16 efficacy study, Phase II s</w:t>
      </w:r>
      <w:r>
        <w:rPr>
          <w:lang w:eastAsia="ja-JP"/>
        </w:rPr>
        <w:t>tudy, and in the pooled data. In most cases, women with pregnancies had a BMI under 30 kg/m</w:t>
      </w:r>
      <w:r w:rsidRPr="000F784E">
        <w:rPr>
          <w:vertAlign w:val="superscript"/>
          <w:lang w:eastAsia="ja-JP"/>
        </w:rPr>
        <w:t>2</w:t>
      </w:r>
      <w:r>
        <w:rPr>
          <w:lang w:eastAsia="ja-JP"/>
        </w:rPr>
        <w:t xml:space="preserve"> (pooled LCS</w:t>
      </w:r>
      <w:r w:rsidR="000F784E">
        <w:rPr>
          <w:lang w:eastAsia="ja-JP"/>
        </w:rPr>
        <w:t>16: 14 out of 18, pooled LCS12: </w:t>
      </w:r>
      <w:r>
        <w:rPr>
          <w:lang w:eastAsia="ja-JP"/>
        </w:rPr>
        <w:t>10 out of 11 pregnancies). The number of subjects in the BMI ≥ 30 kg/m</w:t>
      </w:r>
      <w:r w:rsidRPr="000F784E">
        <w:rPr>
          <w:vertAlign w:val="superscript"/>
          <w:lang w:eastAsia="ja-JP"/>
        </w:rPr>
        <w:t>2</w:t>
      </w:r>
      <w:r>
        <w:rPr>
          <w:lang w:eastAsia="ja-JP"/>
        </w:rPr>
        <w:t xml:space="preserve"> subgroup is small. In the pivotal study, in the subgroup with BMI under 30 kg/m</w:t>
      </w:r>
      <w:r w:rsidRPr="000F784E">
        <w:rPr>
          <w:vertAlign w:val="superscript"/>
          <w:lang w:eastAsia="ja-JP"/>
        </w:rPr>
        <w:t>2</w:t>
      </w:r>
      <w:r>
        <w:rPr>
          <w:lang w:eastAsia="ja-JP"/>
        </w:rPr>
        <w:t xml:space="preserve">, 9 pregnancies in </w:t>
      </w:r>
      <w:r w:rsidR="000F784E">
        <w:rPr>
          <w:lang w:eastAsia="ja-JP"/>
        </w:rPr>
        <w:t>a total of</w:t>
      </w:r>
      <w:r>
        <w:rPr>
          <w:lang w:eastAsia="ja-JP"/>
        </w:rPr>
        <w:t xml:space="preserve"> 1198 women occurred while 4 pregnancies in </w:t>
      </w:r>
      <w:r w:rsidR="000F784E">
        <w:rPr>
          <w:lang w:eastAsia="ja-JP"/>
        </w:rPr>
        <w:t>a total of</w:t>
      </w:r>
      <w:r>
        <w:rPr>
          <w:lang w:eastAsia="ja-JP"/>
        </w:rPr>
        <w:t xml:space="preserve"> 250 women in the subgroup with the BMI ≥</w:t>
      </w:r>
      <w:r w:rsidR="000F784E">
        <w:rPr>
          <w:lang w:eastAsia="ja-JP"/>
        </w:rPr>
        <w:t xml:space="preserve"> </w:t>
      </w:r>
      <w:r>
        <w:rPr>
          <w:lang w:eastAsia="ja-JP"/>
        </w:rPr>
        <w:t>30 kg/m</w:t>
      </w:r>
      <w:r w:rsidRPr="000F784E">
        <w:rPr>
          <w:vertAlign w:val="superscript"/>
          <w:lang w:eastAsia="ja-JP"/>
        </w:rPr>
        <w:t>2</w:t>
      </w:r>
      <w:r>
        <w:rPr>
          <w:lang w:eastAsia="ja-JP"/>
        </w:rPr>
        <w:t xml:space="preserve"> occurred. Due to the small number of women in the BMI ≥30 kg/m</w:t>
      </w:r>
      <w:r w:rsidRPr="000F784E">
        <w:rPr>
          <w:vertAlign w:val="superscript"/>
          <w:lang w:eastAsia="ja-JP"/>
        </w:rPr>
        <w:t>2</w:t>
      </w:r>
      <w:r>
        <w:rPr>
          <w:lang w:eastAsia="ja-JP"/>
        </w:rPr>
        <w:t>, the confidence intervals for the contraceptive efficacy and the probability of getting pregnant are wider than for the larger group with the BMI under 30 kg/m</w:t>
      </w:r>
      <w:r w:rsidRPr="000F784E">
        <w:rPr>
          <w:vertAlign w:val="superscript"/>
          <w:lang w:eastAsia="ja-JP"/>
        </w:rPr>
        <w:t>2</w:t>
      </w:r>
      <w:r>
        <w:rPr>
          <w:lang w:eastAsia="ja-JP"/>
        </w:rPr>
        <w:t>. However, these confidence intervals overlap at all time</w:t>
      </w:r>
      <w:r w:rsidR="007A24E9">
        <w:rPr>
          <w:lang w:eastAsia="ja-JP"/>
        </w:rPr>
        <w:t xml:space="preserve"> </w:t>
      </w:r>
      <w:r>
        <w:rPr>
          <w:lang w:eastAsia="ja-JP"/>
        </w:rPr>
        <w:t>points giving no indication that there is a difference in the contraceptive efficac</w:t>
      </w:r>
      <w:r w:rsidR="000F784E">
        <w:rPr>
          <w:lang w:eastAsia="ja-JP"/>
        </w:rPr>
        <w:t>y between the two BMI subgroups.</w:t>
      </w:r>
    </w:p>
    <w:p w14:paraId="2158F1C9" w14:textId="7D54A5C6" w:rsidR="00F20382" w:rsidRDefault="00F20382" w:rsidP="00F20382">
      <w:pPr>
        <w:rPr>
          <w:lang w:eastAsia="ja-JP"/>
        </w:rPr>
      </w:pPr>
      <w:r>
        <w:rPr>
          <w:lang w:eastAsia="ja-JP"/>
        </w:rPr>
        <w:t>There are no post-marketing data available on pregnancy rate for Jaydess in women with a BMI</w:t>
      </w:r>
      <w:r w:rsidR="000F784E">
        <w:rPr>
          <w:lang w:eastAsia="ja-JP"/>
        </w:rPr>
        <w:t> </w:t>
      </w:r>
      <w:r>
        <w:rPr>
          <w:lang w:eastAsia="ja-JP"/>
        </w:rPr>
        <w:t>≥ 30 kg/m</w:t>
      </w:r>
      <w:r w:rsidRPr="000F784E">
        <w:rPr>
          <w:vertAlign w:val="superscript"/>
          <w:lang w:eastAsia="ja-JP"/>
        </w:rPr>
        <w:t>2</w:t>
      </w:r>
      <w:r>
        <w:rPr>
          <w:lang w:eastAsia="ja-JP"/>
        </w:rPr>
        <w:t>. However, there are pooled data across 6 studies with a total of 3222 women with a BMI &lt;</w:t>
      </w:r>
      <w:r w:rsidR="000F784E">
        <w:rPr>
          <w:lang w:eastAsia="ja-JP"/>
        </w:rPr>
        <w:t xml:space="preserve"> </w:t>
      </w:r>
      <w:r>
        <w:rPr>
          <w:lang w:eastAsia="ja-JP"/>
        </w:rPr>
        <w:t>30 kg/m</w:t>
      </w:r>
      <w:r w:rsidRPr="000F784E">
        <w:rPr>
          <w:vertAlign w:val="superscript"/>
          <w:lang w:eastAsia="ja-JP"/>
        </w:rPr>
        <w:t>2</w:t>
      </w:r>
      <w:r>
        <w:rPr>
          <w:lang w:eastAsia="ja-JP"/>
        </w:rPr>
        <w:t xml:space="preserve"> and 335 women with a BMI ≥</w:t>
      </w:r>
      <w:r w:rsidR="000F784E">
        <w:rPr>
          <w:lang w:eastAsia="ja-JP"/>
        </w:rPr>
        <w:t xml:space="preserve"> </w:t>
      </w:r>
      <w:r>
        <w:rPr>
          <w:lang w:eastAsia="ja-JP"/>
        </w:rPr>
        <w:t>30 kg/m</w:t>
      </w:r>
      <w:r w:rsidRPr="000F784E">
        <w:rPr>
          <w:vertAlign w:val="superscript"/>
          <w:lang w:eastAsia="ja-JP"/>
        </w:rPr>
        <w:t>2</w:t>
      </w:r>
      <w:r>
        <w:rPr>
          <w:lang w:eastAsia="ja-JP"/>
        </w:rPr>
        <w:t xml:space="preserve"> using Jaydess in th</w:t>
      </w:r>
      <w:r w:rsidR="000F784E">
        <w:rPr>
          <w:lang w:eastAsia="ja-JP"/>
        </w:rPr>
        <w:t>e RMP Integrated Analysis (IA) [see Table</w:t>
      </w:r>
      <w:r w:rsidR="005F05DA">
        <w:rPr>
          <w:lang w:eastAsia="ja-JP"/>
        </w:rPr>
        <w:t>s 36 and 37, included with</w:t>
      </w:r>
      <w:r w:rsidR="000F784E">
        <w:rPr>
          <w:lang w:eastAsia="ja-JP"/>
        </w:rPr>
        <w:t xml:space="preserve"> the evaluator’s response to this question, below]</w:t>
      </w:r>
      <w:r>
        <w:rPr>
          <w:lang w:eastAsia="ja-JP"/>
        </w:rPr>
        <w:t xml:space="preserve">. Among the women with a lower BMI, there were a total of 25 pregnancies resulting in a </w:t>
      </w:r>
      <w:r w:rsidR="00626A92">
        <w:rPr>
          <w:lang w:eastAsia="ja-JP"/>
        </w:rPr>
        <w:t>Pearl Index</w:t>
      </w:r>
      <w:r>
        <w:rPr>
          <w:lang w:eastAsia="ja-JP"/>
        </w:rPr>
        <w:t xml:space="preserve"> of 0.39 (95% CI 0.25; 0.58), while in the subgroup with a BMI ≥</w:t>
      </w:r>
      <w:r w:rsidR="000F784E">
        <w:rPr>
          <w:lang w:eastAsia="ja-JP"/>
        </w:rPr>
        <w:t xml:space="preserve"> </w:t>
      </w:r>
      <w:r>
        <w:rPr>
          <w:lang w:eastAsia="ja-JP"/>
        </w:rPr>
        <w:t>30 kg/m</w:t>
      </w:r>
      <w:r w:rsidRPr="000F784E">
        <w:rPr>
          <w:vertAlign w:val="superscript"/>
          <w:lang w:eastAsia="ja-JP"/>
        </w:rPr>
        <w:t>2</w:t>
      </w:r>
      <w:r>
        <w:rPr>
          <w:lang w:eastAsia="ja-JP"/>
        </w:rPr>
        <w:t xml:space="preserve">, only 1 pregnancy occurred resulting in a </w:t>
      </w:r>
      <w:r w:rsidR="00626A92">
        <w:rPr>
          <w:lang w:eastAsia="ja-JP"/>
        </w:rPr>
        <w:t>Pearl Index</w:t>
      </w:r>
      <w:r>
        <w:rPr>
          <w:lang w:eastAsia="ja-JP"/>
        </w:rPr>
        <w:t xml:space="preserve"> of 0.15 (95% CI 0.00; 0.84). Furth</w:t>
      </w:r>
      <w:r w:rsidR="000F784E">
        <w:rPr>
          <w:lang w:eastAsia="ja-JP"/>
        </w:rPr>
        <w:t xml:space="preserve">ermore, in this pooled database </w:t>
      </w:r>
      <w:r>
        <w:rPr>
          <w:lang w:eastAsia="ja-JP"/>
        </w:rPr>
        <w:t>of 6 studies with Jaydess, the confidence intervals overlap giving no indication that there is a difference in the contraceptive efficacy</w:t>
      </w:r>
      <w:r w:rsidR="000F784E">
        <w:rPr>
          <w:lang w:eastAsia="ja-JP"/>
        </w:rPr>
        <w:t xml:space="preserve"> between the two BMI subgroups.</w:t>
      </w:r>
    </w:p>
    <w:p w14:paraId="3AD16777" w14:textId="3368980A" w:rsidR="000F784E" w:rsidRDefault="000F784E" w:rsidP="000F784E">
      <w:pPr>
        <w:pStyle w:val="Heading5"/>
        <w:rPr>
          <w:lang w:eastAsia="ja-JP"/>
        </w:rPr>
      </w:pPr>
      <w:r>
        <w:rPr>
          <w:lang w:eastAsia="ja-JP"/>
        </w:rPr>
        <w:t>Evaluator’s response</w:t>
      </w:r>
    </w:p>
    <w:p w14:paraId="03B4B148" w14:textId="73D4A8BB" w:rsidR="00F20382" w:rsidRDefault="000F784E" w:rsidP="00F20382">
      <w:pPr>
        <w:rPr>
          <w:lang w:eastAsia="ja-JP"/>
        </w:rPr>
      </w:pPr>
      <w:r>
        <w:rPr>
          <w:lang w:eastAsia="ja-JP"/>
        </w:rPr>
        <w:t>The s</w:t>
      </w:r>
      <w:r w:rsidR="00F20382">
        <w:rPr>
          <w:lang w:eastAsia="ja-JP"/>
        </w:rPr>
        <w:t>ponsor’s response is considered acceptable. It is noted there are no post-marketing data regarding pregnancy rates for Jaydess in women with BMI ≥ 30 kg/m</w:t>
      </w:r>
      <w:r w:rsidR="00F20382" w:rsidRPr="000F784E">
        <w:rPr>
          <w:vertAlign w:val="superscript"/>
          <w:lang w:eastAsia="ja-JP"/>
        </w:rPr>
        <w:t>2</w:t>
      </w:r>
      <w:r w:rsidR="00F20382">
        <w:rPr>
          <w:lang w:eastAsia="ja-JP"/>
        </w:rPr>
        <w:t xml:space="preserve">, although the Sponsor provided pooled data from 6 studies with Jaydess for contraceptive efficacy by BMI (Studies 91665, 308901, 13362, 13363, 91775 and 14371, discussed earlier in the body of the report). </w:t>
      </w:r>
      <w:r>
        <w:rPr>
          <w:lang w:eastAsia="ja-JP"/>
        </w:rPr>
        <w:t>The table</w:t>
      </w:r>
      <w:r w:rsidR="00F20382">
        <w:rPr>
          <w:lang w:eastAsia="ja-JP"/>
        </w:rPr>
        <w:t xml:space="preserve"> referred to in the response above is provided below for ease of reference. From the pooled data for Jaydess, there was 1 pregnancy in the subgroup of women with BMI ≥ 30 kg/m</w:t>
      </w:r>
      <w:r w:rsidR="00F20382" w:rsidRPr="000F784E">
        <w:rPr>
          <w:vertAlign w:val="superscript"/>
          <w:lang w:eastAsia="ja-JP"/>
        </w:rPr>
        <w:t>2</w:t>
      </w:r>
      <w:r w:rsidR="00F20382">
        <w:rPr>
          <w:lang w:eastAsia="ja-JP"/>
        </w:rPr>
        <w:t xml:space="preserve"> (n = 335), resulting in a </w:t>
      </w:r>
      <w:r w:rsidR="00626A92">
        <w:rPr>
          <w:lang w:eastAsia="ja-JP"/>
        </w:rPr>
        <w:t>Pearl Index</w:t>
      </w:r>
      <w:r w:rsidR="00F20382">
        <w:rPr>
          <w:lang w:eastAsia="ja-JP"/>
        </w:rPr>
        <w:t xml:space="preserve"> of 0.15 (95% CI: 0.00, 0.84). The </w:t>
      </w:r>
      <w:r w:rsidR="00626A92">
        <w:rPr>
          <w:lang w:eastAsia="ja-JP"/>
        </w:rPr>
        <w:t>Pearl Index</w:t>
      </w:r>
      <w:r w:rsidR="00F20382">
        <w:rPr>
          <w:lang w:eastAsia="ja-JP"/>
        </w:rPr>
        <w:t xml:space="preserve"> meets the EMA guidance efficacy requirement that the difference between the point estimate for the </w:t>
      </w:r>
      <w:r w:rsidR="00626A92">
        <w:rPr>
          <w:lang w:eastAsia="ja-JP"/>
        </w:rPr>
        <w:t>Pearl Index</w:t>
      </w:r>
      <w:r w:rsidR="00F20382">
        <w:rPr>
          <w:lang w:eastAsia="ja-JP"/>
        </w:rPr>
        <w:t xml:space="preserve"> and the upper 95% CI limit should not exceed 1.</w:t>
      </w:r>
    </w:p>
    <w:p w14:paraId="07147F05" w14:textId="357F0E6F" w:rsidR="000F784E" w:rsidRPr="00834292" w:rsidRDefault="005F05DA" w:rsidP="00834292">
      <w:pPr>
        <w:pStyle w:val="Tabletitle"/>
        <w:rPr>
          <w:vertAlign w:val="superscript"/>
          <w:lang w:eastAsia="ja-JP"/>
        </w:rPr>
      </w:pPr>
      <w:r>
        <w:rPr>
          <w:lang w:eastAsia="ja-JP"/>
        </w:rPr>
        <w:t>Table 36</w:t>
      </w:r>
      <w:r w:rsidR="001A05BF">
        <w:rPr>
          <w:lang w:eastAsia="ja-JP"/>
        </w:rPr>
        <w:t xml:space="preserve">. </w:t>
      </w:r>
      <w:r w:rsidR="00834292">
        <w:rPr>
          <w:lang w:eastAsia="ja-JP"/>
        </w:rPr>
        <w:t>Contraceptive efficacy by BMI in the pooled studies (FAS): BMI ≥ 30 kg/m</w:t>
      </w:r>
      <w:r w:rsidR="00834292">
        <w:rPr>
          <w:vertAlign w:val="superscript"/>
          <w:lang w:eastAsia="ja-JP"/>
        </w:rPr>
        <w:t>2</w:t>
      </w:r>
    </w:p>
    <w:p w14:paraId="3859A6B4" w14:textId="12130BEC" w:rsidR="000F784E" w:rsidRDefault="000F784E" w:rsidP="000F784E">
      <w:pPr>
        <w:spacing w:before="0"/>
        <w:rPr>
          <w:lang w:eastAsia="ja-JP"/>
        </w:rPr>
      </w:pPr>
      <w:r>
        <w:rPr>
          <w:noProof/>
          <w:lang w:eastAsia="en-AU"/>
        </w:rPr>
        <w:drawing>
          <wp:inline distT="0" distB="0" distL="0" distR="0" wp14:anchorId="4F686CBD" wp14:editId="2AC04F1F">
            <wp:extent cx="5843729" cy="2834996"/>
            <wp:effectExtent l="0" t="0" r="5080" b="3810"/>
            <wp:docPr id="83" name="Picture 83" descr="Table 36 is an image of a table showing the Contraceptive efficacy by BMI in the pooled studies (FAS): BMI ≥ 30 kg/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lum bright="-20000" contrast="40000"/>
                      <a:extLst>
                        <a:ext uri="{28A0092B-C50C-407E-A947-70E740481C1C}">
                          <a14:useLocalDpi xmlns:a14="http://schemas.microsoft.com/office/drawing/2010/main" val="0"/>
                        </a:ext>
                      </a:extLst>
                    </a:blip>
                    <a:srcRect l="2070" t="14364" r="6050" b="-1"/>
                    <a:stretch/>
                  </pic:blipFill>
                  <pic:spPr bwMode="auto">
                    <a:xfrm>
                      <a:off x="0" y="0"/>
                      <a:ext cx="5844546" cy="2835392"/>
                    </a:xfrm>
                    <a:prstGeom prst="rect">
                      <a:avLst/>
                    </a:prstGeom>
                    <a:noFill/>
                    <a:ln>
                      <a:noFill/>
                    </a:ln>
                    <a:extLst>
                      <a:ext uri="{53640926-AAD7-44D8-BBD7-CCE9431645EC}">
                        <a14:shadowObscured xmlns:a14="http://schemas.microsoft.com/office/drawing/2010/main"/>
                      </a:ext>
                    </a:extLst>
                  </pic:spPr>
                </pic:pic>
              </a:graphicData>
            </a:graphic>
          </wp:inline>
        </w:drawing>
      </w:r>
    </w:p>
    <w:p w14:paraId="625D1098" w14:textId="57F7C22C" w:rsidR="000F784E" w:rsidRPr="00834292" w:rsidRDefault="005F05DA" w:rsidP="00834292">
      <w:pPr>
        <w:pStyle w:val="Tabletitle"/>
        <w:rPr>
          <w:vertAlign w:val="superscript"/>
          <w:lang w:eastAsia="ja-JP"/>
        </w:rPr>
      </w:pPr>
      <w:r>
        <w:rPr>
          <w:lang w:eastAsia="ja-JP"/>
        </w:rPr>
        <w:lastRenderedPageBreak/>
        <w:t>Table 37</w:t>
      </w:r>
      <w:r w:rsidR="00834292">
        <w:rPr>
          <w:lang w:eastAsia="ja-JP"/>
        </w:rPr>
        <w:t>. Contraceptive efficacy by BMI in the pooled studies (FAS): BMI &lt; 30 kg/m</w:t>
      </w:r>
      <w:r w:rsidR="00834292">
        <w:rPr>
          <w:vertAlign w:val="superscript"/>
          <w:lang w:eastAsia="ja-JP"/>
        </w:rPr>
        <w:t>2</w:t>
      </w:r>
    </w:p>
    <w:p w14:paraId="275282D1" w14:textId="0E8466AA" w:rsidR="000F784E" w:rsidRDefault="000F784E" w:rsidP="000F784E">
      <w:pPr>
        <w:spacing w:before="0"/>
        <w:rPr>
          <w:lang w:eastAsia="ja-JP"/>
        </w:rPr>
      </w:pPr>
      <w:r>
        <w:rPr>
          <w:noProof/>
          <w:lang w:eastAsia="en-AU"/>
        </w:rPr>
        <w:drawing>
          <wp:inline distT="0" distB="0" distL="0" distR="0" wp14:anchorId="1A670766" wp14:editId="14815A00">
            <wp:extent cx="5939942" cy="2967747"/>
            <wp:effectExtent l="0" t="0" r="3810" b="4445"/>
            <wp:docPr id="84" name="Picture 84" descr="Table 37 is an image of a table showing the Contraceptive efficacy by BMI in the pooled studies (FAS): BMI &lt; 30 kg/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lum bright="-20000" contrast="40000"/>
                      <a:extLst>
                        <a:ext uri="{28A0092B-C50C-407E-A947-70E740481C1C}">
                          <a14:useLocalDpi xmlns:a14="http://schemas.microsoft.com/office/drawing/2010/main" val="0"/>
                        </a:ext>
                      </a:extLst>
                    </a:blip>
                    <a:srcRect l="2235" t="13441" r="2224"/>
                    <a:stretch/>
                  </pic:blipFill>
                  <pic:spPr bwMode="auto">
                    <a:xfrm>
                      <a:off x="0" y="0"/>
                      <a:ext cx="5938087" cy="2966820"/>
                    </a:xfrm>
                    <a:prstGeom prst="rect">
                      <a:avLst/>
                    </a:prstGeom>
                    <a:noFill/>
                    <a:ln>
                      <a:noFill/>
                    </a:ln>
                    <a:extLst>
                      <a:ext uri="{53640926-AAD7-44D8-BBD7-CCE9431645EC}">
                        <a14:shadowObscured xmlns:a14="http://schemas.microsoft.com/office/drawing/2010/main"/>
                      </a:ext>
                    </a:extLst>
                  </pic:spPr>
                </pic:pic>
              </a:graphicData>
            </a:graphic>
          </wp:inline>
        </w:drawing>
      </w:r>
    </w:p>
    <w:p w14:paraId="23715F79" w14:textId="60B0AC4E" w:rsidR="000F784E" w:rsidRDefault="00834292" w:rsidP="00834292">
      <w:pPr>
        <w:pStyle w:val="Heading4"/>
      </w:pPr>
      <w:r>
        <w:t>Question 2</w:t>
      </w:r>
    </w:p>
    <w:p w14:paraId="7A9FCD21" w14:textId="2216702A" w:rsidR="005939C8" w:rsidRPr="005939C8" w:rsidRDefault="005939C8" w:rsidP="005939C8">
      <w:pPr>
        <w:ind w:left="720"/>
        <w:rPr>
          <w:i/>
          <w:lang w:eastAsia="ja-JP"/>
        </w:rPr>
      </w:pPr>
      <w:r>
        <w:rPr>
          <w:i/>
          <w:lang w:eastAsia="ja-JP"/>
        </w:rPr>
        <w:t>‘</w:t>
      </w:r>
      <w:r w:rsidRPr="005939C8">
        <w:rPr>
          <w:i/>
          <w:lang w:eastAsia="ja-JP"/>
        </w:rPr>
        <w:t xml:space="preserve">Please state whether Jaydess will be marketed together with </w:t>
      </w:r>
      <w:r w:rsidR="007A24E9">
        <w:rPr>
          <w:i/>
          <w:lang w:eastAsia="ja-JP"/>
        </w:rPr>
        <w:t>Kyleena</w:t>
      </w:r>
      <w:r w:rsidRPr="005939C8">
        <w:rPr>
          <w:i/>
          <w:lang w:eastAsia="ja-JP"/>
        </w:rPr>
        <w:t xml:space="preserve">, in Australia? If so, what principles are to be taken to prevent medication errors? This is considered relevant because the two products have different duration of </w:t>
      </w:r>
      <w:r>
        <w:rPr>
          <w:i/>
          <w:lang w:eastAsia="ja-JP"/>
        </w:rPr>
        <w:t>contraception as the indication’.</w:t>
      </w:r>
    </w:p>
    <w:p w14:paraId="6576382B" w14:textId="51D9AD02" w:rsidR="005939C8" w:rsidRDefault="005939C8" w:rsidP="005939C8">
      <w:pPr>
        <w:pStyle w:val="Heading5"/>
        <w:rPr>
          <w:lang w:eastAsia="ja-JP"/>
        </w:rPr>
      </w:pPr>
      <w:r>
        <w:rPr>
          <w:lang w:eastAsia="ja-JP"/>
        </w:rPr>
        <w:t>Sponsor’s response</w:t>
      </w:r>
    </w:p>
    <w:p w14:paraId="7FE8767C" w14:textId="26CF16F2" w:rsidR="005939C8" w:rsidRDefault="005939C8" w:rsidP="005939C8">
      <w:pPr>
        <w:rPr>
          <w:lang w:eastAsia="ja-JP"/>
        </w:rPr>
      </w:pPr>
      <w:r>
        <w:rPr>
          <w:lang w:eastAsia="ja-JP"/>
        </w:rPr>
        <w:t>There are no plans to market Jaydess in Australia, therefore Jaydess and Kyleena will not be marketed at the same time.</w:t>
      </w:r>
    </w:p>
    <w:p w14:paraId="54E2901E" w14:textId="71B006FF" w:rsidR="005939C8" w:rsidRDefault="005939C8" w:rsidP="005939C8">
      <w:pPr>
        <w:pStyle w:val="Heading5"/>
        <w:rPr>
          <w:lang w:eastAsia="ja-JP"/>
        </w:rPr>
      </w:pPr>
      <w:r>
        <w:rPr>
          <w:lang w:eastAsia="ja-JP"/>
        </w:rPr>
        <w:t>Evaluator’s comment</w:t>
      </w:r>
    </w:p>
    <w:p w14:paraId="7011FF50" w14:textId="7ECFA612" w:rsidR="000F784E" w:rsidRDefault="005939C8" w:rsidP="005939C8">
      <w:pPr>
        <w:rPr>
          <w:lang w:eastAsia="ja-JP"/>
        </w:rPr>
      </w:pPr>
      <w:r>
        <w:rPr>
          <w:lang w:eastAsia="ja-JP"/>
        </w:rPr>
        <w:t>The sponsor’s response is acceptable.</w:t>
      </w:r>
    </w:p>
    <w:p w14:paraId="24EDE725" w14:textId="7F22FEF1" w:rsidR="005939C8" w:rsidRDefault="005939C8" w:rsidP="005939C8">
      <w:pPr>
        <w:pStyle w:val="Heading4"/>
      </w:pPr>
      <w:r>
        <w:t>Question 3</w:t>
      </w:r>
    </w:p>
    <w:p w14:paraId="32B9A869" w14:textId="4E2C7448" w:rsidR="005939C8" w:rsidRPr="005939C8" w:rsidRDefault="005939C8" w:rsidP="005939C8">
      <w:pPr>
        <w:ind w:left="720"/>
        <w:rPr>
          <w:i/>
          <w:lang w:eastAsia="ja-JP"/>
        </w:rPr>
      </w:pPr>
      <w:r w:rsidRPr="005939C8">
        <w:rPr>
          <w:i/>
          <w:lang w:eastAsia="ja-JP"/>
        </w:rPr>
        <w:t>‘Adverse effects included ‘Table 4’ that refers to bleeding patterns at 90 days to 5 years. The types of abnormalities discussed are amenorrhoea, infrequent bleeding, frequent bleeding and prolonged bleeding. Clearly this should only include the pivotal study and its extension to 5 years. The cross reference in the submission does not appear to relate to the findings of this study rather discusses the pooled data which is not a factual representation as the second study does not extend to 5 years. Please provide the results for the bleeding abnormalities that relate to the pivotal study and its extension arm. Please also provide the cross reference for these findings’.</w:t>
      </w:r>
    </w:p>
    <w:p w14:paraId="72F36D3B" w14:textId="1A75C500" w:rsidR="005939C8" w:rsidRDefault="005939C8" w:rsidP="005939C8">
      <w:pPr>
        <w:pStyle w:val="Heading5"/>
        <w:rPr>
          <w:lang w:eastAsia="ja-JP"/>
        </w:rPr>
      </w:pPr>
      <w:r>
        <w:rPr>
          <w:lang w:eastAsia="ja-JP"/>
        </w:rPr>
        <w:t>Sponsor’s response</w:t>
      </w:r>
    </w:p>
    <w:p w14:paraId="6DF5CFEF" w14:textId="7C32881E" w:rsidR="005939C8" w:rsidRDefault="005939C8" w:rsidP="005939C8">
      <w:pPr>
        <w:rPr>
          <w:lang w:eastAsia="ja-JP"/>
        </w:rPr>
      </w:pPr>
      <w:r>
        <w:rPr>
          <w:lang w:eastAsia="ja-JP"/>
        </w:rPr>
        <w:t>Uterine bleeding is part of the safety analysis of the product and as for all other safety parameters the data is presented based on the pooled data from both the Phase II and Phase III studies. The evaluation of uterine bleeding, based on the pooled data across the pivotal LCS16 efficacy study and Phase II study, was considered representative for the first 3 years, and for the last 2 years, the data is based on the extension part of the pivotal study only. It should be noted that in the cross reference [not included here] the number of patients at each reference period (RP) represents only those patients who were still on treatment during that RP (N = number of women with valid reference period, n = number of women with event). Individual study findings are presented [not included here].</w:t>
      </w:r>
    </w:p>
    <w:p w14:paraId="11B06BE2" w14:textId="10405048" w:rsidR="005939C8" w:rsidRDefault="005939C8" w:rsidP="005939C8">
      <w:pPr>
        <w:rPr>
          <w:lang w:eastAsia="ja-JP"/>
        </w:rPr>
      </w:pPr>
      <w:r>
        <w:rPr>
          <w:lang w:eastAsia="ja-JP"/>
        </w:rPr>
        <w:lastRenderedPageBreak/>
        <w:t>The table below presents the bleeding pattern data based only on the pivotal study, Report PH</w:t>
      </w:r>
      <w:r>
        <w:rPr>
          <w:lang w:eastAsia="ja-JP"/>
        </w:rPr>
        <w:noBreakHyphen/>
        <w:t>37274. As can be</w:t>
      </w:r>
      <w:r w:rsidR="007740EE">
        <w:rPr>
          <w:lang w:eastAsia="ja-JP"/>
        </w:rPr>
        <w:t xml:space="preserve"> seen from the updated table</w:t>
      </w:r>
      <w:r>
        <w:rPr>
          <w:lang w:eastAsia="ja-JP"/>
        </w:rPr>
        <w:t xml:space="preserve"> </w:t>
      </w:r>
      <w:r w:rsidR="001B25AF">
        <w:rPr>
          <w:lang w:eastAsia="ja-JP"/>
        </w:rPr>
        <w:t xml:space="preserve">(see Table 38 </w:t>
      </w:r>
      <w:r>
        <w:rPr>
          <w:lang w:eastAsia="ja-JP"/>
        </w:rPr>
        <w:t>below</w:t>
      </w:r>
      <w:r w:rsidR="001B25AF">
        <w:rPr>
          <w:lang w:eastAsia="ja-JP"/>
        </w:rPr>
        <w:t>)</w:t>
      </w:r>
      <w:r>
        <w:rPr>
          <w:lang w:eastAsia="ja-JP"/>
        </w:rPr>
        <w:t>, there are only very minor differences in the frequencies of different bleeding patterns, whether the patterns are presented based on the pivotal study only, or based on the pooled data, as in the initial PI submitted.</w:t>
      </w:r>
    </w:p>
    <w:p w14:paraId="5C5EAF09" w14:textId="52A8F443" w:rsidR="007740EE" w:rsidRDefault="001B25AF" w:rsidP="007740EE">
      <w:pPr>
        <w:pStyle w:val="Tabletitle"/>
        <w:rPr>
          <w:lang w:eastAsia="ja-JP"/>
        </w:rPr>
      </w:pPr>
      <w:r>
        <w:rPr>
          <w:lang w:eastAsia="ja-JP"/>
        </w:rPr>
        <w:t>Table 38</w:t>
      </w:r>
      <w:r w:rsidR="007740EE">
        <w:rPr>
          <w:lang w:eastAsia="ja-JP"/>
        </w:rPr>
        <w:t>. Bleeding patterns by 90</w:t>
      </w:r>
      <w:r w:rsidR="007A24E9">
        <w:rPr>
          <w:lang w:eastAsia="ja-JP"/>
        </w:rPr>
        <w:t xml:space="preserve"> </w:t>
      </w:r>
      <w:r w:rsidR="007740EE">
        <w:rPr>
          <w:lang w:eastAsia="ja-JP"/>
        </w:rPr>
        <w:t>day reference period (pivotal study only)</w:t>
      </w:r>
    </w:p>
    <w:p w14:paraId="38277945" w14:textId="07A91725" w:rsidR="005939C8" w:rsidRDefault="005939C8" w:rsidP="005939C8">
      <w:pPr>
        <w:rPr>
          <w:lang w:eastAsia="ja-JP"/>
        </w:rPr>
      </w:pPr>
      <w:r>
        <w:rPr>
          <w:rFonts w:ascii="Arial" w:eastAsiaTheme="minorHAnsi" w:hAnsi="Arial" w:cs="Arial"/>
          <w:noProof/>
          <w:color w:val="000000"/>
          <w:lang w:eastAsia="en-AU"/>
        </w:rPr>
        <w:drawing>
          <wp:inline distT="0" distB="0" distL="0" distR="0" wp14:anchorId="7EF1A234" wp14:editId="0C346436">
            <wp:extent cx="5413248" cy="1246505"/>
            <wp:effectExtent l="0" t="0" r="0" b="0"/>
            <wp:docPr id="55" name="Picture 55" descr="Table 4 8is an image of a table showing the Bleeding patterns by 90 day reference period (pivotal study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lum bright="-20000" contrast="40000"/>
                      <a:extLst>
                        <a:ext uri="{28A0092B-C50C-407E-A947-70E740481C1C}">
                          <a14:useLocalDpi xmlns:a14="http://schemas.microsoft.com/office/drawing/2010/main" val="0"/>
                        </a:ext>
                      </a:extLst>
                    </a:blip>
                    <a:srcRect l="3445" t="18621" r="2075"/>
                    <a:stretch/>
                  </pic:blipFill>
                  <pic:spPr bwMode="auto">
                    <a:xfrm>
                      <a:off x="0" y="0"/>
                      <a:ext cx="5415094" cy="1246930"/>
                    </a:xfrm>
                    <a:prstGeom prst="rect">
                      <a:avLst/>
                    </a:prstGeom>
                    <a:noFill/>
                    <a:ln>
                      <a:noFill/>
                    </a:ln>
                    <a:extLst>
                      <a:ext uri="{53640926-AAD7-44D8-BBD7-CCE9431645EC}">
                        <a14:shadowObscured xmlns:a14="http://schemas.microsoft.com/office/drawing/2010/main"/>
                      </a:ext>
                    </a:extLst>
                  </pic:spPr>
                </pic:pic>
              </a:graphicData>
            </a:graphic>
          </wp:inline>
        </w:drawing>
      </w:r>
    </w:p>
    <w:p w14:paraId="14345A55" w14:textId="1B872786" w:rsidR="005939C8" w:rsidRDefault="005939C8" w:rsidP="005939C8">
      <w:pPr>
        <w:rPr>
          <w:lang w:eastAsia="ja-JP"/>
        </w:rPr>
      </w:pPr>
      <w:r>
        <w:rPr>
          <w:lang w:eastAsia="ja-JP"/>
        </w:rPr>
        <w:t>A</w:t>
      </w:r>
      <w:r w:rsidR="007740EE">
        <w:rPr>
          <w:lang w:eastAsia="ja-JP"/>
        </w:rPr>
        <w:t>s part of the safety data, the sponsor</w:t>
      </w:r>
      <w:r>
        <w:rPr>
          <w:lang w:eastAsia="ja-JP"/>
        </w:rPr>
        <w:t xml:space="preserve"> proposes to present the bleeding profiles based on the pooled data rather than using the pivotal study only and therefore keep </w:t>
      </w:r>
      <w:r w:rsidR="007740EE">
        <w:rPr>
          <w:lang w:eastAsia="ja-JP"/>
        </w:rPr>
        <w:t>this table</w:t>
      </w:r>
      <w:r>
        <w:rPr>
          <w:lang w:eastAsia="ja-JP"/>
        </w:rPr>
        <w:t xml:space="preserve"> a</w:t>
      </w:r>
      <w:r w:rsidR="007740EE">
        <w:rPr>
          <w:lang w:eastAsia="ja-JP"/>
        </w:rPr>
        <w:t>s per the initial PI submitted.</w:t>
      </w:r>
    </w:p>
    <w:p w14:paraId="6A687815" w14:textId="604DB969" w:rsidR="007740EE" w:rsidRDefault="005939C8" w:rsidP="007740EE">
      <w:pPr>
        <w:pStyle w:val="Heading5"/>
        <w:rPr>
          <w:lang w:eastAsia="ja-JP"/>
        </w:rPr>
      </w:pPr>
      <w:r>
        <w:rPr>
          <w:lang w:eastAsia="ja-JP"/>
        </w:rPr>
        <w:t>Evaluator</w:t>
      </w:r>
      <w:r w:rsidR="001B25AF">
        <w:rPr>
          <w:lang w:eastAsia="ja-JP"/>
        </w:rPr>
        <w:t>’s response</w:t>
      </w:r>
    </w:p>
    <w:p w14:paraId="08A7CE71" w14:textId="325A0C09" w:rsidR="005939C8" w:rsidRDefault="007740EE" w:rsidP="005939C8">
      <w:pPr>
        <w:rPr>
          <w:lang w:eastAsia="ja-JP"/>
        </w:rPr>
      </w:pPr>
      <w:r>
        <w:rPr>
          <w:lang w:eastAsia="ja-JP"/>
        </w:rPr>
        <w:t>The s</w:t>
      </w:r>
      <w:r w:rsidR="005939C8">
        <w:rPr>
          <w:lang w:eastAsia="ja-JP"/>
        </w:rPr>
        <w:t xml:space="preserve">ponsor’s response is acceptable. The bleeding pattern data in </w:t>
      </w:r>
      <w:r>
        <w:rPr>
          <w:lang w:eastAsia="ja-JP"/>
        </w:rPr>
        <w:t>the table</w:t>
      </w:r>
      <w:r w:rsidR="005939C8">
        <w:rPr>
          <w:lang w:eastAsia="ja-JP"/>
        </w:rPr>
        <w:t xml:space="preserve"> of the proposed PI is b</w:t>
      </w:r>
      <w:r>
        <w:rPr>
          <w:lang w:eastAsia="ja-JP"/>
        </w:rPr>
        <w:t xml:space="preserve">ased on pooled data provided. </w:t>
      </w:r>
      <w:r w:rsidR="005939C8">
        <w:rPr>
          <w:lang w:eastAsia="ja-JP"/>
        </w:rPr>
        <w:t>There are only a few small differences in the frequencies of the various bleeding patterns in t</w:t>
      </w:r>
      <w:r>
        <w:rPr>
          <w:lang w:eastAsia="ja-JP"/>
        </w:rPr>
        <w:t>he pivotal study shown above versus</w:t>
      </w:r>
      <w:r w:rsidR="005939C8">
        <w:rPr>
          <w:lang w:eastAsia="ja-JP"/>
        </w:rPr>
        <w:t xml:space="preserve"> the pooled analysis provided in the PI, which is not unexpected given the pooled analysis is driven mainly by the pivotal study.</w:t>
      </w:r>
    </w:p>
    <w:p w14:paraId="7892DA21" w14:textId="438C873E" w:rsidR="00C26228" w:rsidRDefault="00C26228" w:rsidP="00C26228">
      <w:pPr>
        <w:pStyle w:val="Heading4"/>
      </w:pPr>
      <w:r>
        <w:t>Question 4</w:t>
      </w:r>
    </w:p>
    <w:p w14:paraId="343756FF" w14:textId="50635CF6" w:rsidR="00C26228" w:rsidRPr="00C26228" w:rsidRDefault="00C26228" w:rsidP="00C26228">
      <w:pPr>
        <w:ind w:left="720"/>
        <w:rPr>
          <w:i/>
          <w:lang w:eastAsia="ja-JP"/>
        </w:rPr>
      </w:pPr>
      <w:r w:rsidRPr="00C26228">
        <w:rPr>
          <w:i/>
          <w:lang w:eastAsia="ja-JP"/>
        </w:rPr>
        <w:t xml:space="preserve">‘What is the evidence behind the concerns about </w:t>
      </w:r>
      <w:r w:rsidR="007A24E9">
        <w:rPr>
          <w:i/>
          <w:lang w:eastAsia="ja-JP"/>
        </w:rPr>
        <w:t>Kyleena</w:t>
      </w:r>
      <w:r w:rsidRPr="00C26228">
        <w:rPr>
          <w:i/>
          <w:lang w:eastAsia="ja-JP"/>
        </w:rPr>
        <w:t xml:space="preserve"> and use </w:t>
      </w:r>
      <w:r>
        <w:rPr>
          <w:i/>
          <w:lang w:eastAsia="ja-JP"/>
        </w:rPr>
        <w:t xml:space="preserve">in congenital or valvular heart </w:t>
      </w:r>
      <w:r w:rsidRPr="00C26228">
        <w:rPr>
          <w:i/>
          <w:lang w:eastAsia="ja-JP"/>
        </w:rPr>
        <w:t>disease?’</w:t>
      </w:r>
    </w:p>
    <w:p w14:paraId="2E357558" w14:textId="0EF23B09" w:rsidR="00C26228" w:rsidRDefault="00C26228" w:rsidP="00C26228">
      <w:pPr>
        <w:pStyle w:val="Heading5"/>
        <w:rPr>
          <w:lang w:eastAsia="ja-JP"/>
        </w:rPr>
      </w:pPr>
      <w:r>
        <w:rPr>
          <w:lang w:eastAsia="ja-JP"/>
        </w:rPr>
        <w:t>Sponsor’s response</w:t>
      </w:r>
    </w:p>
    <w:p w14:paraId="1538CD47" w14:textId="1EF2DBB8" w:rsidR="00C26228" w:rsidRDefault="00C26228" w:rsidP="00C26228">
      <w:pPr>
        <w:rPr>
          <w:lang w:eastAsia="ja-JP"/>
        </w:rPr>
      </w:pPr>
      <w:r>
        <w:rPr>
          <w:lang w:eastAsia="ja-JP"/>
        </w:rPr>
        <w:t>There is no evidence from clinical trials with LCS16 that its use in women with congenital or valvular heart disease would adversely affect health of these women. The proposed precautionary statement is based on the current recommendations from available guidelines for intrauterine device (IUD) use in women with such conditions.</w:t>
      </w:r>
    </w:p>
    <w:p w14:paraId="79A3A83D" w14:textId="145F6147" w:rsidR="00C26228" w:rsidRPr="00DC0205" w:rsidRDefault="00C26228" w:rsidP="00C26228">
      <w:pPr>
        <w:rPr>
          <w:lang w:eastAsia="ja-JP"/>
        </w:rPr>
      </w:pPr>
      <w:r>
        <w:rPr>
          <w:lang w:eastAsia="ja-JP"/>
        </w:rPr>
        <w:t xml:space="preserve">Congenital and acquired valvular heart disease and other </w:t>
      </w:r>
      <w:r w:rsidRPr="00DC0205">
        <w:rPr>
          <w:lang w:eastAsia="ja-JP"/>
        </w:rPr>
        <w:t>congenital heart disease are the most common underlying cardiac conditions predisposing to infective endocarditis (IE)</w:t>
      </w:r>
      <w:r w:rsidR="00403DF6" w:rsidRPr="00DC0205">
        <w:rPr>
          <w:lang w:eastAsia="ja-JP"/>
        </w:rPr>
        <w:t>.</w:t>
      </w:r>
      <w:r w:rsidR="00403DF6" w:rsidRPr="00DC0205">
        <w:rPr>
          <w:rStyle w:val="FootnoteReference"/>
          <w:lang w:eastAsia="ja-JP"/>
        </w:rPr>
        <w:footnoteReference w:id="5"/>
      </w:r>
    </w:p>
    <w:p w14:paraId="6482FFDC" w14:textId="5DB325C3" w:rsidR="00C26228" w:rsidRDefault="00C26228" w:rsidP="00C26228">
      <w:pPr>
        <w:rPr>
          <w:lang w:eastAsia="ja-JP"/>
        </w:rPr>
      </w:pPr>
      <w:r w:rsidRPr="00DC0205">
        <w:rPr>
          <w:lang w:eastAsia="ja-JP"/>
        </w:rPr>
        <w:t>Cardiac conditions associated with the highest risk of adverse outcome from IE include the following (according to American Heart Association (AHA))</w:t>
      </w:r>
      <w:bookmarkStart w:id="205" w:name="_Ref492645258"/>
      <w:r w:rsidR="0078745B" w:rsidRPr="00DC0205">
        <w:rPr>
          <w:rStyle w:val="FootnoteReference"/>
          <w:lang w:eastAsia="ja-JP"/>
        </w:rPr>
        <w:footnoteReference w:id="6"/>
      </w:r>
      <w:bookmarkEnd w:id="205"/>
      <w:r w:rsidRPr="00DC0205">
        <w:rPr>
          <w:lang w:eastAsia="ja-JP"/>
        </w:rPr>
        <w:t>:</w:t>
      </w:r>
    </w:p>
    <w:p w14:paraId="6652B0FC" w14:textId="3CBC7F55" w:rsidR="00C26228" w:rsidRDefault="00C26228" w:rsidP="00C26228">
      <w:pPr>
        <w:pStyle w:val="ListBullet"/>
        <w:rPr>
          <w:lang w:eastAsia="ja-JP"/>
        </w:rPr>
      </w:pPr>
      <w:r>
        <w:rPr>
          <w:lang w:eastAsia="ja-JP"/>
        </w:rPr>
        <w:t>Prosthetic cardiac valve or prosthetic material used for cardiac valve repair</w:t>
      </w:r>
    </w:p>
    <w:p w14:paraId="0D5C9568" w14:textId="266DC363" w:rsidR="00C26228" w:rsidRDefault="00C26228" w:rsidP="00C26228">
      <w:pPr>
        <w:pStyle w:val="ListBullet"/>
        <w:rPr>
          <w:lang w:eastAsia="ja-JP"/>
        </w:rPr>
      </w:pPr>
      <w:r>
        <w:rPr>
          <w:lang w:eastAsia="ja-JP"/>
        </w:rPr>
        <w:t>Previous IE</w:t>
      </w:r>
    </w:p>
    <w:p w14:paraId="33DC72CD" w14:textId="5BED68D5" w:rsidR="00C26228" w:rsidRDefault="00C26228" w:rsidP="00C26228">
      <w:pPr>
        <w:pStyle w:val="ListBullet"/>
        <w:rPr>
          <w:lang w:eastAsia="ja-JP"/>
        </w:rPr>
      </w:pPr>
      <w:r>
        <w:rPr>
          <w:lang w:eastAsia="ja-JP"/>
        </w:rPr>
        <w:t>Congenital heart disease (CHD) if referring to:</w:t>
      </w:r>
    </w:p>
    <w:p w14:paraId="2B2CE8E8" w14:textId="2B86065A" w:rsidR="00C26228" w:rsidRDefault="00C26228" w:rsidP="00C26228">
      <w:pPr>
        <w:pStyle w:val="ListBullet2"/>
        <w:rPr>
          <w:lang w:eastAsia="ja-JP"/>
        </w:rPr>
      </w:pPr>
      <w:r>
        <w:rPr>
          <w:lang w:eastAsia="ja-JP"/>
        </w:rPr>
        <w:t>Unrepaired cyanotic CHD, including palliative shunts and conduits</w:t>
      </w:r>
    </w:p>
    <w:p w14:paraId="74EFDC3A" w14:textId="4FAE7C84" w:rsidR="00C26228" w:rsidRDefault="00C26228" w:rsidP="00C26228">
      <w:pPr>
        <w:pStyle w:val="ListBullet2"/>
        <w:rPr>
          <w:lang w:eastAsia="ja-JP"/>
        </w:rPr>
      </w:pPr>
      <w:r>
        <w:rPr>
          <w:lang w:eastAsia="ja-JP"/>
        </w:rPr>
        <w:lastRenderedPageBreak/>
        <w:t>Completely repaired CHD with prosthetic material or device whether placed by surgery or catheter intervention, during the first 6 months after procedure</w:t>
      </w:r>
    </w:p>
    <w:p w14:paraId="32E784CC" w14:textId="357C7F24" w:rsidR="00C26228" w:rsidRDefault="00C26228" w:rsidP="00C26228">
      <w:pPr>
        <w:pStyle w:val="ListBullet2"/>
        <w:rPr>
          <w:lang w:eastAsia="ja-JP"/>
        </w:rPr>
      </w:pPr>
      <w:r>
        <w:rPr>
          <w:lang w:eastAsia="ja-JP"/>
        </w:rPr>
        <w:t>Repaired CHD with residual defects at the site or adjacent to the site of a prosthetic patch or prosthetic device (which inhibit endothelialisation)</w:t>
      </w:r>
    </w:p>
    <w:p w14:paraId="76DE572E" w14:textId="66A14CD8" w:rsidR="00C26228" w:rsidRDefault="00C26228" w:rsidP="00C26228">
      <w:pPr>
        <w:pStyle w:val="ListBullet"/>
        <w:rPr>
          <w:lang w:eastAsia="ja-JP"/>
        </w:rPr>
      </w:pPr>
      <w:r>
        <w:rPr>
          <w:lang w:eastAsia="ja-JP"/>
        </w:rPr>
        <w:t>Cardiac transplant recipient with cardiac valvulopathy</w:t>
      </w:r>
      <w:r w:rsidR="002949F5">
        <w:rPr>
          <w:lang w:eastAsia="ja-JP"/>
        </w:rPr>
        <w:t>.</w:t>
      </w:r>
    </w:p>
    <w:p w14:paraId="4662E489" w14:textId="70E77E5E" w:rsidR="00C26228" w:rsidRPr="003736F9" w:rsidRDefault="00C26228" w:rsidP="00C26228">
      <w:pPr>
        <w:rPr>
          <w:lang w:eastAsia="ja-JP"/>
        </w:rPr>
      </w:pPr>
      <w:r>
        <w:rPr>
          <w:lang w:eastAsia="ja-JP"/>
        </w:rPr>
        <w:t xml:space="preserve">According to previous guidelines, antibiotic prophylaxis was recommended for invasive genitourinary procedures including contraceptive procedures as it was considered that these may theoretically increase the risk of infective endocarditis. This is no longer recommended due to lack of evidence that such prophylaxis affects rates of </w:t>
      </w:r>
      <w:r w:rsidRPr="003736F9">
        <w:rPr>
          <w:lang w:eastAsia="ja-JP"/>
        </w:rPr>
        <w:t>infective endocarditis.</w:t>
      </w:r>
      <w:r w:rsidR="00E70CE6" w:rsidRPr="003736F9">
        <w:rPr>
          <w:rStyle w:val="FootnoteReference"/>
          <w:lang w:eastAsia="ja-JP"/>
        </w:rPr>
        <w:footnoteReference w:id="7"/>
      </w:r>
    </w:p>
    <w:p w14:paraId="4B1F64CD" w14:textId="1FCCFA9B" w:rsidR="00C26228" w:rsidRPr="003736F9" w:rsidRDefault="00C26228" w:rsidP="00C26228">
      <w:pPr>
        <w:rPr>
          <w:lang w:eastAsia="ja-JP"/>
        </w:rPr>
      </w:pPr>
      <w:r w:rsidRPr="003736F9">
        <w:rPr>
          <w:lang w:eastAsia="ja-JP"/>
        </w:rPr>
        <w:t xml:space="preserve">The overview of recommendations from the available guidelines on endocarditis prophylaxis in genitourinary (GU) procedures as well as on IUD use in women with congenital or valvular heart disease </w:t>
      </w:r>
      <w:r w:rsidR="001B25AF" w:rsidRPr="003736F9">
        <w:rPr>
          <w:lang w:eastAsia="ja-JP"/>
        </w:rPr>
        <w:t>is summarised in Tables 39 and 40</w:t>
      </w:r>
      <w:r w:rsidRPr="003736F9">
        <w:rPr>
          <w:lang w:eastAsia="ja-JP"/>
        </w:rPr>
        <w:t xml:space="preserve"> below.</w:t>
      </w:r>
    </w:p>
    <w:p w14:paraId="38E3DC46" w14:textId="15B6CEC6" w:rsidR="00C26228" w:rsidRPr="003736F9" w:rsidRDefault="00C26228" w:rsidP="00943991">
      <w:pPr>
        <w:pStyle w:val="Heading6"/>
        <w:rPr>
          <w:lang w:eastAsia="ja-JP"/>
        </w:rPr>
      </w:pPr>
      <w:r w:rsidRPr="003736F9">
        <w:rPr>
          <w:lang w:eastAsia="ja-JP"/>
        </w:rPr>
        <w:t>Guidelines on endocarditis prophylaxis</w:t>
      </w:r>
    </w:p>
    <w:p w14:paraId="2BFCF5C8" w14:textId="51C4AFA0" w:rsidR="00C26228" w:rsidRDefault="00C26228" w:rsidP="00C26228">
      <w:pPr>
        <w:rPr>
          <w:lang w:eastAsia="ja-JP"/>
        </w:rPr>
      </w:pPr>
      <w:r w:rsidRPr="003736F9">
        <w:rPr>
          <w:lang w:eastAsia="ja-JP"/>
        </w:rPr>
        <w:t>Data on the risk of IE associated with a genitourinary tract procedure are limited, and no published data demonstrate a conclusive link between procedures of the genitourinary tract (GU procedures) and IE. The high prevalence of resistant strains of enterococci to penicillins, vancomycin and aminoglycosides (previously recommended treatment regimens), adds further doubt about the efficacy of prophylactic therapy for GU procedures</w:t>
      </w:r>
      <w:r w:rsidR="00403DF6" w:rsidRPr="003736F9">
        <w:rPr>
          <w:lang w:eastAsia="ja-JP"/>
        </w:rPr>
        <w:t>.</w:t>
      </w:r>
      <w:r w:rsidR="00403DF6" w:rsidRPr="003736F9">
        <w:rPr>
          <w:vertAlign w:val="superscript"/>
          <w:lang w:eastAsia="ja-JP"/>
        </w:rPr>
        <w:fldChar w:fldCharType="begin"/>
      </w:r>
      <w:r w:rsidR="00403DF6" w:rsidRPr="003736F9">
        <w:rPr>
          <w:vertAlign w:val="superscript"/>
          <w:lang w:eastAsia="ja-JP"/>
        </w:rPr>
        <w:instrText xml:space="preserve"> NOTEREF _Ref492645258 \h  \* MERGEFORMAT </w:instrText>
      </w:r>
      <w:r w:rsidR="00403DF6" w:rsidRPr="003736F9">
        <w:rPr>
          <w:vertAlign w:val="superscript"/>
          <w:lang w:eastAsia="ja-JP"/>
        </w:rPr>
      </w:r>
      <w:r w:rsidR="00403DF6" w:rsidRPr="003736F9">
        <w:rPr>
          <w:vertAlign w:val="superscript"/>
          <w:lang w:eastAsia="ja-JP"/>
        </w:rPr>
        <w:fldChar w:fldCharType="separate"/>
      </w:r>
      <w:r w:rsidR="009A3335">
        <w:rPr>
          <w:vertAlign w:val="superscript"/>
          <w:lang w:eastAsia="ja-JP"/>
        </w:rPr>
        <w:t>6</w:t>
      </w:r>
      <w:r w:rsidR="00403DF6" w:rsidRPr="003736F9">
        <w:rPr>
          <w:vertAlign w:val="superscript"/>
          <w:lang w:eastAsia="ja-JP"/>
        </w:rPr>
        <w:fldChar w:fldCharType="end"/>
      </w:r>
      <w:r w:rsidRPr="003736F9">
        <w:rPr>
          <w:lang w:eastAsia="ja-JP"/>
        </w:rPr>
        <w:t xml:space="preserve"> Accordingly, antibiotic prophylaxis is not recommended for GU procedures (in absence of infection</w:t>
      </w:r>
      <w:r>
        <w:rPr>
          <w:lang w:eastAsia="ja-JP"/>
        </w:rPr>
        <w:t xml:space="preserve">) by any of the pertinent current guidelines on antibiotic therapy for IE prevention. IUD insertion falls under GU procedures. While not specifically mentioned in the most current guidelines, it is worth noting that insertion or removal of intrauterine devices was specifically listed among the GU procedures for which endocarditis prophylaxis was not recommended already in the previous version of AHA recommendations </w:t>
      </w:r>
      <w:r w:rsidRPr="003736F9">
        <w:rPr>
          <w:lang w:eastAsia="ja-JP"/>
        </w:rPr>
        <w:t>published 1997.</w:t>
      </w:r>
      <w:r w:rsidR="0078745B" w:rsidRPr="003736F9">
        <w:rPr>
          <w:rStyle w:val="FootnoteReference"/>
          <w:lang w:eastAsia="ja-JP"/>
        </w:rPr>
        <w:footnoteReference w:id="8"/>
      </w:r>
    </w:p>
    <w:p w14:paraId="294BC9E3" w14:textId="1E260866" w:rsidR="00C26228" w:rsidRDefault="001B25AF" w:rsidP="002905D6">
      <w:pPr>
        <w:pStyle w:val="Tabletitle"/>
        <w:rPr>
          <w:lang w:eastAsia="ja-JP"/>
        </w:rPr>
      </w:pPr>
      <w:r>
        <w:rPr>
          <w:lang w:eastAsia="ja-JP"/>
        </w:rPr>
        <w:lastRenderedPageBreak/>
        <w:t>Table 39</w:t>
      </w:r>
      <w:r w:rsidR="002905D6">
        <w:rPr>
          <w:lang w:eastAsia="ja-JP"/>
        </w:rPr>
        <w:t>. Current guidelines on endocarditis prophylaxis</w:t>
      </w:r>
    </w:p>
    <w:p w14:paraId="6FBEA523" w14:textId="54D0F78F" w:rsidR="00C26228" w:rsidRDefault="00C26228" w:rsidP="00C26228">
      <w:pPr>
        <w:rPr>
          <w:lang w:eastAsia="ja-JP"/>
        </w:rPr>
      </w:pPr>
      <w:r>
        <w:rPr>
          <w:noProof/>
          <w:lang w:eastAsia="en-AU"/>
        </w:rPr>
        <w:drawing>
          <wp:inline distT="0" distB="0" distL="0" distR="0" wp14:anchorId="43CA9092" wp14:editId="3E70D134">
            <wp:extent cx="3748093" cy="3701491"/>
            <wp:effectExtent l="0" t="0" r="5080" b="0"/>
            <wp:docPr id="18" name="Picture 18" descr="Table 39 is an image of a table showing the Current guidelines on endocarditis prophyl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Lst>
                    </a:blip>
                    <a:stretch>
                      <a:fillRect/>
                    </a:stretch>
                  </pic:blipFill>
                  <pic:spPr>
                    <a:xfrm>
                      <a:off x="0" y="0"/>
                      <a:ext cx="3753917" cy="3707242"/>
                    </a:xfrm>
                    <a:prstGeom prst="rect">
                      <a:avLst/>
                    </a:prstGeom>
                  </pic:spPr>
                </pic:pic>
              </a:graphicData>
            </a:graphic>
          </wp:inline>
        </w:drawing>
      </w:r>
    </w:p>
    <w:p w14:paraId="00ACA3B4" w14:textId="462DF356" w:rsidR="002905D6" w:rsidRDefault="002905D6" w:rsidP="002905D6">
      <w:pPr>
        <w:pStyle w:val="TableDescription"/>
        <w:rPr>
          <w:lang w:eastAsia="ja-JP"/>
        </w:rPr>
      </w:pPr>
      <w:r>
        <w:rPr>
          <w:lang w:eastAsia="ja-JP"/>
        </w:rPr>
        <w:t>* Highest risk: Prosthetic cardiac valve or prosthetic material used for cardiac valve repair; previous IE, congenital heart disease (CHD) if referring to unrepaired cyanotic CHD, including palliative shunts and conduits, completely repaired CHD with prosthetic material or device, during the first 6 months after procedure, repaired CHD with residual defects at the site or adjacent to the site of a prosthetic patch or prosthetic device (which inhibit endothelialisation); cardiac transplant recipient with cardiac valvulopathy. ** Insertion or removal of intrauterine devices was already among the procedures for which endocarditis prophylaxis was not recommended in the 19</w:t>
      </w:r>
      <w:r w:rsidR="00E70CE6">
        <w:rPr>
          <w:lang w:eastAsia="ja-JP"/>
        </w:rPr>
        <w:t>97 AHA recommendations.</w:t>
      </w:r>
      <w:r>
        <w:rPr>
          <w:lang w:eastAsia="ja-JP"/>
        </w:rPr>
        <w:t xml:space="preserve"> ACOG American College of Obstetricians and Gynecologists, AHA American Heart Association, AP antibiotic prophylaxis, CV cardiovascular, ESC European Society of Cardiology, GI gastrointestinal, GU genito-urinary, NICE National Institute for Health and Care Excellence.</w:t>
      </w:r>
    </w:p>
    <w:p w14:paraId="74E8AE7C" w14:textId="16CA8422" w:rsidR="002905D6" w:rsidRDefault="002905D6" w:rsidP="00E70CE6">
      <w:pPr>
        <w:pStyle w:val="Heading6"/>
        <w:rPr>
          <w:lang w:eastAsia="ja-JP"/>
        </w:rPr>
      </w:pPr>
      <w:r>
        <w:rPr>
          <w:lang w:eastAsia="ja-JP"/>
        </w:rPr>
        <w:t>Medical Eligibility Criteria for Contraceptive Use (MEC)</w:t>
      </w:r>
    </w:p>
    <w:p w14:paraId="38A4BFC9" w14:textId="1FCE6411" w:rsidR="002905D6" w:rsidRDefault="002905D6" w:rsidP="002905D6">
      <w:pPr>
        <w:rPr>
          <w:lang w:eastAsia="ja-JP"/>
        </w:rPr>
      </w:pPr>
      <w:r>
        <w:rPr>
          <w:lang w:eastAsia="ja-JP"/>
        </w:rPr>
        <w:t>The majority of guidelines on contraceptive use, that is, medical eligibility criteria (MEC) published by national and international societies have adopted the recommendations from antibiotic prophylaxis guidelines and do not/no longer recommend prophylactic antibiotics to p</w:t>
      </w:r>
      <w:r w:rsidR="001B25AF">
        <w:rPr>
          <w:lang w:eastAsia="ja-JP"/>
        </w:rPr>
        <w:t>revent endocarditis (see Table 40</w:t>
      </w:r>
      <w:r>
        <w:rPr>
          <w:lang w:eastAsia="ja-JP"/>
        </w:rPr>
        <w:t xml:space="preserve"> below). The only exception </w:t>
      </w:r>
      <w:r w:rsidR="00316CBD">
        <w:rPr>
          <w:lang w:eastAsia="ja-JP"/>
        </w:rPr>
        <w:t>is</w:t>
      </w:r>
      <w:r>
        <w:rPr>
          <w:lang w:eastAsia="ja-JP"/>
        </w:rPr>
        <w:t xml:space="preserve"> the WHO MEC</w:t>
      </w:r>
      <w:r w:rsidR="001B25AF">
        <w:rPr>
          <w:lang w:eastAsia="ja-JP"/>
        </w:rPr>
        <w:t xml:space="preserve"> (2015)</w:t>
      </w:r>
      <w:r>
        <w:rPr>
          <w:lang w:eastAsia="ja-JP"/>
        </w:rPr>
        <w:t>, who advise</w:t>
      </w:r>
      <w:r w:rsidR="002949F5">
        <w:rPr>
          <w:lang w:eastAsia="ja-JP"/>
        </w:rPr>
        <w:t>s</w:t>
      </w:r>
      <w:r>
        <w:rPr>
          <w:lang w:eastAsia="ja-JP"/>
        </w:rPr>
        <w:t xml:space="preserve"> to use antibi</w:t>
      </w:r>
      <w:r w:rsidR="001B25AF">
        <w:rPr>
          <w:lang w:eastAsia="ja-JP"/>
        </w:rPr>
        <w:t>otic prophylaxis for insertion</w:t>
      </w:r>
      <w:r>
        <w:rPr>
          <w:lang w:eastAsia="ja-JP"/>
        </w:rPr>
        <w:t>. This recommendation has remained largely unchanged since the first edition of t</w:t>
      </w:r>
      <w:r w:rsidR="001B25AF">
        <w:rPr>
          <w:lang w:eastAsia="ja-JP"/>
        </w:rPr>
        <w:t>he WHO MEC dating back to 1996</w:t>
      </w:r>
      <w:r>
        <w:rPr>
          <w:lang w:eastAsia="ja-JP"/>
        </w:rPr>
        <w:t>.</w:t>
      </w:r>
    </w:p>
    <w:p w14:paraId="4E5DC8CD" w14:textId="4BE1B392" w:rsidR="001B25AF" w:rsidRDefault="001B25AF" w:rsidP="001B25AF">
      <w:pPr>
        <w:pStyle w:val="Tabletitle"/>
        <w:rPr>
          <w:lang w:eastAsia="ja-JP"/>
        </w:rPr>
      </w:pPr>
      <w:r>
        <w:rPr>
          <w:lang w:eastAsia="ja-JP"/>
        </w:rPr>
        <w:lastRenderedPageBreak/>
        <w:t>Table 40. Medical Eligibility Criteria for Contraceptive Use (MEC) guidelines for antibiotic prophylaxis of endocarditis</w:t>
      </w:r>
    </w:p>
    <w:p w14:paraId="0DCA539C" w14:textId="61B8FB6A" w:rsidR="002905D6" w:rsidRDefault="002905D6" w:rsidP="002905D6">
      <w:pPr>
        <w:rPr>
          <w:lang w:eastAsia="ja-JP"/>
        </w:rPr>
      </w:pPr>
      <w:r>
        <w:rPr>
          <w:noProof/>
          <w:lang w:eastAsia="en-AU"/>
        </w:rPr>
        <w:drawing>
          <wp:inline distT="0" distB="0" distL="0" distR="0" wp14:anchorId="2B3925B7" wp14:editId="57F5AAE3">
            <wp:extent cx="3562502" cy="5604879"/>
            <wp:effectExtent l="0" t="0" r="0" b="0"/>
            <wp:docPr id="21" name="Picture 21" descr="Table 40 is an image of a table showing the Medical Eligibility Criteria for Contraceptive Use (MEC) guidelines for antibiotic prophylaxis of endocard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3565313" cy="5609302"/>
                    </a:xfrm>
                    <a:prstGeom prst="rect">
                      <a:avLst/>
                    </a:prstGeom>
                  </pic:spPr>
                </pic:pic>
              </a:graphicData>
            </a:graphic>
          </wp:inline>
        </w:drawing>
      </w:r>
    </w:p>
    <w:p w14:paraId="7DABC20B" w14:textId="4DEC6E3B" w:rsidR="002905D6" w:rsidRDefault="002905D6" w:rsidP="002905D6">
      <w:pPr>
        <w:pStyle w:val="Tabletext"/>
        <w:rPr>
          <w:lang w:eastAsia="ja-JP"/>
        </w:rPr>
      </w:pPr>
      <w:r>
        <w:rPr>
          <w:lang w:eastAsia="ja-JP"/>
        </w:rPr>
        <w:t>* pulmonary hypertension, (risk for) atrial fibrillation, history of subacute bacterial endocarditis FSRH Faculty of Sexual and Reproductive Healthcare (UK).</w:t>
      </w:r>
    </w:p>
    <w:p w14:paraId="55FD40CE" w14:textId="024DA0C2" w:rsidR="002905D6" w:rsidRDefault="002905D6" w:rsidP="002905D6">
      <w:pPr>
        <w:rPr>
          <w:lang w:eastAsia="ja-JP"/>
        </w:rPr>
      </w:pPr>
      <w:r>
        <w:rPr>
          <w:lang w:eastAsia="ja-JP"/>
        </w:rPr>
        <w:t>Based on the above, the sponsor considers the current wording of the precaution to be adequate.</w:t>
      </w:r>
    </w:p>
    <w:p w14:paraId="7E80B19B" w14:textId="771CE55A" w:rsidR="002905D6" w:rsidRDefault="002905D6" w:rsidP="002905D6">
      <w:pPr>
        <w:pStyle w:val="Heading5"/>
        <w:rPr>
          <w:lang w:eastAsia="ja-JP"/>
        </w:rPr>
      </w:pPr>
      <w:r>
        <w:rPr>
          <w:lang w:eastAsia="ja-JP"/>
        </w:rPr>
        <w:t>Evaluator’s comment</w:t>
      </w:r>
    </w:p>
    <w:p w14:paraId="201E2B96" w14:textId="69E2939F" w:rsidR="002905D6" w:rsidRDefault="002905D6" w:rsidP="002905D6">
      <w:pPr>
        <w:rPr>
          <w:lang w:eastAsia="ja-JP"/>
        </w:rPr>
      </w:pPr>
      <w:r>
        <w:rPr>
          <w:lang w:eastAsia="ja-JP"/>
        </w:rPr>
        <w:t>The sponsor’s response is acceptable. The proposed precautionary statement ‘Heart Disease: Kyleena should be used with caution in women who have congenital heart disease or valvular heart disease and who are at risk of infective endocarditis’ is contained in the current Jaydess PI.</w:t>
      </w:r>
      <w:r w:rsidRPr="002905D6">
        <w:rPr>
          <w:vertAlign w:val="superscript"/>
          <w:lang w:eastAsia="ja-JP"/>
        </w:rPr>
        <w:fldChar w:fldCharType="begin"/>
      </w:r>
      <w:r w:rsidRPr="002905D6">
        <w:rPr>
          <w:vertAlign w:val="superscript"/>
          <w:lang w:eastAsia="ja-JP"/>
        </w:rPr>
        <w:instrText xml:space="preserve"> NOTEREF _Ref492129528 \h </w:instrText>
      </w:r>
      <w:r>
        <w:rPr>
          <w:vertAlign w:val="superscript"/>
          <w:lang w:eastAsia="ja-JP"/>
        </w:rPr>
        <w:instrText xml:space="preserve"> \* MERGEFORMAT </w:instrText>
      </w:r>
      <w:r w:rsidRPr="002905D6">
        <w:rPr>
          <w:vertAlign w:val="superscript"/>
          <w:lang w:eastAsia="ja-JP"/>
        </w:rPr>
      </w:r>
      <w:r w:rsidRPr="002905D6">
        <w:rPr>
          <w:vertAlign w:val="superscript"/>
          <w:lang w:eastAsia="ja-JP"/>
        </w:rPr>
        <w:fldChar w:fldCharType="separate"/>
      </w:r>
      <w:r w:rsidR="009A3335">
        <w:rPr>
          <w:vertAlign w:val="superscript"/>
          <w:lang w:eastAsia="ja-JP"/>
        </w:rPr>
        <w:t>3</w:t>
      </w:r>
      <w:r w:rsidRPr="002905D6">
        <w:rPr>
          <w:vertAlign w:val="superscript"/>
          <w:lang w:eastAsia="ja-JP"/>
        </w:rPr>
        <w:fldChar w:fldCharType="end"/>
      </w:r>
      <w:r>
        <w:rPr>
          <w:lang w:eastAsia="ja-JP"/>
        </w:rPr>
        <w:t xml:space="preserve"> There is no precautionary statement regarding heart disease in the US Skyla product label (US trade name for LNG12, that is, Jaydess) or UK SPC for Jaydess.</w:t>
      </w:r>
      <w:r w:rsidR="000455FE">
        <w:rPr>
          <w:rStyle w:val="FootnoteReference"/>
          <w:lang w:eastAsia="ja-JP"/>
        </w:rPr>
        <w:footnoteReference w:id="9"/>
      </w:r>
      <w:r w:rsidR="000455FE">
        <w:rPr>
          <w:vertAlign w:val="superscript"/>
          <w:lang w:eastAsia="ja-JP"/>
        </w:rPr>
        <w:t>,</w:t>
      </w:r>
      <w:bookmarkStart w:id="206" w:name="_Ref492649710"/>
      <w:r w:rsidR="000455FE">
        <w:rPr>
          <w:rStyle w:val="FootnoteReference"/>
          <w:lang w:eastAsia="ja-JP"/>
        </w:rPr>
        <w:footnoteReference w:id="10"/>
      </w:r>
      <w:bookmarkEnd w:id="206"/>
      <w:r>
        <w:rPr>
          <w:lang w:eastAsia="ja-JP"/>
        </w:rPr>
        <w:t xml:space="preserve"> It is noted the current Australian Mirena PI contains the additional statement ‘antibiotic prophylaxis should be </w:t>
      </w:r>
      <w:r>
        <w:rPr>
          <w:lang w:eastAsia="ja-JP"/>
        </w:rPr>
        <w:lastRenderedPageBreak/>
        <w:t>administered to these patients when inserting or removing Mirena’.</w:t>
      </w:r>
      <w:r w:rsidRPr="002905D6">
        <w:rPr>
          <w:vertAlign w:val="superscript"/>
          <w:lang w:eastAsia="ja-JP"/>
        </w:rPr>
        <w:fldChar w:fldCharType="begin"/>
      </w:r>
      <w:r w:rsidRPr="002905D6">
        <w:rPr>
          <w:vertAlign w:val="superscript"/>
          <w:lang w:eastAsia="ja-JP"/>
        </w:rPr>
        <w:instrText xml:space="preserve"> NOTEREF _Ref492129582 \h </w:instrText>
      </w:r>
      <w:r>
        <w:rPr>
          <w:vertAlign w:val="superscript"/>
          <w:lang w:eastAsia="ja-JP"/>
        </w:rPr>
        <w:instrText xml:space="preserve"> \* MERGEFORMAT </w:instrText>
      </w:r>
      <w:r w:rsidRPr="002905D6">
        <w:rPr>
          <w:vertAlign w:val="superscript"/>
          <w:lang w:eastAsia="ja-JP"/>
        </w:rPr>
      </w:r>
      <w:r w:rsidRPr="002905D6">
        <w:rPr>
          <w:vertAlign w:val="superscript"/>
          <w:lang w:eastAsia="ja-JP"/>
        </w:rPr>
        <w:fldChar w:fldCharType="separate"/>
      </w:r>
      <w:r w:rsidR="009A3335">
        <w:rPr>
          <w:vertAlign w:val="superscript"/>
          <w:lang w:eastAsia="ja-JP"/>
        </w:rPr>
        <w:t>2</w:t>
      </w:r>
      <w:r w:rsidRPr="002905D6">
        <w:rPr>
          <w:vertAlign w:val="superscript"/>
          <w:lang w:eastAsia="ja-JP"/>
        </w:rPr>
        <w:fldChar w:fldCharType="end"/>
      </w:r>
      <w:r>
        <w:rPr>
          <w:lang w:eastAsia="ja-JP"/>
        </w:rPr>
        <w:t xml:space="preserve"> The US product label for Mirena did contain information regarding use of antibiotics in patients with known congenital heart disease up to 2013, although this information is not present in the current US Mirena product label (dated 2015).</w:t>
      </w:r>
      <w:r w:rsidR="000455FE">
        <w:rPr>
          <w:rStyle w:val="FootnoteReference"/>
          <w:lang w:eastAsia="ja-JP"/>
        </w:rPr>
        <w:footnoteReference w:id="11"/>
      </w:r>
      <w:r w:rsidR="000455FE">
        <w:rPr>
          <w:vertAlign w:val="superscript"/>
          <w:lang w:eastAsia="ja-JP"/>
        </w:rPr>
        <w:t>,</w:t>
      </w:r>
      <w:r w:rsidR="000455FE">
        <w:rPr>
          <w:rStyle w:val="FootnoteReference"/>
          <w:lang w:eastAsia="ja-JP"/>
        </w:rPr>
        <w:footnoteReference w:id="12"/>
      </w:r>
      <w:r>
        <w:rPr>
          <w:lang w:eastAsia="ja-JP"/>
        </w:rPr>
        <w:t xml:space="preserve"> There is no precautionary information regarding valvular or congenital heart disease in the UK SPC for Mirena</w:t>
      </w:r>
      <w:r w:rsidR="000455FE">
        <w:rPr>
          <w:lang w:eastAsia="ja-JP"/>
        </w:rPr>
        <w:t>.</w:t>
      </w:r>
      <w:r w:rsidR="000455FE">
        <w:rPr>
          <w:rStyle w:val="FootnoteReference"/>
          <w:lang w:eastAsia="ja-JP"/>
        </w:rPr>
        <w:footnoteReference w:id="13"/>
      </w:r>
    </w:p>
    <w:p w14:paraId="1AB1F52B" w14:textId="2BB11B6F" w:rsidR="00C91D9A" w:rsidRDefault="00C91D9A" w:rsidP="00C91D9A">
      <w:pPr>
        <w:pStyle w:val="Heading4"/>
      </w:pPr>
      <w:r>
        <w:t>Question 5</w:t>
      </w:r>
    </w:p>
    <w:p w14:paraId="439C5B01" w14:textId="39754EB8" w:rsidR="00C91D9A" w:rsidRPr="00C91D9A" w:rsidRDefault="00C91D9A" w:rsidP="00C91D9A">
      <w:pPr>
        <w:ind w:left="720"/>
        <w:rPr>
          <w:i/>
          <w:lang w:eastAsia="ja-JP"/>
        </w:rPr>
      </w:pPr>
      <w:r w:rsidRPr="00C91D9A">
        <w:rPr>
          <w:i/>
          <w:lang w:eastAsia="ja-JP"/>
        </w:rPr>
        <w:t>‘Is there any evidence that the low systemic levels of progesterone ass</w:t>
      </w:r>
      <w:r>
        <w:rPr>
          <w:i/>
          <w:lang w:eastAsia="ja-JP"/>
        </w:rPr>
        <w:t xml:space="preserve">ociated with the use of </w:t>
      </w:r>
      <w:r w:rsidR="007A24E9">
        <w:rPr>
          <w:i/>
          <w:lang w:eastAsia="ja-JP"/>
        </w:rPr>
        <w:t>Kyleena</w:t>
      </w:r>
      <w:r>
        <w:rPr>
          <w:i/>
          <w:lang w:eastAsia="ja-JP"/>
        </w:rPr>
        <w:t xml:space="preserve"> </w:t>
      </w:r>
      <w:r w:rsidRPr="00C91D9A">
        <w:rPr>
          <w:i/>
          <w:lang w:eastAsia="ja-JP"/>
        </w:rPr>
        <w:t>will cause problems with glucose metabolism?’</w:t>
      </w:r>
    </w:p>
    <w:p w14:paraId="40DA92A8" w14:textId="6459B412" w:rsidR="00C91D9A" w:rsidRDefault="00C91D9A" w:rsidP="00C91D9A">
      <w:pPr>
        <w:pStyle w:val="Heading5"/>
        <w:rPr>
          <w:lang w:eastAsia="ja-JP"/>
        </w:rPr>
      </w:pPr>
      <w:r>
        <w:rPr>
          <w:lang w:eastAsia="ja-JP"/>
        </w:rPr>
        <w:t>Sponsor’s response</w:t>
      </w:r>
    </w:p>
    <w:p w14:paraId="605C13B2" w14:textId="33CC9B9E" w:rsidR="00C91D9A" w:rsidRDefault="00C91D9A" w:rsidP="00C91D9A">
      <w:pPr>
        <w:rPr>
          <w:lang w:eastAsia="ja-JP"/>
        </w:rPr>
      </w:pPr>
      <w:r>
        <w:rPr>
          <w:lang w:eastAsia="ja-JP"/>
        </w:rPr>
        <w:t>Study 310442 where haemoglobin A1c (HbA1c) was measured to assess carbohydrate metabolism at screening and end of study. The values are displayed in [table not included] of the Report PH-37274. Mean changes from baseline to end of study were small. The proportion of women with high HbA1c values did not change much from screening to end of study and were 1.3% at screening and 1.9% at end of study [table not included]. Transitions from Baseline with respect to reference ranges are displayed in [table not included]. A subject listing of HbA1c values at end of study can be found in the [appendix not included].</w:t>
      </w:r>
    </w:p>
    <w:p w14:paraId="44F0315D" w14:textId="68A452C6" w:rsidR="00C91D9A" w:rsidRDefault="00C91D9A" w:rsidP="00C91D9A">
      <w:pPr>
        <w:rPr>
          <w:lang w:eastAsia="ja-JP"/>
        </w:rPr>
      </w:pPr>
      <w:r>
        <w:rPr>
          <w:lang w:eastAsia="ja-JP"/>
        </w:rPr>
        <w:t>In addition, an overview of recommendations for LNG</w:t>
      </w:r>
      <w:r w:rsidR="007A24E9">
        <w:rPr>
          <w:lang w:eastAsia="ja-JP"/>
        </w:rPr>
        <w:t xml:space="preserve"> </w:t>
      </w:r>
      <w:r>
        <w:rPr>
          <w:lang w:eastAsia="ja-JP"/>
        </w:rPr>
        <w:t>IUS use in women with diabetes from the available</w:t>
      </w:r>
      <w:r w:rsidR="001B25AF">
        <w:rPr>
          <w:lang w:eastAsia="ja-JP"/>
        </w:rPr>
        <w:t xml:space="preserve"> guidelines is presented in T</w:t>
      </w:r>
      <w:r>
        <w:rPr>
          <w:lang w:eastAsia="ja-JP"/>
        </w:rPr>
        <w:t>able</w:t>
      </w:r>
      <w:r w:rsidR="001B25AF">
        <w:rPr>
          <w:lang w:eastAsia="ja-JP"/>
        </w:rPr>
        <w:t xml:space="preserve"> 41,</w:t>
      </w:r>
      <w:r>
        <w:rPr>
          <w:lang w:eastAsia="ja-JP"/>
        </w:rPr>
        <w:t xml:space="preserve"> below.</w:t>
      </w:r>
    </w:p>
    <w:p w14:paraId="37498E6B" w14:textId="46B9BF4F" w:rsidR="00C91D9A" w:rsidRDefault="00272AD3" w:rsidP="00C91D9A">
      <w:pPr>
        <w:pStyle w:val="Tabletitle"/>
        <w:rPr>
          <w:lang w:eastAsia="ja-JP"/>
        </w:rPr>
      </w:pPr>
      <w:r>
        <w:rPr>
          <w:lang w:eastAsia="ja-JP"/>
        </w:rPr>
        <w:t>Table 41</w:t>
      </w:r>
      <w:r w:rsidR="00C91D9A">
        <w:rPr>
          <w:lang w:eastAsia="ja-JP"/>
        </w:rPr>
        <w:t>.</w:t>
      </w:r>
      <w:r w:rsidR="00C93B46">
        <w:rPr>
          <w:lang w:eastAsia="ja-JP"/>
        </w:rPr>
        <w:t xml:space="preserve"> </w:t>
      </w:r>
      <w:r>
        <w:rPr>
          <w:lang w:eastAsia="ja-JP"/>
        </w:rPr>
        <w:t>Recommendations of LNG IUS use in diabetes</w:t>
      </w:r>
    </w:p>
    <w:p w14:paraId="7DAF38C6" w14:textId="49B713EC" w:rsidR="00C91D9A" w:rsidRDefault="00C91D9A" w:rsidP="00C91D9A">
      <w:pPr>
        <w:rPr>
          <w:lang w:eastAsia="ja-JP"/>
        </w:rPr>
      </w:pPr>
      <w:r>
        <w:rPr>
          <w:noProof/>
          <w:lang w:eastAsia="en-AU"/>
        </w:rPr>
        <w:drawing>
          <wp:inline distT="0" distB="0" distL="0" distR="0" wp14:anchorId="3FC0007F" wp14:editId="1CDDCEDF">
            <wp:extent cx="3830714" cy="3913095"/>
            <wp:effectExtent l="0" t="0" r="0" b="0"/>
            <wp:docPr id="23" name="Picture 23" descr="Table 41 is an image of a table showing the Recommendations of LNG IUS use in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50000"/>
                              </a14:imgEffect>
                              <a14:imgEffect>
                                <a14:brightnessContrast bright="18000"/>
                              </a14:imgEffect>
                            </a14:imgLayer>
                          </a14:imgProps>
                        </a:ext>
                      </a:extLst>
                    </a:blip>
                    <a:stretch>
                      <a:fillRect/>
                    </a:stretch>
                  </pic:blipFill>
                  <pic:spPr>
                    <a:xfrm>
                      <a:off x="0" y="0"/>
                      <a:ext cx="3830239" cy="3912610"/>
                    </a:xfrm>
                    <a:prstGeom prst="rect">
                      <a:avLst/>
                    </a:prstGeom>
                  </pic:spPr>
                </pic:pic>
              </a:graphicData>
            </a:graphic>
          </wp:inline>
        </w:drawing>
      </w:r>
    </w:p>
    <w:p w14:paraId="48E064CB" w14:textId="754E8C1A" w:rsidR="00C91D9A" w:rsidRDefault="00C91D9A" w:rsidP="00C91D9A">
      <w:pPr>
        <w:rPr>
          <w:lang w:eastAsia="ja-JP"/>
        </w:rPr>
      </w:pPr>
      <w:r>
        <w:rPr>
          <w:lang w:eastAsia="ja-JP"/>
        </w:rPr>
        <w:lastRenderedPageBreak/>
        <w:t xml:space="preserve">In summary, the recommendation given in the PI is in line with the recommendations given in the available </w:t>
      </w:r>
      <w:r w:rsidR="00272AD3">
        <w:rPr>
          <w:lang w:eastAsia="ja-JP"/>
        </w:rPr>
        <w:t>guidelines. Therefore, in the sponsor’s</w:t>
      </w:r>
      <w:r>
        <w:rPr>
          <w:lang w:eastAsia="ja-JP"/>
        </w:rPr>
        <w:t xml:space="preserve"> opinion, no changes to the PI are deemed necessary.</w:t>
      </w:r>
    </w:p>
    <w:p w14:paraId="763BE072" w14:textId="6161A745" w:rsidR="00C91D9A" w:rsidRDefault="00C91D9A" w:rsidP="00C91D9A">
      <w:pPr>
        <w:pStyle w:val="Heading5"/>
        <w:rPr>
          <w:lang w:eastAsia="ja-JP"/>
        </w:rPr>
      </w:pPr>
      <w:r>
        <w:rPr>
          <w:lang w:eastAsia="ja-JP"/>
        </w:rPr>
        <w:t>Evaluator’s response</w:t>
      </w:r>
    </w:p>
    <w:p w14:paraId="775EEE78" w14:textId="6AFF0D5D" w:rsidR="00C91D9A" w:rsidRDefault="00C91D9A" w:rsidP="00C91D9A">
      <w:pPr>
        <w:rPr>
          <w:lang w:eastAsia="ja-JP"/>
        </w:rPr>
      </w:pPr>
      <w:r>
        <w:rPr>
          <w:lang w:eastAsia="ja-JP"/>
        </w:rPr>
        <w:t>The sponsor’s response is considered acceptable. The proposed Kyleena PI contains the identical precautionary text re: diabetes as the Mirena and Jaydess PI documents.</w:t>
      </w:r>
      <w:r w:rsidRPr="00C91D9A">
        <w:rPr>
          <w:vertAlign w:val="superscript"/>
          <w:lang w:eastAsia="ja-JP"/>
        </w:rPr>
        <w:fldChar w:fldCharType="begin"/>
      </w:r>
      <w:r w:rsidRPr="00C91D9A">
        <w:rPr>
          <w:vertAlign w:val="superscript"/>
          <w:lang w:eastAsia="ja-JP"/>
        </w:rPr>
        <w:instrText xml:space="preserve"> NOTEREF _Ref492129582 \h </w:instrText>
      </w:r>
      <w:r>
        <w:rPr>
          <w:vertAlign w:val="superscript"/>
          <w:lang w:eastAsia="ja-JP"/>
        </w:rPr>
        <w:instrText xml:space="preserve"> \* MERGEFORMAT </w:instrText>
      </w:r>
      <w:r w:rsidRPr="00C91D9A">
        <w:rPr>
          <w:vertAlign w:val="superscript"/>
          <w:lang w:eastAsia="ja-JP"/>
        </w:rPr>
      </w:r>
      <w:r w:rsidRPr="00C91D9A">
        <w:rPr>
          <w:vertAlign w:val="superscript"/>
          <w:lang w:eastAsia="ja-JP"/>
        </w:rPr>
        <w:fldChar w:fldCharType="separate"/>
      </w:r>
      <w:r w:rsidR="009A3335">
        <w:rPr>
          <w:vertAlign w:val="superscript"/>
          <w:lang w:eastAsia="ja-JP"/>
        </w:rPr>
        <w:t>2</w:t>
      </w:r>
      <w:r w:rsidRPr="00C91D9A">
        <w:rPr>
          <w:vertAlign w:val="superscript"/>
          <w:lang w:eastAsia="ja-JP"/>
        </w:rPr>
        <w:fldChar w:fldCharType="end"/>
      </w:r>
      <w:r w:rsidRPr="00C91D9A">
        <w:rPr>
          <w:vertAlign w:val="superscript"/>
          <w:lang w:eastAsia="ja-JP"/>
        </w:rPr>
        <w:t>,</w:t>
      </w:r>
      <w:r w:rsidRPr="00C91D9A">
        <w:rPr>
          <w:vertAlign w:val="superscript"/>
          <w:lang w:eastAsia="ja-JP"/>
        </w:rPr>
        <w:fldChar w:fldCharType="begin"/>
      </w:r>
      <w:r w:rsidRPr="00C91D9A">
        <w:rPr>
          <w:vertAlign w:val="superscript"/>
          <w:lang w:eastAsia="ja-JP"/>
        </w:rPr>
        <w:instrText xml:space="preserve"> NOTEREF _Ref492129528 \h </w:instrText>
      </w:r>
      <w:r>
        <w:rPr>
          <w:vertAlign w:val="superscript"/>
          <w:lang w:eastAsia="ja-JP"/>
        </w:rPr>
        <w:instrText xml:space="preserve"> \* MERGEFORMAT </w:instrText>
      </w:r>
      <w:r w:rsidRPr="00C91D9A">
        <w:rPr>
          <w:vertAlign w:val="superscript"/>
          <w:lang w:eastAsia="ja-JP"/>
        </w:rPr>
      </w:r>
      <w:r w:rsidRPr="00C91D9A">
        <w:rPr>
          <w:vertAlign w:val="superscript"/>
          <w:lang w:eastAsia="ja-JP"/>
        </w:rPr>
        <w:fldChar w:fldCharType="separate"/>
      </w:r>
      <w:r w:rsidR="009A3335">
        <w:rPr>
          <w:vertAlign w:val="superscript"/>
          <w:lang w:eastAsia="ja-JP"/>
        </w:rPr>
        <w:t>3</w:t>
      </w:r>
      <w:r w:rsidRPr="00C91D9A">
        <w:rPr>
          <w:vertAlign w:val="superscript"/>
          <w:lang w:eastAsia="ja-JP"/>
        </w:rPr>
        <w:fldChar w:fldCharType="end"/>
      </w:r>
      <w:r>
        <w:rPr>
          <w:lang w:eastAsia="ja-JP"/>
        </w:rPr>
        <w:t xml:space="preserve"> This information is also c</w:t>
      </w:r>
      <w:r w:rsidR="000455FE">
        <w:rPr>
          <w:lang w:eastAsia="ja-JP"/>
        </w:rPr>
        <w:t>ontained in the UK Jaydess SPC.</w:t>
      </w:r>
      <w:r w:rsidR="000455FE" w:rsidRPr="000455FE">
        <w:rPr>
          <w:vertAlign w:val="superscript"/>
          <w:lang w:eastAsia="ja-JP"/>
        </w:rPr>
        <w:fldChar w:fldCharType="begin"/>
      </w:r>
      <w:r w:rsidR="000455FE" w:rsidRPr="000455FE">
        <w:rPr>
          <w:vertAlign w:val="superscript"/>
          <w:lang w:eastAsia="ja-JP"/>
        </w:rPr>
        <w:instrText xml:space="preserve"> NOTEREF _Ref492649710 \h </w:instrText>
      </w:r>
      <w:r w:rsidR="000455FE">
        <w:rPr>
          <w:vertAlign w:val="superscript"/>
          <w:lang w:eastAsia="ja-JP"/>
        </w:rPr>
        <w:instrText xml:space="preserve"> \* MERGEFORMAT </w:instrText>
      </w:r>
      <w:r w:rsidR="000455FE" w:rsidRPr="000455FE">
        <w:rPr>
          <w:vertAlign w:val="superscript"/>
          <w:lang w:eastAsia="ja-JP"/>
        </w:rPr>
      </w:r>
      <w:r w:rsidR="000455FE" w:rsidRPr="000455FE">
        <w:rPr>
          <w:vertAlign w:val="superscript"/>
          <w:lang w:eastAsia="ja-JP"/>
        </w:rPr>
        <w:fldChar w:fldCharType="separate"/>
      </w:r>
      <w:r w:rsidR="009A3335">
        <w:rPr>
          <w:vertAlign w:val="superscript"/>
          <w:lang w:eastAsia="ja-JP"/>
        </w:rPr>
        <w:t>10</w:t>
      </w:r>
      <w:r w:rsidR="000455FE" w:rsidRPr="000455FE">
        <w:rPr>
          <w:vertAlign w:val="superscript"/>
          <w:lang w:eastAsia="ja-JP"/>
        </w:rPr>
        <w:fldChar w:fldCharType="end"/>
      </w:r>
    </w:p>
    <w:p w14:paraId="00836675" w14:textId="13C1514F" w:rsidR="00C91D9A" w:rsidRDefault="00C91D9A" w:rsidP="00C91D9A">
      <w:pPr>
        <w:pStyle w:val="Heading4"/>
      </w:pPr>
      <w:r>
        <w:t>Question 6</w:t>
      </w:r>
    </w:p>
    <w:p w14:paraId="0FEF6776" w14:textId="26D9F40D" w:rsidR="00C91D9A" w:rsidRPr="003C2829" w:rsidRDefault="003C2829" w:rsidP="003C2829">
      <w:pPr>
        <w:ind w:left="720"/>
        <w:rPr>
          <w:i/>
          <w:lang w:eastAsia="ja-JP"/>
        </w:rPr>
      </w:pPr>
      <w:r w:rsidRPr="003C2829">
        <w:rPr>
          <w:i/>
          <w:lang w:eastAsia="ja-JP"/>
        </w:rPr>
        <w:t>‘</w:t>
      </w:r>
      <w:r w:rsidR="00C91D9A" w:rsidRPr="003C2829">
        <w:rPr>
          <w:i/>
          <w:lang w:eastAsia="ja-JP"/>
        </w:rPr>
        <w:t xml:space="preserve">Is it safe for women with a </w:t>
      </w:r>
      <w:r w:rsidR="007A24E9">
        <w:rPr>
          <w:i/>
          <w:lang w:eastAsia="ja-JP"/>
        </w:rPr>
        <w:t>Kyleena</w:t>
      </w:r>
      <w:r w:rsidR="00C91D9A" w:rsidRPr="003C2829">
        <w:rPr>
          <w:i/>
          <w:lang w:eastAsia="ja-JP"/>
        </w:rPr>
        <w:t xml:space="preserve"> IUD to undergo an MRI? What is the experience with similar products? Does there need to be a stronger warning against this?</w:t>
      </w:r>
      <w:r w:rsidRPr="003C2829">
        <w:rPr>
          <w:i/>
          <w:lang w:eastAsia="ja-JP"/>
        </w:rPr>
        <w:t>’</w:t>
      </w:r>
    </w:p>
    <w:p w14:paraId="7D69D4A7" w14:textId="16CD2479" w:rsidR="003C2829" w:rsidRDefault="00C91D9A" w:rsidP="003C2829">
      <w:pPr>
        <w:pStyle w:val="Heading5"/>
        <w:rPr>
          <w:lang w:eastAsia="ja-JP"/>
        </w:rPr>
      </w:pPr>
      <w:r>
        <w:rPr>
          <w:lang w:eastAsia="ja-JP"/>
        </w:rPr>
        <w:t>Sponsor</w:t>
      </w:r>
      <w:r w:rsidR="003C2829">
        <w:rPr>
          <w:lang w:eastAsia="ja-JP"/>
        </w:rPr>
        <w:t>’s response</w:t>
      </w:r>
    </w:p>
    <w:p w14:paraId="111A4D02" w14:textId="31AA85A2" w:rsidR="00C91D9A" w:rsidRDefault="00C91D9A" w:rsidP="00C91D9A">
      <w:pPr>
        <w:rPr>
          <w:lang w:eastAsia="ja-JP"/>
        </w:rPr>
      </w:pPr>
      <w:r>
        <w:rPr>
          <w:lang w:eastAsia="ja-JP"/>
        </w:rPr>
        <w:t>Yes, similar to Jaydess, Kyleena is MR conditional. Non-clinical testing of another LNG</w:t>
      </w:r>
      <w:r w:rsidR="007A24E9">
        <w:rPr>
          <w:lang w:eastAsia="ja-JP"/>
        </w:rPr>
        <w:t xml:space="preserve"> </w:t>
      </w:r>
      <w:r>
        <w:rPr>
          <w:lang w:eastAsia="ja-JP"/>
        </w:rPr>
        <w:t>IUS (Jaydess) which has the same size silver ring and T-body has demonstrated that a patient can be scanned safely after placement of Kyleena under the condit</w:t>
      </w:r>
      <w:r w:rsidR="003C2829">
        <w:rPr>
          <w:lang w:eastAsia="ja-JP"/>
        </w:rPr>
        <w:t>ions mentioned in the PI under ‘Magnetic Resonance Imaging (MRI)’</w:t>
      </w:r>
      <w:r>
        <w:rPr>
          <w:lang w:eastAsia="ja-JP"/>
        </w:rPr>
        <w:t>. Therefore, a stronger warning against MRI in Kyleena users is not warranted.</w:t>
      </w:r>
    </w:p>
    <w:p w14:paraId="29B18187" w14:textId="6864D049" w:rsidR="00C91D9A" w:rsidRDefault="00C91D9A" w:rsidP="00C91D9A">
      <w:pPr>
        <w:rPr>
          <w:lang w:eastAsia="ja-JP"/>
        </w:rPr>
      </w:pPr>
      <w:r>
        <w:rPr>
          <w:lang w:eastAsia="ja-JP"/>
        </w:rPr>
        <w:t xml:space="preserve">For TGA’s reference, please find the report to support the inclusion of the precautionary statement </w:t>
      </w:r>
      <w:r w:rsidR="003C2829">
        <w:rPr>
          <w:lang w:eastAsia="ja-JP"/>
        </w:rPr>
        <w:t>[not included here]</w:t>
      </w:r>
      <w:r>
        <w:rPr>
          <w:lang w:eastAsia="ja-JP"/>
        </w:rPr>
        <w:t>. The testing used is in accordance with the ASTM International recommendations and is generally accepted by the US FDA and is in line with the current FDA Guidance related to MR safety evaluation. The testing specifically evaluated magnetic field interactions, MRI relate</w:t>
      </w:r>
      <w:r w:rsidR="003C2829">
        <w:rPr>
          <w:lang w:eastAsia="ja-JP"/>
        </w:rPr>
        <w:t>d heating and artefact testing.</w:t>
      </w:r>
    </w:p>
    <w:p w14:paraId="11FF3E8A" w14:textId="7E976E96" w:rsidR="003C2829" w:rsidRDefault="003C2829" w:rsidP="003C2829">
      <w:pPr>
        <w:pStyle w:val="Heading5"/>
        <w:rPr>
          <w:lang w:eastAsia="ja-JP"/>
        </w:rPr>
      </w:pPr>
      <w:r>
        <w:rPr>
          <w:lang w:eastAsia="ja-JP"/>
        </w:rPr>
        <w:t>Evaluator’s response</w:t>
      </w:r>
    </w:p>
    <w:p w14:paraId="19C2E526" w14:textId="3446290F" w:rsidR="00C91D9A" w:rsidRDefault="00C91D9A" w:rsidP="00C91D9A">
      <w:pPr>
        <w:rPr>
          <w:lang w:eastAsia="ja-JP"/>
        </w:rPr>
      </w:pPr>
      <w:r>
        <w:rPr>
          <w:lang w:eastAsia="ja-JP"/>
        </w:rPr>
        <w:t>The Royal Australian and New Zealand College of Radiologists</w:t>
      </w:r>
      <w:r w:rsidR="005F05DA">
        <w:rPr>
          <w:lang w:eastAsia="ja-JP"/>
        </w:rPr>
        <w:t>(RANZCR)</w:t>
      </w:r>
      <w:r>
        <w:rPr>
          <w:lang w:eastAsia="ja-JP"/>
        </w:rPr>
        <w:t xml:space="preserve"> </w:t>
      </w:r>
      <w:r w:rsidR="003C2829">
        <w:rPr>
          <w:lang w:eastAsia="ja-JP"/>
        </w:rPr>
        <w:t>MRI Safety Guidelines document</w:t>
      </w:r>
      <w:r>
        <w:rPr>
          <w:lang w:eastAsia="ja-JP"/>
        </w:rPr>
        <w:t xml:space="preserve"> categorises MR Compatibility Status as MR safe, MR condit</w:t>
      </w:r>
      <w:r w:rsidR="003C2829">
        <w:rPr>
          <w:lang w:eastAsia="ja-JP"/>
        </w:rPr>
        <w:t>ional or MR unsafe as per ASTM (</w:t>
      </w:r>
      <w:r>
        <w:rPr>
          <w:lang w:eastAsia="ja-JP"/>
        </w:rPr>
        <w:t>American So</w:t>
      </w:r>
      <w:r w:rsidR="003C2829">
        <w:rPr>
          <w:lang w:eastAsia="ja-JP"/>
        </w:rPr>
        <w:t>ciety for Testing and Materials)</w:t>
      </w:r>
      <w:r>
        <w:rPr>
          <w:lang w:eastAsia="ja-JP"/>
        </w:rPr>
        <w:t xml:space="preserve"> International definitions, noting the FDA requires product information labelling for all implants to have MR safety information available.</w:t>
      </w:r>
      <w:bookmarkStart w:id="207" w:name="_Ref492650041"/>
      <w:r w:rsidR="005F05DA">
        <w:rPr>
          <w:rStyle w:val="FootnoteReference"/>
          <w:lang w:eastAsia="ja-JP"/>
        </w:rPr>
        <w:footnoteReference w:id="14"/>
      </w:r>
      <w:bookmarkEnd w:id="207"/>
      <w:r w:rsidR="005F05DA">
        <w:rPr>
          <w:lang w:eastAsia="ja-JP"/>
        </w:rPr>
        <w:t xml:space="preserve"> </w:t>
      </w:r>
      <w:r>
        <w:rPr>
          <w:lang w:eastAsia="ja-JP"/>
        </w:rPr>
        <w:t>Jaydess is classified as MR conditional</w:t>
      </w:r>
      <w:r w:rsidR="003C2829">
        <w:rPr>
          <w:lang w:eastAsia="ja-JP"/>
        </w:rPr>
        <w:t xml:space="preserve"> in the current Australian PI</w:t>
      </w:r>
      <w:r>
        <w:rPr>
          <w:lang w:eastAsia="ja-JP"/>
        </w:rPr>
        <w:t xml:space="preserve"> with the information provided consistent with the information in the US product label for Skyla.</w:t>
      </w:r>
      <w:r w:rsidR="003C2829" w:rsidRPr="003C2829">
        <w:rPr>
          <w:vertAlign w:val="superscript"/>
          <w:lang w:eastAsia="ja-JP"/>
        </w:rPr>
        <w:fldChar w:fldCharType="begin"/>
      </w:r>
      <w:r w:rsidR="003C2829" w:rsidRPr="003C2829">
        <w:rPr>
          <w:vertAlign w:val="superscript"/>
          <w:lang w:eastAsia="ja-JP"/>
        </w:rPr>
        <w:instrText xml:space="preserve"> NOTEREF _Ref492129528 \h </w:instrText>
      </w:r>
      <w:r w:rsidR="003C2829">
        <w:rPr>
          <w:vertAlign w:val="superscript"/>
          <w:lang w:eastAsia="ja-JP"/>
        </w:rPr>
        <w:instrText xml:space="preserve"> \* MERGEFORMAT </w:instrText>
      </w:r>
      <w:r w:rsidR="003C2829" w:rsidRPr="003C2829">
        <w:rPr>
          <w:vertAlign w:val="superscript"/>
          <w:lang w:eastAsia="ja-JP"/>
        </w:rPr>
      </w:r>
      <w:r w:rsidR="003C2829" w:rsidRPr="003C2829">
        <w:rPr>
          <w:vertAlign w:val="superscript"/>
          <w:lang w:eastAsia="ja-JP"/>
        </w:rPr>
        <w:fldChar w:fldCharType="separate"/>
      </w:r>
      <w:r w:rsidR="009A3335">
        <w:rPr>
          <w:vertAlign w:val="superscript"/>
          <w:lang w:eastAsia="ja-JP"/>
        </w:rPr>
        <w:t>3</w:t>
      </w:r>
      <w:r w:rsidR="003C2829" w:rsidRPr="003C2829">
        <w:rPr>
          <w:vertAlign w:val="superscript"/>
          <w:lang w:eastAsia="ja-JP"/>
        </w:rPr>
        <w:fldChar w:fldCharType="end"/>
      </w:r>
    </w:p>
    <w:p w14:paraId="688D428B" w14:textId="02A1E651" w:rsidR="00C91D9A" w:rsidRDefault="00C91D9A" w:rsidP="00C91D9A">
      <w:pPr>
        <w:rPr>
          <w:lang w:eastAsia="ja-JP"/>
        </w:rPr>
      </w:pPr>
      <w:r>
        <w:rPr>
          <w:lang w:eastAsia="ja-JP"/>
        </w:rPr>
        <w:t>The RANZCR Guidelin</w:t>
      </w:r>
      <w:r w:rsidR="003C2829">
        <w:rPr>
          <w:lang w:eastAsia="ja-JP"/>
        </w:rPr>
        <w:t>es define MR Conditional as: ‘</w:t>
      </w:r>
      <w:r w:rsidRPr="00DC0205">
        <w:rPr>
          <w:i/>
          <w:lang w:eastAsia="ja-JP"/>
        </w:rPr>
        <w:t>Has been demonstrated to pose no known hazards in a specified MR environment with specified conditions of use. Field conditions that define the specified MR environment include field strength, spatial gradient, dB/dt (time rate of change of the magnetic field) radio frequency (RF) fields, and specific absorption rate (SAR). Additional conditions, including specific configuration</w:t>
      </w:r>
      <w:r w:rsidR="003C2829" w:rsidRPr="00DC0205">
        <w:rPr>
          <w:i/>
          <w:lang w:eastAsia="ja-JP"/>
        </w:rPr>
        <w:t>s of the item, may be required’</w:t>
      </w:r>
      <w:r w:rsidR="003C2829" w:rsidRPr="00DC0205">
        <w:rPr>
          <w:lang w:eastAsia="ja-JP"/>
        </w:rPr>
        <w:t>.</w:t>
      </w:r>
      <w:r w:rsidR="005F05DA" w:rsidRPr="00DC0205">
        <w:rPr>
          <w:vertAlign w:val="superscript"/>
          <w:lang w:eastAsia="ja-JP"/>
        </w:rPr>
        <w:fldChar w:fldCharType="begin"/>
      </w:r>
      <w:r w:rsidR="005F05DA" w:rsidRPr="00DC0205">
        <w:rPr>
          <w:vertAlign w:val="superscript"/>
          <w:lang w:eastAsia="ja-JP"/>
        </w:rPr>
        <w:instrText xml:space="preserve"> NOTEREF _Ref492650041 \h  \* MERGEFORMAT </w:instrText>
      </w:r>
      <w:r w:rsidR="005F05DA" w:rsidRPr="00DC0205">
        <w:rPr>
          <w:vertAlign w:val="superscript"/>
          <w:lang w:eastAsia="ja-JP"/>
        </w:rPr>
      </w:r>
      <w:r w:rsidR="005F05DA" w:rsidRPr="00DC0205">
        <w:rPr>
          <w:vertAlign w:val="superscript"/>
          <w:lang w:eastAsia="ja-JP"/>
        </w:rPr>
        <w:fldChar w:fldCharType="separate"/>
      </w:r>
      <w:r w:rsidR="009A3335">
        <w:rPr>
          <w:vertAlign w:val="superscript"/>
          <w:lang w:eastAsia="ja-JP"/>
        </w:rPr>
        <w:t>14</w:t>
      </w:r>
      <w:r w:rsidR="005F05DA" w:rsidRPr="00DC0205">
        <w:rPr>
          <w:vertAlign w:val="superscript"/>
          <w:lang w:eastAsia="ja-JP"/>
        </w:rPr>
        <w:fldChar w:fldCharType="end"/>
      </w:r>
    </w:p>
    <w:p w14:paraId="0E3EB17B" w14:textId="2A17C3EF" w:rsidR="00C91D9A" w:rsidRDefault="00C91D9A" w:rsidP="00C91D9A">
      <w:pPr>
        <w:rPr>
          <w:lang w:eastAsia="ja-JP"/>
        </w:rPr>
      </w:pPr>
      <w:r>
        <w:rPr>
          <w:lang w:eastAsia="ja-JP"/>
        </w:rPr>
        <w:t>Use with MRI was raised in the Delegate’s Overview fo</w:t>
      </w:r>
      <w:r w:rsidR="003C2829">
        <w:rPr>
          <w:lang w:eastAsia="ja-JP"/>
        </w:rPr>
        <w:t>r Jaydess</w:t>
      </w:r>
      <w:r>
        <w:rPr>
          <w:lang w:eastAsia="ja-JP"/>
        </w:rPr>
        <w:t xml:space="preserve"> </w:t>
      </w:r>
      <w:r w:rsidR="003C2829">
        <w:rPr>
          <w:lang w:eastAsia="ja-JP"/>
        </w:rPr>
        <w:t xml:space="preserve">and discussed at the ACPM </w:t>
      </w:r>
      <w:r>
        <w:rPr>
          <w:lang w:eastAsia="ja-JP"/>
        </w:rPr>
        <w:t>Meeting</w:t>
      </w:r>
      <w:r w:rsidR="003C2829">
        <w:rPr>
          <w:lang w:eastAsia="ja-JP"/>
        </w:rPr>
        <w:t xml:space="preserve"> 292</w:t>
      </w:r>
      <w:r>
        <w:rPr>
          <w:lang w:eastAsia="ja-JP"/>
        </w:rPr>
        <w:t>. The following points are from the ACPM Ratifi</w:t>
      </w:r>
      <w:r w:rsidR="003C2829">
        <w:rPr>
          <w:lang w:eastAsia="ja-JP"/>
        </w:rPr>
        <w:t>ed Minutes</w:t>
      </w:r>
      <w:r>
        <w:rPr>
          <w:lang w:eastAsia="ja-JP"/>
        </w:rPr>
        <w:t>:</w:t>
      </w:r>
    </w:p>
    <w:p w14:paraId="162B6D24" w14:textId="61D9CDA7" w:rsidR="00C91D9A" w:rsidRDefault="00C91D9A" w:rsidP="003C2829">
      <w:pPr>
        <w:pStyle w:val="ListBullet"/>
        <w:rPr>
          <w:lang w:eastAsia="ja-JP"/>
        </w:rPr>
      </w:pPr>
      <w:r>
        <w:rPr>
          <w:lang w:eastAsia="ja-JP"/>
        </w:rPr>
        <w:t>There are limited safety data on the use of the silver collar in the proposed intrauterine device. The ACPM advised that lack of information provided to support the proposed PI statement on safety during an MRI should be included in a precaution. A discussion of the risks should be ad</w:t>
      </w:r>
      <w:r w:rsidR="003C2829">
        <w:rPr>
          <w:lang w:eastAsia="ja-JP"/>
        </w:rPr>
        <w:t>ded to the education materials.</w:t>
      </w:r>
    </w:p>
    <w:p w14:paraId="1B06AD10" w14:textId="7BB35ADA" w:rsidR="00C91D9A" w:rsidRDefault="00C91D9A" w:rsidP="003C2829">
      <w:pPr>
        <w:pStyle w:val="ListBullet"/>
        <w:rPr>
          <w:lang w:eastAsia="ja-JP"/>
        </w:rPr>
      </w:pPr>
      <w:r>
        <w:rPr>
          <w:lang w:eastAsia="ja-JP"/>
        </w:rPr>
        <w:t>The CMI should contain a warning on using JAYDESS in MRIs and a discussion of procedures for disposal in case of expulsion.</w:t>
      </w:r>
    </w:p>
    <w:p w14:paraId="6A29EE04" w14:textId="71AC3FF9" w:rsidR="00C91D9A" w:rsidRDefault="00C91D9A" w:rsidP="003C2829">
      <w:pPr>
        <w:pStyle w:val="ListBullet"/>
        <w:rPr>
          <w:lang w:eastAsia="ja-JP"/>
        </w:rPr>
      </w:pPr>
      <w:r>
        <w:rPr>
          <w:lang w:eastAsia="ja-JP"/>
        </w:rPr>
        <w:t>The ACPM advised that the conditions of registration should include the following:</w:t>
      </w:r>
    </w:p>
    <w:p w14:paraId="659CF9ED" w14:textId="5F52D479" w:rsidR="00C91D9A" w:rsidRDefault="00C91D9A" w:rsidP="003C2829">
      <w:pPr>
        <w:pStyle w:val="ListBullet2"/>
        <w:rPr>
          <w:lang w:eastAsia="ja-JP"/>
        </w:rPr>
      </w:pPr>
      <w:r>
        <w:rPr>
          <w:lang w:eastAsia="ja-JP"/>
        </w:rPr>
        <w:lastRenderedPageBreak/>
        <w:t>Subject to satisfactory negotiation of the Risk Management Plan most recently approved by the TGA, including provision of physician and consumer educational materials to the TGA. The need for notifying imaging staff concerning the silver collar before MRI procedures should be reflected in these documents.</w:t>
      </w:r>
    </w:p>
    <w:p w14:paraId="1D48EB7D" w14:textId="20A63594" w:rsidR="00C91D9A" w:rsidRDefault="00C91D9A" w:rsidP="00C91D9A">
      <w:pPr>
        <w:rPr>
          <w:lang w:eastAsia="ja-JP"/>
        </w:rPr>
      </w:pPr>
      <w:r>
        <w:rPr>
          <w:lang w:eastAsia="ja-JP"/>
        </w:rPr>
        <w:t>The text in the Jaydess PI and CMI regarding MRI was finalised du</w:t>
      </w:r>
      <w:r w:rsidR="003C2829">
        <w:rPr>
          <w:lang w:eastAsia="ja-JP"/>
        </w:rPr>
        <w:t>ring post-ACPM PI negotiations.</w:t>
      </w:r>
    </w:p>
    <w:p w14:paraId="25223AF3" w14:textId="236237BF" w:rsidR="003C2829" w:rsidRDefault="003C2829" w:rsidP="003C2829">
      <w:pPr>
        <w:pStyle w:val="Heading4"/>
      </w:pPr>
      <w:r>
        <w:t>Question 7</w:t>
      </w:r>
    </w:p>
    <w:p w14:paraId="4DA6B5D8" w14:textId="406D4BA0" w:rsidR="00C91D9A" w:rsidRPr="006466C2" w:rsidRDefault="003C2829" w:rsidP="006466C2">
      <w:pPr>
        <w:ind w:left="1270"/>
        <w:rPr>
          <w:i/>
          <w:lang w:eastAsia="ja-JP"/>
        </w:rPr>
      </w:pPr>
      <w:r w:rsidRPr="003C2829">
        <w:rPr>
          <w:i/>
          <w:lang w:eastAsia="ja-JP"/>
        </w:rPr>
        <w:t>‘</w:t>
      </w:r>
      <w:r w:rsidR="00C91D9A" w:rsidRPr="003C2829">
        <w:rPr>
          <w:i/>
          <w:lang w:eastAsia="ja-JP"/>
        </w:rPr>
        <w:t xml:space="preserve">Please comment on the risk of PID with </w:t>
      </w:r>
      <w:r w:rsidR="007A24E9">
        <w:rPr>
          <w:i/>
          <w:lang w:eastAsia="ja-JP"/>
        </w:rPr>
        <w:t>Kyleena</w:t>
      </w:r>
      <w:r w:rsidR="00C91D9A" w:rsidRPr="003C2829">
        <w:rPr>
          <w:i/>
          <w:lang w:eastAsia="ja-JP"/>
        </w:rPr>
        <w:t xml:space="preserve"> compared to the background rate of PID in sexually active w</w:t>
      </w:r>
      <w:r w:rsidRPr="003C2829">
        <w:rPr>
          <w:i/>
          <w:lang w:eastAsia="ja-JP"/>
        </w:rPr>
        <w:t>omen of this age without an IUD’.</w:t>
      </w:r>
    </w:p>
    <w:p w14:paraId="49A862DC" w14:textId="2A585C4D" w:rsidR="00C91D9A" w:rsidRDefault="006466C2" w:rsidP="00C91D9A">
      <w:pPr>
        <w:pStyle w:val="Heading5"/>
        <w:rPr>
          <w:lang w:eastAsia="ja-JP"/>
        </w:rPr>
      </w:pPr>
      <w:r>
        <w:rPr>
          <w:lang w:eastAsia="ja-JP"/>
        </w:rPr>
        <w:t>Sponsor’s response</w:t>
      </w:r>
    </w:p>
    <w:p w14:paraId="5BE56A7C" w14:textId="1AD9B930" w:rsidR="00C91D9A" w:rsidRDefault="00C91D9A" w:rsidP="006466C2">
      <w:pPr>
        <w:pStyle w:val="Heading6"/>
        <w:rPr>
          <w:lang w:eastAsia="ja-JP"/>
        </w:rPr>
      </w:pPr>
      <w:r>
        <w:rPr>
          <w:lang w:eastAsia="ja-JP"/>
        </w:rPr>
        <w:t>Background incidence/prevalence</w:t>
      </w:r>
    </w:p>
    <w:p w14:paraId="0B330BB7" w14:textId="3F059613" w:rsidR="00C91D9A" w:rsidRDefault="00C91D9A" w:rsidP="00C91D9A">
      <w:pPr>
        <w:rPr>
          <w:lang w:eastAsia="ja-JP"/>
        </w:rPr>
      </w:pPr>
      <w:r>
        <w:rPr>
          <w:lang w:eastAsia="ja-JP"/>
        </w:rPr>
        <w:t>The background incidence for pelvic inflammatory disease (PID) is difficult to estimate. Diagnostic criteria for this disease</w:t>
      </w:r>
      <w:r w:rsidR="007A24E9">
        <w:rPr>
          <w:lang w:eastAsia="ja-JP"/>
        </w:rPr>
        <w:t xml:space="preserve"> </w:t>
      </w:r>
      <w:r>
        <w:rPr>
          <w:lang w:eastAsia="ja-JP"/>
        </w:rPr>
        <w:t>entity differ between publications and studies.</w:t>
      </w:r>
    </w:p>
    <w:p w14:paraId="405517D7" w14:textId="4A16DF4B" w:rsidR="00C91D9A" w:rsidRDefault="00C91D9A" w:rsidP="00C91D9A">
      <w:pPr>
        <w:rPr>
          <w:lang w:eastAsia="ja-JP"/>
        </w:rPr>
      </w:pPr>
      <w:r>
        <w:rPr>
          <w:lang w:eastAsia="ja-JP"/>
        </w:rPr>
        <w:t xml:space="preserve">Furthermore, the difficulty is augmented by an unknown number of silent PIDs which are not even noticed by the women </w:t>
      </w:r>
      <w:r w:rsidRPr="001247F5">
        <w:rPr>
          <w:lang w:eastAsia="ja-JP"/>
        </w:rPr>
        <w:t>affected.</w:t>
      </w:r>
      <w:r w:rsidR="00ED1E47" w:rsidRPr="001247F5">
        <w:rPr>
          <w:rStyle w:val="FootnoteReference"/>
          <w:lang w:eastAsia="ja-JP"/>
        </w:rPr>
        <w:footnoteReference w:id="15"/>
      </w:r>
    </w:p>
    <w:p w14:paraId="262E70A0" w14:textId="628B8920" w:rsidR="00C91D9A" w:rsidRDefault="00C91D9A" w:rsidP="00C91D9A">
      <w:pPr>
        <w:rPr>
          <w:lang w:eastAsia="ja-JP"/>
        </w:rPr>
      </w:pPr>
      <w:r>
        <w:rPr>
          <w:lang w:eastAsia="ja-JP"/>
        </w:rPr>
        <w:t xml:space="preserve">According to textbook knowledge one of 100 women in the age between 15 and 39 years develops an upper genital tract </w:t>
      </w:r>
      <w:r w:rsidRPr="00ED1E47">
        <w:rPr>
          <w:lang w:eastAsia="ja-JP"/>
        </w:rPr>
        <w:t>infection.</w:t>
      </w:r>
      <w:r w:rsidR="00ED1E47" w:rsidRPr="00ED1E47">
        <w:rPr>
          <w:rStyle w:val="FootnoteReference"/>
          <w:lang w:eastAsia="ja-JP"/>
        </w:rPr>
        <w:footnoteReference w:id="16"/>
      </w:r>
    </w:p>
    <w:p w14:paraId="5078B5B5" w14:textId="58849F8E" w:rsidR="00C91D9A" w:rsidRDefault="00C91D9A" w:rsidP="00C91D9A">
      <w:pPr>
        <w:rPr>
          <w:lang w:eastAsia="ja-JP"/>
        </w:rPr>
      </w:pPr>
      <w:r>
        <w:rPr>
          <w:lang w:eastAsia="ja-JP"/>
        </w:rPr>
        <w:t>In the US, the back</w:t>
      </w:r>
      <w:r w:rsidR="007A24E9">
        <w:rPr>
          <w:lang w:eastAsia="ja-JP"/>
        </w:rPr>
        <w:t>ground incidence is cited as 15 to 20/</w:t>
      </w:r>
      <w:r>
        <w:rPr>
          <w:lang w:eastAsia="ja-JP"/>
        </w:rPr>
        <w:t>1000 woman-years in ag</w:t>
      </w:r>
      <w:r w:rsidR="007A24E9">
        <w:rPr>
          <w:lang w:eastAsia="ja-JP"/>
        </w:rPr>
        <w:t>e groups under 30, and about 8/</w:t>
      </w:r>
      <w:r>
        <w:rPr>
          <w:lang w:eastAsia="ja-JP"/>
        </w:rPr>
        <w:t xml:space="preserve">1000 </w:t>
      </w:r>
      <w:r w:rsidR="006466C2">
        <w:rPr>
          <w:lang w:eastAsia="ja-JP"/>
        </w:rPr>
        <w:t xml:space="preserve">woman-years in the age group 30 to </w:t>
      </w:r>
      <w:r>
        <w:rPr>
          <w:lang w:eastAsia="ja-JP"/>
        </w:rPr>
        <w:t>40 (including a</w:t>
      </w:r>
      <w:r w:rsidR="006466C2">
        <w:rPr>
          <w:lang w:eastAsia="ja-JP"/>
        </w:rPr>
        <w:t xml:space="preserve">mbulatory visits, and hospitalisations for PID during 1995 to </w:t>
      </w:r>
      <w:r>
        <w:rPr>
          <w:lang w:eastAsia="ja-JP"/>
        </w:rPr>
        <w:t>2001).</w:t>
      </w:r>
      <w:r w:rsidR="00ED1E47">
        <w:rPr>
          <w:rStyle w:val="FootnoteReference"/>
          <w:lang w:eastAsia="ja-JP"/>
        </w:rPr>
        <w:footnoteReference w:id="17"/>
      </w:r>
      <w:r>
        <w:rPr>
          <w:lang w:eastAsia="ja-JP"/>
        </w:rPr>
        <w:t xml:space="preserve"> Overall, the</w:t>
      </w:r>
      <w:r w:rsidR="006466C2">
        <w:rPr>
          <w:lang w:eastAsia="ja-JP"/>
        </w:rPr>
        <w:t xml:space="preserve"> rate of PID is declining.</w:t>
      </w:r>
      <w:r w:rsidR="00ED1E47">
        <w:rPr>
          <w:rStyle w:val="FootnoteReference"/>
          <w:lang w:eastAsia="ja-JP"/>
        </w:rPr>
        <w:footnoteReference w:id="18"/>
      </w:r>
    </w:p>
    <w:p w14:paraId="41DFCF80" w14:textId="72EA02EB" w:rsidR="00C91D9A" w:rsidRDefault="00C91D9A" w:rsidP="006466C2">
      <w:pPr>
        <w:pStyle w:val="Heading6"/>
        <w:rPr>
          <w:lang w:eastAsia="ja-JP"/>
        </w:rPr>
      </w:pPr>
      <w:r>
        <w:rPr>
          <w:lang w:eastAsia="ja-JP"/>
        </w:rPr>
        <w:t>Clinical studies</w:t>
      </w:r>
    </w:p>
    <w:p w14:paraId="6CC60923" w14:textId="577D687C" w:rsidR="00C91D9A" w:rsidRDefault="00C91D9A" w:rsidP="00C91D9A">
      <w:pPr>
        <w:rPr>
          <w:lang w:eastAsia="ja-JP"/>
        </w:rPr>
      </w:pPr>
      <w:r>
        <w:rPr>
          <w:lang w:eastAsia="ja-JP"/>
        </w:rPr>
        <w:t>In the clinical studies with LCS16, PID as diagnosed by the in</w:t>
      </w:r>
      <w:r w:rsidR="006466C2">
        <w:rPr>
          <w:lang w:eastAsia="ja-JP"/>
        </w:rPr>
        <w:t xml:space="preserve">vestigator was reported in 9 of </w:t>
      </w:r>
      <w:r>
        <w:rPr>
          <w:lang w:eastAsia="ja-JP"/>
        </w:rPr>
        <w:t>16</w:t>
      </w:r>
      <w:r w:rsidR="006466C2">
        <w:rPr>
          <w:lang w:eastAsia="ja-JP"/>
        </w:rPr>
        <w:t>97 women (1 woman in the Phase II</w:t>
      </w:r>
      <w:r>
        <w:rPr>
          <w:lang w:eastAsia="ja-JP"/>
        </w:rPr>
        <w:t xml:space="preserve"> study an</w:t>
      </w:r>
      <w:r w:rsidR="006466C2">
        <w:rPr>
          <w:lang w:eastAsia="ja-JP"/>
        </w:rPr>
        <w:t>d 8 women in the pivotal LCS16 e</w:t>
      </w:r>
      <w:r>
        <w:rPr>
          <w:lang w:eastAsia="ja-JP"/>
        </w:rPr>
        <w:t>fficacy study), which is similar to the incidence observed with other LNG IUSs including Jaydess/LCS12. Most of the reported PIDs were moderate to severe in intensity, related to study drug, occurred in par</w:t>
      </w:r>
      <w:r w:rsidR="006466C2">
        <w:rPr>
          <w:lang w:eastAsia="ja-JP"/>
        </w:rPr>
        <w:t>ous women, and occurred during Y</w:t>
      </w:r>
      <w:r>
        <w:rPr>
          <w:lang w:eastAsia="ja-JP"/>
        </w:rPr>
        <w:t>ear 1 of the study, which is consistent with the published data on copper IUDs: PID associated with IUD insertion is confined to the fi</w:t>
      </w:r>
      <w:r w:rsidR="00ED1E47">
        <w:rPr>
          <w:lang w:eastAsia="ja-JP"/>
        </w:rPr>
        <w:t>rst weeks after insertion</w:t>
      </w:r>
      <w:r w:rsidR="006466C2">
        <w:rPr>
          <w:lang w:eastAsia="ja-JP"/>
        </w:rPr>
        <w:t>.</w:t>
      </w:r>
      <w:r w:rsidR="00ED1E47">
        <w:rPr>
          <w:rStyle w:val="FootnoteReference"/>
          <w:lang w:eastAsia="ja-JP"/>
        </w:rPr>
        <w:footnoteReference w:id="19"/>
      </w:r>
    </w:p>
    <w:p w14:paraId="71ACF317" w14:textId="7B75E1F1" w:rsidR="00C91D9A" w:rsidRDefault="00272AD3" w:rsidP="00C91D9A">
      <w:pPr>
        <w:rPr>
          <w:lang w:eastAsia="ja-JP"/>
        </w:rPr>
      </w:pPr>
      <w:r>
        <w:rPr>
          <w:lang w:eastAsia="ja-JP"/>
        </w:rPr>
        <w:t>Table 42</w:t>
      </w:r>
      <w:r w:rsidR="00C91D9A">
        <w:rPr>
          <w:lang w:eastAsia="ja-JP"/>
        </w:rPr>
        <w:t xml:space="preserve"> below presents the crude incidence of PID in LCS12/Jaydess and LCS16 use</w:t>
      </w:r>
      <w:r>
        <w:rPr>
          <w:lang w:eastAsia="ja-JP"/>
        </w:rPr>
        <w:t>rs by clinical study and Table 43</w:t>
      </w:r>
      <w:r w:rsidR="00C91D9A">
        <w:rPr>
          <w:lang w:eastAsia="ja-JP"/>
        </w:rPr>
        <w:t xml:space="preserve"> by duration of use (pooled).</w:t>
      </w:r>
    </w:p>
    <w:p w14:paraId="0D0749B2" w14:textId="5BC06FBE" w:rsidR="00636A45" w:rsidRPr="00420C3F" w:rsidRDefault="00272AD3" w:rsidP="00636A45">
      <w:pPr>
        <w:pStyle w:val="Tabletitle"/>
        <w:rPr>
          <w:lang w:eastAsia="ja-JP"/>
        </w:rPr>
      </w:pPr>
      <w:r>
        <w:lastRenderedPageBreak/>
        <w:t>Table 42</w:t>
      </w:r>
      <w:r w:rsidR="00636A45">
        <w:t>.</w:t>
      </w:r>
      <w:r w:rsidR="00636A45" w:rsidRPr="00420C3F">
        <w:t xml:space="preserve"> Number of patients diagnosed with PID, as assesse</w:t>
      </w:r>
      <w:r w:rsidR="00636A45">
        <w:t>d by the investigator, by study</w:t>
      </w:r>
    </w:p>
    <w:p w14:paraId="6BA2FC84" w14:textId="0802457D" w:rsidR="00636A45" w:rsidRDefault="00636A45" w:rsidP="00636A45">
      <w:pPr>
        <w:rPr>
          <w:lang w:eastAsia="ja-JP"/>
        </w:rPr>
      </w:pPr>
      <w:r>
        <w:rPr>
          <w:noProof/>
          <w:lang w:eastAsia="en-AU"/>
        </w:rPr>
        <w:drawing>
          <wp:inline distT="0" distB="0" distL="0" distR="0" wp14:anchorId="54EA5B2E" wp14:editId="55CB1AFB">
            <wp:extent cx="5138938" cy="1092530"/>
            <wp:effectExtent l="0" t="0" r="5080" b="0"/>
            <wp:docPr id="80" name="Picture 80" descr="Table 42 is an image of a table showing the Number of patients diagnosed with PID, as assessed by the investigator,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70373" cy="1099213"/>
                    </a:xfrm>
                    <a:prstGeom prst="rect">
                      <a:avLst/>
                    </a:prstGeom>
                    <a:noFill/>
                    <a:ln>
                      <a:noFill/>
                    </a:ln>
                  </pic:spPr>
                </pic:pic>
              </a:graphicData>
            </a:graphic>
          </wp:inline>
        </w:drawing>
      </w:r>
    </w:p>
    <w:p w14:paraId="11962C00" w14:textId="3DFE7E0A" w:rsidR="00636A45" w:rsidRPr="00636A45" w:rsidRDefault="00636A45" w:rsidP="00636A45">
      <w:pPr>
        <w:pStyle w:val="Tabletext"/>
      </w:pPr>
      <w:r>
        <w:t xml:space="preserve">a) </w:t>
      </w:r>
      <w:r w:rsidRPr="00420C3F">
        <w:t>Numbers i</w:t>
      </w:r>
      <w:r>
        <w:t>nclude one case reported as AE ‘Salpingo-oophoritis’</w:t>
      </w:r>
      <w:r w:rsidRPr="00420C3F">
        <w:t xml:space="preserve"> each</w:t>
      </w:r>
      <w:r>
        <w:t xml:space="preserve">; b) </w:t>
      </w:r>
      <w:r w:rsidRPr="00420C3F">
        <w:t>In</w:t>
      </w:r>
      <w:r>
        <w:t>cludes one case reported as AE ‘Salpingo-oophritis’ and one report of AE ‘endometritis’; c) Reported as AE ‘salpingitis’.</w:t>
      </w:r>
    </w:p>
    <w:p w14:paraId="4922B28C" w14:textId="77936259" w:rsidR="00636A45" w:rsidRPr="00F9566A" w:rsidRDefault="00636A45" w:rsidP="00636A45">
      <w:pPr>
        <w:pStyle w:val="Tabletitle"/>
        <w:rPr>
          <w:lang w:eastAsia="ja-JP"/>
        </w:rPr>
      </w:pPr>
      <w:r w:rsidRPr="00F9566A">
        <w:rPr>
          <w:lang w:eastAsia="ja-JP"/>
        </w:rPr>
        <w:t>T</w:t>
      </w:r>
      <w:r w:rsidR="00272AD3">
        <w:rPr>
          <w:lang w:eastAsia="ja-JP"/>
        </w:rPr>
        <w:t>able 43</w:t>
      </w:r>
      <w:r>
        <w:rPr>
          <w:lang w:eastAsia="ja-JP"/>
        </w:rPr>
        <w:t>.</w:t>
      </w:r>
      <w:r w:rsidRPr="00F9566A">
        <w:rPr>
          <w:lang w:eastAsia="ja-JP"/>
        </w:rPr>
        <w:t xml:space="preserve"> Number of patients diagnosed with PID, as assessed by the investigator, by</w:t>
      </w:r>
      <w:r>
        <w:rPr>
          <w:lang w:eastAsia="ja-JP"/>
        </w:rPr>
        <w:t xml:space="preserve"> duration of treatment (pooled)</w:t>
      </w:r>
    </w:p>
    <w:p w14:paraId="532887B0" w14:textId="2D9C7D1A" w:rsidR="00636A45" w:rsidRDefault="00636A45" w:rsidP="00636A45">
      <w:pPr>
        <w:rPr>
          <w:lang w:eastAsia="ja-JP"/>
        </w:rPr>
      </w:pPr>
      <w:r w:rsidRPr="00636A45">
        <w:rPr>
          <w:noProof/>
          <w:lang w:eastAsia="en-AU"/>
        </w:rPr>
        <w:drawing>
          <wp:inline distT="0" distB="0" distL="0" distR="0" wp14:anchorId="7642256D" wp14:editId="28508B03">
            <wp:extent cx="5343750" cy="1638292"/>
            <wp:effectExtent l="0" t="0" r="0" b="635"/>
            <wp:docPr id="81" name="Picture 81" descr="Table 43 is an image of a table showing the Number of patients diagnosed with PID, as assessed by the investigator, by duration of treatment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5242" cy="1641815"/>
                    </a:xfrm>
                    <a:prstGeom prst="rect">
                      <a:avLst/>
                    </a:prstGeom>
                    <a:noFill/>
                    <a:ln>
                      <a:noFill/>
                    </a:ln>
                  </pic:spPr>
                </pic:pic>
              </a:graphicData>
            </a:graphic>
          </wp:inline>
        </w:drawing>
      </w:r>
    </w:p>
    <w:p w14:paraId="5365D3B2" w14:textId="06DF5382" w:rsidR="00636A45" w:rsidRDefault="00636A45" w:rsidP="00636A45">
      <w:pPr>
        <w:rPr>
          <w:lang w:eastAsia="ja-JP"/>
        </w:rPr>
      </w:pPr>
      <w:r>
        <w:rPr>
          <w:lang w:eastAsia="ja-JP"/>
        </w:rPr>
        <w:t>Five of the 14 patients who had a PID diagnosis during the first year of treatment in either LCS dose were diagnosed during the first 30 days after insertion.</w:t>
      </w:r>
    </w:p>
    <w:p w14:paraId="047736CC" w14:textId="1A05FEBB" w:rsidR="00636A45" w:rsidRDefault="00636A45" w:rsidP="00636A45">
      <w:pPr>
        <w:pStyle w:val="Heading6"/>
        <w:rPr>
          <w:lang w:eastAsia="ja-JP"/>
        </w:rPr>
      </w:pPr>
      <w:r>
        <w:rPr>
          <w:lang w:eastAsia="ja-JP"/>
        </w:rPr>
        <w:t>PID with other LNG</w:t>
      </w:r>
      <w:r w:rsidR="007A24E9">
        <w:rPr>
          <w:lang w:eastAsia="ja-JP"/>
        </w:rPr>
        <w:t xml:space="preserve"> </w:t>
      </w:r>
      <w:r>
        <w:rPr>
          <w:lang w:eastAsia="ja-JP"/>
        </w:rPr>
        <w:t>IUS (Mirena)</w:t>
      </w:r>
    </w:p>
    <w:p w14:paraId="2E57C057" w14:textId="66194D51" w:rsidR="00636A45" w:rsidRDefault="00636A45" w:rsidP="00636A45">
      <w:pPr>
        <w:rPr>
          <w:lang w:eastAsia="ja-JP"/>
        </w:rPr>
      </w:pPr>
      <w:r>
        <w:rPr>
          <w:lang w:eastAsia="ja-JP"/>
        </w:rPr>
        <w:t>In a large study randomising 2,758 women to Mirena (</w:t>
      </w:r>
      <w:r w:rsidR="007A24E9">
        <w:rPr>
          <w:lang w:eastAsia="ja-JP"/>
        </w:rPr>
        <w:t xml:space="preserve">n = </w:t>
      </w:r>
      <w:r>
        <w:rPr>
          <w:lang w:eastAsia="ja-JP"/>
        </w:rPr>
        <w:t>1,821) or the copper</w:t>
      </w:r>
      <w:r w:rsidR="007A24E9">
        <w:rPr>
          <w:lang w:eastAsia="ja-JP"/>
        </w:rPr>
        <w:t xml:space="preserve"> </w:t>
      </w:r>
      <w:r>
        <w:rPr>
          <w:lang w:eastAsia="ja-JP"/>
        </w:rPr>
        <w:t>IUD Nova T (n</w:t>
      </w:r>
      <w:r w:rsidR="007A24E9">
        <w:rPr>
          <w:lang w:eastAsia="ja-JP"/>
        </w:rPr>
        <w:t> </w:t>
      </w:r>
      <w:r>
        <w:rPr>
          <w:lang w:eastAsia="ja-JP"/>
        </w:rPr>
        <w:t>=</w:t>
      </w:r>
      <w:r w:rsidR="007A24E9">
        <w:rPr>
          <w:lang w:eastAsia="ja-JP"/>
        </w:rPr>
        <w:t> </w:t>
      </w:r>
      <w:r>
        <w:rPr>
          <w:lang w:eastAsia="ja-JP"/>
        </w:rPr>
        <w:t>937), the 60</w:t>
      </w:r>
      <w:r w:rsidR="007A24E9">
        <w:rPr>
          <w:lang w:eastAsia="ja-JP"/>
        </w:rPr>
        <w:t xml:space="preserve"> </w:t>
      </w:r>
      <w:r>
        <w:rPr>
          <w:lang w:eastAsia="ja-JP"/>
        </w:rPr>
        <w:t>month gross removal rates (per 100) for PID were 2.2 in the Nova T and 0.8 in the LNG IUS group (P &lt; 0.05). In the Mirena users, the incidence of PID was low regardless of age whereas in the Nova T group, there was a significantly (P &lt; 0.01) increased PID rate compared to Mirena among the youngest women.</w:t>
      </w:r>
      <w:r w:rsidR="00ED1E47">
        <w:rPr>
          <w:rStyle w:val="FootnoteReference"/>
          <w:lang w:eastAsia="ja-JP"/>
        </w:rPr>
        <w:footnoteReference w:id="20"/>
      </w:r>
    </w:p>
    <w:p w14:paraId="777A8DA3" w14:textId="12B1FF3C" w:rsidR="00636A45" w:rsidRDefault="00636A45" w:rsidP="00636A45">
      <w:pPr>
        <w:pStyle w:val="Heading6"/>
        <w:rPr>
          <w:lang w:eastAsia="ja-JP"/>
        </w:rPr>
      </w:pPr>
      <w:r>
        <w:rPr>
          <w:lang w:eastAsia="ja-JP"/>
        </w:rPr>
        <w:t>Copper IUD</w:t>
      </w:r>
      <w:r w:rsidR="007A24E9">
        <w:rPr>
          <w:lang w:eastAsia="ja-JP"/>
        </w:rPr>
        <w:t xml:space="preserve"> </w:t>
      </w:r>
      <w:r>
        <w:rPr>
          <w:lang w:eastAsia="ja-JP"/>
        </w:rPr>
        <w:t>related PID</w:t>
      </w:r>
    </w:p>
    <w:p w14:paraId="01CDAD47" w14:textId="5ACF1C18" w:rsidR="00636A45" w:rsidRDefault="00636A45" w:rsidP="00636A45">
      <w:pPr>
        <w:rPr>
          <w:lang w:eastAsia="ja-JP"/>
        </w:rPr>
      </w:pPr>
      <w:r>
        <w:rPr>
          <w:lang w:eastAsia="ja-JP"/>
        </w:rPr>
        <w:t>Clinical trials and observational studies have established that the incidence of upper genital tract infections is considerably greater in the first month after insertion of a copper IUD than it is thereafter. Beyond the first month after insertion, the incidence of PIDs is low among women using IUDs and at a level that appears similar to that for wom</w:t>
      </w:r>
      <w:r w:rsidR="007A24E9">
        <w:rPr>
          <w:lang w:eastAsia="ja-JP"/>
        </w:rPr>
        <w:t>en in general.</w:t>
      </w:r>
      <w:r w:rsidR="00ED1E47">
        <w:rPr>
          <w:rStyle w:val="FootnoteReference"/>
          <w:lang w:eastAsia="ja-JP"/>
        </w:rPr>
        <w:footnoteReference w:id="21"/>
      </w:r>
      <w:r w:rsidR="007A24E9">
        <w:rPr>
          <w:lang w:eastAsia="ja-JP"/>
        </w:rPr>
        <w:t xml:space="preserve"> In the meta</w:t>
      </w:r>
      <w:r w:rsidR="007A24E9">
        <w:rPr>
          <w:lang w:eastAsia="ja-JP"/>
        </w:rPr>
        <w:noBreakHyphen/>
      </w:r>
      <w:r>
        <w:rPr>
          <w:lang w:eastAsia="ja-JP"/>
        </w:rPr>
        <w:t>analysis of WHO studies by Farley et al. (Copper</w:t>
      </w:r>
      <w:r w:rsidR="007A24E9">
        <w:rPr>
          <w:lang w:eastAsia="ja-JP"/>
        </w:rPr>
        <w:t xml:space="preserve"> </w:t>
      </w:r>
      <w:r>
        <w:rPr>
          <w:lang w:eastAsia="ja-JP"/>
        </w:rPr>
        <w:t>IUDs), the incidence of PID was 9.7/1,000 women-years during the first month, later 1.4/1,000 woman</w:t>
      </w:r>
      <w:r w:rsidR="007A24E9">
        <w:rPr>
          <w:lang w:eastAsia="ja-JP"/>
        </w:rPr>
        <w:t xml:space="preserve"> </w:t>
      </w:r>
      <w:r>
        <w:rPr>
          <w:lang w:eastAsia="ja-JP"/>
        </w:rPr>
        <w:t>years.</w:t>
      </w:r>
      <w:r w:rsidR="00ED1E47">
        <w:rPr>
          <w:rStyle w:val="FootnoteReference"/>
          <w:lang w:eastAsia="ja-JP"/>
        </w:rPr>
        <w:footnoteReference w:id="22"/>
      </w:r>
    </w:p>
    <w:p w14:paraId="1DFE7847" w14:textId="56759A5C" w:rsidR="00636A45" w:rsidRDefault="00636A45" w:rsidP="00636A45">
      <w:pPr>
        <w:pStyle w:val="Heading5"/>
        <w:rPr>
          <w:lang w:eastAsia="ja-JP"/>
        </w:rPr>
      </w:pPr>
      <w:r>
        <w:rPr>
          <w:lang w:eastAsia="ja-JP"/>
        </w:rPr>
        <w:lastRenderedPageBreak/>
        <w:t>Evaluator’s response</w:t>
      </w:r>
    </w:p>
    <w:p w14:paraId="0538C119" w14:textId="78AFACDC" w:rsidR="00636A45" w:rsidRDefault="00636A45" w:rsidP="00636A45">
      <w:pPr>
        <w:rPr>
          <w:lang w:eastAsia="ja-JP"/>
        </w:rPr>
      </w:pPr>
      <w:r>
        <w:rPr>
          <w:lang w:eastAsia="ja-JP"/>
        </w:rPr>
        <w:t>The sponsor’s response is considered acceptable. The rate of PID does not seem greater than in the general population beyond the first month of insertion.</w:t>
      </w:r>
    </w:p>
    <w:p w14:paraId="7D530A22" w14:textId="06877447" w:rsidR="0068051D" w:rsidRDefault="0068051D" w:rsidP="0068051D">
      <w:pPr>
        <w:pStyle w:val="Heading4"/>
      </w:pPr>
      <w:r>
        <w:t>Question 8</w:t>
      </w:r>
    </w:p>
    <w:p w14:paraId="71DE6B8B" w14:textId="0E1F4525" w:rsidR="0068051D" w:rsidRPr="00792FE2" w:rsidRDefault="00792FE2" w:rsidP="00792FE2">
      <w:pPr>
        <w:ind w:left="720"/>
        <w:rPr>
          <w:i/>
          <w:lang w:eastAsia="ja-JP"/>
        </w:rPr>
      </w:pPr>
      <w:r>
        <w:rPr>
          <w:i/>
          <w:lang w:eastAsia="ja-JP"/>
        </w:rPr>
        <w:t>‘</w:t>
      </w:r>
      <w:r w:rsidR="0068051D" w:rsidRPr="00792FE2">
        <w:rPr>
          <w:i/>
          <w:lang w:eastAsia="ja-JP"/>
        </w:rPr>
        <w:t>Please describe the evidence behind the following statement under Clinical Trials o</w:t>
      </w:r>
      <w:r w:rsidRPr="00792FE2">
        <w:rPr>
          <w:i/>
          <w:lang w:eastAsia="ja-JP"/>
        </w:rPr>
        <w:t>f the proposed PI: ‘The use of Kyleena</w:t>
      </w:r>
      <w:r w:rsidR="0068051D" w:rsidRPr="00792FE2">
        <w:rPr>
          <w:i/>
          <w:lang w:eastAsia="ja-JP"/>
        </w:rPr>
        <w:t xml:space="preserve"> does not alter the</w:t>
      </w:r>
      <w:r w:rsidRPr="00792FE2">
        <w:rPr>
          <w:i/>
          <w:lang w:eastAsia="ja-JP"/>
        </w:rPr>
        <w:t xml:space="preserve"> course of the future fertility’</w:t>
      </w:r>
      <w:r>
        <w:rPr>
          <w:i/>
          <w:lang w:eastAsia="ja-JP"/>
        </w:rPr>
        <w:t>’</w:t>
      </w:r>
      <w:r w:rsidR="0068051D" w:rsidRPr="00792FE2">
        <w:rPr>
          <w:i/>
          <w:lang w:eastAsia="ja-JP"/>
        </w:rPr>
        <w:t>.</w:t>
      </w:r>
    </w:p>
    <w:p w14:paraId="6D46BAC0" w14:textId="60AC66FE" w:rsidR="00792FE2" w:rsidRDefault="00792FE2" w:rsidP="00792FE2">
      <w:pPr>
        <w:pStyle w:val="Heading5"/>
        <w:rPr>
          <w:lang w:eastAsia="ja-JP"/>
        </w:rPr>
      </w:pPr>
      <w:r>
        <w:rPr>
          <w:lang w:eastAsia="ja-JP"/>
        </w:rPr>
        <w:t>Sponsor’s response</w:t>
      </w:r>
    </w:p>
    <w:p w14:paraId="1025F87F" w14:textId="582C31B5" w:rsidR="00792FE2" w:rsidRDefault="00792FE2" w:rsidP="00792FE2">
      <w:pPr>
        <w:rPr>
          <w:lang w:eastAsia="ja-JP"/>
        </w:rPr>
      </w:pPr>
      <w:r>
        <w:rPr>
          <w:lang w:eastAsia="ja-JP"/>
        </w:rPr>
        <w:t>The evidence regarding the topic ‘Return to fertility’ was detailed in the [data submitted] and is summarised as follows:</w:t>
      </w:r>
    </w:p>
    <w:p w14:paraId="6988BD60" w14:textId="558C3834" w:rsidR="00792FE2" w:rsidRDefault="00792FE2" w:rsidP="00792FE2">
      <w:pPr>
        <w:rPr>
          <w:lang w:eastAsia="ja-JP"/>
        </w:rPr>
      </w:pPr>
      <w:r>
        <w:rPr>
          <w:lang w:eastAsia="ja-JP"/>
        </w:rPr>
        <w:t>The use of LCS12 and LCS16 is not expected to alter the course of future fertility. In the studies conducted with LCS12 and LCS16, women who discontinue the method for wish of pregnancy were monitored for return to fertility (3 month follow-up in all women, and 12 month follow-up in women discontinuing the method for pregnancy wish):</w:t>
      </w:r>
    </w:p>
    <w:p w14:paraId="3DD60E2D" w14:textId="7BA3F5C4" w:rsidR="00792FE2" w:rsidRDefault="00792FE2" w:rsidP="00792FE2">
      <w:pPr>
        <w:pStyle w:val="ListBullet"/>
        <w:rPr>
          <w:lang w:eastAsia="ja-JP"/>
        </w:rPr>
      </w:pPr>
      <w:r>
        <w:rPr>
          <w:lang w:eastAsia="ja-JP"/>
        </w:rPr>
        <w:t>Phase II Study 308901: A total of 29 subjects discontinued the study due to a wish for pregnancy and 25 (86.2%) of these subjects (LCS16: 11, LCS12: 7 and Mirena: 11 women) had conceived within 12 months of end of study.</w:t>
      </w:r>
    </w:p>
    <w:p w14:paraId="2D257E5B" w14:textId="76C92E9B" w:rsidR="00792FE2" w:rsidRDefault="00792FE2" w:rsidP="00792FE2">
      <w:pPr>
        <w:pStyle w:val="ListBullet"/>
        <w:rPr>
          <w:lang w:eastAsia="ja-JP"/>
        </w:rPr>
      </w:pPr>
      <w:r>
        <w:rPr>
          <w:lang w:eastAsia="ja-JP"/>
        </w:rPr>
        <w:t>Phase III Study 310442: A total of 99 women treated with LCS12 who discontinued the study because of a wish for pregnancy could be followed up at 12 months after discontinuation and were not using any contraception at that time. Of these 99 women, 76 or 76.8% became pregnant within 1 year of discontinuing treatment. Overall, 179 women discontinued the LCS16 treatment because of a wish for pregnancy at any time of the study, including the 5 year extension. Of these, follow up information is available for 163 women (91.1%), of which 116 women (71.2%) had become pregnant during the 12-month follow-up.</w:t>
      </w:r>
    </w:p>
    <w:p w14:paraId="059FDDAC" w14:textId="75381EAE" w:rsidR="00792FE2" w:rsidRDefault="00792FE2" w:rsidP="00792FE2">
      <w:pPr>
        <w:pStyle w:val="ListBullet"/>
        <w:rPr>
          <w:lang w:eastAsia="ja-JP"/>
        </w:rPr>
      </w:pPr>
      <w:r>
        <w:rPr>
          <w:lang w:eastAsia="ja-JP"/>
        </w:rPr>
        <w:t>The Asia Pacific Phase III Study 91775/Report PH-37275: Ten women who discontinued the study due to wish for pregnancy could be contacted at 12 months after discontinuation. Of these 10 women, 7 were pregnant.</w:t>
      </w:r>
    </w:p>
    <w:p w14:paraId="6107C55B" w14:textId="04FDDEAB" w:rsidR="00792FE2" w:rsidRDefault="00792FE2" w:rsidP="00792FE2">
      <w:pPr>
        <w:pStyle w:val="Heading6"/>
        <w:rPr>
          <w:lang w:eastAsia="ja-JP"/>
        </w:rPr>
      </w:pPr>
      <w:r>
        <w:rPr>
          <w:lang w:eastAsia="ja-JP"/>
        </w:rPr>
        <w:t>Return to fertility with other LNG IUS</w:t>
      </w:r>
    </w:p>
    <w:p w14:paraId="4C337A86" w14:textId="76FA3D81" w:rsidR="00792FE2" w:rsidRDefault="00792FE2" w:rsidP="00792FE2">
      <w:pPr>
        <w:rPr>
          <w:lang w:eastAsia="ja-JP"/>
        </w:rPr>
      </w:pPr>
      <w:r>
        <w:rPr>
          <w:lang w:eastAsia="ja-JP"/>
        </w:rPr>
        <w:t>The use of Mirena does not alter the course of future fertility. Conception is possible in the first month after removal. The conception rate during the first year following removal observed in individual studies ranged from 79% to more than 90%.</w:t>
      </w:r>
      <w:r w:rsidR="001247F5">
        <w:rPr>
          <w:rStyle w:val="FootnoteReference"/>
          <w:lang w:eastAsia="ja-JP"/>
        </w:rPr>
        <w:footnoteReference w:id="23"/>
      </w:r>
      <w:r>
        <w:rPr>
          <w:lang w:eastAsia="ja-JP"/>
        </w:rPr>
        <w:t xml:space="preserve"> Thus, a rate has been attained which corresponds to the normal range.</w:t>
      </w:r>
    </w:p>
    <w:p w14:paraId="710CDD55" w14:textId="6B688C87" w:rsidR="00792FE2" w:rsidRDefault="00792FE2" w:rsidP="00792FE2">
      <w:pPr>
        <w:pStyle w:val="Heading5"/>
        <w:rPr>
          <w:lang w:eastAsia="ja-JP"/>
        </w:rPr>
      </w:pPr>
      <w:r>
        <w:rPr>
          <w:lang w:eastAsia="ja-JP"/>
        </w:rPr>
        <w:t>Evaluator’s comment</w:t>
      </w:r>
    </w:p>
    <w:p w14:paraId="4553F562" w14:textId="55B0A072" w:rsidR="00792FE2" w:rsidRPr="00792FE2" w:rsidRDefault="00792FE2" w:rsidP="00792FE2">
      <w:pPr>
        <w:rPr>
          <w:lang w:eastAsia="ja-JP"/>
        </w:rPr>
      </w:pPr>
      <w:r>
        <w:rPr>
          <w:lang w:eastAsia="ja-JP"/>
        </w:rPr>
        <w:t xml:space="preserve">The sponsor’s response is acceptable. The pregnancy rates reported above are similar to 12 month pregnancy rates of approximately 80% reported in the literature (baseline prevalence </w:t>
      </w:r>
      <w:r>
        <w:rPr>
          <w:lang w:eastAsia="ja-JP"/>
        </w:rPr>
        <w:lastRenderedPageBreak/>
        <w:t>of infertility, age and other factors affecting fertility rate notwithstanding).</w:t>
      </w:r>
      <w:r w:rsidRPr="00F2762F">
        <w:rPr>
          <w:rStyle w:val="FootnoteReference"/>
          <w:lang w:eastAsia="ja-JP"/>
        </w:rPr>
        <w:footnoteReference w:id="24"/>
      </w:r>
      <w:r w:rsidR="00F624DD" w:rsidRPr="00F2762F">
        <w:rPr>
          <w:vertAlign w:val="superscript"/>
          <w:lang w:eastAsia="ja-JP"/>
        </w:rPr>
        <w:t>,</w:t>
      </w:r>
      <w:r w:rsidR="00F624DD" w:rsidRPr="00F2762F">
        <w:rPr>
          <w:rStyle w:val="FootnoteReference"/>
          <w:lang w:eastAsia="ja-JP"/>
        </w:rPr>
        <w:footnoteReference w:id="25"/>
      </w:r>
      <w:r w:rsidR="00F624DD" w:rsidRPr="00F2762F">
        <w:rPr>
          <w:vertAlign w:val="superscript"/>
          <w:lang w:eastAsia="ja-JP"/>
        </w:rPr>
        <w:t>,</w:t>
      </w:r>
      <w:bookmarkStart w:id="208" w:name="_Ref492643923"/>
      <w:r w:rsidR="00F624DD" w:rsidRPr="00F2762F">
        <w:rPr>
          <w:rStyle w:val="FootnoteReference"/>
          <w:lang w:eastAsia="ja-JP"/>
        </w:rPr>
        <w:footnoteReference w:id="26"/>
      </w:r>
      <w:bookmarkEnd w:id="208"/>
      <w:r>
        <w:rPr>
          <w:lang w:eastAsia="ja-JP"/>
        </w:rPr>
        <w:t xml:space="preserve"> Further, a review of 1-year pregnancy rates following cessation of contraception reported similar pregnancy rates following discontinuation of oral contraceptives and LNG-IUS (1 year pregnancy rates 80 to </w:t>
      </w:r>
      <w:r w:rsidR="00F624DD">
        <w:rPr>
          <w:lang w:eastAsia="ja-JP"/>
        </w:rPr>
        <w:t>95%)</w:t>
      </w:r>
      <w:r>
        <w:rPr>
          <w:lang w:eastAsia="ja-JP"/>
        </w:rPr>
        <w:t>.</w:t>
      </w:r>
      <w:r w:rsidR="00F624DD" w:rsidRPr="00F624DD">
        <w:rPr>
          <w:vertAlign w:val="superscript"/>
          <w:lang w:eastAsia="ja-JP"/>
        </w:rPr>
        <w:fldChar w:fldCharType="begin"/>
      </w:r>
      <w:r w:rsidR="00F624DD" w:rsidRPr="00F624DD">
        <w:rPr>
          <w:vertAlign w:val="superscript"/>
          <w:lang w:eastAsia="ja-JP"/>
        </w:rPr>
        <w:instrText xml:space="preserve"> NOTEREF _Ref492643923 \h </w:instrText>
      </w:r>
      <w:r w:rsidR="00F624DD">
        <w:rPr>
          <w:vertAlign w:val="superscript"/>
          <w:lang w:eastAsia="ja-JP"/>
        </w:rPr>
        <w:instrText xml:space="preserve"> \* MERGEFORMAT </w:instrText>
      </w:r>
      <w:r w:rsidR="00F624DD" w:rsidRPr="00F624DD">
        <w:rPr>
          <w:vertAlign w:val="superscript"/>
          <w:lang w:eastAsia="ja-JP"/>
        </w:rPr>
      </w:r>
      <w:r w:rsidR="00F624DD" w:rsidRPr="00F624DD">
        <w:rPr>
          <w:vertAlign w:val="superscript"/>
          <w:lang w:eastAsia="ja-JP"/>
        </w:rPr>
        <w:fldChar w:fldCharType="separate"/>
      </w:r>
      <w:r w:rsidR="009A3335">
        <w:rPr>
          <w:vertAlign w:val="superscript"/>
          <w:lang w:eastAsia="ja-JP"/>
        </w:rPr>
        <w:t>26</w:t>
      </w:r>
      <w:r w:rsidR="00F624DD" w:rsidRPr="00F624DD">
        <w:rPr>
          <w:vertAlign w:val="superscript"/>
          <w:lang w:eastAsia="ja-JP"/>
        </w:rPr>
        <w:fldChar w:fldCharType="end"/>
      </w:r>
    </w:p>
    <w:p w14:paraId="4085DD7E" w14:textId="725549F1" w:rsidR="004A41A2" w:rsidRPr="004A41A2" w:rsidRDefault="00272AD3" w:rsidP="004A41A2">
      <w:pPr>
        <w:pStyle w:val="Heading4"/>
      </w:pPr>
      <w:r>
        <w:t>Question 9</w:t>
      </w:r>
    </w:p>
    <w:p w14:paraId="19E3A609" w14:textId="4D02A05B" w:rsidR="004A41A2" w:rsidRPr="004A41A2" w:rsidRDefault="004A41A2" w:rsidP="004A41A2">
      <w:pPr>
        <w:ind w:firstLine="720"/>
        <w:rPr>
          <w:i/>
        </w:rPr>
      </w:pPr>
      <w:r w:rsidRPr="004A41A2">
        <w:rPr>
          <w:i/>
        </w:rPr>
        <w:t>‘Please provide an update on overseas regulatory status for LCS16’.</w:t>
      </w:r>
    </w:p>
    <w:p w14:paraId="387E7959" w14:textId="0EC839AA" w:rsidR="004A41A2" w:rsidRDefault="004A41A2" w:rsidP="004A41A2">
      <w:pPr>
        <w:pStyle w:val="Heading5"/>
      </w:pPr>
      <w:r w:rsidRPr="004A41A2">
        <w:t>Sponsor</w:t>
      </w:r>
      <w:r>
        <w:t>’s</w:t>
      </w:r>
      <w:r w:rsidRPr="004A41A2">
        <w:t xml:space="preserve"> response</w:t>
      </w:r>
    </w:p>
    <w:p w14:paraId="512B3EC5" w14:textId="3258D80B" w:rsidR="004A41A2" w:rsidRPr="004A41A2" w:rsidRDefault="004A41A2" w:rsidP="004A41A2">
      <w:r w:rsidRPr="004A41A2">
        <w:t>Please find an update of the overseas regulatory status for LCS16.</w:t>
      </w:r>
    </w:p>
    <w:p w14:paraId="1D051943" w14:textId="5E0038DA" w:rsidR="004A41A2" w:rsidRDefault="00272AD3" w:rsidP="004A41A2">
      <w:pPr>
        <w:pStyle w:val="Heading5"/>
      </w:pPr>
      <w:r>
        <w:t>Evaluator’s response</w:t>
      </w:r>
    </w:p>
    <w:p w14:paraId="2D3D997D" w14:textId="4A3DEB46" w:rsidR="004A41A2" w:rsidRDefault="004A41A2" w:rsidP="004A41A2">
      <w:r>
        <w:t>The s</w:t>
      </w:r>
      <w:r w:rsidRPr="004A41A2">
        <w:t>pons</w:t>
      </w:r>
      <w:r>
        <w:t>or provided the following table.</w:t>
      </w:r>
    </w:p>
    <w:p w14:paraId="315D3247" w14:textId="462FC09C" w:rsidR="004A41A2" w:rsidRPr="004A41A2" w:rsidRDefault="00272AD3" w:rsidP="006720A4">
      <w:pPr>
        <w:pStyle w:val="Tabletitle"/>
        <w:keepNext w:val="0"/>
      </w:pPr>
      <w:r>
        <w:t>Table 44</w:t>
      </w:r>
      <w:r w:rsidR="004A41A2">
        <w:t>. Foreign regulatory status</w:t>
      </w:r>
      <w:r>
        <w:t xml:space="preserve"> (updated)</w:t>
      </w:r>
    </w:p>
    <w:p w14:paraId="4B2FF42B" w14:textId="62385623" w:rsidR="004A41A2" w:rsidRPr="00C26228" w:rsidRDefault="004A41A2" w:rsidP="00636A45">
      <w:pPr>
        <w:rPr>
          <w:lang w:eastAsia="ja-JP"/>
        </w:rPr>
      </w:pPr>
      <w:r>
        <w:rPr>
          <w:noProof/>
          <w:lang w:eastAsia="en-AU"/>
        </w:rPr>
        <w:drawing>
          <wp:inline distT="0" distB="0" distL="0" distR="0" wp14:anchorId="4B1F8C03" wp14:editId="2FFF9B36">
            <wp:extent cx="4124325" cy="2848280"/>
            <wp:effectExtent l="0" t="0" r="0" b="9525"/>
            <wp:docPr id="85" name="Picture 85" descr="Table 44 is an image of a table showing the Foreign regulatory status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a:lum bright="-20000" contrast="40000"/>
                      <a:extLst>
                        <a:ext uri="{28A0092B-C50C-407E-A947-70E740481C1C}">
                          <a14:useLocalDpi xmlns:a14="http://schemas.microsoft.com/office/drawing/2010/main" val="0"/>
                        </a:ext>
                      </a:extLst>
                    </a:blip>
                    <a:srcRect l="3573" t="7243" r="1962" b="231"/>
                    <a:stretch/>
                  </pic:blipFill>
                  <pic:spPr bwMode="auto">
                    <a:xfrm>
                      <a:off x="0" y="0"/>
                      <a:ext cx="4140974" cy="2859778"/>
                    </a:xfrm>
                    <a:prstGeom prst="rect">
                      <a:avLst/>
                    </a:prstGeom>
                    <a:noFill/>
                    <a:ln>
                      <a:noFill/>
                    </a:ln>
                    <a:extLst>
                      <a:ext uri="{53640926-AAD7-44D8-BBD7-CCE9431645EC}">
                        <a14:shadowObscured xmlns:a14="http://schemas.microsoft.com/office/drawing/2010/main"/>
                      </a:ext>
                    </a:extLst>
                  </pic:spPr>
                </pic:pic>
              </a:graphicData>
            </a:graphic>
          </wp:inline>
        </w:drawing>
      </w:r>
    </w:p>
    <w:p w14:paraId="5F90685C" w14:textId="77777777" w:rsidR="00C618F7" w:rsidRDefault="00C618F7" w:rsidP="004A41A2">
      <w:pPr>
        <w:pStyle w:val="Heading2"/>
      </w:pPr>
      <w:bookmarkStart w:id="209" w:name="_Toc499043873"/>
      <w:r>
        <w:t>Second round benefit-risk assessment</w:t>
      </w:r>
      <w:bookmarkEnd w:id="209"/>
    </w:p>
    <w:p w14:paraId="0B8E9967" w14:textId="77777777" w:rsidR="00851D5A" w:rsidRPr="00851D5A" w:rsidRDefault="00851D5A" w:rsidP="004A41A2">
      <w:pPr>
        <w:pStyle w:val="Heading3"/>
        <w:rPr>
          <w:rFonts w:eastAsia="Cambria"/>
        </w:rPr>
      </w:pPr>
      <w:bookmarkStart w:id="210" w:name="_Toc272414709"/>
      <w:bookmarkStart w:id="211" w:name="_Toc290888575"/>
      <w:bookmarkStart w:id="212" w:name="_Toc453931365"/>
      <w:bookmarkStart w:id="213" w:name="_Toc499043874"/>
      <w:r w:rsidRPr="00851D5A">
        <w:rPr>
          <w:rFonts w:eastAsia="Cambria"/>
        </w:rPr>
        <w:t>Second round assessment of benefits</w:t>
      </w:r>
      <w:bookmarkEnd w:id="210"/>
      <w:bookmarkEnd w:id="211"/>
      <w:bookmarkEnd w:id="212"/>
      <w:bookmarkEnd w:id="213"/>
    </w:p>
    <w:p w14:paraId="789FCB39" w14:textId="126E1331" w:rsidR="00851D5A" w:rsidRPr="00851D5A" w:rsidRDefault="004A41A2" w:rsidP="00851D5A">
      <w:pPr>
        <w:rPr>
          <w:lang w:eastAsia="ja-JP"/>
        </w:rPr>
      </w:pPr>
      <w:bookmarkStart w:id="214" w:name="_Hlk492471872"/>
      <w:r w:rsidRPr="004A41A2">
        <w:rPr>
          <w:lang w:eastAsia="ja-JP"/>
        </w:rPr>
        <w:t>After consideration of the responses to clinical questions, the benefits of Kyleena in the proposed usage are unchanged from those identified</w:t>
      </w:r>
      <w:r>
        <w:rPr>
          <w:lang w:eastAsia="ja-JP"/>
        </w:rPr>
        <w:t xml:space="preserve"> in the first round assessment of benefits.</w:t>
      </w:r>
    </w:p>
    <w:p w14:paraId="25443C80" w14:textId="77777777" w:rsidR="00851D5A" w:rsidRPr="00851D5A" w:rsidRDefault="00851D5A" w:rsidP="00851D5A">
      <w:pPr>
        <w:pStyle w:val="Heading3"/>
        <w:rPr>
          <w:rFonts w:eastAsia="Cambria"/>
        </w:rPr>
      </w:pPr>
      <w:bookmarkStart w:id="215" w:name="_Toc272414710"/>
      <w:bookmarkStart w:id="216" w:name="_Toc290888576"/>
      <w:bookmarkStart w:id="217" w:name="_Toc453931366"/>
      <w:bookmarkStart w:id="218" w:name="_Toc499043875"/>
      <w:bookmarkEnd w:id="214"/>
      <w:r w:rsidRPr="00851D5A">
        <w:rPr>
          <w:rFonts w:eastAsia="Cambria"/>
        </w:rPr>
        <w:t>Second round assessment of risks</w:t>
      </w:r>
      <w:bookmarkEnd w:id="215"/>
      <w:bookmarkEnd w:id="216"/>
      <w:bookmarkEnd w:id="217"/>
      <w:bookmarkEnd w:id="218"/>
    </w:p>
    <w:p w14:paraId="32DC6FF6" w14:textId="3AD81CD5" w:rsidR="004A41A2" w:rsidRDefault="004A41A2" w:rsidP="004A41A2">
      <w:pPr>
        <w:rPr>
          <w:lang w:eastAsia="ja-JP"/>
        </w:rPr>
      </w:pPr>
      <w:bookmarkStart w:id="219" w:name="_Hlk492471888"/>
      <w:bookmarkStart w:id="220" w:name="_Toc272414711"/>
      <w:bookmarkStart w:id="221" w:name="_Toc290888577"/>
      <w:r>
        <w:rPr>
          <w:lang w:eastAsia="ja-JP"/>
        </w:rPr>
        <w:t>After consideration of the responses to clinical questions, the risks of Kyleena in the proposed usage are unchanged from those identified in the first round assessment of risks.</w:t>
      </w:r>
    </w:p>
    <w:p w14:paraId="5B6E43C3" w14:textId="3981B1E1" w:rsidR="004A41A2" w:rsidRDefault="004A41A2" w:rsidP="004A41A2">
      <w:pPr>
        <w:pStyle w:val="ListBullet"/>
        <w:rPr>
          <w:lang w:eastAsia="ja-JP"/>
        </w:rPr>
      </w:pPr>
      <w:r>
        <w:rPr>
          <w:lang w:eastAsia="ja-JP"/>
        </w:rPr>
        <w:lastRenderedPageBreak/>
        <w:t>Although body weight can affect levonorgestrel clearance, the available data, albeit limited, for women with BMI ≥ 30 kg/m</w:t>
      </w:r>
      <w:r w:rsidRPr="004A41A2">
        <w:rPr>
          <w:vertAlign w:val="superscript"/>
          <w:lang w:eastAsia="ja-JP"/>
        </w:rPr>
        <w:t>2</w:t>
      </w:r>
      <w:r>
        <w:rPr>
          <w:lang w:eastAsia="ja-JP"/>
        </w:rPr>
        <w:t xml:space="preserve"> do not suggest a clinically significant effect of body weight on contraceptive efficacy of LNG</w:t>
      </w:r>
      <w:r w:rsidR="007A24E9">
        <w:rPr>
          <w:lang w:eastAsia="ja-JP"/>
        </w:rPr>
        <w:t xml:space="preserve"> </w:t>
      </w:r>
      <w:r>
        <w:rPr>
          <w:lang w:eastAsia="ja-JP"/>
        </w:rPr>
        <w:t>IUS. This is not unexpected given the predominant local effect of Kyleena.</w:t>
      </w:r>
    </w:p>
    <w:p w14:paraId="302A6A81" w14:textId="784F61B9" w:rsidR="004A41A2" w:rsidRDefault="004A41A2" w:rsidP="004A41A2">
      <w:pPr>
        <w:pStyle w:val="ListBullet"/>
        <w:rPr>
          <w:lang w:eastAsia="ja-JP"/>
        </w:rPr>
      </w:pPr>
      <w:r>
        <w:rPr>
          <w:lang w:eastAsia="ja-JP"/>
        </w:rPr>
        <w:t>Use in MRI remains an unknown risk. Mirena does not contain metallic components and Jaydess (which does contain the silver ring) is not marketed in Australia. Appropriate information regarding this risk needs to be ad</w:t>
      </w:r>
      <w:r w:rsidR="007A24E9">
        <w:rPr>
          <w:lang w:eastAsia="ja-JP"/>
        </w:rPr>
        <w:t>equately communicated in the PI/</w:t>
      </w:r>
      <w:r>
        <w:rPr>
          <w:lang w:eastAsia="ja-JP"/>
        </w:rPr>
        <w:t>CMI documents and patient card.</w:t>
      </w:r>
    </w:p>
    <w:p w14:paraId="45D1B877" w14:textId="0F3FCC7B" w:rsidR="00851D5A" w:rsidRPr="00851D5A" w:rsidRDefault="004A41A2" w:rsidP="004A41A2">
      <w:pPr>
        <w:pStyle w:val="ListBullet"/>
        <w:rPr>
          <w:lang w:eastAsia="ja-JP"/>
        </w:rPr>
      </w:pPr>
      <w:r>
        <w:rPr>
          <w:lang w:eastAsia="ja-JP"/>
        </w:rPr>
        <w:t>Use in heart disease is an uncertain risk; the Sponsor is asked to clarify the discrepancy regarding the proposed text in Kyleena and that in the current Mirena PI, the latter recommending antibiotic prophylaxis when inserting or removing Mirena.</w:t>
      </w:r>
    </w:p>
    <w:p w14:paraId="199E8F64" w14:textId="77777777" w:rsidR="00851D5A" w:rsidRPr="00851D5A" w:rsidRDefault="00851D5A" w:rsidP="00851D5A">
      <w:pPr>
        <w:pStyle w:val="Heading3"/>
        <w:rPr>
          <w:rFonts w:eastAsia="Cambria"/>
        </w:rPr>
      </w:pPr>
      <w:bookmarkStart w:id="222" w:name="_Toc453931367"/>
      <w:bookmarkStart w:id="223" w:name="_Toc499043876"/>
      <w:bookmarkEnd w:id="219"/>
      <w:r w:rsidRPr="00851D5A">
        <w:rPr>
          <w:rFonts w:eastAsia="Cambria"/>
        </w:rPr>
        <w:t>Second round assessment of benefit-risk balance</w:t>
      </w:r>
      <w:bookmarkEnd w:id="220"/>
      <w:bookmarkEnd w:id="221"/>
      <w:bookmarkEnd w:id="222"/>
      <w:bookmarkEnd w:id="223"/>
    </w:p>
    <w:p w14:paraId="3EFC3378" w14:textId="72739535" w:rsidR="004A41A2" w:rsidRDefault="004A41A2" w:rsidP="004A41A2">
      <w:pPr>
        <w:rPr>
          <w:lang w:eastAsia="ja-JP"/>
        </w:rPr>
      </w:pPr>
      <w:bookmarkStart w:id="224" w:name="_Hlk492471919"/>
      <w:r>
        <w:rPr>
          <w:lang w:eastAsia="ja-JP"/>
        </w:rPr>
        <w:t>The benefit-risk balance of Kyleena, given the proposed usage, is favourable.</w:t>
      </w:r>
    </w:p>
    <w:p w14:paraId="3B7D214A" w14:textId="470EE47E" w:rsidR="004A41A2" w:rsidRDefault="004A41A2" w:rsidP="004A41A2">
      <w:pPr>
        <w:rPr>
          <w:lang w:eastAsia="ja-JP"/>
        </w:rPr>
      </w:pPr>
      <w:r>
        <w:rPr>
          <w:lang w:eastAsia="ja-JP"/>
        </w:rPr>
        <w:t xml:space="preserve">Contraceptive efficacy over 5 years with LCS16 has been demonstrated with an overall </w:t>
      </w:r>
      <w:r w:rsidR="00626A92">
        <w:rPr>
          <w:lang w:eastAsia="ja-JP"/>
        </w:rPr>
        <w:t>Pearl Index</w:t>
      </w:r>
      <w:r>
        <w:rPr>
          <w:lang w:eastAsia="ja-JP"/>
        </w:rPr>
        <w:t xml:space="preserve"> of 0.29 (95% CI: 016, 0.50). There was no trend observed with pregnancy rate over time. The cumulative failure rate at 5 years (1.4%) was similar to the cumulative failure rate at 3 years for the LCS16 arm (1.0%).</w:t>
      </w:r>
    </w:p>
    <w:p w14:paraId="42006A5D" w14:textId="74081266" w:rsidR="00C618F7" w:rsidRPr="00586F98" w:rsidRDefault="004A41A2" w:rsidP="004A41A2">
      <w:pPr>
        <w:rPr>
          <w:lang w:eastAsia="ja-JP"/>
        </w:rPr>
      </w:pPr>
      <w:r>
        <w:rPr>
          <w:lang w:eastAsia="ja-JP"/>
        </w:rPr>
        <w:t>There were no new or unexpected safety findings. Ectopic pregnancy is a known safety issue with LNG</w:t>
      </w:r>
      <w:r w:rsidR="007A24E9">
        <w:rPr>
          <w:lang w:eastAsia="ja-JP"/>
        </w:rPr>
        <w:t xml:space="preserve"> </w:t>
      </w:r>
      <w:r>
        <w:rPr>
          <w:lang w:eastAsia="ja-JP"/>
        </w:rPr>
        <w:t xml:space="preserve">IUS. The unadjusted 5 year </w:t>
      </w:r>
      <w:r w:rsidR="00626A92">
        <w:rPr>
          <w:lang w:eastAsia="ja-JP"/>
        </w:rPr>
        <w:t>Pearl Index</w:t>
      </w:r>
      <w:r>
        <w:rPr>
          <w:lang w:eastAsia="ja-JP"/>
        </w:rPr>
        <w:t xml:space="preserve"> for ectopic pregnancy for LCS16 in the pivotal study was 0.18 (95% CI: 0.08, 0.36), which is slightly higher than the overall incidence of ectopic pregnancy for Jaydess (0.11 per 100 WY), although lower than the rates in women n</w:t>
      </w:r>
      <w:r w:rsidR="007A24E9">
        <w:rPr>
          <w:lang w:eastAsia="ja-JP"/>
        </w:rPr>
        <w:t xml:space="preserve">ot using any contraception (0.3 to </w:t>
      </w:r>
      <w:r>
        <w:rPr>
          <w:lang w:eastAsia="ja-JP"/>
        </w:rPr>
        <w:t>0.5 per 100 WY).</w:t>
      </w:r>
      <w:r w:rsidRPr="004A41A2">
        <w:rPr>
          <w:vertAlign w:val="superscript"/>
          <w:lang w:eastAsia="ja-JP"/>
        </w:rPr>
        <w:fldChar w:fldCharType="begin"/>
      </w:r>
      <w:r w:rsidRPr="004A41A2">
        <w:rPr>
          <w:vertAlign w:val="superscript"/>
          <w:lang w:eastAsia="ja-JP"/>
        </w:rPr>
        <w:instrText xml:space="preserve"> NOTEREF _Ref492129528 \h </w:instrText>
      </w:r>
      <w:r>
        <w:rPr>
          <w:vertAlign w:val="superscript"/>
          <w:lang w:eastAsia="ja-JP"/>
        </w:rPr>
        <w:instrText xml:space="preserve"> \* MERGEFORMAT </w:instrText>
      </w:r>
      <w:r w:rsidRPr="004A41A2">
        <w:rPr>
          <w:vertAlign w:val="superscript"/>
          <w:lang w:eastAsia="ja-JP"/>
        </w:rPr>
      </w:r>
      <w:r w:rsidRPr="004A41A2">
        <w:rPr>
          <w:vertAlign w:val="superscript"/>
          <w:lang w:eastAsia="ja-JP"/>
        </w:rPr>
        <w:fldChar w:fldCharType="separate"/>
      </w:r>
      <w:r w:rsidR="009A3335">
        <w:rPr>
          <w:vertAlign w:val="superscript"/>
          <w:lang w:eastAsia="ja-JP"/>
        </w:rPr>
        <w:t>3</w:t>
      </w:r>
      <w:r w:rsidRPr="004A41A2">
        <w:rPr>
          <w:vertAlign w:val="superscript"/>
          <w:lang w:eastAsia="ja-JP"/>
        </w:rPr>
        <w:fldChar w:fldCharType="end"/>
      </w:r>
      <w:r>
        <w:rPr>
          <w:lang w:eastAsia="ja-JP"/>
        </w:rPr>
        <w:t xml:space="preserve"> The increased likelihood of a pregnancy being ectopic if pregnancy occurs with Kyleena in situ is clearly documented in the proposed PI. Further, the known risks of pelvic infection, expulsion and perforation are well characterised in the proposed PI.</w:t>
      </w:r>
    </w:p>
    <w:p w14:paraId="24FD3C91" w14:textId="77777777" w:rsidR="00C618F7" w:rsidRDefault="00C618F7" w:rsidP="00C618F7">
      <w:pPr>
        <w:pStyle w:val="Heading2"/>
      </w:pPr>
      <w:bookmarkStart w:id="225" w:name="_Toc499043877"/>
      <w:bookmarkEnd w:id="224"/>
      <w:r>
        <w:t>Second round recommendation regarding authorisation</w:t>
      </w:r>
      <w:bookmarkEnd w:id="225"/>
    </w:p>
    <w:p w14:paraId="220944CB" w14:textId="7A6DEF87" w:rsidR="00C618F7" w:rsidRPr="004A41A2" w:rsidRDefault="004A41A2" w:rsidP="004A41A2">
      <w:bookmarkStart w:id="226" w:name="_Hlk492471948"/>
      <w:r w:rsidRPr="004A41A2">
        <w:t>Approval of the application to register the product Kyleena is recommended for the indication ‘Contraception for up to 5 years’ provided all chemistry and quality control issues are resolved.</w:t>
      </w:r>
    </w:p>
    <w:p w14:paraId="58A0E979" w14:textId="2A7D6613" w:rsidR="00C618F7" w:rsidRDefault="00C618F7" w:rsidP="00C618F7">
      <w:pPr>
        <w:pStyle w:val="Heading2"/>
      </w:pPr>
      <w:bookmarkStart w:id="227" w:name="_Toc499043878"/>
      <w:bookmarkEnd w:id="226"/>
      <w:r>
        <w:t>References</w:t>
      </w:r>
      <w:bookmarkEnd w:id="227"/>
    </w:p>
    <w:p w14:paraId="1314B300" w14:textId="09B173E7" w:rsidR="00F2762F" w:rsidRPr="00F2762F" w:rsidRDefault="00F2762F" w:rsidP="00F2762F">
      <w:pPr>
        <w:pStyle w:val="Reference"/>
        <w:spacing w:line="276" w:lineRule="auto"/>
        <w:rPr>
          <w:sz w:val="22"/>
        </w:rPr>
      </w:pPr>
      <w:r w:rsidRPr="00F2762F">
        <w:rPr>
          <w:sz w:val="22"/>
        </w:rPr>
        <w:t xml:space="preserve">Australian CMI </w:t>
      </w:r>
      <w:r>
        <w:rPr>
          <w:sz w:val="22"/>
        </w:rPr>
        <w:t>for Mirena, Bayer Australia Ltd.</w:t>
      </w:r>
    </w:p>
    <w:p w14:paraId="1C23B0BD" w14:textId="1C081340" w:rsidR="00F2762F" w:rsidRPr="00F2762F" w:rsidRDefault="00F2762F" w:rsidP="00F2762F">
      <w:pPr>
        <w:pStyle w:val="Reference"/>
        <w:spacing w:line="276" w:lineRule="auto"/>
        <w:rPr>
          <w:sz w:val="22"/>
        </w:rPr>
      </w:pPr>
      <w:r w:rsidRPr="00F2762F">
        <w:rPr>
          <w:sz w:val="22"/>
        </w:rPr>
        <w:t>Australian PI</w:t>
      </w:r>
      <w:r>
        <w:rPr>
          <w:sz w:val="22"/>
        </w:rPr>
        <w:t xml:space="preserve"> Jaydess (TGA PI/CMI repository), Bayer Australia Ltd.</w:t>
      </w:r>
    </w:p>
    <w:p w14:paraId="203FFCCF" w14:textId="5EBFC13D" w:rsidR="00F2762F" w:rsidRPr="00F2762F" w:rsidRDefault="00F2762F" w:rsidP="00F2762F">
      <w:pPr>
        <w:pStyle w:val="Reference"/>
        <w:spacing w:line="276" w:lineRule="auto"/>
        <w:rPr>
          <w:sz w:val="22"/>
        </w:rPr>
      </w:pPr>
      <w:r>
        <w:rPr>
          <w:sz w:val="22"/>
        </w:rPr>
        <w:t>Australian PI Mirena, Bayer Australia Ltd.</w:t>
      </w:r>
    </w:p>
    <w:p w14:paraId="51D242E0" w14:textId="77777777" w:rsidR="00F2762F" w:rsidRPr="00F2762F" w:rsidRDefault="00F2762F" w:rsidP="00F2762F">
      <w:pPr>
        <w:pStyle w:val="Reference"/>
        <w:spacing w:line="276" w:lineRule="auto"/>
        <w:rPr>
          <w:sz w:val="22"/>
        </w:rPr>
      </w:pPr>
      <w:r w:rsidRPr="00F2762F">
        <w:rPr>
          <w:sz w:val="22"/>
        </w:rPr>
        <w:t>Juul S et al. Regional differences in waiting time to pregnancy: pregnancy‐based surveys from Denmark, France, Germany, Italy and Sweden. The European Infertility and Subfecundity Study Group. Hum. Reprod. 1999;14:1250–1254.</w:t>
      </w:r>
    </w:p>
    <w:p w14:paraId="0A5C75A0" w14:textId="77777777" w:rsidR="00F2762F" w:rsidRPr="00F2762F" w:rsidRDefault="00F2762F" w:rsidP="00F2762F">
      <w:pPr>
        <w:pStyle w:val="Reference"/>
        <w:spacing w:line="276" w:lineRule="auto"/>
        <w:rPr>
          <w:sz w:val="22"/>
        </w:rPr>
      </w:pPr>
      <w:r w:rsidRPr="00F2762F">
        <w:rPr>
          <w:sz w:val="22"/>
        </w:rPr>
        <w:t>Mansour D et al. Fertility after discontinuation of contraception: a comprehensive review of the literature. Contraception. 2011. 84(5):465-477.</w:t>
      </w:r>
    </w:p>
    <w:p w14:paraId="18194455" w14:textId="6BC3C3DD" w:rsidR="00F2762F" w:rsidRPr="00F2762F" w:rsidRDefault="00F2762F" w:rsidP="00F2762F">
      <w:pPr>
        <w:pStyle w:val="Reference"/>
        <w:spacing w:line="276" w:lineRule="auto"/>
        <w:rPr>
          <w:sz w:val="22"/>
        </w:rPr>
      </w:pPr>
      <w:r>
        <w:rPr>
          <w:sz w:val="22"/>
        </w:rPr>
        <w:t xml:space="preserve">UK </w:t>
      </w:r>
      <w:r w:rsidRPr="00F2762F">
        <w:rPr>
          <w:sz w:val="22"/>
        </w:rPr>
        <w:t xml:space="preserve">MHRA SPC </w:t>
      </w:r>
      <w:r>
        <w:rPr>
          <w:sz w:val="22"/>
        </w:rPr>
        <w:t>for Jaydess, Bayer (UK) Plc.</w:t>
      </w:r>
    </w:p>
    <w:p w14:paraId="1C5F361D" w14:textId="00FC33D8" w:rsidR="00F2762F" w:rsidRPr="00F2762F" w:rsidRDefault="00F2762F" w:rsidP="00F2762F">
      <w:pPr>
        <w:pStyle w:val="Reference"/>
        <w:spacing w:line="276" w:lineRule="auto"/>
        <w:rPr>
          <w:sz w:val="22"/>
        </w:rPr>
      </w:pPr>
      <w:r>
        <w:rPr>
          <w:sz w:val="22"/>
        </w:rPr>
        <w:t xml:space="preserve">UK </w:t>
      </w:r>
      <w:r w:rsidRPr="00F2762F">
        <w:rPr>
          <w:sz w:val="22"/>
        </w:rPr>
        <w:t xml:space="preserve">MHRA SPC </w:t>
      </w:r>
      <w:r>
        <w:rPr>
          <w:sz w:val="22"/>
        </w:rPr>
        <w:t xml:space="preserve">for </w:t>
      </w:r>
      <w:r w:rsidRPr="00F2762F">
        <w:rPr>
          <w:sz w:val="22"/>
        </w:rPr>
        <w:t>Mirena</w:t>
      </w:r>
      <w:r>
        <w:rPr>
          <w:sz w:val="22"/>
        </w:rPr>
        <w:t>, Bayer (UK) Plc.</w:t>
      </w:r>
    </w:p>
    <w:p w14:paraId="0BABCA15" w14:textId="77777777" w:rsidR="00F2762F" w:rsidRPr="00F2762F" w:rsidRDefault="00F2762F" w:rsidP="00F2762F">
      <w:pPr>
        <w:pStyle w:val="Reference"/>
        <w:spacing w:line="276" w:lineRule="auto"/>
        <w:rPr>
          <w:sz w:val="22"/>
        </w:rPr>
      </w:pPr>
      <w:r w:rsidRPr="00F2762F">
        <w:rPr>
          <w:sz w:val="22"/>
        </w:rPr>
        <w:lastRenderedPageBreak/>
        <w:t>The Royal Australian and New Zealand College of Radiologists Policy Library RANZCR MRI Safety Guidelines Version April 2007.</w:t>
      </w:r>
    </w:p>
    <w:p w14:paraId="58744F69" w14:textId="255DEC6D" w:rsidR="00F2762F" w:rsidRPr="00F2762F" w:rsidRDefault="00F2762F" w:rsidP="00F2762F">
      <w:pPr>
        <w:pStyle w:val="Reference"/>
        <w:spacing w:line="276" w:lineRule="auto"/>
        <w:rPr>
          <w:sz w:val="22"/>
        </w:rPr>
      </w:pPr>
      <w:r w:rsidRPr="00F2762F">
        <w:rPr>
          <w:sz w:val="22"/>
        </w:rPr>
        <w:t xml:space="preserve">US FDA Product label </w:t>
      </w:r>
      <w:r>
        <w:rPr>
          <w:sz w:val="22"/>
        </w:rPr>
        <w:t xml:space="preserve">for </w:t>
      </w:r>
      <w:r w:rsidRPr="00F2762F">
        <w:rPr>
          <w:sz w:val="22"/>
        </w:rPr>
        <w:t xml:space="preserve">Mirena </w:t>
      </w:r>
      <w:r>
        <w:rPr>
          <w:sz w:val="22"/>
        </w:rPr>
        <w:t>(</w:t>
      </w:r>
      <w:r w:rsidRPr="00F2762F">
        <w:rPr>
          <w:sz w:val="22"/>
        </w:rPr>
        <w:t>2013</w:t>
      </w:r>
      <w:r>
        <w:rPr>
          <w:sz w:val="22"/>
        </w:rPr>
        <w:t>)</w:t>
      </w:r>
      <w:r w:rsidRPr="00F2762F">
        <w:rPr>
          <w:sz w:val="22"/>
        </w:rPr>
        <w:t>.</w:t>
      </w:r>
    </w:p>
    <w:p w14:paraId="01174970" w14:textId="7B0E3B20" w:rsidR="00F2762F" w:rsidRPr="00F2762F" w:rsidRDefault="00F2762F" w:rsidP="00F2762F">
      <w:pPr>
        <w:pStyle w:val="Reference"/>
        <w:spacing w:line="276" w:lineRule="auto"/>
        <w:rPr>
          <w:sz w:val="22"/>
        </w:rPr>
      </w:pPr>
      <w:r w:rsidRPr="00F2762F">
        <w:rPr>
          <w:sz w:val="22"/>
        </w:rPr>
        <w:t>US FDA Product label</w:t>
      </w:r>
      <w:r>
        <w:rPr>
          <w:sz w:val="22"/>
        </w:rPr>
        <w:t xml:space="preserve"> for</w:t>
      </w:r>
      <w:r w:rsidRPr="00F2762F">
        <w:rPr>
          <w:sz w:val="22"/>
        </w:rPr>
        <w:t xml:space="preserve"> Mirena </w:t>
      </w:r>
      <w:r>
        <w:rPr>
          <w:sz w:val="22"/>
        </w:rPr>
        <w:t>(</w:t>
      </w:r>
      <w:r w:rsidRPr="00F2762F">
        <w:rPr>
          <w:sz w:val="22"/>
        </w:rPr>
        <w:t>2015</w:t>
      </w:r>
      <w:r>
        <w:rPr>
          <w:sz w:val="22"/>
        </w:rPr>
        <w:t>)</w:t>
      </w:r>
      <w:r w:rsidRPr="00F2762F">
        <w:rPr>
          <w:sz w:val="22"/>
        </w:rPr>
        <w:t>.</w:t>
      </w:r>
    </w:p>
    <w:p w14:paraId="7568FC71" w14:textId="51238623" w:rsidR="00F2762F" w:rsidRPr="00F2762F" w:rsidRDefault="00F2762F" w:rsidP="00F2762F">
      <w:pPr>
        <w:pStyle w:val="Reference"/>
        <w:spacing w:line="276" w:lineRule="auto"/>
        <w:rPr>
          <w:sz w:val="22"/>
        </w:rPr>
      </w:pPr>
      <w:r w:rsidRPr="00F2762F">
        <w:rPr>
          <w:sz w:val="22"/>
        </w:rPr>
        <w:t xml:space="preserve">US FDA Product label </w:t>
      </w:r>
      <w:r>
        <w:rPr>
          <w:sz w:val="22"/>
        </w:rPr>
        <w:t xml:space="preserve">for </w:t>
      </w:r>
      <w:r w:rsidRPr="00F2762F">
        <w:rPr>
          <w:sz w:val="22"/>
        </w:rPr>
        <w:t>Skyla.</w:t>
      </w:r>
    </w:p>
    <w:p w14:paraId="27C1A086" w14:textId="57A96214" w:rsidR="00F2762F" w:rsidRPr="00F2762F" w:rsidRDefault="00F2762F" w:rsidP="002949F5">
      <w:pPr>
        <w:ind w:hanging="142"/>
        <w:rPr>
          <w:lang w:eastAsia="ja-JP"/>
        </w:rPr>
      </w:pPr>
      <w:r>
        <w:rPr>
          <w:lang w:eastAsia="ja-JP"/>
        </w:rPr>
        <w:t>Zinaman M et al. Estimates of human fertility and pregnancy loss. Fertil. Steril. 1996;65:503–509.</w:t>
      </w:r>
    </w:p>
    <w:bookmarkEnd w:id="3"/>
    <w:bookmarkEnd w:id="2"/>
    <w:bookmarkEnd w:id="1"/>
    <w:p w14:paraId="0D3A6D61" w14:textId="77777777" w:rsidR="003D1E62" w:rsidRPr="001D043B" w:rsidRDefault="008E7846" w:rsidP="002666AC">
      <w:pPr>
        <w:sectPr w:rsidR="003D1E62" w:rsidRPr="001D043B" w:rsidSect="008D770F">
          <w:headerReference w:type="even" r:id="rId61"/>
          <w:headerReference w:type="default" r:id="rId62"/>
          <w:headerReference w:type="first" r:id="rId63"/>
          <w:footerReference w:type="first" r:id="rId6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14:paraId="5622AC9A" w14:textId="77777777" w:rsidTr="00335D06">
        <w:trPr>
          <w:trHeight w:hRule="exact" w:val="564"/>
        </w:trPr>
        <w:tc>
          <w:tcPr>
            <w:tcW w:w="9175" w:type="dxa"/>
          </w:tcPr>
          <w:p w14:paraId="1582CDED" w14:textId="77777777" w:rsidR="00B3567E" w:rsidRPr="00487162" w:rsidRDefault="00B3567E" w:rsidP="00335D06">
            <w:pPr>
              <w:pStyle w:val="TGASignoff"/>
            </w:pPr>
            <w:r w:rsidRPr="00487162">
              <w:lastRenderedPageBreak/>
              <w:t>Therapeutic Goods Administration</w:t>
            </w:r>
          </w:p>
        </w:tc>
      </w:tr>
      <w:tr w:rsidR="00B3567E" w:rsidRPr="00487162" w14:paraId="2C450527" w14:textId="77777777" w:rsidTr="00335D06">
        <w:trPr>
          <w:trHeight w:val="1221"/>
        </w:trPr>
        <w:tc>
          <w:tcPr>
            <w:tcW w:w="9175" w:type="dxa"/>
            <w:tcMar>
              <w:top w:w="28" w:type="dxa"/>
            </w:tcMar>
          </w:tcPr>
          <w:p w14:paraId="0B446FEF" w14:textId="77777777" w:rsidR="00B3567E" w:rsidRPr="00487162" w:rsidRDefault="00B3567E" w:rsidP="00335D06">
            <w:pPr>
              <w:pStyle w:val="Address"/>
            </w:pPr>
            <w:r w:rsidRPr="00487162">
              <w:t>PO Box 100 Woden ACT 2606 Australia</w:t>
            </w:r>
          </w:p>
          <w:p w14:paraId="5B86CB16" w14:textId="77777777" w:rsidR="00B3567E" w:rsidRPr="00487162" w:rsidRDefault="00B3567E" w:rsidP="00335D06">
            <w:pPr>
              <w:pStyle w:val="Address"/>
            </w:pPr>
            <w:r w:rsidRPr="00487162">
              <w:t xml:space="preserve">Email: </w:t>
            </w:r>
            <w:hyperlink r:id="rId65" w:history="1">
              <w:r w:rsidRPr="008D770F">
                <w:rPr>
                  <w:rStyle w:val="Hyperlink"/>
                </w:rPr>
                <w:t>info@tga.gov.au</w:t>
              </w:r>
            </w:hyperlink>
            <w:r w:rsidRPr="00487162">
              <w:t xml:space="preserve">  Phone: 1800 020 653  Fax: 02 6232 8605</w:t>
            </w:r>
          </w:p>
          <w:p w14:paraId="5D29EBB9" w14:textId="77777777" w:rsidR="00B3567E" w:rsidRPr="008D770F" w:rsidRDefault="005C38C4" w:rsidP="00335D06">
            <w:pPr>
              <w:pStyle w:val="Address"/>
              <w:spacing w:line="260" w:lineRule="atLeast"/>
              <w:rPr>
                <w:b/>
                <w:color w:val="0000FF"/>
                <w:u w:val="single"/>
              </w:rPr>
            </w:pPr>
            <w:hyperlink r:id="rId66" w:history="1">
              <w:r w:rsidR="00E979F4" w:rsidRPr="00FE02B1">
                <w:rPr>
                  <w:rStyle w:val="Hyperlink"/>
                  <w:b/>
                </w:rPr>
                <w:t>https://www.tga.gov.au</w:t>
              </w:r>
            </w:hyperlink>
          </w:p>
        </w:tc>
      </w:tr>
    </w:tbl>
    <w:p w14:paraId="6EE3870D" w14:textId="77777777" w:rsidR="00774E1D" w:rsidRPr="008A5E0B" w:rsidRDefault="00774E1D" w:rsidP="008A5E0B"/>
    <w:sectPr w:rsidR="00774E1D" w:rsidRPr="008A5E0B" w:rsidSect="00B3567E">
      <w:headerReference w:type="even" r:id="rId67"/>
      <w:headerReference w:type="default" r:id="rId68"/>
      <w:footerReference w:type="default" r:id="rId69"/>
      <w:headerReference w:type="first" r:id="rId70"/>
      <w:footerReference w:type="first" r:id="rId71"/>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691B21" w15:done="0"/>
  <w15:commentEx w15:paraId="36907F73" w15:done="0"/>
  <w15:commentEx w15:paraId="6CD0C98E" w15:done="0"/>
  <w15:commentEx w15:paraId="6475EC8F" w15:done="0"/>
  <w15:commentEx w15:paraId="488CE4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691B21" w16cid:durableId="1D5D67C6"/>
  <w16cid:commentId w16cid:paraId="36907F73" w16cid:durableId="1D553984"/>
  <w16cid:commentId w16cid:paraId="6CD0C98E" w16cid:durableId="1D5D201F"/>
  <w16cid:commentId w16cid:paraId="6475EC8F" w16cid:durableId="1D5D2057"/>
  <w16cid:commentId w16cid:paraId="488CE4BA" w16cid:durableId="1D5D27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5CC95" w14:textId="77777777" w:rsidR="00E30A63" w:rsidRDefault="00E30A63" w:rsidP="00C40A36">
      <w:pPr>
        <w:spacing w:after="0"/>
      </w:pPr>
      <w:r>
        <w:separator/>
      </w:r>
    </w:p>
  </w:endnote>
  <w:endnote w:type="continuationSeparator" w:id="0">
    <w:p w14:paraId="10E9925B" w14:textId="77777777" w:rsidR="00E30A63" w:rsidRDefault="00E30A6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auto"/>
    <w:notTrueType/>
    <w:pitch w:val="default"/>
    <w:sig w:usb0="00000003" w:usb1="08070000" w:usb2="00000010" w:usb3="00000000" w:csb0="00020001" w:csb1="00000000"/>
  </w:font>
  <w:font w:name="NimbusRomNo9L-Regu">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E30A63" w:rsidRPr="00487162" w14:paraId="640FA6BB" w14:textId="77777777" w:rsidTr="0025409C">
      <w:trPr>
        <w:trHeight w:val="269"/>
      </w:trPr>
      <w:tc>
        <w:tcPr>
          <w:tcW w:w="7797" w:type="dxa"/>
          <w:tcMar>
            <w:top w:w="142" w:type="dxa"/>
            <w:bottom w:w="0" w:type="dxa"/>
          </w:tcMar>
        </w:tcPr>
        <w:p w14:paraId="34F39758" w14:textId="4D88D084" w:rsidR="00E30A63" w:rsidRPr="00487162" w:rsidRDefault="00E30A63" w:rsidP="00C137CE">
          <w:pPr>
            <w:pStyle w:val="Footer"/>
          </w:pPr>
          <w:r>
            <w:t>Submission</w:t>
          </w:r>
          <w:r w:rsidRPr="00487162">
            <w:t xml:space="preserve"> </w:t>
          </w:r>
          <w:r>
            <w:t xml:space="preserve">PM-2015-04370-1-5 </w:t>
          </w:r>
          <w:r w:rsidRPr="0085091F">
            <w:t>Extract</w:t>
          </w:r>
          <w:r>
            <w:t xml:space="preserve"> from the Clinical Evaluation Report for Kyleena levonorgestrel IUS</w:t>
          </w:r>
          <w:r>
            <w:br/>
            <w:t>Bayer Australia Ltd</w:t>
          </w:r>
        </w:p>
      </w:tc>
      <w:tc>
        <w:tcPr>
          <w:tcW w:w="1064" w:type="dxa"/>
          <w:tcMar>
            <w:top w:w="142" w:type="dxa"/>
            <w:bottom w:w="0" w:type="dxa"/>
          </w:tcMar>
        </w:tcPr>
        <w:p w14:paraId="0001E736" w14:textId="2F92DC36" w:rsidR="00E30A63" w:rsidRPr="00981D66" w:rsidRDefault="00E30A63"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5C38C4">
            <w:rPr>
              <w:noProof/>
            </w:rPr>
            <w:t>2</w:t>
          </w:r>
          <w:r w:rsidRPr="00981D66">
            <w:fldChar w:fldCharType="end"/>
          </w:r>
          <w:r w:rsidRPr="00981D66">
            <w:t xml:space="preserve"> of </w:t>
          </w:r>
          <w:fldSimple w:instr=" NUMPAGES  \* Arabic  \* MERGEFORMAT ">
            <w:r w:rsidR="005C38C4">
              <w:rPr>
                <w:noProof/>
              </w:rPr>
              <w:t>63</w:t>
            </w:r>
          </w:fldSimple>
        </w:p>
      </w:tc>
    </w:tr>
  </w:tbl>
  <w:p w14:paraId="477C42E7" w14:textId="77777777" w:rsidR="00E30A63" w:rsidRDefault="00E30A6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30A63" w:rsidRPr="00487162" w14:paraId="6EEFF57F" w14:textId="77777777" w:rsidTr="00E45619">
      <w:trPr>
        <w:trHeight w:val="269"/>
      </w:trPr>
      <w:tc>
        <w:tcPr>
          <w:tcW w:w="4519" w:type="dxa"/>
          <w:tcBorders>
            <w:top w:val="single" w:sz="4" w:space="0" w:color="auto"/>
          </w:tcBorders>
          <w:tcMar>
            <w:top w:w="142" w:type="dxa"/>
            <w:bottom w:w="0" w:type="dxa"/>
          </w:tcMar>
        </w:tcPr>
        <w:p w14:paraId="5F412501" w14:textId="77777777" w:rsidR="00E30A63" w:rsidRPr="00487162" w:rsidRDefault="00E30A63" w:rsidP="00FE1DEE">
          <w:pPr>
            <w:pStyle w:val="Footer"/>
          </w:pPr>
          <w:r w:rsidRPr="00487162">
            <w:t>Document title, Part #, Section # - Section title</w:t>
          </w:r>
        </w:p>
        <w:p w14:paraId="613592EB" w14:textId="77777777" w:rsidR="00E30A63" w:rsidRPr="00487162" w:rsidRDefault="00E30A63" w:rsidP="00FE1DEE">
          <w:pPr>
            <w:pStyle w:val="Footer"/>
          </w:pPr>
          <w:r w:rsidRPr="00487162">
            <w:t>V1.0 October 2010</w:t>
          </w:r>
        </w:p>
      </w:tc>
      <w:tc>
        <w:tcPr>
          <w:tcW w:w="4342" w:type="dxa"/>
          <w:tcBorders>
            <w:top w:val="single" w:sz="4" w:space="0" w:color="auto"/>
          </w:tcBorders>
          <w:tcMar>
            <w:top w:w="142" w:type="dxa"/>
            <w:bottom w:w="0" w:type="dxa"/>
          </w:tcMar>
        </w:tcPr>
        <w:p w14:paraId="5F522F5D" w14:textId="5A6351BB" w:rsidR="00E30A63" w:rsidRPr="00487162" w:rsidRDefault="00E30A6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sidR="009A3335">
              <w:rPr>
                <w:noProof/>
              </w:rPr>
              <w:t>1</w:t>
            </w:r>
          </w:fldSimple>
        </w:p>
      </w:tc>
    </w:tr>
  </w:tbl>
  <w:p w14:paraId="06AA0CDD" w14:textId="77777777" w:rsidR="00E30A63" w:rsidRDefault="00E30A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36ED0" w14:textId="77777777" w:rsidR="00E30A63" w:rsidRDefault="00E30A6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30A63" w14:paraId="28B82977" w14:textId="77777777" w:rsidTr="0010601F">
      <w:trPr>
        <w:trHeight w:val="108"/>
      </w:trPr>
      <w:tc>
        <w:tcPr>
          <w:tcW w:w="8875" w:type="dxa"/>
          <w:gridSpan w:val="2"/>
          <w:tcBorders>
            <w:bottom w:val="single" w:sz="4" w:space="0" w:color="auto"/>
          </w:tcBorders>
          <w:tcMar>
            <w:right w:w="284" w:type="dxa"/>
          </w:tcMar>
        </w:tcPr>
        <w:p w14:paraId="77BF71CB" w14:textId="77777777" w:rsidR="00E30A63" w:rsidRDefault="00E30A63" w:rsidP="006E08B3">
          <w:pPr>
            <w:pStyle w:val="Heading3"/>
          </w:pPr>
          <w:r>
            <w:t>Copyright</w:t>
          </w:r>
        </w:p>
        <w:p w14:paraId="067D609A" w14:textId="77777777" w:rsidR="00E30A63" w:rsidRDefault="00E30A63" w:rsidP="006E08B3">
          <w:r>
            <w:rPr>
              <w:rFonts w:cs="Arial"/>
            </w:rPr>
            <w:t>©</w:t>
          </w:r>
          <w:r>
            <w:t xml:space="preserve"> Commonwealth of Australia [add year]</w:t>
          </w:r>
        </w:p>
        <w:p w14:paraId="12EF9E22" w14:textId="77777777" w:rsidR="00E30A63" w:rsidRDefault="00E30A63" w:rsidP="006E08B3"/>
        <w:p w14:paraId="0D923BF2" w14:textId="77777777" w:rsidR="00E30A63" w:rsidRDefault="00E30A6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E12723B" w14:textId="77777777" w:rsidR="00E30A63" w:rsidRDefault="00E30A63" w:rsidP="006E08B3"/>
        <w:p w14:paraId="64B50791" w14:textId="77777777" w:rsidR="00E30A63" w:rsidRDefault="00E30A63" w:rsidP="006E08B3">
          <w:pPr>
            <w:pStyle w:val="Heading3"/>
          </w:pPr>
          <w:r>
            <w:t>Confidentiality</w:t>
          </w:r>
        </w:p>
        <w:p w14:paraId="0FF0201E" w14:textId="77777777" w:rsidR="00E30A63" w:rsidRDefault="00E30A6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A0CDB98" w14:textId="77777777" w:rsidR="00E30A63" w:rsidRDefault="00E30A63" w:rsidP="006E08B3"/>
        <w:p w14:paraId="2A510EA4" w14:textId="77777777" w:rsidR="00E30A63" w:rsidRDefault="00E30A63" w:rsidP="006E08B3">
          <w:r>
            <w:t>For submission made by individuals, all personal details, other than your name, will be removed from your submission before it is published on the TGA’s Internet site.</w:t>
          </w:r>
        </w:p>
        <w:p w14:paraId="02AB7ACE" w14:textId="77777777" w:rsidR="00E30A63" w:rsidRDefault="00E30A63" w:rsidP="006E08B3"/>
        <w:p w14:paraId="0792E06B" w14:textId="77777777" w:rsidR="00E30A63" w:rsidRDefault="00E30A63" w:rsidP="006E08B3">
          <w:r>
            <w:t>In addition, a list of parties making submissions will be published. If you do not wish to be identified with your submission you must specifically request this in the space provided ib the submission coversheet.</w:t>
          </w:r>
        </w:p>
      </w:tc>
    </w:tr>
    <w:tr w:rsidR="00E30A63" w14:paraId="3B807D75" w14:textId="77777777" w:rsidTr="0010601F">
      <w:trPr>
        <w:trHeight w:val="417"/>
      </w:trPr>
      <w:tc>
        <w:tcPr>
          <w:tcW w:w="4519" w:type="dxa"/>
          <w:tcBorders>
            <w:top w:val="single" w:sz="4" w:space="0" w:color="auto"/>
          </w:tcBorders>
          <w:tcMar>
            <w:top w:w="142" w:type="dxa"/>
            <w:bottom w:w="0" w:type="dxa"/>
          </w:tcMar>
        </w:tcPr>
        <w:p w14:paraId="3C1B745E" w14:textId="77777777" w:rsidR="00E30A63" w:rsidRDefault="00E30A63" w:rsidP="006E08B3">
          <w:r>
            <w:t>Document title, Part #, Section # - Section title</w:t>
          </w:r>
        </w:p>
        <w:p w14:paraId="044C02F2" w14:textId="77777777" w:rsidR="00E30A63" w:rsidRDefault="00E30A63" w:rsidP="006E08B3">
          <w:r>
            <w:t>V1.0 October 2010</w:t>
          </w:r>
        </w:p>
      </w:tc>
      <w:tc>
        <w:tcPr>
          <w:tcW w:w="4356" w:type="dxa"/>
          <w:tcBorders>
            <w:top w:val="single" w:sz="4" w:space="0" w:color="auto"/>
          </w:tcBorders>
          <w:tcMar>
            <w:top w:w="142" w:type="dxa"/>
            <w:bottom w:w="0" w:type="dxa"/>
          </w:tcMar>
        </w:tcPr>
        <w:p w14:paraId="7319AFF7" w14:textId="5222B49A" w:rsidR="00E30A63" w:rsidRDefault="00E30A6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sidR="009A3335">
              <w:rPr>
                <w:noProof/>
              </w:rPr>
              <w:t>1</w:t>
            </w:r>
          </w:fldSimple>
          <w:r>
            <w:t xml:space="preserve">  </w:t>
          </w:r>
        </w:p>
      </w:tc>
    </w:tr>
  </w:tbl>
  <w:p w14:paraId="4B59CC8B" w14:textId="77777777" w:rsidR="00E30A63" w:rsidRDefault="00E30A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C6B86" w14:textId="77777777" w:rsidR="00E30A63" w:rsidRDefault="00E30A63" w:rsidP="00C40A36">
      <w:pPr>
        <w:spacing w:after="0"/>
      </w:pPr>
      <w:r>
        <w:separator/>
      </w:r>
    </w:p>
  </w:footnote>
  <w:footnote w:type="continuationSeparator" w:id="0">
    <w:p w14:paraId="53677853" w14:textId="77777777" w:rsidR="00E30A63" w:rsidRDefault="00E30A63" w:rsidP="00C40A36">
      <w:pPr>
        <w:spacing w:after="0"/>
      </w:pPr>
      <w:r>
        <w:continuationSeparator/>
      </w:r>
    </w:p>
  </w:footnote>
  <w:footnote w:id="1">
    <w:p w14:paraId="77191C24" w14:textId="6C1D9799" w:rsidR="00E30A63" w:rsidRPr="00D306A1" w:rsidRDefault="00E30A63">
      <w:pPr>
        <w:pStyle w:val="FootnoteText"/>
        <w:rPr>
          <w:sz w:val="20"/>
          <w:lang w:val="en-GB"/>
        </w:rPr>
      </w:pPr>
      <w:r>
        <w:rPr>
          <w:rStyle w:val="FootnoteReference"/>
        </w:rPr>
        <w:footnoteRef/>
      </w:r>
      <w:r>
        <w:t xml:space="preserve"> </w:t>
      </w:r>
      <w:r>
        <w:rPr>
          <w:sz w:val="20"/>
        </w:rPr>
        <w:t>This application was originally submitted by the sponsor under the tradename Sofitta. Following the first round evaluation, at the request of the sponsor, the proposed tradename changed from Sofitta to Kyleena. For continuity and clarity, Kyleena is used throughout this document except where discussion of any changes in tradename may be relevant to the evaluation itself.</w:t>
      </w:r>
    </w:p>
  </w:footnote>
  <w:footnote w:id="2">
    <w:p w14:paraId="5DD05ACB" w14:textId="444B605B" w:rsidR="00E30A63" w:rsidRPr="00852537" w:rsidRDefault="00E30A63">
      <w:pPr>
        <w:pStyle w:val="FootnoteText"/>
        <w:rPr>
          <w:lang w:val="en-GB"/>
        </w:rPr>
      </w:pPr>
      <w:r>
        <w:rPr>
          <w:rStyle w:val="FootnoteReference"/>
        </w:rPr>
        <w:footnoteRef/>
      </w:r>
      <w:r>
        <w:t xml:space="preserve"> </w:t>
      </w:r>
      <w:r w:rsidRPr="00DB493E">
        <w:rPr>
          <w:sz w:val="20"/>
        </w:rPr>
        <w:t>Australian PI for Mirena levonorgestrel 52 mg intrauterine drug delivery system sachet. Bayer Australia Ltd</w:t>
      </w:r>
    </w:p>
  </w:footnote>
  <w:footnote w:id="3">
    <w:p w14:paraId="7F51B0ED" w14:textId="2A466C0F" w:rsidR="00E30A63" w:rsidRPr="00DB493E" w:rsidRDefault="00E30A63" w:rsidP="00DB493E">
      <w:pPr>
        <w:spacing w:before="0" w:after="0"/>
        <w:rPr>
          <w:lang w:eastAsia="ja-JP"/>
        </w:rPr>
      </w:pPr>
      <w:r>
        <w:rPr>
          <w:rStyle w:val="FootnoteReference"/>
        </w:rPr>
        <w:footnoteRef/>
      </w:r>
      <w:r>
        <w:t xml:space="preserve"> </w:t>
      </w:r>
      <w:r w:rsidRPr="00DB493E">
        <w:rPr>
          <w:sz w:val="20"/>
        </w:rPr>
        <w:t>Australian PI for Jaydess levonorgestrel 13.5 mg intrauterine drug delivery system sachet. Bayer Australia Ltd</w:t>
      </w:r>
    </w:p>
  </w:footnote>
  <w:footnote w:id="4">
    <w:p w14:paraId="0DA9CAD5" w14:textId="430054FE" w:rsidR="00E30A63" w:rsidRPr="002949F5" w:rsidRDefault="00E30A63" w:rsidP="00E018FA">
      <w:pPr>
        <w:pStyle w:val="FootnoteText"/>
        <w:rPr>
          <w:sz w:val="18"/>
          <w:szCs w:val="18"/>
          <w:lang w:val="en-GB"/>
        </w:rPr>
      </w:pPr>
      <w:r w:rsidRPr="002949F5">
        <w:rPr>
          <w:rStyle w:val="FootnoteReference"/>
          <w:sz w:val="18"/>
          <w:szCs w:val="18"/>
        </w:rPr>
        <w:footnoteRef/>
      </w:r>
      <w:r w:rsidRPr="002949F5">
        <w:rPr>
          <w:sz w:val="18"/>
          <w:szCs w:val="18"/>
        </w:rPr>
        <w:t xml:space="preserve"> </w:t>
      </w:r>
      <w:r w:rsidRPr="002949F5">
        <w:rPr>
          <w:sz w:val="18"/>
          <w:szCs w:val="18"/>
          <w:lang w:val="en-GB"/>
        </w:rPr>
        <w:t>AusPAR for Jaydess (intrauterine delivery system) levonorgestrel Bayer Australia Ltd; February 2014. TGA; Canberra, Australia.</w:t>
      </w:r>
    </w:p>
  </w:footnote>
  <w:footnote w:id="5">
    <w:p w14:paraId="31D207C0" w14:textId="0BEC0F47" w:rsidR="00E30A63" w:rsidRPr="00403DF6" w:rsidRDefault="00E30A63">
      <w:pPr>
        <w:pStyle w:val="FootnoteText"/>
        <w:rPr>
          <w:sz w:val="18"/>
          <w:szCs w:val="18"/>
          <w:lang w:val="en-US"/>
        </w:rPr>
      </w:pPr>
      <w:r w:rsidRPr="00403DF6">
        <w:rPr>
          <w:rStyle w:val="FootnoteReference"/>
          <w:sz w:val="18"/>
          <w:szCs w:val="18"/>
        </w:rPr>
        <w:footnoteRef/>
      </w:r>
      <w:r w:rsidRPr="00403DF6">
        <w:rPr>
          <w:sz w:val="18"/>
          <w:szCs w:val="18"/>
        </w:rPr>
        <w:t xml:space="preserve"> Cahill, T.J. and B.D. Prendergast, Infective endocarditis. Lancet, 2015.</w:t>
      </w:r>
    </w:p>
  </w:footnote>
  <w:footnote w:id="6">
    <w:p w14:paraId="279A4C2E" w14:textId="6A1CDD1D" w:rsidR="00E30A63" w:rsidRPr="00403DF6" w:rsidRDefault="00E30A63" w:rsidP="00403DF6">
      <w:pPr>
        <w:pStyle w:val="FootnoteText"/>
        <w:rPr>
          <w:sz w:val="18"/>
          <w:szCs w:val="18"/>
          <w:lang w:val="en-GB"/>
        </w:rPr>
      </w:pPr>
      <w:r w:rsidRPr="00403DF6">
        <w:rPr>
          <w:rStyle w:val="FootnoteReference"/>
          <w:sz w:val="18"/>
          <w:szCs w:val="18"/>
        </w:rPr>
        <w:footnoteRef/>
      </w:r>
      <w:r w:rsidRPr="00403DF6">
        <w:rPr>
          <w:sz w:val="18"/>
          <w:szCs w:val="18"/>
          <w:lang w:val="en-GB"/>
        </w:rPr>
        <w:t>Wilson, W., et al., Prevention of infective endocarditis: guidelines from the American</w:t>
      </w:r>
      <w:r>
        <w:rPr>
          <w:sz w:val="18"/>
          <w:szCs w:val="18"/>
          <w:lang w:val="en-GB"/>
        </w:rPr>
        <w:t xml:space="preserve"> </w:t>
      </w:r>
      <w:r w:rsidRPr="00403DF6">
        <w:rPr>
          <w:sz w:val="18"/>
          <w:szCs w:val="18"/>
          <w:lang w:val="en-GB"/>
        </w:rPr>
        <w:t>Heart Association: a guideline from the American Heart Association Rheumatic</w:t>
      </w:r>
      <w:r>
        <w:rPr>
          <w:sz w:val="18"/>
          <w:szCs w:val="18"/>
          <w:lang w:val="en-GB"/>
        </w:rPr>
        <w:t xml:space="preserve"> </w:t>
      </w:r>
      <w:r w:rsidRPr="00403DF6">
        <w:rPr>
          <w:sz w:val="18"/>
          <w:szCs w:val="18"/>
          <w:lang w:val="en-GB"/>
        </w:rPr>
        <w:t>Fever, Endocarditis, and Kawasaki Disease Committee, Council on Cardiovascular</w:t>
      </w:r>
      <w:r>
        <w:rPr>
          <w:sz w:val="18"/>
          <w:szCs w:val="18"/>
          <w:lang w:val="en-GB"/>
        </w:rPr>
        <w:t xml:space="preserve"> </w:t>
      </w:r>
      <w:r w:rsidRPr="00403DF6">
        <w:rPr>
          <w:sz w:val="18"/>
          <w:szCs w:val="18"/>
          <w:lang w:val="en-GB"/>
        </w:rPr>
        <w:t>Disease in the Young, and the Council on Clinical Cardiology, Council on</w:t>
      </w:r>
      <w:r>
        <w:rPr>
          <w:sz w:val="18"/>
          <w:szCs w:val="18"/>
          <w:lang w:val="en-GB"/>
        </w:rPr>
        <w:t xml:space="preserve"> </w:t>
      </w:r>
      <w:r w:rsidRPr="00403DF6">
        <w:rPr>
          <w:sz w:val="18"/>
          <w:szCs w:val="18"/>
          <w:lang w:val="en-GB"/>
        </w:rPr>
        <w:t>Cardiovascular Surgery and Anesthesia, and the Quality of Care and Outcomes</w:t>
      </w:r>
      <w:r>
        <w:rPr>
          <w:sz w:val="18"/>
          <w:szCs w:val="18"/>
          <w:lang w:val="en-GB"/>
        </w:rPr>
        <w:t xml:space="preserve"> </w:t>
      </w:r>
      <w:r w:rsidRPr="00403DF6">
        <w:rPr>
          <w:sz w:val="18"/>
          <w:szCs w:val="18"/>
          <w:lang w:val="en-GB"/>
        </w:rPr>
        <w:t>Research Interdisciplinary Working Group. Circulation, 2007. 116(15): p. 1736-54.</w:t>
      </w:r>
    </w:p>
  </w:footnote>
  <w:footnote w:id="7">
    <w:p w14:paraId="6B050181" w14:textId="6E95D908" w:rsidR="00E30A63" w:rsidRPr="002949F5" w:rsidRDefault="00E30A63">
      <w:pPr>
        <w:pStyle w:val="FootnoteText"/>
        <w:rPr>
          <w:sz w:val="18"/>
          <w:szCs w:val="18"/>
          <w:lang w:val="en-GB"/>
        </w:rPr>
      </w:pPr>
      <w:r w:rsidRPr="002949F5">
        <w:rPr>
          <w:rStyle w:val="FootnoteReference"/>
          <w:sz w:val="18"/>
          <w:szCs w:val="18"/>
        </w:rPr>
        <w:footnoteRef/>
      </w:r>
      <w:r w:rsidRPr="002949F5">
        <w:rPr>
          <w:sz w:val="18"/>
          <w:szCs w:val="18"/>
        </w:rPr>
        <w:t xml:space="preserve"> Faculty of Sexual and Reproductive Healthcare Clinical Effectiveness Unit. FSRH Clinical Guidance: Contraceptive Choices for Women with Cardiac Disease; FRSH, Royal College of Obstetricians and Gynaecologists. June 2014.</w:t>
      </w:r>
    </w:p>
  </w:footnote>
  <w:footnote w:id="8">
    <w:p w14:paraId="40D3C9B6" w14:textId="09DAFB25" w:rsidR="00E30A63" w:rsidRPr="002949F5" w:rsidRDefault="00E30A63" w:rsidP="0078745B">
      <w:pPr>
        <w:pStyle w:val="FootnoteText"/>
        <w:rPr>
          <w:sz w:val="18"/>
          <w:szCs w:val="18"/>
        </w:rPr>
      </w:pPr>
      <w:r w:rsidRPr="002949F5">
        <w:rPr>
          <w:rStyle w:val="FootnoteReference"/>
          <w:sz w:val="18"/>
          <w:szCs w:val="18"/>
        </w:rPr>
        <w:footnoteRef/>
      </w:r>
      <w:r w:rsidRPr="002949F5">
        <w:rPr>
          <w:sz w:val="18"/>
          <w:szCs w:val="18"/>
        </w:rPr>
        <w:t xml:space="preserve"> Dajani A et al. American Heart Association: Prevention of Bacterial Endocarditis Recommendations by the American Heart Association; Circulation. 1997;96:358-366</w:t>
      </w:r>
    </w:p>
  </w:footnote>
  <w:footnote w:id="9">
    <w:p w14:paraId="45BDB3E5" w14:textId="597F320E" w:rsidR="00E30A63" w:rsidRPr="00316CBD" w:rsidRDefault="00E30A63" w:rsidP="000455FE">
      <w:pPr>
        <w:spacing w:before="0" w:after="0"/>
        <w:rPr>
          <w:sz w:val="18"/>
          <w:szCs w:val="18"/>
          <w:lang w:eastAsia="ja-JP"/>
        </w:rPr>
      </w:pPr>
      <w:r>
        <w:rPr>
          <w:rStyle w:val="FootnoteReference"/>
        </w:rPr>
        <w:footnoteRef/>
      </w:r>
      <w:r>
        <w:t xml:space="preserve"> </w:t>
      </w:r>
      <w:r w:rsidRPr="00316CBD">
        <w:rPr>
          <w:sz w:val="18"/>
          <w:szCs w:val="18"/>
          <w:lang w:eastAsia="ja-JP"/>
        </w:rPr>
        <w:t>US FDA Product label for Skyla.</w:t>
      </w:r>
    </w:p>
  </w:footnote>
  <w:footnote w:id="10">
    <w:p w14:paraId="5F395327" w14:textId="47024B54" w:rsidR="00E30A63" w:rsidRPr="00316CBD" w:rsidRDefault="00E30A63">
      <w:pPr>
        <w:pStyle w:val="FootnoteText"/>
        <w:rPr>
          <w:sz w:val="18"/>
          <w:szCs w:val="18"/>
          <w:lang w:val="en-GB"/>
        </w:rPr>
      </w:pPr>
      <w:r w:rsidRPr="00316CBD">
        <w:rPr>
          <w:rStyle w:val="FootnoteReference"/>
          <w:sz w:val="18"/>
          <w:szCs w:val="18"/>
        </w:rPr>
        <w:footnoteRef/>
      </w:r>
      <w:r w:rsidRPr="00316CBD">
        <w:rPr>
          <w:sz w:val="18"/>
          <w:szCs w:val="18"/>
        </w:rPr>
        <w:t xml:space="preserve"> UK MHRA SPC for Jaydess.</w:t>
      </w:r>
    </w:p>
  </w:footnote>
  <w:footnote w:id="11">
    <w:p w14:paraId="0FB8C860" w14:textId="464D7687" w:rsidR="00E30A63" w:rsidRPr="00C11B4D" w:rsidRDefault="00E30A63">
      <w:pPr>
        <w:pStyle w:val="FootnoteText"/>
        <w:rPr>
          <w:sz w:val="18"/>
          <w:szCs w:val="18"/>
          <w:lang w:val="en-GB"/>
        </w:rPr>
      </w:pPr>
      <w:r w:rsidRPr="00C11B4D">
        <w:rPr>
          <w:rStyle w:val="FootnoteReference"/>
          <w:sz w:val="18"/>
          <w:szCs w:val="18"/>
        </w:rPr>
        <w:footnoteRef/>
      </w:r>
      <w:r w:rsidRPr="00C11B4D">
        <w:rPr>
          <w:sz w:val="18"/>
          <w:szCs w:val="18"/>
        </w:rPr>
        <w:t xml:space="preserve"> US FDA Product Label for Mirena (2013)</w:t>
      </w:r>
    </w:p>
  </w:footnote>
  <w:footnote w:id="12">
    <w:p w14:paraId="73164DC7" w14:textId="7762E594" w:rsidR="00E30A63" w:rsidRPr="00C11B4D" w:rsidRDefault="00E30A63">
      <w:pPr>
        <w:pStyle w:val="FootnoteText"/>
        <w:rPr>
          <w:sz w:val="18"/>
          <w:szCs w:val="18"/>
          <w:lang w:val="en-GB"/>
        </w:rPr>
      </w:pPr>
      <w:r w:rsidRPr="00C11B4D">
        <w:rPr>
          <w:rStyle w:val="FootnoteReference"/>
          <w:sz w:val="18"/>
          <w:szCs w:val="18"/>
        </w:rPr>
        <w:footnoteRef/>
      </w:r>
      <w:r w:rsidRPr="00C11B4D">
        <w:rPr>
          <w:sz w:val="18"/>
          <w:szCs w:val="18"/>
        </w:rPr>
        <w:t xml:space="preserve"> US FDA Product Label for Mirena (2015)</w:t>
      </w:r>
    </w:p>
  </w:footnote>
  <w:footnote w:id="13">
    <w:p w14:paraId="080EE7A9" w14:textId="6873BE92" w:rsidR="00E30A63" w:rsidRPr="00C11B4D" w:rsidRDefault="00E30A63">
      <w:pPr>
        <w:pStyle w:val="FootnoteText"/>
        <w:rPr>
          <w:sz w:val="18"/>
          <w:szCs w:val="18"/>
          <w:lang w:val="en-GB"/>
        </w:rPr>
      </w:pPr>
      <w:r w:rsidRPr="00C11B4D">
        <w:rPr>
          <w:rStyle w:val="FootnoteReference"/>
          <w:sz w:val="18"/>
          <w:szCs w:val="18"/>
        </w:rPr>
        <w:footnoteRef/>
      </w:r>
      <w:r w:rsidRPr="00C11B4D">
        <w:rPr>
          <w:sz w:val="18"/>
          <w:szCs w:val="18"/>
        </w:rPr>
        <w:t xml:space="preserve"> UK MHRA SPC for Mirena</w:t>
      </w:r>
    </w:p>
  </w:footnote>
  <w:footnote w:id="14">
    <w:p w14:paraId="4A06EFD7" w14:textId="199E222A" w:rsidR="00E30A63" w:rsidRPr="00C11B4D" w:rsidRDefault="00E30A63">
      <w:pPr>
        <w:pStyle w:val="FootnoteText"/>
        <w:rPr>
          <w:sz w:val="18"/>
          <w:szCs w:val="18"/>
          <w:lang w:val="en-GB"/>
        </w:rPr>
      </w:pPr>
      <w:r w:rsidRPr="00C11B4D">
        <w:rPr>
          <w:rStyle w:val="FootnoteReference"/>
          <w:sz w:val="18"/>
          <w:szCs w:val="18"/>
        </w:rPr>
        <w:footnoteRef/>
      </w:r>
      <w:r w:rsidRPr="00C11B4D">
        <w:rPr>
          <w:sz w:val="18"/>
          <w:szCs w:val="18"/>
        </w:rPr>
        <w:t xml:space="preserve"> The Royal Australian and New Zealand College of Radiologists Policy Library RANZCR MRI Safety Guidelines Version; April 2007.</w:t>
      </w:r>
    </w:p>
  </w:footnote>
  <w:footnote w:id="15">
    <w:p w14:paraId="7FE73F74" w14:textId="07A395FB" w:rsidR="00E30A63" w:rsidRPr="00ED1E47" w:rsidRDefault="00E30A63" w:rsidP="00ED1E47">
      <w:pPr>
        <w:pStyle w:val="FootnoteText"/>
        <w:rPr>
          <w:sz w:val="18"/>
          <w:szCs w:val="18"/>
          <w:lang w:val="en-US"/>
        </w:rPr>
      </w:pPr>
      <w:r w:rsidRPr="00ED1E47">
        <w:rPr>
          <w:rStyle w:val="FootnoteReference"/>
          <w:sz w:val="18"/>
          <w:szCs w:val="18"/>
        </w:rPr>
        <w:footnoteRef/>
      </w:r>
      <w:r w:rsidRPr="00ED1E47">
        <w:rPr>
          <w:sz w:val="18"/>
          <w:szCs w:val="18"/>
        </w:rPr>
        <w:t xml:space="preserve"> CDC, Centers for Disease Control and Prevention. Sexually Transmitted Disease</w:t>
      </w:r>
      <w:r>
        <w:rPr>
          <w:sz w:val="18"/>
          <w:szCs w:val="18"/>
        </w:rPr>
        <w:t xml:space="preserve"> </w:t>
      </w:r>
      <w:r w:rsidRPr="00ED1E47">
        <w:rPr>
          <w:sz w:val="18"/>
          <w:szCs w:val="18"/>
        </w:rPr>
        <w:t>Surveillance, 2006. Atlanta, GA: U.S. Department of Health and Human Services.</w:t>
      </w:r>
      <w:r>
        <w:rPr>
          <w:sz w:val="18"/>
          <w:szCs w:val="18"/>
        </w:rPr>
        <w:t xml:space="preserve"> </w:t>
      </w:r>
      <w:r w:rsidRPr="00ED1E47">
        <w:rPr>
          <w:sz w:val="18"/>
          <w:szCs w:val="18"/>
        </w:rPr>
        <w:t>November 2007.</w:t>
      </w:r>
    </w:p>
  </w:footnote>
  <w:footnote w:id="16">
    <w:p w14:paraId="09BA5E9D" w14:textId="23AD5AEA" w:rsidR="00E30A63" w:rsidRPr="00ED1E47" w:rsidRDefault="00E30A63" w:rsidP="00ED1E47">
      <w:pPr>
        <w:pStyle w:val="FootnoteText"/>
        <w:rPr>
          <w:sz w:val="18"/>
          <w:szCs w:val="18"/>
          <w:lang w:val="en-US"/>
        </w:rPr>
      </w:pPr>
      <w:r w:rsidRPr="00ED1E47">
        <w:rPr>
          <w:rStyle w:val="FootnoteReference"/>
          <w:sz w:val="18"/>
          <w:szCs w:val="18"/>
        </w:rPr>
        <w:footnoteRef/>
      </w:r>
      <w:r w:rsidRPr="00ED1E47">
        <w:rPr>
          <w:sz w:val="18"/>
          <w:szCs w:val="18"/>
        </w:rPr>
        <w:t xml:space="preserve"> Eschenbach, D., Pelvic infections and sexually transmitted diseases. Danforth’s</w:t>
      </w:r>
      <w:r>
        <w:rPr>
          <w:sz w:val="18"/>
          <w:szCs w:val="18"/>
        </w:rPr>
        <w:t xml:space="preserve"> </w:t>
      </w:r>
      <w:r w:rsidRPr="00ED1E47">
        <w:rPr>
          <w:sz w:val="18"/>
          <w:szCs w:val="18"/>
        </w:rPr>
        <w:t>obstetrics and gynecology, ed. J.R. Scott, et al. 2003. 9th ed. p. 581-603,</w:t>
      </w:r>
      <w:r>
        <w:rPr>
          <w:sz w:val="18"/>
          <w:szCs w:val="18"/>
        </w:rPr>
        <w:t xml:space="preserve"> </w:t>
      </w:r>
      <w:r w:rsidRPr="00ED1E47">
        <w:rPr>
          <w:sz w:val="18"/>
          <w:szCs w:val="18"/>
        </w:rPr>
        <w:t>Philadelphia (PA): Lippincott Williams &amp; Williams.</w:t>
      </w:r>
    </w:p>
  </w:footnote>
  <w:footnote w:id="17">
    <w:p w14:paraId="3AAA1D78" w14:textId="71266484" w:rsidR="00E30A63" w:rsidRPr="00ED1E47" w:rsidRDefault="00E30A63" w:rsidP="00ED1E47">
      <w:pPr>
        <w:pStyle w:val="FootnoteText"/>
        <w:rPr>
          <w:sz w:val="18"/>
          <w:szCs w:val="18"/>
          <w:lang w:val="en-US"/>
        </w:rPr>
      </w:pPr>
      <w:r w:rsidRPr="00ED1E47">
        <w:rPr>
          <w:rStyle w:val="FootnoteReference"/>
          <w:sz w:val="18"/>
          <w:szCs w:val="18"/>
        </w:rPr>
        <w:footnoteRef/>
      </w:r>
      <w:r w:rsidRPr="00ED1E47">
        <w:rPr>
          <w:sz w:val="18"/>
          <w:szCs w:val="18"/>
        </w:rPr>
        <w:t xml:space="preserve"> Sutton, M.Y., et al., Trends in pelvic inflammatory disease hospital discharges and</w:t>
      </w:r>
      <w:r>
        <w:rPr>
          <w:sz w:val="18"/>
          <w:szCs w:val="18"/>
        </w:rPr>
        <w:t xml:space="preserve"> </w:t>
      </w:r>
      <w:r w:rsidRPr="00ED1E47">
        <w:rPr>
          <w:sz w:val="18"/>
          <w:szCs w:val="18"/>
        </w:rPr>
        <w:t>ambulatory visits, United States, 1985-2001. Sex Transm Dis, 2005. 32(12): p. 778-84.</w:t>
      </w:r>
    </w:p>
  </w:footnote>
  <w:footnote w:id="18">
    <w:p w14:paraId="5B397C1D" w14:textId="578F9778" w:rsidR="00E30A63" w:rsidRPr="00ED1E47" w:rsidRDefault="00E30A63" w:rsidP="00ED1E47">
      <w:pPr>
        <w:pStyle w:val="FootnoteText"/>
        <w:rPr>
          <w:sz w:val="18"/>
          <w:szCs w:val="18"/>
          <w:lang w:val="en-US"/>
        </w:rPr>
      </w:pPr>
      <w:r w:rsidRPr="00ED1E47">
        <w:rPr>
          <w:rStyle w:val="FootnoteReference"/>
          <w:sz w:val="18"/>
          <w:szCs w:val="18"/>
        </w:rPr>
        <w:footnoteRef/>
      </w:r>
      <w:r w:rsidRPr="00ED1E47">
        <w:rPr>
          <w:sz w:val="18"/>
          <w:szCs w:val="18"/>
        </w:rPr>
        <w:t xml:space="preserve"> CDC, Centers for Disease Control and Prevention. Sexually Transmitted Disease</w:t>
      </w:r>
      <w:r>
        <w:rPr>
          <w:sz w:val="18"/>
          <w:szCs w:val="18"/>
        </w:rPr>
        <w:t xml:space="preserve"> </w:t>
      </w:r>
      <w:r w:rsidRPr="00ED1E47">
        <w:rPr>
          <w:sz w:val="18"/>
          <w:szCs w:val="18"/>
        </w:rPr>
        <w:t>Surveillance, 2008. Atlanta, GA: U.S. Department of Health and Human Services.</w:t>
      </w:r>
      <w:r>
        <w:rPr>
          <w:sz w:val="18"/>
          <w:szCs w:val="18"/>
        </w:rPr>
        <w:t xml:space="preserve"> </w:t>
      </w:r>
      <w:r w:rsidRPr="00ED1E47">
        <w:rPr>
          <w:sz w:val="18"/>
          <w:szCs w:val="18"/>
        </w:rPr>
        <w:t>November 2009.</w:t>
      </w:r>
    </w:p>
  </w:footnote>
  <w:footnote w:id="19">
    <w:p w14:paraId="6797B9C4" w14:textId="75AB7289" w:rsidR="00E30A63" w:rsidRPr="00ED1E47" w:rsidRDefault="00E30A63" w:rsidP="00ED1E47">
      <w:pPr>
        <w:pStyle w:val="FootnoteText"/>
        <w:rPr>
          <w:sz w:val="18"/>
          <w:szCs w:val="18"/>
          <w:lang w:val="en-US"/>
        </w:rPr>
      </w:pPr>
      <w:r w:rsidRPr="00ED1E47">
        <w:rPr>
          <w:rStyle w:val="FootnoteReference"/>
          <w:sz w:val="18"/>
          <w:szCs w:val="18"/>
        </w:rPr>
        <w:footnoteRef/>
      </w:r>
      <w:r w:rsidRPr="00ED1E47">
        <w:rPr>
          <w:sz w:val="18"/>
          <w:szCs w:val="18"/>
        </w:rPr>
        <w:t xml:space="preserve"> Farley, T.M., et al., Intrauterine devices and pelvic inflammatory disease: an</w:t>
      </w:r>
      <w:r>
        <w:rPr>
          <w:sz w:val="18"/>
          <w:szCs w:val="18"/>
        </w:rPr>
        <w:t xml:space="preserve"> </w:t>
      </w:r>
      <w:r w:rsidRPr="00ED1E47">
        <w:rPr>
          <w:sz w:val="18"/>
          <w:szCs w:val="18"/>
        </w:rPr>
        <w:t>international perspective. Lancet, 1992. 339(8796): p. 785-8.</w:t>
      </w:r>
    </w:p>
  </w:footnote>
  <w:footnote w:id="20">
    <w:p w14:paraId="45610724" w14:textId="5D8CA73F" w:rsidR="00E30A63" w:rsidRPr="00ED1E47" w:rsidRDefault="00E30A63" w:rsidP="00ED1E47">
      <w:pPr>
        <w:pStyle w:val="FootnoteText"/>
        <w:rPr>
          <w:sz w:val="18"/>
          <w:szCs w:val="18"/>
        </w:rPr>
      </w:pPr>
      <w:r w:rsidRPr="00ED1E47">
        <w:rPr>
          <w:rStyle w:val="FootnoteReference"/>
          <w:sz w:val="18"/>
          <w:szCs w:val="18"/>
        </w:rPr>
        <w:footnoteRef/>
      </w:r>
      <w:r w:rsidRPr="00ED1E47">
        <w:rPr>
          <w:sz w:val="18"/>
          <w:szCs w:val="18"/>
        </w:rPr>
        <w:t xml:space="preserve"> Toivonen, J., T. Luukkainen, and H. Allonen, Protective effect of intrauterine release of levonorgestrel on pelvic infection: three years' comparative experience of levonorgestrel- and copper-releasing intrauterine devices. Obstet Gynecol, 1991. 77(2): p. 261-4.</w:t>
      </w:r>
    </w:p>
    <w:p w14:paraId="365BBFA7" w14:textId="77777777" w:rsidR="00E30A63" w:rsidRPr="00ED1E47" w:rsidRDefault="00E30A63" w:rsidP="00ED1E47">
      <w:pPr>
        <w:pStyle w:val="FootnoteText"/>
        <w:rPr>
          <w:sz w:val="18"/>
          <w:szCs w:val="18"/>
        </w:rPr>
      </w:pPr>
      <w:r w:rsidRPr="00ED1E47">
        <w:rPr>
          <w:sz w:val="18"/>
          <w:szCs w:val="18"/>
        </w:rPr>
        <w:t>26. Andersson, K., V. Odlind, and G. Rybo, Levonorgestrel-releasing and copperreleasing</w:t>
      </w:r>
    </w:p>
    <w:p w14:paraId="723CB124" w14:textId="26BAFDF1" w:rsidR="00E30A63" w:rsidRPr="00ED1E47" w:rsidRDefault="00E30A63" w:rsidP="00ED1E47">
      <w:pPr>
        <w:pStyle w:val="FootnoteText"/>
        <w:rPr>
          <w:sz w:val="18"/>
          <w:szCs w:val="18"/>
          <w:lang w:val="en-US"/>
        </w:rPr>
      </w:pPr>
      <w:r w:rsidRPr="00ED1E47">
        <w:rPr>
          <w:sz w:val="18"/>
          <w:szCs w:val="18"/>
        </w:rPr>
        <w:t>(Nova T) IUDs during five years of use: a randomized comparative trial. Contraception, 1994. 49(1): p. 56-72.</w:t>
      </w:r>
    </w:p>
  </w:footnote>
  <w:footnote w:id="21">
    <w:p w14:paraId="61D19706" w14:textId="2EB6913D" w:rsidR="00E30A63" w:rsidRPr="001247F5" w:rsidRDefault="00E30A63" w:rsidP="00ED1E47">
      <w:pPr>
        <w:pStyle w:val="FootnoteText"/>
        <w:rPr>
          <w:sz w:val="18"/>
          <w:szCs w:val="18"/>
          <w:lang w:val="en-US"/>
        </w:rPr>
      </w:pPr>
      <w:r w:rsidRPr="001247F5">
        <w:rPr>
          <w:rStyle w:val="FootnoteReference"/>
          <w:sz w:val="18"/>
          <w:szCs w:val="18"/>
        </w:rPr>
        <w:footnoteRef/>
      </w:r>
      <w:r w:rsidRPr="001247F5">
        <w:rPr>
          <w:sz w:val="18"/>
          <w:szCs w:val="18"/>
        </w:rPr>
        <w:t xml:space="preserve"> Meirik, O., Intrauterine devices - upper and lower genital tract infections. Contraception, 2007. 75(6 Suppl): p. S41-7.</w:t>
      </w:r>
    </w:p>
  </w:footnote>
  <w:footnote w:id="22">
    <w:p w14:paraId="580BCB59" w14:textId="585CF09D" w:rsidR="00E30A63" w:rsidRPr="001247F5" w:rsidRDefault="00E30A63" w:rsidP="006720A4">
      <w:pPr>
        <w:pStyle w:val="FootnoteText"/>
        <w:rPr>
          <w:sz w:val="18"/>
          <w:szCs w:val="18"/>
        </w:rPr>
      </w:pPr>
      <w:r w:rsidRPr="001247F5">
        <w:rPr>
          <w:rStyle w:val="FootnoteReference"/>
          <w:sz w:val="18"/>
          <w:szCs w:val="18"/>
        </w:rPr>
        <w:footnoteRef/>
      </w:r>
      <w:r w:rsidRPr="001247F5">
        <w:rPr>
          <w:sz w:val="18"/>
          <w:szCs w:val="18"/>
        </w:rPr>
        <w:t xml:space="preserve"> Farley, T.M., et al., Intrauterine devices and pelvic inflammatory disease: an international perspective. Lancet, 1992. 339(8796): p. 785-8.</w:t>
      </w:r>
    </w:p>
    <w:p w14:paraId="48A7BB18" w14:textId="77777777" w:rsidR="00E30A63" w:rsidRPr="001247F5" w:rsidRDefault="00E30A63" w:rsidP="006720A4">
      <w:pPr>
        <w:pStyle w:val="FootnoteText"/>
        <w:rPr>
          <w:sz w:val="18"/>
          <w:szCs w:val="18"/>
        </w:rPr>
      </w:pPr>
      <w:r w:rsidRPr="001247F5">
        <w:rPr>
          <w:sz w:val="18"/>
          <w:szCs w:val="18"/>
        </w:rPr>
        <w:t>Toivonen, J., T. Luukkainen, and H. Allonen, Protective effect of intrauterine release</w:t>
      </w:r>
      <w:r>
        <w:rPr>
          <w:sz w:val="18"/>
          <w:szCs w:val="18"/>
        </w:rPr>
        <w:t xml:space="preserve"> </w:t>
      </w:r>
      <w:r w:rsidRPr="001247F5">
        <w:rPr>
          <w:sz w:val="18"/>
          <w:szCs w:val="18"/>
        </w:rPr>
        <w:t>of levonorgestrel on pelvic infection: three years' comparative experience of</w:t>
      </w:r>
      <w:r>
        <w:rPr>
          <w:sz w:val="18"/>
          <w:szCs w:val="18"/>
        </w:rPr>
        <w:t xml:space="preserve"> </w:t>
      </w:r>
      <w:r w:rsidRPr="001247F5">
        <w:rPr>
          <w:sz w:val="18"/>
          <w:szCs w:val="18"/>
        </w:rPr>
        <w:t>levonorgestrel- and copper-releasing intrauterine devices. Obstet Gynecol, 1991.</w:t>
      </w:r>
    </w:p>
    <w:p w14:paraId="0B3ACF2B" w14:textId="65C162D4" w:rsidR="00E30A63" w:rsidRPr="001247F5" w:rsidRDefault="00E30A63" w:rsidP="001247F5">
      <w:pPr>
        <w:pStyle w:val="FootnoteText"/>
        <w:rPr>
          <w:sz w:val="18"/>
          <w:szCs w:val="18"/>
          <w:lang w:val="en-US"/>
        </w:rPr>
      </w:pPr>
      <w:r w:rsidRPr="001247F5">
        <w:rPr>
          <w:sz w:val="18"/>
          <w:szCs w:val="18"/>
        </w:rPr>
        <w:t>77(2): p. 261-4.</w:t>
      </w:r>
    </w:p>
  </w:footnote>
  <w:footnote w:id="23">
    <w:p w14:paraId="7DB2B3A7" w14:textId="39F22D50" w:rsidR="00E30A63" w:rsidRPr="001247F5" w:rsidRDefault="00E30A63" w:rsidP="006720A4">
      <w:pPr>
        <w:pStyle w:val="FootnoteText"/>
        <w:rPr>
          <w:sz w:val="18"/>
          <w:szCs w:val="18"/>
        </w:rPr>
      </w:pPr>
      <w:r w:rsidRPr="001247F5">
        <w:rPr>
          <w:rStyle w:val="FootnoteReference"/>
          <w:sz w:val="18"/>
          <w:szCs w:val="18"/>
        </w:rPr>
        <w:footnoteRef/>
      </w:r>
      <w:r w:rsidR="006720A4">
        <w:rPr>
          <w:sz w:val="18"/>
          <w:szCs w:val="18"/>
        </w:rPr>
        <w:t xml:space="preserve"> </w:t>
      </w:r>
      <w:r w:rsidRPr="001247F5">
        <w:rPr>
          <w:sz w:val="18"/>
          <w:szCs w:val="18"/>
        </w:rPr>
        <w:t>Allonen, H. and Y. Kulmala, Return to fertility after the removal of Nova-T or the l</w:t>
      </w:r>
      <w:r w:rsidR="006720A4">
        <w:rPr>
          <w:sz w:val="18"/>
          <w:szCs w:val="18"/>
        </w:rPr>
        <w:t xml:space="preserve">evonorgestrel-IUD. Leiras Study </w:t>
      </w:r>
      <w:r w:rsidRPr="001247F5">
        <w:rPr>
          <w:sz w:val="18"/>
          <w:szCs w:val="18"/>
        </w:rPr>
        <w:t>report 1205, 1991. 1205: p. 1-24.</w:t>
      </w:r>
    </w:p>
    <w:p w14:paraId="230D002C" w14:textId="3CE75499" w:rsidR="00E30A63" w:rsidRPr="001247F5" w:rsidRDefault="00E30A63" w:rsidP="006720A4">
      <w:pPr>
        <w:pStyle w:val="FootnoteText"/>
        <w:rPr>
          <w:sz w:val="18"/>
          <w:szCs w:val="18"/>
        </w:rPr>
      </w:pPr>
      <w:r w:rsidRPr="001247F5">
        <w:rPr>
          <w:sz w:val="18"/>
          <w:szCs w:val="18"/>
        </w:rPr>
        <w:t>Andersson, K., I. Batar, and G. Rybo, Return to fertility after removal of a levonorgestrel-releasing intrauterine device and Nova-T. Contraception, 1992. 46(6):p. 575-84.</w:t>
      </w:r>
    </w:p>
    <w:p w14:paraId="6DB3F150" w14:textId="62769459" w:rsidR="00E30A63" w:rsidRPr="001247F5" w:rsidRDefault="00E30A63" w:rsidP="006720A4">
      <w:pPr>
        <w:pStyle w:val="FootnoteText"/>
        <w:rPr>
          <w:sz w:val="18"/>
          <w:szCs w:val="18"/>
        </w:rPr>
      </w:pPr>
      <w:r w:rsidRPr="001247F5">
        <w:rPr>
          <w:sz w:val="18"/>
          <w:szCs w:val="18"/>
        </w:rPr>
        <w:t xml:space="preserve">Belhadj, H., et al., Recovery of fertility after use of the levonorgestrel 20 mcg/d </w:t>
      </w:r>
      <w:r w:rsidR="006720A4">
        <w:rPr>
          <w:sz w:val="18"/>
          <w:szCs w:val="18"/>
        </w:rPr>
        <w:t xml:space="preserve">or Copper T 380 Ag intrauterine </w:t>
      </w:r>
      <w:r w:rsidRPr="001247F5">
        <w:rPr>
          <w:sz w:val="18"/>
          <w:szCs w:val="18"/>
        </w:rPr>
        <w:t>device. Contraception, 1986. 34(3): p. 261-7.</w:t>
      </w:r>
    </w:p>
    <w:p w14:paraId="1059CE7F" w14:textId="7AF3BA96" w:rsidR="00E30A63" w:rsidRPr="001247F5" w:rsidRDefault="00E30A63" w:rsidP="006720A4">
      <w:pPr>
        <w:pStyle w:val="FootnoteText"/>
        <w:rPr>
          <w:sz w:val="18"/>
          <w:szCs w:val="18"/>
        </w:rPr>
      </w:pPr>
      <w:r w:rsidRPr="001247F5">
        <w:rPr>
          <w:sz w:val="18"/>
          <w:szCs w:val="18"/>
        </w:rPr>
        <w:t>Sivin, I., et al., Rates and outcomes of planned pregnancy after use of Norplant capsules, Norplant II rods, or levonorgestrel-releasing or copper TCu 380Ag intrauterine contraceptive devices. Am J Obstet Gynecol, 1992. 166(4): p. 1208-13.</w:t>
      </w:r>
    </w:p>
    <w:p w14:paraId="670EC14A" w14:textId="780A1A89" w:rsidR="00E30A63" w:rsidRPr="001247F5" w:rsidRDefault="00E30A63" w:rsidP="006720A4">
      <w:pPr>
        <w:pStyle w:val="FootnoteText"/>
        <w:rPr>
          <w:sz w:val="18"/>
          <w:szCs w:val="18"/>
          <w:lang w:val="en-US"/>
        </w:rPr>
      </w:pPr>
      <w:r w:rsidRPr="001247F5">
        <w:rPr>
          <w:sz w:val="18"/>
          <w:szCs w:val="18"/>
        </w:rPr>
        <w:t>Mansour, D., et al., Fertility after discontinuation of contraception: a comprehensive review of the literature. Contraception, 2011. 84(5): p. 465-77.</w:t>
      </w:r>
    </w:p>
  </w:footnote>
  <w:footnote w:id="24">
    <w:p w14:paraId="39915498" w14:textId="29A48B96" w:rsidR="00E30A63" w:rsidRPr="001247F5" w:rsidRDefault="00E30A63">
      <w:pPr>
        <w:pStyle w:val="FootnoteText"/>
        <w:rPr>
          <w:sz w:val="18"/>
          <w:szCs w:val="18"/>
          <w:lang w:val="en-GB"/>
        </w:rPr>
      </w:pPr>
      <w:r w:rsidRPr="001247F5">
        <w:rPr>
          <w:rStyle w:val="FootnoteReference"/>
          <w:sz w:val="18"/>
          <w:szCs w:val="18"/>
        </w:rPr>
        <w:footnoteRef/>
      </w:r>
      <w:r w:rsidRPr="001247F5">
        <w:rPr>
          <w:sz w:val="18"/>
          <w:szCs w:val="18"/>
        </w:rPr>
        <w:t xml:space="preserve"> Zinaman M et al. Estimates of human fertility and pregnancy loss. Fertil. Steril. 1996;65:503–509.</w:t>
      </w:r>
    </w:p>
  </w:footnote>
  <w:footnote w:id="25">
    <w:p w14:paraId="3B6AA946" w14:textId="03A0F0F6" w:rsidR="00E30A63" w:rsidRPr="001247F5" w:rsidRDefault="00E30A63" w:rsidP="003736F9">
      <w:pPr>
        <w:pStyle w:val="FootnoteText"/>
        <w:ind w:left="142" w:hanging="142"/>
        <w:rPr>
          <w:sz w:val="18"/>
          <w:szCs w:val="18"/>
          <w:lang w:val="en-GB"/>
        </w:rPr>
      </w:pPr>
      <w:r w:rsidRPr="001247F5">
        <w:rPr>
          <w:rStyle w:val="FootnoteReference"/>
          <w:sz w:val="18"/>
          <w:szCs w:val="18"/>
        </w:rPr>
        <w:footnoteRef/>
      </w:r>
      <w:r w:rsidRPr="001247F5">
        <w:rPr>
          <w:sz w:val="18"/>
          <w:szCs w:val="18"/>
        </w:rPr>
        <w:t xml:space="preserve"> Juul S et al. Regional differences in waiting time to pregnancy: pregnancy‐based surveys from Denmark, France, Germany, Italy and Sweden. The European Infertility and Subfecundity Study Group. Hum. Reprod. 1999;14:1250–1254.</w:t>
      </w:r>
    </w:p>
  </w:footnote>
  <w:footnote w:id="26">
    <w:p w14:paraId="7DD1A89D" w14:textId="2084224E" w:rsidR="00E30A63" w:rsidRPr="001247F5" w:rsidRDefault="00E30A63" w:rsidP="003736F9">
      <w:pPr>
        <w:pStyle w:val="FootnoteText"/>
        <w:ind w:left="142" w:hanging="142"/>
        <w:rPr>
          <w:sz w:val="18"/>
          <w:szCs w:val="18"/>
          <w:lang w:val="en-GB"/>
        </w:rPr>
      </w:pPr>
      <w:r w:rsidRPr="001247F5">
        <w:rPr>
          <w:rStyle w:val="FootnoteReference"/>
          <w:sz w:val="18"/>
          <w:szCs w:val="18"/>
        </w:rPr>
        <w:footnoteRef/>
      </w:r>
      <w:r w:rsidRPr="001247F5">
        <w:rPr>
          <w:sz w:val="18"/>
          <w:szCs w:val="18"/>
        </w:rPr>
        <w:t xml:space="preserve"> </w:t>
      </w:r>
      <w:r w:rsidRPr="001247F5">
        <w:rPr>
          <w:rFonts w:eastAsiaTheme="minorHAnsi" w:cs="Arial"/>
          <w:sz w:val="18"/>
          <w:szCs w:val="18"/>
        </w:rPr>
        <w:t xml:space="preserve">Mansour D et al. </w:t>
      </w:r>
      <w:r w:rsidRPr="001247F5">
        <w:rPr>
          <w:rFonts w:eastAsiaTheme="minorHAnsi" w:cs="Arial,Italic"/>
          <w:iCs/>
          <w:sz w:val="18"/>
          <w:szCs w:val="18"/>
        </w:rPr>
        <w:t>Fertility after discontinuation of contraception: a comprehensive review of the literature.</w:t>
      </w:r>
      <w:r w:rsidRPr="001247F5">
        <w:rPr>
          <w:rFonts w:eastAsiaTheme="minorHAnsi" w:cs="Arial,Italic"/>
          <w:i/>
          <w:iCs/>
          <w:sz w:val="18"/>
          <w:szCs w:val="18"/>
        </w:rPr>
        <w:t xml:space="preserve"> </w:t>
      </w:r>
      <w:r w:rsidRPr="001247F5">
        <w:rPr>
          <w:rFonts w:eastAsiaTheme="minorHAnsi" w:cs="Arial"/>
          <w:sz w:val="18"/>
          <w:szCs w:val="18"/>
        </w:rPr>
        <w:t xml:space="preserve">Contraception. 2011. </w:t>
      </w:r>
      <w:r w:rsidRPr="001247F5">
        <w:rPr>
          <w:rFonts w:eastAsiaTheme="minorHAnsi" w:cs="Arial,Bold"/>
          <w:bCs/>
          <w:sz w:val="18"/>
          <w:szCs w:val="18"/>
        </w:rPr>
        <w:t>84</w:t>
      </w:r>
      <w:r w:rsidRPr="001247F5">
        <w:rPr>
          <w:rFonts w:eastAsiaTheme="minorHAnsi" w:cs="Arial"/>
          <w:sz w:val="18"/>
          <w:szCs w:val="18"/>
        </w:rPr>
        <w:t>(5):465-477.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AE816" w14:textId="77777777" w:rsidR="00E30A63" w:rsidRDefault="00E30A6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E1894" w14:textId="77777777" w:rsidR="00E30A63" w:rsidRDefault="00E30A63">
    <w:pPr>
      <w:rPr>
        <w:noProof/>
        <w:lang w:eastAsia="en-AU"/>
      </w:rPr>
    </w:pPr>
    <w:r w:rsidRPr="002D545C">
      <w:rPr>
        <w:noProof/>
        <w:lang w:eastAsia="en-AU"/>
      </w:rPr>
      <w:drawing>
        <wp:anchor distT="0" distB="0" distL="114300" distR="114300" simplePos="0" relativeHeight="251659264" behindDoc="1" locked="0" layoutInCell="1" allowOverlap="1" wp14:anchorId="6417F790" wp14:editId="06812F73">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51431" w14:textId="77777777" w:rsidR="00E30A63" w:rsidRDefault="00E30A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3618A" w14:textId="77777777" w:rsidR="00E30A63" w:rsidRDefault="00E30A6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A406" w14:textId="77777777" w:rsidR="00E30A63" w:rsidRDefault="00E30A6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74DCA" w14:textId="77777777" w:rsidR="00E30A63" w:rsidRDefault="00E30A6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81A79" w14:textId="77777777" w:rsidR="00E30A63" w:rsidRDefault="00E30A63"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8967B" w14:textId="77777777" w:rsidR="00E30A63" w:rsidRDefault="00E30A63" w:rsidP="006E08B3">
    <w:r>
      <w:t>Therapeutic Goods Administration</w:t>
    </w:r>
  </w:p>
  <w:p w14:paraId="71C1E218" w14:textId="77777777" w:rsidR="00E30A63" w:rsidRDefault="00E30A6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71183870"/>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7AE5D48"/>
    <w:multiLevelType w:val="hybridMultilevel"/>
    <w:tmpl w:val="A69C1A28"/>
    <w:lvl w:ilvl="0" w:tplc="B76E672E">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BD6ABF"/>
    <w:multiLevelType w:val="hybridMultilevel"/>
    <w:tmpl w:val="B61A92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3A144BC"/>
    <w:multiLevelType w:val="hybridMultilevel"/>
    <w:tmpl w:val="5AEC6B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8996834"/>
    <w:multiLevelType w:val="hybridMultilevel"/>
    <w:tmpl w:val="B9A8F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66740A"/>
    <w:multiLevelType w:val="hybridMultilevel"/>
    <w:tmpl w:val="660C3E00"/>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D2F51E4"/>
    <w:multiLevelType w:val="hybridMultilevel"/>
    <w:tmpl w:val="A300D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4D7428D5"/>
    <w:multiLevelType w:val="hybridMultilevel"/>
    <w:tmpl w:val="6FC2E40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743D65"/>
    <w:multiLevelType w:val="hybridMultilevel"/>
    <w:tmpl w:val="2668E9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FD43480"/>
    <w:multiLevelType w:val="hybridMultilevel"/>
    <w:tmpl w:val="909AE1E0"/>
    <w:lvl w:ilvl="0" w:tplc="03648324">
      <w:start w:val="2"/>
      <w:numFmt w:val="bullet"/>
      <w:lvlText w:val="-"/>
      <w:lvlJc w:val="left"/>
      <w:pPr>
        <w:ind w:left="1080" w:hanging="360"/>
      </w:pPr>
      <w:rPr>
        <w:rFonts w:ascii="Cambria" w:eastAsia="Cambria" w:hAnsi="Cambr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4"/>
  </w:num>
  <w:num w:numId="27">
    <w:abstractNumId w:val="16"/>
  </w:num>
  <w:num w:numId="28">
    <w:abstractNumId w:val="17"/>
  </w:num>
  <w:num w:numId="29">
    <w:abstractNumId w:val="18"/>
  </w:num>
  <w:num w:numId="30">
    <w:abstractNumId w:val="18"/>
  </w:num>
  <w:num w:numId="31">
    <w:abstractNumId w:val="18"/>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num>
  <w:num w:numId="34">
    <w:abstractNumId w:val="9"/>
  </w:num>
  <w:num w:numId="35">
    <w:abstractNumId w:val="7"/>
  </w:num>
  <w:num w:numId="36">
    <w:abstractNumId w:val="13"/>
  </w:num>
  <w:num w:numId="37">
    <w:abstractNumId w:val="15"/>
  </w:num>
  <w:num w:numId="38">
    <w:abstractNumId w:val="10"/>
  </w:num>
  <w:num w:numId="39">
    <w:abstractNumId w:val="8"/>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pStyle w:val="ListBullet2"/>
        <w:lvlText w:val="–"/>
        <w:lvlJc w:val="left"/>
        <w:pPr>
          <w:ind w:left="720" w:hanging="360"/>
        </w:pPr>
        <w:rPr>
          <w:rFonts w:ascii="Arial" w:hAnsi="Arial" w:hint="default"/>
        </w:rPr>
      </w:lvl>
    </w:lvlOverride>
  </w:num>
  <w:num w:numId="40">
    <w:abstractNumId w:val="20"/>
  </w:num>
  <w:num w:numId="41">
    <w:abstractNumId w:val="11"/>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hillman">
    <w15:presenceInfo w15:providerId="Windows Live" w15:userId="ed3baf5758403b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5E"/>
    <w:rsid w:val="00002031"/>
    <w:rsid w:val="00004734"/>
    <w:rsid w:val="00006B22"/>
    <w:rsid w:val="0001276A"/>
    <w:rsid w:val="0002077C"/>
    <w:rsid w:val="000246AE"/>
    <w:rsid w:val="00025C67"/>
    <w:rsid w:val="00040ACB"/>
    <w:rsid w:val="000455FE"/>
    <w:rsid w:val="000541C1"/>
    <w:rsid w:val="0005559E"/>
    <w:rsid w:val="0007540A"/>
    <w:rsid w:val="000774B1"/>
    <w:rsid w:val="00077775"/>
    <w:rsid w:val="0008571B"/>
    <w:rsid w:val="0008625B"/>
    <w:rsid w:val="00090471"/>
    <w:rsid w:val="00097B5E"/>
    <w:rsid w:val="000A3AED"/>
    <w:rsid w:val="000A63AF"/>
    <w:rsid w:val="000B3532"/>
    <w:rsid w:val="000B3A75"/>
    <w:rsid w:val="000B79A5"/>
    <w:rsid w:val="000C60FD"/>
    <w:rsid w:val="000C690F"/>
    <w:rsid w:val="000D1295"/>
    <w:rsid w:val="000D194F"/>
    <w:rsid w:val="000D1DEF"/>
    <w:rsid w:val="000D391B"/>
    <w:rsid w:val="000D3D6D"/>
    <w:rsid w:val="000D4E52"/>
    <w:rsid w:val="000D4FC7"/>
    <w:rsid w:val="000F02F9"/>
    <w:rsid w:val="000F43BC"/>
    <w:rsid w:val="000F4869"/>
    <w:rsid w:val="000F5B42"/>
    <w:rsid w:val="000F6E6F"/>
    <w:rsid w:val="000F784E"/>
    <w:rsid w:val="0010193C"/>
    <w:rsid w:val="00104613"/>
    <w:rsid w:val="0010601F"/>
    <w:rsid w:val="0010788A"/>
    <w:rsid w:val="00107A31"/>
    <w:rsid w:val="00110EA5"/>
    <w:rsid w:val="00111D91"/>
    <w:rsid w:val="00112F56"/>
    <w:rsid w:val="001151FC"/>
    <w:rsid w:val="001247F5"/>
    <w:rsid w:val="00125318"/>
    <w:rsid w:val="001305A2"/>
    <w:rsid w:val="00132C57"/>
    <w:rsid w:val="00133238"/>
    <w:rsid w:val="0014197B"/>
    <w:rsid w:val="001447CD"/>
    <w:rsid w:val="001516B1"/>
    <w:rsid w:val="00154EBB"/>
    <w:rsid w:val="00156316"/>
    <w:rsid w:val="00156CBA"/>
    <w:rsid w:val="00160BE9"/>
    <w:rsid w:val="00165389"/>
    <w:rsid w:val="001706A9"/>
    <w:rsid w:val="0017078F"/>
    <w:rsid w:val="00176478"/>
    <w:rsid w:val="0017693F"/>
    <w:rsid w:val="0018110E"/>
    <w:rsid w:val="00181684"/>
    <w:rsid w:val="001843C6"/>
    <w:rsid w:val="001850E0"/>
    <w:rsid w:val="00190913"/>
    <w:rsid w:val="001A05BF"/>
    <w:rsid w:val="001A2158"/>
    <w:rsid w:val="001A525F"/>
    <w:rsid w:val="001B09F9"/>
    <w:rsid w:val="001B1D02"/>
    <w:rsid w:val="001B25AF"/>
    <w:rsid w:val="001B5D98"/>
    <w:rsid w:val="001B6448"/>
    <w:rsid w:val="001C3577"/>
    <w:rsid w:val="001C657B"/>
    <w:rsid w:val="001E07CF"/>
    <w:rsid w:val="001E59F1"/>
    <w:rsid w:val="001F497A"/>
    <w:rsid w:val="001F49EB"/>
    <w:rsid w:val="001F6CBA"/>
    <w:rsid w:val="00201D4E"/>
    <w:rsid w:val="00201D91"/>
    <w:rsid w:val="002076C9"/>
    <w:rsid w:val="00220B8A"/>
    <w:rsid w:val="002257F3"/>
    <w:rsid w:val="00233456"/>
    <w:rsid w:val="002339A5"/>
    <w:rsid w:val="00234615"/>
    <w:rsid w:val="0025409C"/>
    <w:rsid w:val="00257848"/>
    <w:rsid w:val="002666AC"/>
    <w:rsid w:val="0027084A"/>
    <w:rsid w:val="002711E9"/>
    <w:rsid w:val="00272AD3"/>
    <w:rsid w:val="00280989"/>
    <w:rsid w:val="0028286D"/>
    <w:rsid w:val="00286434"/>
    <w:rsid w:val="00286C59"/>
    <w:rsid w:val="002905D6"/>
    <w:rsid w:val="00292113"/>
    <w:rsid w:val="002942D1"/>
    <w:rsid w:val="002949F5"/>
    <w:rsid w:val="0029501A"/>
    <w:rsid w:val="002A7DD0"/>
    <w:rsid w:val="002B1638"/>
    <w:rsid w:val="002C63ED"/>
    <w:rsid w:val="002D545C"/>
    <w:rsid w:val="002D6161"/>
    <w:rsid w:val="002E3EE8"/>
    <w:rsid w:val="002E4C9A"/>
    <w:rsid w:val="002F11F8"/>
    <w:rsid w:val="002F3F56"/>
    <w:rsid w:val="002F44B5"/>
    <w:rsid w:val="0030360A"/>
    <w:rsid w:val="00306100"/>
    <w:rsid w:val="00306CE2"/>
    <w:rsid w:val="00311AC0"/>
    <w:rsid w:val="00316CBD"/>
    <w:rsid w:val="0032583B"/>
    <w:rsid w:val="00326675"/>
    <w:rsid w:val="00327883"/>
    <w:rsid w:val="00333DC4"/>
    <w:rsid w:val="00335504"/>
    <w:rsid w:val="00335D06"/>
    <w:rsid w:val="003521E8"/>
    <w:rsid w:val="00360510"/>
    <w:rsid w:val="00362DAA"/>
    <w:rsid w:val="003728F3"/>
    <w:rsid w:val="003736F9"/>
    <w:rsid w:val="0037496E"/>
    <w:rsid w:val="0037623D"/>
    <w:rsid w:val="00386150"/>
    <w:rsid w:val="003874CE"/>
    <w:rsid w:val="00390900"/>
    <w:rsid w:val="00396C92"/>
    <w:rsid w:val="003A7F6C"/>
    <w:rsid w:val="003B01FF"/>
    <w:rsid w:val="003B1113"/>
    <w:rsid w:val="003B4D60"/>
    <w:rsid w:val="003B634F"/>
    <w:rsid w:val="003B7E39"/>
    <w:rsid w:val="003C2829"/>
    <w:rsid w:val="003C58DC"/>
    <w:rsid w:val="003D0A3B"/>
    <w:rsid w:val="003D1E62"/>
    <w:rsid w:val="003D2CE9"/>
    <w:rsid w:val="003E161E"/>
    <w:rsid w:val="003E2486"/>
    <w:rsid w:val="003E3208"/>
    <w:rsid w:val="003E6883"/>
    <w:rsid w:val="003F0B04"/>
    <w:rsid w:val="003F2EB0"/>
    <w:rsid w:val="003F51FB"/>
    <w:rsid w:val="003F7B67"/>
    <w:rsid w:val="0040134E"/>
    <w:rsid w:val="00403DF6"/>
    <w:rsid w:val="004064FE"/>
    <w:rsid w:val="004068E7"/>
    <w:rsid w:val="00415D59"/>
    <w:rsid w:val="004233FC"/>
    <w:rsid w:val="0043797D"/>
    <w:rsid w:val="00440A2D"/>
    <w:rsid w:val="00442B64"/>
    <w:rsid w:val="00445F00"/>
    <w:rsid w:val="00450AB7"/>
    <w:rsid w:val="004519D5"/>
    <w:rsid w:val="004564A7"/>
    <w:rsid w:val="00457F13"/>
    <w:rsid w:val="004617BF"/>
    <w:rsid w:val="00463658"/>
    <w:rsid w:val="004722CC"/>
    <w:rsid w:val="004936E4"/>
    <w:rsid w:val="00494E60"/>
    <w:rsid w:val="004964C7"/>
    <w:rsid w:val="00497487"/>
    <w:rsid w:val="004A41A2"/>
    <w:rsid w:val="004A4774"/>
    <w:rsid w:val="004A7E13"/>
    <w:rsid w:val="004B6123"/>
    <w:rsid w:val="004B7B76"/>
    <w:rsid w:val="004C2DCA"/>
    <w:rsid w:val="004F0F38"/>
    <w:rsid w:val="004F4AF5"/>
    <w:rsid w:val="004F61BB"/>
    <w:rsid w:val="00501921"/>
    <w:rsid w:val="005054EA"/>
    <w:rsid w:val="00530354"/>
    <w:rsid w:val="0053625B"/>
    <w:rsid w:val="00537D3C"/>
    <w:rsid w:val="00540A42"/>
    <w:rsid w:val="005434C6"/>
    <w:rsid w:val="00543B39"/>
    <w:rsid w:val="00550096"/>
    <w:rsid w:val="00557FF9"/>
    <w:rsid w:val="00576182"/>
    <w:rsid w:val="00576378"/>
    <w:rsid w:val="00577945"/>
    <w:rsid w:val="00577E38"/>
    <w:rsid w:val="0058124D"/>
    <w:rsid w:val="00585322"/>
    <w:rsid w:val="005857C6"/>
    <w:rsid w:val="00586F98"/>
    <w:rsid w:val="00592F6E"/>
    <w:rsid w:val="005939C8"/>
    <w:rsid w:val="00593AD1"/>
    <w:rsid w:val="005A566A"/>
    <w:rsid w:val="005A68B6"/>
    <w:rsid w:val="005B79F0"/>
    <w:rsid w:val="005C38C4"/>
    <w:rsid w:val="005C5570"/>
    <w:rsid w:val="005C79A4"/>
    <w:rsid w:val="005D5442"/>
    <w:rsid w:val="005E3D2C"/>
    <w:rsid w:val="005F05DA"/>
    <w:rsid w:val="005F3790"/>
    <w:rsid w:val="00603F32"/>
    <w:rsid w:val="00616387"/>
    <w:rsid w:val="006170F0"/>
    <w:rsid w:val="00620406"/>
    <w:rsid w:val="00626246"/>
    <w:rsid w:val="00626A92"/>
    <w:rsid w:val="00632398"/>
    <w:rsid w:val="00634AB1"/>
    <w:rsid w:val="00636A45"/>
    <w:rsid w:val="00640FC3"/>
    <w:rsid w:val="00642020"/>
    <w:rsid w:val="00646206"/>
    <w:rsid w:val="006466C2"/>
    <w:rsid w:val="00652A26"/>
    <w:rsid w:val="0065337B"/>
    <w:rsid w:val="0065419D"/>
    <w:rsid w:val="006604D8"/>
    <w:rsid w:val="00664A5B"/>
    <w:rsid w:val="006662EB"/>
    <w:rsid w:val="006720A4"/>
    <w:rsid w:val="006731D1"/>
    <w:rsid w:val="006763D2"/>
    <w:rsid w:val="0068051D"/>
    <w:rsid w:val="00680C08"/>
    <w:rsid w:val="006931B1"/>
    <w:rsid w:val="006A15C0"/>
    <w:rsid w:val="006B4C50"/>
    <w:rsid w:val="006C130C"/>
    <w:rsid w:val="006C3E2A"/>
    <w:rsid w:val="006C642F"/>
    <w:rsid w:val="006D03E5"/>
    <w:rsid w:val="006D38FF"/>
    <w:rsid w:val="006D5D3E"/>
    <w:rsid w:val="006E08B3"/>
    <w:rsid w:val="006F0DF2"/>
    <w:rsid w:val="006F17AC"/>
    <w:rsid w:val="006F1D37"/>
    <w:rsid w:val="006F26D0"/>
    <w:rsid w:val="006F2796"/>
    <w:rsid w:val="006F572E"/>
    <w:rsid w:val="007046D6"/>
    <w:rsid w:val="00705DB0"/>
    <w:rsid w:val="007117C7"/>
    <w:rsid w:val="00714E3E"/>
    <w:rsid w:val="00722B57"/>
    <w:rsid w:val="00723D80"/>
    <w:rsid w:val="0074253D"/>
    <w:rsid w:val="0074429B"/>
    <w:rsid w:val="007513B4"/>
    <w:rsid w:val="007615BC"/>
    <w:rsid w:val="00762880"/>
    <w:rsid w:val="00762F05"/>
    <w:rsid w:val="007652FF"/>
    <w:rsid w:val="00770EF1"/>
    <w:rsid w:val="00772A33"/>
    <w:rsid w:val="00773EF7"/>
    <w:rsid w:val="007740EE"/>
    <w:rsid w:val="00774E1D"/>
    <w:rsid w:val="0077675A"/>
    <w:rsid w:val="00780355"/>
    <w:rsid w:val="00785721"/>
    <w:rsid w:val="0078745B"/>
    <w:rsid w:val="00792FE2"/>
    <w:rsid w:val="00793A59"/>
    <w:rsid w:val="0079516C"/>
    <w:rsid w:val="007A24E9"/>
    <w:rsid w:val="007B6E9F"/>
    <w:rsid w:val="007C1216"/>
    <w:rsid w:val="007C1AF7"/>
    <w:rsid w:val="007D6339"/>
    <w:rsid w:val="007E6E27"/>
    <w:rsid w:val="007F3E00"/>
    <w:rsid w:val="007F4262"/>
    <w:rsid w:val="007F44C3"/>
    <w:rsid w:val="007F613A"/>
    <w:rsid w:val="00805D27"/>
    <w:rsid w:val="00815C62"/>
    <w:rsid w:val="00821776"/>
    <w:rsid w:val="00822860"/>
    <w:rsid w:val="00825FFB"/>
    <w:rsid w:val="008321F5"/>
    <w:rsid w:val="00832369"/>
    <w:rsid w:val="00834292"/>
    <w:rsid w:val="00834660"/>
    <w:rsid w:val="00836BC2"/>
    <w:rsid w:val="008414A0"/>
    <w:rsid w:val="0085091F"/>
    <w:rsid w:val="00851D5A"/>
    <w:rsid w:val="008520AB"/>
    <w:rsid w:val="00852537"/>
    <w:rsid w:val="0085641B"/>
    <w:rsid w:val="00857136"/>
    <w:rsid w:val="008855F1"/>
    <w:rsid w:val="00886D15"/>
    <w:rsid w:val="00887DD8"/>
    <w:rsid w:val="00892441"/>
    <w:rsid w:val="00896018"/>
    <w:rsid w:val="008960DD"/>
    <w:rsid w:val="0089635C"/>
    <w:rsid w:val="008978D1"/>
    <w:rsid w:val="008A0FB7"/>
    <w:rsid w:val="008A1564"/>
    <w:rsid w:val="008A2B9D"/>
    <w:rsid w:val="008A5E0B"/>
    <w:rsid w:val="008A6D59"/>
    <w:rsid w:val="008B4B03"/>
    <w:rsid w:val="008B596F"/>
    <w:rsid w:val="008B5A3E"/>
    <w:rsid w:val="008C159F"/>
    <w:rsid w:val="008C1623"/>
    <w:rsid w:val="008C1850"/>
    <w:rsid w:val="008C51A9"/>
    <w:rsid w:val="008C775B"/>
    <w:rsid w:val="008D35EB"/>
    <w:rsid w:val="008D770F"/>
    <w:rsid w:val="008E7846"/>
    <w:rsid w:val="008F1CCC"/>
    <w:rsid w:val="008F2967"/>
    <w:rsid w:val="008F6943"/>
    <w:rsid w:val="008F69AF"/>
    <w:rsid w:val="008F7307"/>
    <w:rsid w:val="00902A21"/>
    <w:rsid w:val="00906445"/>
    <w:rsid w:val="009077E0"/>
    <w:rsid w:val="00910165"/>
    <w:rsid w:val="00917107"/>
    <w:rsid w:val="00920330"/>
    <w:rsid w:val="009219D7"/>
    <w:rsid w:val="00922D53"/>
    <w:rsid w:val="00923B70"/>
    <w:rsid w:val="00924482"/>
    <w:rsid w:val="00927A83"/>
    <w:rsid w:val="00930237"/>
    <w:rsid w:val="009438E8"/>
    <w:rsid w:val="00943991"/>
    <w:rsid w:val="0094407D"/>
    <w:rsid w:val="0094614A"/>
    <w:rsid w:val="00946EA5"/>
    <w:rsid w:val="0095160F"/>
    <w:rsid w:val="009609D1"/>
    <w:rsid w:val="00963C08"/>
    <w:rsid w:val="00964C66"/>
    <w:rsid w:val="00981D66"/>
    <w:rsid w:val="009831C2"/>
    <w:rsid w:val="0098585A"/>
    <w:rsid w:val="0098669D"/>
    <w:rsid w:val="00990391"/>
    <w:rsid w:val="00994C95"/>
    <w:rsid w:val="009A3335"/>
    <w:rsid w:val="009A4CED"/>
    <w:rsid w:val="009A690D"/>
    <w:rsid w:val="009B1D12"/>
    <w:rsid w:val="009B416B"/>
    <w:rsid w:val="009B5107"/>
    <w:rsid w:val="009C4BD5"/>
    <w:rsid w:val="009D7B77"/>
    <w:rsid w:val="009E0BB0"/>
    <w:rsid w:val="009E11FF"/>
    <w:rsid w:val="009E23DC"/>
    <w:rsid w:val="009E28F5"/>
    <w:rsid w:val="009E3FBB"/>
    <w:rsid w:val="00A0568D"/>
    <w:rsid w:val="00A102E4"/>
    <w:rsid w:val="00A12C42"/>
    <w:rsid w:val="00A14DF7"/>
    <w:rsid w:val="00A235D9"/>
    <w:rsid w:val="00A26570"/>
    <w:rsid w:val="00A3246D"/>
    <w:rsid w:val="00A36FA7"/>
    <w:rsid w:val="00A41186"/>
    <w:rsid w:val="00A475B7"/>
    <w:rsid w:val="00A47AF7"/>
    <w:rsid w:val="00A47C3E"/>
    <w:rsid w:val="00A50226"/>
    <w:rsid w:val="00A60BAD"/>
    <w:rsid w:val="00A71B7B"/>
    <w:rsid w:val="00A95D44"/>
    <w:rsid w:val="00A964D1"/>
    <w:rsid w:val="00A96ADD"/>
    <w:rsid w:val="00AA0ED0"/>
    <w:rsid w:val="00AA3499"/>
    <w:rsid w:val="00AB76E3"/>
    <w:rsid w:val="00AC0401"/>
    <w:rsid w:val="00AC2B40"/>
    <w:rsid w:val="00AC2BB2"/>
    <w:rsid w:val="00AC2C3C"/>
    <w:rsid w:val="00AC512D"/>
    <w:rsid w:val="00AD3C4A"/>
    <w:rsid w:val="00AD5475"/>
    <w:rsid w:val="00AE01C2"/>
    <w:rsid w:val="00AE213F"/>
    <w:rsid w:val="00AE2525"/>
    <w:rsid w:val="00AE65EB"/>
    <w:rsid w:val="00AE67A7"/>
    <w:rsid w:val="00AF1D94"/>
    <w:rsid w:val="00AF4819"/>
    <w:rsid w:val="00AF60C5"/>
    <w:rsid w:val="00B009C6"/>
    <w:rsid w:val="00B01548"/>
    <w:rsid w:val="00B02208"/>
    <w:rsid w:val="00B063CD"/>
    <w:rsid w:val="00B07BD4"/>
    <w:rsid w:val="00B1425E"/>
    <w:rsid w:val="00B21D29"/>
    <w:rsid w:val="00B25034"/>
    <w:rsid w:val="00B275F4"/>
    <w:rsid w:val="00B3013D"/>
    <w:rsid w:val="00B30672"/>
    <w:rsid w:val="00B33588"/>
    <w:rsid w:val="00B33863"/>
    <w:rsid w:val="00B3567E"/>
    <w:rsid w:val="00B37D17"/>
    <w:rsid w:val="00B41523"/>
    <w:rsid w:val="00B4175E"/>
    <w:rsid w:val="00B452CE"/>
    <w:rsid w:val="00B46B92"/>
    <w:rsid w:val="00B46DBA"/>
    <w:rsid w:val="00B54C25"/>
    <w:rsid w:val="00B55195"/>
    <w:rsid w:val="00B62DE5"/>
    <w:rsid w:val="00B66401"/>
    <w:rsid w:val="00B7486E"/>
    <w:rsid w:val="00B748EB"/>
    <w:rsid w:val="00B76B91"/>
    <w:rsid w:val="00B77EB1"/>
    <w:rsid w:val="00B811C6"/>
    <w:rsid w:val="00B85A87"/>
    <w:rsid w:val="00B85B94"/>
    <w:rsid w:val="00B92E08"/>
    <w:rsid w:val="00B96EBE"/>
    <w:rsid w:val="00BC622A"/>
    <w:rsid w:val="00BD0608"/>
    <w:rsid w:val="00BD45E3"/>
    <w:rsid w:val="00BE0A78"/>
    <w:rsid w:val="00BE32A6"/>
    <w:rsid w:val="00BE6252"/>
    <w:rsid w:val="00BE79F0"/>
    <w:rsid w:val="00BF046D"/>
    <w:rsid w:val="00BF1190"/>
    <w:rsid w:val="00BF5D04"/>
    <w:rsid w:val="00C03D72"/>
    <w:rsid w:val="00C07459"/>
    <w:rsid w:val="00C1164D"/>
    <w:rsid w:val="00C11A3A"/>
    <w:rsid w:val="00C11B4D"/>
    <w:rsid w:val="00C1325F"/>
    <w:rsid w:val="00C137CE"/>
    <w:rsid w:val="00C137ED"/>
    <w:rsid w:val="00C13D3D"/>
    <w:rsid w:val="00C1495D"/>
    <w:rsid w:val="00C16861"/>
    <w:rsid w:val="00C22678"/>
    <w:rsid w:val="00C26228"/>
    <w:rsid w:val="00C404A6"/>
    <w:rsid w:val="00C40A36"/>
    <w:rsid w:val="00C412D1"/>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91D9A"/>
    <w:rsid w:val="00C93B46"/>
    <w:rsid w:val="00CB6BC0"/>
    <w:rsid w:val="00CC0553"/>
    <w:rsid w:val="00CC1B7C"/>
    <w:rsid w:val="00CC727F"/>
    <w:rsid w:val="00CD5270"/>
    <w:rsid w:val="00CE11D8"/>
    <w:rsid w:val="00CF15C3"/>
    <w:rsid w:val="00CF2893"/>
    <w:rsid w:val="00CF2B6F"/>
    <w:rsid w:val="00CF58B6"/>
    <w:rsid w:val="00CF6BAB"/>
    <w:rsid w:val="00D017ED"/>
    <w:rsid w:val="00D040D3"/>
    <w:rsid w:val="00D04C65"/>
    <w:rsid w:val="00D20644"/>
    <w:rsid w:val="00D224FE"/>
    <w:rsid w:val="00D23A67"/>
    <w:rsid w:val="00D25D39"/>
    <w:rsid w:val="00D306A1"/>
    <w:rsid w:val="00D53A31"/>
    <w:rsid w:val="00D57FA9"/>
    <w:rsid w:val="00D6493E"/>
    <w:rsid w:val="00D7301E"/>
    <w:rsid w:val="00D83AE1"/>
    <w:rsid w:val="00D855D4"/>
    <w:rsid w:val="00D87961"/>
    <w:rsid w:val="00D90BA4"/>
    <w:rsid w:val="00D93466"/>
    <w:rsid w:val="00D95D75"/>
    <w:rsid w:val="00DA1124"/>
    <w:rsid w:val="00DA2B54"/>
    <w:rsid w:val="00DB493E"/>
    <w:rsid w:val="00DB75B7"/>
    <w:rsid w:val="00DC0205"/>
    <w:rsid w:val="00DC0212"/>
    <w:rsid w:val="00DC156B"/>
    <w:rsid w:val="00DC1A0F"/>
    <w:rsid w:val="00DC5D22"/>
    <w:rsid w:val="00DC6E02"/>
    <w:rsid w:val="00DD3519"/>
    <w:rsid w:val="00DE02AE"/>
    <w:rsid w:val="00DF0AF5"/>
    <w:rsid w:val="00DF1D7F"/>
    <w:rsid w:val="00DF2CEA"/>
    <w:rsid w:val="00DF3766"/>
    <w:rsid w:val="00DF4BE4"/>
    <w:rsid w:val="00E018FA"/>
    <w:rsid w:val="00E02FB4"/>
    <w:rsid w:val="00E07F15"/>
    <w:rsid w:val="00E11E73"/>
    <w:rsid w:val="00E13D09"/>
    <w:rsid w:val="00E20571"/>
    <w:rsid w:val="00E235F7"/>
    <w:rsid w:val="00E23659"/>
    <w:rsid w:val="00E239D4"/>
    <w:rsid w:val="00E26130"/>
    <w:rsid w:val="00E2741C"/>
    <w:rsid w:val="00E30A63"/>
    <w:rsid w:val="00E30F3D"/>
    <w:rsid w:val="00E40B22"/>
    <w:rsid w:val="00E41C43"/>
    <w:rsid w:val="00E45619"/>
    <w:rsid w:val="00E4588F"/>
    <w:rsid w:val="00E46DA3"/>
    <w:rsid w:val="00E51BB1"/>
    <w:rsid w:val="00E624A5"/>
    <w:rsid w:val="00E70CE6"/>
    <w:rsid w:val="00E72A9D"/>
    <w:rsid w:val="00E7344E"/>
    <w:rsid w:val="00E73A27"/>
    <w:rsid w:val="00E77B22"/>
    <w:rsid w:val="00E936E3"/>
    <w:rsid w:val="00E979F4"/>
    <w:rsid w:val="00EA7CD0"/>
    <w:rsid w:val="00EB0798"/>
    <w:rsid w:val="00EB40AD"/>
    <w:rsid w:val="00EB586E"/>
    <w:rsid w:val="00EB5FC8"/>
    <w:rsid w:val="00EB69A5"/>
    <w:rsid w:val="00ED1E47"/>
    <w:rsid w:val="00ED3CAD"/>
    <w:rsid w:val="00ED5A41"/>
    <w:rsid w:val="00EE0433"/>
    <w:rsid w:val="00EE118B"/>
    <w:rsid w:val="00EE1DE8"/>
    <w:rsid w:val="00EE33FF"/>
    <w:rsid w:val="00EE52DB"/>
    <w:rsid w:val="00F033EC"/>
    <w:rsid w:val="00F04F68"/>
    <w:rsid w:val="00F11FD7"/>
    <w:rsid w:val="00F12670"/>
    <w:rsid w:val="00F14B27"/>
    <w:rsid w:val="00F20382"/>
    <w:rsid w:val="00F2762F"/>
    <w:rsid w:val="00F30F86"/>
    <w:rsid w:val="00F3148D"/>
    <w:rsid w:val="00F325C5"/>
    <w:rsid w:val="00F32FE0"/>
    <w:rsid w:val="00F35298"/>
    <w:rsid w:val="00F40E63"/>
    <w:rsid w:val="00F47333"/>
    <w:rsid w:val="00F47E37"/>
    <w:rsid w:val="00F53C07"/>
    <w:rsid w:val="00F54B65"/>
    <w:rsid w:val="00F624DD"/>
    <w:rsid w:val="00F640B6"/>
    <w:rsid w:val="00F72FF7"/>
    <w:rsid w:val="00F77BC6"/>
    <w:rsid w:val="00F80E40"/>
    <w:rsid w:val="00F8340B"/>
    <w:rsid w:val="00F848D9"/>
    <w:rsid w:val="00FA3D0A"/>
    <w:rsid w:val="00FA5B82"/>
    <w:rsid w:val="00FA639E"/>
    <w:rsid w:val="00FC25E4"/>
    <w:rsid w:val="00FC4EF7"/>
    <w:rsid w:val="00FE1DEE"/>
    <w:rsid w:val="00FE27EF"/>
    <w:rsid w:val="00FE50A0"/>
    <w:rsid w:val="00FF2126"/>
    <w:rsid w:val="00FF4C3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47C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E13D0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4064FE"/>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4519D5"/>
    <w:pPr>
      <w:numPr>
        <w:numId w:val="38"/>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rsid w:val="00E13D09"/>
    <w:rPr>
      <w:rFonts w:asciiTheme="majorHAnsi" w:eastAsiaTheme="majorEastAsia" w:hAnsiTheme="majorHAnsi" w:cstheme="majorBidi"/>
      <w:color w:val="272727" w:themeColor="text1" w:themeTint="D8"/>
      <w:sz w:val="21"/>
      <w:szCs w:val="21"/>
    </w:rPr>
  </w:style>
  <w:style w:type="paragraph" w:styleId="FootnoteText">
    <w:name w:val="footnote text"/>
    <w:basedOn w:val="Normal"/>
    <w:link w:val="FootnoteTextChar"/>
    <w:uiPriority w:val="99"/>
    <w:unhideWhenUsed/>
    <w:rsid w:val="006720A4"/>
    <w:pPr>
      <w:widowControl w:val="0"/>
      <w:spacing w:before="0" w:after="0" w:line="240" w:lineRule="auto"/>
    </w:pPr>
    <w:rPr>
      <w:sz w:val="24"/>
      <w:szCs w:val="24"/>
    </w:rPr>
  </w:style>
  <w:style w:type="character" w:customStyle="1" w:styleId="FootnoteTextChar">
    <w:name w:val="Footnote Text Char"/>
    <w:basedOn w:val="DefaultParagraphFont"/>
    <w:link w:val="FootnoteText"/>
    <w:uiPriority w:val="99"/>
    <w:rsid w:val="006720A4"/>
    <w:rPr>
      <w:rFonts w:ascii="Cambria" w:eastAsia="Cambria" w:hAnsi="Cambria" w:cs="Times New Roman"/>
      <w:sz w:val="24"/>
      <w:szCs w:val="24"/>
    </w:rPr>
  </w:style>
  <w:style w:type="character" w:styleId="FootnoteReference">
    <w:name w:val="footnote reference"/>
    <w:basedOn w:val="DefaultParagraphFont"/>
    <w:uiPriority w:val="99"/>
    <w:unhideWhenUsed/>
    <w:rsid w:val="00B41523"/>
    <w:rPr>
      <w:vertAlign w:val="superscript"/>
    </w:rPr>
  </w:style>
  <w:style w:type="paragraph" w:styleId="ListParagraph">
    <w:name w:val="List Paragraph"/>
    <w:basedOn w:val="Normal"/>
    <w:uiPriority w:val="34"/>
    <w:rsid w:val="00F11FD7"/>
    <w:pPr>
      <w:ind w:left="720"/>
      <w:contextualSpacing/>
    </w:pPr>
  </w:style>
  <w:style w:type="paragraph" w:customStyle="1" w:styleId="Default">
    <w:name w:val="Default"/>
    <w:rsid w:val="00201D91"/>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ullet2">
    <w:name w:val="Bullet 2"/>
    <w:basedOn w:val="Normal"/>
    <w:rsid w:val="0094407D"/>
    <w:pPr>
      <w:numPr>
        <w:numId w:val="41"/>
      </w:numPr>
      <w:spacing w:after="0" w:line="240" w:lineRule="auto"/>
    </w:pPr>
    <w:rPr>
      <w:rFonts w:eastAsia="Times New Roman"/>
      <w:kern w:val="24"/>
      <w:szCs w:val="24"/>
      <w:lang w:eastAsia="en-AU"/>
    </w:rPr>
  </w:style>
  <w:style w:type="table" w:customStyle="1" w:styleId="TableTGAblue1">
    <w:name w:val="Table TGA blue1"/>
    <w:basedOn w:val="TableNormal"/>
    <w:uiPriority w:val="99"/>
    <w:qFormat/>
    <w:rsid w:val="00E41C43"/>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PlainTable4">
    <w:name w:val="Plain Table 4"/>
    <w:basedOn w:val="TableNormal"/>
    <w:uiPriority w:val="44"/>
    <w:rsid w:val="000F43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0F43B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E13D0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4064FE"/>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4519D5"/>
    <w:pPr>
      <w:numPr>
        <w:numId w:val="38"/>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rsid w:val="00E13D09"/>
    <w:rPr>
      <w:rFonts w:asciiTheme="majorHAnsi" w:eastAsiaTheme="majorEastAsia" w:hAnsiTheme="majorHAnsi" w:cstheme="majorBidi"/>
      <w:color w:val="272727" w:themeColor="text1" w:themeTint="D8"/>
      <w:sz w:val="21"/>
      <w:szCs w:val="21"/>
    </w:rPr>
  </w:style>
  <w:style w:type="paragraph" w:styleId="FootnoteText">
    <w:name w:val="footnote text"/>
    <w:basedOn w:val="Normal"/>
    <w:link w:val="FootnoteTextChar"/>
    <w:uiPriority w:val="99"/>
    <w:unhideWhenUsed/>
    <w:rsid w:val="006720A4"/>
    <w:pPr>
      <w:widowControl w:val="0"/>
      <w:spacing w:before="0" w:after="0" w:line="240" w:lineRule="auto"/>
    </w:pPr>
    <w:rPr>
      <w:sz w:val="24"/>
      <w:szCs w:val="24"/>
    </w:rPr>
  </w:style>
  <w:style w:type="character" w:customStyle="1" w:styleId="FootnoteTextChar">
    <w:name w:val="Footnote Text Char"/>
    <w:basedOn w:val="DefaultParagraphFont"/>
    <w:link w:val="FootnoteText"/>
    <w:uiPriority w:val="99"/>
    <w:rsid w:val="006720A4"/>
    <w:rPr>
      <w:rFonts w:ascii="Cambria" w:eastAsia="Cambria" w:hAnsi="Cambria" w:cs="Times New Roman"/>
      <w:sz w:val="24"/>
      <w:szCs w:val="24"/>
    </w:rPr>
  </w:style>
  <w:style w:type="character" w:styleId="FootnoteReference">
    <w:name w:val="footnote reference"/>
    <w:basedOn w:val="DefaultParagraphFont"/>
    <w:uiPriority w:val="99"/>
    <w:unhideWhenUsed/>
    <w:rsid w:val="00B41523"/>
    <w:rPr>
      <w:vertAlign w:val="superscript"/>
    </w:rPr>
  </w:style>
  <w:style w:type="paragraph" w:styleId="ListParagraph">
    <w:name w:val="List Paragraph"/>
    <w:basedOn w:val="Normal"/>
    <w:uiPriority w:val="34"/>
    <w:rsid w:val="00F11FD7"/>
    <w:pPr>
      <w:ind w:left="720"/>
      <w:contextualSpacing/>
    </w:pPr>
  </w:style>
  <w:style w:type="paragraph" w:customStyle="1" w:styleId="Default">
    <w:name w:val="Default"/>
    <w:rsid w:val="00201D91"/>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ullet2">
    <w:name w:val="Bullet 2"/>
    <w:basedOn w:val="Normal"/>
    <w:rsid w:val="0094407D"/>
    <w:pPr>
      <w:numPr>
        <w:numId w:val="41"/>
      </w:numPr>
      <w:spacing w:after="0" w:line="240" w:lineRule="auto"/>
    </w:pPr>
    <w:rPr>
      <w:rFonts w:eastAsia="Times New Roman"/>
      <w:kern w:val="24"/>
      <w:szCs w:val="24"/>
      <w:lang w:eastAsia="en-AU"/>
    </w:rPr>
  </w:style>
  <w:style w:type="table" w:customStyle="1" w:styleId="TableTGAblue1">
    <w:name w:val="Table TGA blue1"/>
    <w:basedOn w:val="TableNormal"/>
    <w:uiPriority w:val="99"/>
    <w:qFormat/>
    <w:rsid w:val="00E41C43"/>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PlainTable4">
    <w:name w:val="Plain Table 4"/>
    <w:basedOn w:val="TableNormal"/>
    <w:uiPriority w:val="44"/>
    <w:rsid w:val="000F43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0F43B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429879">
      <w:bodyDiv w:val="1"/>
      <w:marLeft w:val="0"/>
      <w:marRight w:val="0"/>
      <w:marTop w:val="0"/>
      <w:marBottom w:val="0"/>
      <w:divBdr>
        <w:top w:val="none" w:sz="0" w:space="0" w:color="auto"/>
        <w:left w:val="none" w:sz="0" w:space="0" w:color="auto"/>
        <w:bottom w:val="none" w:sz="0" w:space="0" w:color="auto"/>
        <w:right w:val="none" w:sz="0" w:space="0" w:color="auto"/>
      </w:divBdr>
    </w:div>
    <w:div w:id="1084691061">
      <w:bodyDiv w:val="1"/>
      <w:marLeft w:val="0"/>
      <w:marRight w:val="0"/>
      <w:marTop w:val="0"/>
      <w:marBottom w:val="0"/>
      <w:divBdr>
        <w:top w:val="none" w:sz="0" w:space="0" w:color="auto"/>
        <w:left w:val="none" w:sz="0" w:space="0" w:color="auto"/>
        <w:bottom w:val="none" w:sz="0" w:space="0" w:color="auto"/>
        <w:right w:val="none" w:sz="0" w:space="0" w:color="auto"/>
      </w:divBdr>
    </w:div>
    <w:div w:id="1234585505">
      <w:bodyDiv w:val="1"/>
      <w:marLeft w:val="0"/>
      <w:marRight w:val="0"/>
      <w:marTop w:val="0"/>
      <w:marBottom w:val="0"/>
      <w:divBdr>
        <w:top w:val="none" w:sz="0" w:space="0" w:color="auto"/>
        <w:left w:val="none" w:sz="0" w:space="0" w:color="auto"/>
        <w:bottom w:val="none" w:sz="0" w:space="0" w:color="auto"/>
        <w:right w:val="none" w:sz="0" w:space="0" w:color="auto"/>
      </w:divBdr>
    </w:div>
    <w:div w:id="132848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microsoft.com/office/2007/relationships/hdphoto" Target="media/hdphoto3.wdp"/><Relationship Id="rId63" Type="http://schemas.openxmlformats.org/officeDocument/2006/relationships/header" Target="header5.xml"/><Relationship Id="rId68" Type="http://schemas.openxmlformats.org/officeDocument/2006/relationships/header" Target="header7.xml"/><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5.emf"/><Relationship Id="rId11" Type="http://schemas.openxmlformats.org/officeDocument/2006/relationships/hyperlink" Target="mailto:tga.copyright@tga.gov.au"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microsoft.com/office/2007/relationships/hdphoto" Target="media/hdphoto2.wdp"/><Relationship Id="rId58" Type="http://schemas.openxmlformats.org/officeDocument/2006/relationships/image" Target="media/image41.emf"/><Relationship Id="rId66"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microsoft.com/office/2007/relationships/hdphoto" Target="media/hdphoto4.wdp"/><Relationship Id="rId61" Type="http://schemas.openxmlformats.org/officeDocument/2006/relationships/header" Target="header3.xm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3.emf"/><Relationship Id="rId65" Type="http://schemas.openxmlformats.org/officeDocument/2006/relationships/hyperlink" Target="mailto:info@tga.gov.a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0.png"/><Relationship Id="rId64" Type="http://schemas.openxmlformats.org/officeDocument/2006/relationships/footer" Target="footer2.xml"/><Relationship Id="rId69" Type="http://schemas.openxmlformats.org/officeDocument/2006/relationships/footer" Target="footer3.xml"/><Relationship Id="rId77"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2.emf"/><Relationship Id="rId67" Type="http://schemas.openxmlformats.org/officeDocument/2006/relationships/header" Target="header6.xml"/><Relationship Id="rId20" Type="http://schemas.microsoft.com/office/2007/relationships/hdphoto" Target="media/hdphoto1.wdp"/><Relationship Id="rId41" Type="http://schemas.openxmlformats.org/officeDocument/2006/relationships/image" Target="media/image27.emf"/><Relationship Id="rId54" Type="http://schemas.openxmlformats.org/officeDocument/2006/relationships/image" Target="media/image39.png"/><Relationship Id="rId62" Type="http://schemas.openxmlformats.org/officeDocument/2006/relationships/header" Target="header4.xml"/><Relationship Id="rId70" Type="http://schemas.openxmlformats.org/officeDocument/2006/relationships/header" Target="header8.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9FBAE-D405-4DE3-AB22-68A1470EF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63</Pages>
  <Words>21374</Words>
  <Characters>112217</Characters>
  <Application>Microsoft Office Word</Application>
  <DocSecurity>0</DocSecurity>
  <Lines>2117</Lines>
  <Paragraphs>1035</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Levonorgestrel IUS</vt:lpstr>
    </vt:vector>
  </TitlesOfParts>
  <Company>TGA</Company>
  <LinksUpToDate>false</LinksUpToDate>
  <CharactersWithSpaces>132556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Levonorgestrel IUS</dc:title>
  <dc:subject>prescription medicines</dc:subject>
  <dc:creator>Therapeutic Goods Administration</dc:creator>
  <cp:keywords>AusPARs</cp:keywords>
  <cp:lastModifiedBy>Therapeutic Goods Administration (TGA) </cp:lastModifiedBy>
  <cp:revision>9</cp:revision>
  <cp:lastPrinted>2017-10-26T23:20:00Z</cp:lastPrinted>
  <dcterms:created xsi:type="dcterms:W3CDTF">2017-11-09T01:20:00Z</dcterms:created>
  <dcterms:modified xsi:type="dcterms:W3CDTF">2017-11-21T05:11:00Z</dcterms:modified>
</cp:coreProperties>
</file>